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480" w:lineRule="auto"/>
        <w:ind w:firstLine="540"/>
        <w:jc w:val="center"/>
        <w:rPr>
          <w:rFonts w:eastAsia="仿宋"/>
          <w:color w:val="auto"/>
          <w:sz w:val="72"/>
          <w:highlight w:val="none"/>
        </w:rPr>
      </w:pPr>
    </w:p>
    <w:p>
      <w:pPr>
        <w:ind w:firstLine="0"/>
        <w:jc w:val="center"/>
        <w:rPr>
          <w:rFonts w:eastAsia="仿宋"/>
          <w:b/>
          <w:color w:val="auto"/>
          <w:sz w:val="84"/>
          <w:szCs w:val="84"/>
          <w:highlight w:val="none"/>
        </w:rPr>
      </w:pPr>
      <w:r>
        <w:rPr>
          <w:rFonts w:hAnsi="仿宋" w:eastAsia="仿宋"/>
          <w:b/>
          <w:color w:val="auto"/>
          <w:sz w:val="84"/>
          <w:szCs w:val="84"/>
          <w:highlight w:val="none"/>
        </w:rPr>
        <w:t>政府采购</w:t>
      </w:r>
    </w:p>
    <w:p>
      <w:pPr>
        <w:ind w:firstLine="0"/>
        <w:jc w:val="center"/>
        <w:rPr>
          <w:rFonts w:eastAsia="仿宋"/>
          <w:b/>
          <w:color w:val="auto"/>
          <w:sz w:val="84"/>
          <w:szCs w:val="84"/>
          <w:highlight w:val="none"/>
        </w:rPr>
      </w:pPr>
      <w:r>
        <w:rPr>
          <w:rFonts w:hAnsi="仿宋" w:eastAsia="仿宋"/>
          <w:b/>
          <w:color w:val="auto"/>
          <w:sz w:val="84"/>
          <w:szCs w:val="84"/>
          <w:highlight w:val="none"/>
        </w:rPr>
        <w:t>公开招标文件</w:t>
      </w:r>
    </w:p>
    <w:p>
      <w:pPr>
        <w:spacing w:line="480" w:lineRule="auto"/>
        <w:ind w:left="2880" w:leftChars="836" w:hanging="1124" w:hangingChars="350"/>
        <w:rPr>
          <w:rFonts w:eastAsia="仿宋"/>
          <w:b/>
          <w:bCs/>
          <w:color w:val="auto"/>
          <w:sz w:val="32"/>
          <w:highlight w:val="none"/>
        </w:rPr>
      </w:pPr>
    </w:p>
    <w:p>
      <w:pPr>
        <w:jc w:val="center"/>
        <w:rPr>
          <w:rFonts w:eastAsia="仿宋"/>
          <w:b/>
          <w:bCs/>
          <w:color w:val="auto"/>
          <w:sz w:val="48"/>
          <w:szCs w:val="48"/>
          <w:highlight w:val="none"/>
        </w:rPr>
      </w:pPr>
    </w:p>
    <w:p>
      <w:pPr>
        <w:spacing w:line="480" w:lineRule="auto"/>
        <w:ind w:left="0" w:leftChars="0" w:firstLine="0" w:firstLineChars="0"/>
        <w:jc w:val="center"/>
        <w:rPr>
          <w:rFonts w:hint="eastAsia" w:eastAsia="仿宋"/>
          <w:b/>
          <w:bCs/>
          <w:color w:val="auto"/>
          <w:sz w:val="32"/>
          <w:highlight w:val="none"/>
          <w:lang w:eastAsia="zh-CN"/>
        </w:rPr>
      </w:pPr>
      <w:r>
        <w:rPr>
          <w:rFonts w:hint="eastAsia" w:eastAsia="仿宋"/>
          <w:b/>
          <w:bCs/>
          <w:color w:val="auto"/>
          <w:sz w:val="32"/>
          <w:highlight w:val="none"/>
          <w:lang w:eastAsia="zh-CN"/>
        </w:rPr>
        <w:t>（第二次招标）</w:t>
      </w:r>
    </w:p>
    <w:p>
      <w:pPr>
        <w:spacing w:line="480" w:lineRule="auto"/>
        <w:ind w:firstLine="964" w:firstLineChars="300"/>
        <w:rPr>
          <w:rFonts w:hint="eastAsia" w:hAnsi="仿宋" w:eastAsia="仿宋"/>
          <w:b/>
          <w:bCs/>
          <w:color w:val="auto"/>
          <w:sz w:val="32"/>
          <w:highlight w:val="none"/>
          <w:lang w:eastAsia="zh-CN"/>
        </w:rPr>
      </w:pPr>
      <w:r>
        <w:rPr>
          <w:rFonts w:hAnsi="仿宋" w:eastAsia="仿宋"/>
          <w:b/>
          <w:bCs/>
          <w:color w:val="auto"/>
          <w:sz w:val="32"/>
          <w:highlight w:val="none"/>
        </w:rPr>
        <w:t>项目名称：</w:t>
      </w:r>
      <w:r>
        <w:rPr>
          <w:rFonts w:hint="eastAsia" w:hAnsi="仿宋" w:eastAsia="仿宋"/>
          <w:b/>
          <w:bCs/>
          <w:color w:val="auto"/>
          <w:sz w:val="32"/>
          <w:highlight w:val="none"/>
          <w:lang w:eastAsia="zh-CN"/>
        </w:rPr>
        <w:t>江西省消防救援总队自然灾害应急能力提升工</w:t>
      </w:r>
    </w:p>
    <w:p>
      <w:pPr>
        <w:spacing w:line="480" w:lineRule="auto"/>
        <w:ind w:firstLine="2570" w:firstLineChars="800"/>
        <w:rPr>
          <w:rFonts w:hint="eastAsia" w:eastAsia="仿宋"/>
          <w:b/>
          <w:bCs/>
          <w:color w:val="auto"/>
          <w:sz w:val="32"/>
          <w:highlight w:val="none"/>
          <w:lang w:eastAsia="zh-CN"/>
        </w:rPr>
      </w:pPr>
      <w:r>
        <w:rPr>
          <w:rFonts w:hint="eastAsia" w:hAnsi="仿宋" w:eastAsia="仿宋"/>
          <w:b/>
          <w:bCs/>
          <w:color w:val="auto"/>
          <w:sz w:val="32"/>
          <w:highlight w:val="none"/>
          <w:lang w:eastAsia="zh-CN"/>
        </w:rPr>
        <w:t>程装备配备项目（器材类）</w:t>
      </w:r>
    </w:p>
    <w:p>
      <w:pPr>
        <w:spacing w:line="480" w:lineRule="auto"/>
        <w:ind w:firstLine="964" w:firstLineChars="300"/>
        <w:rPr>
          <w:rFonts w:hint="eastAsia" w:eastAsia="仿宋"/>
          <w:b/>
          <w:bCs/>
          <w:color w:val="auto"/>
          <w:sz w:val="32"/>
          <w:highlight w:val="none"/>
          <w:lang w:eastAsia="zh-CN"/>
        </w:rPr>
      </w:pPr>
      <w:r>
        <w:rPr>
          <w:rFonts w:hAnsi="仿宋" w:eastAsia="仿宋"/>
          <w:b/>
          <w:bCs/>
          <w:color w:val="auto"/>
          <w:sz w:val="32"/>
          <w:highlight w:val="none"/>
        </w:rPr>
        <w:t>项目编号：</w:t>
      </w:r>
      <w:r>
        <w:rPr>
          <w:rFonts w:hint="eastAsia" w:eastAsia="仿宋"/>
          <w:b/>
          <w:bCs/>
          <w:color w:val="auto"/>
          <w:sz w:val="32"/>
          <w:highlight w:val="none"/>
          <w:lang w:eastAsia="zh-CN"/>
        </w:rPr>
        <w:t>JXTC2024040134</w:t>
      </w:r>
    </w:p>
    <w:p>
      <w:pPr>
        <w:spacing w:line="480" w:lineRule="auto"/>
        <w:ind w:firstLine="964" w:firstLineChars="300"/>
        <w:rPr>
          <w:rFonts w:hint="eastAsia" w:eastAsia="仿宋"/>
          <w:b/>
          <w:bCs/>
          <w:color w:val="auto"/>
          <w:sz w:val="32"/>
          <w:highlight w:val="none"/>
          <w:lang w:eastAsia="zh-CN"/>
        </w:rPr>
      </w:pPr>
    </w:p>
    <w:p>
      <w:pPr>
        <w:spacing w:line="480" w:lineRule="auto"/>
        <w:ind w:firstLine="964" w:firstLineChars="300"/>
        <w:rPr>
          <w:rFonts w:hint="eastAsia" w:eastAsia="仿宋"/>
          <w:b/>
          <w:bCs/>
          <w:color w:val="auto"/>
          <w:sz w:val="32"/>
          <w:highlight w:val="none"/>
          <w:lang w:eastAsia="zh-CN"/>
        </w:rPr>
      </w:pPr>
    </w:p>
    <w:p>
      <w:pPr>
        <w:spacing w:line="480" w:lineRule="auto"/>
        <w:rPr>
          <w:rFonts w:eastAsia="仿宋"/>
          <w:color w:val="auto"/>
          <w:sz w:val="48"/>
          <w:highlight w:val="none"/>
        </w:rPr>
      </w:pPr>
    </w:p>
    <w:p>
      <w:pPr>
        <w:spacing w:line="480" w:lineRule="auto"/>
        <w:rPr>
          <w:rFonts w:eastAsia="仿宋"/>
          <w:color w:val="auto"/>
          <w:sz w:val="48"/>
          <w:highlight w:val="none"/>
        </w:rPr>
      </w:pPr>
    </w:p>
    <w:p>
      <w:pPr>
        <w:spacing w:line="480" w:lineRule="auto"/>
        <w:jc w:val="center"/>
        <w:rPr>
          <w:rFonts w:eastAsia="仿宋"/>
          <w:b/>
          <w:color w:val="auto"/>
          <w:sz w:val="36"/>
          <w:highlight w:val="none"/>
        </w:rPr>
      </w:pPr>
      <w:r>
        <w:rPr>
          <w:rFonts w:hAnsi="仿宋" w:eastAsia="仿宋"/>
          <w:b/>
          <w:color w:val="auto"/>
          <w:sz w:val="36"/>
          <w:highlight w:val="none"/>
        </w:rPr>
        <w:t>江西省机电设备招标有限公司</w:t>
      </w:r>
    </w:p>
    <w:p>
      <w:pPr>
        <w:spacing w:line="480" w:lineRule="auto"/>
        <w:jc w:val="center"/>
        <w:rPr>
          <w:rFonts w:eastAsia="仿宋"/>
          <w:b/>
          <w:color w:val="auto"/>
          <w:sz w:val="36"/>
          <w:highlight w:val="none"/>
        </w:rPr>
      </w:pPr>
      <w:r>
        <w:rPr>
          <w:rFonts w:hAnsi="仿宋" w:eastAsia="仿宋"/>
          <w:b/>
          <w:color w:val="auto"/>
          <w:sz w:val="36"/>
          <w:highlight w:val="none"/>
        </w:rPr>
        <w:t>中国</w:t>
      </w:r>
      <w:r>
        <w:rPr>
          <w:rFonts w:eastAsia="仿宋"/>
          <w:b/>
          <w:color w:val="auto"/>
          <w:sz w:val="24"/>
          <w:highlight w:val="none"/>
        </w:rPr>
        <w:t>.</w:t>
      </w:r>
      <w:r>
        <w:rPr>
          <w:rFonts w:hAnsi="仿宋" w:eastAsia="仿宋"/>
          <w:b/>
          <w:color w:val="auto"/>
          <w:sz w:val="36"/>
          <w:highlight w:val="none"/>
        </w:rPr>
        <w:t>南昌</w:t>
      </w:r>
    </w:p>
    <w:p>
      <w:pPr>
        <w:spacing w:line="480" w:lineRule="auto"/>
        <w:jc w:val="center"/>
        <w:rPr>
          <w:rFonts w:eastAsia="仿宋"/>
          <w:b/>
          <w:color w:val="auto"/>
          <w:sz w:val="36"/>
          <w:highlight w:val="none"/>
        </w:rPr>
        <w:sectPr>
          <w:footerReference r:id="rId3" w:type="default"/>
          <w:pgSz w:w="11906" w:h="16838"/>
          <w:pgMar w:top="1247" w:right="1417" w:bottom="1702" w:left="1417" w:header="851" w:footer="992" w:gutter="0"/>
          <w:pgNumType w:start="1"/>
          <w:cols w:space="720" w:num="1"/>
          <w:titlePg/>
          <w:docGrid w:linePitch="312" w:charSpace="0"/>
        </w:sectPr>
      </w:pPr>
    </w:p>
    <w:p>
      <w:pPr>
        <w:adjustRightInd w:val="0"/>
        <w:snapToGrid w:val="0"/>
        <w:jc w:val="center"/>
        <w:rPr>
          <w:rFonts w:eastAsia="仿宋"/>
          <w:bCs/>
          <w:color w:val="auto"/>
          <w:sz w:val="44"/>
          <w:szCs w:val="44"/>
          <w:highlight w:val="none"/>
        </w:rPr>
      </w:pPr>
      <w:r>
        <w:rPr>
          <w:rFonts w:hAnsi="仿宋" w:eastAsia="仿宋"/>
          <w:bCs/>
          <w:color w:val="auto"/>
          <w:sz w:val="44"/>
          <w:szCs w:val="44"/>
          <w:highlight w:val="none"/>
        </w:rPr>
        <w:t>目录</w:t>
      </w:r>
      <w:bookmarkStart w:id="802" w:name="_GoBack"/>
      <w:bookmarkEnd w:id="802"/>
    </w:p>
    <w:p>
      <w:pPr>
        <w:pStyle w:val="26"/>
        <w:rPr>
          <w:rFonts w:ascii="Times New Roman" w:hAnsi="Times New Roman" w:eastAsia="仿宋"/>
          <w:b w:val="0"/>
          <w:bCs w:val="0"/>
          <w:color w:val="auto"/>
          <w:szCs w:val="21"/>
          <w:highlight w:val="none"/>
        </w:rPr>
      </w:pPr>
    </w:p>
    <w:p>
      <w:pPr>
        <w:pStyle w:val="26"/>
        <w:tabs>
          <w:tab w:val="right" w:leader="dot" w:pos="9072"/>
        </w:tabs>
      </w:pPr>
      <w:r>
        <w:rPr>
          <w:rFonts w:ascii="Times New Roman" w:hAnsi="Times New Roman" w:eastAsiaTheme="minorEastAsia"/>
          <w:b w:val="0"/>
          <w:bCs/>
          <w:i w:val="0"/>
          <w:iCs w:val="0"/>
          <w:color w:val="auto"/>
          <w:sz w:val="21"/>
          <w:szCs w:val="21"/>
          <w:highlight w:val="none"/>
        </w:rPr>
        <w:fldChar w:fldCharType="begin"/>
      </w:r>
      <w:r>
        <w:rPr>
          <w:rFonts w:ascii="Times New Roman" w:hAnsi="Times New Roman" w:eastAsiaTheme="minorEastAsia"/>
          <w:b w:val="0"/>
          <w:bCs/>
          <w:i w:val="0"/>
          <w:iCs w:val="0"/>
          <w:color w:val="auto"/>
          <w:sz w:val="21"/>
          <w:szCs w:val="21"/>
          <w:highlight w:val="none"/>
        </w:rPr>
        <w:instrText xml:space="preserve"> TOC \o "1-2" \h \z \u </w:instrText>
      </w:r>
      <w:r>
        <w:rPr>
          <w:rFonts w:ascii="Times New Roman" w:hAnsi="Times New Roman" w:eastAsiaTheme="minorEastAsia"/>
          <w:b w:val="0"/>
          <w:bCs/>
          <w:i w:val="0"/>
          <w:iCs w:val="0"/>
          <w:color w:val="auto"/>
          <w:sz w:val="21"/>
          <w:szCs w:val="21"/>
          <w:highlight w:val="none"/>
        </w:rPr>
        <w:fldChar w:fldCharType="separate"/>
      </w: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_Toc24889 </w:instrText>
      </w:r>
      <w:r>
        <w:rPr>
          <w:rFonts w:ascii="Times New Roman" w:hAnsi="Times New Roman" w:eastAsiaTheme="minorEastAsia"/>
          <w:bCs/>
          <w:i w:val="0"/>
          <w:iCs w:val="0"/>
          <w:szCs w:val="21"/>
          <w:highlight w:val="none"/>
        </w:rPr>
        <w:fldChar w:fldCharType="separate"/>
      </w:r>
      <w:r>
        <w:rPr>
          <w:rFonts w:ascii="Times New Roman" w:hAnsi="仿宋" w:eastAsia="仿宋"/>
          <w:highlight w:val="none"/>
        </w:rPr>
        <w:t>第一章投标邀请</w:t>
      </w:r>
      <w:r>
        <w:tab/>
      </w:r>
      <w:r>
        <w:fldChar w:fldCharType="begin"/>
      </w:r>
      <w:r>
        <w:instrText xml:space="preserve"> PAGEREF _Toc24889 \h </w:instrText>
      </w:r>
      <w:r>
        <w:fldChar w:fldCharType="separate"/>
      </w:r>
      <w:r>
        <w:t>1</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_Toc28293 </w:instrText>
      </w:r>
      <w:r>
        <w:rPr>
          <w:rFonts w:ascii="Times New Roman" w:hAnsi="Times New Roman" w:eastAsiaTheme="minorEastAsia"/>
          <w:bCs/>
          <w:i w:val="0"/>
          <w:iCs w:val="0"/>
          <w:szCs w:val="21"/>
          <w:highlight w:val="none"/>
        </w:rPr>
        <w:fldChar w:fldCharType="separate"/>
      </w:r>
      <w:r>
        <w:rPr>
          <w:rFonts w:ascii="Times New Roman" w:hAnsi="仿宋" w:eastAsia="仿宋"/>
          <w:szCs w:val="24"/>
          <w:highlight w:val="none"/>
        </w:rPr>
        <w:t>一、项目基本情况</w:t>
      </w:r>
      <w:r>
        <w:tab/>
      </w:r>
      <w:r>
        <w:fldChar w:fldCharType="begin"/>
      </w:r>
      <w:r>
        <w:instrText xml:space="preserve"> PAGEREF _Toc28293 \h </w:instrText>
      </w:r>
      <w:r>
        <w:fldChar w:fldCharType="separate"/>
      </w:r>
      <w:r>
        <w:t>1</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_Toc25689 </w:instrText>
      </w:r>
      <w:r>
        <w:rPr>
          <w:rFonts w:ascii="Times New Roman" w:hAnsi="Times New Roman" w:eastAsiaTheme="minorEastAsia"/>
          <w:bCs/>
          <w:i w:val="0"/>
          <w:iCs w:val="0"/>
          <w:szCs w:val="21"/>
          <w:highlight w:val="none"/>
        </w:rPr>
        <w:fldChar w:fldCharType="separate"/>
      </w:r>
      <w:r>
        <w:rPr>
          <w:rFonts w:ascii="Times New Roman" w:hAnsi="Times New Roman" w:eastAsia="仿宋"/>
          <w:szCs w:val="24"/>
          <w:highlight w:val="none"/>
        </w:rPr>
        <w:t>二、投标人的资格要求</w:t>
      </w:r>
      <w:r>
        <w:tab/>
      </w:r>
      <w:r>
        <w:fldChar w:fldCharType="begin"/>
      </w:r>
      <w:r>
        <w:instrText xml:space="preserve"> PAGEREF _Toc25689 \h </w:instrText>
      </w:r>
      <w:r>
        <w:fldChar w:fldCharType="separate"/>
      </w:r>
      <w:r>
        <w:t>6</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_Toc13859 </w:instrText>
      </w:r>
      <w:r>
        <w:rPr>
          <w:rFonts w:ascii="Times New Roman" w:hAnsi="Times New Roman" w:eastAsiaTheme="minorEastAsia"/>
          <w:bCs/>
          <w:i w:val="0"/>
          <w:iCs w:val="0"/>
          <w:szCs w:val="21"/>
          <w:highlight w:val="none"/>
        </w:rPr>
        <w:fldChar w:fldCharType="separate"/>
      </w:r>
      <w:r>
        <w:rPr>
          <w:rFonts w:ascii="Times New Roman" w:hAnsi="Times New Roman" w:eastAsia="仿宋"/>
          <w:szCs w:val="24"/>
          <w:highlight w:val="none"/>
        </w:rPr>
        <w:t>三、获取招标文件</w:t>
      </w:r>
      <w:r>
        <w:tab/>
      </w:r>
      <w:r>
        <w:fldChar w:fldCharType="begin"/>
      </w:r>
      <w:r>
        <w:instrText xml:space="preserve"> PAGEREF _Toc13859 \h </w:instrText>
      </w:r>
      <w:r>
        <w:fldChar w:fldCharType="separate"/>
      </w:r>
      <w:r>
        <w:t>7</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_Toc16801 </w:instrText>
      </w:r>
      <w:r>
        <w:rPr>
          <w:rFonts w:ascii="Times New Roman" w:hAnsi="Times New Roman" w:eastAsiaTheme="minorEastAsia"/>
          <w:bCs/>
          <w:i w:val="0"/>
          <w:iCs w:val="0"/>
          <w:szCs w:val="21"/>
          <w:highlight w:val="none"/>
        </w:rPr>
        <w:fldChar w:fldCharType="separate"/>
      </w:r>
      <w:r>
        <w:rPr>
          <w:rFonts w:hint="eastAsia" w:ascii="Times New Roman" w:hAnsi="Times New Roman" w:eastAsia="仿宋"/>
          <w:szCs w:val="24"/>
          <w:highlight w:val="none"/>
          <w:lang w:val="en-US" w:eastAsia="zh-CN"/>
        </w:rPr>
        <w:t>四、</w:t>
      </w:r>
      <w:r>
        <w:rPr>
          <w:rFonts w:ascii="Times New Roman" w:hAnsi="Times New Roman" w:eastAsia="仿宋"/>
          <w:szCs w:val="24"/>
          <w:highlight w:val="none"/>
        </w:rPr>
        <w:t>提交投标文件截止时间、开标时间和地点</w:t>
      </w:r>
      <w:r>
        <w:tab/>
      </w:r>
      <w:r>
        <w:fldChar w:fldCharType="begin"/>
      </w:r>
      <w:r>
        <w:instrText xml:space="preserve"> PAGEREF _Toc16801 \h </w:instrText>
      </w:r>
      <w:r>
        <w:fldChar w:fldCharType="separate"/>
      </w:r>
      <w:r>
        <w:t>7</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_Toc3205 </w:instrText>
      </w:r>
      <w:r>
        <w:rPr>
          <w:rFonts w:ascii="Times New Roman" w:hAnsi="Times New Roman" w:eastAsiaTheme="minorEastAsia"/>
          <w:bCs/>
          <w:i w:val="0"/>
          <w:iCs w:val="0"/>
          <w:szCs w:val="21"/>
          <w:highlight w:val="none"/>
        </w:rPr>
        <w:fldChar w:fldCharType="separate"/>
      </w:r>
      <w:r>
        <w:rPr>
          <w:rFonts w:ascii="Times New Roman" w:hAnsi="Times New Roman" w:eastAsia="仿宋"/>
          <w:szCs w:val="24"/>
          <w:highlight w:val="none"/>
        </w:rPr>
        <w:t>五、公告期限</w:t>
      </w:r>
      <w:r>
        <w:tab/>
      </w:r>
      <w:r>
        <w:fldChar w:fldCharType="begin"/>
      </w:r>
      <w:r>
        <w:instrText xml:space="preserve"> PAGEREF _Toc3205 \h </w:instrText>
      </w:r>
      <w:r>
        <w:fldChar w:fldCharType="separate"/>
      </w:r>
      <w:r>
        <w:t>7</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_Toc21488 </w:instrText>
      </w:r>
      <w:r>
        <w:rPr>
          <w:rFonts w:ascii="Times New Roman" w:hAnsi="Times New Roman" w:eastAsiaTheme="minorEastAsia"/>
          <w:bCs/>
          <w:i w:val="0"/>
          <w:iCs w:val="0"/>
          <w:szCs w:val="21"/>
          <w:highlight w:val="none"/>
        </w:rPr>
        <w:fldChar w:fldCharType="separate"/>
      </w:r>
      <w:r>
        <w:rPr>
          <w:rFonts w:ascii="Times New Roman" w:hAnsi="Times New Roman" w:eastAsia="仿宋"/>
          <w:szCs w:val="24"/>
          <w:highlight w:val="none"/>
        </w:rPr>
        <w:t>六、其他补充事宜</w:t>
      </w:r>
      <w:r>
        <w:tab/>
      </w:r>
      <w:r>
        <w:fldChar w:fldCharType="begin"/>
      </w:r>
      <w:r>
        <w:instrText xml:space="preserve"> PAGEREF _Toc21488 \h </w:instrText>
      </w:r>
      <w:r>
        <w:fldChar w:fldCharType="separate"/>
      </w:r>
      <w:r>
        <w:t>8</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_Toc29920 </w:instrText>
      </w:r>
      <w:r>
        <w:rPr>
          <w:rFonts w:ascii="Times New Roman" w:hAnsi="Times New Roman" w:eastAsiaTheme="minorEastAsia"/>
          <w:bCs/>
          <w:i w:val="0"/>
          <w:iCs w:val="0"/>
          <w:szCs w:val="21"/>
          <w:highlight w:val="none"/>
        </w:rPr>
        <w:fldChar w:fldCharType="separate"/>
      </w:r>
      <w:r>
        <w:rPr>
          <w:rFonts w:ascii="Times New Roman" w:hAnsi="Times New Roman" w:eastAsia="仿宋"/>
          <w:szCs w:val="24"/>
          <w:highlight w:val="none"/>
        </w:rPr>
        <w:t>七、对本次招标提出询问，请按以下方式联系</w:t>
      </w:r>
      <w:r>
        <w:tab/>
      </w:r>
      <w:r>
        <w:fldChar w:fldCharType="begin"/>
      </w:r>
      <w:r>
        <w:instrText xml:space="preserve"> PAGEREF _Toc29920 \h </w:instrText>
      </w:r>
      <w:r>
        <w:fldChar w:fldCharType="separate"/>
      </w:r>
      <w:r>
        <w:t>8</w:t>
      </w:r>
      <w:r>
        <w:fldChar w:fldCharType="end"/>
      </w:r>
      <w:r>
        <w:rPr>
          <w:rFonts w:ascii="Times New Roman" w:hAnsi="Times New Roman" w:eastAsiaTheme="minorEastAsia"/>
          <w:bCs/>
          <w:i w:val="0"/>
          <w:iCs w:val="0"/>
          <w:color w:val="auto"/>
          <w:szCs w:val="21"/>
          <w:highlight w:val="none"/>
        </w:rPr>
        <w:fldChar w:fldCharType="end"/>
      </w:r>
    </w:p>
    <w:p>
      <w:pPr>
        <w:pStyle w:val="26"/>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_Toc7725 </w:instrText>
      </w:r>
      <w:r>
        <w:rPr>
          <w:rFonts w:ascii="Times New Roman" w:hAnsi="Times New Roman" w:eastAsiaTheme="minorEastAsia"/>
          <w:bCs/>
          <w:i w:val="0"/>
          <w:iCs w:val="0"/>
          <w:szCs w:val="21"/>
          <w:highlight w:val="none"/>
        </w:rPr>
        <w:fldChar w:fldCharType="separate"/>
      </w:r>
      <w:r>
        <w:rPr>
          <w:rFonts w:ascii="Times New Roman" w:eastAsia="仿宋"/>
          <w:highlight w:val="none"/>
        </w:rPr>
        <w:t>第二章 投标人须知</w:t>
      </w:r>
      <w:r>
        <w:tab/>
      </w:r>
      <w:r>
        <w:fldChar w:fldCharType="begin"/>
      </w:r>
      <w:r>
        <w:instrText xml:space="preserve"> PAGEREF _Toc7725 \h </w:instrText>
      </w:r>
      <w:r>
        <w:fldChar w:fldCharType="separate"/>
      </w:r>
      <w:r>
        <w:t>1</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_Toc26842 </w:instrText>
      </w:r>
      <w:r>
        <w:rPr>
          <w:rFonts w:ascii="Times New Roman" w:hAnsi="Times New Roman" w:eastAsiaTheme="minorEastAsia"/>
          <w:bCs/>
          <w:i w:val="0"/>
          <w:iCs w:val="0"/>
          <w:szCs w:val="21"/>
          <w:highlight w:val="none"/>
        </w:rPr>
        <w:fldChar w:fldCharType="separate"/>
      </w:r>
      <w:r>
        <w:rPr>
          <w:rFonts w:eastAsia="仿宋"/>
          <w:bCs/>
          <w:kern w:val="0"/>
          <w:highlight w:val="none"/>
        </w:rPr>
        <w:t>一、说明</w:t>
      </w:r>
      <w:r>
        <w:tab/>
      </w:r>
      <w:r>
        <w:fldChar w:fldCharType="begin"/>
      </w:r>
      <w:r>
        <w:instrText xml:space="preserve"> PAGEREF _Toc26842 \h </w:instrText>
      </w:r>
      <w:r>
        <w:fldChar w:fldCharType="separate"/>
      </w:r>
      <w:r>
        <w:t>7</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_Toc13377 </w:instrText>
      </w:r>
      <w:r>
        <w:rPr>
          <w:rFonts w:ascii="Times New Roman" w:hAnsi="Times New Roman" w:eastAsiaTheme="minorEastAsia"/>
          <w:bCs/>
          <w:i w:val="0"/>
          <w:iCs w:val="0"/>
          <w:szCs w:val="21"/>
          <w:highlight w:val="none"/>
        </w:rPr>
        <w:fldChar w:fldCharType="separate"/>
      </w:r>
      <w:r>
        <w:rPr>
          <w:rFonts w:eastAsia="仿宋"/>
          <w:bCs/>
          <w:kern w:val="0"/>
          <w:highlight w:val="none"/>
        </w:rPr>
        <w:t>二、招标文件</w:t>
      </w:r>
      <w:r>
        <w:tab/>
      </w:r>
      <w:r>
        <w:fldChar w:fldCharType="begin"/>
      </w:r>
      <w:r>
        <w:instrText xml:space="preserve"> PAGEREF _Toc13377 \h </w:instrText>
      </w:r>
      <w:r>
        <w:fldChar w:fldCharType="separate"/>
      </w:r>
      <w:r>
        <w:t>9</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_Toc4658 </w:instrText>
      </w:r>
      <w:r>
        <w:rPr>
          <w:rFonts w:ascii="Times New Roman" w:hAnsi="Times New Roman" w:eastAsiaTheme="minorEastAsia"/>
          <w:bCs/>
          <w:i w:val="0"/>
          <w:iCs w:val="0"/>
          <w:szCs w:val="21"/>
          <w:highlight w:val="none"/>
        </w:rPr>
        <w:fldChar w:fldCharType="separate"/>
      </w:r>
      <w:r>
        <w:rPr>
          <w:rFonts w:eastAsia="仿宋"/>
          <w:bCs/>
          <w:kern w:val="0"/>
          <w:highlight w:val="none"/>
        </w:rPr>
        <w:t>三、政府采购优惠政策</w:t>
      </w:r>
      <w:r>
        <w:tab/>
      </w:r>
      <w:r>
        <w:fldChar w:fldCharType="begin"/>
      </w:r>
      <w:r>
        <w:instrText xml:space="preserve"> PAGEREF _Toc4658 \h </w:instrText>
      </w:r>
      <w:r>
        <w:fldChar w:fldCharType="separate"/>
      </w:r>
      <w:r>
        <w:t>9</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_Toc12444 </w:instrText>
      </w:r>
      <w:r>
        <w:rPr>
          <w:rFonts w:ascii="Times New Roman" w:hAnsi="Times New Roman" w:eastAsiaTheme="minorEastAsia"/>
          <w:bCs/>
          <w:i w:val="0"/>
          <w:iCs w:val="0"/>
          <w:szCs w:val="21"/>
          <w:highlight w:val="none"/>
        </w:rPr>
        <w:fldChar w:fldCharType="separate"/>
      </w:r>
      <w:r>
        <w:rPr>
          <w:rFonts w:eastAsia="仿宋"/>
          <w:bCs/>
          <w:kern w:val="0"/>
          <w:highlight w:val="none"/>
        </w:rPr>
        <w:t>四、投标文件的编制</w:t>
      </w:r>
      <w:r>
        <w:tab/>
      </w:r>
      <w:r>
        <w:fldChar w:fldCharType="begin"/>
      </w:r>
      <w:r>
        <w:instrText xml:space="preserve"> PAGEREF _Toc12444 \h </w:instrText>
      </w:r>
      <w:r>
        <w:fldChar w:fldCharType="separate"/>
      </w:r>
      <w:r>
        <w:t>11</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_Toc665 </w:instrText>
      </w:r>
      <w:r>
        <w:rPr>
          <w:rFonts w:ascii="Times New Roman" w:hAnsi="Times New Roman" w:eastAsiaTheme="minorEastAsia"/>
          <w:bCs/>
          <w:i w:val="0"/>
          <w:iCs w:val="0"/>
          <w:szCs w:val="21"/>
          <w:highlight w:val="none"/>
        </w:rPr>
        <w:fldChar w:fldCharType="separate"/>
      </w:r>
      <w:r>
        <w:rPr>
          <w:rFonts w:eastAsia="仿宋"/>
          <w:bCs/>
          <w:kern w:val="0"/>
          <w:highlight w:val="none"/>
        </w:rPr>
        <w:t>五、投标文件的递交</w:t>
      </w:r>
      <w:r>
        <w:tab/>
      </w:r>
      <w:r>
        <w:fldChar w:fldCharType="begin"/>
      </w:r>
      <w:r>
        <w:instrText xml:space="preserve"> PAGEREF _Toc665 \h </w:instrText>
      </w:r>
      <w:r>
        <w:fldChar w:fldCharType="separate"/>
      </w:r>
      <w:r>
        <w:t>12</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_Toc17188 </w:instrText>
      </w:r>
      <w:r>
        <w:rPr>
          <w:rFonts w:ascii="Times New Roman" w:hAnsi="Times New Roman" w:eastAsiaTheme="minorEastAsia"/>
          <w:bCs/>
          <w:i w:val="0"/>
          <w:iCs w:val="0"/>
          <w:szCs w:val="21"/>
          <w:highlight w:val="none"/>
        </w:rPr>
        <w:fldChar w:fldCharType="separate"/>
      </w:r>
      <w:r>
        <w:rPr>
          <w:rFonts w:eastAsia="仿宋"/>
          <w:bCs/>
          <w:kern w:val="0"/>
          <w:highlight w:val="none"/>
        </w:rPr>
        <w:t>六、开标</w:t>
      </w:r>
      <w:r>
        <w:tab/>
      </w:r>
      <w:r>
        <w:fldChar w:fldCharType="begin"/>
      </w:r>
      <w:r>
        <w:instrText xml:space="preserve"> PAGEREF _Toc17188 \h </w:instrText>
      </w:r>
      <w:r>
        <w:fldChar w:fldCharType="separate"/>
      </w:r>
      <w:r>
        <w:t>13</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_Toc25451 </w:instrText>
      </w:r>
      <w:r>
        <w:rPr>
          <w:rFonts w:ascii="Times New Roman" w:hAnsi="Times New Roman" w:eastAsiaTheme="minorEastAsia"/>
          <w:bCs/>
          <w:i w:val="0"/>
          <w:iCs w:val="0"/>
          <w:szCs w:val="21"/>
          <w:highlight w:val="none"/>
        </w:rPr>
        <w:fldChar w:fldCharType="separate"/>
      </w:r>
      <w:r>
        <w:rPr>
          <w:rFonts w:eastAsia="仿宋"/>
          <w:bCs/>
          <w:kern w:val="0"/>
          <w:highlight w:val="none"/>
        </w:rPr>
        <w:t>七、评审原则及程序</w:t>
      </w:r>
      <w:r>
        <w:tab/>
      </w:r>
      <w:r>
        <w:fldChar w:fldCharType="begin"/>
      </w:r>
      <w:r>
        <w:instrText xml:space="preserve"> PAGEREF _Toc25451 \h </w:instrText>
      </w:r>
      <w:r>
        <w:fldChar w:fldCharType="separate"/>
      </w:r>
      <w:r>
        <w:t>14</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_Toc3214 </w:instrText>
      </w:r>
      <w:r>
        <w:rPr>
          <w:rFonts w:ascii="Times New Roman" w:hAnsi="Times New Roman" w:eastAsiaTheme="minorEastAsia"/>
          <w:bCs/>
          <w:i w:val="0"/>
          <w:iCs w:val="0"/>
          <w:szCs w:val="21"/>
          <w:highlight w:val="none"/>
        </w:rPr>
        <w:fldChar w:fldCharType="separate"/>
      </w:r>
      <w:r>
        <w:rPr>
          <w:rFonts w:eastAsia="仿宋"/>
          <w:bCs/>
          <w:kern w:val="0"/>
          <w:highlight w:val="none"/>
        </w:rPr>
        <w:t>八、中标人的确定</w:t>
      </w:r>
      <w:r>
        <w:tab/>
      </w:r>
      <w:r>
        <w:fldChar w:fldCharType="begin"/>
      </w:r>
      <w:r>
        <w:instrText xml:space="preserve"> PAGEREF _Toc3214 \h </w:instrText>
      </w:r>
      <w:r>
        <w:fldChar w:fldCharType="separate"/>
      </w:r>
      <w:r>
        <w:t>15</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_Toc9262 </w:instrText>
      </w:r>
      <w:r>
        <w:rPr>
          <w:rFonts w:ascii="Times New Roman" w:hAnsi="Times New Roman" w:eastAsiaTheme="minorEastAsia"/>
          <w:bCs/>
          <w:i w:val="0"/>
          <w:iCs w:val="0"/>
          <w:szCs w:val="21"/>
          <w:highlight w:val="none"/>
        </w:rPr>
        <w:fldChar w:fldCharType="separate"/>
      </w:r>
      <w:r>
        <w:rPr>
          <w:rFonts w:eastAsia="仿宋"/>
          <w:bCs/>
          <w:kern w:val="0"/>
          <w:highlight w:val="none"/>
        </w:rPr>
        <w:t>九、中标结果公告</w:t>
      </w:r>
      <w:r>
        <w:tab/>
      </w:r>
      <w:r>
        <w:fldChar w:fldCharType="begin"/>
      </w:r>
      <w:r>
        <w:instrText xml:space="preserve"> PAGEREF _Toc9262 \h </w:instrText>
      </w:r>
      <w:r>
        <w:fldChar w:fldCharType="separate"/>
      </w:r>
      <w:r>
        <w:t>16</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_Toc20834 </w:instrText>
      </w:r>
      <w:r>
        <w:rPr>
          <w:rFonts w:ascii="Times New Roman" w:hAnsi="Times New Roman" w:eastAsiaTheme="minorEastAsia"/>
          <w:bCs/>
          <w:i w:val="0"/>
          <w:iCs w:val="0"/>
          <w:szCs w:val="21"/>
          <w:highlight w:val="none"/>
        </w:rPr>
        <w:fldChar w:fldCharType="separate"/>
      </w:r>
      <w:r>
        <w:rPr>
          <w:rFonts w:eastAsia="仿宋"/>
          <w:bCs/>
          <w:kern w:val="0"/>
          <w:highlight w:val="none"/>
        </w:rPr>
        <w:t>十、中标通知</w:t>
      </w:r>
      <w:r>
        <w:tab/>
      </w:r>
      <w:r>
        <w:fldChar w:fldCharType="begin"/>
      </w:r>
      <w:r>
        <w:instrText xml:space="preserve"> PAGEREF _Toc20834 \h </w:instrText>
      </w:r>
      <w:r>
        <w:fldChar w:fldCharType="separate"/>
      </w:r>
      <w:r>
        <w:t>16</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_Toc9724 </w:instrText>
      </w:r>
      <w:r>
        <w:rPr>
          <w:rFonts w:ascii="Times New Roman" w:hAnsi="Times New Roman" w:eastAsiaTheme="minorEastAsia"/>
          <w:bCs/>
          <w:i w:val="0"/>
          <w:iCs w:val="0"/>
          <w:szCs w:val="21"/>
          <w:highlight w:val="none"/>
        </w:rPr>
        <w:fldChar w:fldCharType="separate"/>
      </w:r>
      <w:r>
        <w:rPr>
          <w:rFonts w:eastAsia="仿宋"/>
          <w:bCs/>
          <w:kern w:val="0"/>
          <w:highlight w:val="none"/>
        </w:rPr>
        <w:t>十一、签订合同</w:t>
      </w:r>
      <w:r>
        <w:tab/>
      </w:r>
      <w:r>
        <w:fldChar w:fldCharType="begin"/>
      </w:r>
      <w:r>
        <w:instrText xml:space="preserve"> PAGEREF _Toc9724 \h </w:instrText>
      </w:r>
      <w:r>
        <w:fldChar w:fldCharType="separate"/>
      </w:r>
      <w:r>
        <w:t>16</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_Toc10812 </w:instrText>
      </w:r>
      <w:r>
        <w:rPr>
          <w:rFonts w:ascii="Times New Roman" w:hAnsi="Times New Roman" w:eastAsiaTheme="minorEastAsia"/>
          <w:bCs/>
          <w:i w:val="0"/>
          <w:iCs w:val="0"/>
          <w:szCs w:val="21"/>
          <w:highlight w:val="none"/>
        </w:rPr>
        <w:fldChar w:fldCharType="separate"/>
      </w:r>
      <w:r>
        <w:rPr>
          <w:rFonts w:eastAsia="仿宋"/>
          <w:bCs/>
          <w:kern w:val="0"/>
          <w:highlight w:val="none"/>
        </w:rPr>
        <w:t>十二、询问、质疑和投诉</w:t>
      </w:r>
      <w:r>
        <w:tab/>
      </w:r>
      <w:r>
        <w:fldChar w:fldCharType="begin"/>
      </w:r>
      <w:r>
        <w:instrText xml:space="preserve"> PAGEREF _Toc10812 \h </w:instrText>
      </w:r>
      <w:r>
        <w:fldChar w:fldCharType="separate"/>
      </w:r>
      <w:r>
        <w:t>16</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_Toc4931 </w:instrText>
      </w:r>
      <w:r>
        <w:rPr>
          <w:rFonts w:ascii="Times New Roman" w:hAnsi="Times New Roman" w:eastAsiaTheme="minorEastAsia"/>
          <w:bCs/>
          <w:i w:val="0"/>
          <w:iCs w:val="0"/>
          <w:szCs w:val="21"/>
          <w:highlight w:val="none"/>
        </w:rPr>
        <w:fldChar w:fldCharType="separate"/>
      </w:r>
      <w:r>
        <w:rPr>
          <w:rFonts w:eastAsia="仿宋"/>
          <w:bCs/>
          <w:kern w:val="0"/>
          <w:highlight w:val="none"/>
        </w:rPr>
        <w:t>十三、其他事项</w:t>
      </w:r>
      <w:r>
        <w:tab/>
      </w:r>
      <w:r>
        <w:fldChar w:fldCharType="begin"/>
      </w:r>
      <w:r>
        <w:instrText xml:space="preserve"> PAGEREF _Toc4931 \h </w:instrText>
      </w:r>
      <w:r>
        <w:fldChar w:fldCharType="separate"/>
      </w:r>
      <w:r>
        <w:t>18</w:t>
      </w:r>
      <w:r>
        <w:fldChar w:fldCharType="end"/>
      </w:r>
      <w:r>
        <w:rPr>
          <w:rFonts w:ascii="Times New Roman" w:hAnsi="Times New Roman" w:eastAsiaTheme="minorEastAsia"/>
          <w:bCs/>
          <w:i w:val="0"/>
          <w:iCs w:val="0"/>
          <w:color w:val="auto"/>
          <w:szCs w:val="21"/>
          <w:highlight w:val="none"/>
        </w:rPr>
        <w:fldChar w:fldCharType="end"/>
      </w:r>
    </w:p>
    <w:p>
      <w:pPr>
        <w:pStyle w:val="26"/>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_Toc17164 </w:instrText>
      </w:r>
      <w:r>
        <w:rPr>
          <w:rFonts w:ascii="Times New Roman" w:hAnsi="Times New Roman" w:eastAsiaTheme="minorEastAsia"/>
          <w:bCs/>
          <w:i w:val="0"/>
          <w:iCs w:val="0"/>
          <w:szCs w:val="21"/>
          <w:highlight w:val="none"/>
        </w:rPr>
        <w:fldChar w:fldCharType="separate"/>
      </w:r>
      <w:r>
        <w:rPr>
          <w:rFonts w:ascii="Times New Roman" w:eastAsia="仿宋"/>
          <w:bCs/>
          <w:kern w:val="44"/>
          <w:szCs w:val="44"/>
          <w:highlight w:val="none"/>
        </w:rPr>
        <w:t>第三章 合同文本</w:t>
      </w:r>
      <w:r>
        <w:tab/>
      </w:r>
      <w:r>
        <w:fldChar w:fldCharType="begin"/>
      </w:r>
      <w:r>
        <w:instrText xml:space="preserve"> PAGEREF _Toc17164 \h </w:instrText>
      </w:r>
      <w:r>
        <w:fldChar w:fldCharType="separate"/>
      </w:r>
      <w:r>
        <w:t>19</w:t>
      </w:r>
      <w:r>
        <w:fldChar w:fldCharType="end"/>
      </w:r>
      <w:r>
        <w:rPr>
          <w:rFonts w:ascii="Times New Roman" w:hAnsi="Times New Roman" w:eastAsiaTheme="minorEastAsia"/>
          <w:bCs/>
          <w:i w:val="0"/>
          <w:iCs w:val="0"/>
          <w:color w:val="auto"/>
          <w:szCs w:val="21"/>
          <w:highlight w:val="none"/>
        </w:rPr>
        <w:fldChar w:fldCharType="end"/>
      </w:r>
    </w:p>
    <w:p>
      <w:pPr>
        <w:pStyle w:val="26"/>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_Toc20096 </w:instrText>
      </w:r>
      <w:r>
        <w:rPr>
          <w:rFonts w:ascii="Times New Roman" w:hAnsi="Times New Roman" w:eastAsiaTheme="minorEastAsia"/>
          <w:bCs/>
          <w:i w:val="0"/>
          <w:iCs w:val="0"/>
          <w:szCs w:val="21"/>
          <w:highlight w:val="none"/>
        </w:rPr>
        <w:fldChar w:fldCharType="separate"/>
      </w:r>
      <w:r>
        <w:rPr>
          <w:rFonts w:ascii="Times New Roman" w:eastAsia="仿宋"/>
          <w:highlight w:val="none"/>
        </w:rPr>
        <w:t>第四章 投标文件格式</w:t>
      </w:r>
      <w:r>
        <w:tab/>
      </w:r>
      <w:r>
        <w:fldChar w:fldCharType="begin"/>
      </w:r>
      <w:r>
        <w:instrText xml:space="preserve"> PAGEREF _Toc20096 \h </w:instrText>
      </w:r>
      <w:r>
        <w:fldChar w:fldCharType="separate"/>
      </w:r>
      <w:r>
        <w:t>34</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_Toc2405 </w:instrText>
      </w:r>
      <w:r>
        <w:rPr>
          <w:rFonts w:ascii="Times New Roman" w:hAnsi="Times New Roman" w:eastAsiaTheme="minorEastAsia"/>
          <w:bCs/>
          <w:i w:val="0"/>
          <w:iCs w:val="0"/>
          <w:szCs w:val="21"/>
          <w:highlight w:val="none"/>
        </w:rPr>
        <w:fldChar w:fldCharType="separate"/>
      </w:r>
      <w:r>
        <w:rPr>
          <w:rFonts w:eastAsia="仿宋"/>
          <w:bCs/>
          <w:snapToGrid w:val="0"/>
          <w:kern w:val="0"/>
          <w:szCs w:val="28"/>
          <w:highlight w:val="none"/>
        </w:rPr>
        <w:t>一、投标书</w:t>
      </w:r>
      <w:r>
        <w:tab/>
      </w:r>
      <w:r>
        <w:fldChar w:fldCharType="begin"/>
      </w:r>
      <w:r>
        <w:instrText xml:space="preserve"> PAGEREF _Toc2405 \h </w:instrText>
      </w:r>
      <w:r>
        <w:fldChar w:fldCharType="separate"/>
      </w:r>
      <w:r>
        <w:t>34</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_Toc30692 </w:instrText>
      </w:r>
      <w:r>
        <w:rPr>
          <w:rFonts w:ascii="Times New Roman" w:hAnsi="Times New Roman" w:eastAsiaTheme="minorEastAsia"/>
          <w:bCs/>
          <w:i w:val="0"/>
          <w:iCs w:val="0"/>
          <w:szCs w:val="21"/>
          <w:highlight w:val="none"/>
        </w:rPr>
        <w:fldChar w:fldCharType="separate"/>
      </w:r>
      <w:r>
        <w:rPr>
          <w:rFonts w:eastAsia="仿宋"/>
          <w:bCs/>
          <w:snapToGrid w:val="0"/>
          <w:kern w:val="0"/>
          <w:szCs w:val="28"/>
          <w:highlight w:val="none"/>
        </w:rPr>
        <w:t>二、开标一览表</w:t>
      </w:r>
      <w:r>
        <w:tab/>
      </w:r>
      <w:r>
        <w:fldChar w:fldCharType="begin"/>
      </w:r>
      <w:r>
        <w:instrText xml:space="preserve"> PAGEREF _Toc30692 \h </w:instrText>
      </w:r>
      <w:r>
        <w:fldChar w:fldCharType="separate"/>
      </w:r>
      <w:r>
        <w:t>35</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_Toc27154 </w:instrText>
      </w:r>
      <w:r>
        <w:rPr>
          <w:rFonts w:ascii="Times New Roman" w:hAnsi="Times New Roman" w:eastAsiaTheme="minorEastAsia"/>
          <w:bCs/>
          <w:i w:val="0"/>
          <w:iCs w:val="0"/>
          <w:szCs w:val="21"/>
          <w:highlight w:val="none"/>
        </w:rPr>
        <w:fldChar w:fldCharType="separate"/>
      </w:r>
      <w:r>
        <w:rPr>
          <w:rFonts w:eastAsia="仿宋"/>
          <w:bCs/>
          <w:snapToGrid w:val="0"/>
          <w:kern w:val="0"/>
          <w:szCs w:val="28"/>
          <w:highlight w:val="none"/>
        </w:rPr>
        <w:t>三、开标一览表明细</w:t>
      </w:r>
      <w:r>
        <w:tab/>
      </w:r>
      <w:r>
        <w:fldChar w:fldCharType="begin"/>
      </w:r>
      <w:r>
        <w:instrText xml:space="preserve"> PAGEREF _Toc27154 \h </w:instrText>
      </w:r>
      <w:r>
        <w:fldChar w:fldCharType="separate"/>
      </w:r>
      <w:r>
        <w:t>36</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_Toc18685 </w:instrText>
      </w:r>
      <w:r>
        <w:rPr>
          <w:rFonts w:ascii="Times New Roman" w:hAnsi="Times New Roman" w:eastAsiaTheme="minorEastAsia"/>
          <w:bCs/>
          <w:i w:val="0"/>
          <w:iCs w:val="0"/>
          <w:szCs w:val="21"/>
          <w:highlight w:val="none"/>
        </w:rPr>
        <w:fldChar w:fldCharType="separate"/>
      </w:r>
      <w:r>
        <w:rPr>
          <w:rFonts w:eastAsia="仿宋"/>
          <w:bCs/>
          <w:snapToGrid w:val="0"/>
          <w:kern w:val="0"/>
          <w:szCs w:val="28"/>
          <w:highlight w:val="none"/>
        </w:rPr>
        <w:t>四、技术条款响应表</w:t>
      </w:r>
      <w:r>
        <w:tab/>
      </w:r>
      <w:r>
        <w:fldChar w:fldCharType="begin"/>
      </w:r>
      <w:r>
        <w:instrText xml:space="preserve"> PAGEREF _Toc18685 \h </w:instrText>
      </w:r>
      <w:r>
        <w:fldChar w:fldCharType="separate"/>
      </w:r>
      <w:r>
        <w:t>37</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_Toc140 </w:instrText>
      </w:r>
      <w:r>
        <w:rPr>
          <w:rFonts w:ascii="Times New Roman" w:hAnsi="Times New Roman" w:eastAsiaTheme="minorEastAsia"/>
          <w:bCs/>
          <w:i w:val="0"/>
          <w:iCs w:val="0"/>
          <w:szCs w:val="21"/>
          <w:highlight w:val="none"/>
        </w:rPr>
        <w:fldChar w:fldCharType="separate"/>
      </w:r>
      <w:r>
        <w:rPr>
          <w:rFonts w:eastAsia="仿宋"/>
          <w:bCs/>
          <w:snapToGrid w:val="0"/>
          <w:kern w:val="0"/>
          <w:szCs w:val="28"/>
          <w:highlight w:val="none"/>
        </w:rPr>
        <w:t>五、商务条款响应表</w:t>
      </w:r>
      <w:r>
        <w:tab/>
      </w:r>
      <w:r>
        <w:fldChar w:fldCharType="begin"/>
      </w:r>
      <w:r>
        <w:instrText xml:space="preserve"> PAGEREF _Toc140 \h </w:instrText>
      </w:r>
      <w:r>
        <w:fldChar w:fldCharType="separate"/>
      </w:r>
      <w:r>
        <w:t>38</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_Toc16096 </w:instrText>
      </w:r>
      <w:r>
        <w:rPr>
          <w:rFonts w:ascii="Times New Roman" w:hAnsi="Times New Roman" w:eastAsiaTheme="minorEastAsia"/>
          <w:bCs/>
          <w:i w:val="0"/>
          <w:iCs w:val="0"/>
          <w:szCs w:val="21"/>
          <w:highlight w:val="none"/>
        </w:rPr>
        <w:fldChar w:fldCharType="separate"/>
      </w:r>
      <w:r>
        <w:rPr>
          <w:rFonts w:eastAsia="仿宋"/>
          <w:bCs/>
          <w:snapToGrid w:val="0"/>
          <w:kern w:val="0"/>
          <w:szCs w:val="28"/>
          <w:highlight w:val="none"/>
        </w:rPr>
        <w:t>六、关于资格的声明函</w:t>
      </w:r>
      <w:r>
        <w:tab/>
      </w:r>
      <w:r>
        <w:fldChar w:fldCharType="begin"/>
      </w:r>
      <w:r>
        <w:instrText xml:space="preserve"> PAGEREF _Toc16096 \h </w:instrText>
      </w:r>
      <w:r>
        <w:fldChar w:fldCharType="separate"/>
      </w:r>
      <w:r>
        <w:t>39</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_Toc28432 </w:instrText>
      </w:r>
      <w:r>
        <w:rPr>
          <w:rFonts w:ascii="Times New Roman" w:hAnsi="Times New Roman" w:eastAsiaTheme="minorEastAsia"/>
          <w:bCs/>
          <w:i w:val="0"/>
          <w:iCs w:val="0"/>
          <w:szCs w:val="21"/>
          <w:highlight w:val="none"/>
        </w:rPr>
        <w:fldChar w:fldCharType="separate"/>
      </w:r>
      <w:r>
        <w:rPr>
          <w:rFonts w:eastAsia="仿宋"/>
          <w:bCs/>
          <w:snapToGrid w:val="0"/>
          <w:kern w:val="0"/>
          <w:szCs w:val="28"/>
          <w:highlight w:val="none"/>
        </w:rPr>
        <w:t>七、法定代表人授权书</w:t>
      </w:r>
      <w:r>
        <w:tab/>
      </w:r>
      <w:r>
        <w:fldChar w:fldCharType="begin"/>
      </w:r>
      <w:r>
        <w:instrText xml:space="preserve"> PAGEREF _Toc28432 \h </w:instrText>
      </w:r>
      <w:r>
        <w:fldChar w:fldCharType="separate"/>
      </w:r>
      <w:r>
        <w:t>40</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_Toc3686 </w:instrText>
      </w:r>
      <w:r>
        <w:rPr>
          <w:rFonts w:ascii="Times New Roman" w:hAnsi="Times New Roman" w:eastAsiaTheme="minorEastAsia"/>
          <w:bCs/>
          <w:i w:val="0"/>
          <w:iCs w:val="0"/>
          <w:szCs w:val="21"/>
          <w:highlight w:val="none"/>
        </w:rPr>
        <w:fldChar w:fldCharType="separate"/>
      </w:r>
      <w:r>
        <w:rPr>
          <w:rFonts w:eastAsia="仿宋"/>
          <w:bCs/>
          <w:snapToGrid w:val="0"/>
          <w:kern w:val="0"/>
          <w:szCs w:val="28"/>
          <w:highlight w:val="none"/>
        </w:rPr>
        <w:t>八、资格证明文件</w:t>
      </w:r>
      <w:r>
        <w:tab/>
      </w:r>
      <w:r>
        <w:fldChar w:fldCharType="begin"/>
      </w:r>
      <w:r>
        <w:instrText xml:space="preserve"> PAGEREF _Toc3686 \h </w:instrText>
      </w:r>
      <w:r>
        <w:fldChar w:fldCharType="separate"/>
      </w:r>
      <w:r>
        <w:t>41</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_Toc3168 </w:instrText>
      </w:r>
      <w:r>
        <w:rPr>
          <w:rFonts w:ascii="Times New Roman" w:hAnsi="Times New Roman" w:eastAsiaTheme="minorEastAsia"/>
          <w:bCs/>
          <w:i w:val="0"/>
          <w:iCs w:val="0"/>
          <w:szCs w:val="21"/>
          <w:highlight w:val="none"/>
        </w:rPr>
        <w:fldChar w:fldCharType="separate"/>
      </w:r>
      <w:r>
        <w:rPr>
          <w:rFonts w:eastAsia="仿宋"/>
          <w:bCs/>
          <w:snapToGrid w:val="0"/>
          <w:kern w:val="0"/>
          <w:szCs w:val="28"/>
          <w:highlight w:val="none"/>
        </w:rPr>
        <w:t>九、提供投标保证金的证明材料</w:t>
      </w:r>
      <w:r>
        <w:tab/>
      </w:r>
      <w:r>
        <w:fldChar w:fldCharType="begin"/>
      </w:r>
      <w:r>
        <w:instrText xml:space="preserve"> PAGEREF _Toc3168 \h </w:instrText>
      </w:r>
      <w:r>
        <w:fldChar w:fldCharType="separate"/>
      </w:r>
      <w:r>
        <w:t>43</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_Toc31602 </w:instrText>
      </w:r>
      <w:r>
        <w:rPr>
          <w:rFonts w:ascii="Times New Roman" w:hAnsi="Times New Roman" w:eastAsiaTheme="minorEastAsia"/>
          <w:bCs/>
          <w:i w:val="0"/>
          <w:iCs w:val="0"/>
          <w:szCs w:val="21"/>
          <w:highlight w:val="none"/>
        </w:rPr>
        <w:fldChar w:fldCharType="separate"/>
      </w:r>
      <w:r>
        <w:rPr>
          <w:rFonts w:eastAsia="仿宋"/>
          <w:bCs/>
          <w:snapToGrid w:val="0"/>
          <w:kern w:val="0"/>
          <w:szCs w:val="28"/>
          <w:highlight w:val="none"/>
        </w:rPr>
        <w:t>十、投标货物技术文件及其他材料</w:t>
      </w:r>
      <w:r>
        <w:tab/>
      </w:r>
      <w:r>
        <w:fldChar w:fldCharType="begin"/>
      </w:r>
      <w:r>
        <w:instrText xml:space="preserve"> PAGEREF _Toc31602 \h </w:instrText>
      </w:r>
      <w:r>
        <w:fldChar w:fldCharType="separate"/>
      </w:r>
      <w:r>
        <w:t>43</w:t>
      </w:r>
      <w:r>
        <w:fldChar w:fldCharType="end"/>
      </w:r>
      <w:r>
        <w:rPr>
          <w:rFonts w:ascii="Times New Roman" w:hAnsi="Times New Roman" w:eastAsiaTheme="minorEastAsia"/>
          <w:bCs/>
          <w:i w:val="0"/>
          <w:iCs w:val="0"/>
          <w:color w:val="auto"/>
          <w:szCs w:val="21"/>
          <w:highlight w:val="none"/>
        </w:rPr>
        <w:fldChar w:fldCharType="end"/>
      </w:r>
    </w:p>
    <w:p>
      <w:pPr>
        <w:pStyle w:val="26"/>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_Toc15467 </w:instrText>
      </w:r>
      <w:r>
        <w:rPr>
          <w:rFonts w:ascii="Times New Roman" w:hAnsi="Times New Roman" w:eastAsiaTheme="minorEastAsia"/>
          <w:bCs/>
          <w:i w:val="0"/>
          <w:iCs w:val="0"/>
          <w:szCs w:val="21"/>
          <w:highlight w:val="none"/>
        </w:rPr>
        <w:fldChar w:fldCharType="separate"/>
      </w:r>
      <w:r>
        <w:rPr>
          <w:rFonts w:ascii="Times New Roman" w:eastAsia="仿宋"/>
          <w:highlight w:val="none"/>
        </w:rPr>
        <w:t>第五章　货物需求表及采购需求</w:t>
      </w:r>
      <w:r>
        <w:tab/>
      </w:r>
      <w:r>
        <w:fldChar w:fldCharType="begin"/>
      </w:r>
      <w:r>
        <w:instrText xml:space="preserve"> PAGEREF _Toc15467 \h </w:instrText>
      </w:r>
      <w:r>
        <w:fldChar w:fldCharType="separate"/>
      </w:r>
      <w:r>
        <w:t>51</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_Toc13156 </w:instrText>
      </w:r>
      <w:r>
        <w:rPr>
          <w:rFonts w:ascii="Times New Roman" w:hAnsi="Times New Roman" w:eastAsiaTheme="minorEastAsia"/>
          <w:bCs/>
          <w:i w:val="0"/>
          <w:iCs w:val="0"/>
          <w:szCs w:val="21"/>
          <w:highlight w:val="none"/>
        </w:rPr>
        <w:fldChar w:fldCharType="separate"/>
      </w:r>
      <w:r>
        <w:rPr>
          <w:rFonts w:ascii="Times New Roman" w:hAnsi="Times New Roman" w:eastAsia="仿宋"/>
          <w:highlight w:val="none"/>
        </w:rPr>
        <w:t>一、货物需求表</w:t>
      </w:r>
      <w:r>
        <w:tab/>
      </w:r>
      <w:r>
        <w:fldChar w:fldCharType="begin"/>
      </w:r>
      <w:r>
        <w:instrText xml:space="preserve"> PAGEREF _Toc13156 \h </w:instrText>
      </w:r>
      <w:r>
        <w:fldChar w:fldCharType="separate"/>
      </w:r>
      <w:r>
        <w:t>51</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_Toc13180 </w:instrText>
      </w:r>
      <w:r>
        <w:rPr>
          <w:rFonts w:ascii="Times New Roman" w:hAnsi="Times New Roman" w:eastAsiaTheme="minorEastAsia"/>
          <w:bCs/>
          <w:i w:val="0"/>
          <w:iCs w:val="0"/>
          <w:szCs w:val="21"/>
          <w:highlight w:val="none"/>
        </w:rPr>
        <w:fldChar w:fldCharType="separate"/>
      </w:r>
      <w:r>
        <w:rPr>
          <w:rFonts w:ascii="Times New Roman" w:hAnsi="Times New Roman" w:eastAsia="仿宋"/>
          <w:highlight w:val="none"/>
        </w:rPr>
        <w:t>二、采购需求</w:t>
      </w:r>
      <w:r>
        <w:tab/>
      </w:r>
      <w:r>
        <w:fldChar w:fldCharType="begin"/>
      </w:r>
      <w:r>
        <w:instrText xml:space="preserve"> PAGEREF _Toc13180 \h </w:instrText>
      </w:r>
      <w:r>
        <w:fldChar w:fldCharType="separate"/>
      </w:r>
      <w:r>
        <w:t>52</w:t>
      </w:r>
      <w:r>
        <w:fldChar w:fldCharType="end"/>
      </w:r>
      <w:r>
        <w:rPr>
          <w:rFonts w:ascii="Times New Roman" w:hAnsi="Times New Roman" w:eastAsiaTheme="minorEastAsia"/>
          <w:bCs/>
          <w:i w:val="0"/>
          <w:iCs w:val="0"/>
          <w:color w:val="auto"/>
          <w:szCs w:val="21"/>
          <w:highlight w:val="none"/>
        </w:rPr>
        <w:fldChar w:fldCharType="end"/>
      </w:r>
    </w:p>
    <w:p>
      <w:pPr>
        <w:pStyle w:val="26"/>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_Toc3104 </w:instrText>
      </w:r>
      <w:r>
        <w:rPr>
          <w:rFonts w:ascii="Times New Roman" w:hAnsi="Times New Roman" w:eastAsiaTheme="minorEastAsia"/>
          <w:bCs/>
          <w:i w:val="0"/>
          <w:iCs w:val="0"/>
          <w:szCs w:val="21"/>
          <w:highlight w:val="none"/>
        </w:rPr>
        <w:fldChar w:fldCharType="separate"/>
      </w:r>
      <w:r>
        <w:rPr>
          <w:rFonts w:ascii="Times New Roman" w:eastAsia="仿宋"/>
          <w:bCs/>
          <w:szCs w:val="24"/>
          <w:highlight w:val="none"/>
        </w:rPr>
        <w:t>（一）技术要求</w:t>
      </w:r>
      <w:r>
        <w:tab/>
      </w:r>
      <w:r>
        <w:fldChar w:fldCharType="begin"/>
      </w:r>
      <w:r>
        <w:instrText xml:space="preserve"> PAGEREF _Toc3104 \h </w:instrText>
      </w:r>
      <w:r>
        <w:fldChar w:fldCharType="separate"/>
      </w:r>
      <w:r>
        <w:t>52</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_Toc8093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bCs/>
          <w:szCs w:val="24"/>
          <w:highlight w:val="none"/>
          <w:lang w:val="en-US" w:eastAsia="zh-CN"/>
        </w:rPr>
        <w:t>02包：音频生命探测仪</w:t>
      </w:r>
      <w:r>
        <w:tab/>
      </w:r>
      <w:r>
        <w:fldChar w:fldCharType="begin"/>
      </w:r>
      <w:r>
        <w:instrText xml:space="preserve"> PAGEREF _Toc8093 \h </w:instrText>
      </w:r>
      <w:r>
        <w:fldChar w:fldCharType="separate"/>
      </w:r>
      <w:r>
        <w:t>52</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_Toc21589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bCs/>
          <w:szCs w:val="24"/>
          <w:highlight w:val="none"/>
          <w:lang w:val="en-US" w:eastAsia="zh-CN"/>
        </w:rPr>
        <w:t>10包：现场空气监测仪、测温仪【核心产品】、水质分析仪、电子气象仪</w:t>
      </w:r>
      <w:r>
        <w:tab/>
      </w:r>
      <w:r>
        <w:fldChar w:fldCharType="begin"/>
      </w:r>
      <w:r>
        <w:instrText xml:space="preserve"> PAGEREF _Toc21589 \h </w:instrText>
      </w:r>
      <w:r>
        <w:fldChar w:fldCharType="separate"/>
      </w:r>
      <w:r>
        <w:t>52</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_Toc21072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bCs/>
          <w:szCs w:val="24"/>
          <w:highlight w:val="none"/>
          <w:lang w:val="en-US" w:eastAsia="zh-CN"/>
        </w:rPr>
        <w:t>12包：便携式流速仪【核心产品】、水深探测仪、水温仪</w:t>
      </w:r>
      <w:r>
        <w:tab/>
      </w:r>
      <w:r>
        <w:fldChar w:fldCharType="begin"/>
      </w:r>
      <w:r>
        <w:instrText xml:space="preserve"> PAGEREF _Toc21072 \h </w:instrText>
      </w:r>
      <w:r>
        <w:fldChar w:fldCharType="separate"/>
      </w:r>
      <w:r>
        <w:t>54</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_Toc1764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bCs/>
          <w:szCs w:val="24"/>
          <w:highlight w:val="none"/>
          <w:lang w:val="en-US" w:eastAsia="zh-CN"/>
        </w:rPr>
        <w:t>13包：机动链锯【核心产品】、电动链锯</w:t>
      </w:r>
      <w:r>
        <w:tab/>
      </w:r>
      <w:r>
        <w:fldChar w:fldCharType="begin"/>
      </w:r>
      <w:r>
        <w:instrText xml:space="preserve"> PAGEREF _Toc1764 \h </w:instrText>
      </w:r>
      <w:r>
        <w:fldChar w:fldCharType="separate"/>
      </w:r>
      <w:r>
        <w:t>56</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_Toc5325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bCs/>
          <w:szCs w:val="24"/>
          <w:highlight w:val="none"/>
          <w:lang w:val="en-US" w:eastAsia="zh-CN"/>
        </w:rPr>
        <w:t>17包：绳锯</w:t>
      </w:r>
      <w:r>
        <w:tab/>
      </w:r>
      <w:r>
        <w:fldChar w:fldCharType="begin"/>
      </w:r>
      <w:r>
        <w:instrText xml:space="preserve"> PAGEREF _Toc5325 \h </w:instrText>
      </w:r>
      <w:r>
        <w:fldChar w:fldCharType="separate"/>
      </w:r>
      <w:r>
        <w:t>57</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_Toc662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bCs/>
          <w:szCs w:val="24"/>
          <w:highlight w:val="none"/>
          <w:lang w:val="en-US" w:eastAsia="zh-CN"/>
        </w:rPr>
        <w:t>20包：电动液压剪扩组</w:t>
      </w:r>
      <w:r>
        <w:tab/>
      </w:r>
      <w:r>
        <w:fldChar w:fldCharType="begin"/>
      </w:r>
      <w:r>
        <w:instrText xml:space="preserve"> PAGEREF _Toc662 \h </w:instrText>
      </w:r>
      <w:r>
        <w:fldChar w:fldCharType="separate"/>
      </w:r>
      <w:r>
        <w:t>58</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_Toc25439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bCs/>
          <w:szCs w:val="24"/>
          <w:highlight w:val="none"/>
          <w:lang w:val="en-US" w:eastAsia="zh-CN"/>
        </w:rPr>
        <w:t>22包：等离子切割机【核心产品】、氧炔气焊切割设备</w:t>
      </w:r>
      <w:r>
        <w:tab/>
      </w:r>
      <w:r>
        <w:fldChar w:fldCharType="begin"/>
      </w:r>
      <w:r>
        <w:instrText xml:space="preserve"> PAGEREF _Toc25439 \h </w:instrText>
      </w:r>
      <w:r>
        <w:fldChar w:fldCharType="separate"/>
      </w:r>
      <w:r>
        <w:t>59</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_Toc12426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bCs/>
          <w:szCs w:val="24"/>
          <w:highlight w:val="none"/>
          <w:lang w:val="en-US" w:eastAsia="zh-CN"/>
        </w:rPr>
        <w:t>25包：牵拉器、木锯切割机、液压千斤顶、气动切割刀、毁锁器【核心产品】</w:t>
      </w:r>
      <w:r>
        <w:tab/>
      </w:r>
      <w:r>
        <w:fldChar w:fldCharType="begin"/>
      </w:r>
      <w:r>
        <w:instrText xml:space="preserve"> PAGEREF _Toc12426 \h </w:instrText>
      </w:r>
      <w:r>
        <w:fldChar w:fldCharType="separate"/>
      </w:r>
      <w:r>
        <w:t>60</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_Toc28835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bCs/>
          <w:szCs w:val="24"/>
          <w:highlight w:val="none"/>
          <w:lang w:val="en-US" w:eastAsia="zh-CN"/>
        </w:rPr>
        <w:t>28包：狭小空间排烟机、强制送风呼吸器、坑道小型空气输送机、水驱动排烟机【核心产品】</w:t>
      </w:r>
      <w:r>
        <w:tab/>
      </w:r>
      <w:r>
        <w:fldChar w:fldCharType="begin"/>
      </w:r>
      <w:r>
        <w:instrText xml:space="preserve"> PAGEREF _Toc28835 \h </w:instrText>
      </w:r>
      <w:r>
        <w:fldChar w:fldCharType="separate"/>
      </w:r>
      <w:r>
        <w:t>62</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_Toc5885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bCs/>
          <w:szCs w:val="24"/>
          <w:highlight w:val="none"/>
          <w:lang w:val="en-US" w:eastAsia="zh-CN"/>
        </w:rPr>
        <w:t>33包：救生抛投器【核心产品】、救援三角架</w:t>
      </w:r>
      <w:r>
        <w:tab/>
      </w:r>
      <w:r>
        <w:fldChar w:fldCharType="begin"/>
      </w:r>
      <w:r>
        <w:instrText xml:space="preserve"> PAGEREF _Toc5885 \h </w:instrText>
      </w:r>
      <w:r>
        <w:fldChar w:fldCharType="separate"/>
      </w:r>
      <w:r>
        <w:t>64</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_Toc6060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szCs w:val="24"/>
          <w:lang w:val="en-US" w:eastAsia="zh-CN"/>
        </w:rPr>
        <w:t>34包：消防艇</w:t>
      </w:r>
      <w:r>
        <w:tab/>
      </w:r>
      <w:r>
        <w:fldChar w:fldCharType="begin"/>
      </w:r>
      <w:r>
        <w:instrText xml:space="preserve"> PAGEREF _Toc6060 \h </w:instrText>
      </w:r>
      <w:r>
        <w:fldChar w:fldCharType="separate"/>
      </w:r>
      <w:r>
        <w:t>66</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_Toc857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szCs w:val="24"/>
          <w:lang w:val="en-US" w:eastAsia="zh-CN"/>
        </w:rPr>
        <w:t>35包：充气救援艇（配舷外机）（核心产品：橡皮艇)</w:t>
      </w:r>
      <w:r>
        <w:tab/>
      </w:r>
      <w:r>
        <w:fldChar w:fldCharType="begin"/>
      </w:r>
      <w:r>
        <w:instrText xml:space="preserve"> PAGEREF _Toc857 \h </w:instrText>
      </w:r>
      <w:r>
        <w:fldChar w:fldCharType="separate"/>
      </w:r>
      <w:r>
        <w:t>68</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_Toc23642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szCs w:val="24"/>
          <w:lang w:val="en-US" w:eastAsia="zh-CN"/>
        </w:rPr>
        <w:t>36包：</w:t>
      </w:r>
      <w:r>
        <w:rPr>
          <w:rFonts w:hint="eastAsia" w:ascii="仿宋" w:hAnsi="仿宋" w:eastAsia="仿宋" w:cs="仿宋"/>
          <w:szCs w:val="24"/>
          <w:lang w:val="en-US" w:eastAsia="zh-Hans"/>
        </w:rPr>
        <w:t>冲锋舟（</w:t>
      </w:r>
      <w:r>
        <w:rPr>
          <w:rFonts w:hint="eastAsia" w:ascii="仿宋" w:hAnsi="仿宋" w:eastAsia="仿宋" w:cs="仿宋"/>
          <w:szCs w:val="24"/>
          <w:lang w:val="en-US" w:eastAsia="zh-CN"/>
        </w:rPr>
        <w:t>配</w:t>
      </w:r>
      <w:r>
        <w:rPr>
          <w:rFonts w:hint="eastAsia" w:ascii="仿宋" w:hAnsi="仿宋" w:eastAsia="仿宋" w:cs="仿宋"/>
          <w:szCs w:val="24"/>
          <w:lang w:val="en-US" w:eastAsia="zh-Hans"/>
        </w:rPr>
        <w:t>舷外机）</w:t>
      </w:r>
      <w:r>
        <w:rPr>
          <w:rFonts w:hint="eastAsia" w:ascii="仿宋" w:hAnsi="仿宋" w:eastAsia="仿宋" w:cs="仿宋"/>
          <w:szCs w:val="24"/>
          <w:lang w:val="en-US" w:eastAsia="zh-CN"/>
        </w:rPr>
        <w:t>（核心产品：</w:t>
      </w:r>
      <w:r>
        <w:rPr>
          <w:rFonts w:hint="eastAsia" w:ascii="仿宋" w:hAnsi="仿宋" w:eastAsia="仿宋" w:cs="仿宋"/>
          <w:bCs/>
          <w:szCs w:val="24"/>
          <w:lang w:val="en-US" w:eastAsia="zh-Hans"/>
        </w:rPr>
        <w:t>冲锋舟</w:t>
      </w:r>
      <w:r>
        <w:rPr>
          <w:rFonts w:hint="eastAsia" w:ascii="仿宋" w:hAnsi="仿宋" w:eastAsia="仿宋" w:cs="仿宋"/>
          <w:szCs w:val="24"/>
          <w:lang w:val="en-US" w:eastAsia="zh-CN"/>
        </w:rPr>
        <w:t>)、舷外机</w:t>
      </w:r>
      <w:r>
        <w:tab/>
      </w:r>
      <w:r>
        <w:fldChar w:fldCharType="begin"/>
      </w:r>
      <w:r>
        <w:instrText xml:space="preserve"> PAGEREF _Toc23642 \h </w:instrText>
      </w:r>
      <w:r>
        <w:fldChar w:fldCharType="separate"/>
      </w:r>
      <w:r>
        <w:t>69</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_Toc3498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szCs w:val="24"/>
          <w:lang w:val="en-US" w:eastAsia="zh-CN"/>
        </w:rPr>
        <w:t>39包：摩托艇</w:t>
      </w:r>
      <w:r>
        <w:tab/>
      </w:r>
      <w:r>
        <w:fldChar w:fldCharType="begin"/>
      </w:r>
      <w:r>
        <w:instrText xml:space="preserve"> PAGEREF _Toc3498 \h </w:instrText>
      </w:r>
      <w:r>
        <w:fldChar w:fldCharType="separate"/>
      </w:r>
      <w:r>
        <w:t>71</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_Toc21358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szCs w:val="24"/>
          <w:lang w:val="en-US" w:eastAsia="zh-CN"/>
        </w:rPr>
        <w:t>40包：定位浮标、充气救生筏【核心产品】、可漂浮救生担架（漂浮担架）</w:t>
      </w:r>
      <w:r>
        <w:tab/>
      </w:r>
      <w:r>
        <w:fldChar w:fldCharType="begin"/>
      </w:r>
      <w:r>
        <w:instrText xml:space="preserve"> PAGEREF _Toc21358 \h </w:instrText>
      </w:r>
      <w:r>
        <w:fldChar w:fldCharType="separate"/>
      </w:r>
      <w:r>
        <w:t>71</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_Toc2293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szCs w:val="24"/>
          <w:lang w:val="en-US" w:eastAsia="zh-CN"/>
        </w:rPr>
        <w:t>46包：高压气瓶、正压式空气呼吸器碳纤维气瓶【核心产品】</w:t>
      </w:r>
      <w:r>
        <w:tab/>
      </w:r>
      <w:r>
        <w:fldChar w:fldCharType="begin"/>
      </w:r>
      <w:r>
        <w:instrText xml:space="preserve"> PAGEREF _Toc2293 \h </w:instrText>
      </w:r>
      <w:r>
        <w:fldChar w:fldCharType="separate"/>
      </w:r>
      <w:r>
        <w:t>73</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_Toc22551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szCs w:val="24"/>
          <w:lang w:val="en-US" w:eastAsia="zh-CN"/>
        </w:rPr>
        <w:t>47包：卷扬机、消防梯15米【核心产品】、移动水带收卷机</w:t>
      </w:r>
      <w:r>
        <w:tab/>
      </w:r>
      <w:r>
        <w:fldChar w:fldCharType="begin"/>
      </w:r>
      <w:r>
        <w:instrText xml:space="preserve"> PAGEREF _Toc22551 \h </w:instrText>
      </w:r>
      <w:r>
        <w:fldChar w:fldCharType="separate"/>
      </w:r>
      <w:r>
        <w:t>74</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_Toc20224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szCs w:val="24"/>
          <w:lang w:val="en-US" w:eastAsia="zh-CN"/>
        </w:rPr>
        <w:t>53包：滑轮套装、挂钩套装、绳索救援套装【核心产品】</w:t>
      </w:r>
      <w:r>
        <w:tab/>
      </w:r>
      <w:r>
        <w:fldChar w:fldCharType="begin"/>
      </w:r>
      <w:r>
        <w:instrText xml:space="preserve"> PAGEREF _Toc20224 \h </w:instrText>
      </w:r>
      <w:r>
        <w:fldChar w:fldCharType="separate"/>
      </w:r>
      <w:r>
        <w:t>76</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_Toc25355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szCs w:val="24"/>
          <w:lang w:val="en-US" w:eastAsia="zh-CN"/>
        </w:rPr>
        <w:t>55包：抢险救援服装（核心产品：冬款消防员抢险救援防护服（消防员款）)</w:t>
      </w:r>
      <w:r>
        <w:tab/>
      </w:r>
      <w:r>
        <w:fldChar w:fldCharType="begin"/>
      </w:r>
      <w:r>
        <w:instrText xml:space="preserve"> PAGEREF _Toc25355 \h </w:instrText>
      </w:r>
      <w:r>
        <w:fldChar w:fldCharType="separate"/>
      </w:r>
      <w:r>
        <w:t>79</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_Toc2948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bCs/>
          <w:szCs w:val="24"/>
          <w:highlight w:val="none"/>
          <w:lang w:val="en-US" w:eastAsia="zh-CN"/>
        </w:rPr>
        <w:t>61包：充气式上浮系统、救援桨板、救生拉杆【核心产品】、滚钩、充气式救生浮板、水下起吊工具组</w:t>
      </w:r>
      <w:r>
        <w:tab/>
      </w:r>
      <w:r>
        <w:fldChar w:fldCharType="begin"/>
      </w:r>
      <w:r>
        <w:instrText xml:space="preserve"> PAGEREF _Toc2948 \h </w:instrText>
      </w:r>
      <w:r>
        <w:fldChar w:fldCharType="separate"/>
      </w:r>
      <w:r>
        <w:t>83</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_Toc14201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bCs/>
          <w:szCs w:val="24"/>
          <w:highlight w:val="none"/>
          <w:lang w:val="en-US" w:eastAsia="zh-CN"/>
        </w:rPr>
        <w:t>64包：水下推进器、水下红外夜视仪【核心产品】、水下金属探测仪</w:t>
      </w:r>
      <w:r>
        <w:tab/>
      </w:r>
      <w:r>
        <w:fldChar w:fldCharType="begin"/>
      </w:r>
      <w:r>
        <w:instrText xml:space="preserve"> PAGEREF _Toc14201 \h </w:instrText>
      </w:r>
      <w:r>
        <w:fldChar w:fldCharType="separate"/>
      </w:r>
      <w:r>
        <w:t>86</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_Toc2542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bCs/>
          <w:szCs w:val="24"/>
          <w:highlight w:val="none"/>
          <w:lang w:val="en-US" w:eastAsia="zh-CN"/>
        </w:rPr>
        <w:t>65包：无电切割刀【核心产品】、金属弧水陆切割器、水下电焊切割机</w:t>
      </w:r>
      <w:r>
        <w:tab/>
      </w:r>
      <w:r>
        <w:fldChar w:fldCharType="begin"/>
      </w:r>
      <w:r>
        <w:instrText xml:space="preserve"> PAGEREF _Toc2542 \h </w:instrText>
      </w:r>
      <w:r>
        <w:fldChar w:fldCharType="separate"/>
      </w:r>
      <w:r>
        <w:t>88</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_Toc31812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bCs/>
          <w:szCs w:val="24"/>
          <w:highlight w:val="none"/>
          <w:lang w:val="en-US" w:eastAsia="zh-CN"/>
        </w:rPr>
        <w:t>68包：排水机器人【核心产品】、移动水囊</w:t>
      </w:r>
      <w:r>
        <w:tab/>
      </w:r>
      <w:r>
        <w:fldChar w:fldCharType="begin"/>
      </w:r>
      <w:r>
        <w:instrText xml:space="preserve"> PAGEREF _Toc31812 \h </w:instrText>
      </w:r>
      <w:r>
        <w:fldChar w:fldCharType="separate"/>
      </w:r>
      <w:r>
        <w:t>90</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_Toc25104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bCs/>
          <w:szCs w:val="24"/>
          <w:highlight w:val="none"/>
          <w:lang w:val="en-US" w:eastAsia="zh-CN"/>
        </w:rPr>
        <w:t>70包：冰面行动辅助套装、冰面救援滑板、冰面救援服【核心产品】</w:t>
      </w:r>
      <w:r>
        <w:tab/>
      </w:r>
      <w:r>
        <w:fldChar w:fldCharType="begin"/>
      </w:r>
      <w:r>
        <w:instrText xml:space="preserve"> PAGEREF _Toc25104 \h </w:instrText>
      </w:r>
      <w:r>
        <w:fldChar w:fldCharType="separate"/>
      </w:r>
      <w:r>
        <w:t>91</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_Toc19569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bCs/>
          <w:szCs w:val="24"/>
          <w:highlight w:val="none"/>
          <w:lang w:val="en-US" w:eastAsia="zh-CN"/>
        </w:rPr>
        <w:t>72包：化学氧自救呼吸器</w:t>
      </w:r>
      <w:r>
        <w:tab/>
      </w:r>
      <w:r>
        <w:fldChar w:fldCharType="begin"/>
      </w:r>
      <w:r>
        <w:instrText xml:space="preserve"> PAGEREF _Toc19569 \h </w:instrText>
      </w:r>
      <w:r>
        <w:fldChar w:fldCharType="separate"/>
      </w:r>
      <w:r>
        <w:t>93</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_Toc883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bCs/>
          <w:kern w:val="0"/>
          <w:szCs w:val="24"/>
          <w:highlight w:val="none"/>
          <w:lang w:val="en-US" w:eastAsia="zh-CN"/>
        </w:rPr>
        <w:t>77包：</w:t>
      </w:r>
      <w:r>
        <w:rPr>
          <w:rFonts w:hint="eastAsia" w:ascii="仿宋" w:hAnsi="仿宋" w:eastAsia="仿宋" w:cs="仿宋"/>
          <w:bCs/>
          <w:szCs w:val="24"/>
          <w:highlight w:val="none"/>
          <w:lang w:val="en-US" w:eastAsia="zh-CN"/>
        </w:rPr>
        <w:t>角磨机【核心产品】</w:t>
      </w:r>
      <w:r>
        <w:rPr>
          <w:rFonts w:hint="eastAsia" w:ascii="仿宋" w:hAnsi="仿宋" w:eastAsia="仿宋" w:cs="仿宋"/>
          <w:bCs/>
          <w:kern w:val="0"/>
          <w:szCs w:val="24"/>
          <w:highlight w:val="none"/>
          <w:lang w:val="en-US" w:eastAsia="zh-CN"/>
        </w:rPr>
        <w:t>、电钻</w:t>
      </w:r>
      <w:r>
        <w:tab/>
      </w:r>
      <w:r>
        <w:fldChar w:fldCharType="begin"/>
      </w:r>
      <w:r>
        <w:instrText xml:space="preserve"> PAGEREF _Toc883 \h </w:instrText>
      </w:r>
      <w:r>
        <w:fldChar w:fldCharType="separate"/>
      </w:r>
      <w:r>
        <w:t>94</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_Toc24493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bCs/>
          <w:szCs w:val="24"/>
          <w:highlight w:val="none"/>
          <w:lang w:val="en-US" w:eastAsia="zh-CN"/>
        </w:rPr>
        <w:t>79包：</w:t>
      </w:r>
      <w:r>
        <w:rPr>
          <w:rFonts w:hint="eastAsia" w:ascii="仿宋" w:hAnsi="仿宋" w:eastAsia="仿宋" w:cs="仿宋"/>
          <w:bCs/>
          <w:kern w:val="0"/>
          <w:szCs w:val="24"/>
          <w:highlight w:val="none"/>
          <w:lang w:val="en-US" w:eastAsia="zh-CN"/>
        </w:rPr>
        <w:t>防电服</w:t>
      </w:r>
      <w:r>
        <w:rPr>
          <w:rFonts w:hint="eastAsia" w:ascii="仿宋" w:hAnsi="仿宋" w:eastAsia="仿宋" w:cs="仿宋"/>
          <w:bCs/>
          <w:szCs w:val="24"/>
          <w:highlight w:val="none"/>
        </w:rPr>
        <w:t>【核心产品】</w:t>
      </w:r>
      <w:r>
        <w:rPr>
          <w:rFonts w:hint="eastAsia" w:ascii="仿宋" w:hAnsi="仿宋" w:eastAsia="仿宋" w:cs="仿宋"/>
          <w:bCs/>
          <w:szCs w:val="24"/>
          <w:highlight w:val="none"/>
          <w:lang w:val="en-US" w:eastAsia="zh-CN"/>
        </w:rPr>
        <w:t>、电绝缘装具</w:t>
      </w:r>
      <w:r>
        <w:tab/>
      </w:r>
      <w:r>
        <w:fldChar w:fldCharType="begin"/>
      </w:r>
      <w:r>
        <w:instrText xml:space="preserve"> PAGEREF _Toc24493 \h </w:instrText>
      </w:r>
      <w:r>
        <w:fldChar w:fldCharType="separate"/>
      </w:r>
      <w:r>
        <w:t>95</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_Toc23596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bCs/>
          <w:szCs w:val="24"/>
          <w:highlight w:val="none"/>
          <w:lang w:val="en-US" w:eastAsia="zh-CN"/>
        </w:rPr>
        <w:t>83包：消防防坠落辅助部件</w:t>
      </w:r>
      <w:r>
        <w:rPr>
          <w:rFonts w:hint="eastAsia" w:ascii="仿宋" w:hAnsi="仿宋" w:eastAsia="仿宋" w:cs="仿宋"/>
          <w:bCs/>
          <w:szCs w:val="24"/>
          <w:highlight w:val="none"/>
        </w:rPr>
        <w:t>【核心产品】</w:t>
      </w:r>
      <w:r>
        <w:rPr>
          <w:rFonts w:hint="eastAsia" w:ascii="仿宋" w:hAnsi="仿宋" w:eastAsia="仿宋" w:cs="仿宋"/>
          <w:bCs/>
          <w:szCs w:val="24"/>
          <w:highlight w:val="none"/>
          <w:lang w:val="en-US" w:eastAsia="zh-CN"/>
        </w:rPr>
        <w:t>、消防全身式安全吊带、消防通用安全绳、水面漂浮救生绳（200米）</w:t>
      </w:r>
      <w:r>
        <w:tab/>
      </w:r>
      <w:r>
        <w:fldChar w:fldCharType="begin"/>
      </w:r>
      <w:r>
        <w:instrText xml:space="preserve"> PAGEREF _Toc23596 \h </w:instrText>
      </w:r>
      <w:r>
        <w:fldChar w:fldCharType="separate"/>
      </w:r>
      <w:r>
        <w:t>96</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_Toc13396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bCs/>
          <w:szCs w:val="24"/>
          <w:highlight w:val="none"/>
          <w:lang w:val="en-US" w:eastAsia="zh-CN"/>
        </w:rPr>
        <w:t>86包：干式潜水衣</w:t>
      </w:r>
      <w:r>
        <w:rPr>
          <w:rFonts w:hint="eastAsia" w:ascii="仿宋" w:hAnsi="仿宋" w:eastAsia="仿宋" w:cs="仿宋"/>
          <w:bCs/>
          <w:szCs w:val="24"/>
          <w:highlight w:val="none"/>
        </w:rPr>
        <w:t>【核心产品】</w:t>
      </w:r>
      <w:r>
        <w:rPr>
          <w:rFonts w:hint="eastAsia" w:ascii="仿宋" w:hAnsi="仿宋" w:eastAsia="仿宋" w:cs="仿宋"/>
          <w:bCs/>
          <w:szCs w:val="24"/>
          <w:highlight w:val="none"/>
          <w:lang w:val="en-US" w:eastAsia="zh-CN"/>
        </w:rPr>
        <w:t>、湿式潜水衣</w:t>
      </w:r>
      <w:r>
        <w:tab/>
      </w:r>
      <w:r>
        <w:fldChar w:fldCharType="begin"/>
      </w:r>
      <w:r>
        <w:instrText xml:space="preserve"> PAGEREF _Toc13396 \h </w:instrText>
      </w:r>
      <w:r>
        <w:fldChar w:fldCharType="separate"/>
      </w:r>
      <w:r>
        <w:t>99</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_Toc32609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bCs/>
          <w:szCs w:val="24"/>
          <w:highlight w:val="none"/>
          <w:lang w:val="en-US" w:eastAsia="zh-CN"/>
        </w:rPr>
        <w:t>93包：堵漏工具组</w:t>
      </w:r>
      <w:r>
        <w:tab/>
      </w:r>
      <w:r>
        <w:fldChar w:fldCharType="begin"/>
      </w:r>
      <w:r>
        <w:instrText xml:space="preserve"> PAGEREF _Toc32609 \h </w:instrText>
      </w:r>
      <w:r>
        <w:fldChar w:fldCharType="separate"/>
      </w:r>
      <w:r>
        <w:t>101</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_Toc11873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bCs/>
          <w:szCs w:val="24"/>
          <w:highlight w:val="none"/>
          <w:lang w:val="en-US" w:eastAsia="zh-CN"/>
        </w:rPr>
        <w:t>97包：排用炊事单元、单兵携行包【核心产品】、净水设备</w:t>
      </w:r>
      <w:r>
        <w:tab/>
      </w:r>
      <w:r>
        <w:fldChar w:fldCharType="begin"/>
      </w:r>
      <w:r>
        <w:instrText xml:space="preserve"> PAGEREF _Toc11873 \h </w:instrText>
      </w:r>
      <w:r>
        <w:fldChar w:fldCharType="separate"/>
      </w:r>
      <w:r>
        <w:t>102</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_Toc4315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bCs/>
          <w:szCs w:val="24"/>
          <w:highlight w:val="none"/>
          <w:lang w:val="en-US" w:eastAsia="zh-CN"/>
        </w:rPr>
        <w:t>98包：宿营方舱</w:t>
      </w:r>
      <w:r>
        <w:tab/>
      </w:r>
      <w:r>
        <w:fldChar w:fldCharType="begin"/>
      </w:r>
      <w:r>
        <w:instrText xml:space="preserve"> PAGEREF _Toc4315 \h </w:instrText>
      </w:r>
      <w:r>
        <w:fldChar w:fldCharType="separate"/>
      </w:r>
      <w:r>
        <w:t>104</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_Toc31534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bCs/>
          <w:szCs w:val="24"/>
          <w:highlight w:val="none"/>
          <w:lang w:val="en-US" w:eastAsia="zh-CN"/>
        </w:rPr>
        <w:t>99包：便携式推车</w:t>
      </w:r>
      <w:r>
        <w:tab/>
      </w:r>
      <w:r>
        <w:fldChar w:fldCharType="begin"/>
      </w:r>
      <w:r>
        <w:instrText xml:space="preserve"> PAGEREF _Toc31534 \h </w:instrText>
      </w:r>
      <w:r>
        <w:fldChar w:fldCharType="separate"/>
      </w:r>
      <w:r>
        <w:t>106</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_Toc9825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bCs/>
          <w:szCs w:val="24"/>
          <w:highlight w:val="none"/>
          <w:lang w:val="en-US" w:eastAsia="zh-CN"/>
        </w:rPr>
        <w:t>103包：北斗有源终端、卫星电话【核心产品】</w:t>
      </w:r>
      <w:r>
        <w:tab/>
      </w:r>
      <w:r>
        <w:fldChar w:fldCharType="begin"/>
      </w:r>
      <w:r>
        <w:instrText xml:space="preserve"> PAGEREF _Toc9825 \h </w:instrText>
      </w:r>
      <w:r>
        <w:fldChar w:fldCharType="separate"/>
      </w:r>
      <w:r>
        <w:t>107</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_Toc18419 </w:instrText>
      </w:r>
      <w:r>
        <w:rPr>
          <w:rFonts w:ascii="Times New Roman" w:hAnsi="Times New Roman" w:eastAsiaTheme="minorEastAsia"/>
          <w:bCs/>
          <w:i w:val="0"/>
          <w:iCs w:val="0"/>
          <w:szCs w:val="21"/>
          <w:highlight w:val="none"/>
        </w:rPr>
        <w:fldChar w:fldCharType="separate"/>
      </w:r>
      <w:r>
        <w:rPr>
          <w:rFonts w:hint="eastAsia" w:ascii="仿宋" w:hAnsi="仿宋" w:eastAsia="仿宋" w:cs="Times New Roman"/>
          <w:bCs/>
          <w:szCs w:val="24"/>
          <w:highlight w:val="none"/>
          <w:lang w:val="en-US" w:eastAsia="zh-CN"/>
        </w:rPr>
        <w:t>107包</w:t>
      </w:r>
      <w:r>
        <w:rPr>
          <w:rFonts w:hint="eastAsia" w:ascii="仿宋" w:hAnsi="仿宋" w:eastAsia="仿宋" w:cs="Times New Roman"/>
          <w:bCs/>
          <w:szCs w:val="24"/>
          <w:highlight w:val="none"/>
        </w:rPr>
        <w:t>：手持电台【核心产品】、防水定位对讲机、骨传导通话装置</w:t>
      </w:r>
      <w:r>
        <w:tab/>
      </w:r>
      <w:r>
        <w:fldChar w:fldCharType="begin"/>
      </w:r>
      <w:r>
        <w:instrText xml:space="preserve"> PAGEREF _Toc18419 \h </w:instrText>
      </w:r>
      <w:r>
        <w:fldChar w:fldCharType="separate"/>
      </w:r>
      <w:r>
        <w:t>109</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_Toc5293 </w:instrText>
      </w:r>
      <w:r>
        <w:rPr>
          <w:rFonts w:ascii="Times New Roman" w:hAnsi="Times New Roman" w:eastAsiaTheme="minorEastAsia"/>
          <w:bCs/>
          <w:i w:val="0"/>
          <w:iCs w:val="0"/>
          <w:szCs w:val="21"/>
          <w:highlight w:val="none"/>
        </w:rPr>
        <w:fldChar w:fldCharType="separate"/>
      </w:r>
      <w:r>
        <w:rPr>
          <w:rFonts w:hint="eastAsia" w:ascii="仿宋" w:hAnsi="仿宋" w:eastAsia="仿宋" w:cs="Times New Roman"/>
          <w:bCs/>
          <w:szCs w:val="24"/>
          <w:highlight w:val="none"/>
          <w:lang w:val="en-US" w:eastAsia="zh-CN"/>
        </w:rPr>
        <w:t>108包：公网集群对讲机</w:t>
      </w:r>
      <w:r>
        <w:tab/>
      </w:r>
      <w:r>
        <w:fldChar w:fldCharType="begin"/>
      </w:r>
      <w:r>
        <w:instrText xml:space="preserve"> PAGEREF _Toc5293 \h </w:instrText>
      </w:r>
      <w:r>
        <w:fldChar w:fldCharType="separate"/>
      </w:r>
      <w:r>
        <w:t>112</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_Toc2394 </w:instrText>
      </w:r>
      <w:r>
        <w:rPr>
          <w:rFonts w:ascii="Times New Roman" w:hAnsi="Times New Roman" w:eastAsiaTheme="minorEastAsia"/>
          <w:bCs/>
          <w:i w:val="0"/>
          <w:iCs w:val="0"/>
          <w:szCs w:val="21"/>
          <w:highlight w:val="none"/>
        </w:rPr>
        <w:fldChar w:fldCharType="separate"/>
      </w:r>
      <w:r>
        <w:rPr>
          <w:rFonts w:hint="eastAsia" w:ascii="仿宋" w:hAnsi="仿宋" w:eastAsia="仿宋" w:cs="Times New Roman"/>
          <w:bCs/>
          <w:szCs w:val="24"/>
          <w:highlight w:val="none"/>
          <w:lang w:val="en-US" w:eastAsia="zh-CN"/>
        </w:rPr>
        <w:t>117包：水下无线通信系统【核心产品】、水下摄像机</w:t>
      </w:r>
      <w:r>
        <w:tab/>
      </w:r>
      <w:r>
        <w:fldChar w:fldCharType="begin"/>
      </w:r>
      <w:r>
        <w:instrText xml:space="preserve"> PAGEREF _Toc2394 \h </w:instrText>
      </w:r>
      <w:r>
        <w:fldChar w:fldCharType="separate"/>
      </w:r>
      <w:r>
        <w:t>113</w:t>
      </w:r>
      <w:r>
        <w:fldChar w:fldCharType="end"/>
      </w:r>
      <w:r>
        <w:rPr>
          <w:rFonts w:ascii="Times New Roman" w:hAnsi="Times New Roman" w:eastAsiaTheme="minorEastAsia"/>
          <w:bCs/>
          <w:i w:val="0"/>
          <w:iCs w:val="0"/>
          <w:color w:val="auto"/>
          <w:szCs w:val="21"/>
          <w:highlight w:val="none"/>
        </w:rPr>
        <w:fldChar w:fldCharType="end"/>
      </w:r>
    </w:p>
    <w:p>
      <w:pPr>
        <w:pStyle w:val="26"/>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_Toc3383 </w:instrText>
      </w:r>
      <w:r>
        <w:rPr>
          <w:rFonts w:ascii="Times New Roman" w:hAnsi="Times New Roman" w:eastAsiaTheme="minorEastAsia"/>
          <w:bCs/>
          <w:i w:val="0"/>
          <w:iCs w:val="0"/>
          <w:szCs w:val="21"/>
          <w:highlight w:val="none"/>
        </w:rPr>
        <w:fldChar w:fldCharType="separate"/>
      </w:r>
      <w:r>
        <w:rPr>
          <w:rFonts w:ascii="Times New Roman" w:eastAsia="仿宋"/>
          <w:bCs/>
          <w:szCs w:val="24"/>
          <w:highlight w:val="none"/>
        </w:rPr>
        <w:t>（二）商务要求</w:t>
      </w:r>
      <w:r>
        <w:tab/>
      </w:r>
      <w:r>
        <w:fldChar w:fldCharType="begin"/>
      </w:r>
      <w:r>
        <w:instrText xml:space="preserve"> PAGEREF _Toc3383 \h </w:instrText>
      </w:r>
      <w:r>
        <w:fldChar w:fldCharType="separate"/>
      </w:r>
      <w:r>
        <w:t>115</w:t>
      </w:r>
      <w:r>
        <w:fldChar w:fldCharType="end"/>
      </w:r>
      <w:r>
        <w:rPr>
          <w:rFonts w:ascii="Times New Roman" w:hAnsi="Times New Roman" w:eastAsiaTheme="minorEastAsia"/>
          <w:bCs/>
          <w:i w:val="0"/>
          <w:iCs w:val="0"/>
          <w:color w:val="auto"/>
          <w:szCs w:val="21"/>
          <w:highlight w:val="none"/>
        </w:rPr>
        <w:fldChar w:fldCharType="end"/>
      </w:r>
    </w:p>
    <w:p>
      <w:pPr>
        <w:pStyle w:val="26"/>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_Toc17576 </w:instrText>
      </w:r>
      <w:r>
        <w:rPr>
          <w:rFonts w:ascii="Times New Roman" w:hAnsi="Times New Roman" w:eastAsiaTheme="minorEastAsia"/>
          <w:bCs/>
          <w:i w:val="0"/>
          <w:iCs w:val="0"/>
          <w:szCs w:val="21"/>
          <w:highlight w:val="none"/>
        </w:rPr>
        <w:fldChar w:fldCharType="separate"/>
      </w:r>
      <w:r>
        <w:rPr>
          <w:rFonts w:ascii="Times New Roman" w:eastAsia="仿宋"/>
          <w:highlight w:val="none"/>
        </w:rPr>
        <w:t>第六章  评标标准</w:t>
      </w:r>
      <w:r>
        <w:tab/>
      </w:r>
      <w:r>
        <w:fldChar w:fldCharType="begin"/>
      </w:r>
      <w:r>
        <w:instrText xml:space="preserve"> PAGEREF _Toc17576 \h </w:instrText>
      </w:r>
      <w:r>
        <w:fldChar w:fldCharType="separate"/>
      </w:r>
      <w:r>
        <w:t>121</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_Toc23339 </w:instrText>
      </w:r>
      <w:r>
        <w:rPr>
          <w:rFonts w:ascii="Times New Roman" w:hAnsi="Times New Roman" w:eastAsiaTheme="minorEastAsia"/>
          <w:bCs/>
          <w:i w:val="0"/>
          <w:iCs w:val="0"/>
          <w:szCs w:val="21"/>
          <w:highlight w:val="none"/>
        </w:rPr>
        <w:fldChar w:fldCharType="separate"/>
      </w:r>
      <w:r>
        <w:rPr>
          <w:rFonts w:hint="eastAsia" w:ascii="仿宋" w:hAnsi="仿宋" w:eastAsia="仿宋" w:cs="Times New Roman"/>
          <w:bCs/>
          <w:szCs w:val="28"/>
          <w:highlight w:val="none"/>
          <w:lang w:val="en-US" w:eastAsia="zh-CN"/>
        </w:rPr>
        <w:t>02包</w:t>
      </w:r>
      <w:r>
        <w:rPr>
          <w:rFonts w:hint="eastAsia" w:ascii="仿宋" w:hAnsi="仿宋" w:eastAsia="仿宋" w:cs="Times New Roman"/>
          <w:bCs/>
          <w:szCs w:val="28"/>
          <w:highlight w:val="none"/>
        </w:rPr>
        <w:t>：</w:t>
      </w:r>
      <w:r>
        <w:rPr>
          <w:rFonts w:hint="eastAsia" w:ascii="仿宋" w:hAnsi="仿宋" w:eastAsia="仿宋" w:cs="Times New Roman"/>
          <w:bCs/>
          <w:szCs w:val="28"/>
          <w:highlight w:val="none"/>
          <w:lang w:val="en-US" w:eastAsia="zh-CN"/>
        </w:rPr>
        <w:t>音频生命探测仪</w:t>
      </w:r>
      <w:r>
        <w:tab/>
      </w:r>
      <w:r>
        <w:fldChar w:fldCharType="begin"/>
      </w:r>
      <w:r>
        <w:instrText xml:space="preserve"> PAGEREF _Toc23339 \h </w:instrText>
      </w:r>
      <w:r>
        <w:fldChar w:fldCharType="separate"/>
      </w:r>
      <w:r>
        <w:t>121</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_Toc3919 </w:instrText>
      </w:r>
      <w:r>
        <w:rPr>
          <w:rFonts w:ascii="Times New Roman" w:hAnsi="Times New Roman" w:eastAsiaTheme="minorEastAsia"/>
          <w:bCs/>
          <w:i w:val="0"/>
          <w:iCs w:val="0"/>
          <w:szCs w:val="21"/>
          <w:highlight w:val="none"/>
        </w:rPr>
        <w:fldChar w:fldCharType="separate"/>
      </w:r>
      <w:r>
        <w:rPr>
          <w:rFonts w:hint="eastAsia" w:ascii="仿宋" w:hAnsi="仿宋" w:eastAsia="仿宋" w:cs="Times New Roman"/>
          <w:bCs/>
          <w:szCs w:val="28"/>
          <w:highlight w:val="none"/>
          <w:lang w:val="en-US" w:eastAsia="zh-CN"/>
        </w:rPr>
        <w:t>10包</w:t>
      </w:r>
      <w:r>
        <w:rPr>
          <w:rFonts w:hint="eastAsia" w:ascii="仿宋" w:hAnsi="仿宋" w:eastAsia="仿宋" w:cs="Times New Roman"/>
          <w:bCs/>
          <w:szCs w:val="28"/>
          <w:highlight w:val="none"/>
        </w:rPr>
        <w:t>：现场空气监测仪</w:t>
      </w:r>
      <w:r>
        <w:rPr>
          <w:rFonts w:hint="eastAsia" w:ascii="仿宋" w:hAnsi="仿宋" w:eastAsia="仿宋" w:cs="Times New Roman"/>
          <w:bCs/>
          <w:szCs w:val="28"/>
          <w:highlight w:val="none"/>
          <w:lang w:eastAsia="zh-CN"/>
        </w:rPr>
        <w:t>、</w:t>
      </w:r>
      <w:r>
        <w:rPr>
          <w:rFonts w:hint="eastAsia" w:ascii="仿宋" w:hAnsi="仿宋" w:eastAsia="仿宋" w:cs="Times New Roman"/>
          <w:bCs/>
          <w:szCs w:val="28"/>
          <w:highlight w:val="none"/>
          <w:lang w:val="en-US" w:eastAsia="zh-CN"/>
        </w:rPr>
        <w:t>测温仪【核心产品】、水质分析仪、电子气象仪</w:t>
      </w:r>
      <w:r>
        <w:tab/>
      </w:r>
      <w:r>
        <w:fldChar w:fldCharType="begin"/>
      </w:r>
      <w:r>
        <w:instrText xml:space="preserve"> PAGEREF _Toc3919 \h </w:instrText>
      </w:r>
      <w:r>
        <w:fldChar w:fldCharType="separate"/>
      </w:r>
      <w:r>
        <w:t>126</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_Toc16711 </w:instrText>
      </w:r>
      <w:r>
        <w:rPr>
          <w:rFonts w:ascii="Times New Roman" w:hAnsi="Times New Roman" w:eastAsiaTheme="minorEastAsia"/>
          <w:bCs/>
          <w:i w:val="0"/>
          <w:iCs w:val="0"/>
          <w:szCs w:val="21"/>
          <w:highlight w:val="none"/>
        </w:rPr>
        <w:fldChar w:fldCharType="separate"/>
      </w:r>
      <w:r>
        <w:rPr>
          <w:rFonts w:hint="eastAsia" w:ascii="仿宋" w:hAnsi="仿宋" w:eastAsia="仿宋" w:cs="Times New Roman"/>
          <w:bCs/>
          <w:szCs w:val="28"/>
          <w:highlight w:val="none"/>
          <w:lang w:val="en-US" w:eastAsia="zh-CN"/>
        </w:rPr>
        <w:t>12包</w:t>
      </w:r>
      <w:r>
        <w:rPr>
          <w:rFonts w:hint="eastAsia" w:ascii="仿宋" w:hAnsi="仿宋" w:eastAsia="仿宋" w:cs="Times New Roman"/>
          <w:bCs/>
          <w:szCs w:val="28"/>
          <w:highlight w:val="none"/>
        </w:rPr>
        <w:t>：</w:t>
      </w:r>
      <w:r>
        <w:rPr>
          <w:rFonts w:hint="eastAsia" w:ascii="仿宋" w:hAnsi="仿宋" w:eastAsia="仿宋" w:cs="Times New Roman"/>
          <w:bCs/>
          <w:szCs w:val="28"/>
          <w:highlight w:val="none"/>
          <w:lang w:val="en-US" w:eastAsia="zh-CN"/>
        </w:rPr>
        <w:t>便携式流速仪【核心产品】、水深探测仪、水温仪</w:t>
      </w:r>
      <w:r>
        <w:tab/>
      </w:r>
      <w:r>
        <w:fldChar w:fldCharType="begin"/>
      </w:r>
      <w:r>
        <w:instrText xml:space="preserve"> PAGEREF _Toc16711 \h </w:instrText>
      </w:r>
      <w:r>
        <w:fldChar w:fldCharType="separate"/>
      </w:r>
      <w:r>
        <w:t>131</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_Toc24547 </w:instrText>
      </w:r>
      <w:r>
        <w:rPr>
          <w:rFonts w:ascii="Times New Roman" w:hAnsi="Times New Roman" w:eastAsiaTheme="minorEastAsia"/>
          <w:bCs/>
          <w:i w:val="0"/>
          <w:iCs w:val="0"/>
          <w:szCs w:val="21"/>
          <w:highlight w:val="none"/>
        </w:rPr>
        <w:fldChar w:fldCharType="separate"/>
      </w:r>
      <w:r>
        <w:rPr>
          <w:rFonts w:hint="eastAsia" w:ascii="仿宋" w:hAnsi="仿宋" w:eastAsia="仿宋" w:cs="Times New Roman"/>
          <w:bCs/>
          <w:szCs w:val="28"/>
          <w:highlight w:val="none"/>
          <w:lang w:val="en-US" w:eastAsia="zh-CN"/>
        </w:rPr>
        <w:t>13包</w:t>
      </w:r>
      <w:r>
        <w:rPr>
          <w:rFonts w:hint="eastAsia" w:ascii="仿宋" w:hAnsi="仿宋" w:eastAsia="仿宋" w:cs="Times New Roman"/>
          <w:bCs/>
          <w:szCs w:val="28"/>
          <w:highlight w:val="none"/>
        </w:rPr>
        <w:t>：</w:t>
      </w:r>
      <w:r>
        <w:rPr>
          <w:rFonts w:hint="eastAsia" w:ascii="仿宋" w:hAnsi="仿宋" w:eastAsia="仿宋" w:cs="Times New Roman"/>
          <w:bCs/>
          <w:szCs w:val="28"/>
          <w:highlight w:val="none"/>
          <w:lang w:val="en-US" w:eastAsia="zh-CN"/>
        </w:rPr>
        <w:t>机动链锯【核心产品】、</w:t>
      </w:r>
      <w:r>
        <w:rPr>
          <w:rFonts w:hint="eastAsia" w:ascii="仿宋" w:hAnsi="仿宋" w:eastAsia="仿宋" w:cs="Times New Roman"/>
          <w:bCs/>
          <w:szCs w:val="28"/>
          <w:highlight w:val="none"/>
        </w:rPr>
        <w:t>电动链锯</w:t>
      </w:r>
      <w:r>
        <w:tab/>
      </w:r>
      <w:r>
        <w:fldChar w:fldCharType="begin"/>
      </w:r>
      <w:r>
        <w:instrText xml:space="preserve"> PAGEREF _Toc24547 \h </w:instrText>
      </w:r>
      <w:r>
        <w:fldChar w:fldCharType="separate"/>
      </w:r>
      <w:r>
        <w:t>136</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_Toc18293 </w:instrText>
      </w:r>
      <w:r>
        <w:rPr>
          <w:rFonts w:ascii="Times New Roman" w:hAnsi="Times New Roman" w:eastAsiaTheme="minorEastAsia"/>
          <w:bCs/>
          <w:i w:val="0"/>
          <w:iCs w:val="0"/>
          <w:szCs w:val="21"/>
          <w:highlight w:val="none"/>
        </w:rPr>
        <w:fldChar w:fldCharType="separate"/>
      </w:r>
      <w:r>
        <w:rPr>
          <w:rFonts w:hint="eastAsia" w:ascii="仿宋" w:hAnsi="仿宋" w:eastAsia="仿宋" w:cs="Times New Roman"/>
          <w:bCs/>
          <w:szCs w:val="28"/>
          <w:highlight w:val="none"/>
          <w:lang w:val="en-US" w:eastAsia="zh-CN"/>
        </w:rPr>
        <w:t>17包</w:t>
      </w:r>
      <w:r>
        <w:rPr>
          <w:rFonts w:hint="eastAsia" w:ascii="仿宋" w:hAnsi="仿宋" w:eastAsia="仿宋" w:cs="Times New Roman"/>
          <w:bCs/>
          <w:szCs w:val="28"/>
          <w:highlight w:val="none"/>
        </w:rPr>
        <w:t>：</w:t>
      </w:r>
      <w:r>
        <w:rPr>
          <w:rFonts w:hint="eastAsia" w:ascii="仿宋" w:hAnsi="仿宋" w:eastAsia="仿宋" w:cs="Times New Roman"/>
          <w:bCs/>
          <w:szCs w:val="28"/>
          <w:highlight w:val="none"/>
          <w:lang w:val="en-US" w:eastAsia="zh-CN"/>
        </w:rPr>
        <w:t>绳锯</w:t>
      </w:r>
      <w:r>
        <w:tab/>
      </w:r>
      <w:r>
        <w:fldChar w:fldCharType="begin"/>
      </w:r>
      <w:r>
        <w:instrText xml:space="preserve"> PAGEREF _Toc18293 \h </w:instrText>
      </w:r>
      <w:r>
        <w:fldChar w:fldCharType="separate"/>
      </w:r>
      <w:r>
        <w:t>142</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_Toc25533 </w:instrText>
      </w:r>
      <w:r>
        <w:rPr>
          <w:rFonts w:ascii="Times New Roman" w:hAnsi="Times New Roman" w:eastAsiaTheme="minorEastAsia"/>
          <w:bCs/>
          <w:i w:val="0"/>
          <w:iCs w:val="0"/>
          <w:szCs w:val="21"/>
          <w:highlight w:val="none"/>
        </w:rPr>
        <w:fldChar w:fldCharType="separate"/>
      </w:r>
      <w:r>
        <w:rPr>
          <w:rFonts w:hint="eastAsia" w:ascii="仿宋" w:hAnsi="仿宋" w:eastAsia="仿宋" w:cs="Times New Roman"/>
          <w:bCs/>
          <w:szCs w:val="28"/>
          <w:highlight w:val="none"/>
          <w:lang w:val="en-US" w:eastAsia="zh-CN"/>
        </w:rPr>
        <w:t>20包</w:t>
      </w:r>
      <w:r>
        <w:rPr>
          <w:rFonts w:hint="eastAsia" w:ascii="仿宋" w:hAnsi="仿宋" w:eastAsia="仿宋" w:cs="Times New Roman"/>
          <w:bCs/>
          <w:szCs w:val="28"/>
          <w:highlight w:val="none"/>
        </w:rPr>
        <w:t>：</w:t>
      </w:r>
      <w:r>
        <w:rPr>
          <w:rFonts w:hint="eastAsia" w:ascii="仿宋" w:hAnsi="仿宋" w:eastAsia="仿宋" w:cs="Times New Roman"/>
          <w:bCs/>
          <w:szCs w:val="28"/>
          <w:highlight w:val="none"/>
          <w:lang w:val="en-US" w:eastAsia="zh-CN"/>
        </w:rPr>
        <w:t>电动液压剪扩组</w:t>
      </w:r>
      <w:r>
        <w:tab/>
      </w:r>
      <w:r>
        <w:fldChar w:fldCharType="begin"/>
      </w:r>
      <w:r>
        <w:instrText xml:space="preserve"> PAGEREF _Toc25533 \h </w:instrText>
      </w:r>
      <w:r>
        <w:fldChar w:fldCharType="separate"/>
      </w:r>
      <w:r>
        <w:t>147</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_Toc32344 </w:instrText>
      </w:r>
      <w:r>
        <w:rPr>
          <w:rFonts w:ascii="Times New Roman" w:hAnsi="Times New Roman" w:eastAsiaTheme="minorEastAsia"/>
          <w:bCs/>
          <w:i w:val="0"/>
          <w:iCs w:val="0"/>
          <w:szCs w:val="21"/>
          <w:highlight w:val="none"/>
        </w:rPr>
        <w:fldChar w:fldCharType="separate"/>
      </w:r>
      <w:r>
        <w:rPr>
          <w:rFonts w:hint="eastAsia" w:ascii="仿宋" w:hAnsi="仿宋" w:eastAsia="仿宋" w:cs="Times New Roman"/>
          <w:bCs/>
          <w:szCs w:val="28"/>
          <w:highlight w:val="none"/>
          <w:lang w:val="en-US" w:eastAsia="zh-CN"/>
        </w:rPr>
        <w:t>22包</w:t>
      </w:r>
      <w:r>
        <w:rPr>
          <w:rFonts w:hint="eastAsia" w:ascii="仿宋" w:hAnsi="仿宋" w:eastAsia="仿宋" w:cs="Times New Roman"/>
          <w:bCs/>
          <w:szCs w:val="28"/>
          <w:highlight w:val="none"/>
        </w:rPr>
        <w:t>：</w:t>
      </w:r>
      <w:r>
        <w:rPr>
          <w:rFonts w:hint="eastAsia" w:ascii="仿宋" w:hAnsi="仿宋" w:eastAsia="仿宋" w:cs="Times New Roman"/>
          <w:bCs/>
          <w:szCs w:val="28"/>
          <w:highlight w:val="none"/>
          <w:lang w:val="en-US" w:eastAsia="zh-CN"/>
        </w:rPr>
        <w:t>等离子切割机【核心产品】、氧炔气焊切割设备</w:t>
      </w:r>
      <w:r>
        <w:tab/>
      </w:r>
      <w:r>
        <w:fldChar w:fldCharType="begin"/>
      </w:r>
      <w:r>
        <w:instrText xml:space="preserve"> PAGEREF _Toc32344 \h </w:instrText>
      </w:r>
      <w:r>
        <w:fldChar w:fldCharType="separate"/>
      </w:r>
      <w:r>
        <w:t>152</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_Toc26336 </w:instrText>
      </w:r>
      <w:r>
        <w:rPr>
          <w:rFonts w:ascii="Times New Roman" w:hAnsi="Times New Roman" w:eastAsiaTheme="minorEastAsia"/>
          <w:bCs/>
          <w:i w:val="0"/>
          <w:iCs w:val="0"/>
          <w:szCs w:val="21"/>
          <w:highlight w:val="none"/>
        </w:rPr>
        <w:fldChar w:fldCharType="separate"/>
      </w:r>
      <w:r>
        <w:rPr>
          <w:rFonts w:hint="eastAsia" w:ascii="仿宋" w:hAnsi="仿宋" w:eastAsia="仿宋" w:cs="Times New Roman"/>
          <w:bCs/>
          <w:szCs w:val="28"/>
          <w:highlight w:val="none"/>
          <w:lang w:val="en-US" w:eastAsia="zh-CN"/>
        </w:rPr>
        <w:t>25包</w:t>
      </w:r>
      <w:r>
        <w:rPr>
          <w:rFonts w:hint="eastAsia" w:ascii="仿宋" w:hAnsi="仿宋" w:eastAsia="仿宋" w:cs="Times New Roman"/>
          <w:bCs/>
          <w:szCs w:val="28"/>
          <w:highlight w:val="none"/>
        </w:rPr>
        <w:t>：</w:t>
      </w:r>
      <w:r>
        <w:rPr>
          <w:rFonts w:hint="eastAsia" w:ascii="仿宋" w:hAnsi="仿宋" w:eastAsia="仿宋" w:cs="Times New Roman"/>
          <w:bCs/>
          <w:szCs w:val="28"/>
          <w:highlight w:val="none"/>
          <w:lang w:val="en-US" w:eastAsia="zh-CN"/>
        </w:rPr>
        <w:t>牵拉器、木锯切割机、液压千斤顶、气动切割刀、毁锁器【核心产品】</w:t>
      </w:r>
      <w:r>
        <w:tab/>
      </w:r>
      <w:r>
        <w:fldChar w:fldCharType="begin"/>
      </w:r>
      <w:r>
        <w:instrText xml:space="preserve"> PAGEREF _Toc26336 \h </w:instrText>
      </w:r>
      <w:r>
        <w:fldChar w:fldCharType="separate"/>
      </w:r>
      <w:r>
        <w:t>157</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_Toc12330 </w:instrText>
      </w:r>
      <w:r>
        <w:rPr>
          <w:rFonts w:ascii="Times New Roman" w:hAnsi="Times New Roman" w:eastAsiaTheme="minorEastAsia"/>
          <w:bCs/>
          <w:i w:val="0"/>
          <w:iCs w:val="0"/>
          <w:szCs w:val="21"/>
          <w:highlight w:val="none"/>
        </w:rPr>
        <w:fldChar w:fldCharType="separate"/>
      </w:r>
      <w:r>
        <w:rPr>
          <w:rFonts w:hint="eastAsia" w:ascii="仿宋" w:hAnsi="仿宋" w:eastAsia="仿宋" w:cs="Times New Roman"/>
          <w:bCs/>
          <w:szCs w:val="28"/>
          <w:highlight w:val="none"/>
          <w:lang w:val="en-US" w:eastAsia="zh-CN"/>
        </w:rPr>
        <w:t>28包</w:t>
      </w:r>
      <w:r>
        <w:rPr>
          <w:rFonts w:hint="eastAsia" w:ascii="仿宋" w:hAnsi="仿宋" w:eastAsia="仿宋" w:cs="Times New Roman"/>
          <w:bCs/>
          <w:szCs w:val="28"/>
          <w:highlight w:val="none"/>
        </w:rPr>
        <w:t>：狭小空间排烟机、强制送风呼吸器、坑道小型空气输送机、水驱动排烟机【核心产品】</w:t>
      </w:r>
      <w:r>
        <w:tab/>
      </w:r>
      <w:r>
        <w:fldChar w:fldCharType="begin"/>
      </w:r>
      <w:r>
        <w:instrText xml:space="preserve"> PAGEREF _Toc12330 \h </w:instrText>
      </w:r>
      <w:r>
        <w:fldChar w:fldCharType="separate"/>
      </w:r>
      <w:r>
        <w:t>163</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_Toc2009 </w:instrText>
      </w:r>
      <w:r>
        <w:rPr>
          <w:rFonts w:ascii="Times New Roman" w:hAnsi="Times New Roman" w:eastAsiaTheme="minorEastAsia"/>
          <w:bCs/>
          <w:i w:val="0"/>
          <w:iCs w:val="0"/>
          <w:szCs w:val="21"/>
          <w:highlight w:val="none"/>
        </w:rPr>
        <w:fldChar w:fldCharType="separate"/>
      </w:r>
      <w:r>
        <w:rPr>
          <w:rFonts w:hint="eastAsia" w:ascii="仿宋" w:hAnsi="仿宋" w:eastAsia="仿宋" w:cs="Times New Roman"/>
          <w:bCs/>
          <w:szCs w:val="28"/>
          <w:highlight w:val="none"/>
          <w:lang w:val="en-US" w:eastAsia="zh-CN"/>
        </w:rPr>
        <w:t>33包：救生抛投器【核心产品】、救援三角架</w:t>
      </w:r>
      <w:r>
        <w:tab/>
      </w:r>
      <w:r>
        <w:fldChar w:fldCharType="begin"/>
      </w:r>
      <w:r>
        <w:instrText xml:space="preserve"> PAGEREF _Toc2009 \h </w:instrText>
      </w:r>
      <w:r>
        <w:fldChar w:fldCharType="separate"/>
      </w:r>
      <w:r>
        <w:t>169</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_Toc29081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szCs w:val="28"/>
          <w:lang w:val="en-US" w:eastAsia="zh-CN"/>
        </w:rPr>
        <w:t>34包</w:t>
      </w:r>
      <w:r>
        <w:rPr>
          <w:rFonts w:hint="eastAsia" w:ascii="仿宋" w:hAnsi="仿宋" w:eastAsia="仿宋" w:cs="仿宋"/>
          <w:szCs w:val="28"/>
        </w:rPr>
        <w:t>：消防艇</w:t>
      </w:r>
      <w:r>
        <w:tab/>
      </w:r>
      <w:r>
        <w:fldChar w:fldCharType="begin"/>
      </w:r>
      <w:r>
        <w:instrText xml:space="preserve"> PAGEREF _Toc29081 \h </w:instrText>
      </w:r>
      <w:r>
        <w:fldChar w:fldCharType="separate"/>
      </w:r>
      <w:r>
        <w:t>175</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_Toc32677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szCs w:val="21"/>
          <w:lang w:val="en-US" w:eastAsia="zh-CN"/>
        </w:rPr>
        <w:t>35包：充气救援艇（配舷外机）（核心产品：橡皮艇)</w:t>
      </w:r>
      <w:r>
        <w:tab/>
      </w:r>
      <w:r>
        <w:fldChar w:fldCharType="begin"/>
      </w:r>
      <w:r>
        <w:instrText xml:space="preserve"> PAGEREF _Toc32677 \h </w:instrText>
      </w:r>
      <w:r>
        <w:fldChar w:fldCharType="separate"/>
      </w:r>
      <w:r>
        <w:t>179</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_Toc23176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szCs w:val="21"/>
          <w:lang w:val="en-US" w:eastAsia="zh-CN"/>
        </w:rPr>
        <w:t>36包：冲锋舟（配舷外机）（核心产品：冲锋舟)、舷外机</w:t>
      </w:r>
      <w:r>
        <w:tab/>
      </w:r>
      <w:r>
        <w:fldChar w:fldCharType="begin"/>
      </w:r>
      <w:r>
        <w:instrText xml:space="preserve"> PAGEREF _Toc23176 \h </w:instrText>
      </w:r>
      <w:r>
        <w:fldChar w:fldCharType="separate"/>
      </w:r>
      <w:r>
        <w:t>184</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_Toc17908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szCs w:val="21"/>
          <w:lang w:val="en-US" w:eastAsia="zh-CN"/>
        </w:rPr>
        <w:t>39包：摩托艇</w:t>
      </w:r>
      <w:r>
        <w:tab/>
      </w:r>
      <w:r>
        <w:fldChar w:fldCharType="begin"/>
      </w:r>
      <w:r>
        <w:instrText xml:space="preserve"> PAGEREF _Toc17908 \h </w:instrText>
      </w:r>
      <w:r>
        <w:fldChar w:fldCharType="separate"/>
      </w:r>
      <w:r>
        <w:t>190</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_Toc11745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szCs w:val="21"/>
          <w:lang w:val="en-US" w:eastAsia="zh-CN"/>
        </w:rPr>
        <w:t>40包：定位浮标、充气救生筏【核心产品】、可漂浮救生担架（漂浮担架）</w:t>
      </w:r>
      <w:r>
        <w:tab/>
      </w:r>
      <w:r>
        <w:fldChar w:fldCharType="begin"/>
      </w:r>
      <w:r>
        <w:instrText xml:space="preserve"> PAGEREF _Toc11745 \h </w:instrText>
      </w:r>
      <w:r>
        <w:fldChar w:fldCharType="separate"/>
      </w:r>
      <w:r>
        <w:t>195</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_Toc23606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szCs w:val="28"/>
          <w:lang w:val="en-US" w:eastAsia="zh-CN"/>
        </w:rPr>
        <w:t>46包：高压气瓶、正压式空气呼吸器碳纤维气瓶【核心产品】</w:t>
      </w:r>
      <w:r>
        <w:tab/>
      </w:r>
      <w:r>
        <w:fldChar w:fldCharType="begin"/>
      </w:r>
      <w:r>
        <w:instrText xml:space="preserve"> PAGEREF _Toc23606 \h </w:instrText>
      </w:r>
      <w:r>
        <w:fldChar w:fldCharType="separate"/>
      </w:r>
      <w:r>
        <w:t>200</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_Toc12501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szCs w:val="28"/>
          <w:lang w:val="en-US" w:eastAsia="zh-CN"/>
        </w:rPr>
        <w:t>47包：卷扬机、消防梯15米【核心产品】、移动水带收卷机</w:t>
      </w:r>
      <w:r>
        <w:tab/>
      </w:r>
      <w:r>
        <w:fldChar w:fldCharType="begin"/>
      </w:r>
      <w:r>
        <w:instrText xml:space="preserve"> PAGEREF _Toc12501 \h </w:instrText>
      </w:r>
      <w:r>
        <w:fldChar w:fldCharType="separate"/>
      </w:r>
      <w:r>
        <w:t>205</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_Toc7763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szCs w:val="28"/>
          <w:lang w:val="en-US" w:eastAsia="zh-CN"/>
        </w:rPr>
        <w:t>53包：滑轮套装、挂钩套装、绳索救援套装【核心产品】</w:t>
      </w:r>
      <w:r>
        <w:tab/>
      </w:r>
      <w:r>
        <w:fldChar w:fldCharType="begin"/>
      </w:r>
      <w:r>
        <w:instrText xml:space="preserve"> PAGEREF _Toc7763 \h </w:instrText>
      </w:r>
      <w:r>
        <w:fldChar w:fldCharType="separate"/>
      </w:r>
      <w:r>
        <w:t>210</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_Toc13627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szCs w:val="28"/>
          <w:lang w:val="en-US" w:eastAsia="zh-CN"/>
        </w:rPr>
        <w:t>55包：抢险救援服装（核心产品：冬款消防员抢险救援防护服（消防员款）)</w:t>
      </w:r>
      <w:r>
        <w:tab/>
      </w:r>
      <w:r>
        <w:fldChar w:fldCharType="begin"/>
      </w:r>
      <w:r>
        <w:instrText xml:space="preserve"> PAGEREF _Toc13627 \h </w:instrText>
      </w:r>
      <w:r>
        <w:fldChar w:fldCharType="separate"/>
      </w:r>
      <w:r>
        <w:t>216</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_Toc11785 </w:instrText>
      </w:r>
      <w:r>
        <w:rPr>
          <w:rFonts w:ascii="Times New Roman" w:hAnsi="Times New Roman" w:eastAsiaTheme="minorEastAsia"/>
          <w:bCs/>
          <w:i w:val="0"/>
          <w:iCs w:val="0"/>
          <w:szCs w:val="21"/>
          <w:highlight w:val="none"/>
        </w:rPr>
        <w:fldChar w:fldCharType="separate"/>
      </w:r>
      <w:r>
        <w:rPr>
          <w:rFonts w:hint="eastAsia" w:ascii="仿宋" w:hAnsi="仿宋" w:eastAsia="仿宋" w:cs="Times New Roman"/>
          <w:bCs/>
          <w:szCs w:val="28"/>
          <w:highlight w:val="none"/>
          <w:lang w:val="en-US" w:eastAsia="zh-CN"/>
        </w:rPr>
        <w:t>61包</w:t>
      </w:r>
      <w:r>
        <w:rPr>
          <w:rFonts w:hint="eastAsia" w:ascii="仿宋" w:hAnsi="仿宋" w:eastAsia="仿宋" w:cs="Times New Roman"/>
          <w:bCs/>
          <w:szCs w:val="28"/>
          <w:highlight w:val="none"/>
        </w:rPr>
        <w:t>：</w:t>
      </w:r>
      <w:r>
        <w:rPr>
          <w:rFonts w:hint="eastAsia" w:ascii="仿宋" w:hAnsi="仿宋" w:eastAsia="仿宋" w:cs="Times New Roman"/>
          <w:bCs/>
          <w:szCs w:val="28"/>
          <w:highlight w:val="none"/>
          <w:lang w:val="en-US" w:eastAsia="zh-CN"/>
        </w:rPr>
        <w:t>充气式上浮系统、救援桨板、救生拉杆</w:t>
      </w:r>
      <w:r>
        <w:rPr>
          <w:rFonts w:hint="eastAsia" w:ascii="仿宋" w:hAnsi="仿宋" w:eastAsia="仿宋" w:cs="Times New Roman"/>
          <w:bCs/>
          <w:szCs w:val="28"/>
          <w:highlight w:val="none"/>
        </w:rPr>
        <w:t>【核心产品】</w:t>
      </w:r>
      <w:r>
        <w:rPr>
          <w:rFonts w:hint="eastAsia" w:ascii="仿宋" w:hAnsi="仿宋" w:eastAsia="仿宋" w:cs="Times New Roman"/>
          <w:bCs/>
          <w:szCs w:val="28"/>
          <w:highlight w:val="none"/>
          <w:lang w:val="en-US" w:eastAsia="zh-CN"/>
        </w:rPr>
        <w:t>、滚钩、充气式救生浮板、水下起吊工具组</w:t>
      </w:r>
      <w:r>
        <w:tab/>
      </w:r>
      <w:r>
        <w:fldChar w:fldCharType="begin"/>
      </w:r>
      <w:r>
        <w:instrText xml:space="preserve"> PAGEREF _Toc11785 \h </w:instrText>
      </w:r>
      <w:r>
        <w:fldChar w:fldCharType="separate"/>
      </w:r>
      <w:r>
        <w:t>222</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_Toc14333 </w:instrText>
      </w:r>
      <w:r>
        <w:rPr>
          <w:rFonts w:ascii="Times New Roman" w:hAnsi="Times New Roman" w:eastAsiaTheme="minorEastAsia"/>
          <w:bCs/>
          <w:i w:val="0"/>
          <w:iCs w:val="0"/>
          <w:szCs w:val="21"/>
          <w:highlight w:val="none"/>
        </w:rPr>
        <w:fldChar w:fldCharType="separate"/>
      </w:r>
      <w:r>
        <w:rPr>
          <w:rFonts w:hint="eastAsia" w:ascii="仿宋" w:hAnsi="仿宋" w:eastAsia="仿宋" w:cs="Times New Roman"/>
          <w:bCs/>
          <w:szCs w:val="28"/>
          <w:highlight w:val="none"/>
          <w:lang w:val="en-US" w:eastAsia="zh-CN"/>
        </w:rPr>
        <w:t>64包：水下推进器、水下红外夜视仪【核心产品】、水下金属探测仪</w:t>
      </w:r>
      <w:r>
        <w:tab/>
      </w:r>
      <w:r>
        <w:fldChar w:fldCharType="begin"/>
      </w:r>
      <w:r>
        <w:instrText xml:space="preserve"> PAGEREF _Toc14333 \h </w:instrText>
      </w:r>
      <w:r>
        <w:fldChar w:fldCharType="separate"/>
      </w:r>
      <w:r>
        <w:t>228</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_Toc30267 </w:instrText>
      </w:r>
      <w:r>
        <w:rPr>
          <w:rFonts w:ascii="Times New Roman" w:hAnsi="Times New Roman" w:eastAsiaTheme="minorEastAsia"/>
          <w:bCs/>
          <w:i w:val="0"/>
          <w:iCs w:val="0"/>
          <w:szCs w:val="21"/>
          <w:highlight w:val="none"/>
        </w:rPr>
        <w:fldChar w:fldCharType="separate"/>
      </w:r>
      <w:r>
        <w:rPr>
          <w:rFonts w:hint="eastAsia" w:ascii="仿宋" w:hAnsi="仿宋" w:eastAsia="仿宋" w:cs="Times New Roman"/>
          <w:bCs/>
          <w:szCs w:val="28"/>
          <w:highlight w:val="none"/>
          <w:lang w:val="en-US" w:eastAsia="zh-CN"/>
        </w:rPr>
        <w:t>65包：无电切割刀【核心产品】、金属弧水陆切割器、水下电焊切割机</w:t>
      </w:r>
      <w:r>
        <w:tab/>
      </w:r>
      <w:r>
        <w:fldChar w:fldCharType="begin"/>
      </w:r>
      <w:r>
        <w:instrText xml:space="preserve"> PAGEREF _Toc30267 \h </w:instrText>
      </w:r>
      <w:r>
        <w:fldChar w:fldCharType="separate"/>
      </w:r>
      <w:r>
        <w:t>234</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_Toc15266 </w:instrText>
      </w:r>
      <w:r>
        <w:rPr>
          <w:rFonts w:ascii="Times New Roman" w:hAnsi="Times New Roman" w:eastAsiaTheme="minorEastAsia"/>
          <w:bCs/>
          <w:i w:val="0"/>
          <w:iCs w:val="0"/>
          <w:szCs w:val="21"/>
          <w:highlight w:val="none"/>
        </w:rPr>
        <w:fldChar w:fldCharType="separate"/>
      </w:r>
      <w:r>
        <w:rPr>
          <w:rFonts w:hint="eastAsia" w:ascii="仿宋" w:hAnsi="仿宋" w:eastAsia="仿宋" w:cs="Times New Roman"/>
          <w:bCs/>
          <w:szCs w:val="28"/>
          <w:highlight w:val="none"/>
          <w:lang w:val="en-US" w:eastAsia="zh-CN"/>
        </w:rPr>
        <w:t>68包：排水机器人【核心产品】、移动水囊</w:t>
      </w:r>
      <w:r>
        <w:tab/>
      </w:r>
      <w:r>
        <w:fldChar w:fldCharType="begin"/>
      </w:r>
      <w:r>
        <w:instrText xml:space="preserve"> PAGEREF _Toc15266 \h </w:instrText>
      </w:r>
      <w:r>
        <w:fldChar w:fldCharType="separate"/>
      </w:r>
      <w:r>
        <w:t>239</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_Toc28089 </w:instrText>
      </w:r>
      <w:r>
        <w:rPr>
          <w:rFonts w:ascii="Times New Roman" w:hAnsi="Times New Roman" w:eastAsiaTheme="minorEastAsia"/>
          <w:bCs/>
          <w:i w:val="0"/>
          <w:iCs w:val="0"/>
          <w:szCs w:val="21"/>
          <w:highlight w:val="none"/>
        </w:rPr>
        <w:fldChar w:fldCharType="separate"/>
      </w:r>
      <w:r>
        <w:rPr>
          <w:rFonts w:hint="eastAsia" w:ascii="仿宋" w:hAnsi="仿宋" w:eastAsia="仿宋" w:cs="Times New Roman"/>
          <w:bCs/>
          <w:szCs w:val="28"/>
          <w:highlight w:val="none"/>
          <w:lang w:val="en-US" w:eastAsia="zh-CN"/>
        </w:rPr>
        <w:t>70包</w:t>
      </w:r>
      <w:r>
        <w:rPr>
          <w:rFonts w:hint="eastAsia" w:ascii="仿宋" w:hAnsi="仿宋" w:eastAsia="仿宋" w:cs="Times New Roman"/>
          <w:bCs/>
          <w:szCs w:val="28"/>
          <w:highlight w:val="none"/>
        </w:rPr>
        <w:t>：</w:t>
      </w:r>
      <w:r>
        <w:rPr>
          <w:rFonts w:hint="eastAsia" w:ascii="仿宋" w:hAnsi="仿宋" w:eastAsia="仿宋" w:cs="Times New Roman"/>
          <w:bCs/>
          <w:szCs w:val="28"/>
          <w:highlight w:val="none"/>
          <w:lang w:val="en-US" w:eastAsia="zh-CN"/>
        </w:rPr>
        <w:t>冰面行动辅助套装、冰面救援滑板、冰面救援服</w:t>
      </w:r>
      <w:r>
        <w:rPr>
          <w:rFonts w:hint="eastAsia" w:ascii="仿宋" w:hAnsi="仿宋" w:eastAsia="仿宋" w:cs="Times New Roman"/>
          <w:bCs/>
          <w:szCs w:val="28"/>
          <w:highlight w:val="none"/>
        </w:rPr>
        <w:t>【核心产品】</w:t>
      </w:r>
      <w:r>
        <w:tab/>
      </w:r>
      <w:r>
        <w:fldChar w:fldCharType="begin"/>
      </w:r>
      <w:r>
        <w:instrText xml:space="preserve"> PAGEREF _Toc28089 \h </w:instrText>
      </w:r>
      <w:r>
        <w:fldChar w:fldCharType="separate"/>
      </w:r>
      <w:r>
        <w:t>245</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_Toc2172 </w:instrText>
      </w:r>
      <w:r>
        <w:rPr>
          <w:rFonts w:ascii="Times New Roman" w:hAnsi="Times New Roman" w:eastAsiaTheme="minorEastAsia"/>
          <w:bCs/>
          <w:i w:val="0"/>
          <w:iCs w:val="0"/>
          <w:szCs w:val="21"/>
          <w:highlight w:val="none"/>
        </w:rPr>
        <w:fldChar w:fldCharType="separate"/>
      </w:r>
      <w:r>
        <w:rPr>
          <w:rFonts w:hint="eastAsia" w:ascii="仿宋" w:hAnsi="仿宋" w:eastAsia="仿宋" w:cs="Times New Roman"/>
          <w:bCs/>
          <w:szCs w:val="28"/>
          <w:highlight w:val="none"/>
          <w:lang w:val="en-US" w:eastAsia="zh-CN"/>
        </w:rPr>
        <w:t>72包</w:t>
      </w:r>
      <w:r>
        <w:rPr>
          <w:rFonts w:hint="eastAsia" w:ascii="仿宋" w:hAnsi="仿宋" w:eastAsia="仿宋" w:cs="Times New Roman"/>
          <w:bCs/>
          <w:szCs w:val="28"/>
          <w:highlight w:val="none"/>
        </w:rPr>
        <w:t>：化学氧自救呼吸器</w:t>
      </w:r>
      <w:r>
        <w:tab/>
      </w:r>
      <w:r>
        <w:fldChar w:fldCharType="begin"/>
      </w:r>
      <w:r>
        <w:instrText xml:space="preserve"> PAGEREF _Toc2172 \h </w:instrText>
      </w:r>
      <w:r>
        <w:fldChar w:fldCharType="separate"/>
      </w:r>
      <w:r>
        <w:t>250</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_Toc15691 </w:instrText>
      </w:r>
      <w:r>
        <w:rPr>
          <w:rFonts w:ascii="Times New Roman" w:hAnsi="Times New Roman" w:eastAsiaTheme="minorEastAsia"/>
          <w:bCs/>
          <w:i w:val="0"/>
          <w:iCs w:val="0"/>
          <w:szCs w:val="21"/>
          <w:highlight w:val="none"/>
        </w:rPr>
        <w:fldChar w:fldCharType="separate"/>
      </w:r>
      <w:r>
        <w:rPr>
          <w:rFonts w:hint="eastAsia" w:ascii="仿宋" w:hAnsi="仿宋" w:eastAsia="仿宋" w:cs="Times New Roman"/>
          <w:bCs/>
          <w:szCs w:val="28"/>
          <w:highlight w:val="none"/>
          <w:lang w:val="en-US" w:eastAsia="zh-CN"/>
        </w:rPr>
        <w:t>77包</w:t>
      </w:r>
      <w:r>
        <w:rPr>
          <w:rFonts w:hint="eastAsia" w:ascii="仿宋" w:hAnsi="仿宋" w:eastAsia="仿宋" w:cs="Times New Roman"/>
          <w:bCs/>
          <w:szCs w:val="28"/>
          <w:highlight w:val="none"/>
        </w:rPr>
        <w:t>：</w:t>
      </w:r>
      <w:r>
        <w:rPr>
          <w:rFonts w:hint="eastAsia" w:ascii="仿宋" w:hAnsi="仿宋" w:eastAsia="仿宋" w:cs="Times New Roman"/>
          <w:bCs/>
          <w:szCs w:val="28"/>
          <w:highlight w:val="none"/>
          <w:lang w:val="en-US" w:eastAsia="zh-CN"/>
        </w:rPr>
        <w:t>角磨机【核心产品】、电钻</w:t>
      </w:r>
      <w:r>
        <w:tab/>
      </w:r>
      <w:r>
        <w:fldChar w:fldCharType="begin"/>
      </w:r>
      <w:r>
        <w:instrText xml:space="preserve"> PAGEREF _Toc15691 \h </w:instrText>
      </w:r>
      <w:r>
        <w:fldChar w:fldCharType="separate"/>
      </w:r>
      <w:r>
        <w:t>255</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_Toc1801 </w:instrText>
      </w:r>
      <w:r>
        <w:rPr>
          <w:rFonts w:ascii="Times New Roman" w:hAnsi="Times New Roman" w:eastAsiaTheme="minorEastAsia"/>
          <w:bCs/>
          <w:i w:val="0"/>
          <w:iCs w:val="0"/>
          <w:szCs w:val="21"/>
          <w:highlight w:val="none"/>
        </w:rPr>
        <w:fldChar w:fldCharType="separate"/>
      </w:r>
      <w:r>
        <w:rPr>
          <w:rFonts w:hint="eastAsia" w:ascii="仿宋" w:hAnsi="仿宋" w:eastAsia="仿宋" w:cs="Times New Roman"/>
          <w:bCs/>
          <w:szCs w:val="28"/>
          <w:highlight w:val="none"/>
          <w:lang w:val="en-US" w:eastAsia="zh-CN"/>
        </w:rPr>
        <w:t>79包</w:t>
      </w:r>
      <w:r>
        <w:rPr>
          <w:rFonts w:hint="eastAsia" w:ascii="仿宋" w:hAnsi="仿宋" w:eastAsia="仿宋" w:cs="Times New Roman"/>
          <w:bCs/>
          <w:szCs w:val="28"/>
          <w:highlight w:val="none"/>
        </w:rPr>
        <w:t>：</w:t>
      </w:r>
      <w:r>
        <w:rPr>
          <w:rFonts w:hint="eastAsia" w:ascii="仿宋" w:hAnsi="仿宋" w:eastAsia="仿宋" w:cs="Times New Roman"/>
          <w:bCs/>
          <w:szCs w:val="28"/>
          <w:highlight w:val="none"/>
          <w:lang w:val="en-US" w:eastAsia="zh-CN"/>
        </w:rPr>
        <w:t>防电服【核心产品】、电绝缘装具</w:t>
      </w:r>
      <w:r>
        <w:tab/>
      </w:r>
      <w:r>
        <w:fldChar w:fldCharType="begin"/>
      </w:r>
      <w:r>
        <w:instrText xml:space="preserve"> PAGEREF _Toc1801 \h </w:instrText>
      </w:r>
      <w:r>
        <w:fldChar w:fldCharType="separate"/>
      </w:r>
      <w:r>
        <w:t>260</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_Toc19198 </w:instrText>
      </w:r>
      <w:r>
        <w:rPr>
          <w:rFonts w:ascii="Times New Roman" w:hAnsi="Times New Roman" w:eastAsiaTheme="minorEastAsia"/>
          <w:bCs/>
          <w:i w:val="0"/>
          <w:iCs w:val="0"/>
          <w:szCs w:val="21"/>
          <w:highlight w:val="none"/>
        </w:rPr>
        <w:fldChar w:fldCharType="separate"/>
      </w:r>
      <w:r>
        <w:rPr>
          <w:rFonts w:hint="eastAsia" w:ascii="仿宋" w:hAnsi="仿宋" w:eastAsia="仿宋" w:cs="Times New Roman"/>
          <w:bCs/>
          <w:szCs w:val="28"/>
          <w:highlight w:val="none"/>
          <w:lang w:val="en-US" w:eastAsia="zh-CN"/>
        </w:rPr>
        <w:t>83包</w:t>
      </w:r>
      <w:r>
        <w:rPr>
          <w:rFonts w:hint="eastAsia" w:ascii="仿宋" w:hAnsi="仿宋" w:eastAsia="仿宋" w:cs="Times New Roman"/>
          <w:bCs/>
          <w:szCs w:val="28"/>
          <w:highlight w:val="none"/>
        </w:rPr>
        <w:t>：</w:t>
      </w:r>
      <w:r>
        <w:rPr>
          <w:rFonts w:hint="eastAsia" w:ascii="仿宋" w:hAnsi="仿宋" w:eastAsia="仿宋" w:cs="Times New Roman"/>
          <w:bCs/>
          <w:szCs w:val="28"/>
          <w:highlight w:val="none"/>
          <w:lang w:val="en-US" w:eastAsia="zh-CN"/>
        </w:rPr>
        <w:t>消防防坠落辅助部件【核心产品】、消防全身式安全吊带、消防通用安全绳、水面漂浮救生绳（200米）</w:t>
      </w:r>
      <w:r>
        <w:tab/>
      </w:r>
      <w:r>
        <w:fldChar w:fldCharType="begin"/>
      </w:r>
      <w:r>
        <w:instrText xml:space="preserve"> PAGEREF _Toc19198 \h </w:instrText>
      </w:r>
      <w:r>
        <w:fldChar w:fldCharType="separate"/>
      </w:r>
      <w:r>
        <w:t>265</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_Toc20094 </w:instrText>
      </w:r>
      <w:r>
        <w:rPr>
          <w:rFonts w:ascii="Times New Roman" w:hAnsi="Times New Roman" w:eastAsiaTheme="minorEastAsia"/>
          <w:bCs/>
          <w:i w:val="0"/>
          <w:iCs w:val="0"/>
          <w:szCs w:val="21"/>
          <w:highlight w:val="none"/>
        </w:rPr>
        <w:fldChar w:fldCharType="separate"/>
      </w:r>
      <w:r>
        <w:rPr>
          <w:rFonts w:hint="eastAsia" w:ascii="仿宋" w:hAnsi="仿宋" w:eastAsia="仿宋" w:cs="Times New Roman"/>
          <w:bCs/>
          <w:szCs w:val="28"/>
          <w:highlight w:val="none"/>
          <w:lang w:val="en-US" w:eastAsia="zh-CN"/>
        </w:rPr>
        <w:t>86包</w:t>
      </w:r>
      <w:r>
        <w:rPr>
          <w:rFonts w:hint="eastAsia" w:ascii="仿宋" w:hAnsi="仿宋" w:eastAsia="仿宋" w:cs="Times New Roman"/>
          <w:bCs/>
          <w:szCs w:val="28"/>
          <w:highlight w:val="none"/>
        </w:rPr>
        <w:t>：</w:t>
      </w:r>
      <w:r>
        <w:rPr>
          <w:rFonts w:hint="eastAsia" w:ascii="仿宋" w:hAnsi="仿宋" w:eastAsia="仿宋" w:cs="Times New Roman"/>
          <w:bCs/>
          <w:szCs w:val="28"/>
          <w:highlight w:val="none"/>
          <w:lang w:val="en-US" w:eastAsia="zh-CN"/>
        </w:rPr>
        <w:t>干式潜水衣【核心产品】、湿式潜水衣</w:t>
      </w:r>
      <w:r>
        <w:tab/>
      </w:r>
      <w:r>
        <w:fldChar w:fldCharType="begin"/>
      </w:r>
      <w:r>
        <w:instrText xml:space="preserve"> PAGEREF _Toc20094 \h </w:instrText>
      </w:r>
      <w:r>
        <w:fldChar w:fldCharType="separate"/>
      </w:r>
      <w:r>
        <w:t>271</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_Toc32015 </w:instrText>
      </w:r>
      <w:r>
        <w:rPr>
          <w:rFonts w:ascii="Times New Roman" w:hAnsi="Times New Roman" w:eastAsiaTheme="minorEastAsia"/>
          <w:bCs/>
          <w:i w:val="0"/>
          <w:iCs w:val="0"/>
          <w:szCs w:val="21"/>
          <w:highlight w:val="none"/>
        </w:rPr>
        <w:fldChar w:fldCharType="separate"/>
      </w:r>
      <w:r>
        <w:rPr>
          <w:rFonts w:hint="eastAsia" w:ascii="仿宋" w:hAnsi="仿宋" w:eastAsia="仿宋" w:cs="Times New Roman"/>
          <w:bCs/>
          <w:szCs w:val="28"/>
          <w:highlight w:val="none"/>
          <w:lang w:val="en-US" w:eastAsia="zh-CN"/>
        </w:rPr>
        <w:t>93包：堵漏工具组</w:t>
      </w:r>
      <w:r>
        <w:tab/>
      </w:r>
      <w:r>
        <w:fldChar w:fldCharType="begin"/>
      </w:r>
      <w:r>
        <w:instrText xml:space="preserve"> PAGEREF _Toc32015 \h </w:instrText>
      </w:r>
      <w:r>
        <w:fldChar w:fldCharType="separate"/>
      </w:r>
      <w:r>
        <w:t>277</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_Toc4255 </w:instrText>
      </w:r>
      <w:r>
        <w:rPr>
          <w:rFonts w:ascii="Times New Roman" w:hAnsi="Times New Roman" w:eastAsiaTheme="minorEastAsia"/>
          <w:bCs/>
          <w:i w:val="0"/>
          <w:iCs w:val="0"/>
          <w:szCs w:val="21"/>
          <w:highlight w:val="none"/>
        </w:rPr>
        <w:fldChar w:fldCharType="separate"/>
      </w:r>
      <w:r>
        <w:rPr>
          <w:rFonts w:hint="eastAsia" w:ascii="仿宋" w:hAnsi="仿宋" w:eastAsia="仿宋" w:cs="Times New Roman"/>
          <w:bCs/>
          <w:szCs w:val="28"/>
          <w:highlight w:val="none"/>
          <w:lang w:val="en-US" w:eastAsia="zh-CN"/>
        </w:rPr>
        <w:t>97包</w:t>
      </w:r>
      <w:r>
        <w:rPr>
          <w:rFonts w:hint="eastAsia" w:ascii="仿宋" w:hAnsi="仿宋" w:eastAsia="仿宋" w:cs="Times New Roman"/>
          <w:bCs/>
          <w:szCs w:val="28"/>
          <w:highlight w:val="none"/>
        </w:rPr>
        <w:t>：</w:t>
      </w:r>
      <w:r>
        <w:rPr>
          <w:rFonts w:hint="eastAsia" w:ascii="仿宋" w:hAnsi="仿宋" w:eastAsia="仿宋" w:cs="Times New Roman"/>
          <w:bCs/>
          <w:szCs w:val="28"/>
          <w:highlight w:val="none"/>
          <w:lang w:val="en-US" w:eastAsia="zh-CN"/>
        </w:rPr>
        <w:t>排用炊事单元、单兵携行包【核心产品】、净水设备</w:t>
      </w:r>
      <w:r>
        <w:tab/>
      </w:r>
      <w:r>
        <w:fldChar w:fldCharType="begin"/>
      </w:r>
      <w:r>
        <w:instrText xml:space="preserve"> PAGEREF _Toc4255 \h </w:instrText>
      </w:r>
      <w:r>
        <w:fldChar w:fldCharType="separate"/>
      </w:r>
      <w:r>
        <w:t>282</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_Toc22749 </w:instrText>
      </w:r>
      <w:r>
        <w:rPr>
          <w:rFonts w:ascii="Times New Roman" w:hAnsi="Times New Roman" w:eastAsiaTheme="minorEastAsia"/>
          <w:bCs/>
          <w:i w:val="0"/>
          <w:iCs w:val="0"/>
          <w:szCs w:val="21"/>
          <w:highlight w:val="none"/>
        </w:rPr>
        <w:fldChar w:fldCharType="separate"/>
      </w:r>
      <w:r>
        <w:rPr>
          <w:rFonts w:hint="eastAsia" w:ascii="仿宋" w:hAnsi="仿宋" w:eastAsia="仿宋" w:cs="Times New Roman"/>
          <w:bCs/>
          <w:szCs w:val="28"/>
          <w:highlight w:val="none"/>
          <w:lang w:val="en-US" w:eastAsia="zh-CN"/>
        </w:rPr>
        <w:t>98包：宿营方舱</w:t>
      </w:r>
      <w:r>
        <w:tab/>
      </w:r>
      <w:r>
        <w:fldChar w:fldCharType="begin"/>
      </w:r>
      <w:r>
        <w:instrText xml:space="preserve"> PAGEREF _Toc22749 \h </w:instrText>
      </w:r>
      <w:r>
        <w:fldChar w:fldCharType="separate"/>
      </w:r>
      <w:r>
        <w:t>287</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_Toc5445 </w:instrText>
      </w:r>
      <w:r>
        <w:rPr>
          <w:rFonts w:ascii="Times New Roman" w:hAnsi="Times New Roman" w:eastAsiaTheme="minorEastAsia"/>
          <w:bCs/>
          <w:i w:val="0"/>
          <w:iCs w:val="0"/>
          <w:szCs w:val="21"/>
          <w:highlight w:val="none"/>
        </w:rPr>
        <w:fldChar w:fldCharType="separate"/>
      </w:r>
      <w:r>
        <w:rPr>
          <w:rFonts w:hint="eastAsia" w:ascii="仿宋" w:hAnsi="仿宋" w:eastAsia="仿宋" w:cs="仿宋"/>
          <w:bCs/>
          <w:szCs w:val="28"/>
          <w:highlight w:val="none"/>
          <w:shd w:val="clear" w:fill="FFFFFF"/>
          <w:lang w:val="en-US" w:eastAsia="zh-CN"/>
        </w:rPr>
        <w:t>99</w:t>
      </w:r>
      <w:r>
        <w:rPr>
          <w:rFonts w:hint="default" w:ascii="仿宋" w:hAnsi="仿宋" w:eastAsia="仿宋" w:cs="仿宋"/>
          <w:bCs/>
          <w:szCs w:val="28"/>
          <w:highlight w:val="none"/>
          <w:shd w:val="clear" w:fill="FFFFFF"/>
        </w:rPr>
        <w:t>包：便携式推车</w:t>
      </w:r>
      <w:r>
        <w:tab/>
      </w:r>
      <w:r>
        <w:fldChar w:fldCharType="begin"/>
      </w:r>
      <w:r>
        <w:instrText xml:space="preserve"> PAGEREF _Toc5445 \h </w:instrText>
      </w:r>
      <w:r>
        <w:fldChar w:fldCharType="separate"/>
      </w:r>
      <w:r>
        <w:t>292</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_Toc1745 </w:instrText>
      </w:r>
      <w:r>
        <w:rPr>
          <w:rFonts w:ascii="Times New Roman" w:hAnsi="Times New Roman" w:eastAsiaTheme="minorEastAsia"/>
          <w:bCs/>
          <w:i w:val="0"/>
          <w:iCs w:val="0"/>
          <w:szCs w:val="21"/>
          <w:highlight w:val="none"/>
        </w:rPr>
        <w:fldChar w:fldCharType="separate"/>
      </w:r>
      <w:r>
        <w:rPr>
          <w:rFonts w:hint="eastAsia" w:ascii="仿宋" w:hAnsi="仿宋" w:eastAsia="仿宋" w:cs="Times New Roman"/>
          <w:bCs/>
          <w:szCs w:val="28"/>
          <w:highlight w:val="none"/>
          <w:lang w:val="en-US" w:eastAsia="zh-CN"/>
        </w:rPr>
        <w:t>103包：北斗有源终端、卫星电话【核心产品】</w:t>
      </w:r>
      <w:r>
        <w:tab/>
      </w:r>
      <w:r>
        <w:fldChar w:fldCharType="begin"/>
      </w:r>
      <w:r>
        <w:instrText xml:space="preserve"> PAGEREF _Toc1745 \h </w:instrText>
      </w:r>
      <w:r>
        <w:fldChar w:fldCharType="separate"/>
      </w:r>
      <w:r>
        <w:t>297</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_Toc19280 </w:instrText>
      </w:r>
      <w:r>
        <w:rPr>
          <w:rFonts w:ascii="Times New Roman" w:hAnsi="Times New Roman" w:eastAsiaTheme="minorEastAsia"/>
          <w:bCs/>
          <w:i w:val="0"/>
          <w:iCs w:val="0"/>
          <w:szCs w:val="21"/>
          <w:highlight w:val="none"/>
        </w:rPr>
        <w:fldChar w:fldCharType="separate"/>
      </w:r>
      <w:r>
        <w:rPr>
          <w:rFonts w:hint="eastAsia" w:ascii="仿宋" w:hAnsi="仿宋" w:eastAsia="仿宋" w:cs="Times New Roman"/>
          <w:bCs/>
          <w:szCs w:val="28"/>
          <w:highlight w:val="none"/>
          <w:lang w:val="en-US" w:eastAsia="zh-CN"/>
        </w:rPr>
        <w:t>107包</w:t>
      </w:r>
      <w:r>
        <w:rPr>
          <w:rFonts w:hint="eastAsia" w:ascii="仿宋" w:hAnsi="仿宋" w:eastAsia="仿宋" w:cs="Times New Roman"/>
          <w:bCs/>
          <w:szCs w:val="28"/>
          <w:highlight w:val="none"/>
        </w:rPr>
        <w:t>：手持电台【核心产品】、防水定位对讲机、骨传导通话装置</w:t>
      </w:r>
      <w:r>
        <w:tab/>
      </w:r>
      <w:r>
        <w:fldChar w:fldCharType="begin"/>
      </w:r>
      <w:r>
        <w:instrText xml:space="preserve"> PAGEREF _Toc19280 \h </w:instrText>
      </w:r>
      <w:r>
        <w:fldChar w:fldCharType="separate"/>
      </w:r>
      <w:r>
        <w:t>304</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_Toc18972 </w:instrText>
      </w:r>
      <w:r>
        <w:rPr>
          <w:rFonts w:ascii="Times New Roman" w:hAnsi="Times New Roman" w:eastAsiaTheme="minorEastAsia"/>
          <w:bCs/>
          <w:i w:val="0"/>
          <w:iCs w:val="0"/>
          <w:szCs w:val="21"/>
          <w:highlight w:val="none"/>
        </w:rPr>
        <w:fldChar w:fldCharType="separate"/>
      </w:r>
      <w:r>
        <w:rPr>
          <w:rFonts w:hint="eastAsia" w:ascii="仿宋" w:hAnsi="仿宋" w:eastAsia="仿宋" w:cs="Times New Roman"/>
          <w:bCs/>
          <w:szCs w:val="28"/>
          <w:highlight w:val="none"/>
          <w:lang w:val="en-US" w:eastAsia="zh-CN"/>
        </w:rPr>
        <w:t>108包</w:t>
      </w:r>
      <w:r>
        <w:rPr>
          <w:rFonts w:hint="eastAsia" w:ascii="仿宋" w:hAnsi="仿宋" w:eastAsia="仿宋" w:cs="Times New Roman"/>
          <w:bCs/>
          <w:szCs w:val="28"/>
          <w:highlight w:val="none"/>
        </w:rPr>
        <w:t>：公网集群对讲机</w:t>
      </w:r>
      <w:r>
        <w:tab/>
      </w:r>
      <w:r>
        <w:fldChar w:fldCharType="begin"/>
      </w:r>
      <w:r>
        <w:instrText xml:space="preserve"> PAGEREF _Toc18972 \h </w:instrText>
      </w:r>
      <w:r>
        <w:fldChar w:fldCharType="separate"/>
      </w:r>
      <w:r>
        <w:t>310</w:t>
      </w:r>
      <w:r>
        <w:fldChar w:fldCharType="end"/>
      </w:r>
      <w:r>
        <w:rPr>
          <w:rFonts w:ascii="Times New Roman" w:hAnsi="Times New Roman" w:eastAsiaTheme="minorEastAsia"/>
          <w:bCs/>
          <w:i w:val="0"/>
          <w:iCs w:val="0"/>
          <w:color w:val="auto"/>
          <w:szCs w:val="21"/>
          <w:highlight w:val="none"/>
        </w:rPr>
        <w:fldChar w:fldCharType="end"/>
      </w:r>
    </w:p>
    <w:p>
      <w:pPr>
        <w:pStyle w:val="32"/>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_Toc25036 </w:instrText>
      </w:r>
      <w:r>
        <w:rPr>
          <w:rFonts w:ascii="Times New Roman" w:hAnsi="Times New Roman" w:eastAsiaTheme="minorEastAsia"/>
          <w:bCs/>
          <w:i w:val="0"/>
          <w:iCs w:val="0"/>
          <w:szCs w:val="21"/>
          <w:highlight w:val="none"/>
        </w:rPr>
        <w:fldChar w:fldCharType="separate"/>
      </w:r>
      <w:r>
        <w:rPr>
          <w:rFonts w:hint="eastAsia" w:ascii="仿宋" w:hAnsi="仿宋" w:eastAsia="仿宋" w:cs="Times New Roman"/>
          <w:bCs/>
          <w:szCs w:val="28"/>
          <w:highlight w:val="none"/>
          <w:lang w:val="en-US" w:eastAsia="zh-CN"/>
        </w:rPr>
        <w:t>117包</w:t>
      </w:r>
      <w:r>
        <w:rPr>
          <w:rFonts w:hint="eastAsia" w:ascii="仿宋" w:hAnsi="仿宋" w:eastAsia="仿宋" w:cs="Times New Roman"/>
          <w:bCs/>
          <w:szCs w:val="28"/>
          <w:highlight w:val="none"/>
        </w:rPr>
        <w:t>：</w:t>
      </w:r>
      <w:r>
        <w:rPr>
          <w:rFonts w:hint="eastAsia" w:ascii="仿宋" w:hAnsi="仿宋" w:eastAsia="仿宋" w:cs="Times New Roman"/>
          <w:bCs/>
          <w:szCs w:val="28"/>
          <w:highlight w:val="none"/>
          <w:lang w:val="en-US" w:eastAsia="zh-CN"/>
        </w:rPr>
        <w:t>水下无线通信系统【核心产品】、水下摄像机</w:t>
      </w:r>
      <w:r>
        <w:tab/>
      </w:r>
      <w:r>
        <w:fldChar w:fldCharType="begin"/>
      </w:r>
      <w:r>
        <w:instrText xml:space="preserve"> PAGEREF _Toc25036 \h </w:instrText>
      </w:r>
      <w:r>
        <w:fldChar w:fldCharType="separate"/>
      </w:r>
      <w:r>
        <w:t>316</w:t>
      </w:r>
      <w:r>
        <w:fldChar w:fldCharType="end"/>
      </w:r>
      <w:r>
        <w:rPr>
          <w:rFonts w:ascii="Times New Roman" w:hAnsi="Times New Roman" w:eastAsiaTheme="minorEastAsia"/>
          <w:bCs/>
          <w:i w:val="0"/>
          <w:iCs w:val="0"/>
          <w:color w:val="auto"/>
          <w:szCs w:val="21"/>
          <w:highlight w:val="none"/>
        </w:rPr>
        <w:fldChar w:fldCharType="end"/>
      </w:r>
    </w:p>
    <w:p>
      <w:pPr>
        <w:pStyle w:val="18"/>
        <w:spacing w:line="240" w:lineRule="atLeast"/>
        <w:ind w:left="0"/>
        <w:rPr>
          <w:rStyle w:val="47"/>
          <w:rFonts w:ascii="Times New Roman" w:hAnsi="Times New Roman" w:eastAsiaTheme="minorEastAsia"/>
          <w:b/>
          <w:bCs/>
          <w:color w:val="auto"/>
          <w:szCs w:val="21"/>
          <w:highlight w:val="none"/>
        </w:rPr>
      </w:pPr>
      <w:r>
        <w:rPr>
          <w:rFonts w:ascii="Times New Roman" w:hAnsi="Times New Roman" w:eastAsiaTheme="minorEastAsia"/>
          <w:bCs/>
          <w:i w:val="0"/>
          <w:iCs w:val="0"/>
          <w:color w:val="auto"/>
          <w:szCs w:val="21"/>
          <w:highlight w:val="none"/>
        </w:rPr>
        <w:fldChar w:fldCharType="end"/>
      </w:r>
    </w:p>
    <w:p>
      <w:pPr>
        <w:adjustRightInd w:val="0"/>
        <w:snapToGrid w:val="0"/>
        <w:ind w:firstLine="1897" w:firstLineChars="900"/>
        <w:rPr>
          <w:rFonts w:eastAsia="仿宋"/>
          <w:b/>
          <w:bCs/>
          <w:i/>
          <w:color w:val="auto"/>
          <w:szCs w:val="21"/>
          <w:highlight w:val="none"/>
        </w:rPr>
      </w:pPr>
    </w:p>
    <w:p>
      <w:pPr>
        <w:adjustRightInd w:val="0"/>
        <w:snapToGrid w:val="0"/>
        <w:spacing w:line="460" w:lineRule="exact"/>
        <w:ind w:left="-2" w:firstLine="538"/>
        <w:jc w:val="center"/>
        <w:rPr>
          <w:rFonts w:eastAsia="仿宋"/>
          <w:bCs/>
          <w:color w:val="auto"/>
          <w:sz w:val="28"/>
          <w:szCs w:val="28"/>
          <w:highlight w:val="none"/>
        </w:rPr>
        <w:sectPr>
          <w:footerReference r:id="rId4" w:type="default"/>
          <w:pgSz w:w="11906" w:h="16838"/>
          <w:pgMar w:top="1247" w:right="1417" w:bottom="1702" w:left="1417" w:header="851" w:footer="992" w:gutter="0"/>
          <w:pgNumType w:fmt="upperRoman"/>
          <w:cols w:space="720" w:num="1"/>
          <w:docGrid w:linePitch="312" w:charSpace="0"/>
        </w:sectPr>
      </w:pPr>
    </w:p>
    <w:p>
      <w:pPr>
        <w:pStyle w:val="3"/>
        <w:spacing w:before="240" w:after="240"/>
        <w:jc w:val="center"/>
        <w:rPr>
          <w:rFonts w:ascii="Times New Roman" w:eastAsia="仿宋"/>
          <w:b/>
          <w:color w:val="auto"/>
          <w:sz w:val="40"/>
          <w:highlight w:val="none"/>
        </w:rPr>
      </w:pPr>
      <w:bookmarkStart w:id="0" w:name="_Toc21625302"/>
      <w:bookmarkStart w:id="1" w:name="_Toc21625215"/>
      <w:bookmarkStart w:id="2" w:name="_Toc17171"/>
      <w:bookmarkStart w:id="3" w:name="_Toc1004"/>
      <w:bookmarkStart w:id="4" w:name="_Toc21625404"/>
      <w:bookmarkStart w:id="5" w:name="_Toc27390"/>
      <w:bookmarkStart w:id="6" w:name="_Toc31707"/>
      <w:bookmarkStart w:id="7" w:name="_Toc17546"/>
      <w:bookmarkStart w:id="8" w:name="_Toc10152"/>
      <w:bookmarkStart w:id="9" w:name="_Toc18651"/>
      <w:bookmarkStart w:id="10" w:name="_Toc377117004"/>
      <w:bookmarkStart w:id="11" w:name="_Toc24889"/>
      <w:bookmarkStart w:id="12" w:name="_Toc281381163"/>
      <w:r>
        <w:rPr>
          <w:rFonts w:ascii="Times New Roman" w:hAnsi="仿宋" w:eastAsia="仿宋"/>
          <w:b/>
          <w:color w:val="auto"/>
          <w:sz w:val="40"/>
          <w:highlight w:val="none"/>
        </w:rPr>
        <w:t>第一章投标邀请</w:t>
      </w:r>
      <w:bookmarkEnd w:id="0"/>
      <w:bookmarkEnd w:id="1"/>
      <w:bookmarkEnd w:id="2"/>
      <w:bookmarkEnd w:id="3"/>
      <w:bookmarkEnd w:id="4"/>
      <w:bookmarkEnd w:id="5"/>
      <w:bookmarkEnd w:id="6"/>
      <w:bookmarkEnd w:id="7"/>
      <w:bookmarkEnd w:id="8"/>
      <w:bookmarkEnd w:id="9"/>
      <w:bookmarkEnd w:id="10"/>
      <w:bookmarkEnd w:id="11"/>
    </w:p>
    <w:p>
      <w:pPr>
        <w:spacing w:line="500" w:lineRule="atLeast"/>
        <w:rPr>
          <w:rFonts w:eastAsiaTheme="minorEastAsia"/>
          <w:color w:val="auto"/>
          <w:sz w:val="24"/>
          <w:szCs w:val="24"/>
          <w:highlight w:val="none"/>
        </w:rPr>
      </w:pPr>
    </w:p>
    <w:p>
      <w:pPr>
        <w:pBdr>
          <w:top w:val="single" w:color="auto" w:sz="4" w:space="1"/>
          <w:left w:val="single" w:color="auto" w:sz="4" w:space="4"/>
          <w:bottom w:val="single" w:color="auto" w:sz="4" w:space="1"/>
          <w:right w:val="single" w:color="auto" w:sz="4" w:space="4"/>
        </w:pBdr>
        <w:spacing w:line="500" w:lineRule="atLeast"/>
        <w:ind w:firstLine="480" w:firstLineChars="200"/>
        <w:rPr>
          <w:rFonts w:eastAsia="仿宋"/>
          <w:color w:val="auto"/>
          <w:sz w:val="24"/>
          <w:szCs w:val="24"/>
          <w:highlight w:val="none"/>
        </w:rPr>
      </w:pPr>
      <w:r>
        <w:rPr>
          <w:rFonts w:hAnsi="仿宋" w:eastAsia="仿宋"/>
          <w:color w:val="auto"/>
          <w:sz w:val="24"/>
          <w:szCs w:val="24"/>
          <w:highlight w:val="none"/>
        </w:rPr>
        <w:t>项目概况</w:t>
      </w:r>
    </w:p>
    <w:p>
      <w:pPr>
        <w:pBdr>
          <w:top w:val="single" w:color="auto" w:sz="4" w:space="1"/>
          <w:left w:val="single" w:color="auto" w:sz="4" w:space="4"/>
          <w:bottom w:val="single" w:color="auto" w:sz="4" w:space="1"/>
          <w:right w:val="single" w:color="auto" w:sz="4" w:space="4"/>
        </w:pBdr>
        <w:spacing w:line="500" w:lineRule="atLeast"/>
        <w:ind w:firstLine="480" w:firstLineChars="200"/>
        <w:rPr>
          <w:rFonts w:eastAsia="仿宋"/>
          <w:color w:val="auto"/>
          <w:sz w:val="24"/>
          <w:szCs w:val="24"/>
          <w:highlight w:val="none"/>
        </w:rPr>
      </w:pPr>
      <w:bookmarkStart w:id="13" w:name="_Toc28359002"/>
      <w:bookmarkStart w:id="14" w:name="_Toc35393621"/>
      <w:bookmarkStart w:id="15" w:name="_Toc28359079"/>
      <w:bookmarkStart w:id="16" w:name="_Toc35393790"/>
      <w:bookmarkStart w:id="17" w:name="_Hlk24379207"/>
      <w:r>
        <w:rPr>
          <w:rFonts w:hint="eastAsia" w:hAnsi="仿宋" w:eastAsia="仿宋"/>
          <w:color w:val="auto"/>
          <w:sz w:val="24"/>
          <w:szCs w:val="24"/>
          <w:highlight w:val="none"/>
          <w:u w:val="single"/>
          <w:lang w:eastAsia="zh-CN"/>
        </w:rPr>
        <w:t>江西省消防救援总队自然灾害应急能力提升工程装备配备项目（器材类）</w:t>
      </w:r>
      <w:r>
        <w:rPr>
          <w:rFonts w:hAnsi="仿宋" w:eastAsia="仿宋"/>
          <w:color w:val="auto"/>
          <w:sz w:val="24"/>
          <w:szCs w:val="24"/>
          <w:highlight w:val="none"/>
        </w:rPr>
        <w:t>的潜在投标人应在</w:t>
      </w:r>
      <w:r>
        <w:rPr>
          <w:rFonts w:hAnsi="仿宋" w:eastAsia="仿宋"/>
          <w:color w:val="auto"/>
          <w:sz w:val="24"/>
          <w:szCs w:val="24"/>
          <w:highlight w:val="none"/>
          <w:u w:val="single"/>
        </w:rPr>
        <w:t>线上</w:t>
      </w:r>
      <w:r>
        <w:rPr>
          <w:rFonts w:hAnsi="仿宋" w:eastAsia="仿宋"/>
          <w:color w:val="auto"/>
          <w:sz w:val="24"/>
          <w:szCs w:val="24"/>
          <w:highlight w:val="none"/>
        </w:rPr>
        <w:t>获取招标文件。</w:t>
      </w:r>
    </w:p>
    <w:p>
      <w:pPr>
        <w:pStyle w:val="2"/>
        <w:spacing w:before="0" w:after="0" w:line="500" w:lineRule="atLeast"/>
        <w:rPr>
          <w:rFonts w:ascii="Times New Roman" w:hAnsi="Times New Roman" w:eastAsia="仿宋"/>
          <w:b w:val="0"/>
          <w:color w:val="auto"/>
          <w:sz w:val="24"/>
          <w:szCs w:val="24"/>
          <w:highlight w:val="none"/>
        </w:rPr>
      </w:pPr>
      <w:bookmarkStart w:id="18" w:name="_Toc17777"/>
      <w:bookmarkStart w:id="19" w:name="_Toc9893"/>
      <w:bookmarkStart w:id="20" w:name="_Toc16042"/>
      <w:bookmarkStart w:id="21" w:name="_Toc953"/>
      <w:bookmarkStart w:id="22" w:name="_Toc29734"/>
      <w:bookmarkStart w:id="23" w:name="_Toc5291"/>
      <w:bookmarkStart w:id="24" w:name="_Toc4703"/>
      <w:bookmarkStart w:id="25" w:name="_Toc28293"/>
      <w:r>
        <w:rPr>
          <w:rFonts w:ascii="Times New Roman" w:hAnsi="仿宋" w:eastAsia="仿宋"/>
          <w:b w:val="0"/>
          <w:color w:val="auto"/>
          <w:sz w:val="24"/>
          <w:szCs w:val="24"/>
          <w:highlight w:val="none"/>
        </w:rPr>
        <w:t>一、项目基本情况</w:t>
      </w:r>
      <w:bookmarkEnd w:id="13"/>
      <w:bookmarkEnd w:id="14"/>
      <w:bookmarkEnd w:id="15"/>
      <w:bookmarkEnd w:id="16"/>
      <w:bookmarkEnd w:id="18"/>
      <w:bookmarkEnd w:id="19"/>
      <w:bookmarkEnd w:id="20"/>
      <w:bookmarkEnd w:id="21"/>
      <w:bookmarkEnd w:id="22"/>
      <w:bookmarkEnd w:id="23"/>
      <w:bookmarkEnd w:id="24"/>
      <w:bookmarkEnd w:id="25"/>
    </w:p>
    <w:p>
      <w:pPr>
        <w:spacing w:line="500" w:lineRule="atLeast"/>
        <w:ind w:firstLine="480" w:firstLineChars="200"/>
        <w:rPr>
          <w:rFonts w:hint="eastAsia" w:eastAsia="仿宋"/>
          <w:color w:val="auto"/>
          <w:sz w:val="24"/>
          <w:szCs w:val="24"/>
          <w:highlight w:val="none"/>
          <w:lang w:eastAsia="zh-CN"/>
        </w:rPr>
      </w:pPr>
      <w:r>
        <w:rPr>
          <w:rFonts w:hAnsi="仿宋" w:eastAsia="仿宋"/>
          <w:iCs/>
          <w:color w:val="auto"/>
          <w:sz w:val="24"/>
          <w:szCs w:val="24"/>
          <w:highlight w:val="none"/>
        </w:rPr>
        <w:t>项目编号：</w:t>
      </w:r>
      <w:r>
        <w:rPr>
          <w:rFonts w:hint="eastAsia" w:eastAsia="仿宋"/>
          <w:color w:val="auto"/>
          <w:sz w:val="24"/>
          <w:szCs w:val="24"/>
          <w:highlight w:val="none"/>
          <w:lang w:eastAsia="zh-CN"/>
        </w:rPr>
        <w:t>JXTC2024040134</w:t>
      </w:r>
    </w:p>
    <w:p>
      <w:pPr>
        <w:spacing w:line="500" w:lineRule="atLeast"/>
        <w:ind w:left="479" w:leftChars="228"/>
        <w:rPr>
          <w:rFonts w:hint="eastAsia" w:eastAsia="仿宋"/>
          <w:color w:val="auto"/>
          <w:sz w:val="24"/>
          <w:szCs w:val="24"/>
          <w:highlight w:val="none"/>
          <w:lang w:eastAsia="zh-CN"/>
        </w:rPr>
      </w:pPr>
      <w:r>
        <w:rPr>
          <w:rFonts w:hAnsi="仿宋" w:eastAsia="仿宋"/>
          <w:color w:val="auto"/>
          <w:sz w:val="24"/>
          <w:szCs w:val="24"/>
          <w:highlight w:val="none"/>
        </w:rPr>
        <w:t>项目</w:t>
      </w:r>
      <w:r>
        <w:rPr>
          <w:rFonts w:hAnsi="仿宋" w:eastAsia="仿宋"/>
          <w:iCs/>
          <w:color w:val="auto"/>
          <w:sz w:val="24"/>
          <w:szCs w:val="24"/>
          <w:highlight w:val="none"/>
        </w:rPr>
        <w:t>名</w:t>
      </w:r>
      <w:r>
        <w:rPr>
          <w:rFonts w:hAnsi="仿宋" w:eastAsia="仿宋"/>
          <w:color w:val="auto"/>
          <w:sz w:val="24"/>
          <w:szCs w:val="24"/>
          <w:highlight w:val="none"/>
        </w:rPr>
        <w:t>称：</w:t>
      </w:r>
      <w:r>
        <w:rPr>
          <w:rFonts w:hint="eastAsia" w:hAnsi="仿宋" w:eastAsia="仿宋"/>
          <w:color w:val="auto"/>
          <w:sz w:val="24"/>
          <w:szCs w:val="24"/>
          <w:highlight w:val="none"/>
          <w:lang w:eastAsia="zh-CN"/>
        </w:rPr>
        <w:t>江西省消防救援总队自然灾害应急能力提升工程装备配备项目（器材类）</w:t>
      </w:r>
    </w:p>
    <w:p>
      <w:pPr>
        <w:spacing w:line="500" w:lineRule="atLeast"/>
        <w:ind w:firstLine="480" w:firstLineChars="200"/>
        <w:rPr>
          <w:rFonts w:eastAsia="仿宋"/>
          <w:iCs/>
          <w:color w:val="auto"/>
          <w:sz w:val="24"/>
          <w:szCs w:val="24"/>
          <w:highlight w:val="none"/>
        </w:rPr>
      </w:pPr>
      <w:r>
        <w:rPr>
          <w:rFonts w:hAnsi="仿宋" w:eastAsia="仿宋"/>
          <w:iCs/>
          <w:color w:val="auto"/>
          <w:sz w:val="24"/>
          <w:szCs w:val="24"/>
          <w:highlight w:val="none"/>
        </w:rPr>
        <w:t>采购方式：公开招标</w:t>
      </w:r>
    </w:p>
    <w:bookmarkEnd w:id="17"/>
    <w:p>
      <w:pPr>
        <w:spacing w:line="500" w:lineRule="atLeast"/>
        <w:ind w:firstLine="480" w:firstLineChars="200"/>
        <w:rPr>
          <w:rFonts w:hint="default" w:hAnsi="仿宋" w:eastAsia="仿宋"/>
          <w:iCs/>
          <w:color w:val="auto"/>
          <w:sz w:val="24"/>
          <w:szCs w:val="24"/>
          <w:highlight w:val="none"/>
          <w:lang w:val="en-US" w:eastAsia="zh-CN"/>
        </w:rPr>
      </w:pPr>
      <w:r>
        <w:rPr>
          <w:rFonts w:hAnsi="仿宋" w:eastAsia="仿宋"/>
          <w:iCs/>
          <w:color w:val="auto"/>
          <w:sz w:val="24"/>
          <w:szCs w:val="24"/>
          <w:highlight w:val="none"/>
        </w:rPr>
        <w:t>预算金额：</w:t>
      </w:r>
      <w:r>
        <w:rPr>
          <w:rFonts w:hint="eastAsia" w:hAnsi="仿宋" w:eastAsia="仿宋"/>
          <w:iCs/>
          <w:color w:val="auto"/>
          <w:sz w:val="24"/>
          <w:szCs w:val="24"/>
          <w:highlight w:val="none"/>
          <w:lang w:val="en-US" w:eastAsia="zh-CN"/>
        </w:rPr>
        <w:t>102143633</w:t>
      </w:r>
      <w:r>
        <w:rPr>
          <w:rFonts w:hAnsi="仿宋" w:eastAsia="仿宋"/>
          <w:iCs/>
          <w:color w:val="auto"/>
          <w:sz w:val="24"/>
          <w:szCs w:val="24"/>
          <w:highlight w:val="none"/>
        </w:rPr>
        <w:t>元</w:t>
      </w:r>
    </w:p>
    <w:p>
      <w:pPr>
        <w:spacing w:line="500" w:lineRule="atLeast"/>
        <w:ind w:firstLine="480" w:firstLineChars="200"/>
        <w:rPr>
          <w:rFonts w:eastAsia="仿宋"/>
          <w:color w:val="auto"/>
          <w:sz w:val="24"/>
          <w:szCs w:val="24"/>
          <w:highlight w:val="none"/>
        </w:rPr>
      </w:pPr>
      <w:r>
        <w:rPr>
          <w:rFonts w:hAnsi="仿宋" w:eastAsia="仿宋"/>
          <w:color w:val="auto"/>
          <w:sz w:val="24"/>
          <w:szCs w:val="24"/>
          <w:highlight w:val="none"/>
        </w:rPr>
        <w:t>采购需求：</w:t>
      </w:r>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602"/>
        <w:gridCol w:w="602"/>
        <w:gridCol w:w="2112"/>
        <w:gridCol w:w="656"/>
        <w:gridCol w:w="825"/>
        <w:gridCol w:w="806"/>
        <w:gridCol w:w="1257"/>
        <w:gridCol w:w="1181"/>
        <w:gridCol w:w="124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152" w:hRule="exact"/>
        </w:trPr>
        <w:tc>
          <w:tcPr>
            <w:tcW w:w="324" w:type="pct"/>
            <w:tcBorders>
              <w:tl2br w:val="nil"/>
              <w:tr2bl w:val="nil"/>
            </w:tcBorders>
            <w:shd w:val="clear" w:color="auto" w:fill="auto"/>
            <w:noWrap/>
            <w:vAlign w:val="center"/>
          </w:tcPr>
          <w:p>
            <w:pPr>
              <w:jc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color w:val="auto"/>
                <w:sz w:val="24"/>
                <w:szCs w:val="24"/>
                <w:highlight w:val="none"/>
              </w:rPr>
              <w:t>包号</w:t>
            </w:r>
          </w:p>
        </w:tc>
        <w:tc>
          <w:tcPr>
            <w:tcW w:w="324" w:type="pct"/>
            <w:tcBorders>
              <w:tl2br w:val="nil"/>
              <w:tr2bl w:val="nil"/>
            </w:tcBorders>
            <w:shd w:val="clear" w:color="auto" w:fill="auto"/>
            <w:noWrap/>
            <w:vAlign w:val="center"/>
          </w:tcPr>
          <w:p>
            <w:pPr>
              <w:jc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color w:val="auto"/>
                <w:sz w:val="24"/>
                <w:szCs w:val="24"/>
                <w:highlight w:val="none"/>
                <w:lang w:val="en-US" w:eastAsia="zh-CN"/>
              </w:rPr>
              <w:t>品目</w:t>
            </w:r>
          </w:p>
        </w:tc>
        <w:tc>
          <w:tcPr>
            <w:tcW w:w="1136" w:type="pct"/>
            <w:tcBorders>
              <w:tl2br w:val="nil"/>
              <w:tr2bl w:val="nil"/>
            </w:tcBorders>
            <w:shd w:val="clear" w:color="auto" w:fill="auto"/>
            <w:noWrap/>
            <w:vAlign w:val="center"/>
          </w:tcPr>
          <w:p>
            <w:pPr>
              <w:jc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color w:val="auto"/>
                <w:sz w:val="24"/>
                <w:szCs w:val="24"/>
                <w:highlight w:val="none"/>
              </w:rPr>
              <w:t>标的名称</w:t>
            </w:r>
          </w:p>
        </w:tc>
        <w:tc>
          <w:tcPr>
            <w:tcW w:w="353" w:type="pct"/>
            <w:tcBorders>
              <w:tl2br w:val="nil"/>
              <w:tr2bl w:val="nil"/>
            </w:tcBorders>
            <w:shd w:val="clear" w:color="auto" w:fill="auto"/>
            <w:noWrap/>
            <w:vAlign w:val="center"/>
          </w:tcPr>
          <w:p>
            <w:pPr>
              <w:jc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color w:val="auto"/>
                <w:sz w:val="24"/>
                <w:szCs w:val="24"/>
                <w:highlight w:val="none"/>
              </w:rPr>
              <w:t>单位</w:t>
            </w:r>
          </w:p>
        </w:tc>
        <w:tc>
          <w:tcPr>
            <w:tcW w:w="444" w:type="pct"/>
            <w:tcBorders>
              <w:tl2br w:val="nil"/>
              <w:tr2bl w:val="nil"/>
            </w:tcBorders>
            <w:shd w:val="clear" w:color="auto" w:fill="auto"/>
            <w:noWrap/>
            <w:vAlign w:val="center"/>
          </w:tcPr>
          <w:p>
            <w:pPr>
              <w:jc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color w:val="auto"/>
                <w:sz w:val="24"/>
                <w:szCs w:val="24"/>
                <w:highlight w:val="none"/>
              </w:rPr>
              <w:t>数量</w:t>
            </w:r>
          </w:p>
        </w:tc>
        <w:tc>
          <w:tcPr>
            <w:tcW w:w="433" w:type="pct"/>
            <w:tcBorders>
              <w:tl2br w:val="nil"/>
              <w:tr2bl w:val="nil"/>
            </w:tcBorders>
            <w:shd w:val="clear" w:color="auto" w:fill="auto"/>
            <w:noWrap/>
            <w:vAlign w:val="center"/>
          </w:tcPr>
          <w:p>
            <w:pPr>
              <w:jc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color w:val="auto"/>
                <w:sz w:val="24"/>
                <w:szCs w:val="24"/>
                <w:highlight w:val="none"/>
              </w:rPr>
              <w:t>产地类型</w:t>
            </w:r>
          </w:p>
        </w:tc>
        <w:tc>
          <w:tcPr>
            <w:tcW w:w="676" w:type="pct"/>
            <w:tcBorders>
              <w:tl2br w:val="nil"/>
              <w:tr2bl w:val="nil"/>
            </w:tcBorders>
            <w:shd w:val="clear" w:color="auto" w:fill="auto"/>
            <w:vAlign w:val="center"/>
          </w:tcPr>
          <w:p>
            <w:pPr>
              <w:tabs>
                <w:tab w:val="left" w:pos="216"/>
              </w:tabs>
              <w:spacing w:line="500" w:lineRule="atLeast"/>
              <w:jc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color w:val="auto"/>
                <w:sz w:val="24"/>
                <w:szCs w:val="24"/>
                <w:highlight w:val="none"/>
              </w:rPr>
              <w:t>预算单价(人民币/元)</w:t>
            </w:r>
          </w:p>
        </w:tc>
        <w:tc>
          <w:tcPr>
            <w:tcW w:w="635" w:type="pct"/>
            <w:tcBorders>
              <w:tl2br w:val="nil"/>
              <w:tr2bl w:val="nil"/>
            </w:tcBorders>
            <w:shd w:val="clear" w:color="auto" w:fill="auto"/>
            <w:vAlign w:val="center"/>
          </w:tcPr>
          <w:p>
            <w:pPr>
              <w:spacing w:line="500" w:lineRule="atLeast"/>
              <w:jc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color w:val="auto"/>
                <w:sz w:val="24"/>
                <w:szCs w:val="24"/>
                <w:highlight w:val="none"/>
              </w:rPr>
              <w:t>合计金额(人民币/元)</w:t>
            </w:r>
          </w:p>
        </w:tc>
        <w:tc>
          <w:tcPr>
            <w:tcW w:w="671" w:type="pct"/>
            <w:tcBorders>
              <w:tl2br w:val="nil"/>
              <w:tr2bl w:val="nil"/>
            </w:tcBorders>
            <w:shd w:val="clear" w:color="auto" w:fill="auto"/>
            <w:vAlign w:val="center"/>
          </w:tcPr>
          <w:p>
            <w:pPr>
              <w:spacing w:line="500" w:lineRule="atLeas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预算总价</w:t>
            </w:r>
          </w:p>
          <w:p>
            <w:pPr>
              <w:spacing w:line="500" w:lineRule="atLeast"/>
              <w:jc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color w:val="auto"/>
                <w:sz w:val="24"/>
                <w:szCs w:val="24"/>
                <w:highlight w:val="none"/>
              </w:rPr>
              <w:t>（人民币/元）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02</w:t>
            </w: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1</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音频生命探测仪</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台</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23</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60000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1380000</w:t>
            </w:r>
          </w:p>
        </w:tc>
        <w:tc>
          <w:tcPr>
            <w:tcW w:w="671" w:type="pct"/>
            <w:tcBorders>
              <w:tl2br w:val="nil"/>
              <w:tr2bl w:val="nil"/>
            </w:tcBorders>
            <w:shd w:val="clear" w:color="auto" w:fill="auto"/>
            <w:vAlign w:val="center"/>
          </w:tcPr>
          <w:p>
            <w:pPr>
              <w:keepNext w:val="0"/>
              <w:keepLines w:val="0"/>
              <w:widowControl/>
              <w:suppressLineNumbers w:val="0"/>
              <w:jc w:val="center"/>
              <w:textAlignment w:val="center"/>
              <w:rPr>
                <w:rFonts w:hint="default"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1380000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restart"/>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10</w:t>
            </w: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2</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现场空气监测仪</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台</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12</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12000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144000</w:t>
            </w:r>
          </w:p>
        </w:tc>
        <w:tc>
          <w:tcPr>
            <w:tcW w:w="671" w:type="pct"/>
            <w:vMerge w:val="restart"/>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lang w:val="en-US"/>
              </w:rPr>
            </w:pPr>
            <w:r>
              <w:rPr>
                <w:rFonts w:hint="eastAsia" w:ascii="仿宋" w:hAnsi="仿宋" w:eastAsia="仿宋" w:cs="仿宋"/>
                <w:b w:val="0"/>
                <w:bCs w:val="0"/>
                <w:i w:val="0"/>
                <w:iCs w:val="0"/>
                <w:color w:val="auto"/>
                <w:kern w:val="0"/>
                <w:sz w:val="24"/>
                <w:szCs w:val="24"/>
                <w:highlight w:val="none"/>
                <w:u w:val="none"/>
                <w:lang w:val="en-US" w:eastAsia="zh-CN" w:bidi="ar"/>
              </w:rPr>
              <w:t>892864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continue"/>
            <w:tcBorders>
              <w:tl2br w:val="nil"/>
              <w:tr2bl w:val="nil"/>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3</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测温仪</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台</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215</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1800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387000</w:t>
            </w:r>
          </w:p>
        </w:tc>
        <w:tc>
          <w:tcPr>
            <w:tcW w:w="671" w:type="pct"/>
            <w:vMerge w:val="continue"/>
            <w:tcBorders>
              <w:tl2br w:val="nil"/>
              <w:tr2bl w:val="nil"/>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continue"/>
            <w:tcBorders>
              <w:tl2br w:val="nil"/>
              <w:tr2bl w:val="nil"/>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4</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水质分析仪</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台</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26</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11000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286000</w:t>
            </w:r>
          </w:p>
        </w:tc>
        <w:tc>
          <w:tcPr>
            <w:tcW w:w="671" w:type="pct"/>
            <w:vMerge w:val="continue"/>
            <w:tcBorders>
              <w:tl2br w:val="nil"/>
              <w:tr2bl w:val="nil"/>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continue"/>
            <w:tcBorders>
              <w:tl2br w:val="nil"/>
              <w:tr2bl w:val="nil"/>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5</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电子气象仪</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台</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29</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2616</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75864</w:t>
            </w:r>
          </w:p>
        </w:tc>
        <w:tc>
          <w:tcPr>
            <w:tcW w:w="671" w:type="pct"/>
            <w:vMerge w:val="continue"/>
            <w:tcBorders>
              <w:tl2br w:val="nil"/>
              <w:tr2bl w:val="nil"/>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restart"/>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12</w:t>
            </w: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6</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便携式流速仪</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台</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80</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12960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1036800</w:t>
            </w:r>
          </w:p>
        </w:tc>
        <w:tc>
          <w:tcPr>
            <w:tcW w:w="671" w:type="pct"/>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2"/>
                <w:sz w:val="24"/>
                <w:szCs w:val="24"/>
                <w:highlight w:val="none"/>
                <w:u w:val="none"/>
                <w:lang w:val="en-US" w:eastAsia="zh-CN" w:bidi="ar-SA"/>
              </w:rPr>
            </w:pPr>
            <w:r>
              <w:rPr>
                <w:rFonts w:hint="eastAsia" w:ascii="仿宋" w:hAnsi="仿宋" w:eastAsia="仿宋" w:cs="仿宋"/>
                <w:b w:val="0"/>
                <w:bCs w:val="0"/>
                <w:i w:val="0"/>
                <w:iCs w:val="0"/>
                <w:color w:val="auto"/>
                <w:kern w:val="0"/>
                <w:sz w:val="24"/>
                <w:szCs w:val="24"/>
                <w:highlight w:val="none"/>
                <w:u w:val="none"/>
                <w:lang w:val="en-US" w:eastAsia="zh-CN" w:bidi="ar"/>
              </w:rPr>
              <w:t>1670900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continue"/>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7</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水深探测仪</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台</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79</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6800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537200</w:t>
            </w:r>
          </w:p>
        </w:tc>
        <w:tc>
          <w:tcPr>
            <w:tcW w:w="671" w:type="pct"/>
            <w:vMerge w:val="continue"/>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8</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水温仪</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台</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19</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5100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96900</w:t>
            </w:r>
          </w:p>
        </w:tc>
        <w:tc>
          <w:tcPr>
            <w:tcW w:w="671"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restar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13</w:t>
            </w: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9</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机动链锯</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部</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253</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3600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910800</w:t>
            </w:r>
          </w:p>
        </w:tc>
        <w:tc>
          <w:tcPr>
            <w:tcW w:w="671" w:type="pct"/>
            <w:vMerge w:val="restar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lang w:val="en-US"/>
              </w:rPr>
            </w:pPr>
            <w:r>
              <w:rPr>
                <w:rFonts w:hint="eastAsia" w:ascii="仿宋" w:hAnsi="仿宋" w:eastAsia="仿宋" w:cs="仿宋"/>
                <w:b w:val="0"/>
                <w:bCs w:val="0"/>
                <w:i w:val="0"/>
                <w:iCs w:val="0"/>
                <w:color w:val="auto"/>
                <w:kern w:val="0"/>
                <w:sz w:val="24"/>
                <w:szCs w:val="24"/>
                <w:highlight w:val="none"/>
                <w:u w:val="none"/>
                <w:lang w:val="en-US" w:eastAsia="zh-CN" w:bidi="ar"/>
              </w:rPr>
              <w:t>1135800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10</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电动链锯</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部</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75</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3000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225000</w:t>
            </w:r>
          </w:p>
        </w:tc>
        <w:tc>
          <w:tcPr>
            <w:tcW w:w="671"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17</w:t>
            </w: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11</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绳锯</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把</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134</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44000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5896000</w:t>
            </w:r>
          </w:p>
        </w:tc>
        <w:tc>
          <w:tcPr>
            <w:tcW w:w="671"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5896000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lang w:val="en-US"/>
              </w:rPr>
            </w:pPr>
            <w:r>
              <w:rPr>
                <w:rFonts w:hint="eastAsia" w:ascii="仿宋" w:hAnsi="仿宋" w:eastAsia="仿宋" w:cs="仿宋"/>
                <w:b w:val="0"/>
                <w:bCs w:val="0"/>
                <w:i w:val="0"/>
                <w:iCs w:val="0"/>
                <w:color w:val="auto"/>
                <w:kern w:val="0"/>
                <w:sz w:val="24"/>
                <w:szCs w:val="24"/>
                <w:highlight w:val="none"/>
                <w:u w:val="none"/>
                <w:lang w:val="en-US" w:eastAsia="zh-CN" w:bidi="ar"/>
              </w:rPr>
              <w:t>20</w:t>
            </w: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12</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电动液压剪扩组</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套</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47</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84200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3957400</w:t>
            </w:r>
          </w:p>
        </w:tc>
        <w:tc>
          <w:tcPr>
            <w:tcW w:w="671"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3957400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restar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lang w:val="en-US"/>
              </w:rPr>
            </w:pPr>
            <w:r>
              <w:rPr>
                <w:rFonts w:hint="eastAsia" w:ascii="仿宋" w:hAnsi="仿宋" w:eastAsia="仿宋" w:cs="仿宋"/>
                <w:b w:val="0"/>
                <w:bCs w:val="0"/>
                <w:i w:val="0"/>
                <w:iCs w:val="0"/>
                <w:color w:val="auto"/>
                <w:kern w:val="0"/>
                <w:sz w:val="24"/>
                <w:szCs w:val="24"/>
                <w:highlight w:val="none"/>
                <w:u w:val="none"/>
                <w:lang w:val="en-US" w:eastAsia="zh-CN" w:bidi="ar"/>
              </w:rPr>
              <w:t>22</w:t>
            </w: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13</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等离子切割机</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套</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21</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21000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441000</w:t>
            </w:r>
          </w:p>
        </w:tc>
        <w:tc>
          <w:tcPr>
            <w:tcW w:w="671" w:type="pct"/>
            <w:vMerge w:val="restar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lang w:val="en-US"/>
              </w:rPr>
            </w:pPr>
            <w:r>
              <w:rPr>
                <w:rFonts w:hint="eastAsia" w:ascii="仿宋" w:hAnsi="仿宋" w:eastAsia="仿宋" w:cs="仿宋"/>
                <w:b w:val="0"/>
                <w:bCs w:val="0"/>
                <w:i w:val="0"/>
                <w:iCs w:val="0"/>
                <w:color w:val="auto"/>
                <w:kern w:val="0"/>
                <w:sz w:val="24"/>
                <w:szCs w:val="24"/>
                <w:highlight w:val="none"/>
                <w:u w:val="none"/>
                <w:lang w:val="en-US" w:eastAsia="zh-CN" w:bidi="ar"/>
              </w:rPr>
              <w:t>507000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14</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氧炔气焊切割设备</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套</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11</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6000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66000</w:t>
            </w:r>
          </w:p>
        </w:tc>
        <w:tc>
          <w:tcPr>
            <w:tcW w:w="671"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restar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lang w:val="en-US"/>
              </w:rPr>
            </w:pPr>
            <w:r>
              <w:rPr>
                <w:rFonts w:hint="eastAsia" w:ascii="仿宋" w:hAnsi="仿宋" w:eastAsia="仿宋" w:cs="仿宋"/>
                <w:b w:val="0"/>
                <w:bCs w:val="0"/>
                <w:i w:val="0"/>
                <w:iCs w:val="0"/>
                <w:color w:val="auto"/>
                <w:kern w:val="0"/>
                <w:sz w:val="24"/>
                <w:szCs w:val="24"/>
                <w:highlight w:val="none"/>
                <w:u w:val="none"/>
                <w:lang w:val="en-US" w:eastAsia="zh-CN" w:bidi="ar"/>
              </w:rPr>
              <w:t>25</w:t>
            </w: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15</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牵拉器</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套</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85</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2200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187000</w:t>
            </w:r>
          </w:p>
        </w:tc>
        <w:tc>
          <w:tcPr>
            <w:tcW w:w="671" w:type="pct"/>
            <w:vMerge w:val="restar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lang w:val="en-US"/>
              </w:rPr>
            </w:pPr>
            <w:r>
              <w:rPr>
                <w:rFonts w:hint="eastAsia" w:ascii="仿宋" w:hAnsi="仿宋" w:eastAsia="仿宋" w:cs="仿宋"/>
                <w:b w:val="0"/>
                <w:bCs w:val="0"/>
                <w:i w:val="0"/>
                <w:iCs w:val="0"/>
                <w:color w:val="auto"/>
                <w:kern w:val="0"/>
                <w:sz w:val="24"/>
                <w:szCs w:val="24"/>
                <w:highlight w:val="none"/>
                <w:u w:val="none"/>
                <w:lang w:val="en-US" w:eastAsia="zh-CN" w:bidi="ar"/>
              </w:rPr>
              <w:t>1322800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16</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木锯切割机</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部</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23</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2400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55200</w:t>
            </w:r>
          </w:p>
        </w:tc>
        <w:tc>
          <w:tcPr>
            <w:tcW w:w="671"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17</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液压千斤顶</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个</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87</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1000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87000</w:t>
            </w:r>
          </w:p>
        </w:tc>
        <w:tc>
          <w:tcPr>
            <w:tcW w:w="671"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18</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气动切割刀</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套</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94</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2400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225600</w:t>
            </w:r>
          </w:p>
        </w:tc>
        <w:tc>
          <w:tcPr>
            <w:tcW w:w="671"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19</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毁锁器</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套</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160</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4800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768000</w:t>
            </w:r>
          </w:p>
        </w:tc>
        <w:tc>
          <w:tcPr>
            <w:tcW w:w="671"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restar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lang w:val="en-US"/>
              </w:rPr>
            </w:pPr>
            <w:r>
              <w:rPr>
                <w:rFonts w:hint="eastAsia" w:ascii="仿宋" w:hAnsi="仿宋" w:eastAsia="仿宋" w:cs="仿宋"/>
                <w:b w:val="0"/>
                <w:bCs w:val="0"/>
                <w:i w:val="0"/>
                <w:iCs w:val="0"/>
                <w:color w:val="auto"/>
                <w:kern w:val="0"/>
                <w:sz w:val="24"/>
                <w:szCs w:val="24"/>
                <w:highlight w:val="none"/>
                <w:u w:val="none"/>
                <w:lang w:val="en-US" w:eastAsia="zh-CN" w:bidi="ar"/>
              </w:rPr>
              <w:t>28</w:t>
            </w: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20</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狭小空间排烟机</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台</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57</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4320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246240</w:t>
            </w:r>
          </w:p>
        </w:tc>
        <w:tc>
          <w:tcPr>
            <w:tcW w:w="671" w:type="pct"/>
            <w:vMerge w:val="restar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2"/>
                <w:sz w:val="24"/>
                <w:szCs w:val="24"/>
                <w:highlight w:val="none"/>
                <w:u w:val="none"/>
                <w:lang w:val="en-US" w:eastAsia="zh-CN" w:bidi="ar-SA"/>
              </w:rPr>
            </w:pPr>
            <w:r>
              <w:rPr>
                <w:rFonts w:hint="eastAsia" w:ascii="仿宋" w:hAnsi="仿宋" w:eastAsia="仿宋" w:cs="仿宋"/>
                <w:b w:val="0"/>
                <w:bCs w:val="0"/>
                <w:i w:val="0"/>
                <w:iCs w:val="0"/>
                <w:color w:val="auto"/>
                <w:kern w:val="0"/>
                <w:sz w:val="24"/>
                <w:szCs w:val="24"/>
                <w:highlight w:val="none"/>
                <w:u w:val="none"/>
                <w:lang w:val="en-US" w:eastAsia="zh-CN" w:bidi="ar"/>
              </w:rPr>
              <w:t>2932240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21</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color w:val="auto"/>
                <w:sz w:val="24"/>
                <w:szCs w:val="24"/>
                <w:highlight w:val="none"/>
                <w:lang w:val="en-US" w:eastAsia="zh-CN"/>
              </w:rPr>
              <w:t>强制送风呼吸器</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台</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44</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3500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154000</w:t>
            </w:r>
          </w:p>
        </w:tc>
        <w:tc>
          <w:tcPr>
            <w:tcW w:w="671"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1" w:hRule="exact"/>
        </w:trPr>
        <w:tc>
          <w:tcPr>
            <w:tcW w:w="324"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22</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坑道小型空气输送机</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套</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117</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4000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468000</w:t>
            </w:r>
          </w:p>
        </w:tc>
        <w:tc>
          <w:tcPr>
            <w:tcW w:w="671"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23</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水驱动排烟机</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台</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80</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25800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2064000</w:t>
            </w:r>
          </w:p>
        </w:tc>
        <w:tc>
          <w:tcPr>
            <w:tcW w:w="671"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restar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33</w:t>
            </w: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24</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救生抛投器</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套</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85</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15000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1275000</w:t>
            </w:r>
          </w:p>
        </w:tc>
        <w:tc>
          <w:tcPr>
            <w:tcW w:w="671" w:type="pct"/>
            <w:vMerge w:val="restar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1963000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25</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救援三角架</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组</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86</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8000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688000</w:t>
            </w:r>
          </w:p>
        </w:tc>
        <w:tc>
          <w:tcPr>
            <w:tcW w:w="671"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34</w:t>
            </w: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26</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消防艇</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艘</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1</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3100000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3100000</w:t>
            </w:r>
          </w:p>
        </w:tc>
        <w:tc>
          <w:tcPr>
            <w:tcW w:w="67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3100000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5" w:hRule="exact"/>
        </w:trPr>
        <w:tc>
          <w:tcPr>
            <w:tcW w:w="32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35</w:t>
            </w: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27</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color w:val="auto"/>
                <w:sz w:val="24"/>
                <w:szCs w:val="24"/>
                <w:highlight w:val="none"/>
                <w:lang w:val="en-US" w:eastAsia="zh-Hans"/>
              </w:rPr>
              <w:t>充气救援艇（</w:t>
            </w:r>
            <w:r>
              <w:rPr>
                <w:rFonts w:hint="eastAsia" w:ascii="仿宋" w:hAnsi="仿宋" w:eastAsia="仿宋" w:cs="仿宋"/>
                <w:b w:val="0"/>
                <w:bCs w:val="0"/>
                <w:color w:val="auto"/>
                <w:sz w:val="24"/>
                <w:szCs w:val="24"/>
                <w:highlight w:val="none"/>
                <w:lang w:val="en-US" w:eastAsia="zh-CN"/>
              </w:rPr>
              <w:t>配</w:t>
            </w:r>
            <w:r>
              <w:rPr>
                <w:rFonts w:hint="eastAsia" w:ascii="仿宋" w:hAnsi="仿宋" w:eastAsia="仿宋" w:cs="仿宋"/>
                <w:b w:val="0"/>
                <w:bCs w:val="0"/>
                <w:color w:val="auto"/>
                <w:sz w:val="24"/>
                <w:szCs w:val="24"/>
                <w:highlight w:val="none"/>
                <w:lang w:val="en-US" w:eastAsia="zh-Hans"/>
              </w:rPr>
              <w:t>舷外机）</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艘</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150</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35000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5250000</w:t>
            </w:r>
          </w:p>
        </w:tc>
        <w:tc>
          <w:tcPr>
            <w:tcW w:w="67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5250000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exact"/>
        </w:trPr>
        <w:tc>
          <w:tcPr>
            <w:tcW w:w="324" w:type="pct"/>
            <w:vMerge w:val="restart"/>
            <w:tcBorders>
              <w:tl2br w:val="nil"/>
              <w:tr2bl w:val="nil"/>
            </w:tcBorders>
            <w:shd w:val="clear" w:color="auto" w:fill="FFFFFF" w:themeFill="background1"/>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36</w:t>
            </w:r>
          </w:p>
        </w:tc>
        <w:tc>
          <w:tcPr>
            <w:tcW w:w="324" w:type="pct"/>
            <w:tcBorders>
              <w:tl2br w:val="nil"/>
              <w:tr2bl w:val="nil"/>
            </w:tcBorders>
            <w:shd w:val="clear" w:color="auto" w:fill="FFFFFF" w:themeFill="background1"/>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28</w:t>
            </w:r>
          </w:p>
        </w:tc>
        <w:tc>
          <w:tcPr>
            <w:tcW w:w="1136" w:type="pct"/>
            <w:tcBorders>
              <w:tl2br w:val="nil"/>
              <w:tr2bl w:val="nil"/>
            </w:tcBorders>
            <w:shd w:val="clear" w:color="auto" w:fill="FFFFFF" w:themeFill="background1"/>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color w:val="auto"/>
                <w:sz w:val="24"/>
                <w:szCs w:val="24"/>
                <w:highlight w:val="none"/>
                <w:lang w:val="en-US" w:eastAsia="zh-Hans"/>
              </w:rPr>
              <w:t>冲锋舟（</w:t>
            </w:r>
            <w:r>
              <w:rPr>
                <w:rFonts w:hint="eastAsia" w:ascii="仿宋" w:hAnsi="仿宋" w:eastAsia="仿宋" w:cs="仿宋"/>
                <w:b w:val="0"/>
                <w:bCs w:val="0"/>
                <w:color w:val="auto"/>
                <w:sz w:val="24"/>
                <w:szCs w:val="24"/>
                <w:highlight w:val="none"/>
                <w:lang w:val="en-US" w:eastAsia="zh-CN"/>
              </w:rPr>
              <w:t>配</w:t>
            </w:r>
            <w:r>
              <w:rPr>
                <w:rFonts w:hint="eastAsia" w:ascii="仿宋" w:hAnsi="仿宋" w:eastAsia="仿宋" w:cs="仿宋"/>
                <w:b w:val="0"/>
                <w:bCs w:val="0"/>
                <w:color w:val="auto"/>
                <w:sz w:val="24"/>
                <w:szCs w:val="24"/>
                <w:highlight w:val="none"/>
                <w:lang w:val="en-US" w:eastAsia="zh-Hans"/>
              </w:rPr>
              <w:t>舷外机）</w:t>
            </w:r>
          </w:p>
        </w:tc>
        <w:tc>
          <w:tcPr>
            <w:tcW w:w="353" w:type="pct"/>
            <w:tcBorders>
              <w:tl2br w:val="nil"/>
              <w:tr2bl w:val="nil"/>
            </w:tcBorders>
            <w:shd w:val="clear" w:color="auto" w:fill="FFFFFF" w:themeFill="background1"/>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艘</w:t>
            </w:r>
          </w:p>
        </w:tc>
        <w:tc>
          <w:tcPr>
            <w:tcW w:w="444" w:type="pct"/>
            <w:tcBorders>
              <w:tl2br w:val="nil"/>
              <w:tr2bl w:val="nil"/>
            </w:tcBorders>
            <w:shd w:val="clear" w:color="auto" w:fill="FFFFFF" w:themeFill="background1"/>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43</w:t>
            </w:r>
          </w:p>
        </w:tc>
        <w:tc>
          <w:tcPr>
            <w:tcW w:w="433" w:type="pct"/>
            <w:tcBorders>
              <w:tl2br w:val="nil"/>
              <w:tr2bl w:val="nil"/>
            </w:tcBorders>
            <w:shd w:val="clear" w:color="auto" w:fill="FFFFFF" w:themeFill="background1"/>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FFFFFF" w:themeFill="background1"/>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48000</w:t>
            </w:r>
          </w:p>
        </w:tc>
        <w:tc>
          <w:tcPr>
            <w:tcW w:w="635" w:type="pct"/>
            <w:tcBorders>
              <w:tl2br w:val="nil"/>
              <w:tr2bl w:val="nil"/>
            </w:tcBorders>
            <w:shd w:val="clear" w:color="auto" w:fill="FFFFFF" w:themeFill="background1"/>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2064000</w:t>
            </w:r>
          </w:p>
        </w:tc>
        <w:tc>
          <w:tcPr>
            <w:tcW w:w="671" w:type="pct"/>
            <w:vMerge w:val="restart"/>
            <w:tcBorders>
              <w:tl2br w:val="nil"/>
              <w:tr2bl w:val="nil"/>
            </w:tcBorders>
            <w:shd w:val="clear" w:color="auto" w:fill="FFFFFF" w:themeFill="background1"/>
            <w:noWrap/>
            <w:vAlign w:val="center"/>
          </w:tcPr>
          <w:p>
            <w:pPr>
              <w:keepNext w:val="0"/>
              <w:keepLines w:val="0"/>
              <w:widowControl/>
              <w:suppressLineNumbers w:val="0"/>
              <w:jc w:val="center"/>
              <w:textAlignment w:val="center"/>
              <w:rPr>
                <w:rFonts w:hint="default"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5424500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continue"/>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29</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color w:val="auto"/>
                <w:sz w:val="24"/>
                <w:szCs w:val="24"/>
                <w:highlight w:val="none"/>
                <w:lang w:val="en-US" w:eastAsia="zh-CN"/>
              </w:rPr>
              <w:t>舷外机</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台</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143</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23500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3360500</w:t>
            </w:r>
          </w:p>
        </w:tc>
        <w:tc>
          <w:tcPr>
            <w:tcW w:w="671" w:type="pct"/>
            <w:vMerge w:val="continue"/>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lang w:val="en-US"/>
              </w:rPr>
            </w:pPr>
            <w:r>
              <w:rPr>
                <w:rFonts w:hint="eastAsia" w:ascii="仿宋" w:hAnsi="仿宋" w:eastAsia="仿宋" w:cs="仿宋"/>
                <w:b w:val="0"/>
                <w:bCs w:val="0"/>
                <w:i w:val="0"/>
                <w:iCs w:val="0"/>
                <w:color w:val="auto"/>
                <w:kern w:val="0"/>
                <w:sz w:val="24"/>
                <w:szCs w:val="24"/>
                <w:highlight w:val="none"/>
                <w:u w:val="none"/>
                <w:lang w:val="en-US" w:eastAsia="zh-CN" w:bidi="ar"/>
              </w:rPr>
              <w:t>39</w:t>
            </w: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30</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摩托艇</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艘</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5</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100000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500000</w:t>
            </w:r>
          </w:p>
        </w:tc>
        <w:tc>
          <w:tcPr>
            <w:tcW w:w="67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500000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restar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40</w:t>
            </w: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31</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定位浮标</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个</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295</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960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283200</w:t>
            </w:r>
          </w:p>
        </w:tc>
        <w:tc>
          <w:tcPr>
            <w:tcW w:w="671" w:type="pct"/>
            <w:vMerge w:val="restar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2"/>
                <w:sz w:val="24"/>
                <w:szCs w:val="24"/>
                <w:highlight w:val="none"/>
                <w:u w:val="none"/>
                <w:lang w:val="en-US" w:eastAsia="zh-CN" w:bidi="ar-SA"/>
              </w:rPr>
            </w:pPr>
            <w:r>
              <w:rPr>
                <w:rFonts w:hint="eastAsia" w:ascii="仿宋" w:hAnsi="仿宋" w:eastAsia="仿宋" w:cs="仿宋"/>
                <w:b w:val="0"/>
                <w:bCs w:val="0"/>
                <w:i w:val="0"/>
                <w:iCs w:val="0"/>
                <w:color w:val="auto"/>
                <w:kern w:val="0"/>
                <w:sz w:val="24"/>
                <w:szCs w:val="24"/>
                <w:highlight w:val="none"/>
                <w:u w:val="none"/>
                <w:lang w:val="en-US" w:eastAsia="zh-CN" w:bidi="ar"/>
              </w:rPr>
              <w:t>902700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32</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充气救生筏</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艘</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23</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15900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365700</w:t>
            </w:r>
          </w:p>
        </w:tc>
        <w:tc>
          <w:tcPr>
            <w:tcW w:w="671"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33</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color w:val="auto"/>
                <w:kern w:val="0"/>
                <w:sz w:val="24"/>
                <w:szCs w:val="24"/>
                <w:highlight w:val="none"/>
              </w:rPr>
              <w:t>可漂浮救生担架</w:t>
            </w:r>
            <w:r>
              <w:rPr>
                <w:rFonts w:hint="eastAsia" w:ascii="仿宋" w:hAnsi="仿宋" w:eastAsia="仿宋" w:cs="仿宋"/>
                <w:b w:val="0"/>
                <w:bCs w:val="0"/>
                <w:color w:val="auto"/>
                <w:kern w:val="0"/>
                <w:sz w:val="24"/>
                <w:szCs w:val="24"/>
                <w:highlight w:val="none"/>
                <w:lang w:val="en-US" w:eastAsia="zh-CN"/>
              </w:rPr>
              <w:t>（漂浮担架）</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副</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141</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1800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253800</w:t>
            </w:r>
          </w:p>
        </w:tc>
        <w:tc>
          <w:tcPr>
            <w:tcW w:w="671"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restar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46</w:t>
            </w: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34</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高压气瓶</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个</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25</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1150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28750</w:t>
            </w:r>
          </w:p>
        </w:tc>
        <w:tc>
          <w:tcPr>
            <w:tcW w:w="671" w:type="pct"/>
            <w:vMerge w:val="restar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lang w:val="en-US"/>
              </w:rPr>
            </w:pPr>
            <w:r>
              <w:rPr>
                <w:rFonts w:hint="eastAsia" w:ascii="仿宋" w:hAnsi="仿宋" w:eastAsia="仿宋" w:cs="仿宋"/>
                <w:b w:val="0"/>
                <w:bCs w:val="0"/>
                <w:i w:val="0"/>
                <w:iCs w:val="0"/>
                <w:color w:val="auto"/>
                <w:kern w:val="0"/>
                <w:sz w:val="24"/>
                <w:szCs w:val="24"/>
                <w:highlight w:val="none"/>
                <w:u w:val="none"/>
                <w:lang w:val="en-US" w:eastAsia="zh-CN" w:bidi="ar"/>
              </w:rPr>
              <w:t>2653456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8" w:hRule="exact"/>
        </w:trPr>
        <w:tc>
          <w:tcPr>
            <w:tcW w:w="324"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35</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正压式空气呼吸器碳纤维气瓶</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个</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1689</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1554</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2624706</w:t>
            </w:r>
          </w:p>
        </w:tc>
        <w:tc>
          <w:tcPr>
            <w:tcW w:w="671"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restar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47</w:t>
            </w: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36</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卷扬机</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台</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39</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5300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206700</w:t>
            </w:r>
          </w:p>
        </w:tc>
        <w:tc>
          <w:tcPr>
            <w:tcW w:w="671" w:type="pct"/>
            <w:vMerge w:val="restar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593900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37</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消防梯15米</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把</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36</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9200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331200</w:t>
            </w:r>
          </w:p>
        </w:tc>
        <w:tc>
          <w:tcPr>
            <w:tcW w:w="671"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38</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移动水带收卷机</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套</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16</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3500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56000</w:t>
            </w:r>
          </w:p>
        </w:tc>
        <w:tc>
          <w:tcPr>
            <w:tcW w:w="671"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restar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53</w:t>
            </w: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39</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滑轮套装</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套</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183</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2400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439200</w:t>
            </w:r>
          </w:p>
        </w:tc>
        <w:tc>
          <w:tcPr>
            <w:tcW w:w="671" w:type="pct"/>
            <w:vMerge w:val="restar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lang w:val="en-US"/>
              </w:rPr>
            </w:pPr>
            <w:r>
              <w:rPr>
                <w:rFonts w:hint="eastAsia" w:ascii="仿宋" w:hAnsi="仿宋" w:eastAsia="仿宋" w:cs="仿宋"/>
                <w:b w:val="0"/>
                <w:bCs w:val="0"/>
                <w:i w:val="0"/>
                <w:iCs w:val="0"/>
                <w:color w:val="auto"/>
                <w:kern w:val="0"/>
                <w:sz w:val="24"/>
                <w:szCs w:val="24"/>
                <w:highlight w:val="none"/>
                <w:u w:val="none"/>
                <w:lang w:val="en-US" w:eastAsia="zh-CN" w:bidi="ar"/>
              </w:rPr>
              <w:t>4731896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40</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挂钩套装</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套</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169</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1584</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267696</w:t>
            </w:r>
          </w:p>
        </w:tc>
        <w:tc>
          <w:tcPr>
            <w:tcW w:w="671"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41</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绳索救援套装</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套</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175</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23000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4025000</w:t>
            </w:r>
          </w:p>
        </w:tc>
        <w:tc>
          <w:tcPr>
            <w:tcW w:w="671"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55</w:t>
            </w: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42</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抢险救援服装</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套</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2383</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2184</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5204472</w:t>
            </w:r>
          </w:p>
        </w:tc>
        <w:tc>
          <w:tcPr>
            <w:tcW w:w="67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5204472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restar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61</w:t>
            </w: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43</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充气式上浮系统</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套</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12</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25000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300000</w:t>
            </w:r>
          </w:p>
        </w:tc>
        <w:tc>
          <w:tcPr>
            <w:tcW w:w="671" w:type="pct"/>
            <w:vMerge w:val="restar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2"/>
                <w:sz w:val="24"/>
                <w:szCs w:val="24"/>
                <w:highlight w:val="none"/>
                <w:u w:val="none"/>
                <w:lang w:val="en-US" w:eastAsia="zh-CN" w:bidi="ar-SA"/>
              </w:rPr>
            </w:pPr>
            <w:r>
              <w:rPr>
                <w:rFonts w:hint="eastAsia" w:ascii="仿宋" w:hAnsi="仿宋" w:eastAsia="仿宋" w:cs="仿宋"/>
                <w:b w:val="0"/>
                <w:bCs w:val="0"/>
                <w:i w:val="0"/>
                <w:iCs w:val="0"/>
                <w:color w:val="auto"/>
                <w:kern w:val="0"/>
                <w:sz w:val="24"/>
                <w:szCs w:val="24"/>
                <w:highlight w:val="none"/>
                <w:u w:val="none"/>
                <w:lang w:val="en-US" w:eastAsia="zh-CN" w:bidi="ar"/>
              </w:rPr>
              <w:t>2179500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44</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救援桨板</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个</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26</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3600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93600</w:t>
            </w:r>
          </w:p>
        </w:tc>
        <w:tc>
          <w:tcPr>
            <w:tcW w:w="671"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45</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救生拉杆</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个</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138</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8000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1104000</w:t>
            </w:r>
          </w:p>
        </w:tc>
        <w:tc>
          <w:tcPr>
            <w:tcW w:w="671"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46</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滚钩</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套</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138</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1600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220800</w:t>
            </w:r>
          </w:p>
        </w:tc>
        <w:tc>
          <w:tcPr>
            <w:tcW w:w="671"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47</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充气式救生浮板</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副</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67</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3300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221100</w:t>
            </w:r>
          </w:p>
        </w:tc>
        <w:tc>
          <w:tcPr>
            <w:tcW w:w="671"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u w:val="none"/>
                <w:lang w:val="en-US" w:eastAsia="zh-CN" w:bidi="ar"/>
              </w:rPr>
              <w:t>48</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eastAsia="仿宋" w:cs="仿宋"/>
                <w:b w:val="0"/>
                <w:bCs w:val="0"/>
                <w:i w:val="0"/>
                <w:iCs w:val="0"/>
                <w:color w:val="auto"/>
                <w:kern w:val="2"/>
                <w:sz w:val="24"/>
                <w:szCs w:val="24"/>
                <w:highlight w:val="none"/>
                <w:u w:val="none"/>
                <w:lang w:val="en-US" w:eastAsia="zh-CN" w:bidi="ar-SA"/>
              </w:rPr>
            </w:pPr>
            <w:r>
              <w:rPr>
                <w:rFonts w:hint="eastAsia" w:ascii="仿宋" w:hAnsi="仿宋" w:eastAsia="仿宋" w:cs="仿宋"/>
                <w:b w:val="0"/>
                <w:bCs w:val="0"/>
                <w:i w:val="0"/>
                <w:iCs w:val="0"/>
                <w:color w:val="auto"/>
                <w:kern w:val="0"/>
                <w:sz w:val="24"/>
                <w:szCs w:val="24"/>
                <w:highlight w:val="none"/>
                <w:u w:val="none"/>
                <w:lang w:val="en-US" w:eastAsia="zh-CN" w:bidi="ar"/>
              </w:rPr>
              <w:t>水下起吊工具组</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eastAsia="仿宋" w:cs="仿宋"/>
                <w:b w:val="0"/>
                <w:bCs w:val="0"/>
                <w:i w:val="0"/>
                <w:iCs w:val="0"/>
                <w:color w:val="auto"/>
                <w:kern w:val="2"/>
                <w:sz w:val="24"/>
                <w:szCs w:val="24"/>
                <w:highlight w:val="none"/>
                <w:u w:val="none"/>
                <w:lang w:val="en-US" w:eastAsia="zh-CN" w:bidi="ar-SA"/>
              </w:rPr>
            </w:pPr>
            <w:r>
              <w:rPr>
                <w:rFonts w:hint="eastAsia" w:ascii="仿宋" w:hAnsi="仿宋" w:eastAsia="仿宋" w:cs="仿宋"/>
                <w:b w:val="0"/>
                <w:bCs w:val="0"/>
                <w:i w:val="0"/>
                <w:iCs w:val="0"/>
                <w:color w:val="auto"/>
                <w:kern w:val="0"/>
                <w:sz w:val="24"/>
                <w:szCs w:val="24"/>
                <w:highlight w:val="none"/>
                <w:u w:val="none"/>
                <w:lang w:val="en-US" w:eastAsia="zh-CN" w:bidi="ar"/>
              </w:rPr>
              <w:t>套</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eastAsia="仿宋" w:cs="仿宋"/>
                <w:b w:val="0"/>
                <w:bCs w:val="0"/>
                <w:i w:val="0"/>
                <w:iCs w:val="0"/>
                <w:color w:val="auto"/>
                <w:kern w:val="2"/>
                <w:sz w:val="24"/>
                <w:szCs w:val="24"/>
                <w:highlight w:val="none"/>
                <w:u w:val="none"/>
                <w:lang w:val="en-US" w:eastAsia="zh-CN" w:bidi="ar-SA"/>
              </w:rPr>
            </w:pPr>
            <w:r>
              <w:rPr>
                <w:rFonts w:hint="eastAsia" w:ascii="仿宋" w:hAnsi="仿宋" w:eastAsia="仿宋" w:cs="仿宋"/>
                <w:b w:val="0"/>
                <w:bCs w:val="0"/>
                <w:i w:val="0"/>
                <w:iCs w:val="0"/>
                <w:color w:val="auto"/>
                <w:kern w:val="0"/>
                <w:sz w:val="24"/>
                <w:szCs w:val="24"/>
                <w:highlight w:val="none"/>
                <w:u w:val="none"/>
                <w:lang w:val="en-US" w:eastAsia="zh-CN" w:bidi="ar"/>
              </w:rPr>
              <w:t>4</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eastAsia="仿宋" w:cs="仿宋"/>
                <w:b w:val="0"/>
                <w:bCs w:val="0"/>
                <w:i w:val="0"/>
                <w:iCs w:val="0"/>
                <w:color w:val="auto"/>
                <w:kern w:val="2"/>
                <w:sz w:val="24"/>
                <w:szCs w:val="24"/>
                <w:highlight w:val="none"/>
                <w:u w:val="none"/>
                <w:lang w:val="en-US" w:eastAsia="zh-CN" w:bidi="ar-SA"/>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60000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240000</w:t>
            </w:r>
          </w:p>
        </w:tc>
        <w:tc>
          <w:tcPr>
            <w:tcW w:w="671"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restar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64</w:t>
            </w: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49</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水下推进器</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套</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12</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28000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336000</w:t>
            </w:r>
          </w:p>
        </w:tc>
        <w:tc>
          <w:tcPr>
            <w:tcW w:w="671" w:type="pct"/>
            <w:vMerge w:val="restar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lang w:val="en-US"/>
              </w:rPr>
            </w:pPr>
            <w:r>
              <w:rPr>
                <w:rFonts w:hint="eastAsia" w:ascii="仿宋" w:hAnsi="仿宋" w:eastAsia="仿宋" w:cs="仿宋"/>
                <w:b w:val="0"/>
                <w:bCs w:val="0"/>
                <w:i w:val="0"/>
                <w:iCs w:val="0"/>
                <w:color w:val="auto"/>
                <w:kern w:val="0"/>
                <w:sz w:val="24"/>
                <w:szCs w:val="24"/>
                <w:highlight w:val="none"/>
                <w:u w:val="none"/>
                <w:lang w:val="en-US" w:eastAsia="zh-CN" w:bidi="ar"/>
              </w:rPr>
              <w:t>865600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50</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水下红外夜视仪</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套</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9</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45000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405000</w:t>
            </w:r>
          </w:p>
        </w:tc>
        <w:tc>
          <w:tcPr>
            <w:tcW w:w="671"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51</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水下金属探测仪</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套</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7</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17800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124600</w:t>
            </w:r>
          </w:p>
        </w:tc>
        <w:tc>
          <w:tcPr>
            <w:tcW w:w="671"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restar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65</w:t>
            </w: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52</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无电切割刀</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套</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14</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17000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238000</w:t>
            </w:r>
          </w:p>
        </w:tc>
        <w:tc>
          <w:tcPr>
            <w:tcW w:w="671" w:type="pct"/>
            <w:vMerge w:val="restar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2"/>
                <w:sz w:val="24"/>
                <w:szCs w:val="24"/>
                <w:highlight w:val="none"/>
                <w:u w:val="none"/>
                <w:lang w:val="en-US" w:eastAsia="zh-CN" w:bidi="ar-SA"/>
              </w:rPr>
            </w:pPr>
            <w:r>
              <w:rPr>
                <w:rFonts w:hint="eastAsia" w:ascii="仿宋" w:hAnsi="仿宋" w:eastAsia="仿宋" w:cs="仿宋"/>
                <w:b w:val="0"/>
                <w:bCs w:val="0"/>
                <w:i w:val="0"/>
                <w:iCs w:val="0"/>
                <w:color w:val="auto"/>
                <w:kern w:val="0"/>
                <w:sz w:val="24"/>
                <w:szCs w:val="24"/>
                <w:highlight w:val="none"/>
                <w:u w:val="none"/>
                <w:lang w:val="en-US" w:eastAsia="zh-CN" w:bidi="ar"/>
              </w:rPr>
              <w:t>404000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53</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金属弧水陆切割器</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套</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3</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38000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114000</w:t>
            </w:r>
          </w:p>
        </w:tc>
        <w:tc>
          <w:tcPr>
            <w:tcW w:w="671"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54</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水下电焊切割机</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套</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2</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26000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52000</w:t>
            </w:r>
          </w:p>
        </w:tc>
        <w:tc>
          <w:tcPr>
            <w:tcW w:w="671"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restar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68</w:t>
            </w: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55</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排水机器人</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台</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4</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860000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3440000</w:t>
            </w:r>
          </w:p>
        </w:tc>
        <w:tc>
          <w:tcPr>
            <w:tcW w:w="671" w:type="pct"/>
            <w:vMerge w:val="restar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lang w:val="en-US"/>
              </w:rPr>
            </w:pPr>
            <w:r>
              <w:rPr>
                <w:rFonts w:hint="eastAsia" w:ascii="仿宋" w:hAnsi="仿宋" w:eastAsia="仿宋" w:cs="仿宋"/>
                <w:b w:val="0"/>
                <w:bCs w:val="0"/>
                <w:i w:val="0"/>
                <w:iCs w:val="0"/>
                <w:color w:val="auto"/>
                <w:kern w:val="0"/>
                <w:sz w:val="24"/>
                <w:szCs w:val="24"/>
                <w:highlight w:val="none"/>
                <w:u w:val="none"/>
                <w:lang w:val="en-US" w:eastAsia="zh-CN" w:bidi="ar"/>
              </w:rPr>
              <w:t>3584700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56</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移动水囊</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套</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10</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14470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144700</w:t>
            </w:r>
          </w:p>
        </w:tc>
        <w:tc>
          <w:tcPr>
            <w:tcW w:w="671"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restar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70</w:t>
            </w: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57</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冰面行动辅助套装</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套</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180</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5350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963000</w:t>
            </w:r>
          </w:p>
        </w:tc>
        <w:tc>
          <w:tcPr>
            <w:tcW w:w="671" w:type="pct"/>
            <w:vMerge w:val="restar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2"/>
                <w:sz w:val="24"/>
                <w:szCs w:val="24"/>
                <w:highlight w:val="none"/>
                <w:u w:val="none"/>
                <w:lang w:val="en-US" w:eastAsia="zh-CN" w:bidi="ar-SA"/>
              </w:rPr>
            </w:pPr>
            <w:r>
              <w:rPr>
                <w:rFonts w:hint="eastAsia" w:ascii="仿宋" w:hAnsi="仿宋" w:eastAsia="仿宋" w:cs="仿宋"/>
                <w:b w:val="0"/>
                <w:bCs w:val="0"/>
                <w:i w:val="0"/>
                <w:iCs w:val="0"/>
                <w:color w:val="auto"/>
                <w:kern w:val="0"/>
                <w:sz w:val="24"/>
                <w:szCs w:val="24"/>
                <w:highlight w:val="none"/>
                <w:u w:val="none"/>
                <w:lang w:val="en-US" w:eastAsia="zh-CN" w:bidi="ar"/>
              </w:rPr>
              <w:t>3516500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58</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冰面救援滑板</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副</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109</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3500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381500</w:t>
            </w:r>
          </w:p>
        </w:tc>
        <w:tc>
          <w:tcPr>
            <w:tcW w:w="671"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59</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冰面救援服</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件</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181</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12000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2172000</w:t>
            </w:r>
          </w:p>
        </w:tc>
        <w:tc>
          <w:tcPr>
            <w:tcW w:w="671"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72</w:t>
            </w: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60</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化学氧自救呼吸器</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具</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989</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600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593400</w:t>
            </w:r>
          </w:p>
        </w:tc>
        <w:tc>
          <w:tcPr>
            <w:tcW w:w="67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593400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restar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77</w:t>
            </w: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u w:val="none"/>
                <w:lang w:val="en-US" w:eastAsia="zh-CN" w:bidi="ar"/>
              </w:rPr>
              <w:t>61</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角磨机</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套</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254</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2400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609600</w:t>
            </w:r>
          </w:p>
        </w:tc>
        <w:tc>
          <w:tcPr>
            <w:tcW w:w="671" w:type="pct"/>
            <w:vMerge w:val="restar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2"/>
                <w:sz w:val="24"/>
                <w:szCs w:val="24"/>
                <w:highlight w:val="none"/>
                <w:u w:val="none"/>
                <w:lang w:val="en-US" w:eastAsia="zh-CN" w:bidi="ar-SA"/>
              </w:rPr>
            </w:pPr>
            <w:r>
              <w:rPr>
                <w:rFonts w:hint="eastAsia" w:ascii="仿宋" w:hAnsi="仿宋" w:eastAsia="仿宋" w:cs="仿宋"/>
                <w:b w:val="0"/>
                <w:bCs w:val="0"/>
                <w:i w:val="0"/>
                <w:iCs w:val="0"/>
                <w:color w:val="auto"/>
                <w:kern w:val="0"/>
                <w:sz w:val="24"/>
                <w:szCs w:val="24"/>
                <w:highlight w:val="none"/>
                <w:u w:val="none"/>
                <w:lang w:val="en-US" w:eastAsia="zh-CN" w:bidi="ar"/>
              </w:rPr>
              <w:t>696600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continue"/>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62</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电钻</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台</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29</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3000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87000</w:t>
            </w:r>
          </w:p>
        </w:tc>
        <w:tc>
          <w:tcPr>
            <w:tcW w:w="671" w:type="pct"/>
            <w:vMerge w:val="continue"/>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restar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lang w:val="en-US"/>
              </w:rPr>
            </w:pPr>
            <w:r>
              <w:rPr>
                <w:rFonts w:hint="eastAsia" w:ascii="仿宋" w:hAnsi="仿宋" w:eastAsia="仿宋" w:cs="仿宋"/>
                <w:b w:val="0"/>
                <w:bCs w:val="0"/>
                <w:i w:val="0"/>
                <w:iCs w:val="0"/>
                <w:color w:val="auto"/>
                <w:kern w:val="0"/>
                <w:sz w:val="24"/>
                <w:szCs w:val="24"/>
                <w:highlight w:val="none"/>
                <w:u w:val="none"/>
                <w:lang w:val="en-US" w:eastAsia="zh-CN" w:bidi="ar"/>
              </w:rPr>
              <w:t>79</w:t>
            </w: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63</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防电服</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套</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725</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2100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1522500</w:t>
            </w:r>
          </w:p>
        </w:tc>
        <w:tc>
          <w:tcPr>
            <w:tcW w:w="671" w:type="pct"/>
            <w:vMerge w:val="restar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lang w:val="en-US"/>
              </w:rPr>
            </w:pPr>
            <w:r>
              <w:rPr>
                <w:rFonts w:hint="eastAsia" w:ascii="仿宋" w:hAnsi="仿宋" w:eastAsia="仿宋" w:cs="仿宋"/>
                <w:b w:val="0"/>
                <w:bCs w:val="0"/>
                <w:i w:val="0"/>
                <w:iCs w:val="0"/>
                <w:color w:val="auto"/>
                <w:kern w:val="0"/>
                <w:sz w:val="24"/>
                <w:szCs w:val="24"/>
                <w:highlight w:val="none"/>
                <w:u w:val="none"/>
                <w:lang w:val="en-US" w:eastAsia="zh-CN" w:bidi="ar"/>
              </w:rPr>
              <w:t>2081400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64</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电绝缘装具</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套</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207</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2700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558900</w:t>
            </w:r>
          </w:p>
        </w:tc>
        <w:tc>
          <w:tcPr>
            <w:tcW w:w="671"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3" w:hRule="exact"/>
        </w:trPr>
        <w:tc>
          <w:tcPr>
            <w:tcW w:w="324" w:type="pct"/>
            <w:vMerge w:val="restar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83</w:t>
            </w: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65</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消防防坠落辅助部件</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套</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315</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6000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1890000</w:t>
            </w:r>
          </w:p>
        </w:tc>
        <w:tc>
          <w:tcPr>
            <w:tcW w:w="671" w:type="pct"/>
            <w:vMerge w:val="restar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lang w:val="en-US"/>
              </w:rPr>
            </w:pPr>
            <w:r>
              <w:rPr>
                <w:rFonts w:hint="eastAsia" w:ascii="仿宋" w:hAnsi="仿宋" w:eastAsia="仿宋" w:cs="仿宋"/>
                <w:b w:val="0"/>
                <w:bCs w:val="0"/>
                <w:i w:val="0"/>
                <w:iCs w:val="0"/>
                <w:color w:val="auto"/>
                <w:kern w:val="0"/>
                <w:sz w:val="24"/>
                <w:szCs w:val="24"/>
                <w:highlight w:val="none"/>
                <w:u w:val="none"/>
                <w:lang w:val="en-US" w:eastAsia="zh-CN" w:bidi="ar"/>
              </w:rPr>
              <w:t>3712625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3" w:hRule="exact"/>
        </w:trPr>
        <w:tc>
          <w:tcPr>
            <w:tcW w:w="324"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66</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消防全身式安全吊带</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根</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427</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1700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725900</w:t>
            </w:r>
          </w:p>
        </w:tc>
        <w:tc>
          <w:tcPr>
            <w:tcW w:w="671"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7" w:hRule="exact"/>
        </w:trPr>
        <w:tc>
          <w:tcPr>
            <w:tcW w:w="324"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67</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color w:val="auto"/>
                <w:sz w:val="24"/>
                <w:szCs w:val="24"/>
                <w:highlight w:val="none"/>
                <w:lang w:val="en-US" w:eastAsia="zh-CN"/>
              </w:rPr>
              <w:t>消防通用安全绳</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根</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190</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3190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606100</w:t>
            </w:r>
          </w:p>
        </w:tc>
        <w:tc>
          <w:tcPr>
            <w:tcW w:w="671"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3" w:hRule="exact"/>
        </w:trPr>
        <w:tc>
          <w:tcPr>
            <w:tcW w:w="324"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68</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水面漂浮救生绳（200米）</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根</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157</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3125</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490625</w:t>
            </w:r>
          </w:p>
        </w:tc>
        <w:tc>
          <w:tcPr>
            <w:tcW w:w="671"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restar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86</w:t>
            </w: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69</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干式潜水衣</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套</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129</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7760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1001040</w:t>
            </w:r>
          </w:p>
        </w:tc>
        <w:tc>
          <w:tcPr>
            <w:tcW w:w="671" w:type="pct"/>
            <w:vMerge w:val="restar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2"/>
                <w:sz w:val="24"/>
                <w:szCs w:val="24"/>
                <w:highlight w:val="none"/>
                <w:u w:val="none"/>
                <w:lang w:val="en-US" w:eastAsia="zh-CN" w:bidi="ar-SA"/>
              </w:rPr>
            </w:pPr>
            <w:r>
              <w:rPr>
                <w:rFonts w:hint="eastAsia" w:ascii="仿宋" w:hAnsi="仿宋" w:eastAsia="仿宋" w:cs="仿宋"/>
                <w:b w:val="0"/>
                <w:bCs w:val="0"/>
                <w:i w:val="0"/>
                <w:iCs w:val="0"/>
                <w:color w:val="auto"/>
                <w:kern w:val="0"/>
                <w:sz w:val="24"/>
                <w:szCs w:val="24"/>
                <w:highlight w:val="none"/>
                <w:u w:val="none"/>
                <w:lang w:val="en-US" w:eastAsia="zh-CN" w:bidi="ar"/>
              </w:rPr>
              <w:t>1182540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70</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湿式潜水衣</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套</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121</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1500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181500</w:t>
            </w:r>
          </w:p>
        </w:tc>
        <w:tc>
          <w:tcPr>
            <w:tcW w:w="671"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93</w:t>
            </w: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71</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堵漏工具组</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套</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24</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42000</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1008000</w:t>
            </w:r>
          </w:p>
        </w:tc>
        <w:tc>
          <w:tcPr>
            <w:tcW w:w="671"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1008000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restar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97</w:t>
            </w: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72</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排用炊事单元</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套</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3</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 xml:space="preserve">10000 </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 xml:space="preserve">30000 </w:t>
            </w:r>
          </w:p>
        </w:tc>
        <w:tc>
          <w:tcPr>
            <w:tcW w:w="671" w:type="pct"/>
            <w:vMerge w:val="restar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2425000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73</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color w:val="auto"/>
                <w:sz w:val="24"/>
                <w:szCs w:val="24"/>
                <w:highlight w:val="none"/>
                <w:lang w:val="en-US" w:eastAsia="zh-CN"/>
              </w:rPr>
              <w:t>单兵携行包</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个</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650</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 xml:space="preserve">3500 </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 xml:space="preserve">2275000 </w:t>
            </w:r>
          </w:p>
        </w:tc>
        <w:tc>
          <w:tcPr>
            <w:tcW w:w="671"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74</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净水设备</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套</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8</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 xml:space="preserve">15000 </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 xml:space="preserve">120000 </w:t>
            </w:r>
          </w:p>
        </w:tc>
        <w:tc>
          <w:tcPr>
            <w:tcW w:w="671"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98</w:t>
            </w: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75</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宿营方舱</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套</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6</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 xml:space="preserve">720000 </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 xml:space="preserve">4320000 </w:t>
            </w:r>
          </w:p>
        </w:tc>
        <w:tc>
          <w:tcPr>
            <w:tcW w:w="67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 xml:space="preserve">4320000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lang w:val="en-US"/>
              </w:rPr>
            </w:pPr>
            <w:r>
              <w:rPr>
                <w:rFonts w:hint="eastAsia" w:ascii="仿宋" w:hAnsi="仿宋" w:eastAsia="仿宋" w:cs="仿宋"/>
                <w:b w:val="0"/>
                <w:bCs w:val="0"/>
                <w:i w:val="0"/>
                <w:iCs w:val="0"/>
                <w:color w:val="auto"/>
                <w:kern w:val="0"/>
                <w:sz w:val="24"/>
                <w:szCs w:val="24"/>
                <w:highlight w:val="none"/>
                <w:u w:val="none"/>
                <w:lang w:val="en-US" w:eastAsia="zh-CN" w:bidi="ar"/>
              </w:rPr>
              <w:t>99</w:t>
            </w: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76</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便携式推车</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辆</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180</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 xml:space="preserve">8700 </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 xml:space="preserve">1566000 </w:t>
            </w:r>
          </w:p>
        </w:tc>
        <w:tc>
          <w:tcPr>
            <w:tcW w:w="67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 xml:space="preserve">1566000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restar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103</w:t>
            </w: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77</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北斗有源终端</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套</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81</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 xml:space="preserve">7800 </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 xml:space="preserve">631800 </w:t>
            </w:r>
          </w:p>
        </w:tc>
        <w:tc>
          <w:tcPr>
            <w:tcW w:w="671" w:type="pct"/>
            <w:vMerge w:val="restart"/>
            <w:tcBorders>
              <w:tl2br w:val="nil"/>
              <w:tr2bl w:val="nil"/>
            </w:tcBorders>
            <w:shd w:val="clear" w:color="auto" w:fill="auto"/>
            <w:noWrap/>
            <w:vAlign w:val="center"/>
          </w:tcPr>
          <w:p>
            <w:pPr>
              <w:keepNext w:val="0"/>
              <w:keepLines w:val="0"/>
              <w:widowControl/>
              <w:suppressLineNumbers w:val="0"/>
              <w:jc w:val="center"/>
              <w:textAlignment w:val="center"/>
              <w:rPr>
                <w:rFonts w:hint="default"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1159800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continue"/>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78</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卫星电话</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部</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88</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 xml:space="preserve">6000 </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 xml:space="preserve">528000 </w:t>
            </w:r>
          </w:p>
        </w:tc>
        <w:tc>
          <w:tcPr>
            <w:tcW w:w="671" w:type="pct"/>
            <w:vMerge w:val="continue"/>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restar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107</w:t>
            </w: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79</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手持电台</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部</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3032</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 xml:space="preserve">4200 </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 xml:space="preserve">12734400 </w:t>
            </w:r>
          </w:p>
        </w:tc>
        <w:tc>
          <w:tcPr>
            <w:tcW w:w="671" w:type="pct"/>
            <w:vMerge w:val="restar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2"/>
                <w:sz w:val="24"/>
                <w:szCs w:val="24"/>
                <w:highlight w:val="none"/>
                <w:u w:val="none"/>
                <w:lang w:val="en-US" w:eastAsia="zh-CN" w:bidi="ar-SA"/>
              </w:rPr>
            </w:pPr>
            <w:r>
              <w:rPr>
                <w:rFonts w:hint="eastAsia" w:ascii="仿宋" w:hAnsi="仿宋" w:eastAsia="仿宋" w:cs="仿宋"/>
                <w:b w:val="0"/>
                <w:bCs w:val="0"/>
                <w:i w:val="0"/>
                <w:iCs w:val="0"/>
                <w:color w:val="auto"/>
                <w:kern w:val="0"/>
                <w:sz w:val="24"/>
                <w:szCs w:val="24"/>
                <w:highlight w:val="none"/>
                <w:u w:val="none"/>
                <w:lang w:val="en-US" w:eastAsia="zh-CN" w:bidi="ar"/>
              </w:rPr>
              <w:t>16124540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80</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防水定位对讲机</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部</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474</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 xml:space="preserve">3900 </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 xml:space="preserve">1848600 </w:t>
            </w:r>
          </w:p>
        </w:tc>
        <w:tc>
          <w:tcPr>
            <w:tcW w:w="671"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u w:val="none"/>
                <w:lang w:val="en-US" w:eastAsia="zh-CN" w:bidi="ar"/>
              </w:rPr>
              <w:t>81</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eastAsia="仿宋" w:cs="仿宋"/>
                <w:b w:val="0"/>
                <w:bCs w:val="0"/>
                <w:i w:val="0"/>
                <w:iCs w:val="0"/>
                <w:color w:val="auto"/>
                <w:kern w:val="2"/>
                <w:sz w:val="24"/>
                <w:szCs w:val="24"/>
                <w:highlight w:val="none"/>
                <w:u w:val="none"/>
                <w:lang w:val="en-US" w:eastAsia="zh-CN" w:bidi="ar-SA"/>
              </w:rPr>
            </w:pPr>
            <w:r>
              <w:rPr>
                <w:rFonts w:hint="eastAsia" w:ascii="仿宋" w:hAnsi="仿宋" w:eastAsia="仿宋" w:cs="仿宋"/>
                <w:b w:val="0"/>
                <w:bCs w:val="0"/>
                <w:i w:val="0"/>
                <w:iCs w:val="0"/>
                <w:color w:val="auto"/>
                <w:kern w:val="0"/>
                <w:sz w:val="24"/>
                <w:szCs w:val="24"/>
                <w:highlight w:val="none"/>
                <w:u w:val="none"/>
                <w:lang w:val="en-US" w:eastAsia="zh-CN" w:bidi="ar"/>
              </w:rPr>
              <w:t>骨传导通话装置</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eastAsia="仿宋" w:cs="仿宋"/>
                <w:b w:val="0"/>
                <w:bCs w:val="0"/>
                <w:i w:val="0"/>
                <w:iCs w:val="0"/>
                <w:color w:val="auto"/>
                <w:kern w:val="2"/>
                <w:sz w:val="24"/>
                <w:szCs w:val="24"/>
                <w:highlight w:val="none"/>
                <w:u w:val="none"/>
                <w:lang w:val="en-US" w:eastAsia="zh-CN" w:bidi="ar-SA"/>
              </w:rPr>
            </w:pPr>
            <w:r>
              <w:rPr>
                <w:rFonts w:hint="eastAsia" w:ascii="仿宋" w:hAnsi="仿宋" w:eastAsia="仿宋" w:cs="仿宋"/>
                <w:b w:val="0"/>
                <w:bCs w:val="0"/>
                <w:i w:val="0"/>
                <w:iCs w:val="0"/>
                <w:color w:val="auto"/>
                <w:kern w:val="0"/>
                <w:sz w:val="24"/>
                <w:szCs w:val="24"/>
                <w:highlight w:val="none"/>
                <w:u w:val="none"/>
                <w:lang w:val="en-US" w:eastAsia="zh-CN" w:bidi="ar"/>
              </w:rPr>
              <w:t>套</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eastAsia="仿宋" w:cs="仿宋"/>
                <w:b w:val="0"/>
                <w:bCs w:val="0"/>
                <w:i w:val="0"/>
                <w:iCs w:val="0"/>
                <w:color w:val="auto"/>
                <w:kern w:val="2"/>
                <w:sz w:val="24"/>
                <w:szCs w:val="24"/>
                <w:highlight w:val="none"/>
                <w:u w:val="none"/>
                <w:lang w:val="en-US" w:eastAsia="zh-CN" w:bidi="ar-SA"/>
              </w:rPr>
            </w:pPr>
            <w:r>
              <w:rPr>
                <w:rFonts w:hint="eastAsia" w:ascii="仿宋" w:hAnsi="仿宋" w:eastAsia="仿宋" w:cs="仿宋"/>
                <w:b w:val="0"/>
                <w:bCs w:val="0"/>
                <w:i w:val="0"/>
                <w:iCs w:val="0"/>
                <w:color w:val="auto"/>
                <w:kern w:val="0"/>
                <w:sz w:val="24"/>
                <w:szCs w:val="24"/>
                <w:highlight w:val="none"/>
                <w:u w:val="none"/>
                <w:lang w:val="en-US" w:eastAsia="zh-CN" w:bidi="ar"/>
              </w:rPr>
              <w:t>1078</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eastAsia="仿宋" w:cs="仿宋"/>
                <w:b w:val="0"/>
                <w:bCs w:val="0"/>
                <w:i w:val="0"/>
                <w:iCs w:val="0"/>
                <w:color w:val="auto"/>
                <w:kern w:val="2"/>
                <w:sz w:val="24"/>
                <w:szCs w:val="24"/>
                <w:highlight w:val="none"/>
                <w:u w:val="none"/>
                <w:lang w:val="en-US" w:eastAsia="zh-CN" w:bidi="ar-SA"/>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 xml:space="preserve">1430 </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 xml:space="preserve">1541540 </w:t>
            </w:r>
          </w:p>
        </w:tc>
        <w:tc>
          <w:tcPr>
            <w:tcW w:w="671"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108</w:t>
            </w: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82</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公网集群对讲机</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部</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1124</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 xml:space="preserve">5000 </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 xml:space="preserve">5620000 </w:t>
            </w:r>
          </w:p>
        </w:tc>
        <w:tc>
          <w:tcPr>
            <w:tcW w:w="671"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 xml:space="preserve">5620000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restart"/>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lang w:val="en-US" w:eastAsia="zh-CN"/>
              </w:rPr>
            </w:pPr>
            <w:r>
              <w:rPr>
                <w:rFonts w:hint="eastAsia" w:ascii="仿宋" w:hAnsi="仿宋" w:eastAsia="仿宋" w:cs="仿宋"/>
                <w:b w:val="0"/>
                <w:bCs w:val="0"/>
                <w:i w:val="0"/>
                <w:iCs w:val="0"/>
                <w:color w:val="auto"/>
                <w:sz w:val="24"/>
                <w:szCs w:val="24"/>
                <w:highlight w:val="none"/>
                <w:u w:val="none"/>
                <w:lang w:val="en-US" w:eastAsia="zh-CN"/>
              </w:rPr>
              <w:t>117</w:t>
            </w: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83</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水下无线通信系统</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套</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16</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 xml:space="preserve">45000 </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 xml:space="preserve">720000 </w:t>
            </w:r>
          </w:p>
        </w:tc>
        <w:tc>
          <w:tcPr>
            <w:tcW w:w="671" w:type="pct"/>
            <w:vMerge w:val="restar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2"/>
                <w:sz w:val="24"/>
                <w:szCs w:val="24"/>
                <w:highlight w:val="none"/>
                <w:u w:val="none"/>
                <w:lang w:val="en-US" w:eastAsia="zh-CN" w:bidi="ar-SA"/>
              </w:rPr>
            </w:pPr>
            <w:r>
              <w:rPr>
                <w:rFonts w:hint="eastAsia" w:ascii="仿宋" w:hAnsi="仿宋" w:eastAsia="仿宋" w:cs="仿宋"/>
                <w:b w:val="0"/>
                <w:bCs w:val="0"/>
                <w:i w:val="0"/>
                <w:iCs w:val="0"/>
                <w:color w:val="auto"/>
                <w:kern w:val="0"/>
                <w:sz w:val="24"/>
                <w:szCs w:val="24"/>
                <w:highlight w:val="none"/>
                <w:u w:val="none"/>
                <w:lang w:val="en-US" w:eastAsia="zh-CN" w:bidi="ar"/>
              </w:rPr>
              <w:t>1084500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trPr>
        <w:tc>
          <w:tcPr>
            <w:tcW w:w="324"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c>
          <w:tcPr>
            <w:tcW w:w="324"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84</w:t>
            </w:r>
          </w:p>
        </w:tc>
        <w:tc>
          <w:tcPr>
            <w:tcW w:w="1136"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水下摄像机</w:t>
            </w:r>
          </w:p>
        </w:tc>
        <w:tc>
          <w:tcPr>
            <w:tcW w:w="35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台</w:t>
            </w:r>
          </w:p>
        </w:tc>
        <w:tc>
          <w:tcPr>
            <w:tcW w:w="444"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81</w:t>
            </w:r>
          </w:p>
        </w:tc>
        <w:tc>
          <w:tcPr>
            <w:tcW w:w="433" w:type="pc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val="0"/>
                <w:bCs w:val="0"/>
                <w:i w:val="0"/>
                <w:iCs w:val="0"/>
                <w:color w:val="auto"/>
                <w:sz w:val="24"/>
                <w:szCs w:val="24"/>
                <w:highlight w:val="none"/>
                <w:u w:val="none"/>
              </w:rPr>
            </w:pPr>
            <w:r>
              <w:rPr>
                <w:rFonts w:hint="eastAsia" w:ascii="仿宋" w:hAnsi="仿宋" w:eastAsia="仿宋" w:cs="仿宋"/>
                <w:b w:val="0"/>
                <w:bCs w:val="0"/>
                <w:i w:val="0"/>
                <w:iCs w:val="0"/>
                <w:color w:val="auto"/>
                <w:kern w:val="0"/>
                <w:sz w:val="24"/>
                <w:szCs w:val="24"/>
                <w:highlight w:val="none"/>
                <w:u w:val="none"/>
                <w:lang w:val="en-US" w:eastAsia="zh-CN" w:bidi="ar"/>
              </w:rPr>
              <w:t>国产</w:t>
            </w:r>
          </w:p>
        </w:tc>
        <w:tc>
          <w:tcPr>
            <w:tcW w:w="67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 xml:space="preserve">4500 </w:t>
            </w:r>
          </w:p>
        </w:tc>
        <w:tc>
          <w:tcPr>
            <w:tcW w:w="63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 xml:space="preserve">364500 </w:t>
            </w:r>
          </w:p>
        </w:tc>
        <w:tc>
          <w:tcPr>
            <w:tcW w:w="671" w:type="pct"/>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auto"/>
                <w:sz w:val="24"/>
                <w:szCs w:val="24"/>
                <w:highlight w:val="none"/>
                <w:u w:val="none"/>
              </w:rPr>
            </w:pPr>
          </w:p>
        </w:tc>
      </w:tr>
    </w:tbl>
    <w:p>
      <w:pPr>
        <w:spacing w:line="500" w:lineRule="atLeast"/>
        <w:ind w:firstLine="480" w:firstLineChars="200"/>
        <w:rPr>
          <w:rFonts w:eastAsia="仿宋"/>
          <w:color w:val="auto"/>
          <w:sz w:val="24"/>
          <w:szCs w:val="24"/>
          <w:highlight w:val="none"/>
        </w:rPr>
      </w:pPr>
    </w:p>
    <w:p>
      <w:pPr>
        <w:spacing w:line="500" w:lineRule="atLeast"/>
        <w:ind w:firstLine="480" w:firstLineChars="200"/>
        <w:rPr>
          <w:rFonts w:eastAsia="仿宋"/>
          <w:color w:val="auto"/>
          <w:sz w:val="24"/>
          <w:szCs w:val="24"/>
          <w:highlight w:val="none"/>
        </w:rPr>
      </w:pPr>
      <w:r>
        <w:rPr>
          <w:rFonts w:eastAsia="仿宋"/>
          <w:color w:val="auto"/>
          <w:sz w:val="24"/>
          <w:szCs w:val="24"/>
          <w:highlight w:val="none"/>
        </w:rPr>
        <w:t>合同履行期限：</w:t>
      </w:r>
      <w:r>
        <w:rPr>
          <w:rFonts w:hint="eastAsia" w:ascii="仿宋" w:hAnsi="仿宋" w:eastAsia="仿宋" w:cs="仿宋"/>
          <w:color w:val="auto"/>
          <w:sz w:val="24"/>
          <w:highlight w:val="none"/>
        </w:rPr>
        <w:t>自合同签订生效之日起3个月内必须将所投产品送到</w:t>
      </w:r>
      <w:r>
        <w:rPr>
          <w:rFonts w:hint="eastAsia" w:ascii="仿宋" w:hAnsi="仿宋" w:eastAsia="仿宋" w:cs="仿宋"/>
          <w:color w:val="auto"/>
          <w:sz w:val="24"/>
          <w:highlight w:val="none"/>
          <w:lang w:eastAsia="zh-CN"/>
        </w:rPr>
        <w:t>江西省消防救援总队指定地点</w:t>
      </w:r>
      <w:r>
        <w:rPr>
          <w:rFonts w:hint="eastAsia" w:ascii="仿宋" w:hAnsi="仿宋" w:eastAsia="仿宋" w:cs="仿宋"/>
          <w:color w:val="auto"/>
          <w:sz w:val="24"/>
          <w:highlight w:val="none"/>
        </w:rPr>
        <w:t>（以采购人到货签收时间作为交货时间）</w:t>
      </w:r>
      <w:r>
        <w:rPr>
          <w:rFonts w:hint="eastAsia" w:ascii="仿宋" w:hAnsi="仿宋" w:eastAsia="仿宋" w:cs="仿宋"/>
          <w:color w:val="auto"/>
          <w:sz w:val="24"/>
          <w:highlight w:val="none"/>
          <w:lang w:eastAsia="zh-CN"/>
        </w:rPr>
        <w:t>，验收合格后由中标人配送至各消防救援支队或消防救援大队指定地点。</w:t>
      </w:r>
    </w:p>
    <w:p>
      <w:pPr>
        <w:spacing w:line="500" w:lineRule="atLeast"/>
        <w:ind w:firstLine="480" w:firstLineChars="200"/>
        <w:rPr>
          <w:rFonts w:eastAsia="仿宋"/>
          <w:color w:val="auto"/>
          <w:sz w:val="24"/>
          <w:szCs w:val="24"/>
          <w:highlight w:val="none"/>
        </w:rPr>
      </w:pPr>
      <w:r>
        <w:rPr>
          <w:rFonts w:eastAsia="仿宋"/>
          <w:color w:val="auto"/>
          <w:sz w:val="24"/>
          <w:szCs w:val="24"/>
          <w:highlight w:val="none"/>
        </w:rPr>
        <w:t>本项目不接受联合体投标。</w:t>
      </w:r>
    </w:p>
    <w:p>
      <w:pPr>
        <w:pStyle w:val="2"/>
        <w:spacing w:before="0" w:after="0" w:line="500" w:lineRule="atLeast"/>
        <w:rPr>
          <w:rFonts w:ascii="Times New Roman" w:hAnsi="Times New Roman" w:eastAsia="仿宋"/>
          <w:b w:val="0"/>
          <w:color w:val="auto"/>
          <w:sz w:val="24"/>
          <w:szCs w:val="24"/>
          <w:highlight w:val="none"/>
        </w:rPr>
      </w:pPr>
      <w:bookmarkStart w:id="26" w:name="_Toc28359080"/>
      <w:bookmarkStart w:id="27" w:name="_Toc28359003"/>
      <w:bookmarkStart w:id="28" w:name="_Toc18136"/>
      <w:bookmarkStart w:id="29" w:name="_Toc11443"/>
      <w:bookmarkStart w:id="30" w:name="_Toc35393622"/>
      <w:bookmarkStart w:id="31" w:name="_Toc35393791"/>
      <w:bookmarkStart w:id="32" w:name="_Toc23321"/>
      <w:bookmarkStart w:id="33" w:name="_Toc27012"/>
      <w:bookmarkStart w:id="34" w:name="_Toc24676"/>
      <w:bookmarkStart w:id="35" w:name="_Toc22657"/>
      <w:bookmarkStart w:id="36" w:name="_Toc11142"/>
      <w:bookmarkStart w:id="37" w:name="_Toc25689"/>
      <w:r>
        <w:rPr>
          <w:rFonts w:ascii="Times New Roman" w:hAnsi="Times New Roman" w:eastAsia="仿宋"/>
          <w:b w:val="0"/>
          <w:color w:val="auto"/>
          <w:sz w:val="24"/>
          <w:szCs w:val="24"/>
          <w:highlight w:val="none"/>
        </w:rPr>
        <w:t>二、投标人的资格要求</w:t>
      </w:r>
      <w:bookmarkEnd w:id="26"/>
      <w:bookmarkEnd w:id="27"/>
      <w:bookmarkEnd w:id="28"/>
      <w:bookmarkEnd w:id="29"/>
      <w:bookmarkEnd w:id="30"/>
      <w:bookmarkEnd w:id="31"/>
      <w:bookmarkEnd w:id="32"/>
      <w:bookmarkEnd w:id="33"/>
      <w:bookmarkEnd w:id="34"/>
      <w:bookmarkEnd w:id="35"/>
      <w:bookmarkEnd w:id="36"/>
      <w:bookmarkEnd w:id="37"/>
    </w:p>
    <w:p>
      <w:pPr>
        <w:spacing w:line="500" w:lineRule="atLeast"/>
        <w:ind w:left="360" w:hanging="360" w:hangingChars="150"/>
        <w:rPr>
          <w:rFonts w:eastAsia="仿宋"/>
          <w:color w:val="auto"/>
          <w:sz w:val="24"/>
          <w:szCs w:val="24"/>
          <w:highlight w:val="none"/>
        </w:rPr>
      </w:pPr>
      <w:bookmarkStart w:id="38" w:name="_Toc28359004"/>
      <w:bookmarkStart w:id="39" w:name="_Toc35393792"/>
      <w:bookmarkStart w:id="40" w:name="_Toc35393623"/>
      <w:bookmarkStart w:id="41" w:name="_Toc28359081"/>
      <w:r>
        <w:rPr>
          <w:rFonts w:eastAsia="仿宋"/>
          <w:color w:val="auto"/>
          <w:sz w:val="24"/>
          <w:szCs w:val="24"/>
          <w:highlight w:val="none"/>
        </w:rPr>
        <w:t>1.满足《中华人民共和国政府采购法》第二十二条规定；</w:t>
      </w:r>
    </w:p>
    <w:p>
      <w:pPr>
        <w:spacing w:line="500" w:lineRule="atLeast"/>
        <w:ind w:left="360" w:hanging="360" w:hangingChars="150"/>
        <w:rPr>
          <w:rFonts w:eastAsia="仿宋"/>
          <w:color w:val="auto"/>
          <w:sz w:val="24"/>
          <w:szCs w:val="24"/>
          <w:highlight w:val="none"/>
        </w:rPr>
      </w:pPr>
      <w:r>
        <w:rPr>
          <w:rFonts w:eastAsia="仿宋"/>
          <w:color w:val="auto"/>
          <w:sz w:val="24"/>
          <w:szCs w:val="24"/>
          <w:highlight w:val="none"/>
        </w:rPr>
        <w:t>（1）具有独立承担民事责任的能力；</w:t>
      </w:r>
    </w:p>
    <w:p>
      <w:pPr>
        <w:spacing w:line="500" w:lineRule="atLeast"/>
        <w:ind w:left="360" w:hanging="360" w:hangingChars="150"/>
        <w:rPr>
          <w:rFonts w:eastAsia="仿宋"/>
          <w:color w:val="auto"/>
          <w:sz w:val="24"/>
          <w:szCs w:val="24"/>
          <w:highlight w:val="none"/>
        </w:rPr>
      </w:pPr>
      <w:r>
        <w:rPr>
          <w:rFonts w:eastAsia="仿宋"/>
          <w:color w:val="auto"/>
          <w:sz w:val="24"/>
          <w:szCs w:val="24"/>
          <w:highlight w:val="none"/>
        </w:rPr>
        <w:t>（2）具有良好的商业信誉和健全的财务会计制度；</w:t>
      </w:r>
    </w:p>
    <w:p>
      <w:pPr>
        <w:spacing w:line="500" w:lineRule="atLeast"/>
        <w:ind w:left="360" w:hanging="360" w:hangingChars="150"/>
        <w:rPr>
          <w:rFonts w:eastAsia="仿宋"/>
          <w:color w:val="auto"/>
          <w:sz w:val="24"/>
          <w:szCs w:val="24"/>
          <w:highlight w:val="none"/>
        </w:rPr>
      </w:pPr>
      <w:r>
        <w:rPr>
          <w:rFonts w:eastAsia="仿宋"/>
          <w:color w:val="auto"/>
          <w:sz w:val="24"/>
          <w:szCs w:val="24"/>
          <w:highlight w:val="none"/>
        </w:rPr>
        <w:t>（3）具有履行合同所必需的设备和专业技术能力；</w:t>
      </w:r>
    </w:p>
    <w:p>
      <w:pPr>
        <w:spacing w:line="500" w:lineRule="atLeast"/>
        <w:ind w:left="360" w:hanging="360" w:hangingChars="150"/>
        <w:rPr>
          <w:rFonts w:eastAsia="仿宋"/>
          <w:color w:val="auto"/>
          <w:sz w:val="24"/>
          <w:szCs w:val="24"/>
          <w:highlight w:val="none"/>
        </w:rPr>
      </w:pPr>
      <w:r>
        <w:rPr>
          <w:rFonts w:eastAsia="仿宋"/>
          <w:color w:val="auto"/>
          <w:sz w:val="24"/>
          <w:szCs w:val="24"/>
          <w:highlight w:val="none"/>
        </w:rPr>
        <w:t>（4）有依法缴纳税收和社会保障资金的良好记录；</w:t>
      </w:r>
    </w:p>
    <w:p>
      <w:pPr>
        <w:spacing w:line="500" w:lineRule="atLeast"/>
        <w:ind w:left="360" w:hanging="360" w:hangingChars="150"/>
        <w:rPr>
          <w:rFonts w:eastAsia="仿宋"/>
          <w:color w:val="auto"/>
          <w:sz w:val="24"/>
          <w:szCs w:val="24"/>
          <w:highlight w:val="none"/>
        </w:rPr>
      </w:pPr>
      <w:r>
        <w:rPr>
          <w:rFonts w:eastAsia="仿宋"/>
          <w:color w:val="auto"/>
          <w:sz w:val="24"/>
          <w:szCs w:val="24"/>
          <w:highlight w:val="none"/>
        </w:rPr>
        <w:t>（5）参加政府采购活动前三年内,在经营活动中没有重大违法记录；</w:t>
      </w:r>
    </w:p>
    <w:p>
      <w:pPr>
        <w:spacing w:line="500" w:lineRule="atLeast"/>
        <w:ind w:left="360" w:hanging="360" w:hangingChars="150"/>
        <w:rPr>
          <w:rFonts w:eastAsia="仿宋"/>
          <w:color w:val="auto"/>
          <w:sz w:val="24"/>
          <w:szCs w:val="24"/>
          <w:highlight w:val="none"/>
        </w:rPr>
      </w:pPr>
      <w:r>
        <w:rPr>
          <w:rFonts w:eastAsia="仿宋"/>
          <w:color w:val="auto"/>
          <w:sz w:val="24"/>
          <w:szCs w:val="24"/>
          <w:highlight w:val="none"/>
        </w:rPr>
        <w:t>（6）法律、行政法规规定的其他条件。</w:t>
      </w:r>
    </w:p>
    <w:p>
      <w:pPr>
        <w:spacing w:line="500" w:lineRule="atLeast"/>
        <w:ind w:left="360" w:hanging="360" w:hangingChars="150"/>
        <w:rPr>
          <w:rFonts w:eastAsia="仿宋"/>
          <w:color w:val="auto"/>
          <w:sz w:val="24"/>
          <w:szCs w:val="24"/>
          <w:highlight w:val="none"/>
        </w:rPr>
      </w:pPr>
      <w:r>
        <w:rPr>
          <w:rFonts w:eastAsia="仿宋"/>
          <w:color w:val="auto"/>
          <w:sz w:val="24"/>
          <w:szCs w:val="24"/>
          <w:highlight w:val="none"/>
        </w:rPr>
        <w:t>2.单位负责人为同一人或者存在直接控股、管理关系的不同投标人，不得参加同一合同项下的采购活动。为本采购项目提供整体设计、规范编制或者项目管理、监理、检测等服务的，不得参加本项目的政府采购活动。</w:t>
      </w:r>
    </w:p>
    <w:p>
      <w:pPr>
        <w:spacing w:line="500" w:lineRule="atLeast"/>
        <w:ind w:left="360" w:hanging="360" w:hangingChars="150"/>
        <w:rPr>
          <w:rFonts w:eastAsia="仿宋"/>
          <w:color w:val="auto"/>
          <w:sz w:val="24"/>
          <w:szCs w:val="24"/>
          <w:highlight w:val="none"/>
        </w:rPr>
      </w:pPr>
      <w:r>
        <w:rPr>
          <w:rFonts w:eastAsia="仿宋"/>
          <w:color w:val="auto"/>
          <w:sz w:val="24"/>
          <w:szCs w:val="24"/>
          <w:highlight w:val="none"/>
        </w:rPr>
        <w:t>3.通过</w:t>
      </w:r>
      <w:r>
        <w:rPr>
          <w:rFonts w:hint="eastAsia" w:eastAsia="仿宋"/>
          <w:color w:val="auto"/>
          <w:sz w:val="24"/>
          <w:szCs w:val="24"/>
          <w:highlight w:val="none"/>
          <w:lang w:eastAsia="zh-CN"/>
        </w:rPr>
        <w:t>“</w:t>
      </w:r>
      <w:r>
        <w:rPr>
          <w:rFonts w:eastAsia="仿宋"/>
          <w:color w:val="auto"/>
          <w:sz w:val="24"/>
          <w:szCs w:val="24"/>
          <w:highlight w:val="none"/>
        </w:rPr>
        <w:t>信用中国</w:t>
      </w:r>
      <w:r>
        <w:rPr>
          <w:rFonts w:hint="eastAsia" w:eastAsia="仿宋"/>
          <w:color w:val="auto"/>
          <w:sz w:val="24"/>
          <w:szCs w:val="24"/>
          <w:highlight w:val="none"/>
          <w:lang w:eastAsia="zh-CN"/>
        </w:rPr>
        <w:t>”</w:t>
      </w:r>
      <w:r>
        <w:rPr>
          <w:rFonts w:eastAsia="仿宋"/>
          <w:color w:val="auto"/>
          <w:sz w:val="24"/>
          <w:szCs w:val="24"/>
          <w:highlight w:val="none"/>
        </w:rPr>
        <w:t>网站和中国政府采购网查询相关主体信用记录，被列入失信被执行人、重大税收违法失信主体、政府采购严重违法失信行为记录名单的投标人（处罚期限尚未届满的），不得参与本项目的政府采购活动。</w:t>
      </w:r>
    </w:p>
    <w:p>
      <w:pPr>
        <w:spacing w:line="500" w:lineRule="atLeast"/>
        <w:ind w:left="360" w:hanging="360" w:hangingChars="150"/>
        <w:rPr>
          <w:rFonts w:eastAsia="仿宋"/>
          <w:color w:val="auto"/>
          <w:sz w:val="24"/>
          <w:szCs w:val="24"/>
          <w:highlight w:val="none"/>
        </w:rPr>
      </w:pPr>
      <w:r>
        <w:rPr>
          <w:rFonts w:eastAsia="仿宋"/>
          <w:color w:val="auto"/>
          <w:sz w:val="24"/>
          <w:szCs w:val="24"/>
          <w:highlight w:val="none"/>
        </w:rPr>
        <w:t>4.落实政府采购政策需满足的资格要求：</w:t>
      </w:r>
    </w:p>
    <w:p>
      <w:pPr>
        <w:spacing w:line="500" w:lineRule="atLeast"/>
        <w:ind w:left="359" w:leftChars="114" w:hanging="120" w:hangingChars="50"/>
        <w:rPr>
          <w:rFonts w:eastAsia="仿宋"/>
          <w:color w:val="auto"/>
          <w:sz w:val="24"/>
          <w:szCs w:val="24"/>
          <w:highlight w:val="none"/>
        </w:rPr>
      </w:pPr>
      <w:r>
        <w:rPr>
          <w:rFonts w:eastAsia="仿宋"/>
          <w:color w:val="auto"/>
          <w:sz w:val="24"/>
          <w:szCs w:val="24"/>
          <w:highlight w:val="none"/>
        </w:rPr>
        <w:t>（1）本项目采购的产品属于政府强制采购节能产品的，必须提供《节能产品政府采购品目清单》的产品。</w:t>
      </w:r>
    </w:p>
    <w:p>
      <w:pPr>
        <w:spacing w:line="500" w:lineRule="atLeast"/>
        <w:rPr>
          <w:rFonts w:ascii="仿宋" w:hAnsi="仿宋" w:eastAsia="仿宋"/>
          <w:color w:val="auto"/>
          <w:sz w:val="24"/>
          <w:szCs w:val="24"/>
          <w:highlight w:val="none"/>
        </w:rPr>
      </w:pPr>
      <w:r>
        <w:rPr>
          <w:rFonts w:eastAsia="仿宋"/>
          <w:color w:val="auto"/>
          <w:sz w:val="24"/>
          <w:szCs w:val="24"/>
          <w:highlight w:val="none"/>
        </w:rPr>
        <w:t>5.本项目的特定资格要求：</w:t>
      </w:r>
    </w:p>
    <w:p>
      <w:pPr>
        <w:spacing w:beforeLines="0" w:afterLines="0" w:line="560" w:lineRule="exact"/>
        <w:ind w:firstLine="482" w:firstLineChars="200"/>
        <w:jc w:val="both"/>
        <w:rPr>
          <w:rFonts w:hint="default" w:ascii="仿宋" w:hAnsi="仿宋" w:eastAsia="仿宋"/>
          <w:b/>
          <w:bCs/>
          <w:color w:val="auto"/>
          <w:sz w:val="24"/>
          <w:szCs w:val="24"/>
          <w:highlight w:val="none"/>
          <w:lang w:val="en-US" w:eastAsia="zh-CN"/>
        </w:rPr>
      </w:pPr>
      <w:r>
        <w:rPr>
          <w:rFonts w:hint="eastAsia" w:ascii="仿宋" w:hAnsi="仿宋" w:eastAsia="仿宋"/>
          <w:b/>
          <w:bCs/>
          <w:color w:val="auto"/>
          <w:sz w:val="24"/>
          <w:szCs w:val="24"/>
          <w:highlight w:val="none"/>
          <w:lang w:val="en-US" w:eastAsia="zh-CN"/>
        </w:rPr>
        <w:t>5.1、72包：化学氧自救呼吸器的特定资格要求：</w:t>
      </w:r>
    </w:p>
    <w:p>
      <w:pPr>
        <w:spacing w:line="500" w:lineRule="atLeast"/>
        <w:ind w:left="359" w:leftChars="114" w:hanging="120" w:hangingChars="50"/>
        <w:rPr>
          <w:rFonts w:ascii="Times New Roman" w:hAnsi="Times New Roman" w:eastAsia="仿宋" w:cs="Times New Roman"/>
          <w:color w:val="auto"/>
          <w:sz w:val="24"/>
          <w:szCs w:val="24"/>
          <w:highlight w:val="none"/>
        </w:rPr>
      </w:pPr>
      <w:r>
        <w:rPr>
          <w:rFonts w:hint="eastAsia" w:ascii="仿宋" w:hAnsi="仿宋" w:eastAsia="仿宋"/>
          <w:color w:val="auto"/>
          <w:sz w:val="24"/>
          <w:szCs w:val="24"/>
          <w:highlight w:val="none"/>
        </w:rPr>
        <w:t>(1）</w:t>
      </w:r>
      <w:r>
        <w:rPr>
          <w:rFonts w:hint="eastAsia" w:ascii="仿宋" w:hAnsi="仿宋" w:eastAsia="仿宋"/>
          <w:color w:val="auto"/>
          <w:sz w:val="24"/>
          <w:szCs w:val="24"/>
          <w:highlight w:val="none"/>
          <w:lang w:val="en-US" w:eastAsia="zh-CN"/>
        </w:rPr>
        <w:t>投标人</w:t>
      </w:r>
      <w:r>
        <w:rPr>
          <w:rFonts w:hint="eastAsia" w:ascii="仿宋" w:hAnsi="仿宋" w:eastAsia="仿宋"/>
          <w:color w:val="auto"/>
          <w:sz w:val="24"/>
          <w:szCs w:val="24"/>
          <w:highlight w:val="none"/>
        </w:rPr>
        <w:t>须提供</w:t>
      </w:r>
      <w:r>
        <w:rPr>
          <w:rFonts w:hint="eastAsia" w:ascii="仿宋" w:hAnsi="仿宋" w:eastAsia="仿宋"/>
          <w:color w:val="auto"/>
          <w:sz w:val="24"/>
          <w:szCs w:val="24"/>
          <w:highlight w:val="none"/>
          <w:lang w:eastAsia="zh-CN"/>
        </w:rPr>
        <w:t>所投产品</w:t>
      </w:r>
      <w:r>
        <w:rPr>
          <w:rFonts w:hint="eastAsia" w:ascii="仿宋" w:hAnsi="仿宋" w:eastAsia="仿宋"/>
          <w:color w:val="auto"/>
          <w:sz w:val="24"/>
          <w:szCs w:val="24"/>
          <w:highlight w:val="none"/>
          <w:lang w:val="en-US" w:eastAsia="zh-CN"/>
        </w:rPr>
        <w:t>的</w:t>
      </w:r>
      <w:r>
        <w:rPr>
          <w:rFonts w:hint="eastAsia" w:ascii="仿宋" w:hAnsi="仿宋" w:eastAsia="仿宋"/>
          <w:color w:val="auto"/>
          <w:sz w:val="24"/>
          <w:szCs w:val="24"/>
          <w:highlight w:val="none"/>
        </w:rPr>
        <w:t>3C认证证书复印件。</w:t>
      </w:r>
    </w:p>
    <w:p>
      <w:pPr>
        <w:pStyle w:val="2"/>
        <w:spacing w:before="0" w:after="0" w:line="500" w:lineRule="atLeast"/>
        <w:rPr>
          <w:rFonts w:ascii="Times New Roman" w:hAnsi="Times New Roman" w:eastAsia="仿宋"/>
          <w:b w:val="0"/>
          <w:color w:val="auto"/>
          <w:sz w:val="24"/>
          <w:szCs w:val="24"/>
          <w:highlight w:val="none"/>
        </w:rPr>
      </w:pPr>
      <w:bookmarkStart w:id="42" w:name="_Toc31609"/>
      <w:bookmarkStart w:id="43" w:name="_Toc21386"/>
      <w:bookmarkStart w:id="44" w:name="_Toc29927"/>
      <w:bookmarkStart w:id="45" w:name="_Toc13990"/>
      <w:bookmarkStart w:id="46" w:name="_Toc14881"/>
      <w:bookmarkStart w:id="47" w:name="_Toc12482"/>
      <w:bookmarkStart w:id="48" w:name="_Toc12939"/>
      <w:bookmarkStart w:id="49" w:name="_Toc13859"/>
      <w:r>
        <w:rPr>
          <w:rFonts w:ascii="Times New Roman" w:hAnsi="Times New Roman" w:eastAsia="仿宋"/>
          <w:b w:val="0"/>
          <w:color w:val="auto"/>
          <w:sz w:val="24"/>
          <w:szCs w:val="24"/>
          <w:highlight w:val="none"/>
        </w:rPr>
        <w:t>三、获取招标文件</w:t>
      </w:r>
      <w:bookmarkEnd w:id="38"/>
      <w:bookmarkEnd w:id="39"/>
      <w:bookmarkEnd w:id="40"/>
      <w:bookmarkEnd w:id="41"/>
      <w:bookmarkEnd w:id="42"/>
      <w:bookmarkEnd w:id="43"/>
      <w:bookmarkEnd w:id="44"/>
      <w:bookmarkEnd w:id="45"/>
      <w:bookmarkEnd w:id="46"/>
      <w:bookmarkEnd w:id="47"/>
      <w:bookmarkEnd w:id="48"/>
      <w:bookmarkEnd w:id="49"/>
    </w:p>
    <w:p>
      <w:pPr>
        <w:spacing w:line="500" w:lineRule="atLeas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有意向的供应商可在202</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日至202</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15</w:t>
      </w:r>
      <w:r>
        <w:rPr>
          <w:rFonts w:hint="eastAsia" w:ascii="仿宋" w:hAnsi="仿宋" w:eastAsia="仿宋" w:cs="仿宋"/>
          <w:color w:val="auto"/>
          <w:sz w:val="24"/>
          <w:szCs w:val="24"/>
          <w:highlight w:val="none"/>
        </w:rPr>
        <w:t>日登录精彩纵横云采购平台网站（网址：https://www.yingcaicheng.com)公告查看页面点击“立即参与”，在网上</w:t>
      </w:r>
      <w:r>
        <w:rPr>
          <w:rFonts w:hint="eastAsia" w:ascii="仿宋" w:hAnsi="仿宋" w:eastAsia="仿宋" w:cs="仿宋"/>
          <w:color w:val="auto"/>
          <w:sz w:val="24"/>
          <w:szCs w:val="24"/>
          <w:highlight w:val="none"/>
          <w:lang w:val="en-US" w:eastAsia="zh-CN"/>
        </w:rPr>
        <w:t>免费</w:t>
      </w:r>
      <w:r>
        <w:rPr>
          <w:rFonts w:hint="eastAsia" w:ascii="仿宋" w:hAnsi="仿宋" w:eastAsia="仿宋" w:cs="仿宋"/>
          <w:color w:val="auto"/>
          <w:sz w:val="24"/>
          <w:szCs w:val="24"/>
          <w:highlight w:val="none"/>
        </w:rPr>
        <w:t>获取电子版</w:t>
      </w:r>
      <w:r>
        <w:rPr>
          <w:rFonts w:hint="eastAsia" w:ascii="仿宋" w:hAnsi="仿宋" w:eastAsia="仿宋" w:cs="仿宋"/>
          <w:color w:val="auto"/>
          <w:sz w:val="24"/>
          <w:szCs w:val="24"/>
          <w:highlight w:val="none"/>
          <w:lang w:val="en-US" w:eastAsia="zh-CN"/>
        </w:rPr>
        <w:t>招标</w:t>
      </w:r>
      <w:r>
        <w:rPr>
          <w:rFonts w:hint="eastAsia" w:ascii="仿宋" w:hAnsi="仿宋" w:eastAsia="仿宋" w:cs="仿宋"/>
          <w:color w:val="auto"/>
          <w:sz w:val="24"/>
          <w:szCs w:val="24"/>
          <w:highlight w:val="none"/>
        </w:rPr>
        <w:t>文件，未在精彩纵横云采购平台网站获取电子版</w:t>
      </w:r>
      <w:r>
        <w:rPr>
          <w:rFonts w:hint="eastAsia" w:ascii="仿宋" w:hAnsi="仿宋" w:eastAsia="仿宋" w:cs="仿宋"/>
          <w:color w:val="auto"/>
          <w:sz w:val="24"/>
          <w:szCs w:val="24"/>
          <w:highlight w:val="none"/>
          <w:lang w:val="en-US" w:eastAsia="zh-CN"/>
        </w:rPr>
        <w:t>招标</w:t>
      </w:r>
      <w:r>
        <w:rPr>
          <w:rFonts w:hint="eastAsia" w:ascii="仿宋" w:hAnsi="仿宋" w:eastAsia="仿宋" w:cs="仿宋"/>
          <w:color w:val="auto"/>
          <w:sz w:val="24"/>
          <w:szCs w:val="24"/>
          <w:highlight w:val="none"/>
        </w:rPr>
        <w:t>文件及其他材料的不能参与本项目的采购活动。平台使用费用为0元，未注册的供应商须先完成注册登记并通过审核，如已进行注册则直接网上下载即可。</w:t>
      </w:r>
    </w:p>
    <w:p>
      <w:pPr>
        <w:spacing w:line="500" w:lineRule="atLeas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p>
      <w:pPr>
        <w:spacing w:line="500" w:lineRule="atLeas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1）具体注册事宜可登录精彩纵横云采购平台网站查看“帮助专区”；</w:t>
      </w:r>
    </w:p>
    <w:p>
      <w:pPr>
        <w:spacing w:line="500" w:lineRule="atLeas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2）相关问题也可拨打咨询电话：400-8566-100（注册咨询电话，晚上21：00前），咨询QQ：2307583988、811028657、3132922569；</w:t>
      </w:r>
    </w:p>
    <w:p>
      <w:pPr>
        <w:spacing w:line="500" w:lineRule="atLeas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3）以上手续必须在文件获取期限内完成，因未及时办理注册审核手续影响报名及参加投标的，责任自负。</w:t>
      </w:r>
    </w:p>
    <w:p>
      <w:pPr>
        <w:pStyle w:val="2"/>
        <w:pageBreakBefore w:val="0"/>
        <w:widowControl w:val="0"/>
        <w:kinsoku/>
        <w:wordWrap/>
        <w:overflowPunct/>
        <w:topLinePunct w:val="0"/>
        <w:autoSpaceDE/>
        <w:autoSpaceDN/>
        <w:bidi w:val="0"/>
        <w:adjustRightInd/>
        <w:snapToGrid/>
        <w:spacing w:before="0" w:after="0" w:line="500" w:lineRule="atLeast"/>
        <w:textAlignment w:val="auto"/>
        <w:rPr>
          <w:rFonts w:eastAsia="仿宋"/>
          <w:color w:val="auto"/>
          <w:szCs w:val="24"/>
          <w:highlight w:val="none"/>
        </w:rPr>
      </w:pPr>
      <w:bookmarkStart w:id="50" w:name="_Toc28359082"/>
      <w:bookmarkStart w:id="51" w:name="_Toc28359005"/>
      <w:bookmarkStart w:id="52" w:name="_Toc25802"/>
      <w:bookmarkStart w:id="53" w:name="_Toc12748"/>
      <w:bookmarkStart w:id="54" w:name="_Toc35393624"/>
      <w:bookmarkStart w:id="55" w:name="_Toc35393793"/>
      <w:bookmarkStart w:id="56" w:name="_Toc3146"/>
      <w:bookmarkStart w:id="57" w:name="_Toc13383"/>
      <w:bookmarkStart w:id="58" w:name="_Toc16801"/>
      <w:r>
        <w:rPr>
          <w:rFonts w:hint="eastAsia" w:ascii="Times New Roman" w:hAnsi="Times New Roman" w:eastAsia="仿宋"/>
          <w:b w:val="0"/>
          <w:color w:val="auto"/>
          <w:sz w:val="24"/>
          <w:szCs w:val="24"/>
          <w:highlight w:val="none"/>
          <w:lang w:val="en-US" w:eastAsia="zh-CN"/>
        </w:rPr>
        <w:t>四、</w:t>
      </w:r>
      <w:r>
        <w:rPr>
          <w:rFonts w:ascii="Times New Roman" w:hAnsi="Times New Roman" w:eastAsia="仿宋"/>
          <w:b w:val="0"/>
          <w:color w:val="auto"/>
          <w:sz w:val="24"/>
          <w:szCs w:val="24"/>
          <w:highlight w:val="none"/>
        </w:rPr>
        <w:t>提交投标文件</w:t>
      </w:r>
      <w:bookmarkEnd w:id="50"/>
      <w:bookmarkEnd w:id="51"/>
      <w:r>
        <w:rPr>
          <w:rFonts w:ascii="Times New Roman" w:hAnsi="Times New Roman" w:eastAsia="仿宋"/>
          <w:b w:val="0"/>
          <w:color w:val="auto"/>
          <w:sz w:val="24"/>
          <w:szCs w:val="24"/>
          <w:highlight w:val="none"/>
        </w:rPr>
        <w:t>截止时间、开标时间和地点</w:t>
      </w:r>
      <w:bookmarkEnd w:id="52"/>
      <w:bookmarkEnd w:id="53"/>
      <w:bookmarkEnd w:id="54"/>
      <w:bookmarkEnd w:id="55"/>
      <w:bookmarkEnd w:id="56"/>
      <w:bookmarkEnd w:id="57"/>
      <w:bookmarkEnd w:id="58"/>
    </w:p>
    <w:p>
      <w:pPr>
        <w:spacing w:line="500" w:lineRule="atLeast"/>
        <w:ind w:firstLine="480" w:firstLineChars="200"/>
        <w:rPr>
          <w:rFonts w:eastAsia="仿宋"/>
          <w:color w:val="auto"/>
          <w:sz w:val="24"/>
          <w:szCs w:val="24"/>
          <w:highlight w:val="none"/>
        </w:rPr>
      </w:pPr>
      <w:r>
        <w:rPr>
          <w:rFonts w:hint="eastAsia" w:eastAsia="仿宋"/>
          <w:color w:val="auto"/>
          <w:sz w:val="24"/>
          <w:szCs w:val="24"/>
          <w:highlight w:val="none"/>
          <w:lang w:val="en-US" w:eastAsia="zh-CN"/>
        </w:rPr>
        <w:t>02、10、12、13、17、20、22、25、28包：</w:t>
      </w:r>
      <w:r>
        <w:rPr>
          <w:rFonts w:eastAsia="仿宋"/>
          <w:color w:val="auto"/>
          <w:sz w:val="24"/>
          <w:szCs w:val="24"/>
          <w:highlight w:val="none"/>
        </w:rPr>
        <w:t>202</w:t>
      </w:r>
      <w:r>
        <w:rPr>
          <w:rFonts w:hint="eastAsia" w:eastAsia="仿宋"/>
          <w:color w:val="auto"/>
          <w:sz w:val="24"/>
          <w:szCs w:val="24"/>
          <w:highlight w:val="none"/>
          <w:lang w:val="en-US" w:eastAsia="zh-CN"/>
        </w:rPr>
        <w:t>4</w:t>
      </w:r>
      <w:r>
        <w:rPr>
          <w:rFonts w:eastAsia="仿宋"/>
          <w:color w:val="auto"/>
          <w:sz w:val="24"/>
          <w:szCs w:val="24"/>
          <w:highlight w:val="none"/>
        </w:rPr>
        <w:t>年</w:t>
      </w:r>
      <w:r>
        <w:rPr>
          <w:rFonts w:hint="eastAsia" w:eastAsia="仿宋"/>
          <w:color w:val="auto"/>
          <w:sz w:val="24"/>
          <w:szCs w:val="24"/>
          <w:highlight w:val="none"/>
          <w:lang w:val="en-US" w:eastAsia="zh-CN"/>
        </w:rPr>
        <w:t>7</w:t>
      </w:r>
      <w:r>
        <w:rPr>
          <w:rFonts w:eastAsia="仿宋"/>
          <w:color w:val="auto"/>
          <w:sz w:val="24"/>
          <w:szCs w:val="24"/>
          <w:highlight w:val="none"/>
        </w:rPr>
        <w:t>月</w:t>
      </w:r>
      <w:r>
        <w:rPr>
          <w:rFonts w:hint="eastAsia" w:eastAsia="仿宋"/>
          <w:color w:val="auto"/>
          <w:sz w:val="24"/>
          <w:szCs w:val="24"/>
          <w:highlight w:val="none"/>
          <w:lang w:val="en-US" w:eastAsia="zh-CN"/>
        </w:rPr>
        <w:t>26</w:t>
      </w:r>
      <w:r>
        <w:rPr>
          <w:rFonts w:eastAsia="仿宋"/>
          <w:color w:val="auto"/>
          <w:sz w:val="24"/>
          <w:szCs w:val="24"/>
          <w:highlight w:val="none"/>
        </w:rPr>
        <w:t>日9点00分（北京时间）</w:t>
      </w:r>
    </w:p>
    <w:p>
      <w:pPr>
        <w:spacing w:line="500" w:lineRule="atLeast"/>
        <w:ind w:firstLine="480" w:firstLineChars="200"/>
        <w:rPr>
          <w:rFonts w:eastAsia="仿宋"/>
          <w:color w:val="auto"/>
          <w:sz w:val="24"/>
          <w:szCs w:val="24"/>
          <w:highlight w:val="none"/>
        </w:rPr>
      </w:pPr>
      <w:r>
        <w:rPr>
          <w:rFonts w:eastAsia="仿宋"/>
          <w:color w:val="auto"/>
          <w:sz w:val="24"/>
          <w:szCs w:val="24"/>
          <w:highlight w:val="none"/>
        </w:rPr>
        <w:t>地点：江西省机电设备招标有限公司</w:t>
      </w:r>
      <w:r>
        <w:rPr>
          <w:rFonts w:hint="eastAsia" w:eastAsia="仿宋"/>
          <w:color w:val="auto"/>
          <w:sz w:val="24"/>
          <w:szCs w:val="24"/>
          <w:highlight w:val="none"/>
          <w:lang w:val="en-US" w:eastAsia="zh-CN"/>
        </w:rPr>
        <w:t>七</w:t>
      </w:r>
      <w:r>
        <w:rPr>
          <w:rFonts w:eastAsia="仿宋"/>
          <w:color w:val="auto"/>
          <w:sz w:val="24"/>
          <w:szCs w:val="24"/>
          <w:highlight w:val="none"/>
        </w:rPr>
        <w:t>楼</w:t>
      </w:r>
      <w:r>
        <w:rPr>
          <w:rFonts w:hint="eastAsia" w:eastAsia="仿宋"/>
          <w:color w:val="auto"/>
          <w:sz w:val="24"/>
          <w:szCs w:val="24"/>
          <w:highlight w:val="none"/>
          <w:lang w:val="en-US" w:eastAsia="zh-CN"/>
        </w:rPr>
        <w:t>701</w:t>
      </w:r>
      <w:r>
        <w:rPr>
          <w:rFonts w:eastAsia="仿宋"/>
          <w:color w:val="auto"/>
          <w:sz w:val="24"/>
          <w:szCs w:val="24"/>
          <w:highlight w:val="none"/>
        </w:rPr>
        <w:t>室。</w:t>
      </w:r>
      <w:bookmarkStart w:id="59" w:name="_Toc28359007"/>
      <w:bookmarkStart w:id="60" w:name="_Toc35393625"/>
      <w:bookmarkStart w:id="61" w:name="_Toc17252"/>
      <w:bookmarkStart w:id="62" w:name="_Toc214"/>
      <w:bookmarkStart w:id="63" w:name="_Toc20597"/>
      <w:bookmarkStart w:id="64" w:name="_Toc35393794"/>
      <w:bookmarkStart w:id="65" w:name="_Toc28359084"/>
    </w:p>
    <w:p>
      <w:pPr>
        <w:spacing w:line="500" w:lineRule="atLeast"/>
        <w:ind w:firstLine="480" w:firstLineChars="200"/>
        <w:rPr>
          <w:rFonts w:eastAsia="仿宋"/>
          <w:color w:val="auto"/>
          <w:sz w:val="24"/>
          <w:szCs w:val="24"/>
          <w:highlight w:val="none"/>
        </w:rPr>
      </w:pPr>
      <w:r>
        <w:rPr>
          <w:rFonts w:hint="eastAsia" w:eastAsia="仿宋"/>
          <w:color w:val="auto"/>
          <w:sz w:val="24"/>
          <w:szCs w:val="24"/>
          <w:highlight w:val="none"/>
          <w:lang w:val="en-US" w:eastAsia="zh-CN"/>
        </w:rPr>
        <w:t>33、34、35、36、39、40、46、47、53包：</w:t>
      </w:r>
      <w:r>
        <w:rPr>
          <w:rFonts w:eastAsia="仿宋"/>
          <w:color w:val="auto"/>
          <w:sz w:val="24"/>
          <w:szCs w:val="24"/>
          <w:highlight w:val="none"/>
        </w:rPr>
        <w:t>202</w:t>
      </w:r>
      <w:r>
        <w:rPr>
          <w:rFonts w:hint="eastAsia" w:eastAsia="仿宋"/>
          <w:color w:val="auto"/>
          <w:sz w:val="24"/>
          <w:szCs w:val="24"/>
          <w:highlight w:val="none"/>
          <w:lang w:val="en-US" w:eastAsia="zh-CN"/>
        </w:rPr>
        <w:t>4</w:t>
      </w:r>
      <w:r>
        <w:rPr>
          <w:rFonts w:eastAsia="仿宋"/>
          <w:color w:val="auto"/>
          <w:sz w:val="24"/>
          <w:szCs w:val="24"/>
          <w:highlight w:val="none"/>
        </w:rPr>
        <w:t>年</w:t>
      </w:r>
      <w:r>
        <w:rPr>
          <w:rFonts w:hint="eastAsia" w:eastAsia="仿宋"/>
          <w:color w:val="auto"/>
          <w:sz w:val="24"/>
          <w:szCs w:val="24"/>
          <w:highlight w:val="none"/>
          <w:lang w:val="en-US" w:eastAsia="zh-CN"/>
        </w:rPr>
        <w:t>7</w:t>
      </w:r>
      <w:r>
        <w:rPr>
          <w:rFonts w:eastAsia="仿宋"/>
          <w:color w:val="auto"/>
          <w:sz w:val="24"/>
          <w:szCs w:val="24"/>
          <w:highlight w:val="none"/>
        </w:rPr>
        <w:t>月</w:t>
      </w:r>
      <w:r>
        <w:rPr>
          <w:rFonts w:hint="eastAsia" w:eastAsia="仿宋"/>
          <w:color w:val="auto"/>
          <w:sz w:val="24"/>
          <w:szCs w:val="24"/>
          <w:highlight w:val="none"/>
          <w:lang w:val="en-US" w:eastAsia="zh-CN"/>
        </w:rPr>
        <w:t>29</w:t>
      </w:r>
      <w:r>
        <w:rPr>
          <w:rFonts w:eastAsia="仿宋"/>
          <w:color w:val="auto"/>
          <w:sz w:val="24"/>
          <w:szCs w:val="24"/>
          <w:highlight w:val="none"/>
        </w:rPr>
        <w:t>日9点00分（北京时间）</w:t>
      </w:r>
    </w:p>
    <w:p>
      <w:pPr>
        <w:spacing w:line="500" w:lineRule="atLeast"/>
        <w:ind w:firstLine="480" w:firstLineChars="200"/>
        <w:rPr>
          <w:rFonts w:eastAsia="仿宋"/>
          <w:color w:val="auto"/>
          <w:sz w:val="24"/>
          <w:szCs w:val="24"/>
          <w:highlight w:val="none"/>
        </w:rPr>
      </w:pPr>
      <w:r>
        <w:rPr>
          <w:rFonts w:eastAsia="仿宋"/>
          <w:color w:val="auto"/>
          <w:sz w:val="24"/>
          <w:szCs w:val="24"/>
          <w:highlight w:val="none"/>
        </w:rPr>
        <w:t>地点：江西省机电设备招标有限公司</w:t>
      </w:r>
      <w:r>
        <w:rPr>
          <w:rFonts w:hint="eastAsia" w:eastAsia="仿宋"/>
          <w:color w:val="auto"/>
          <w:sz w:val="24"/>
          <w:szCs w:val="24"/>
          <w:highlight w:val="none"/>
          <w:lang w:val="en-US" w:eastAsia="zh-CN"/>
        </w:rPr>
        <w:t>七</w:t>
      </w:r>
      <w:r>
        <w:rPr>
          <w:rFonts w:eastAsia="仿宋"/>
          <w:color w:val="auto"/>
          <w:sz w:val="24"/>
          <w:szCs w:val="24"/>
          <w:highlight w:val="none"/>
        </w:rPr>
        <w:t>楼</w:t>
      </w:r>
      <w:r>
        <w:rPr>
          <w:rFonts w:hint="eastAsia" w:eastAsia="仿宋"/>
          <w:color w:val="auto"/>
          <w:sz w:val="24"/>
          <w:szCs w:val="24"/>
          <w:highlight w:val="none"/>
          <w:lang w:val="en-US" w:eastAsia="zh-CN"/>
        </w:rPr>
        <w:t>701</w:t>
      </w:r>
      <w:r>
        <w:rPr>
          <w:rFonts w:eastAsia="仿宋"/>
          <w:color w:val="auto"/>
          <w:sz w:val="24"/>
          <w:szCs w:val="24"/>
          <w:highlight w:val="none"/>
        </w:rPr>
        <w:t>室。</w:t>
      </w:r>
    </w:p>
    <w:p>
      <w:pPr>
        <w:spacing w:line="500" w:lineRule="atLeast"/>
        <w:ind w:firstLine="480" w:firstLineChars="200"/>
        <w:rPr>
          <w:rFonts w:eastAsia="仿宋"/>
          <w:color w:val="auto"/>
          <w:sz w:val="24"/>
          <w:szCs w:val="24"/>
          <w:highlight w:val="none"/>
        </w:rPr>
      </w:pPr>
      <w:r>
        <w:rPr>
          <w:rFonts w:hint="eastAsia" w:eastAsia="仿宋"/>
          <w:color w:val="auto"/>
          <w:sz w:val="24"/>
          <w:szCs w:val="24"/>
          <w:highlight w:val="none"/>
          <w:lang w:val="en-US" w:eastAsia="zh-CN"/>
        </w:rPr>
        <w:t>55、61、64、65、68、70、72、77、79包：</w:t>
      </w:r>
      <w:r>
        <w:rPr>
          <w:rFonts w:eastAsia="仿宋"/>
          <w:color w:val="auto"/>
          <w:sz w:val="24"/>
          <w:szCs w:val="24"/>
          <w:highlight w:val="none"/>
        </w:rPr>
        <w:t>202</w:t>
      </w:r>
      <w:r>
        <w:rPr>
          <w:rFonts w:hint="eastAsia" w:eastAsia="仿宋"/>
          <w:color w:val="auto"/>
          <w:sz w:val="24"/>
          <w:szCs w:val="24"/>
          <w:highlight w:val="none"/>
          <w:lang w:val="en-US" w:eastAsia="zh-CN"/>
        </w:rPr>
        <w:t>4</w:t>
      </w:r>
      <w:r>
        <w:rPr>
          <w:rFonts w:eastAsia="仿宋"/>
          <w:color w:val="auto"/>
          <w:sz w:val="24"/>
          <w:szCs w:val="24"/>
          <w:highlight w:val="none"/>
        </w:rPr>
        <w:t>年</w:t>
      </w:r>
      <w:r>
        <w:rPr>
          <w:rFonts w:hint="eastAsia" w:eastAsia="仿宋"/>
          <w:color w:val="auto"/>
          <w:sz w:val="24"/>
          <w:szCs w:val="24"/>
          <w:highlight w:val="none"/>
          <w:lang w:val="en-US" w:eastAsia="zh-CN"/>
        </w:rPr>
        <w:t>7</w:t>
      </w:r>
      <w:r>
        <w:rPr>
          <w:rFonts w:eastAsia="仿宋"/>
          <w:color w:val="auto"/>
          <w:sz w:val="24"/>
          <w:szCs w:val="24"/>
          <w:highlight w:val="none"/>
        </w:rPr>
        <w:t>月</w:t>
      </w:r>
      <w:r>
        <w:rPr>
          <w:rFonts w:hint="eastAsia" w:eastAsia="仿宋"/>
          <w:color w:val="auto"/>
          <w:sz w:val="24"/>
          <w:szCs w:val="24"/>
          <w:highlight w:val="none"/>
          <w:lang w:val="en-US" w:eastAsia="zh-CN"/>
        </w:rPr>
        <w:t>30</w:t>
      </w:r>
      <w:r>
        <w:rPr>
          <w:rFonts w:eastAsia="仿宋"/>
          <w:color w:val="auto"/>
          <w:sz w:val="24"/>
          <w:szCs w:val="24"/>
          <w:highlight w:val="none"/>
        </w:rPr>
        <w:t>日9点00分（北京时间）</w:t>
      </w:r>
    </w:p>
    <w:p>
      <w:pPr>
        <w:spacing w:line="500" w:lineRule="atLeast"/>
        <w:ind w:firstLine="480" w:firstLineChars="200"/>
        <w:rPr>
          <w:rFonts w:eastAsia="仿宋"/>
          <w:color w:val="auto"/>
          <w:sz w:val="24"/>
          <w:szCs w:val="24"/>
          <w:highlight w:val="none"/>
        </w:rPr>
      </w:pPr>
      <w:r>
        <w:rPr>
          <w:rFonts w:eastAsia="仿宋"/>
          <w:color w:val="auto"/>
          <w:sz w:val="24"/>
          <w:szCs w:val="24"/>
          <w:highlight w:val="none"/>
        </w:rPr>
        <w:t>地点：江西省机电设备招标有限公司</w:t>
      </w:r>
      <w:r>
        <w:rPr>
          <w:rFonts w:hint="eastAsia" w:eastAsia="仿宋"/>
          <w:color w:val="auto"/>
          <w:sz w:val="24"/>
          <w:szCs w:val="24"/>
          <w:highlight w:val="none"/>
          <w:lang w:val="en-US" w:eastAsia="zh-CN"/>
        </w:rPr>
        <w:t>七</w:t>
      </w:r>
      <w:r>
        <w:rPr>
          <w:rFonts w:eastAsia="仿宋"/>
          <w:color w:val="auto"/>
          <w:sz w:val="24"/>
          <w:szCs w:val="24"/>
          <w:highlight w:val="none"/>
        </w:rPr>
        <w:t>楼</w:t>
      </w:r>
      <w:r>
        <w:rPr>
          <w:rFonts w:hint="eastAsia" w:eastAsia="仿宋"/>
          <w:color w:val="auto"/>
          <w:sz w:val="24"/>
          <w:szCs w:val="24"/>
          <w:highlight w:val="none"/>
          <w:lang w:val="en-US" w:eastAsia="zh-CN"/>
        </w:rPr>
        <w:t>701</w:t>
      </w:r>
      <w:r>
        <w:rPr>
          <w:rFonts w:eastAsia="仿宋"/>
          <w:color w:val="auto"/>
          <w:sz w:val="24"/>
          <w:szCs w:val="24"/>
          <w:highlight w:val="none"/>
        </w:rPr>
        <w:t>室。</w:t>
      </w:r>
    </w:p>
    <w:p>
      <w:pPr>
        <w:spacing w:line="500" w:lineRule="atLeast"/>
        <w:ind w:firstLine="480" w:firstLineChars="200"/>
        <w:rPr>
          <w:rFonts w:eastAsia="仿宋"/>
          <w:color w:val="auto"/>
          <w:sz w:val="24"/>
          <w:szCs w:val="24"/>
          <w:highlight w:val="none"/>
        </w:rPr>
      </w:pPr>
      <w:r>
        <w:rPr>
          <w:rFonts w:hint="eastAsia" w:eastAsia="仿宋"/>
          <w:color w:val="auto"/>
          <w:sz w:val="24"/>
          <w:szCs w:val="24"/>
          <w:highlight w:val="none"/>
          <w:lang w:val="en-US" w:eastAsia="zh-CN"/>
        </w:rPr>
        <w:t>83、86、93、97、98、99、103、107、108、117包：</w:t>
      </w:r>
      <w:r>
        <w:rPr>
          <w:rFonts w:eastAsia="仿宋"/>
          <w:color w:val="auto"/>
          <w:sz w:val="24"/>
          <w:szCs w:val="24"/>
          <w:highlight w:val="none"/>
        </w:rPr>
        <w:t>202</w:t>
      </w:r>
      <w:r>
        <w:rPr>
          <w:rFonts w:hint="eastAsia" w:eastAsia="仿宋"/>
          <w:color w:val="auto"/>
          <w:sz w:val="24"/>
          <w:szCs w:val="24"/>
          <w:highlight w:val="none"/>
          <w:lang w:val="en-US" w:eastAsia="zh-CN"/>
        </w:rPr>
        <w:t>4</w:t>
      </w:r>
      <w:r>
        <w:rPr>
          <w:rFonts w:eastAsia="仿宋"/>
          <w:color w:val="auto"/>
          <w:sz w:val="24"/>
          <w:szCs w:val="24"/>
          <w:highlight w:val="none"/>
        </w:rPr>
        <w:t>年</w:t>
      </w:r>
      <w:r>
        <w:rPr>
          <w:rFonts w:hint="eastAsia" w:eastAsia="仿宋"/>
          <w:color w:val="auto"/>
          <w:sz w:val="24"/>
          <w:szCs w:val="24"/>
          <w:highlight w:val="none"/>
          <w:lang w:val="en-US" w:eastAsia="zh-CN"/>
        </w:rPr>
        <w:t>7</w:t>
      </w:r>
      <w:r>
        <w:rPr>
          <w:rFonts w:eastAsia="仿宋"/>
          <w:color w:val="auto"/>
          <w:sz w:val="24"/>
          <w:szCs w:val="24"/>
          <w:highlight w:val="none"/>
        </w:rPr>
        <w:t>月</w:t>
      </w:r>
      <w:r>
        <w:rPr>
          <w:rFonts w:hint="eastAsia" w:eastAsia="仿宋"/>
          <w:color w:val="auto"/>
          <w:sz w:val="24"/>
          <w:szCs w:val="24"/>
          <w:highlight w:val="none"/>
          <w:lang w:val="en-US" w:eastAsia="zh-CN"/>
        </w:rPr>
        <w:t>31</w:t>
      </w:r>
      <w:r>
        <w:rPr>
          <w:rFonts w:eastAsia="仿宋"/>
          <w:color w:val="auto"/>
          <w:sz w:val="24"/>
          <w:szCs w:val="24"/>
          <w:highlight w:val="none"/>
        </w:rPr>
        <w:t>日9点00分（北京时间）</w:t>
      </w:r>
    </w:p>
    <w:p>
      <w:pPr>
        <w:spacing w:line="500" w:lineRule="atLeast"/>
        <w:ind w:firstLine="480" w:firstLineChars="200"/>
        <w:rPr>
          <w:rFonts w:hint="default" w:eastAsia="仿宋"/>
          <w:color w:val="auto"/>
          <w:sz w:val="24"/>
          <w:szCs w:val="24"/>
          <w:highlight w:val="none"/>
          <w:lang w:val="en-US" w:eastAsia="zh-CN"/>
        </w:rPr>
      </w:pPr>
      <w:r>
        <w:rPr>
          <w:rFonts w:eastAsia="仿宋"/>
          <w:color w:val="auto"/>
          <w:sz w:val="24"/>
          <w:szCs w:val="24"/>
          <w:highlight w:val="none"/>
        </w:rPr>
        <w:t>地点：江西省机电设备招标有限公司</w:t>
      </w:r>
      <w:r>
        <w:rPr>
          <w:rFonts w:hint="eastAsia" w:eastAsia="仿宋"/>
          <w:color w:val="auto"/>
          <w:sz w:val="24"/>
          <w:szCs w:val="24"/>
          <w:highlight w:val="none"/>
          <w:lang w:val="en-US" w:eastAsia="zh-CN"/>
        </w:rPr>
        <w:t>七</w:t>
      </w:r>
      <w:r>
        <w:rPr>
          <w:rFonts w:eastAsia="仿宋"/>
          <w:color w:val="auto"/>
          <w:sz w:val="24"/>
          <w:szCs w:val="24"/>
          <w:highlight w:val="none"/>
        </w:rPr>
        <w:t>楼</w:t>
      </w:r>
      <w:r>
        <w:rPr>
          <w:rFonts w:hint="eastAsia" w:eastAsia="仿宋"/>
          <w:color w:val="auto"/>
          <w:sz w:val="24"/>
          <w:szCs w:val="24"/>
          <w:highlight w:val="none"/>
          <w:lang w:val="en-US" w:eastAsia="zh-CN"/>
        </w:rPr>
        <w:t>701</w:t>
      </w:r>
      <w:r>
        <w:rPr>
          <w:rFonts w:eastAsia="仿宋"/>
          <w:color w:val="auto"/>
          <w:sz w:val="24"/>
          <w:szCs w:val="24"/>
          <w:highlight w:val="none"/>
        </w:rPr>
        <w:t>室。</w:t>
      </w:r>
    </w:p>
    <w:p>
      <w:pPr>
        <w:pStyle w:val="2"/>
        <w:spacing w:before="0" w:after="0" w:line="500" w:lineRule="atLeast"/>
        <w:rPr>
          <w:rFonts w:ascii="Times New Roman" w:hAnsi="Times New Roman" w:eastAsia="仿宋"/>
          <w:b w:val="0"/>
          <w:color w:val="auto"/>
          <w:sz w:val="24"/>
          <w:szCs w:val="24"/>
          <w:highlight w:val="none"/>
        </w:rPr>
      </w:pPr>
      <w:bookmarkStart w:id="66" w:name="_Toc536"/>
      <w:bookmarkStart w:id="67" w:name="_Toc26526"/>
      <w:bookmarkStart w:id="68" w:name="_Toc30577"/>
      <w:bookmarkStart w:id="69" w:name="_Toc14538"/>
      <w:bookmarkStart w:id="70" w:name="_Toc3205"/>
      <w:r>
        <w:rPr>
          <w:rFonts w:ascii="Times New Roman" w:hAnsi="Times New Roman" w:eastAsia="仿宋"/>
          <w:b w:val="0"/>
          <w:color w:val="auto"/>
          <w:sz w:val="24"/>
          <w:szCs w:val="24"/>
          <w:highlight w:val="none"/>
        </w:rPr>
        <w:t>五、公告期限</w:t>
      </w:r>
      <w:bookmarkEnd w:id="59"/>
      <w:bookmarkEnd w:id="60"/>
      <w:bookmarkEnd w:id="61"/>
      <w:bookmarkEnd w:id="62"/>
      <w:bookmarkEnd w:id="63"/>
      <w:bookmarkEnd w:id="64"/>
      <w:bookmarkEnd w:id="65"/>
      <w:bookmarkEnd w:id="66"/>
      <w:bookmarkEnd w:id="67"/>
      <w:bookmarkEnd w:id="68"/>
      <w:bookmarkEnd w:id="69"/>
      <w:bookmarkEnd w:id="70"/>
    </w:p>
    <w:p>
      <w:pPr>
        <w:spacing w:line="500" w:lineRule="atLeast"/>
        <w:ind w:firstLine="480" w:firstLineChars="200"/>
        <w:rPr>
          <w:rFonts w:eastAsia="仿宋"/>
          <w:color w:val="auto"/>
          <w:sz w:val="24"/>
          <w:szCs w:val="24"/>
          <w:highlight w:val="none"/>
        </w:rPr>
      </w:pPr>
      <w:r>
        <w:rPr>
          <w:rFonts w:eastAsia="仿宋"/>
          <w:color w:val="auto"/>
          <w:sz w:val="24"/>
          <w:szCs w:val="24"/>
          <w:highlight w:val="none"/>
        </w:rPr>
        <w:t>自本公告发布之日起5个工作日。</w:t>
      </w:r>
    </w:p>
    <w:p>
      <w:pPr>
        <w:pStyle w:val="2"/>
        <w:spacing w:before="0" w:after="0" w:line="500" w:lineRule="atLeast"/>
        <w:rPr>
          <w:rFonts w:ascii="Times New Roman" w:hAnsi="Times New Roman" w:eastAsia="仿宋"/>
          <w:b w:val="0"/>
          <w:color w:val="auto"/>
          <w:sz w:val="24"/>
          <w:szCs w:val="24"/>
          <w:highlight w:val="none"/>
        </w:rPr>
      </w:pPr>
      <w:bookmarkStart w:id="71" w:name="_Toc3664"/>
      <w:bookmarkStart w:id="72" w:name="_Toc35393626"/>
      <w:bookmarkStart w:id="73" w:name="_Toc23719"/>
      <w:bookmarkStart w:id="74" w:name="_Toc28333"/>
      <w:bookmarkStart w:id="75" w:name="_Toc18180"/>
      <w:bookmarkStart w:id="76" w:name="_Toc7839"/>
      <w:bookmarkStart w:id="77" w:name="_Toc24855"/>
      <w:bookmarkStart w:id="78" w:name="_Toc31605"/>
      <w:bookmarkStart w:id="79" w:name="_Toc35393795"/>
      <w:bookmarkStart w:id="80" w:name="_Toc21488"/>
      <w:r>
        <w:rPr>
          <w:rFonts w:ascii="Times New Roman" w:hAnsi="Times New Roman" w:eastAsia="仿宋"/>
          <w:b w:val="0"/>
          <w:color w:val="auto"/>
          <w:sz w:val="24"/>
          <w:szCs w:val="24"/>
          <w:highlight w:val="none"/>
        </w:rPr>
        <w:t>六、其他补充事宜</w:t>
      </w:r>
      <w:bookmarkEnd w:id="71"/>
      <w:bookmarkEnd w:id="72"/>
      <w:bookmarkEnd w:id="73"/>
      <w:bookmarkEnd w:id="74"/>
      <w:bookmarkEnd w:id="75"/>
      <w:bookmarkEnd w:id="76"/>
      <w:bookmarkEnd w:id="77"/>
      <w:bookmarkEnd w:id="78"/>
      <w:bookmarkEnd w:id="79"/>
      <w:bookmarkEnd w:id="80"/>
    </w:p>
    <w:p>
      <w:pPr>
        <w:spacing w:line="500" w:lineRule="atLeast"/>
        <w:ind w:left="360" w:hanging="360" w:hangingChars="150"/>
        <w:rPr>
          <w:rFonts w:eastAsia="仿宋"/>
          <w:color w:val="auto"/>
          <w:sz w:val="24"/>
          <w:szCs w:val="24"/>
          <w:highlight w:val="none"/>
        </w:rPr>
      </w:pPr>
      <w:bookmarkStart w:id="81" w:name="_Toc35393796"/>
      <w:bookmarkStart w:id="82" w:name="_Toc28359085"/>
      <w:bookmarkStart w:id="83" w:name="_Toc28359008"/>
      <w:bookmarkStart w:id="84" w:name="_Toc35393627"/>
      <w:r>
        <w:rPr>
          <w:rFonts w:eastAsia="仿宋"/>
          <w:color w:val="auto"/>
          <w:sz w:val="24"/>
          <w:szCs w:val="24"/>
          <w:highlight w:val="none"/>
        </w:rPr>
        <w:t>1.本项目采购国内产品，不允许提供进口产品参与采购活动。</w:t>
      </w:r>
    </w:p>
    <w:p>
      <w:pPr>
        <w:spacing w:line="500" w:lineRule="atLeast"/>
        <w:ind w:left="360" w:hanging="360" w:hangingChars="150"/>
        <w:rPr>
          <w:rFonts w:eastAsia="仿宋"/>
          <w:color w:val="auto"/>
          <w:sz w:val="24"/>
          <w:szCs w:val="24"/>
          <w:highlight w:val="none"/>
        </w:rPr>
      </w:pPr>
      <w:r>
        <w:rPr>
          <w:rFonts w:eastAsia="仿宋"/>
          <w:color w:val="auto"/>
          <w:sz w:val="24"/>
          <w:szCs w:val="24"/>
          <w:highlight w:val="none"/>
        </w:rPr>
        <w:t>2.本项目非专门面向中小企业采购。</w:t>
      </w:r>
    </w:p>
    <w:p>
      <w:pPr>
        <w:pStyle w:val="2"/>
        <w:spacing w:before="0" w:after="0" w:line="500" w:lineRule="atLeast"/>
        <w:rPr>
          <w:rFonts w:ascii="Times New Roman" w:hAnsi="Times New Roman" w:eastAsia="仿宋"/>
          <w:b w:val="0"/>
          <w:color w:val="auto"/>
          <w:sz w:val="24"/>
          <w:szCs w:val="24"/>
          <w:highlight w:val="none"/>
        </w:rPr>
      </w:pPr>
      <w:bookmarkStart w:id="85" w:name="_Toc2317"/>
      <w:bookmarkStart w:id="86" w:name="_Toc4454"/>
      <w:bookmarkStart w:id="87" w:name="_Toc8446"/>
      <w:bookmarkStart w:id="88" w:name="_Toc21359"/>
      <w:bookmarkStart w:id="89" w:name="_Toc26722"/>
      <w:bookmarkStart w:id="90" w:name="_Toc22438"/>
      <w:bookmarkStart w:id="91" w:name="_Toc24088"/>
      <w:bookmarkStart w:id="92" w:name="_Toc29920"/>
      <w:r>
        <w:rPr>
          <w:rFonts w:ascii="Times New Roman" w:hAnsi="Times New Roman" w:eastAsia="仿宋"/>
          <w:b w:val="0"/>
          <w:color w:val="auto"/>
          <w:sz w:val="24"/>
          <w:szCs w:val="24"/>
          <w:highlight w:val="none"/>
        </w:rPr>
        <w:t>七、对本次招标提出询问，请按以下方式联系</w:t>
      </w:r>
      <w:bookmarkEnd w:id="81"/>
      <w:bookmarkEnd w:id="82"/>
      <w:bookmarkEnd w:id="83"/>
      <w:bookmarkEnd w:id="84"/>
      <w:bookmarkEnd w:id="85"/>
      <w:bookmarkEnd w:id="86"/>
      <w:bookmarkEnd w:id="87"/>
      <w:bookmarkEnd w:id="88"/>
      <w:bookmarkEnd w:id="89"/>
      <w:bookmarkEnd w:id="90"/>
      <w:bookmarkEnd w:id="91"/>
      <w:bookmarkEnd w:id="92"/>
    </w:p>
    <w:p>
      <w:pPr>
        <w:spacing w:line="500" w:lineRule="atLeast"/>
        <w:ind w:left="300" w:hanging="300" w:hangingChars="125"/>
        <w:jc w:val="left"/>
        <w:rPr>
          <w:rFonts w:eastAsia="仿宋"/>
          <w:color w:val="auto"/>
          <w:sz w:val="24"/>
          <w:szCs w:val="24"/>
          <w:highlight w:val="none"/>
        </w:rPr>
      </w:pPr>
      <w:r>
        <w:rPr>
          <w:rFonts w:eastAsia="仿宋"/>
          <w:color w:val="auto"/>
          <w:sz w:val="24"/>
          <w:szCs w:val="24"/>
          <w:highlight w:val="none"/>
        </w:rPr>
        <w:t>1.采购人信息</w:t>
      </w:r>
    </w:p>
    <w:p>
      <w:pPr>
        <w:spacing w:line="500" w:lineRule="atLeast"/>
        <w:ind w:firstLine="480" w:firstLineChars="200"/>
        <w:rPr>
          <w:rFonts w:eastAsia="仿宋"/>
          <w:bCs/>
          <w:color w:val="auto"/>
          <w:sz w:val="24"/>
          <w:szCs w:val="24"/>
          <w:highlight w:val="none"/>
        </w:rPr>
      </w:pPr>
      <w:r>
        <w:rPr>
          <w:rFonts w:eastAsia="仿宋"/>
          <w:color w:val="auto"/>
          <w:sz w:val="24"/>
          <w:szCs w:val="24"/>
          <w:highlight w:val="none"/>
        </w:rPr>
        <w:t>名称：</w:t>
      </w:r>
      <w:bookmarkStart w:id="93" w:name="_Toc28359086"/>
      <w:bookmarkStart w:id="94" w:name="_Toc28359009"/>
      <w:r>
        <w:rPr>
          <w:rFonts w:eastAsia="仿宋"/>
          <w:bCs/>
          <w:color w:val="auto"/>
          <w:sz w:val="24"/>
          <w:szCs w:val="24"/>
          <w:highlight w:val="none"/>
        </w:rPr>
        <w:t>江西省消防救援总队</w:t>
      </w:r>
    </w:p>
    <w:p>
      <w:pPr>
        <w:spacing w:line="500" w:lineRule="atLeast"/>
        <w:ind w:firstLine="480" w:firstLineChars="200"/>
        <w:rPr>
          <w:rFonts w:eastAsia="仿宋"/>
          <w:bCs/>
          <w:color w:val="auto"/>
          <w:sz w:val="24"/>
          <w:szCs w:val="24"/>
          <w:highlight w:val="none"/>
        </w:rPr>
      </w:pPr>
      <w:r>
        <w:rPr>
          <w:rFonts w:eastAsia="仿宋"/>
          <w:bCs/>
          <w:color w:val="auto"/>
          <w:sz w:val="24"/>
          <w:szCs w:val="24"/>
          <w:highlight w:val="none"/>
        </w:rPr>
        <w:t>地址：江西省南昌市西湖区洪城路966号</w:t>
      </w:r>
    </w:p>
    <w:p>
      <w:pPr>
        <w:spacing w:line="500" w:lineRule="atLeast"/>
        <w:ind w:firstLine="480" w:firstLineChars="200"/>
        <w:rPr>
          <w:rFonts w:eastAsia="仿宋"/>
          <w:color w:val="auto"/>
          <w:sz w:val="24"/>
          <w:szCs w:val="24"/>
          <w:highlight w:val="none"/>
        </w:rPr>
      </w:pPr>
      <w:r>
        <w:rPr>
          <w:rFonts w:eastAsia="仿宋"/>
          <w:bCs/>
          <w:color w:val="auto"/>
          <w:sz w:val="24"/>
          <w:szCs w:val="24"/>
          <w:highlight w:val="none"/>
        </w:rPr>
        <w:t>联系方式：0791-86558420</w:t>
      </w:r>
    </w:p>
    <w:p>
      <w:pPr>
        <w:spacing w:line="500" w:lineRule="atLeast"/>
        <w:ind w:left="300" w:hanging="300" w:hangingChars="125"/>
        <w:jc w:val="left"/>
        <w:rPr>
          <w:rFonts w:eastAsia="仿宋"/>
          <w:color w:val="auto"/>
          <w:sz w:val="24"/>
          <w:szCs w:val="24"/>
          <w:highlight w:val="none"/>
        </w:rPr>
      </w:pPr>
      <w:r>
        <w:rPr>
          <w:rFonts w:eastAsia="仿宋"/>
          <w:color w:val="auto"/>
          <w:sz w:val="24"/>
          <w:szCs w:val="24"/>
          <w:highlight w:val="none"/>
        </w:rPr>
        <w:t>2.采购代理机构信息</w:t>
      </w:r>
      <w:bookmarkEnd w:id="93"/>
      <w:bookmarkEnd w:id="94"/>
    </w:p>
    <w:p>
      <w:pPr>
        <w:spacing w:line="500" w:lineRule="atLeast"/>
        <w:ind w:firstLine="480" w:firstLineChars="200"/>
        <w:rPr>
          <w:rFonts w:eastAsia="仿宋"/>
          <w:color w:val="auto"/>
          <w:sz w:val="24"/>
          <w:szCs w:val="24"/>
          <w:highlight w:val="none"/>
        </w:rPr>
      </w:pPr>
      <w:r>
        <w:rPr>
          <w:rFonts w:eastAsia="仿宋"/>
          <w:color w:val="auto"/>
          <w:sz w:val="24"/>
          <w:szCs w:val="24"/>
          <w:highlight w:val="none"/>
        </w:rPr>
        <w:t>名称：江西省机电设备招标有限公司</w:t>
      </w:r>
    </w:p>
    <w:p>
      <w:pPr>
        <w:spacing w:line="500" w:lineRule="atLeast"/>
        <w:ind w:firstLine="480" w:firstLineChars="200"/>
        <w:rPr>
          <w:rFonts w:eastAsia="仿宋"/>
          <w:color w:val="auto"/>
          <w:sz w:val="24"/>
          <w:szCs w:val="24"/>
          <w:highlight w:val="none"/>
        </w:rPr>
      </w:pPr>
      <w:r>
        <w:rPr>
          <w:rFonts w:eastAsia="仿宋"/>
          <w:color w:val="auto"/>
          <w:sz w:val="24"/>
          <w:szCs w:val="24"/>
          <w:highlight w:val="none"/>
        </w:rPr>
        <w:t>地址：江西省南昌市东湖区省政府大院北二路92号（咨询大厦）</w:t>
      </w:r>
    </w:p>
    <w:p>
      <w:pPr>
        <w:spacing w:line="500" w:lineRule="atLeast"/>
        <w:ind w:firstLine="480" w:firstLineChars="200"/>
        <w:rPr>
          <w:rFonts w:eastAsia="仿宋"/>
          <w:color w:val="auto"/>
          <w:sz w:val="24"/>
          <w:szCs w:val="24"/>
          <w:highlight w:val="none"/>
        </w:rPr>
      </w:pPr>
      <w:bookmarkStart w:id="95" w:name="_Toc28359087"/>
      <w:bookmarkStart w:id="96" w:name="_Toc28359010"/>
      <w:r>
        <w:rPr>
          <w:rFonts w:eastAsia="仿宋"/>
          <w:color w:val="auto"/>
          <w:sz w:val="24"/>
          <w:szCs w:val="24"/>
          <w:highlight w:val="none"/>
        </w:rPr>
        <w:t>电子函件：jz4@jxzxtz.com</w:t>
      </w:r>
    </w:p>
    <w:p>
      <w:pPr>
        <w:spacing w:line="500" w:lineRule="atLeast"/>
        <w:ind w:left="300" w:hanging="300" w:hangingChars="125"/>
        <w:jc w:val="left"/>
        <w:rPr>
          <w:rFonts w:eastAsia="仿宋"/>
          <w:color w:val="auto"/>
          <w:sz w:val="24"/>
          <w:szCs w:val="24"/>
          <w:highlight w:val="none"/>
          <w:u w:val="single"/>
        </w:rPr>
      </w:pPr>
      <w:r>
        <w:rPr>
          <w:rFonts w:eastAsia="仿宋"/>
          <w:color w:val="auto"/>
          <w:sz w:val="24"/>
          <w:szCs w:val="24"/>
          <w:highlight w:val="none"/>
        </w:rPr>
        <w:t>3.项目联系方式</w:t>
      </w:r>
      <w:bookmarkEnd w:id="95"/>
      <w:bookmarkEnd w:id="96"/>
    </w:p>
    <w:p>
      <w:pPr>
        <w:spacing w:line="500" w:lineRule="atLeast"/>
        <w:ind w:firstLine="480" w:firstLineChars="200"/>
        <w:rPr>
          <w:rFonts w:eastAsia="仿宋"/>
          <w:color w:val="auto"/>
          <w:sz w:val="24"/>
          <w:szCs w:val="24"/>
          <w:highlight w:val="none"/>
        </w:rPr>
      </w:pPr>
      <w:r>
        <w:rPr>
          <w:rFonts w:eastAsia="仿宋"/>
          <w:color w:val="auto"/>
          <w:sz w:val="24"/>
          <w:szCs w:val="24"/>
          <w:highlight w:val="none"/>
        </w:rPr>
        <w:t>项目联系人：桂颖、刘震云、樊刚</w:t>
      </w:r>
      <w:r>
        <w:rPr>
          <w:rFonts w:hint="eastAsia" w:eastAsia="仿宋"/>
          <w:color w:val="auto"/>
          <w:sz w:val="24"/>
          <w:szCs w:val="24"/>
          <w:highlight w:val="none"/>
          <w:lang w:eastAsia="zh-CN"/>
        </w:rPr>
        <w:t>、</w:t>
      </w:r>
      <w:r>
        <w:rPr>
          <w:rFonts w:hint="eastAsia" w:eastAsia="仿宋"/>
          <w:color w:val="auto"/>
          <w:sz w:val="24"/>
          <w:szCs w:val="24"/>
          <w:highlight w:val="none"/>
          <w:lang w:val="en-US" w:eastAsia="zh-CN"/>
        </w:rPr>
        <w:t>胡涛</w:t>
      </w:r>
      <w:r>
        <w:rPr>
          <w:rFonts w:eastAsia="仿宋"/>
          <w:color w:val="auto"/>
          <w:sz w:val="24"/>
          <w:szCs w:val="24"/>
          <w:highlight w:val="none"/>
        </w:rPr>
        <w:tab/>
      </w:r>
    </w:p>
    <w:p>
      <w:pPr>
        <w:spacing w:line="500" w:lineRule="atLeast"/>
        <w:ind w:firstLine="480" w:firstLineChars="200"/>
        <w:rPr>
          <w:rFonts w:eastAsiaTheme="minorEastAsia"/>
          <w:color w:val="auto"/>
          <w:sz w:val="24"/>
          <w:szCs w:val="24"/>
          <w:highlight w:val="none"/>
          <w:u w:val="single"/>
        </w:rPr>
      </w:pPr>
      <w:r>
        <w:rPr>
          <w:rFonts w:eastAsia="仿宋"/>
          <w:color w:val="auto"/>
          <w:sz w:val="24"/>
          <w:szCs w:val="24"/>
          <w:highlight w:val="none"/>
        </w:rPr>
        <w:t>电话：0791-86272683</w:t>
      </w:r>
    </w:p>
    <w:p>
      <w:pPr>
        <w:spacing w:line="500" w:lineRule="atLeast"/>
        <w:rPr>
          <w:rFonts w:eastAsiaTheme="minorEastAsia"/>
          <w:color w:val="auto"/>
          <w:sz w:val="24"/>
          <w:szCs w:val="24"/>
          <w:highlight w:val="none"/>
        </w:rPr>
        <w:sectPr>
          <w:headerReference r:id="rId5" w:type="default"/>
          <w:footerReference r:id="rId6" w:type="default"/>
          <w:pgSz w:w="11906" w:h="16838"/>
          <w:pgMar w:top="1247" w:right="1417" w:bottom="1702" w:left="1417" w:header="851" w:footer="992" w:gutter="0"/>
          <w:pgNumType w:start="1"/>
          <w:cols w:space="720" w:num="1"/>
          <w:docGrid w:linePitch="312" w:charSpace="0"/>
        </w:sectPr>
      </w:pPr>
    </w:p>
    <w:p>
      <w:pPr>
        <w:pStyle w:val="3"/>
        <w:spacing w:line="360" w:lineRule="auto"/>
        <w:jc w:val="center"/>
        <w:rPr>
          <w:rFonts w:ascii="Times New Roman" w:eastAsia="仿宋"/>
          <w:color w:val="auto"/>
          <w:szCs w:val="44"/>
          <w:highlight w:val="none"/>
        </w:rPr>
      </w:pPr>
      <w:bookmarkStart w:id="97" w:name="_Toc19051"/>
      <w:bookmarkStart w:id="98" w:name="_Toc7370"/>
      <w:bookmarkStart w:id="99" w:name="_Toc31101"/>
      <w:bookmarkStart w:id="100" w:name="_Toc111018932"/>
      <w:bookmarkStart w:id="101" w:name="_Toc22039"/>
      <w:bookmarkStart w:id="102" w:name="_Toc12464"/>
      <w:bookmarkStart w:id="103" w:name="_Toc30068"/>
      <w:bookmarkStart w:id="104" w:name="_Toc26"/>
      <w:bookmarkStart w:id="105" w:name="_Toc7725"/>
      <w:bookmarkStart w:id="106" w:name="_Toc286758337"/>
      <w:bookmarkStart w:id="107" w:name="_Toc262628248"/>
      <w:r>
        <w:rPr>
          <w:rFonts w:ascii="Times New Roman" w:eastAsia="仿宋"/>
          <w:b/>
          <w:color w:val="auto"/>
          <w:sz w:val="40"/>
          <w:highlight w:val="none"/>
        </w:rPr>
        <w:t>第二章</w:t>
      </w:r>
      <w:bookmarkStart w:id="108" w:name="_Toc400631634"/>
      <w:bookmarkEnd w:id="108"/>
      <w:r>
        <w:rPr>
          <w:rFonts w:ascii="Times New Roman" w:eastAsia="仿宋"/>
          <w:b/>
          <w:color w:val="auto"/>
          <w:sz w:val="40"/>
          <w:highlight w:val="none"/>
        </w:rPr>
        <w:t xml:space="preserve"> 投标人须知</w:t>
      </w:r>
      <w:bookmarkEnd w:id="97"/>
      <w:bookmarkEnd w:id="98"/>
      <w:bookmarkEnd w:id="99"/>
      <w:bookmarkEnd w:id="100"/>
      <w:bookmarkEnd w:id="101"/>
      <w:bookmarkEnd w:id="102"/>
      <w:bookmarkEnd w:id="103"/>
      <w:bookmarkEnd w:id="104"/>
      <w:bookmarkEnd w:id="105"/>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7"/>
        <w:gridCol w:w="88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5000" w:type="pct"/>
            <w:gridSpan w:val="2"/>
            <w:vAlign w:val="center"/>
          </w:tcPr>
          <w:p>
            <w:pPr>
              <w:spacing w:line="460" w:lineRule="exact"/>
              <w:jc w:val="center"/>
              <w:rPr>
                <w:rFonts w:eastAsia="仿宋"/>
                <w:b/>
                <w:color w:val="auto"/>
                <w:sz w:val="24"/>
                <w:szCs w:val="22"/>
                <w:highlight w:val="none"/>
              </w:rPr>
            </w:pPr>
            <w:r>
              <w:rPr>
                <w:rFonts w:eastAsia="仿宋"/>
                <w:b/>
                <w:color w:val="auto"/>
                <w:sz w:val="24"/>
                <w:szCs w:val="22"/>
                <w:highlight w:val="none"/>
              </w:rPr>
              <w:t>投标人须知前附表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426" w:type="pct"/>
            <w:vAlign w:val="center"/>
          </w:tcPr>
          <w:p>
            <w:pPr>
              <w:spacing w:line="460" w:lineRule="exact"/>
              <w:jc w:val="center"/>
              <w:rPr>
                <w:rFonts w:eastAsia="仿宋"/>
                <w:b/>
                <w:color w:val="auto"/>
                <w:sz w:val="24"/>
                <w:szCs w:val="22"/>
                <w:highlight w:val="none"/>
              </w:rPr>
            </w:pPr>
            <w:r>
              <w:rPr>
                <w:rFonts w:eastAsia="仿宋"/>
                <w:b/>
                <w:color w:val="auto"/>
                <w:sz w:val="24"/>
                <w:szCs w:val="22"/>
                <w:highlight w:val="none"/>
              </w:rPr>
              <w:t>序号</w:t>
            </w:r>
          </w:p>
        </w:tc>
        <w:tc>
          <w:tcPr>
            <w:tcW w:w="4573" w:type="pct"/>
            <w:vAlign w:val="center"/>
          </w:tcPr>
          <w:p>
            <w:pPr>
              <w:spacing w:line="460" w:lineRule="exact"/>
              <w:jc w:val="center"/>
              <w:rPr>
                <w:rFonts w:eastAsia="仿宋"/>
                <w:b/>
                <w:color w:val="auto"/>
                <w:sz w:val="24"/>
                <w:szCs w:val="22"/>
                <w:highlight w:val="none"/>
              </w:rPr>
            </w:pPr>
            <w:r>
              <w:rPr>
                <w:rFonts w:eastAsia="仿宋"/>
                <w:b/>
                <w:color w:val="auto"/>
                <w:sz w:val="24"/>
                <w:szCs w:val="22"/>
                <w:highlight w:val="none"/>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426" w:type="pct"/>
            <w:vAlign w:val="center"/>
          </w:tcPr>
          <w:p>
            <w:pPr>
              <w:spacing w:line="460" w:lineRule="exact"/>
              <w:jc w:val="center"/>
              <w:rPr>
                <w:rFonts w:eastAsia="仿宋"/>
                <w:color w:val="auto"/>
                <w:sz w:val="24"/>
                <w:szCs w:val="22"/>
                <w:highlight w:val="none"/>
              </w:rPr>
            </w:pPr>
            <w:r>
              <w:rPr>
                <w:rFonts w:eastAsia="仿宋"/>
                <w:color w:val="auto"/>
                <w:sz w:val="24"/>
                <w:szCs w:val="22"/>
                <w:highlight w:val="none"/>
              </w:rPr>
              <w:t>1</w:t>
            </w:r>
          </w:p>
        </w:tc>
        <w:tc>
          <w:tcPr>
            <w:tcW w:w="4573" w:type="pct"/>
            <w:vAlign w:val="center"/>
          </w:tcPr>
          <w:p>
            <w:pPr>
              <w:spacing w:line="460" w:lineRule="exact"/>
              <w:rPr>
                <w:rFonts w:hint="eastAsia" w:eastAsia="仿宋"/>
                <w:color w:val="auto"/>
                <w:sz w:val="24"/>
                <w:szCs w:val="22"/>
                <w:highlight w:val="none"/>
                <w:lang w:eastAsia="zh-CN"/>
              </w:rPr>
            </w:pPr>
            <w:r>
              <w:rPr>
                <w:rFonts w:eastAsia="仿宋"/>
                <w:b/>
                <w:color w:val="auto"/>
                <w:sz w:val="24"/>
                <w:szCs w:val="22"/>
                <w:highlight w:val="none"/>
              </w:rPr>
              <w:t>项目名称：</w:t>
            </w:r>
            <w:r>
              <w:rPr>
                <w:rFonts w:hint="eastAsia" w:eastAsia="仿宋"/>
                <w:color w:val="auto"/>
                <w:sz w:val="24"/>
                <w:szCs w:val="24"/>
                <w:highlight w:val="none"/>
                <w:lang w:eastAsia="zh-CN"/>
              </w:rPr>
              <w:t>江西省消防救援总队自然灾害应急能力提升工程装备配备项目（器材类）</w:t>
            </w:r>
          </w:p>
          <w:p>
            <w:pPr>
              <w:spacing w:line="460" w:lineRule="exact"/>
              <w:rPr>
                <w:rFonts w:hint="eastAsia" w:eastAsia="仿宋"/>
                <w:color w:val="auto"/>
                <w:sz w:val="24"/>
                <w:szCs w:val="24"/>
                <w:highlight w:val="none"/>
                <w:lang w:eastAsia="zh-CN"/>
              </w:rPr>
            </w:pPr>
            <w:r>
              <w:rPr>
                <w:rFonts w:eastAsia="仿宋"/>
                <w:b/>
                <w:color w:val="auto"/>
                <w:sz w:val="24"/>
                <w:szCs w:val="22"/>
                <w:highlight w:val="none"/>
              </w:rPr>
              <w:t>项目编号：</w:t>
            </w:r>
            <w:r>
              <w:rPr>
                <w:rFonts w:hint="eastAsia" w:eastAsia="仿宋"/>
                <w:color w:val="auto"/>
                <w:sz w:val="24"/>
                <w:szCs w:val="24"/>
                <w:highlight w:val="none"/>
                <w:lang w:eastAsia="zh-CN"/>
              </w:rPr>
              <w:t>JXTC2024040134</w:t>
            </w:r>
          </w:p>
          <w:p>
            <w:pPr>
              <w:spacing w:line="460" w:lineRule="exact"/>
              <w:rPr>
                <w:rFonts w:eastAsia="仿宋"/>
                <w:color w:val="auto"/>
                <w:sz w:val="24"/>
                <w:szCs w:val="22"/>
                <w:highlight w:val="none"/>
              </w:rPr>
            </w:pPr>
            <w:r>
              <w:rPr>
                <w:rFonts w:eastAsia="仿宋"/>
                <w:b/>
                <w:color w:val="auto"/>
                <w:sz w:val="24"/>
                <w:szCs w:val="22"/>
                <w:highlight w:val="none"/>
              </w:rPr>
              <w:t>项目属性：</w:t>
            </w:r>
            <w:r>
              <w:rPr>
                <w:rFonts w:eastAsia="仿宋"/>
                <w:color w:val="auto"/>
                <w:sz w:val="24"/>
                <w:szCs w:val="22"/>
                <w:highlight w:val="none"/>
              </w:rPr>
              <w:t>货物类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 w:hRule="atLeast"/>
          <w:jc w:val="center"/>
        </w:trPr>
        <w:tc>
          <w:tcPr>
            <w:tcW w:w="426" w:type="pct"/>
            <w:vAlign w:val="center"/>
          </w:tcPr>
          <w:p>
            <w:pPr>
              <w:spacing w:line="460" w:lineRule="exact"/>
              <w:jc w:val="center"/>
              <w:rPr>
                <w:rFonts w:eastAsia="仿宋"/>
                <w:color w:val="auto"/>
                <w:sz w:val="24"/>
                <w:szCs w:val="22"/>
                <w:highlight w:val="none"/>
              </w:rPr>
            </w:pPr>
            <w:r>
              <w:rPr>
                <w:rFonts w:eastAsia="仿宋"/>
                <w:color w:val="auto"/>
                <w:sz w:val="24"/>
                <w:szCs w:val="22"/>
                <w:highlight w:val="none"/>
              </w:rPr>
              <w:t>2</w:t>
            </w:r>
          </w:p>
        </w:tc>
        <w:tc>
          <w:tcPr>
            <w:tcW w:w="4573" w:type="pct"/>
            <w:vAlign w:val="center"/>
          </w:tcPr>
          <w:p>
            <w:pPr>
              <w:widowControl/>
              <w:spacing w:line="460" w:lineRule="exact"/>
              <w:jc w:val="left"/>
              <w:rPr>
                <w:rFonts w:eastAsia="仿宋"/>
                <w:bCs/>
                <w:color w:val="auto"/>
                <w:sz w:val="24"/>
                <w:szCs w:val="22"/>
                <w:highlight w:val="none"/>
              </w:rPr>
            </w:pPr>
            <w:r>
              <w:rPr>
                <w:rFonts w:eastAsia="仿宋"/>
                <w:color w:val="auto"/>
                <w:sz w:val="24"/>
                <w:szCs w:val="22"/>
                <w:highlight w:val="none"/>
              </w:rPr>
              <w:t>本次采购为国产产品，不允许提供进口产品参与采购活动，提供进口产品参与采购活动的视为无效投标。</w:t>
            </w:r>
          </w:p>
          <w:p>
            <w:pPr>
              <w:pStyle w:val="69"/>
              <w:autoSpaceDE w:val="0"/>
              <w:autoSpaceDN w:val="0"/>
              <w:spacing w:line="460" w:lineRule="exact"/>
              <w:ind w:left="-109" w:leftChars="-52" w:firstLine="0" w:firstLineChars="0"/>
              <w:rPr>
                <w:rFonts w:eastAsia="仿宋"/>
                <w:color w:val="auto"/>
                <w:sz w:val="24"/>
                <w:szCs w:val="24"/>
                <w:highlight w:val="none"/>
              </w:rPr>
            </w:pPr>
            <w:r>
              <w:rPr>
                <w:rFonts w:eastAsia="仿宋"/>
                <w:b/>
                <w:color w:val="auto"/>
                <w:sz w:val="24"/>
                <w:szCs w:val="24"/>
                <w:highlight w:val="none"/>
              </w:rPr>
              <w:t>注：关于关境和海关特殊监管区域产品认定</w:t>
            </w:r>
            <w:r>
              <w:rPr>
                <w:rFonts w:hint="eastAsia" w:eastAsia="仿宋"/>
                <w:b/>
                <w:color w:val="auto"/>
                <w:sz w:val="24"/>
                <w:szCs w:val="24"/>
                <w:highlight w:val="none"/>
                <w:lang w:eastAsia="zh-CN"/>
              </w:rPr>
              <w:t>“</w:t>
            </w:r>
            <w:r>
              <w:rPr>
                <w:rFonts w:eastAsia="仿宋"/>
                <w:b/>
                <w:color w:val="auto"/>
                <w:sz w:val="24"/>
                <w:szCs w:val="24"/>
                <w:highlight w:val="none"/>
              </w:rPr>
              <w:t>根据《中华人民共和国海关法》</w:t>
            </w:r>
            <w:r>
              <w:rPr>
                <w:rFonts w:hint="eastAsia" w:eastAsia="仿宋"/>
                <w:b/>
                <w:color w:val="auto"/>
                <w:sz w:val="24"/>
                <w:szCs w:val="24"/>
                <w:highlight w:val="none"/>
                <w:lang w:eastAsia="zh-CN"/>
              </w:rPr>
              <w:t>（</w:t>
            </w:r>
            <w:r>
              <w:rPr>
                <w:rFonts w:eastAsia="仿宋"/>
                <w:b/>
                <w:color w:val="auto"/>
                <w:sz w:val="24"/>
                <w:szCs w:val="24"/>
                <w:highlight w:val="none"/>
              </w:rPr>
              <w:t>以下简称海关法</w:t>
            </w:r>
            <w:r>
              <w:rPr>
                <w:rFonts w:hint="eastAsia" w:eastAsia="仿宋"/>
                <w:b/>
                <w:color w:val="auto"/>
                <w:sz w:val="24"/>
                <w:szCs w:val="24"/>
                <w:highlight w:val="none"/>
                <w:lang w:eastAsia="zh-CN"/>
              </w:rPr>
              <w:t>）</w:t>
            </w:r>
            <w:r>
              <w:rPr>
                <w:rFonts w:eastAsia="仿宋"/>
                <w:b/>
                <w:color w:val="auto"/>
                <w:sz w:val="24"/>
                <w:szCs w:val="24"/>
                <w:highlight w:val="none"/>
              </w:rPr>
              <w:t>的规定，我国现行关境是指适用海关法的中华人民共和国行政管辖区域，不包括香港、澳门和台湾金马等单独关境地区。保税区、出口加工区、保税港区、珠澳跨境工业区珠海园区、中哈霍尔果斯国际边境合作中心中方配套区、综合保税区等区域，为海关特殊监管区域，这些区域仅在关税待遇及贸易管制方面实施不同于我国关境内其他地区的特殊政策，但仍属于中华人民共和国关境内区域，由海关按照海关法实施监管。因此，凡在海关特殊监管区域内企业生产或加工</w:t>
            </w:r>
            <w:r>
              <w:rPr>
                <w:rFonts w:hint="eastAsia" w:eastAsia="仿宋"/>
                <w:b/>
                <w:color w:val="auto"/>
                <w:sz w:val="24"/>
                <w:szCs w:val="24"/>
                <w:highlight w:val="none"/>
                <w:lang w:eastAsia="zh-CN"/>
              </w:rPr>
              <w:t>（</w:t>
            </w:r>
            <w:r>
              <w:rPr>
                <w:rFonts w:eastAsia="仿宋"/>
                <w:b/>
                <w:color w:val="auto"/>
                <w:sz w:val="24"/>
                <w:szCs w:val="24"/>
                <w:highlight w:val="none"/>
              </w:rPr>
              <w:t>包括从境外进口料件</w:t>
            </w:r>
            <w:r>
              <w:rPr>
                <w:rFonts w:hint="eastAsia" w:eastAsia="仿宋"/>
                <w:b/>
                <w:color w:val="auto"/>
                <w:sz w:val="24"/>
                <w:szCs w:val="24"/>
                <w:highlight w:val="none"/>
                <w:lang w:eastAsia="zh-CN"/>
              </w:rPr>
              <w:t>）</w:t>
            </w:r>
            <w:r>
              <w:rPr>
                <w:rFonts w:eastAsia="仿宋"/>
                <w:b/>
                <w:color w:val="auto"/>
                <w:sz w:val="24"/>
                <w:szCs w:val="24"/>
                <w:highlight w:val="none"/>
              </w:rPr>
              <w:t>销往境内其他地区的产品，不作为政府采购项下进口产品。对从境外进入海关特殊监管区域，再经办理报关手续后从海关特殊监管区进入境内其他地区的产品，应当认定为进口产品</w:t>
            </w:r>
            <w:r>
              <w:rPr>
                <w:rFonts w:hint="eastAsia" w:eastAsia="仿宋"/>
                <w:b/>
                <w:color w:val="auto"/>
                <w:sz w:val="24"/>
                <w:szCs w:val="24"/>
                <w:highlight w:val="none"/>
                <w:lang w:eastAsia="zh-CN"/>
              </w:rPr>
              <w:t>”</w:t>
            </w:r>
            <w:r>
              <w:rPr>
                <w:rFonts w:eastAsia="仿宋"/>
                <w:b/>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426" w:type="pct"/>
            <w:vAlign w:val="center"/>
          </w:tcPr>
          <w:p>
            <w:pPr>
              <w:spacing w:line="460" w:lineRule="exact"/>
              <w:jc w:val="center"/>
              <w:rPr>
                <w:rFonts w:eastAsia="仿宋"/>
                <w:color w:val="auto"/>
                <w:sz w:val="24"/>
                <w:szCs w:val="22"/>
                <w:highlight w:val="none"/>
              </w:rPr>
            </w:pPr>
            <w:r>
              <w:rPr>
                <w:rFonts w:eastAsia="仿宋"/>
                <w:color w:val="auto"/>
                <w:sz w:val="24"/>
                <w:szCs w:val="22"/>
                <w:highlight w:val="none"/>
              </w:rPr>
              <w:t>3</w:t>
            </w:r>
          </w:p>
        </w:tc>
        <w:tc>
          <w:tcPr>
            <w:tcW w:w="4573" w:type="pct"/>
            <w:vAlign w:val="center"/>
          </w:tcPr>
          <w:p>
            <w:pPr>
              <w:spacing w:line="460" w:lineRule="exact"/>
              <w:rPr>
                <w:rFonts w:eastAsia="仿宋"/>
                <w:color w:val="auto"/>
                <w:sz w:val="24"/>
                <w:szCs w:val="22"/>
                <w:highlight w:val="none"/>
              </w:rPr>
            </w:pPr>
            <w:r>
              <w:rPr>
                <w:rFonts w:eastAsia="仿宋"/>
                <w:b/>
                <w:color w:val="auto"/>
                <w:sz w:val="24"/>
                <w:szCs w:val="22"/>
                <w:highlight w:val="none"/>
              </w:rPr>
              <w:t>投标有效期</w:t>
            </w:r>
            <w:r>
              <w:rPr>
                <w:rFonts w:eastAsia="仿宋"/>
                <w:color w:val="auto"/>
                <w:sz w:val="24"/>
                <w:szCs w:val="22"/>
                <w:highlight w:val="none"/>
              </w:rPr>
              <w:t>：自开标之日起不少于九十个日历日。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26" w:type="pct"/>
            <w:vAlign w:val="center"/>
          </w:tcPr>
          <w:p>
            <w:pPr>
              <w:spacing w:line="460" w:lineRule="exact"/>
              <w:jc w:val="center"/>
              <w:rPr>
                <w:rFonts w:eastAsia="仿宋"/>
                <w:color w:val="auto"/>
                <w:sz w:val="24"/>
                <w:szCs w:val="22"/>
                <w:highlight w:val="none"/>
              </w:rPr>
            </w:pPr>
            <w:r>
              <w:rPr>
                <w:rFonts w:eastAsia="仿宋"/>
                <w:color w:val="auto"/>
                <w:sz w:val="24"/>
                <w:szCs w:val="22"/>
                <w:highlight w:val="none"/>
              </w:rPr>
              <w:t>4</w:t>
            </w:r>
          </w:p>
        </w:tc>
        <w:tc>
          <w:tcPr>
            <w:tcW w:w="4573" w:type="pct"/>
            <w:vAlign w:val="center"/>
          </w:tcPr>
          <w:p>
            <w:pPr>
              <w:spacing w:line="460" w:lineRule="exact"/>
              <w:rPr>
                <w:rFonts w:eastAsia="仿宋"/>
                <w:color w:val="auto"/>
                <w:sz w:val="24"/>
                <w:szCs w:val="22"/>
                <w:highlight w:val="none"/>
              </w:rPr>
            </w:pPr>
            <w:r>
              <w:rPr>
                <w:rFonts w:eastAsia="仿宋"/>
                <w:color w:val="auto"/>
                <w:sz w:val="24"/>
                <w:szCs w:val="22"/>
                <w:highlight w:val="none"/>
              </w:rPr>
              <w:t>提交投标文件截止时间、开标时间和地点：</w:t>
            </w:r>
          </w:p>
          <w:p>
            <w:pPr>
              <w:spacing w:line="460" w:lineRule="exact"/>
              <w:rPr>
                <w:rFonts w:eastAsia="仿宋"/>
                <w:color w:val="auto"/>
                <w:sz w:val="24"/>
                <w:szCs w:val="22"/>
                <w:highlight w:val="none"/>
              </w:rPr>
            </w:pPr>
            <w:r>
              <w:rPr>
                <w:rFonts w:eastAsia="仿宋"/>
                <w:color w:val="auto"/>
                <w:sz w:val="24"/>
                <w:szCs w:val="22"/>
                <w:highlight w:val="none"/>
              </w:rPr>
              <w:t>1.提交投标文件截止时间和开标时间：详见</w:t>
            </w:r>
            <w:r>
              <w:rPr>
                <w:rFonts w:hint="eastAsia" w:eastAsia="仿宋"/>
                <w:color w:val="auto"/>
                <w:sz w:val="24"/>
                <w:szCs w:val="22"/>
                <w:highlight w:val="none"/>
                <w:lang w:eastAsia="zh-CN"/>
              </w:rPr>
              <w:t>“</w:t>
            </w:r>
            <w:r>
              <w:rPr>
                <w:rFonts w:eastAsia="仿宋"/>
                <w:color w:val="auto"/>
                <w:sz w:val="24"/>
                <w:szCs w:val="22"/>
                <w:highlight w:val="none"/>
              </w:rPr>
              <w:t>第一章投标邀请</w:t>
            </w:r>
            <w:r>
              <w:rPr>
                <w:rFonts w:hint="eastAsia" w:eastAsia="仿宋"/>
                <w:color w:val="auto"/>
                <w:sz w:val="24"/>
                <w:szCs w:val="22"/>
                <w:highlight w:val="none"/>
                <w:lang w:eastAsia="zh-CN"/>
              </w:rPr>
              <w:t>”</w:t>
            </w:r>
            <w:r>
              <w:rPr>
                <w:rFonts w:eastAsia="仿宋"/>
                <w:color w:val="auto"/>
                <w:sz w:val="24"/>
                <w:szCs w:val="22"/>
                <w:highlight w:val="none"/>
              </w:rPr>
              <w:t>；</w:t>
            </w:r>
          </w:p>
          <w:p>
            <w:pPr>
              <w:spacing w:line="460" w:lineRule="exact"/>
              <w:rPr>
                <w:rFonts w:eastAsia="仿宋"/>
                <w:b/>
                <w:color w:val="auto"/>
                <w:sz w:val="24"/>
                <w:szCs w:val="22"/>
                <w:highlight w:val="none"/>
              </w:rPr>
            </w:pPr>
            <w:r>
              <w:rPr>
                <w:rFonts w:eastAsia="仿宋"/>
                <w:color w:val="auto"/>
                <w:sz w:val="24"/>
                <w:szCs w:val="22"/>
                <w:highlight w:val="none"/>
              </w:rPr>
              <w:t>2.开标地点：详见</w:t>
            </w:r>
            <w:r>
              <w:rPr>
                <w:rFonts w:hint="eastAsia" w:eastAsia="仿宋"/>
                <w:color w:val="auto"/>
                <w:sz w:val="24"/>
                <w:szCs w:val="22"/>
                <w:highlight w:val="none"/>
                <w:lang w:eastAsia="zh-CN"/>
              </w:rPr>
              <w:t>“</w:t>
            </w:r>
            <w:r>
              <w:rPr>
                <w:rFonts w:eastAsia="仿宋"/>
                <w:color w:val="auto"/>
                <w:sz w:val="24"/>
                <w:szCs w:val="22"/>
                <w:highlight w:val="none"/>
              </w:rPr>
              <w:t>第一章投标邀请</w:t>
            </w:r>
            <w:r>
              <w:rPr>
                <w:rFonts w:hint="eastAsia" w:eastAsia="仿宋"/>
                <w:color w:val="auto"/>
                <w:sz w:val="24"/>
                <w:szCs w:val="22"/>
                <w:highlight w:val="none"/>
                <w:lang w:eastAsia="zh-CN"/>
              </w:rPr>
              <w:t>”</w:t>
            </w:r>
            <w:r>
              <w:rPr>
                <w:rFonts w:eastAsia="仿宋"/>
                <w:color w:val="auto"/>
                <w:sz w:val="24"/>
                <w:szCs w:val="22"/>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26" w:type="pct"/>
            <w:vAlign w:val="center"/>
          </w:tcPr>
          <w:p>
            <w:pPr>
              <w:spacing w:line="460" w:lineRule="exact"/>
              <w:jc w:val="center"/>
              <w:rPr>
                <w:rFonts w:eastAsia="仿宋"/>
                <w:color w:val="auto"/>
                <w:sz w:val="24"/>
                <w:szCs w:val="22"/>
                <w:highlight w:val="none"/>
              </w:rPr>
            </w:pPr>
            <w:r>
              <w:rPr>
                <w:rFonts w:eastAsia="仿宋"/>
                <w:color w:val="auto"/>
                <w:sz w:val="24"/>
                <w:szCs w:val="22"/>
                <w:highlight w:val="none"/>
              </w:rPr>
              <w:t>5</w:t>
            </w:r>
          </w:p>
        </w:tc>
        <w:tc>
          <w:tcPr>
            <w:tcW w:w="4573" w:type="pct"/>
            <w:vAlign w:val="center"/>
          </w:tcPr>
          <w:p>
            <w:pPr>
              <w:spacing w:line="460" w:lineRule="exact"/>
              <w:rPr>
                <w:rFonts w:eastAsia="仿宋"/>
                <w:color w:val="auto"/>
                <w:sz w:val="24"/>
                <w:szCs w:val="22"/>
                <w:highlight w:val="none"/>
              </w:rPr>
            </w:pPr>
            <w:r>
              <w:rPr>
                <w:rFonts w:eastAsia="仿宋"/>
                <w:color w:val="auto"/>
                <w:sz w:val="24"/>
                <w:szCs w:val="22"/>
                <w:highlight w:val="none"/>
              </w:rPr>
              <w:t>1.合格的投标人资格证明文件：详见第四章 投标文件格式</w:t>
            </w:r>
            <w:r>
              <w:rPr>
                <w:rFonts w:hint="eastAsia" w:eastAsia="仿宋"/>
                <w:color w:val="auto"/>
                <w:sz w:val="24"/>
                <w:szCs w:val="22"/>
                <w:highlight w:val="none"/>
                <w:lang w:eastAsia="zh-CN"/>
              </w:rPr>
              <w:t>“</w:t>
            </w:r>
            <w:r>
              <w:rPr>
                <w:rFonts w:eastAsia="仿宋"/>
                <w:color w:val="auto"/>
                <w:sz w:val="24"/>
                <w:szCs w:val="22"/>
                <w:highlight w:val="none"/>
              </w:rPr>
              <w:t>资格证明文件</w:t>
            </w:r>
            <w:r>
              <w:rPr>
                <w:rFonts w:hint="eastAsia" w:eastAsia="仿宋"/>
                <w:color w:val="auto"/>
                <w:sz w:val="24"/>
                <w:szCs w:val="22"/>
                <w:highlight w:val="none"/>
                <w:lang w:eastAsia="zh-CN"/>
              </w:rPr>
              <w:t>”</w:t>
            </w:r>
            <w:r>
              <w:rPr>
                <w:rFonts w:eastAsia="仿宋"/>
                <w:color w:val="auto"/>
                <w:sz w:val="24"/>
                <w:szCs w:val="22"/>
                <w:highlight w:val="none"/>
              </w:rPr>
              <w:t>。</w:t>
            </w:r>
          </w:p>
          <w:p>
            <w:pPr>
              <w:spacing w:line="460" w:lineRule="exact"/>
              <w:rPr>
                <w:rFonts w:eastAsia="仿宋"/>
                <w:color w:val="auto"/>
                <w:sz w:val="24"/>
                <w:szCs w:val="22"/>
                <w:highlight w:val="none"/>
              </w:rPr>
            </w:pPr>
            <w:r>
              <w:rPr>
                <w:rFonts w:eastAsia="仿宋"/>
                <w:color w:val="auto"/>
                <w:sz w:val="24"/>
                <w:szCs w:val="22"/>
                <w:highlight w:val="none"/>
              </w:rPr>
              <w:t>2.根据《财政部关于在政府采购活动中查询及使用信用记录有关问题的通知》财库【2016】125号文规定，对在本项目投标截止时间前被列入失信被执行人、重大税收违法失信主体、政府采购严重违法失信行为记录名单以及其他不符合《中华人民共和国政府采购法》第二十二条规定条件的投标人，将拒绝其参与政府采购活动。</w:t>
            </w:r>
          </w:p>
          <w:p>
            <w:pPr>
              <w:spacing w:line="460" w:lineRule="exact"/>
              <w:rPr>
                <w:rFonts w:eastAsia="仿宋"/>
                <w:b/>
                <w:color w:val="auto"/>
                <w:sz w:val="24"/>
                <w:szCs w:val="22"/>
                <w:highlight w:val="none"/>
              </w:rPr>
            </w:pPr>
            <w:r>
              <w:rPr>
                <w:rFonts w:eastAsia="仿宋"/>
                <w:b/>
                <w:color w:val="auto"/>
                <w:sz w:val="24"/>
                <w:szCs w:val="22"/>
                <w:highlight w:val="none"/>
              </w:rPr>
              <w:t>资格审查期间,投标人的上述相关信用信息将由采购代理机构通过</w:t>
            </w:r>
            <w:r>
              <w:rPr>
                <w:rFonts w:hint="eastAsia" w:eastAsia="仿宋"/>
                <w:b/>
                <w:color w:val="auto"/>
                <w:sz w:val="24"/>
                <w:szCs w:val="22"/>
                <w:highlight w:val="none"/>
                <w:lang w:eastAsia="zh-CN"/>
              </w:rPr>
              <w:t>“</w:t>
            </w:r>
            <w:r>
              <w:rPr>
                <w:rFonts w:eastAsia="仿宋"/>
                <w:b/>
                <w:color w:val="auto"/>
                <w:sz w:val="24"/>
                <w:szCs w:val="22"/>
                <w:highlight w:val="none"/>
              </w:rPr>
              <w:t>信用中国</w:t>
            </w:r>
            <w:r>
              <w:rPr>
                <w:rFonts w:hint="eastAsia" w:eastAsia="仿宋"/>
                <w:b/>
                <w:color w:val="auto"/>
                <w:sz w:val="24"/>
                <w:szCs w:val="22"/>
                <w:highlight w:val="none"/>
                <w:lang w:eastAsia="zh-CN"/>
              </w:rPr>
              <w:t>”</w:t>
            </w:r>
            <w:r>
              <w:rPr>
                <w:rFonts w:eastAsia="仿宋"/>
                <w:b/>
                <w:color w:val="auto"/>
                <w:sz w:val="24"/>
                <w:szCs w:val="22"/>
                <w:highlight w:val="none"/>
              </w:rPr>
              <w:t>网站、中国政府采购网进行查询。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426" w:type="pct"/>
            <w:vAlign w:val="center"/>
          </w:tcPr>
          <w:p>
            <w:pPr>
              <w:spacing w:line="460" w:lineRule="exact"/>
              <w:jc w:val="center"/>
              <w:rPr>
                <w:rFonts w:eastAsia="仿宋"/>
                <w:color w:val="auto"/>
                <w:sz w:val="24"/>
                <w:szCs w:val="22"/>
                <w:highlight w:val="none"/>
              </w:rPr>
            </w:pPr>
            <w:r>
              <w:rPr>
                <w:rFonts w:eastAsia="仿宋"/>
                <w:color w:val="auto"/>
                <w:sz w:val="24"/>
                <w:szCs w:val="22"/>
                <w:highlight w:val="none"/>
              </w:rPr>
              <w:t>6</w:t>
            </w:r>
          </w:p>
        </w:tc>
        <w:tc>
          <w:tcPr>
            <w:tcW w:w="4573" w:type="pct"/>
            <w:vAlign w:val="center"/>
          </w:tcPr>
          <w:p>
            <w:pPr>
              <w:spacing w:line="460" w:lineRule="exact"/>
              <w:rPr>
                <w:rFonts w:eastAsia="仿宋"/>
                <w:color w:val="auto"/>
                <w:sz w:val="24"/>
                <w:szCs w:val="22"/>
                <w:highlight w:val="none"/>
              </w:rPr>
            </w:pPr>
            <w:r>
              <w:rPr>
                <w:rFonts w:eastAsia="仿宋"/>
                <w:color w:val="auto"/>
                <w:sz w:val="24"/>
                <w:szCs w:val="22"/>
                <w:highlight w:val="none"/>
              </w:rPr>
              <w:t>1.投标文件的密封与标记：</w:t>
            </w:r>
          </w:p>
          <w:p>
            <w:pPr>
              <w:spacing w:line="460" w:lineRule="exact"/>
              <w:rPr>
                <w:rFonts w:eastAsia="仿宋"/>
                <w:color w:val="auto"/>
                <w:sz w:val="24"/>
                <w:szCs w:val="22"/>
                <w:highlight w:val="none"/>
              </w:rPr>
            </w:pPr>
            <w:r>
              <w:rPr>
                <w:rFonts w:eastAsia="仿宋"/>
                <w:color w:val="auto"/>
                <w:sz w:val="24"/>
                <w:szCs w:val="22"/>
                <w:highlight w:val="none"/>
              </w:rPr>
              <w:t>投标人应准备一份纸质投标文件正本和六份副本，纸质投标文件须清楚地标明</w:t>
            </w:r>
            <w:r>
              <w:rPr>
                <w:rFonts w:hint="eastAsia" w:eastAsia="仿宋"/>
                <w:color w:val="auto"/>
                <w:sz w:val="24"/>
                <w:szCs w:val="22"/>
                <w:highlight w:val="none"/>
                <w:lang w:eastAsia="zh-CN"/>
              </w:rPr>
              <w:t>“</w:t>
            </w:r>
            <w:r>
              <w:rPr>
                <w:rFonts w:eastAsia="仿宋"/>
                <w:color w:val="auto"/>
                <w:sz w:val="24"/>
                <w:szCs w:val="22"/>
                <w:highlight w:val="none"/>
              </w:rPr>
              <w:t>正本</w:t>
            </w:r>
            <w:r>
              <w:rPr>
                <w:rFonts w:hint="eastAsia" w:eastAsia="仿宋"/>
                <w:color w:val="auto"/>
                <w:sz w:val="24"/>
                <w:szCs w:val="22"/>
                <w:highlight w:val="none"/>
                <w:lang w:eastAsia="zh-CN"/>
              </w:rPr>
              <w:t>”</w:t>
            </w:r>
            <w:r>
              <w:rPr>
                <w:rFonts w:eastAsia="仿宋"/>
                <w:color w:val="auto"/>
                <w:sz w:val="24"/>
                <w:szCs w:val="22"/>
                <w:highlight w:val="none"/>
              </w:rPr>
              <w:t>或</w:t>
            </w:r>
            <w:r>
              <w:rPr>
                <w:rFonts w:hint="eastAsia" w:eastAsia="仿宋"/>
                <w:color w:val="auto"/>
                <w:sz w:val="24"/>
                <w:szCs w:val="22"/>
                <w:highlight w:val="none"/>
                <w:lang w:eastAsia="zh-CN"/>
              </w:rPr>
              <w:t>“</w:t>
            </w:r>
            <w:r>
              <w:rPr>
                <w:rFonts w:eastAsia="仿宋"/>
                <w:color w:val="auto"/>
                <w:sz w:val="24"/>
                <w:szCs w:val="22"/>
                <w:highlight w:val="none"/>
              </w:rPr>
              <w:t>副本</w:t>
            </w:r>
            <w:r>
              <w:rPr>
                <w:rFonts w:hint="eastAsia" w:eastAsia="仿宋"/>
                <w:color w:val="auto"/>
                <w:sz w:val="24"/>
                <w:szCs w:val="22"/>
                <w:highlight w:val="none"/>
                <w:lang w:eastAsia="zh-CN"/>
              </w:rPr>
              <w:t>”</w:t>
            </w:r>
            <w:r>
              <w:rPr>
                <w:rFonts w:eastAsia="仿宋"/>
                <w:color w:val="auto"/>
                <w:sz w:val="24"/>
                <w:szCs w:val="22"/>
                <w:highlight w:val="none"/>
              </w:rPr>
              <w:t>。纸质投标文件正本须打印，纸质投标文件的副本可采用正本的复印件。若正本和副本不符，以正本为准。投标人应将纸质投标文件正本和所有的副本装在文件袋中加以密封，并在文件袋上标明投标人名称（加盖公章）、项目编号、包号、项目名称，在封贴处密封签字或盖章（公章）并注明</w:t>
            </w:r>
            <w:r>
              <w:rPr>
                <w:rFonts w:hint="eastAsia" w:eastAsia="仿宋"/>
                <w:color w:val="auto"/>
                <w:sz w:val="24"/>
                <w:szCs w:val="22"/>
                <w:highlight w:val="none"/>
                <w:lang w:eastAsia="zh-CN"/>
              </w:rPr>
              <w:t>“</w:t>
            </w:r>
            <w:r>
              <w:rPr>
                <w:rFonts w:eastAsia="仿宋"/>
                <w:color w:val="auto"/>
                <w:sz w:val="24"/>
                <w:szCs w:val="22"/>
                <w:highlight w:val="none"/>
              </w:rPr>
              <w:t>在开标时间前不准启封</w:t>
            </w:r>
            <w:r>
              <w:rPr>
                <w:rFonts w:hint="eastAsia" w:eastAsia="仿宋"/>
                <w:color w:val="auto"/>
                <w:sz w:val="24"/>
                <w:szCs w:val="22"/>
                <w:highlight w:val="none"/>
                <w:lang w:eastAsia="zh-CN"/>
              </w:rPr>
              <w:t>”</w:t>
            </w:r>
            <w:r>
              <w:rPr>
                <w:rFonts w:eastAsia="仿宋"/>
                <w:color w:val="auto"/>
                <w:sz w:val="24"/>
                <w:szCs w:val="22"/>
                <w:highlight w:val="none"/>
              </w:rPr>
              <w:t>的字样。</w:t>
            </w:r>
          </w:p>
          <w:p>
            <w:pPr>
              <w:spacing w:line="460" w:lineRule="exact"/>
              <w:rPr>
                <w:rFonts w:eastAsia="仿宋"/>
                <w:color w:val="auto"/>
                <w:sz w:val="24"/>
                <w:szCs w:val="22"/>
                <w:highlight w:val="none"/>
              </w:rPr>
            </w:pPr>
            <w:r>
              <w:rPr>
                <w:rFonts w:eastAsia="仿宋"/>
                <w:color w:val="auto"/>
                <w:sz w:val="24"/>
                <w:szCs w:val="22"/>
                <w:highlight w:val="none"/>
              </w:rPr>
              <w:t>2.开标一览表的密封与标记（须包含开标一览表明细）：</w:t>
            </w:r>
          </w:p>
          <w:p>
            <w:pPr>
              <w:spacing w:line="460" w:lineRule="exact"/>
              <w:rPr>
                <w:rFonts w:eastAsia="仿宋"/>
                <w:color w:val="auto"/>
                <w:sz w:val="24"/>
                <w:szCs w:val="22"/>
                <w:highlight w:val="none"/>
              </w:rPr>
            </w:pPr>
            <w:r>
              <w:rPr>
                <w:rFonts w:eastAsia="仿宋"/>
                <w:color w:val="auto"/>
                <w:sz w:val="24"/>
                <w:szCs w:val="22"/>
                <w:highlight w:val="none"/>
              </w:rPr>
              <w:t>投标人应将开标一览表（同时保证正、副本投标文件中也附有）单独密封，在信封上标明</w:t>
            </w:r>
            <w:r>
              <w:rPr>
                <w:rFonts w:hint="eastAsia" w:eastAsia="仿宋"/>
                <w:color w:val="auto"/>
                <w:sz w:val="24"/>
                <w:szCs w:val="22"/>
                <w:highlight w:val="none"/>
                <w:lang w:eastAsia="zh-CN"/>
              </w:rPr>
              <w:t>“</w:t>
            </w:r>
            <w:r>
              <w:rPr>
                <w:rFonts w:eastAsia="仿宋"/>
                <w:color w:val="auto"/>
                <w:sz w:val="24"/>
                <w:szCs w:val="22"/>
                <w:highlight w:val="none"/>
              </w:rPr>
              <w:t>开标一览表</w:t>
            </w:r>
            <w:r>
              <w:rPr>
                <w:rFonts w:hint="eastAsia" w:eastAsia="仿宋"/>
                <w:color w:val="auto"/>
                <w:sz w:val="24"/>
                <w:szCs w:val="22"/>
                <w:highlight w:val="none"/>
                <w:lang w:eastAsia="zh-CN"/>
              </w:rPr>
              <w:t>”</w:t>
            </w:r>
            <w:r>
              <w:rPr>
                <w:rFonts w:eastAsia="仿宋"/>
                <w:color w:val="auto"/>
                <w:sz w:val="24"/>
                <w:szCs w:val="22"/>
                <w:highlight w:val="none"/>
              </w:rPr>
              <w:t>字样，并在信封上标明投标人名称（加盖公章）、项目编号、包号、项目名称，在封贴处密封签字或盖章（公章），并注明</w:t>
            </w:r>
            <w:r>
              <w:rPr>
                <w:rFonts w:hint="eastAsia" w:eastAsia="仿宋"/>
                <w:color w:val="auto"/>
                <w:sz w:val="24"/>
                <w:szCs w:val="22"/>
                <w:highlight w:val="none"/>
                <w:lang w:eastAsia="zh-CN"/>
              </w:rPr>
              <w:t>“</w:t>
            </w:r>
            <w:r>
              <w:rPr>
                <w:rFonts w:eastAsia="仿宋"/>
                <w:color w:val="auto"/>
                <w:sz w:val="24"/>
                <w:szCs w:val="22"/>
                <w:highlight w:val="none"/>
              </w:rPr>
              <w:t>在开标时间前不准启封</w:t>
            </w:r>
            <w:r>
              <w:rPr>
                <w:rFonts w:hint="eastAsia" w:eastAsia="仿宋"/>
                <w:color w:val="auto"/>
                <w:sz w:val="24"/>
                <w:szCs w:val="22"/>
                <w:highlight w:val="none"/>
                <w:lang w:eastAsia="zh-CN"/>
              </w:rPr>
              <w:t>”</w:t>
            </w:r>
            <w:r>
              <w:rPr>
                <w:rFonts w:eastAsia="仿宋"/>
                <w:color w:val="auto"/>
                <w:sz w:val="24"/>
                <w:szCs w:val="22"/>
                <w:highlight w:val="none"/>
              </w:rPr>
              <w:t>的字样。</w:t>
            </w:r>
          </w:p>
          <w:p>
            <w:pPr>
              <w:spacing w:line="460" w:lineRule="exact"/>
              <w:rPr>
                <w:rFonts w:eastAsia="仿宋"/>
                <w:color w:val="auto"/>
                <w:sz w:val="24"/>
                <w:szCs w:val="22"/>
                <w:highlight w:val="none"/>
              </w:rPr>
            </w:pPr>
            <w:r>
              <w:rPr>
                <w:rFonts w:eastAsia="仿宋"/>
                <w:color w:val="auto"/>
                <w:sz w:val="24"/>
                <w:szCs w:val="22"/>
                <w:highlight w:val="none"/>
              </w:rPr>
              <w:t>3.正本盖章后的扫描件PDF格式和电子投标文件WORD格式各壹份存入U盘提交，U盘不退</w:t>
            </w:r>
            <w:r>
              <w:rPr>
                <w:rFonts w:hint="eastAsia" w:eastAsia="仿宋"/>
                <w:color w:val="auto"/>
                <w:sz w:val="24"/>
                <w:szCs w:val="22"/>
                <w:highlight w:val="none"/>
                <w:lang w:eastAsia="zh-CN"/>
              </w:rPr>
              <w:t>，</w:t>
            </w:r>
            <w:r>
              <w:rPr>
                <w:rFonts w:eastAsia="仿宋"/>
                <w:b/>
                <w:bCs/>
                <w:color w:val="auto"/>
                <w:sz w:val="24"/>
                <w:szCs w:val="22"/>
                <w:highlight w:val="none"/>
              </w:rPr>
              <w:t>演示文件</w:t>
            </w:r>
            <w:r>
              <w:rPr>
                <w:rFonts w:hint="eastAsia" w:eastAsia="仿宋"/>
                <w:b/>
                <w:bCs/>
                <w:color w:val="auto"/>
                <w:sz w:val="24"/>
                <w:szCs w:val="22"/>
                <w:highlight w:val="none"/>
                <w:lang w:eastAsia="zh-CN"/>
              </w:rPr>
              <w:t>另存一个</w:t>
            </w:r>
            <w:r>
              <w:rPr>
                <w:rFonts w:eastAsia="仿宋"/>
                <w:b/>
                <w:bCs/>
                <w:color w:val="auto"/>
                <w:sz w:val="24"/>
                <w:szCs w:val="22"/>
                <w:highlight w:val="none"/>
              </w:rPr>
              <w:t>U盘。</w:t>
            </w:r>
            <w:r>
              <w:rPr>
                <w:rFonts w:eastAsia="仿宋"/>
                <w:color w:val="auto"/>
                <w:sz w:val="24"/>
                <w:szCs w:val="22"/>
                <w:highlight w:val="none"/>
              </w:rPr>
              <w:t>电子投标文件必须与纸质投标文件一致，</w:t>
            </w:r>
            <w:r>
              <w:rPr>
                <w:rFonts w:eastAsia="仿宋"/>
                <w:b/>
                <w:bCs/>
                <w:color w:val="auto"/>
                <w:sz w:val="24"/>
                <w:szCs w:val="22"/>
                <w:highlight w:val="none"/>
              </w:rPr>
              <w:t>U盘请贴好标签，标签须备注投标人名称并简要描述U盘内容，例：**公司投标文件、**公司演示文件等。</w:t>
            </w:r>
          </w:p>
          <w:p>
            <w:pPr>
              <w:spacing w:line="460" w:lineRule="exact"/>
              <w:rPr>
                <w:rFonts w:eastAsia="仿宋"/>
                <w:color w:val="auto"/>
                <w:sz w:val="24"/>
                <w:szCs w:val="22"/>
                <w:highlight w:val="none"/>
              </w:rPr>
            </w:pPr>
            <w:r>
              <w:rPr>
                <w:rFonts w:eastAsia="仿宋"/>
                <w:color w:val="auto"/>
                <w:sz w:val="24"/>
                <w:szCs w:val="22"/>
                <w:highlight w:val="none"/>
              </w:rPr>
              <w:t>4.电子投标文件和开标一览表密封在同一个信封中，与投标文件同时递交，逾期不予接收，视为无效投标。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8" w:hRule="atLeast"/>
          <w:jc w:val="center"/>
        </w:trPr>
        <w:tc>
          <w:tcPr>
            <w:tcW w:w="426" w:type="pct"/>
            <w:vAlign w:val="center"/>
          </w:tcPr>
          <w:p>
            <w:pPr>
              <w:spacing w:line="460" w:lineRule="exact"/>
              <w:jc w:val="center"/>
              <w:rPr>
                <w:rFonts w:eastAsia="仿宋"/>
                <w:color w:val="auto"/>
                <w:sz w:val="24"/>
                <w:szCs w:val="22"/>
                <w:highlight w:val="none"/>
              </w:rPr>
            </w:pPr>
            <w:r>
              <w:rPr>
                <w:rFonts w:eastAsia="仿宋"/>
                <w:color w:val="auto"/>
                <w:sz w:val="24"/>
                <w:szCs w:val="22"/>
                <w:highlight w:val="none"/>
              </w:rPr>
              <w:t>7</w:t>
            </w:r>
          </w:p>
        </w:tc>
        <w:tc>
          <w:tcPr>
            <w:tcW w:w="4573" w:type="pct"/>
            <w:vAlign w:val="center"/>
          </w:tcPr>
          <w:p>
            <w:pPr>
              <w:pStyle w:val="70"/>
              <w:tabs>
                <w:tab w:val="left" w:pos="284"/>
                <w:tab w:val="left" w:pos="567"/>
                <w:tab w:val="left" w:pos="709"/>
              </w:tabs>
              <w:spacing w:line="460" w:lineRule="exact"/>
              <w:ind w:firstLine="0" w:firstLineChars="0"/>
              <w:jc w:val="both"/>
              <w:rPr>
                <w:rFonts w:eastAsia="仿宋"/>
                <w:color w:val="auto"/>
                <w:sz w:val="24"/>
                <w:szCs w:val="24"/>
                <w:highlight w:val="none"/>
              </w:rPr>
            </w:pPr>
            <w:r>
              <w:rPr>
                <w:rFonts w:eastAsia="仿宋"/>
                <w:color w:val="auto"/>
                <w:sz w:val="24"/>
                <w:szCs w:val="24"/>
                <w:highlight w:val="none"/>
              </w:rPr>
              <w:t>1.投标保证金提交时间：投标保证金必须在开标时间之前采用保险、支票、汇票、本票、网上银行支付或者金融机构、担保机构出具的保函等非现金形式提交至采购代理机构；</w:t>
            </w:r>
          </w:p>
          <w:p>
            <w:pPr>
              <w:pStyle w:val="70"/>
              <w:tabs>
                <w:tab w:val="left" w:pos="284"/>
                <w:tab w:val="left" w:pos="567"/>
                <w:tab w:val="left" w:pos="709"/>
              </w:tabs>
              <w:spacing w:line="460" w:lineRule="exact"/>
              <w:ind w:firstLine="0" w:firstLineChars="0"/>
              <w:jc w:val="both"/>
              <w:rPr>
                <w:rFonts w:eastAsia="仿宋"/>
                <w:color w:val="auto"/>
                <w:sz w:val="24"/>
                <w:szCs w:val="24"/>
                <w:highlight w:val="none"/>
              </w:rPr>
            </w:pPr>
            <w:r>
              <w:rPr>
                <w:rFonts w:eastAsia="仿宋"/>
                <w:color w:val="auto"/>
                <w:sz w:val="24"/>
                <w:szCs w:val="24"/>
                <w:highlight w:val="none"/>
              </w:rPr>
              <w:t>2.投标保证金提交形式要求：</w:t>
            </w:r>
          </w:p>
          <w:p>
            <w:pPr>
              <w:pStyle w:val="70"/>
              <w:tabs>
                <w:tab w:val="left" w:pos="284"/>
                <w:tab w:val="left" w:pos="567"/>
                <w:tab w:val="left" w:pos="709"/>
              </w:tabs>
              <w:spacing w:line="460" w:lineRule="exact"/>
              <w:ind w:firstLine="0" w:firstLineChars="0"/>
              <w:jc w:val="both"/>
              <w:rPr>
                <w:rFonts w:eastAsia="仿宋"/>
                <w:color w:val="auto"/>
                <w:sz w:val="24"/>
                <w:szCs w:val="24"/>
                <w:highlight w:val="none"/>
              </w:rPr>
            </w:pPr>
            <w:r>
              <w:rPr>
                <w:rFonts w:hint="eastAsia" w:ascii="宋体" w:hAnsi="宋体" w:eastAsia="宋体" w:cs="宋体"/>
                <w:color w:val="auto"/>
                <w:sz w:val="24"/>
                <w:szCs w:val="24"/>
                <w:highlight w:val="none"/>
              </w:rPr>
              <w:t>◆</w:t>
            </w:r>
            <w:r>
              <w:rPr>
                <w:rFonts w:eastAsia="仿宋"/>
                <w:color w:val="auto"/>
                <w:sz w:val="24"/>
                <w:szCs w:val="24"/>
                <w:highlight w:val="none"/>
              </w:rPr>
              <w:t>采用银行电汇、网上银行支付等非现金形式：</w:t>
            </w:r>
          </w:p>
          <w:p>
            <w:pPr>
              <w:pStyle w:val="70"/>
              <w:tabs>
                <w:tab w:val="left" w:pos="284"/>
                <w:tab w:val="left" w:pos="567"/>
                <w:tab w:val="left" w:pos="709"/>
              </w:tabs>
              <w:spacing w:line="460" w:lineRule="exact"/>
              <w:ind w:firstLine="0" w:firstLineChars="0"/>
              <w:jc w:val="both"/>
              <w:rPr>
                <w:rFonts w:eastAsia="仿宋"/>
                <w:color w:val="auto"/>
                <w:sz w:val="24"/>
                <w:szCs w:val="24"/>
                <w:highlight w:val="none"/>
              </w:rPr>
            </w:pPr>
            <w:r>
              <w:rPr>
                <w:rFonts w:eastAsia="仿宋"/>
                <w:color w:val="auto"/>
                <w:sz w:val="24"/>
                <w:szCs w:val="24"/>
                <w:highlight w:val="none"/>
              </w:rPr>
              <w:t>投标保证金必须在开标时间之前转入到以下账户（以到账时间为准），并在投标文件中提供缴纳投标保证金的凭证：</w:t>
            </w:r>
          </w:p>
          <w:p>
            <w:pPr>
              <w:pStyle w:val="70"/>
              <w:tabs>
                <w:tab w:val="left" w:pos="284"/>
                <w:tab w:val="left" w:pos="567"/>
                <w:tab w:val="left" w:pos="709"/>
              </w:tabs>
              <w:spacing w:line="460" w:lineRule="exact"/>
              <w:ind w:firstLine="0" w:firstLineChars="0"/>
              <w:jc w:val="both"/>
              <w:rPr>
                <w:rFonts w:eastAsia="仿宋"/>
                <w:color w:val="auto"/>
                <w:sz w:val="24"/>
                <w:szCs w:val="24"/>
                <w:highlight w:val="none"/>
              </w:rPr>
            </w:pPr>
            <w:r>
              <w:rPr>
                <w:rFonts w:eastAsia="仿宋"/>
                <w:color w:val="auto"/>
                <w:sz w:val="24"/>
                <w:szCs w:val="24"/>
                <w:highlight w:val="none"/>
              </w:rPr>
              <w:t>户    名：江西省机电设备招标有限公司</w:t>
            </w:r>
          </w:p>
          <w:p>
            <w:pPr>
              <w:pStyle w:val="70"/>
              <w:tabs>
                <w:tab w:val="left" w:pos="284"/>
                <w:tab w:val="left" w:pos="567"/>
                <w:tab w:val="left" w:pos="709"/>
              </w:tabs>
              <w:spacing w:line="460" w:lineRule="exact"/>
              <w:ind w:firstLine="0" w:firstLineChars="0"/>
              <w:jc w:val="both"/>
              <w:rPr>
                <w:rFonts w:eastAsia="仿宋"/>
                <w:color w:val="auto"/>
                <w:sz w:val="24"/>
                <w:szCs w:val="24"/>
                <w:highlight w:val="none"/>
              </w:rPr>
            </w:pPr>
            <w:r>
              <w:rPr>
                <w:rFonts w:eastAsia="仿宋"/>
                <w:color w:val="auto"/>
                <w:sz w:val="24"/>
                <w:szCs w:val="24"/>
                <w:highlight w:val="none"/>
              </w:rPr>
              <w:t>开 户 行：江西银行南昌红谷滩支行</w:t>
            </w:r>
          </w:p>
          <w:p>
            <w:pPr>
              <w:pStyle w:val="70"/>
              <w:tabs>
                <w:tab w:val="left" w:pos="284"/>
                <w:tab w:val="left" w:pos="567"/>
                <w:tab w:val="left" w:pos="709"/>
              </w:tabs>
              <w:spacing w:line="460" w:lineRule="exact"/>
              <w:ind w:firstLine="0" w:firstLineChars="0"/>
              <w:jc w:val="both"/>
              <w:rPr>
                <w:rFonts w:eastAsia="仿宋"/>
                <w:color w:val="auto"/>
                <w:sz w:val="24"/>
                <w:szCs w:val="24"/>
                <w:highlight w:val="none"/>
              </w:rPr>
            </w:pPr>
            <w:r>
              <w:rPr>
                <w:rFonts w:eastAsia="仿宋"/>
                <w:color w:val="auto"/>
                <w:sz w:val="24"/>
                <w:szCs w:val="24"/>
                <w:highlight w:val="none"/>
              </w:rPr>
              <w:t>账    号：</w:t>
            </w:r>
            <w:r>
              <w:rPr>
                <w:rFonts w:hint="eastAsia" w:eastAsia="仿宋"/>
                <w:color w:val="auto"/>
                <w:sz w:val="24"/>
                <w:szCs w:val="24"/>
                <w:highlight w:val="none"/>
              </w:rPr>
              <w:t>XXXXXX</w:t>
            </w:r>
          </w:p>
          <w:p>
            <w:pPr>
              <w:pStyle w:val="70"/>
              <w:tabs>
                <w:tab w:val="left" w:pos="284"/>
                <w:tab w:val="left" w:pos="567"/>
                <w:tab w:val="left" w:pos="709"/>
              </w:tabs>
              <w:spacing w:line="460" w:lineRule="exact"/>
              <w:ind w:firstLine="0" w:firstLineChars="0"/>
              <w:jc w:val="both"/>
              <w:rPr>
                <w:rFonts w:eastAsia="仿宋"/>
                <w:color w:val="auto"/>
                <w:sz w:val="24"/>
                <w:szCs w:val="24"/>
                <w:highlight w:val="none"/>
              </w:rPr>
            </w:pPr>
            <w:r>
              <w:rPr>
                <w:rFonts w:hint="eastAsia" w:ascii="宋体" w:hAnsi="宋体" w:eastAsia="宋体" w:cs="宋体"/>
                <w:color w:val="auto"/>
                <w:sz w:val="24"/>
                <w:szCs w:val="24"/>
                <w:highlight w:val="none"/>
              </w:rPr>
              <w:t>◆</w:t>
            </w:r>
            <w:r>
              <w:rPr>
                <w:rFonts w:eastAsia="仿宋"/>
                <w:color w:val="auto"/>
                <w:sz w:val="24"/>
                <w:szCs w:val="24"/>
                <w:highlight w:val="none"/>
              </w:rPr>
              <w:t>采用保函、保险形式：</w:t>
            </w:r>
          </w:p>
          <w:p>
            <w:pPr>
              <w:pStyle w:val="70"/>
              <w:tabs>
                <w:tab w:val="left" w:pos="284"/>
                <w:tab w:val="left" w:pos="567"/>
                <w:tab w:val="left" w:pos="709"/>
              </w:tabs>
              <w:spacing w:line="460" w:lineRule="exact"/>
              <w:ind w:firstLine="480"/>
              <w:rPr>
                <w:rFonts w:eastAsia="仿宋"/>
                <w:color w:val="auto"/>
                <w:sz w:val="24"/>
                <w:szCs w:val="24"/>
                <w:highlight w:val="none"/>
              </w:rPr>
            </w:pPr>
            <w:r>
              <w:rPr>
                <w:rFonts w:eastAsia="仿宋"/>
                <w:color w:val="auto"/>
                <w:sz w:val="24"/>
                <w:szCs w:val="24"/>
                <w:highlight w:val="none"/>
              </w:rPr>
              <w:t>采用纸质保函形式提交保证金的，应由投标人基本户所在银行或江西省辖区内的融资担保机构（投标文件中提供担保机构营业执照复印或影印件）针对本项目（包）开具。投标文件中提供保函复印或影印件，保函原件在开标时间之前密封提交到采购代理机构，逾时不予接收，视为未提交。保函有效期与投标有效期一致。保函最终受益人为采购人或采购代理机构。</w:t>
            </w:r>
          </w:p>
          <w:p>
            <w:pPr>
              <w:pStyle w:val="70"/>
              <w:tabs>
                <w:tab w:val="left" w:pos="284"/>
                <w:tab w:val="left" w:pos="567"/>
                <w:tab w:val="left" w:pos="709"/>
              </w:tabs>
              <w:spacing w:line="460" w:lineRule="exact"/>
              <w:ind w:firstLine="480"/>
              <w:rPr>
                <w:rFonts w:eastAsia="仿宋"/>
                <w:color w:val="auto"/>
                <w:sz w:val="24"/>
                <w:szCs w:val="24"/>
                <w:highlight w:val="none"/>
              </w:rPr>
            </w:pPr>
            <w:r>
              <w:rPr>
                <w:rFonts w:eastAsia="仿宋"/>
                <w:color w:val="auto"/>
                <w:sz w:val="24"/>
                <w:szCs w:val="24"/>
                <w:highlight w:val="none"/>
              </w:rPr>
              <w:t>采用保险形式提交保证金的，投标文件中提供保险复印或影印件，保险原件在开标时间之前密封提交到采购代理机构，逾时不予接收，视为未提交。保险有效期与投标有效期一致。保险最终受益人为采购人或采购代理机构。</w:t>
            </w:r>
          </w:p>
          <w:p>
            <w:pPr>
              <w:pStyle w:val="70"/>
              <w:tabs>
                <w:tab w:val="left" w:pos="284"/>
                <w:tab w:val="left" w:pos="567"/>
                <w:tab w:val="left" w:pos="709"/>
              </w:tabs>
              <w:spacing w:line="460" w:lineRule="exact"/>
              <w:ind w:firstLine="0" w:firstLineChars="0"/>
              <w:jc w:val="both"/>
              <w:rPr>
                <w:rFonts w:eastAsia="仿宋"/>
                <w:color w:val="auto"/>
                <w:sz w:val="24"/>
                <w:szCs w:val="24"/>
                <w:highlight w:val="none"/>
              </w:rPr>
            </w:pPr>
            <w:r>
              <w:rPr>
                <w:rFonts w:eastAsia="仿宋"/>
                <w:color w:val="auto"/>
                <w:sz w:val="24"/>
                <w:szCs w:val="24"/>
                <w:highlight w:val="none"/>
              </w:rPr>
              <w:t>3.所有提交的保函或保险原件在评标结束后由采购代理机构留存，不予退回。</w:t>
            </w:r>
          </w:p>
          <w:p>
            <w:pPr>
              <w:pStyle w:val="70"/>
              <w:tabs>
                <w:tab w:val="left" w:pos="284"/>
                <w:tab w:val="left" w:pos="567"/>
                <w:tab w:val="left" w:pos="709"/>
              </w:tabs>
              <w:spacing w:line="460" w:lineRule="exact"/>
              <w:ind w:firstLine="0" w:firstLineChars="0"/>
              <w:jc w:val="both"/>
              <w:rPr>
                <w:rFonts w:eastAsia="仿宋"/>
                <w:color w:val="auto"/>
                <w:sz w:val="24"/>
                <w:szCs w:val="24"/>
                <w:highlight w:val="none"/>
              </w:rPr>
            </w:pPr>
            <w:r>
              <w:rPr>
                <w:rFonts w:hint="eastAsia" w:ascii="宋体" w:hAnsi="宋体" w:eastAsia="宋体" w:cs="宋体"/>
                <w:color w:val="auto"/>
                <w:sz w:val="24"/>
                <w:szCs w:val="24"/>
                <w:highlight w:val="none"/>
              </w:rPr>
              <w:t>◆</w:t>
            </w:r>
            <w:r>
              <w:rPr>
                <w:rFonts w:eastAsia="仿宋"/>
                <w:color w:val="auto"/>
                <w:sz w:val="24"/>
                <w:szCs w:val="24"/>
                <w:highlight w:val="none"/>
              </w:rPr>
              <w:t>采用支票、汇票、本票形式：投标文件中提供符合国家规定的相应凭证佐证，原件须在开标时间之前递交到开标地点，逾时不予接受，视为未提交。</w:t>
            </w:r>
          </w:p>
          <w:p>
            <w:pPr>
              <w:pStyle w:val="70"/>
              <w:tabs>
                <w:tab w:val="left" w:pos="284"/>
                <w:tab w:val="left" w:pos="567"/>
                <w:tab w:val="left" w:pos="709"/>
              </w:tabs>
              <w:spacing w:line="460" w:lineRule="exact"/>
              <w:ind w:firstLine="0" w:firstLineChars="0"/>
              <w:jc w:val="both"/>
              <w:rPr>
                <w:rFonts w:eastAsia="仿宋"/>
                <w:color w:val="auto"/>
                <w:sz w:val="24"/>
                <w:szCs w:val="24"/>
                <w:highlight w:val="none"/>
              </w:rPr>
            </w:pPr>
            <w:r>
              <w:rPr>
                <w:rFonts w:eastAsia="仿宋"/>
                <w:color w:val="auto"/>
                <w:sz w:val="24"/>
                <w:szCs w:val="24"/>
                <w:highlight w:val="none"/>
              </w:rPr>
              <w:t>注：投标人未按照招标文件要求提交投标保证金的，其投标无效。</w:t>
            </w:r>
          </w:p>
          <w:p>
            <w:pPr>
              <w:pStyle w:val="70"/>
              <w:tabs>
                <w:tab w:val="left" w:pos="284"/>
                <w:tab w:val="left" w:pos="567"/>
                <w:tab w:val="left" w:pos="709"/>
              </w:tabs>
              <w:spacing w:line="460" w:lineRule="exact"/>
              <w:ind w:firstLine="0" w:firstLineChars="0"/>
              <w:jc w:val="both"/>
              <w:rPr>
                <w:rFonts w:eastAsia="仿宋"/>
                <w:color w:val="auto"/>
                <w:sz w:val="24"/>
                <w:szCs w:val="24"/>
                <w:highlight w:val="none"/>
              </w:rPr>
            </w:pPr>
            <w:r>
              <w:rPr>
                <w:rFonts w:eastAsia="仿宋"/>
                <w:color w:val="auto"/>
                <w:sz w:val="24"/>
                <w:szCs w:val="24"/>
                <w:highlight w:val="none"/>
              </w:rPr>
              <w:t>其他注意事项：投标人汇投标保证金时，需在填写汇款备注栏时添加本项目的项目编号，</w:t>
            </w:r>
            <w:r>
              <w:rPr>
                <w:rFonts w:eastAsia="仿宋"/>
                <w:b/>
                <w:bCs/>
                <w:color w:val="auto"/>
                <w:sz w:val="24"/>
                <w:szCs w:val="24"/>
                <w:highlight w:val="none"/>
              </w:rPr>
              <w:t>例如</w:t>
            </w:r>
            <w:r>
              <w:rPr>
                <w:rFonts w:hint="eastAsia" w:eastAsia="仿宋"/>
                <w:b/>
                <w:bCs/>
                <w:color w:val="auto"/>
                <w:sz w:val="24"/>
                <w:szCs w:val="24"/>
                <w:highlight w:val="none"/>
                <w:lang w:eastAsia="zh-CN"/>
              </w:rPr>
              <w:t>“</w:t>
            </w:r>
            <w:r>
              <w:rPr>
                <w:rFonts w:eastAsia="仿宋"/>
                <w:b/>
                <w:bCs/>
                <w:color w:val="auto"/>
                <w:sz w:val="24"/>
                <w:szCs w:val="24"/>
                <w:highlight w:val="none"/>
              </w:rPr>
              <w:t>投标保证金XXXXXX</w:t>
            </w:r>
            <w:r>
              <w:rPr>
                <w:rFonts w:hint="eastAsia" w:eastAsia="仿宋"/>
                <w:b/>
                <w:bCs/>
                <w:color w:val="auto"/>
                <w:sz w:val="24"/>
                <w:szCs w:val="24"/>
                <w:highlight w:val="none"/>
                <w:lang w:eastAsia="zh-CN"/>
              </w:rPr>
              <w:t>”</w:t>
            </w:r>
            <w:r>
              <w:rPr>
                <w:rFonts w:eastAsia="仿宋"/>
                <w:color w:val="auto"/>
                <w:sz w:val="24"/>
                <w:szCs w:val="24"/>
                <w:highlight w:val="none"/>
              </w:rPr>
              <w:t>。</w:t>
            </w:r>
          </w:p>
          <w:tbl>
            <w:tblPr>
              <w:tblStyle w:val="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3"/>
              <w:gridCol w:w="62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366" w:type="pct"/>
                  <w:vAlign w:val="center"/>
                </w:tcPr>
                <w:p>
                  <w:pPr>
                    <w:adjustRightInd w:val="0"/>
                    <w:snapToGrid w:val="0"/>
                    <w:spacing w:line="460" w:lineRule="exact"/>
                    <w:jc w:val="center"/>
                    <w:rPr>
                      <w:rFonts w:eastAsia="仿宋"/>
                      <w:b/>
                      <w:bCs/>
                      <w:color w:val="auto"/>
                      <w:kern w:val="0"/>
                      <w:sz w:val="24"/>
                      <w:szCs w:val="22"/>
                      <w:highlight w:val="none"/>
                    </w:rPr>
                  </w:pPr>
                  <w:r>
                    <w:rPr>
                      <w:rFonts w:eastAsia="仿宋"/>
                      <w:b/>
                      <w:bCs/>
                      <w:color w:val="auto"/>
                      <w:kern w:val="0"/>
                      <w:sz w:val="24"/>
                      <w:szCs w:val="22"/>
                      <w:highlight w:val="none"/>
                    </w:rPr>
                    <w:t>包号</w:t>
                  </w:r>
                </w:p>
              </w:tc>
              <w:tc>
                <w:tcPr>
                  <w:tcW w:w="3633" w:type="pct"/>
                  <w:vAlign w:val="center"/>
                </w:tcPr>
                <w:p>
                  <w:pPr>
                    <w:adjustRightInd w:val="0"/>
                    <w:snapToGrid w:val="0"/>
                    <w:spacing w:line="460" w:lineRule="exact"/>
                    <w:jc w:val="center"/>
                    <w:rPr>
                      <w:rFonts w:eastAsia="仿宋"/>
                      <w:b/>
                      <w:bCs/>
                      <w:color w:val="auto"/>
                      <w:kern w:val="0"/>
                      <w:sz w:val="24"/>
                      <w:szCs w:val="22"/>
                      <w:highlight w:val="none"/>
                    </w:rPr>
                  </w:pPr>
                  <w:r>
                    <w:rPr>
                      <w:rFonts w:eastAsia="仿宋"/>
                      <w:b/>
                      <w:bCs/>
                      <w:color w:val="auto"/>
                      <w:kern w:val="0"/>
                      <w:sz w:val="24"/>
                      <w:szCs w:val="22"/>
                      <w:highlight w:val="none"/>
                    </w:rPr>
                    <w:t>投标保证金金额</w:t>
                  </w:r>
                </w:p>
                <w:p>
                  <w:pPr>
                    <w:adjustRightInd w:val="0"/>
                    <w:snapToGrid w:val="0"/>
                    <w:spacing w:line="460" w:lineRule="exact"/>
                    <w:jc w:val="center"/>
                    <w:rPr>
                      <w:rFonts w:eastAsia="仿宋"/>
                      <w:b/>
                      <w:bCs/>
                      <w:color w:val="auto"/>
                      <w:kern w:val="0"/>
                      <w:sz w:val="24"/>
                      <w:szCs w:val="22"/>
                      <w:highlight w:val="none"/>
                    </w:rPr>
                  </w:pPr>
                  <w:r>
                    <w:rPr>
                      <w:rFonts w:eastAsia="仿宋"/>
                      <w:b/>
                      <w:bCs/>
                      <w:color w:val="auto"/>
                      <w:kern w:val="0"/>
                      <w:sz w:val="24"/>
                      <w:szCs w:val="22"/>
                      <w:highlight w:val="none"/>
                    </w:rPr>
                    <w:t>（人民币/元）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366" w:type="pct"/>
                  <w:vAlign w:val="center"/>
                </w:tcPr>
                <w:p>
                  <w:pPr>
                    <w:widowControl/>
                    <w:spacing w:line="460" w:lineRule="exact"/>
                    <w:jc w:val="center"/>
                    <w:textAlignment w:val="center"/>
                    <w:rPr>
                      <w:rFonts w:eastAsia="仿宋"/>
                      <w:color w:val="auto"/>
                      <w:kern w:val="0"/>
                      <w:sz w:val="24"/>
                      <w:szCs w:val="22"/>
                      <w:highlight w:val="none"/>
                    </w:rPr>
                  </w:pPr>
                  <w:r>
                    <w:rPr>
                      <w:rFonts w:eastAsia="仿宋"/>
                      <w:bCs/>
                      <w:color w:val="auto"/>
                      <w:kern w:val="0"/>
                      <w:sz w:val="24"/>
                      <w:szCs w:val="22"/>
                      <w:highlight w:val="none"/>
                    </w:rPr>
                    <w:t>02</w:t>
                  </w:r>
                </w:p>
              </w:tc>
              <w:tc>
                <w:tcPr>
                  <w:tcW w:w="3633" w:type="pct"/>
                  <w:vAlign w:val="center"/>
                </w:tcPr>
                <w:p>
                  <w:pPr>
                    <w:widowControl/>
                    <w:spacing w:line="460" w:lineRule="exact"/>
                    <w:jc w:val="center"/>
                    <w:textAlignment w:val="center"/>
                    <w:rPr>
                      <w:rFonts w:hint="default"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27600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366" w:type="pct"/>
                  <w:vAlign w:val="center"/>
                </w:tcPr>
                <w:p>
                  <w:pPr>
                    <w:widowControl/>
                    <w:spacing w:line="460" w:lineRule="exact"/>
                    <w:jc w:val="center"/>
                    <w:textAlignment w:val="center"/>
                    <w:rPr>
                      <w:rFonts w:eastAsia="仿宋"/>
                      <w:color w:val="auto"/>
                      <w:kern w:val="0"/>
                      <w:sz w:val="24"/>
                      <w:szCs w:val="22"/>
                      <w:highlight w:val="none"/>
                    </w:rPr>
                  </w:pPr>
                  <w:r>
                    <w:rPr>
                      <w:rFonts w:eastAsia="仿宋"/>
                      <w:bCs/>
                      <w:color w:val="auto"/>
                      <w:kern w:val="0"/>
                      <w:sz w:val="24"/>
                      <w:szCs w:val="22"/>
                      <w:highlight w:val="none"/>
                    </w:rPr>
                    <w:t>10</w:t>
                  </w:r>
                </w:p>
              </w:tc>
              <w:tc>
                <w:tcPr>
                  <w:tcW w:w="3633" w:type="pct"/>
                  <w:vAlign w:val="center"/>
                </w:tcPr>
                <w:p>
                  <w:pPr>
                    <w:widowControl/>
                    <w:spacing w:line="460" w:lineRule="exact"/>
                    <w:jc w:val="center"/>
                    <w:textAlignment w:val="center"/>
                    <w:rPr>
                      <w:rFonts w:hint="eastAsia"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17857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366" w:type="pct"/>
                  <w:vAlign w:val="center"/>
                </w:tcPr>
                <w:p>
                  <w:pPr>
                    <w:widowControl/>
                    <w:spacing w:line="460" w:lineRule="exact"/>
                    <w:jc w:val="center"/>
                    <w:textAlignment w:val="center"/>
                    <w:rPr>
                      <w:rFonts w:eastAsia="仿宋"/>
                      <w:color w:val="auto"/>
                      <w:kern w:val="0"/>
                      <w:sz w:val="24"/>
                      <w:szCs w:val="22"/>
                      <w:highlight w:val="none"/>
                    </w:rPr>
                  </w:pPr>
                  <w:r>
                    <w:rPr>
                      <w:rFonts w:eastAsia="仿宋"/>
                      <w:bCs/>
                      <w:color w:val="auto"/>
                      <w:kern w:val="0"/>
                      <w:sz w:val="24"/>
                      <w:szCs w:val="22"/>
                      <w:highlight w:val="none"/>
                    </w:rPr>
                    <w:t>12</w:t>
                  </w:r>
                </w:p>
              </w:tc>
              <w:tc>
                <w:tcPr>
                  <w:tcW w:w="3633" w:type="pct"/>
                  <w:vAlign w:val="center"/>
                </w:tcPr>
                <w:p>
                  <w:pPr>
                    <w:widowControl/>
                    <w:spacing w:line="460" w:lineRule="exact"/>
                    <w:jc w:val="center"/>
                    <w:textAlignment w:val="center"/>
                    <w:rPr>
                      <w:rFonts w:hint="eastAsia"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33418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366" w:type="pct"/>
                  <w:vAlign w:val="center"/>
                </w:tcPr>
                <w:p>
                  <w:pPr>
                    <w:widowControl/>
                    <w:spacing w:line="460" w:lineRule="exact"/>
                    <w:jc w:val="center"/>
                    <w:textAlignment w:val="center"/>
                    <w:rPr>
                      <w:rFonts w:eastAsia="仿宋"/>
                      <w:color w:val="auto"/>
                      <w:kern w:val="0"/>
                      <w:sz w:val="24"/>
                      <w:szCs w:val="22"/>
                      <w:highlight w:val="none"/>
                    </w:rPr>
                  </w:pPr>
                  <w:r>
                    <w:rPr>
                      <w:rFonts w:eastAsia="仿宋"/>
                      <w:bCs/>
                      <w:color w:val="auto"/>
                      <w:kern w:val="0"/>
                      <w:sz w:val="24"/>
                      <w:szCs w:val="22"/>
                      <w:highlight w:val="none"/>
                    </w:rPr>
                    <w:t>13</w:t>
                  </w:r>
                </w:p>
              </w:tc>
              <w:tc>
                <w:tcPr>
                  <w:tcW w:w="3633" w:type="pct"/>
                  <w:vAlign w:val="center"/>
                </w:tcPr>
                <w:p>
                  <w:pPr>
                    <w:widowControl/>
                    <w:spacing w:line="460" w:lineRule="exact"/>
                    <w:jc w:val="center"/>
                    <w:textAlignment w:val="center"/>
                    <w:rPr>
                      <w:rFonts w:hint="default"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22716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366" w:type="pct"/>
                  <w:vAlign w:val="center"/>
                </w:tcPr>
                <w:p>
                  <w:pPr>
                    <w:widowControl/>
                    <w:spacing w:line="460" w:lineRule="exact"/>
                    <w:jc w:val="center"/>
                    <w:textAlignment w:val="center"/>
                    <w:rPr>
                      <w:rFonts w:eastAsia="仿宋"/>
                      <w:color w:val="auto"/>
                      <w:kern w:val="0"/>
                      <w:sz w:val="24"/>
                      <w:szCs w:val="22"/>
                      <w:highlight w:val="none"/>
                    </w:rPr>
                  </w:pPr>
                  <w:r>
                    <w:rPr>
                      <w:rFonts w:hint="eastAsia" w:eastAsia="仿宋"/>
                      <w:bCs/>
                      <w:color w:val="auto"/>
                      <w:kern w:val="0"/>
                      <w:sz w:val="24"/>
                      <w:szCs w:val="22"/>
                      <w:highlight w:val="none"/>
                      <w:lang w:val="en-US" w:eastAsia="zh-CN"/>
                    </w:rPr>
                    <w:t>17</w:t>
                  </w:r>
                </w:p>
              </w:tc>
              <w:tc>
                <w:tcPr>
                  <w:tcW w:w="3633" w:type="pct"/>
                  <w:vAlign w:val="center"/>
                </w:tcPr>
                <w:p>
                  <w:pPr>
                    <w:widowControl/>
                    <w:spacing w:line="460" w:lineRule="exact"/>
                    <w:jc w:val="center"/>
                    <w:textAlignment w:val="center"/>
                    <w:rPr>
                      <w:rFonts w:hint="eastAsia"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117920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366" w:type="pct"/>
                  <w:vAlign w:val="center"/>
                </w:tcPr>
                <w:p>
                  <w:pPr>
                    <w:widowControl/>
                    <w:spacing w:line="460" w:lineRule="exact"/>
                    <w:jc w:val="center"/>
                    <w:textAlignment w:val="center"/>
                    <w:rPr>
                      <w:rFonts w:eastAsia="仿宋"/>
                      <w:color w:val="auto"/>
                      <w:kern w:val="0"/>
                      <w:sz w:val="24"/>
                      <w:szCs w:val="22"/>
                      <w:highlight w:val="none"/>
                    </w:rPr>
                  </w:pPr>
                  <w:r>
                    <w:rPr>
                      <w:rFonts w:hint="eastAsia" w:eastAsia="仿宋"/>
                      <w:bCs/>
                      <w:color w:val="auto"/>
                      <w:kern w:val="0"/>
                      <w:sz w:val="24"/>
                      <w:szCs w:val="22"/>
                      <w:highlight w:val="none"/>
                      <w:lang w:val="en-US" w:eastAsia="zh-CN"/>
                    </w:rPr>
                    <w:t>20</w:t>
                  </w:r>
                </w:p>
              </w:tc>
              <w:tc>
                <w:tcPr>
                  <w:tcW w:w="3633" w:type="pct"/>
                  <w:vAlign w:val="center"/>
                </w:tcPr>
                <w:p>
                  <w:pPr>
                    <w:widowControl/>
                    <w:spacing w:line="460" w:lineRule="exact"/>
                    <w:jc w:val="center"/>
                    <w:textAlignment w:val="center"/>
                    <w:rPr>
                      <w:rFonts w:hint="eastAsia"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79148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366" w:type="pct"/>
                  <w:vAlign w:val="center"/>
                </w:tcPr>
                <w:p>
                  <w:pPr>
                    <w:widowControl/>
                    <w:spacing w:line="460" w:lineRule="exact"/>
                    <w:jc w:val="center"/>
                    <w:textAlignment w:val="center"/>
                    <w:rPr>
                      <w:rFonts w:eastAsia="仿宋"/>
                      <w:color w:val="auto"/>
                      <w:kern w:val="0"/>
                      <w:sz w:val="24"/>
                      <w:szCs w:val="22"/>
                      <w:highlight w:val="none"/>
                    </w:rPr>
                  </w:pPr>
                  <w:r>
                    <w:rPr>
                      <w:rFonts w:hint="eastAsia" w:eastAsia="仿宋"/>
                      <w:bCs/>
                      <w:color w:val="auto"/>
                      <w:kern w:val="0"/>
                      <w:sz w:val="24"/>
                      <w:szCs w:val="22"/>
                      <w:highlight w:val="none"/>
                      <w:lang w:val="en-US" w:eastAsia="zh-CN"/>
                    </w:rPr>
                    <w:t>22</w:t>
                  </w:r>
                </w:p>
              </w:tc>
              <w:tc>
                <w:tcPr>
                  <w:tcW w:w="3633" w:type="pct"/>
                  <w:vAlign w:val="center"/>
                </w:tcPr>
                <w:p>
                  <w:pPr>
                    <w:widowControl/>
                    <w:spacing w:line="460" w:lineRule="exact"/>
                    <w:jc w:val="center"/>
                    <w:textAlignment w:val="center"/>
                    <w:rPr>
                      <w:rFonts w:hint="default"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10140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366" w:type="pct"/>
                  <w:vAlign w:val="center"/>
                </w:tcPr>
                <w:p>
                  <w:pPr>
                    <w:widowControl/>
                    <w:spacing w:line="460" w:lineRule="exact"/>
                    <w:jc w:val="center"/>
                    <w:textAlignment w:val="center"/>
                    <w:rPr>
                      <w:rFonts w:eastAsia="仿宋"/>
                      <w:color w:val="auto"/>
                      <w:kern w:val="0"/>
                      <w:sz w:val="24"/>
                      <w:szCs w:val="22"/>
                      <w:highlight w:val="none"/>
                    </w:rPr>
                  </w:pPr>
                  <w:r>
                    <w:rPr>
                      <w:rFonts w:hint="eastAsia" w:eastAsia="仿宋"/>
                      <w:bCs/>
                      <w:color w:val="auto"/>
                      <w:kern w:val="0"/>
                      <w:sz w:val="24"/>
                      <w:szCs w:val="22"/>
                      <w:highlight w:val="none"/>
                      <w:lang w:val="en-US" w:eastAsia="zh-CN"/>
                    </w:rPr>
                    <w:t>25</w:t>
                  </w:r>
                </w:p>
              </w:tc>
              <w:tc>
                <w:tcPr>
                  <w:tcW w:w="3633" w:type="pct"/>
                  <w:vAlign w:val="center"/>
                </w:tcPr>
                <w:p>
                  <w:pPr>
                    <w:widowControl/>
                    <w:spacing w:line="460" w:lineRule="exact"/>
                    <w:jc w:val="center"/>
                    <w:textAlignment w:val="center"/>
                    <w:rPr>
                      <w:rFonts w:hint="default"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26456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366" w:type="pct"/>
                  <w:vAlign w:val="center"/>
                </w:tcPr>
                <w:p>
                  <w:pPr>
                    <w:widowControl/>
                    <w:spacing w:line="460" w:lineRule="exact"/>
                    <w:jc w:val="center"/>
                    <w:textAlignment w:val="center"/>
                    <w:rPr>
                      <w:rFonts w:eastAsia="仿宋"/>
                      <w:color w:val="auto"/>
                      <w:kern w:val="0"/>
                      <w:sz w:val="24"/>
                      <w:szCs w:val="22"/>
                      <w:highlight w:val="none"/>
                    </w:rPr>
                  </w:pPr>
                  <w:r>
                    <w:rPr>
                      <w:rFonts w:hint="eastAsia" w:eastAsia="仿宋"/>
                      <w:bCs/>
                      <w:color w:val="auto"/>
                      <w:kern w:val="0"/>
                      <w:sz w:val="24"/>
                      <w:szCs w:val="22"/>
                      <w:highlight w:val="none"/>
                      <w:lang w:val="en-US" w:eastAsia="zh-CN"/>
                    </w:rPr>
                    <w:t>28</w:t>
                  </w:r>
                </w:p>
              </w:tc>
              <w:tc>
                <w:tcPr>
                  <w:tcW w:w="3633" w:type="pct"/>
                  <w:vAlign w:val="center"/>
                </w:tcPr>
                <w:p>
                  <w:pPr>
                    <w:widowControl/>
                    <w:spacing w:line="460" w:lineRule="exact"/>
                    <w:jc w:val="center"/>
                    <w:textAlignment w:val="center"/>
                    <w:rPr>
                      <w:rFonts w:hint="eastAsia"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58644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366" w:type="pct"/>
                  <w:vAlign w:val="center"/>
                </w:tcPr>
                <w:p>
                  <w:pPr>
                    <w:widowControl/>
                    <w:spacing w:line="460" w:lineRule="exact"/>
                    <w:jc w:val="center"/>
                    <w:textAlignment w:val="center"/>
                    <w:rPr>
                      <w:rFonts w:eastAsia="仿宋"/>
                      <w:color w:val="auto"/>
                      <w:kern w:val="0"/>
                      <w:sz w:val="24"/>
                      <w:szCs w:val="22"/>
                      <w:highlight w:val="none"/>
                    </w:rPr>
                  </w:pPr>
                  <w:r>
                    <w:rPr>
                      <w:rFonts w:hint="eastAsia" w:eastAsia="仿宋"/>
                      <w:bCs/>
                      <w:color w:val="auto"/>
                      <w:kern w:val="0"/>
                      <w:sz w:val="24"/>
                      <w:szCs w:val="22"/>
                      <w:highlight w:val="none"/>
                      <w:lang w:val="en-US" w:eastAsia="zh-CN"/>
                    </w:rPr>
                    <w:t>33</w:t>
                  </w:r>
                </w:p>
              </w:tc>
              <w:tc>
                <w:tcPr>
                  <w:tcW w:w="3633" w:type="pct"/>
                  <w:vAlign w:val="center"/>
                </w:tcPr>
                <w:p>
                  <w:pPr>
                    <w:widowControl/>
                    <w:spacing w:line="460" w:lineRule="exact"/>
                    <w:jc w:val="center"/>
                    <w:textAlignment w:val="center"/>
                    <w:rPr>
                      <w:rFonts w:hint="default"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39260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366" w:type="pct"/>
                  <w:vAlign w:val="center"/>
                </w:tcPr>
                <w:p>
                  <w:pPr>
                    <w:widowControl/>
                    <w:spacing w:line="460" w:lineRule="exact"/>
                    <w:jc w:val="center"/>
                    <w:textAlignment w:val="center"/>
                    <w:rPr>
                      <w:rFonts w:eastAsia="仿宋"/>
                      <w:color w:val="auto"/>
                      <w:kern w:val="0"/>
                      <w:sz w:val="24"/>
                      <w:szCs w:val="22"/>
                      <w:highlight w:val="none"/>
                    </w:rPr>
                  </w:pPr>
                  <w:r>
                    <w:rPr>
                      <w:rFonts w:hint="eastAsia" w:eastAsia="仿宋"/>
                      <w:bCs/>
                      <w:color w:val="auto"/>
                      <w:kern w:val="0"/>
                      <w:sz w:val="24"/>
                      <w:szCs w:val="22"/>
                      <w:highlight w:val="none"/>
                      <w:lang w:val="en-US" w:eastAsia="zh-CN"/>
                    </w:rPr>
                    <w:t>34</w:t>
                  </w:r>
                </w:p>
              </w:tc>
              <w:tc>
                <w:tcPr>
                  <w:tcW w:w="3633" w:type="pct"/>
                  <w:vAlign w:val="center"/>
                </w:tcPr>
                <w:p>
                  <w:pPr>
                    <w:widowControl/>
                    <w:spacing w:line="460" w:lineRule="exact"/>
                    <w:jc w:val="center"/>
                    <w:textAlignment w:val="center"/>
                    <w:rPr>
                      <w:rFonts w:hint="default"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62000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366" w:type="pct"/>
                  <w:vAlign w:val="center"/>
                </w:tcPr>
                <w:p>
                  <w:pPr>
                    <w:widowControl/>
                    <w:spacing w:line="460" w:lineRule="exact"/>
                    <w:jc w:val="center"/>
                    <w:textAlignment w:val="center"/>
                    <w:rPr>
                      <w:rFonts w:eastAsia="仿宋"/>
                      <w:color w:val="auto"/>
                      <w:kern w:val="0"/>
                      <w:sz w:val="24"/>
                      <w:szCs w:val="22"/>
                      <w:highlight w:val="none"/>
                    </w:rPr>
                  </w:pPr>
                  <w:r>
                    <w:rPr>
                      <w:rFonts w:hint="eastAsia" w:eastAsia="仿宋"/>
                      <w:bCs/>
                      <w:color w:val="auto"/>
                      <w:kern w:val="0"/>
                      <w:sz w:val="24"/>
                      <w:szCs w:val="22"/>
                      <w:highlight w:val="none"/>
                      <w:lang w:val="en-US" w:eastAsia="zh-CN"/>
                    </w:rPr>
                    <w:t>35</w:t>
                  </w:r>
                </w:p>
              </w:tc>
              <w:tc>
                <w:tcPr>
                  <w:tcW w:w="3633" w:type="pct"/>
                  <w:vAlign w:val="center"/>
                </w:tcPr>
                <w:p>
                  <w:pPr>
                    <w:widowControl/>
                    <w:spacing w:line="460" w:lineRule="exact"/>
                    <w:jc w:val="center"/>
                    <w:textAlignment w:val="center"/>
                    <w:rPr>
                      <w:rFonts w:hint="eastAsia"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105000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366" w:type="pct"/>
                  <w:vAlign w:val="center"/>
                </w:tcPr>
                <w:p>
                  <w:pPr>
                    <w:widowControl/>
                    <w:spacing w:line="460" w:lineRule="exact"/>
                    <w:jc w:val="center"/>
                    <w:textAlignment w:val="center"/>
                    <w:rPr>
                      <w:rFonts w:eastAsia="仿宋"/>
                      <w:color w:val="auto"/>
                      <w:kern w:val="0"/>
                      <w:sz w:val="24"/>
                      <w:szCs w:val="22"/>
                      <w:highlight w:val="none"/>
                    </w:rPr>
                  </w:pPr>
                  <w:r>
                    <w:rPr>
                      <w:rFonts w:hint="eastAsia" w:eastAsia="仿宋"/>
                      <w:bCs/>
                      <w:color w:val="auto"/>
                      <w:kern w:val="0"/>
                      <w:sz w:val="24"/>
                      <w:szCs w:val="22"/>
                      <w:highlight w:val="none"/>
                      <w:lang w:val="en-US" w:eastAsia="zh-CN"/>
                    </w:rPr>
                    <w:t>36</w:t>
                  </w:r>
                </w:p>
              </w:tc>
              <w:tc>
                <w:tcPr>
                  <w:tcW w:w="3633" w:type="pct"/>
                  <w:vAlign w:val="center"/>
                </w:tcPr>
                <w:p>
                  <w:pPr>
                    <w:widowControl/>
                    <w:spacing w:line="460" w:lineRule="exact"/>
                    <w:jc w:val="center"/>
                    <w:textAlignment w:val="center"/>
                    <w:rPr>
                      <w:rFonts w:hint="default"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108490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366" w:type="pct"/>
                  <w:vAlign w:val="center"/>
                </w:tcPr>
                <w:p>
                  <w:pPr>
                    <w:widowControl/>
                    <w:spacing w:line="460" w:lineRule="exact"/>
                    <w:jc w:val="center"/>
                    <w:textAlignment w:val="center"/>
                    <w:rPr>
                      <w:rFonts w:hint="default"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39</w:t>
                  </w:r>
                </w:p>
              </w:tc>
              <w:tc>
                <w:tcPr>
                  <w:tcW w:w="3633" w:type="pct"/>
                  <w:vAlign w:val="center"/>
                </w:tcPr>
                <w:p>
                  <w:pPr>
                    <w:widowControl/>
                    <w:spacing w:line="460" w:lineRule="exact"/>
                    <w:jc w:val="center"/>
                    <w:textAlignment w:val="center"/>
                    <w:rPr>
                      <w:rFonts w:hint="eastAsia"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10000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366" w:type="pct"/>
                  <w:vAlign w:val="center"/>
                </w:tcPr>
                <w:p>
                  <w:pPr>
                    <w:widowControl/>
                    <w:spacing w:line="460" w:lineRule="exact"/>
                    <w:jc w:val="center"/>
                    <w:textAlignment w:val="center"/>
                    <w:rPr>
                      <w:rFonts w:hint="default"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40</w:t>
                  </w:r>
                </w:p>
              </w:tc>
              <w:tc>
                <w:tcPr>
                  <w:tcW w:w="3633" w:type="pct"/>
                  <w:vAlign w:val="center"/>
                </w:tcPr>
                <w:p>
                  <w:pPr>
                    <w:widowControl/>
                    <w:spacing w:line="460" w:lineRule="exact"/>
                    <w:jc w:val="center"/>
                    <w:textAlignment w:val="center"/>
                    <w:rPr>
                      <w:rFonts w:hint="eastAsia"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18054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366" w:type="pct"/>
                  <w:vAlign w:val="center"/>
                </w:tcPr>
                <w:p>
                  <w:pPr>
                    <w:widowControl/>
                    <w:spacing w:line="460" w:lineRule="exact"/>
                    <w:jc w:val="center"/>
                    <w:textAlignment w:val="center"/>
                    <w:rPr>
                      <w:rFonts w:hint="default"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46</w:t>
                  </w:r>
                </w:p>
              </w:tc>
              <w:tc>
                <w:tcPr>
                  <w:tcW w:w="3633" w:type="pct"/>
                  <w:vAlign w:val="center"/>
                </w:tcPr>
                <w:p>
                  <w:pPr>
                    <w:widowControl/>
                    <w:spacing w:line="460" w:lineRule="exact"/>
                    <w:jc w:val="center"/>
                    <w:textAlignment w:val="center"/>
                    <w:rPr>
                      <w:rFonts w:hint="eastAsia"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53069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366" w:type="pct"/>
                  <w:vAlign w:val="center"/>
                </w:tcPr>
                <w:p>
                  <w:pPr>
                    <w:widowControl/>
                    <w:spacing w:line="460" w:lineRule="exact"/>
                    <w:jc w:val="center"/>
                    <w:textAlignment w:val="center"/>
                    <w:rPr>
                      <w:rFonts w:hint="default"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47</w:t>
                  </w:r>
                </w:p>
              </w:tc>
              <w:tc>
                <w:tcPr>
                  <w:tcW w:w="3633" w:type="pct"/>
                  <w:vAlign w:val="center"/>
                </w:tcPr>
                <w:p>
                  <w:pPr>
                    <w:widowControl/>
                    <w:spacing w:line="460" w:lineRule="exact"/>
                    <w:jc w:val="center"/>
                    <w:textAlignment w:val="center"/>
                    <w:rPr>
                      <w:rFonts w:hint="eastAsia"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11878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366" w:type="pct"/>
                  <w:vAlign w:val="center"/>
                </w:tcPr>
                <w:p>
                  <w:pPr>
                    <w:widowControl/>
                    <w:spacing w:line="460" w:lineRule="exact"/>
                    <w:jc w:val="center"/>
                    <w:textAlignment w:val="center"/>
                    <w:rPr>
                      <w:rFonts w:hint="default"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53</w:t>
                  </w:r>
                </w:p>
              </w:tc>
              <w:tc>
                <w:tcPr>
                  <w:tcW w:w="3633" w:type="pct"/>
                  <w:vAlign w:val="center"/>
                </w:tcPr>
                <w:p>
                  <w:pPr>
                    <w:widowControl/>
                    <w:spacing w:line="460" w:lineRule="exact"/>
                    <w:jc w:val="center"/>
                    <w:textAlignment w:val="center"/>
                    <w:rPr>
                      <w:rFonts w:hint="eastAsia"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94637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366" w:type="pct"/>
                  <w:vAlign w:val="center"/>
                </w:tcPr>
                <w:p>
                  <w:pPr>
                    <w:widowControl/>
                    <w:spacing w:line="460" w:lineRule="exact"/>
                    <w:jc w:val="center"/>
                    <w:textAlignment w:val="center"/>
                    <w:rPr>
                      <w:rFonts w:hint="default"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55</w:t>
                  </w:r>
                </w:p>
              </w:tc>
              <w:tc>
                <w:tcPr>
                  <w:tcW w:w="3633" w:type="pct"/>
                  <w:vAlign w:val="center"/>
                </w:tcPr>
                <w:p>
                  <w:pPr>
                    <w:widowControl/>
                    <w:spacing w:line="460" w:lineRule="exact"/>
                    <w:jc w:val="center"/>
                    <w:textAlignment w:val="center"/>
                    <w:rPr>
                      <w:rFonts w:hint="eastAsia"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104089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366" w:type="pct"/>
                  <w:vAlign w:val="center"/>
                </w:tcPr>
                <w:p>
                  <w:pPr>
                    <w:widowControl/>
                    <w:spacing w:line="460" w:lineRule="exact"/>
                    <w:jc w:val="center"/>
                    <w:textAlignment w:val="center"/>
                    <w:rPr>
                      <w:rFonts w:hint="default"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61</w:t>
                  </w:r>
                </w:p>
              </w:tc>
              <w:tc>
                <w:tcPr>
                  <w:tcW w:w="3633" w:type="pct"/>
                  <w:vAlign w:val="center"/>
                </w:tcPr>
                <w:p>
                  <w:pPr>
                    <w:widowControl/>
                    <w:spacing w:line="460" w:lineRule="exact"/>
                    <w:jc w:val="center"/>
                    <w:textAlignment w:val="center"/>
                    <w:rPr>
                      <w:rFonts w:hint="eastAsia"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43590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366" w:type="pct"/>
                  <w:vAlign w:val="center"/>
                </w:tcPr>
                <w:p>
                  <w:pPr>
                    <w:widowControl/>
                    <w:spacing w:line="460" w:lineRule="exact"/>
                    <w:jc w:val="center"/>
                    <w:textAlignment w:val="center"/>
                    <w:rPr>
                      <w:rFonts w:hint="default"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64</w:t>
                  </w:r>
                </w:p>
              </w:tc>
              <w:tc>
                <w:tcPr>
                  <w:tcW w:w="3633" w:type="pct"/>
                  <w:vAlign w:val="center"/>
                </w:tcPr>
                <w:p>
                  <w:pPr>
                    <w:widowControl/>
                    <w:spacing w:line="460" w:lineRule="exact"/>
                    <w:jc w:val="center"/>
                    <w:textAlignment w:val="center"/>
                    <w:rPr>
                      <w:rFonts w:hint="eastAsia"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17312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366" w:type="pct"/>
                  <w:vAlign w:val="center"/>
                </w:tcPr>
                <w:p>
                  <w:pPr>
                    <w:widowControl/>
                    <w:spacing w:line="460" w:lineRule="exact"/>
                    <w:jc w:val="center"/>
                    <w:textAlignment w:val="center"/>
                    <w:rPr>
                      <w:rFonts w:hint="default"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65</w:t>
                  </w:r>
                </w:p>
              </w:tc>
              <w:tc>
                <w:tcPr>
                  <w:tcW w:w="3633" w:type="pct"/>
                  <w:vAlign w:val="center"/>
                </w:tcPr>
                <w:p>
                  <w:pPr>
                    <w:widowControl/>
                    <w:spacing w:line="460" w:lineRule="exact"/>
                    <w:jc w:val="center"/>
                    <w:textAlignment w:val="center"/>
                    <w:rPr>
                      <w:rFonts w:hint="eastAsia"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8080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366" w:type="pct"/>
                  <w:vAlign w:val="center"/>
                </w:tcPr>
                <w:p>
                  <w:pPr>
                    <w:widowControl/>
                    <w:spacing w:line="460" w:lineRule="exact"/>
                    <w:jc w:val="center"/>
                    <w:textAlignment w:val="center"/>
                    <w:rPr>
                      <w:rFonts w:hint="default"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68</w:t>
                  </w:r>
                </w:p>
              </w:tc>
              <w:tc>
                <w:tcPr>
                  <w:tcW w:w="3633" w:type="pct"/>
                  <w:vAlign w:val="center"/>
                </w:tcPr>
                <w:p>
                  <w:pPr>
                    <w:widowControl/>
                    <w:spacing w:line="460" w:lineRule="exact"/>
                    <w:jc w:val="center"/>
                    <w:textAlignment w:val="center"/>
                    <w:rPr>
                      <w:rFonts w:hint="eastAsia"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71694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366" w:type="pct"/>
                  <w:vAlign w:val="center"/>
                </w:tcPr>
                <w:p>
                  <w:pPr>
                    <w:widowControl/>
                    <w:spacing w:line="460" w:lineRule="exact"/>
                    <w:jc w:val="center"/>
                    <w:textAlignment w:val="center"/>
                    <w:rPr>
                      <w:rFonts w:hint="default"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70</w:t>
                  </w:r>
                </w:p>
              </w:tc>
              <w:tc>
                <w:tcPr>
                  <w:tcW w:w="3633" w:type="pct"/>
                  <w:vAlign w:val="center"/>
                </w:tcPr>
                <w:p>
                  <w:pPr>
                    <w:widowControl/>
                    <w:spacing w:line="460" w:lineRule="exact"/>
                    <w:jc w:val="center"/>
                    <w:textAlignment w:val="center"/>
                    <w:rPr>
                      <w:rFonts w:hint="eastAsia"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70330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366" w:type="pct"/>
                  <w:vAlign w:val="center"/>
                </w:tcPr>
                <w:p>
                  <w:pPr>
                    <w:widowControl/>
                    <w:spacing w:line="460" w:lineRule="exact"/>
                    <w:jc w:val="center"/>
                    <w:textAlignment w:val="center"/>
                    <w:rPr>
                      <w:rFonts w:hint="default"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72</w:t>
                  </w:r>
                </w:p>
              </w:tc>
              <w:tc>
                <w:tcPr>
                  <w:tcW w:w="3633" w:type="pct"/>
                  <w:vAlign w:val="center"/>
                </w:tcPr>
                <w:p>
                  <w:pPr>
                    <w:widowControl/>
                    <w:spacing w:line="460" w:lineRule="exact"/>
                    <w:jc w:val="center"/>
                    <w:textAlignment w:val="center"/>
                    <w:rPr>
                      <w:rFonts w:hint="eastAsia"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11868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366" w:type="pct"/>
                  <w:vAlign w:val="center"/>
                </w:tcPr>
                <w:p>
                  <w:pPr>
                    <w:widowControl/>
                    <w:spacing w:line="460" w:lineRule="exact"/>
                    <w:jc w:val="center"/>
                    <w:textAlignment w:val="center"/>
                    <w:rPr>
                      <w:rFonts w:hint="default"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77</w:t>
                  </w:r>
                </w:p>
              </w:tc>
              <w:tc>
                <w:tcPr>
                  <w:tcW w:w="3633" w:type="pct"/>
                  <w:vAlign w:val="center"/>
                </w:tcPr>
                <w:p>
                  <w:pPr>
                    <w:widowControl/>
                    <w:spacing w:line="460" w:lineRule="exact"/>
                    <w:jc w:val="center"/>
                    <w:textAlignment w:val="center"/>
                    <w:rPr>
                      <w:rFonts w:hint="eastAsia"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13932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366" w:type="pct"/>
                  <w:vAlign w:val="center"/>
                </w:tcPr>
                <w:p>
                  <w:pPr>
                    <w:widowControl/>
                    <w:spacing w:line="460" w:lineRule="exact"/>
                    <w:jc w:val="center"/>
                    <w:textAlignment w:val="center"/>
                    <w:rPr>
                      <w:rFonts w:hint="default"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79</w:t>
                  </w:r>
                </w:p>
              </w:tc>
              <w:tc>
                <w:tcPr>
                  <w:tcW w:w="3633" w:type="pct"/>
                  <w:vAlign w:val="center"/>
                </w:tcPr>
                <w:p>
                  <w:pPr>
                    <w:widowControl/>
                    <w:spacing w:line="460" w:lineRule="exact"/>
                    <w:jc w:val="center"/>
                    <w:textAlignment w:val="center"/>
                    <w:rPr>
                      <w:rFonts w:hint="eastAsia"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41628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366" w:type="pct"/>
                  <w:vAlign w:val="center"/>
                </w:tcPr>
                <w:p>
                  <w:pPr>
                    <w:widowControl/>
                    <w:spacing w:line="460" w:lineRule="exact"/>
                    <w:jc w:val="center"/>
                    <w:textAlignment w:val="center"/>
                    <w:rPr>
                      <w:rFonts w:hint="default"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83</w:t>
                  </w:r>
                </w:p>
              </w:tc>
              <w:tc>
                <w:tcPr>
                  <w:tcW w:w="3633" w:type="pct"/>
                  <w:vAlign w:val="center"/>
                </w:tcPr>
                <w:p>
                  <w:pPr>
                    <w:widowControl/>
                    <w:spacing w:line="460" w:lineRule="exact"/>
                    <w:jc w:val="center"/>
                    <w:textAlignment w:val="center"/>
                    <w:rPr>
                      <w:rFonts w:hint="eastAsia"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74252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366" w:type="pct"/>
                  <w:vAlign w:val="center"/>
                </w:tcPr>
                <w:p>
                  <w:pPr>
                    <w:widowControl/>
                    <w:spacing w:line="460" w:lineRule="exact"/>
                    <w:jc w:val="center"/>
                    <w:textAlignment w:val="center"/>
                    <w:rPr>
                      <w:rFonts w:hint="default"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86</w:t>
                  </w:r>
                </w:p>
              </w:tc>
              <w:tc>
                <w:tcPr>
                  <w:tcW w:w="3633" w:type="pct"/>
                  <w:vAlign w:val="center"/>
                </w:tcPr>
                <w:p>
                  <w:pPr>
                    <w:widowControl/>
                    <w:spacing w:line="460" w:lineRule="exact"/>
                    <w:jc w:val="center"/>
                    <w:textAlignment w:val="center"/>
                    <w:rPr>
                      <w:rFonts w:hint="eastAsia"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23650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366" w:type="pct"/>
                  <w:vAlign w:val="center"/>
                </w:tcPr>
                <w:p>
                  <w:pPr>
                    <w:widowControl/>
                    <w:spacing w:line="460" w:lineRule="exact"/>
                    <w:jc w:val="center"/>
                    <w:textAlignment w:val="center"/>
                    <w:rPr>
                      <w:rFonts w:hint="default"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93</w:t>
                  </w:r>
                </w:p>
              </w:tc>
              <w:tc>
                <w:tcPr>
                  <w:tcW w:w="3633" w:type="pct"/>
                  <w:vAlign w:val="center"/>
                </w:tcPr>
                <w:p>
                  <w:pPr>
                    <w:widowControl/>
                    <w:spacing w:line="460" w:lineRule="exact"/>
                    <w:jc w:val="center"/>
                    <w:textAlignment w:val="center"/>
                    <w:rPr>
                      <w:rFonts w:hint="eastAsia"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20160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366" w:type="pct"/>
                  <w:vAlign w:val="center"/>
                </w:tcPr>
                <w:p>
                  <w:pPr>
                    <w:widowControl/>
                    <w:spacing w:line="460" w:lineRule="exact"/>
                    <w:jc w:val="center"/>
                    <w:textAlignment w:val="center"/>
                    <w:rPr>
                      <w:rFonts w:hint="default"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97</w:t>
                  </w:r>
                </w:p>
              </w:tc>
              <w:tc>
                <w:tcPr>
                  <w:tcW w:w="3633" w:type="pct"/>
                  <w:vAlign w:val="center"/>
                </w:tcPr>
                <w:p>
                  <w:pPr>
                    <w:widowControl/>
                    <w:spacing w:line="460" w:lineRule="exact"/>
                    <w:jc w:val="center"/>
                    <w:textAlignment w:val="center"/>
                    <w:rPr>
                      <w:rFonts w:hint="eastAsia"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48500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366" w:type="pct"/>
                  <w:vAlign w:val="center"/>
                </w:tcPr>
                <w:p>
                  <w:pPr>
                    <w:widowControl/>
                    <w:spacing w:line="460" w:lineRule="exact"/>
                    <w:jc w:val="center"/>
                    <w:textAlignment w:val="center"/>
                    <w:rPr>
                      <w:rFonts w:hint="default"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98</w:t>
                  </w:r>
                </w:p>
              </w:tc>
              <w:tc>
                <w:tcPr>
                  <w:tcW w:w="3633" w:type="pct"/>
                  <w:vAlign w:val="center"/>
                </w:tcPr>
                <w:p>
                  <w:pPr>
                    <w:widowControl/>
                    <w:spacing w:line="460" w:lineRule="exact"/>
                    <w:jc w:val="center"/>
                    <w:textAlignment w:val="center"/>
                    <w:rPr>
                      <w:rFonts w:hint="eastAsia"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86400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366" w:type="pct"/>
                  <w:vAlign w:val="center"/>
                </w:tcPr>
                <w:p>
                  <w:pPr>
                    <w:widowControl/>
                    <w:spacing w:line="460" w:lineRule="exact"/>
                    <w:jc w:val="center"/>
                    <w:textAlignment w:val="center"/>
                    <w:rPr>
                      <w:rFonts w:hint="default"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99</w:t>
                  </w:r>
                </w:p>
              </w:tc>
              <w:tc>
                <w:tcPr>
                  <w:tcW w:w="3633" w:type="pct"/>
                  <w:vAlign w:val="center"/>
                </w:tcPr>
                <w:p>
                  <w:pPr>
                    <w:widowControl/>
                    <w:spacing w:line="460" w:lineRule="exact"/>
                    <w:jc w:val="center"/>
                    <w:textAlignment w:val="center"/>
                    <w:rPr>
                      <w:rFonts w:hint="eastAsia"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31320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366" w:type="pct"/>
                  <w:vAlign w:val="center"/>
                </w:tcPr>
                <w:p>
                  <w:pPr>
                    <w:widowControl/>
                    <w:spacing w:line="460" w:lineRule="exact"/>
                    <w:jc w:val="center"/>
                    <w:textAlignment w:val="center"/>
                    <w:rPr>
                      <w:rFonts w:hint="default"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103</w:t>
                  </w:r>
                </w:p>
              </w:tc>
              <w:tc>
                <w:tcPr>
                  <w:tcW w:w="3633" w:type="pct"/>
                  <w:vAlign w:val="center"/>
                </w:tcPr>
                <w:p>
                  <w:pPr>
                    <w:widowControl/>
                    <w:spacing w:line="460" w:lineRule="exact"/>
                    <w:jc w:val="center"/>
                    <w:textAlignment w:val="center"/>
                    <w:rPr>
                      <w:rFonts w:hint="default"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23196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366" w:type="pct"/>
                  <w:vAlign w:val="center"/>
                </w:tcPr>
                <w:p>
                  <w:pPr>
                    <w:widowControl/>
                    <w:spacing w:line="460" w:lineRule="exact"/>
                    <w:jc w:val="center"/>
                    <w:textAlignment w:val="center"/>
                    <w:rPr>
                      <w:rFonts w:hint="default"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107</w:t>
                  </w:r>
                </w:p>
              </w:tc>
              <w:tc>
                <w:tcPr>
                  <w:tcW w:w="3633" w:type="pct"/>
                  <w:vAlign w:val="center"/>
                </w:tcPr>
                <w:p>
                  <w:pPr>
                    <w:widowControl/>
                    <w:spacing w:line="460" w:lineRule="exact"/>
                    <w:jc w:val="center"/>
                    <w:textAlignment w:val="center"/>
                    <w:rPr>
                      <w:rFonts w:hint="eastAsia"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322490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366" w:type="pct"/>
                  <w:vAlign w:val="center"/>
                </w:tcPr>
                <w:p>
                  <w:pPr>
                    <w:widowControl/>
                    <w:spacing w:line="460" w:lineRule="exact"/>
                    <w:jc w:val="center"/>
                    <w:textAlignment w:val="center"/>
                    <w:rPr>
                      <w:rFonts w:hint="default"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108</w:t>
                  </w:r>
                </w:p>
              </w:tc>
              <w:tc>
                <w:tcPr>
                  <w:tcW w:w="3633" w:type="pct"/>
                  <w:vAlign w:val="center"/>
                </w:tcPr>
                <w:p>
                  <w:pPr>
                    <w:widowControl/>
                    <w:spacing w:line="460" w:lineRule="exact"/>
                    <w:jc w:val="center"/>
                    <w:textAlignment w:val="center"/>
                    <w:rPr>
                      <w:rFonts w:hint="eastAsia"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112400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366" w:type="pct"/>
                  <w:vAlign w:val="center"/>
                </w:tcPr>
                <w:p>
                  <w:pPr>
                    <w:widowControl/>
                    <w:spacing w:line="460" w:lineRule="exact"/>
                    <w:jc w:val="center"/>
                    <w:textAlignment w:val="center"/>
                    <w:rPr>
                      <w:rFonts w:hint="eastAsia"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117</w:t>
                  </w:r>
                </w:p>
              </w:tc>
              <w:tc>
                <w:tcPr>
                  <w:tcW w:w="3633" w:type="pct"/>
                  <w:vAlign w:val="center"/>
                </w:tcPr>
                <w:p>
                  <w:pPr>
                    <w:widowControl/>
                    <w:spacing w:line="460" w:lineRule="exact"/>
                    <w:jc w:val="center"/>
                    <w:textAlignment w:val="center"/>
                    <w:rPr>
                      <w:rFonts w:hint="eastAsia" w:eastAsia="仿宋"/>
                      <w:bCs/>
                      <w:color w:val="auto"/>
                      <w:kern w:val="0"/>
                      <w:sz w:val="24"/>
                      <w:szCs w:val="22"/>
                      <w:highlight w:val="none"/>
                      <w:lang w:val="en-US" w:eastAsia="zh-CN"/>
                    </w:rPr>
                  </w:pPr>
                  <w:r>
                    <w:rPr>
                      <w:rFonts w:hint="eastAsia" w:eastAsia="仿宋"/>
                      <w:bCs/>
                      <w:color w:val="auto"/>
                      <w:kern w:val="0"/>
                      <w:sz w:val="24"/>
                      <w:szCs w:val="22"/>
                      <w:highlight w:val="none"/>
                      <w:lang w:val="en-US" w:eastAsia="zh-CN"/>
                    </w:rPr>
                    <w:t>21690</w:t>
                  </w:r>
                </w:p>
              </w:tc>
            </w:tr>
          </w:tbl>
          <w:p>
            <w:pPr>
              <w:pStyle w:val="70"/>
              <w:tabs>
                <w:tab w:val="left" w:pos="284"/>
                <w:tab w:val="left" w:pos="567"/>
                <w:tab w:val="left" w:pos="709"/>
              </w:tabs>
              <w:spacing w:line="460" w:lineRule="exact"/>
              <w:ind w:firstLine="0" w:firstLineChars="0"/>
              <w:jc w:val="both"/>
              <w:rPr>
                <w:rFonts w:eastAsia="仿宋"/>
                <w:b/>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426" w:type="pct"/>
            <w:vAlign w:val="center"/>
          </w:tcPr>
          <w:p>
            <w:pPr>
              <w:spacing w:line="460" w:lineRule="exact"/>
              <w:jc w:val="center"/>
              <w:rPr>
                <w:rFonts w:eastAsia="仿宋"/>
                <w:color w:val="auto"/>
                <w:sz w:val="24"/>
                <w:szCs w:val="22"/>
                <w:highlight w:val="none"/>
              </w:rPr>
            </w:pPr>
            <w:r>
              <w:rPr>
                <w:rFonts w:eastAsia="仿宋"/>
                <w:color w:val="auto"/>
                <w:sz w:val="24"/>
                <w:szCs w:val="22"/>
                <w:highlight w:val="none"/>
              </w:rPr>
              <w:t>8</w:t>
            </w:r>
          </w:p>
        </w:tc>
        <w:tc>
          <w:tcPr>
            <w:tcW w:w="4573" w:type="pct"/>
            <w:vAlign w:val="center"/>
          </w:tcPr>
          <w:p>
            <w:pPr>
              <w:spacing w:line="460" w:lineRule="exact"/>
              <w:jc w:val="left"/>
              <w:rPr>
                <w:rFonts w:eastAsia="仿宋"/>
                <w:b/>
                <w:bCs/>
                <w:color w:val="auto"/>
                <w:kern w:val="0"/>
                <w:sz w:val="24"/>
                <w:szCs w:val="22"/>
                <w:highlight w:val="none"/>
              </w:rPr>
            </w:pPr>
            <w:r>
              <w:rPr>
                <w:rFonts w:eastAsia="仿宋"/>
                <w:b/>
                <w:bCs/>
                <w:color w:val="auto"/>
                <w:kern w:val="0"/>
                <w:sz w:val="24"/>
                <w:szCs w:val="22"/>
                <w:highlight w:val="none"/>
              </w:rPr>
              <w:t>评标方法：本项目采用综合评分法。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426" w:type="pct"/>
            <w:vAlign w:val="center"/>
          </w:tcPr>
          <w:p>
            <w:pPr>
              <w:spacing w:line="460" w:lineRule="exact"/>
              <w:jc w:val="center"/>
              <w:rPr>
                <w:rFonts w:eastAsia="仿宋"/>
                <w:color w:val="auto"/>
                <w:sz w:val="24"/>
                <w:szCs w:val="22"/>
                <w:highlight w:val="none"/>
              </w:rPr>
            </w:pPr>
            <w:r>
              <w:rPr>
                <w:rFonts w:eastAsia="仿宋"/>
                <w:color w:val="auto"/>
                <w:sz w:val="24"/>
                <w:szCs w:val="22"/>
                <w:highlight w:val="none"/>
              </w:rPr>
              <w:t>9</w:t>
            </w:r>
          </w:p>
        </w:tc>
        <w:tc>
          <w:tcPr>
            <w:tcW w:w="4573" w:type="pct"/>
            <w:vAlign w:val="center"/>
          </w:tcPr>
          <w:p>
            <w:pPr>
              <w:spacing w:line="460" w:lineRule="exact"/>
              <w:jc w:val="left"/>
              <w:rPr>
                <w:rFonts w:eastAsia="仿宋"/>
                <w:color w:val="auto"/>
                <w:sz w:val="24"/>
                <w:szCs w:val="22"/>
                <w:highlight w:val="none"/>
              </w:rPr>
            </w:pPr>
            <w:r>
              <w:rPr>
                <w:rFonts w:eastAsia="仿宋"/>
                <w:b/>
                <w:bCs/>
                <w:color w:val="auto"/>
                <w:sz w:val="24"/>
                <w:szCs w:val="22"/>
                <w:highlight w:val="none"/>
              </w:rPr>
              <w:t>核心产品：</w:t>
            </w:r>
          </w:p>
          <w:p>
            <w:pPr>
              <w:spacing w:line="460" w:lineRule="exact"/>
              <w:jc w:val="left"/>
              <w:rPr>
                <w:rFonts w:hint="eastAsia" w:eastAsia="仿宋"/>
                <w:color w:val="auto"/>
                <w:sz w:val="24"/>
                <w:szCs w:val="22"/>
                <w:highlight w:val="none"/>
              </w:rPr>
            </w:pPr>
            <w:r>
              <w:rPr>
                <w:rFonts w:hint="eastAsia" w:eastAsia="仿宋"/>
                <w:color w:val="auto"/>
                <w:sz w:val="24"/>
                <w:szCs w:val="22"/>
                <w:highlight w:val="none"/>
                <w:lang w:val="en-US" w:eastAsia="zh-CN"/>
              </w:rPr>
              <w:t>10</w:t>
            </w:r>
            <w:r>
              <w:rPr>
                <w:rFonts w:hint="eastAsia" w:eastAsia="仿宋"/>
                <w:color w:val="auto"/>
                <w:sz w:val="24"/>
                <w:szCs w:val="22"/>
                <w:highlight w:val="none"/>
              </w:rPr>
              <w:t>包核心产品：</w:t>
            </w:r>
            <w:r>
              <w:rPr>
                <w:rFonts w:hint="eastAsia" w:ascii="仿宋" w:hAnsi="仿宋" w:eastAsia="仿宋" w:cs="仿宋"/>
                <w:i w:val="0"/>
                <w:iCs w:val="0"/>
                <w:color w:val="auto"/>
                <w:kern w:val="0"/>
                <w:sz w:val="24"/>
                <w:szCs w:val="24"/>
                <w:highlight w:val="none"/>
                <w:u w:val="none"/>
                <w:lang w:val="en-US" w:eastAsia="zh-CN" w:bidi="ar"/>
              </w:rPr>
              <w:t>测温仪</w:t>
            </w:r>
          </w:p>
          <w:p>
            <w:pPr>
              <w:spacing w:line="460" w:lineRule="exact"/>
              <w:jc w:val="left"/>
              <w:rPr>
                <w:rFonts w:hint="eastAsia" w:eastAsia="仿宋"/>
                <w:color w:val="auto"/>
                <w:sz w:val="24"/>
                <w:szCs w:val="22"/>
                <w:highlight w:val="none"/>
              </w:rPr>
            </w:pPr>
            <w:r>
              <w:rPr>
                <w:rFonts w:hint="eastAsia" w:eastAsia="仿宋"/>
                <w:color w:val="auto"/>
                <w:sz w:val="24"/>
                <w:szCs w:val="22"/>
                <w:highlight w:val="none"/>
                <w:lang w:val="en-US" w:eastAsia="zh-CN"/>
              </w:rPr>
              <w:t>12</w:t>
            </w:r>
            <w:r>
              <w:rPr>
                <w:rFonts w:hint="eastAsia" w:eastAsia="仿宋"/>
                <w:color w:val="auto"/>
                <w:sz w:val="24"/>
                <w:szCs w:val="22"/>
                <w:highlight w:val="none"/>
              </w:rPr>
              <w:t>包核心产品：</w:t>
            </w:r>
            <w:r>
              <w:rPr>
                <w:rFonts w:hint="eastAsia" w:ascii="仿宋" w:hAnsi="仿宋" w:eastAsia="仿宋" w:cs="仿宋"/>
                <w:i w:val="0"/>
                <w:iCs w:val="0"/>
                <w:color w:val="auto"/>
                <w:kern w:val="0"/>
                <w:sz w:val="24"/>
                <w:szCs w:val="24"/>
                <w:highlight w:val="none"/>
                <w:u w:val="none"/>
                <w:lang w:val="en-US" w:eastAsia="zh-CN" w:bidi="ar"/>
              </w:rPr>
              <w:t>便携式流速仪</w:t>
            </w:r>
          </w:p>
          <w:p>
            <w:pPr>
              <w:spacing w:line="460" w:lineRule="exact"/>
              <w:jc w:val="left"/>
              <w:rPr>
                <w:rFonts w:hint="eastAsia" w:eastAsia="仿宋"/>
                <w:color w:val="auto"/>
                <w:sz w:val="24"/>
                <w:szCs w:val="22"/>
                <w:highlight w:val="none"/>
              </w:rPr>
            </w:pPr>
            <w:r>
              <w:rPr>
                <w:rFonts w:hint="eastAsia" w:eastAsia="仿宋"/>
                <w:color w:val="auto"/>
                <w:sz w:val="24"/>
                <w:szCs w:val="22"/>
                <w:highlight w:val="none"/>
                <w:lang w:val="en-US" w:eastAsia="zh-CN"/>
              </w:rPr>
              <w:t>13</w:t>
            </w:r>
            <w:r>
              <w:rPr>
                <w:rFonts w:hint="eastAsia" w:eastAsia="仿宋"/>
                <w:color w:val="auto"/>
                <w:sz w:val="24"/>
                <w:szCs w:val="22"/>
                <w:highlight w:val="none"/>
              </w:rPr>
              <w:t>包核心产品：</w:t>
            </w:r>
            <w:r>
              <w:rPr>
                <w:rFonts w:hint="eastAsia" w:ascii="仿宋" w:hAnsi="仿宋" w:eastAsia="仿宋" w:cs="仿宋"/>
                <w:i w:val="0"/>
                <w:iCs w:val="0"/>
                <w:color w:val="auto"/>
                <w:kern w:val="0"/>
                <w:sz w:val="24"/>
                <w:szCs w:val="24"/>
                <w:highlight w:val="none"/>
                <w:u w:val="none"/>
                <w:lang w:val="en-US" w:eastAsia="zh-CN" w:bidi="ar"/>
              </w:rPr>
              <w:t>机动链锯</w:t>
            </w:r>
          </w:p>
          <w:p>
            <w:pPr>
              <w:spacing w:line="460" w:lineRule="exact"/>
              <w:jc w:val="left"/>
              <w:rPr>
                <w:rFonts w:hint="eastAsia" w:eastAsia="仿宋"/>
                <w:color w:val="auto"/>
                <w:sz w:val="24"/>
                <w:szCs w:val="22"/>
                <w:highlight w:val="none"/>
              </w:rPr>
            </w:pPr>
            <w:r>
              <w:rPr>
                <w:rFonts w:hint="eastAsia" w:eastAsia="仿宋"/>
                <w:color w:val="auto"/>
                <w:sz w:val="24"/>
                <w:szCs w:val="22"/>
                <w:highlight w:val="none"/>
                <w:lang w:val="en-US" w:eastAsia="zh-CN"/>
              </w:rPr>
              <w:t>22</w:t>
            </w:r>
            <w:r>
              <w:rPr>
                <w:rFonts w:hint="eastAsia" w:eastAsia="仿宋"/>
                <w:color w:val="auto"/>
                <w:sz w:val="24"/>
                <w:szCs w:val="22"/>
                <w:highlight w:val="none"/>
              </w:rPr>
              <w:t>包核心产品：等离子切割机</w:t>
            </w:r>
          </w:p>
          <w:p>
            <w:pPr>
              <w:spacing w:line="460" w:lineRule="exact"/>
              <w:jc w:val="left"/>
              <w:rPr>
                <w:rFonts w:hint="eastAsia" w:eastAsia="仿宋"/>
                <w:color w:val="auto"/>
                <w:sz w:val="24"/>
                <w:szCs w:val="22"/>
                <w:highlight w:val="none"/>
              </w:rPr>
            </w:pPr>
            <w:r>
              <w:rPr>
                <w:rFonts w:hint="eastAsia" w:eastAsia="仿宋"/>
                <w:color w:val="auto"/>
                <w:sz w:val="24"/>
                <w:szCs w:val="22"/>
                <w:highlight w:val="none"/>
                <w:lang w:val="en-US" w:eastAsia="zh-CN"/>
              </w:rPr>
              <w:t>25</w:t>
            </w:r>
            <w:r>
              <w:rPr>
                <w:rFonts w:hint="eastAsia" w:eastAsia="仿宋"/>
                <w:color w:val="auto"/>
                <w:sz w:val="24"/>
                <w:szCs w:val="22"/>
                <w:highlight w:val="none"/>
              </w:rPr>
              <w:t>包核心产品：</w:t>
            </w:r>
            <w:r>
              <w:rPr>
                <w:rFonts w:hint="eastAsia" w:ascii="仿宋" w:hAnsi="仿宋" w:eastAsia="仿宋" w:cs="仿宋"/>
                <w:i w:val="0"/>
                <w:iCs w:val="0"/>
                <w:color w:val="auto"/>
                <w:kern w:val="0"/>
                <w:sz w:val="24"/>
                <w:szCs w:val="24"/>
                <w:highlight w:val="none"/>
                <w:u w:val="none"/>
                <w:lang w:val="en-US" w:eastAsia="zh-CN" w:bidi="ar"/>
              </w:rPr>
              <w:t>毁锁器</w:t>
            </w:r>
          </w:p>
          <w:p>
            <w:pPr>
              <w:spacing w:line="460" w:lineRule="exact"/>
              <w:jc w:val="left"/>
              <w:rPr>
                <w:rFonts w:hint="eastAsia" w:eastAsia="仿宋"/>
                <w:color w:val="auto"/>
                <w:sz w:val="24"/>
                <w:szCs w:val="22"/>
                <w:highlight w:val="none"/>
              </w:rPr>
            </w:pPr>
            <w:r>
              <w:rPr>
                <w:rFonts w:hint="eastAsia" w:eastAsia="仿宋"/>
                <w:color w:val="auto"/>
                <w:sz w:val="24"/>
                <w:szCs w:val="22"/>
                <w:highlight w:val="none"/>
                <w:lang w:val="en-US" w:eastAsia="zh-CN"/>
              </w:rPr>
              <w:t>28</w:t>
            </w:r>
            <w:r>
              <w:rPr>
                <w:rFonts w:hint="eastAsia" w:eastAsia="仿宋"/>
                <w:color w:val="auto"/>
                <w:sz w:val="24"/>
                <w:szCs w:val="22"/>
                <w:highlight w:val="none"/>
              </w:rPr>
              <w:t>包核心产品：水驱动排烟机</w:t>
            </w:r>
          </w:p>
          <w:p>
            <w:pPr>
              <w:spacing w:line="460" w:lineRule="exact"/>
              <w:jc w:val="left"/>
              <w:rPr>
                <w:rFonts w:hint="eastAsia" w:eastAsia="仿宋"/>
                <w:color w:val="auto"/>
                <w:sz w:val="24"/>
                <w:szCs w:val="22"/>
                <w:highlight w:val="none"/>
              </w:rPr>
            </w:pPr>
            <w:r>
              <w:rPr>
                <w:rFonts w:hint="eastAsia" w:eastAsia="仿宋"/>
                <w:color w:val="auto"/>
                <w:sz w:val="24"/>
                <w:szCs w:val="22"/>
                <w:highlight w:val="none"/>
                <w:lang w:val="en-US" w:eastAsia="zh-CN"/>
              </w:rPr>
              <w:t>33</w:t>
            </w:r>
            <w:r>
              <w:rPr>
                <w:rFonts w:hint="eastAsia" w:eastAsia="仿宋"/>
                <w:color w:val="auto"/>
                <w:sz w:val="24"/>
                <w:szCs w:val="22"/>
                <w:highlight w:val="none"/>
              </w:rPr>
              <w:t>包核心产品：</w:t>
            </w:r>
            <w:r>
              <w:rPr>
                <w:rFonts w:hint="eastAsia" w:ascii="仿宋" w:hAnsi="仿宋" w:eastAsia="仿宋" w:cs="仿宋"/>
                <w:i w:val="0"/>
                <w:iCs w:val="0"/>
                <w:color w:val="auto"/>
                <w:kern w:val="0"/>
                <w:sz w:val="24"/>
                <w:szCs w:val="24"/>
                <w:highlight w:val="none"/>
                <w:u w:val="none"/>
                <w:lang w:val="en-US" w:eastAsia="zh-CN" w:bidi="ar"/>
              </w:rPr>
              <w:t>救生抛投器</w:t>
            </w:r>
          </w:p>
          <w:p>
            <w:pPr>
              <w:spacing w:line="460" w:lineRule="exact"/>
              <w:jc w:val="left"/>
              <w:rPr>
                <w:rFonts w:hint="default" w:eastAsia="仿宋"/>
                <w:color w:val="auto"/>
                <w:sz w:val="24"/>
                <w:szCs w:val="22"/>
                <w:highlight w:val="none"/>
                <w:lang w:val="en-US" w:eastAsia="zh-CN"/>
              </w:rPr>
            </w:pPr>
            <w:r>
              <w:rPr>
                <w:rFonts w:hint="eastAsia" w:eastAsia="仿宋"/>
                <w:color w:val="auto"/>
                <w:sz w:val="24"/>
                <w:szCs w:val="22"/>
                <w:highlight w:val="none"/>
                <w:lang w:val="en-US" w:eastAsia="zh-CN"/>
              </w:rPr>
              <w:t>35包核心产品：橡皮艇</w:t>
            </w:r>
          </w:p>
          <w:p>
            <w:pPr>
              <w:spacing w:line="460" w:lineRule="exact"/>
              <w:jc w:val="left"/>
              <w:rPr>
                <w:rFonts w:hint="default" w:eastAsia="仿宋"/>
                <w:color w:val="auto"/>
                <w:sz w:val="24"/>
                <w:szCs w:val="22"/>
                <w:highlight w:val="none"/>
                <w:lang w:val="en-US" w:eastAsia="zh-CN"/>
              </w:rPr>
            </w:pPr>
            <w:r>
              <w:rPr>
                <w:rFonts w:hint="eastAsia" w:eastAsia="仿宋"/>
                <w:color w:val="auto"/>
                <w:sz w:val="24"/>
                <w:szCs w:val="22"/>
                <w:highlight w:val="none"/>
                <w:lang w:val="en-US" w:eastAsia="zh-CN"/>
              </w:rPr>
              <w:t>36包核心产品：冲锋舟</w:t>
            </w:r>
          </w:p>
          <w:p>
            <w:pPr>
              <w:spacing w:line="460" w:lineRule="exact"/>
              <w:jc w:val="left"/>
              <w:rPr>
                <w:rFonts w:hint="eastAsia" w:eastAsia="仿宋"/>
                <w:color w:val="auto"/>
                <w:sz w:val="24"/>
                <w:szCs w:val="22"/>
                <w:highlight w:val="none"/>
                <w:lang w:val="en-US" w:eastAsia="zh-CN"/>
              </w:rPr>
            </w:pPr>
            <w:r>
              <w:rPr>
                <w:rFonts w:hint="eastAsia" w:eastAsia="仿宋"/>
                <w:color w:val="auto"/>
                <w:sz w:val="24"/>
                <w:szCs w:val="22"/>
                <w:highlight w:val="none"/>
                <w:lang w:val="en-US" w:eastAsia="zh-CN"/>
              </w:rPr>
              <w:t>40</w:t>
            </w:r>
            <w:r>
              <w:rPr>
                <w:rFonts w:hint="eastAsia" w:eastAsia="仿宋"/>
                <w:color w:val="auto"/>
                <w:sz w:val="24"/>
                <w:szCs w:val="22"/>
                <w:highlight w:val="none"/>
              </w:rPr>
              <w:t>包核心产品：</w:t>
            </w:r>
            <w:r>
              <w:rPr>
                <w:rFonts w:hint="eastAsia" w:ascii="仿宋" w:hAnsi="仿宋" w:eastAsia="仿宋" w:cs="仿宋"/>
                <w:i w:val="0"/>
                <w:iCs w:val="0"/>
                <w:color w:val="auto"/>
                <w:kern w:val="0"/>
                <w:sz w:val="24"/>
                <w:szCs w:val="24"/>
                <w:highlight w:val="none"/>
                <w:u w:val="none"/>
                <w:lang w:val="en-US" w:eastAsia="zh-CN" w:bidi="ar"/>
              </w:rPr>
              <w:t>充气救生筏</w:t>
            </w:r>
          </w:p>
          <w:p>
            <w:pPr>
              <w:spacing w:line="460" w:lineRule="exact"/>
              <w:jc w:val="left"/>
              <w:rPr>
                <w:rFonts w:hint="eastAsia" w:eastAsia="仿宋"/>
                <w:color w:val="auto"/>
                <w:sz w:val="24"/>
                <w:szCs w:val="22"/>
                <w:highlight w:val="none"/>
              </w:rPr>
            </w:pPr>
            <w:r>
              <w:rPr>
                <w:rFonts w:hint="eastAsia" w:eastAsia="仿宋"/>
                <w:color w:val="auto"/>
                <w:sz w:val="24"/>
                <w:szCs w:val="22"/>
                <w:highlight w:val="none"/>
                <w:lang w:val="en-US" w:eastAsia="zh-CN"/>
              </w:rPr>
              <w:t>46</w:t>
            </w:r>
            <w:r>
              <w:rPr>
                <w:rFonts w:hint="eastAsia" w:eastAsia="仿宋"/>
                <w:color w:val="auto"/>
                <w:sz w:val="24"/>
                <w:szCs w:val="22"/>
                <w:highlight w:val="none"/>
              </w:rPr>
              <w:t>包核心产品：正压式空气呼吸器碳纤维气瓶</w:t>
            </w:r>
          </w:p>
          <w:p>
            <w:pPr>
              <w:spacing w:line="460" w:lineRule="exact"/>
              <w:jc w:val="left"/>
              <w:rPr>
                <w:rFonts w:hint="eastAsia" w:eastAsia="仿宋"/>
                <w:color w:val="auto"/>
                <w:sz w:val="24"/>
                <w:szCs w:val="22"/>
                <w:highlight w:val="none"/>
              </w:rPr>
            </w:pPr>
            <w:r>
              <w:rPr>
                <w:rFonts w:hint="eastAsia" w:eastAsia="仿宋"/>
                <w:color w:val="auto"/>
                <w:sz w:val="24"/>
                <w:szCs w:val="22"/>
                <w:highlight w:val="none"/>
                <w:lang w:val="en-US" w:eastAsia="zh-CN"/>
              </w:rPr>
              <w:t>47</w:t>
            </w:r>
            <w:r>
              <w:rPr>
                <w:rFonts w:hint="eastAsia" w:eastAsia="仿宋"/>
                <w:color w:val="auto"/>
                <w:sz w:val="24"/>
                <w:szCs w:val="22"/>
                <w:highlight w:val="none"/>
              </w:rPr>
              <w:t>包核心产品：</w:t>
            </w:r>
            <w:r>
              <w:rPr>
                <w:rFonts w:hint="eastAsia" w:ascii="仿宋" w:hAnsi="仿宋" w:eastAsia="仿宋" w:cs="仿宋"/>
                <w:i w:val="0"/>
                <w:iCs w:val="0"/>
                <w:color w:val="auto"/>
                <w:kern w:val="0"/>
                <w:sz w:val="24"/>
                <w:szCs w:val="24"/>
                <w:highlight w:val="none"/>
                <w:u w:val="none"/>
                <w:lang w:val="en-US" w:eastAsia="zh-CN" w:bidi="ar"/>
              </w:rPr>
              <w:t>消防梯15米</w:t>
            </w:r>
          </w:p>
          <w:p>
            <w:pPr>
              <w:spacing w:line="460" w:lineRule="exact"/>
              <w:jc w:val="left"/>
              <w:rPr>
                <w:rFonts w:hint="eastAsia" w:eastAsia="仿宋"/>
                <w:color w:val="auto"/>
                <w:sz w:val="24"/>
                <w:szCs w:val="22"/>
                <w:highlight w:val="none"/>
              </w:rPr>
            </w:pPr>
            <w:r>
              <w:rPr>
                <w:rFonts w:hint="eastAsia" w:eastAsia="仿宋"/>
                <w:color w:val="auto"/>
                <w:sz w:val="24"/>
                <w:szCs w:val="22"/>
                <w:highlight w:val="none"/>
                <w:lang w:val="en-US" w:eastAsia="zh-CN"/>
              </w:rPr>
              <w:t>53</w:t>
            </w:r>
            <w:r>
              <w:rPr>
                <w:rFonts w:hint="eastAsia" w:eastAsia="仿宋"/>
                <w:color w:val="auto"/>
                <w:sz w:val="24"/>
                <w:szCs w:val="22"/>
                <w:highlight w:val="none"/>
              </w:rPr>
              <w:t>包核心产品：</w:t>
            </w:r>
            <w:r>
              <w:rPr>
                <w:rFonts w:hint="eastAsia" w:ascii="仿宋" w:hAnsi="仿宋" w:eastAsia="仿宋" w:cs="仿宋"/>
                <w:i w:val="0"/>
                <w:iCs w:val="0"/>
                <w:color w:val="auto"/>
                <w:kern w:val="0"/>
                <w:sz w:val="24"/>
                <w:szCs w:val="24"/>
                <w:highlight w:val="none"/>
                <w:u w:val="none"/>
                <w:lang w:val="en-US" w:eastAsia="zh-CN" w:bidi="ar"/>
              </w:rPr>
              <w:t>绳索救援套装</w:t>
            </w:r>
          </w:p>
          <w:p>
            <w:pPr>
              <w:spacing w:line="460" w:lineRule="exact"/>
              <w:jc w:val="left"/>
              <w:rPr>
                <w:rFonts w:hint="default" w:eastAsia="仿宋"/>
                <w:color w:val="auto"/>
                <w:sz w:val="24"/>
                <w:szCs w:val="22"/>
                <w:highlight w:val="none"/>
                <w:lang w:val="en-US" w:eastAsia="zh-CN"/>
              </w:rPr>
            </w:pPr>
            <w:r>
              <w:rPr>
                <w:rFonts w:hint="eastAsia" w:eastAsia="仿宋"/>
                <w:color w:val="auto"/>
                <w:sz w:val="24"/>
                <w:szCs w:val="22"/>
                <w:highlight w:val="none"/>
                <w:lang w:val="en-US" w:eastAsia="zh-CN"/>
              </w:rPr>
              <w:t>55包核心产品：</w:t>
            </w:r>
            <w:r>
              <w:rPr>
                <w:rFonts w:hint="eastAsia" w:ascii="仿宋" w:hAnsi="仿宋" w:eastAsia="仿宋" w:cs="仿宋"/>
                <w:b w:val="0"/>
                <w:bCs w:val="0"/>
                <w:color w:val="auto"/>
                <w:sz w:val="24"/>
                <w:szCs w:val="24"/>
                <w:highlight w:val="none"/>
                <w:lang w:val="en-US" w:eastAsia="zh-CN"/>
              </w:rPr>
              <w:t>冬款消防员抢险救援防护服（消防员款）</w:t>
            </w:r>
          </w:p>
          <w:p>
            <w:pPr>
              <w:spacing w:line="460" w:lineRule="exact"/>
              <w:jc w:val="left"/>
              <w:rPr>
                <w:rFonts w:hint="eastAsia" w:eastAsia="仿宋"/>
                <w:color w:val="auto"/>
                <w:sz w:val="24"/>
                <w:szCs w:val="22"/>
                <w:highlight w:val="none"/>
              </w:rPr>
            </w:pPr>
            <w:r>
              <w:rPr>
                <w:rFonts w:hint="eastAsia" w:eastAsia="仿宋"/>
                <w:color w:val="auto"/>
                <w:sz w:val="24"/>
                <w:szCs w:val="22"/>
                <w:highlight w:val="none"/>
                <w:lang w:val="en-US" w:eastAsia="zh-CN"/>
              </w:rPr>
              <w:t>61</w:t>
            </w:r>
            <w:r>
              <w:rPr>
                <w:rFonts w:hint="eastAsia" w:eastAsia="仿宋"/>
                <w:color w:val="auto"/>
                <w:sz w:val="24"/>
                <w:szCs w:val="22"/>
                <w:highlight w:val="none"/>
              </w:rPr>
              <w:t>包核心产品：</w:t>
            </w:r>
            <w:r>
              <w:rPr>
                <w:rFonts w:hint="eastAsia" w:ascii="仿宋" w:hAnsi="仿宋" w:eastAsia="仿宋" w:cs="仿宋"/>
                <w:i w:val="0"/>
                <w:iCs w:val="0"/>
                <w:color w:val="auto"/>
                <w:kern w:val="0"/>
                <w:sz w:val="24"/>
                <w:szCs w:val="24"/>
                <w:highlight w:val="none"/>
                <w:u w:val="none"/>
                <w:lang w:val="en-US" w:eastAsia="zh-CN" w:bidi="ar"/>
              </w:rPr>
              <w:t>救生拉杆</w:t>
            </w:r>
          </w:p>
          <w:p>
            <w:pPr>
              <w:spacing w:line="460" w:lineRule="exact"/>
              <w:jc w:val="left"/>
              <w:rPr>
                <w:rFonts w:hint="eastAsia" w:eastAsia="仿宋"/>
                <w:color w:val="auto"/>
                <w:sz w:val="24"/>
                <w:szCs w:val="22"/>
                <w:highlight w:val="none"/>
              </w:rPr>
            </w:pPr>
            <w:r>
              <w:rPr>
                <w:rFonts w:hint="eastAsia" w:eastAsia="仿宋"/>
                <w:color w:val="auto"/>
                <w:sz w:val="24"/>
                <w:szCs w:val="22"/>
                <w:highlight w:val="none"/>
                <w:lang w:val="en-US" w:eastAsia="zh-CN"/>
              </w:rPr>
              <w:t>64</w:t>
            </w:r>
            <w:r>
              <w:rPr>
                <w:rFonts w:hint="eastAsia" w:eastAsia="仿宋"/>
                <w:color w:val="auto"/>
                <w:sz w:val="24"/>
                <w:szCs w:val="22"/>
                <w:highlight w:val="none"/>
              </w:rPr>
              <w:t>包核心产品：</w:t>
            </w:r>
            <w:r>
              <w:rPr>
                <w:rFonts w:hint="eastAsia" w:ascii="仿宋" w:hAnsi="仿宋" w:eastAsia="仿宋" w:cs="仿宋"/>
                <w:i w:val="0"/>
                <w:iCs w:val="0"/>
                <w:color w:val="auto"/>
                <w:kern w:val="0"/>
                <w:sz w:val="24"/>
                <w:szCs w:val="24"/>
                <w:highlight w:val="none"/>
                <w:u w:val="none"/>
                <w:lang w:val="en-US" w:eastAsia="zh-CN" w:bidi="ar"/>
              </w:rPr>
              <w:t>水下红外夜视仪</w:t>
            </w:r>
          </w:p>
          <w:p>
            <w:pPr>
              <w:spacing w:line="460" w:lineRule="exact"/>
              <w:jc w:val="left"/>
              <w:rPr>
                <w:rFonts w:hint="eastAsia" w:eastAsia="仿宋"/>
                <w:color w:val="auto"/>
                <w:sz w:val="24"/>
                <w:szCs w:val="22"/>
                <w:highlight w:val="none"/>
              </w:rPr>
            </w:pPr>
            <w:r>
              <w:rPr>
                <w:rFonts w:hint="eastAsia" w:eastAsia="仿宋"/>
                <w:color w:val="auto"/>
                <w:sz w:val="24"/>
                <w:szCs w:val="22"/>
                <w:highlight w:val="none"/>
                <w:lang w:val="en-US" w:eastAsia="zh-CN"/>
              </w:rPr>
              <w:t>65</w:t>
            </w:r>
            <w:r>
              <w:rPr>
                <w:rFonts w:hint="eastAsia" w:eastAsia="仿宋"/>
                <w:color w:val="auto"/>
                <w:sz w:val="24"/>
                <w:szCs w:val="22"/>
                <w:highlight w:val="none"/>
              </w:rPr>
              <w:t>包核心产品：</w:t>
            </w:r>
            <w:r>
              <w:rPr>
                <w:rFonts w:hint="eastAsia" w:ascii="仿宋" w:hAnsi="仿宋" w:eastAsia="仿宋" w:cs="仿宋"/>
                <w:i w:val="0"/>
                <w:iCs w:val="0"/>
                <w:color w:val="auto"/>
                <w:kern w:val="0"/>
                <w:sz w:val="24"/>
                <w:szCs w:val="24"/>
                <w:highlight w:val="none"/>
                <w:u w:val="none"/>
                <w:lang w:val="en-US" w:eastAsia="zh-CN" w:bidi="ar"/>
              </w:rPr>
              <w:t>无电切割刀</w:t>
            </w:r>
          </w:p>
          <w:p>
            <w:pPr>
              <w:spacing w:line="460" w:lineRule="exact"/>
              <w:jc w:val="left"/>
              <w:rPr>
                <w:rFonts w:hint="eastAsia" w:eastAsia="仿宋"/>
                <w:color w:val="auto"/>
                <w:sz w:val="24"/>
                <w:szCs w:val="22"/>
                <w:highlight w:val="none"/>
              </w:rPr>
            </w:pPr>
            <w:r>
              <w:rPr>
                <w:rFonts w:hint="eastAsia" w:eastAsia="仿宋"/>
                <w:color w:val="auto"/>
                <w:sz w:val="24"/>
                <w:szCs w:val="22"/>
                <w:highlight w:val="none"/>
                <w:lang w:val="en-US" w:eastAsia="zh-CN"/>
              </w:rPr>
              <w:t>68</w:t>
            </w:r>
            <w:r>
              <w:rPr>
                <w:rFonts w:hint="eastAsia" w:eastAsia="仿宋"/>
                <w:color w:val="auto"/>
                <w:sz w:val="24"/>
                <w:szCs w:val="22"/>
                <w:highlight w:val="none"/>
              </w:rPr>
              <w:t>包核心产品：</w:t>
            </w:r>
            <w:r>
              <w:rPr>
                <w:rFonts w:hint="eastAsia" w:ascii="仿宋" w:hAnsi="仿宋" w:eastAsia="仿宋" w:cs="仿宋"/>
                <w:i w:val="0"/>
                <w:iCs w:val="0"/>
                <w:color w:val="auto"/>
                <w:kern w:val="0"/>
                <w:sz w:val="24"/>
                <w:szCs w:val="24"/>
                <w:highlight w:val="none"/>
                <w:u w:val="none"/>
                <w:lang w:val="en-US" w:eastAsia="zh-CN" w:bidi="ar"/>
              </w:rPr>
              <w:t>排水机器人</w:t>
            </w:r>
          </w:p>
          <w:p>
            <w:pPr>
              <w:spacing w:line="460" w:lineRule="exact"/>
              <w:jc w:val="left"/>
              <w:rPr>
                <w:rFonts w:hint="eastAsia" w:eastAsia="仿宋"/>
                <w:color w:val="auto"/>
                <w:sz w:val="24"/>
                <w:szCs w:val="22"/>
                <w:highlight w:val="none"/>
              </w:rPr>
            </w:pPr>
            <w:r>
              <w:rPr>
                <w:rFonts w:hint="eastAsia" w:eastAsia="仿宋"/>
                <w:color w:val="auto"/>
                <w:sz w:val="24"/>
                <w:szCs w:val="22"/>
                <w:highlight w:val="none"/>
                <w:lang w:val="en-US" w:eastAsia="zh-CN"/>
              </w:rPr>
              <w:t>70</w:t>
            </w:r>
            <w:r>
              <w:rPr>
                <w:rFonts w:hint="eastAsia" w:eastAsia="仿宋"/>
                <w:color w:val="auto"/>
                <w:sz w:val="24"/>
                <w:szCs w:val="22"/>
                <w:highlight w:val="none"/>
              </w:rPr>
              <w:t>包核心产品：</w:t>
            </w:r>
            <w:r>
              <w:rPr>
                <w:rFonts w:hint="eastAsia" w:ascii="仿宋" w:hAnsi="仿宋" w:eastAsia="仿宋" w:cs="仿宋"/>
                <w:i w:val="0"/>
                <w:iCs w:val="0"/>
                <w:color w:val="auto"/>
                <w:kern w:val="0"/>
                <w:sz w:val="24"/>
                <w:szCs w:val="24"/>
                <w:highlight w:val="none"/>
                <w:u w:val="none"/>
                <w:lang w:val="en-US" w:eastAsia="zh-CN" w:bidi="ar"/>
              </w:rPr>
              <w:t>冰面救援服</w:t>
            </w:r>
          </w:p>
          <w:p>
            <w:pPr>
              <w:spacing w:line="460" w:lineRule="exact"/>
              <w:jc w:val="left"/>
              <w:rPr>
                <w:rFonts w:hint="eastAsia" w:eastAsia="仿宋"/>
                <w:color w:val="auto"/>
                <w:sz w:val="24"/>
                <w:szCs w:val="22"/>
                <w:highlight w:val="none"/>
              </w:rPr>
            </w:pPr>
            <w:r>
              <w:rPr>
                <w:rFonts w:hint="eastAsia" w:eastAsia="仿宋"/>
                <w:color w:val="auto"/>
                <w:sz w:val="24"/>
                <w:szCs w:val="22"/>
                <w:highlight w:val="none"/>
                <w:lang w:val="en-US" w:eastAsia="zh-CN"/>
              </w:rPr>
              <w:t>77</w:t>
            </w:r>
            <w:r>
              <w:rPr>
                <w:rFonts w:hint="eastAsia" w:eastAsia="仿宋"/>
                <w:color w:val="auto"/>
                <w:sz w:val="24"/>
                <w:szCs w:val="22"/>
                <w:highlight w:val="none"/>
              </w:rPr>
              <w:t>包核心产品：</w:t>
            </w:r>
            <w:r>
              <w:rPr>
                <w:rFonts w:hint="eastAsia" w:ascii="仿宋" w:hAnsi="仿宋" w:eastAsia="仿宋" w:cs="仿宋"/>
                <w:i w:val="0"/>
                <w:iCs w:val="0"/>
                <w:color w:val="auto"/>
                <w:kern w:val="0"/>
                <w:sz w:val="24"/>
                <w:szCs w:val="24"/>
                <w:highlight w:val="none"/>
                <w:u w:val="none"/>
                <w:lang w:val="en-US" w:eastAsia="zh-CN" w:bidi="ar"/>
              </w:rPr>
              <w:t>角磨机</w:t>
            </w:r>
          </w:p>
          <w:p>
            <w:pPr>
              <w:spacing w:line="460" w:lineRule="exact"/>
              <w:jc w:val="left"/>
              <w:rPr>
                <w:rFonts w:hint="eastAsia" w:eastAsia="仿宋"/>
                <w:color w:val="auto"/>
                <w:sz w:val="24"/>
                <w:szCs w:val="22"/>
                <w:highlight w:val="none"/>
              </w:rPr>
            </w:pPr>
            <w:r>
              <w:rPr>
                <w:rFonts w:hint="eastAsia" w:eastAsia="仿宋"/>
                <w:color w:val="auto"/>
                <w:sz w:val="24"/>
                <w:szCs w:val="22"/>
                <w:highlight w:val="none"/>
                <w:lang w:val="en-US" w:eastAsia="zh-CN"/>
              </w:rPr>
              <w:t>79</w:t>
            </w:r>
            <w:r>
              <w:rPr>
                <w:rFonts w:hint="eastAsia" w:eastAsia="仿宋"/>
                <w:color w:val="auto"/>
                <w:sz w:val="24"/>
                <w:szCs w:val="22"/>
                <w:highlight w:val="none"/>
              </w:rPr>
              <w:t>包核心产品：防电服</w:t>
            </w:r>
          </w:p>
          <w:p>
            <w:pPr>
              <w:spacing w:line="460" w:lineRule="exact"/>
              <w:jc w:val="left"/>
              <w:rPr>
                <w:rFonts w:hint="eastAsia" w:eastAsia="仿宋"/>
                <w:color w:val="auto"/>
                <w:sz w:val="24"/>
                <w:szCs w:val="22"/>
                <w:highlight w:val="none"/>
              </w:rPr>
            </w:pPr>
            <w:r>
              <w:rPr>
                <w:rFonts w:hint="eastAsia" w:eastAsia="仿宋"/>
                <w:color w:val="auto"/>
                <w:sz w:val="24"/>
                <w:szCs w:val="22"/>
                <w:highlight w:val="none"/>
                <w:lang w:val="en-US" w:eastAsia="zh-CN"/>
              </w:rPr>
              <w:t>83</w:t>
            </w:r>
            <w:r>
              <w:rPr>
                <w:rFonts w:hint="eastAsia" w:eastAsia="仿宋"/>
                <w:color w:val="auto"/>
                <w:sz w:val="24"/>
                <w:szCs w:val="22"/>
                <w:highlight w:val="none"/>
              </w:rPr>
              <w:t>包核心产品：</w:t>
            </w:r>
            <w:r>
              <w:rPr>
                <w:rFonts w:hint="eastAsia" w:ascii="仿宋" w:hAnsi="仿宋" w:eastAsia="仿宋" w:cs="仿宋"/>
                <w:i w:val="0"/>
                <w:iCs w:val="0"/>
                <w:color w:val="auto"/>
                <w:kern w:val="0"/>
                <w:sz w:val="24"/>
                <w:szCs w:val="24"/>
                <w:highlight w:val="none"/>
                <w:u w:val="none"/>
                <w:lang w:val="en-US" w:eastAsia="zh-CN" w:bidi="ar"/>
              </w:rPr>
              <w:t>消防防坠落辅助部件</w:t>
            </w:r>
          </w:p>
          <w:p>
            <w:pPr>
              <w:spacing w:line="460" w:lineRule="exact"/>
              <w:jc w:val="left"/>
              <w:rPr>
                <w:rFonts w:hint="eastAsia" w:eastAsia="仿宋"/>
                <w:color w:val="auto"/>
                <w:sz w:val="24"/>
                <w:szCs w:val="22"/>
                <w:highlight w:val="none"/>
              </w:rPr>
            </w:pPr>
            <w:r>
              <w:rPr>
                <w:rFonts w:hint="eastAsia" w:eastAsia="仿宋"/>
                <w:color w:val="auto"/>
                <w:sz w:val="24"/>
                <w:szCs w:val="22"/>
                <w:highlight w:val="none"/>
                <w:lang w:val="en-US" w:eastAsia="zh-CN"/>
              </w:rPr>
              <w:t>86</w:t>
            </w:r>
            <w:r>
              <w:rPr>
                <w:rFonts w:hint="eastAsia" w:eastAsia="仿宋"/>
                <w:color w:val="auto"/>
                <w:sz w:val="24"/>
                <w:szCs w:val="22"/>
                <w:highlight w:val="none"/>
              </w:rPr>
              <w:t>包核心产品：干式潜水衣</w:t>
            </w:r>
          </w:p>
          <w:p>
            <w:pPr>
              <w:spacing w:line="460" w:lineRule="exact"/>
              <w:jc w:val="left"/>
              <w:rPr>
                <w:rFonts w:hint="eastAsia" w:eastAsia="仿宋"/>
                <w:color w:val="auto"/>
                <w:sz w:val="24"/>
                <w:szCs w:val="22"/>
                <w:highlight w:val="none"/>
              </w:rPr>
            </w:pPr>
            <w:r>
              <w:rPr>
                <w:rFonts w:hint="eastAsia" w:eastAsia="仿宋"/>
                <w:color w:val="auto"/>
                <w:sz w:val="24"/>
                <w:szCs w:val="22"/>
                <w:highlight w:val="none"/>
                <w:lang w:val="en-US" w:eastAsia="zh-CN"/>
              </w:rPr>
              <w:t>88</w:t>
            </w:r>
            <w:r>
              <w:rPr>
                <w:rFonts w:hint="eastAsia" w:eastAsia="仿宋"/>
                <w:color w:val="auto"/>
                <w:sz w:val="24"/>
                <w:szCs w:val="22"/>
                <w:highlight w:val="none"/>
              </w:rPr>
              <w:t>包核心产品：</w:t>
            </w:r>
            <w:r>
              <w:rPr>
                <w:rFonts w:hint="eastAsia" w:ascii="仿宋" w:hAnsi="仿宋" w:eastAsia="仿宋" w:cs="仿宋"/>
                <w:i w:val="0"/>
                <w:iCs w:val="0"/>
                <w:color w:val="auto"/>
                <w:kern w:val="0"/>
                <w:sz w:val="24"/>
                <w:szCs w:val="24"/>
                <w:highlight w:val="none"/>
                <w:u w:val="none"/>
                <w:lang w:val="en-US" w:eastAsia="zh-CN" w:bidi="ar"/>
              </w:rPr>
              <w:t>消防员避火防护服</w:t>
            </w:r>
          </w:p>
          <w:p>
            <w:pPr>
              <w:spacing w:line="460" w:lineRule="exact"/>
              <w:jc w:val="left"/>
              <w:rPr>
                <w:rFonts w:hint="eastAsia" w:eastAsia="仿宋"/>
                <w:color w:val="auto"/>
                <w:sz w:val="24"/>
                <w:szCs w:val="22"/>
                <w:highlight w:val="none"/>
                <w:lang w:eastAsia="zh-CN"/>
              </w:rPr>
            </w:pPr>
            <w:r>
              <w:rPr>
                <w:rFonts w:hint="eastAsia" w:eastAsia="仿宋"/>
                <w:color w:val="auto"/>
                <w:sz w:val="24"/>
                <w:szCs w:val="22"/>
                <w:highlight w:val="none"/>
                <w:lang w:val="en-US" w:eastAsia="zh-CN"/>
              </w:rPr>
              <w:t>97</w:t>
            </w:r>
            <w:r>
              <w:rPr>
                <w:rFonts w:hint="eastAsia" w:eastAsia="仿宋"/>
                <w:color w:val="auto"/>
                <w:sz w:val="24"/>
                <w:szCs w:val="22"/>
                <w:highlight w:val="none"/>
              </w:rPr>
              <w:t>包核心产品：单兵携行包</w:t>
            </w:r>
          </w:p>
          <w:p>
            <w:pPr>
              <w:spacing w:line="460" w:lineRule="exact"/>
              <w:jc w:val="left"/>
              <w:rPr>
                <w:rFonts w:hint="eastAsia" w:eastAsia="仿宋"/>
                <w:color w:val="auto"/>
                <w:sz w:val="24"/>
                <w:szCs w:val="22"/>
                <w:highlight w:val="none"/>
                <w:lang w:val="en-US" w:eastAsia="zh-CN"/>
              </w:rPr>
            </w:pPr>
            <w:r>
              <w:rPr>
                <w:rFonts w:hint="eastAsia" w:eastAsia="仿宋"/>
                <w:color w:val="auto"/>
                <w:sz w:val="24"/>
                <w:szCs w:val="22"/>
                <w:highlight w:val="none"/>
                <w:lang w:val="en-US" w:eastAsia="zh-CN"/>
              </w:rPr>
              <w:t>103</w:t>
            </w:r>
            <w:r>
              <w:rPr>
                <w:rFonts w:hint="eastAsia" w:eastAsia="仿宋"/>
                <w:color w:val="auto"/>
                <w:sz w:val="24"/>
                <w:szCs w:val="22"/>
                <w:highlight w:val="none"/>
              </w:rPr>
              <w:t>包核心产品：</w:t>
            </w:r>
            <w:r>
              <w:rPr>
                <w:rFonts w:hint="eastAsia" w:eastAsia="仿宋"/>
                <w:color w:val="auto"/>
                <w:sz w:val="24"/>
                <w:szCs w:val="22"/>
                <w:highlight w:val="none"/>
                <w:lang w:val="en-US" w:eastAsia="zh-CN"/>
              </w:rPr>
              <w:t>卫星电话</w:t>
            </w:r>
          </w:p>
          <w:p>
            <w:pPr>
              <w:spacing w:line="460" w:lineRule="exact"/>
              <w:jc w:val="left"/>
              <w:rPr>
                <w:rFonts w:hint="eastAsia" w:eastAsia="仿宋"/>
                <w:color w:val="auto"/>
                <w:sz w:val="24"/>
                <w:szCs w:val="22"/>
                <w:highlight w:val="none"/>
              </w:rPr>
            </w:pPr>
            <w:r>
              <w:rPr>
                <w:rFonts w:hint="eastAsia" w:eastAsia="仿宋"/>
                <w:color w:val="auto"/>
                <w:sz w:val="24"/>
                <w:szCs w:val="22"/>
                <w:highlight w:val="none"/>
                <w:lang w:val="en-US" w:eastAsia="zh-CN"/>
              </w:rPr>
              <w:t>107</w:t>
            </w:r>
            <w:r>
              <w:rPr>
                <w:rFonts w:hint="eastAsia" w:eastAsia="仿宋"/>
                <w:color w:val="auto"/>
                <w:sz w:val="24"/>
                <w:szCs w:val="22"/>
                <w:highlight w:val="none"/>
              </w:rPr>
              <w:t>包核心产品：</w:t>
            </w:r>
            <w:r>
              <w:rPr>
                <w:rFonts w:hint="eastAsia" w:ascii="仿宋" w:hAnsi="仿宋" w:eastAsia="仿宋" w:cs="仿宋"/>
                <w:i w:val="0"/>
                <w:iCs w:val="0"/>
                <w:color w:val="auto"/>
                <w:kern w:val="0"/>
                <w:sz w:val="24"/>
                <w:szCs w:val="24"/>
                <w:highlight w:val="none"/>
                <w:u w:val="none"/>
                <w:lang w:val="en-US" w:eastAsia="zh-CN" w:bidi="ar"/>
              </w:rPr>
              <w:t>手持电台</w:t>
            </w:r>
          </w:p>
          <w:p>
            <w:pPr>
              <w:spacing w:line="460" w:lineRule="exact"/>
              <w:jc w:val="left"/>
              <w:rPr>
                <w:rFonts w:hint="default" w:ascii="仿宋" w:hAnsi="仿宋" w:eastAsia="仿宋" w:cs="仿宋"/>
                <w:b/>
                <w:bCs/>
                <w:color w:val="auto"/>
                <w:sz w:val="24"/>
                <w:szCs w:val="24"/>
                <w:highlight w:val="none"/>
                <w:lang w:val="en-US" w:eastAsia="zh-CN"/>
              </w:rPr>
            </w:pPr>
            <w:r>
              <w:rPr>
                <w:rFonts w:hint="eastAsia" w:eastAsia="仿宋"/>
                <w:color w:val="auto"/>
                <w:sz w:val="24"/>
                <w:szCs w:val="22"/>
                <w:highlight w:val="none"/>
                <w:lang w:val="en-US" w:eastAsia="zh-CN"/>
              </w:rPr>
              <w:t>117</w:t>
            </w:r>
            <w:r>
              <w:rPr>
                <w:rFonts w:hint="eastAsia" w:eastAsia="仿宋"/>
                <w:color w:val="auto"/>
                <w:sz w:val="24"/>
                <w:szCs w:val="22"/>
                <w:highlight w:val="none"/>
              </w:rPr>
              <w:t>包核心产品：</w:t>
            </w:r>
            <w:r>
              <w:rPr>
                <w:rFonts w:hint="eastAsia" w:ascii="仿宋" w:hAnsi="仿宋" w:eastAsia="仿宋" w:cs="仿宋"/>
                <w:i w:val="0"/>
                <w:iCs w:val="0"/>
                <w:color w:val="auto"/>
                <w:kern w:val="0"/>
                <w:sz w:val="24"/>
                <w:szCs w:val="24"/>
                <w:highlight w:val="none"/>
                <w:u w:val="none"/>
                <w:lang w:val="en-US" w:eastAsia="zh-CN" w:bidi="ar"/>
              </w:rPr>
              <w:t>水下无线通信系统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426" w:type="pct"/>
            <w:vAlign w:val="center"/>
          </w:tcPr>
          <w:p>
            <w:pPr>
              <w:spacing w:line="460" w:lineRule="exact"/>
              <w:jc w:val="center"/>
              <w:rPr>
                <w:rFonts w:eastAsia="仿宋"/>
                <w:color w:val="auto"/>
                <w:sz w:val="24"/>
                <w:szCs w:val="22"/>
                <w:highlight w:val="none"/>
              </w:rPr>
            </w:pPr>
            <w:r>
              <w:rPr>
                <w:rFonts w:eastAsia="仿宋"/>
                <w:color w:val="auto"/>
                <w:sz w:val="24"/>
                <w:szCs w:val="22"/>
                <w:highlight w:val="none"/>
              </w:rPr>
              <w:t>10</w:t>
            </w:r>
          </w:p>
        </w:tc>
        <w:tc>
          <w:tcPr>
            <w:tcW w:w="4573" w:type="pct"/>
            <w:vAlign w:val="center"/>
          </w:tcPr>
          <w:p>
            <w:pPr>
              <w:spacing w:line="460" w:lineRule="exact"/>
              <w:rPr>
                <w:rFonts w:eastAsia="仿宋"/>
                <w:b/>
                <w:bCs/>
                <w:color w:val="auto"/>
                <w:kern w:val="0"/>
                <w:sz w:val="24"/>
                <w:szCs w:val="22"/>
                <w:highlight w:val="none"/>
              </w:rPr>
            </w:pPr>
            <w:r>
              <w:rPr>
                <w:rFonts w:eastAsia="仿宋"/>
                <w:b/>
                <w:bCs/>
                <w:color w:val="auto"/>
                <w:kern w:val="0"/>
                <w:sz w:val="24"/>
                <w:szCs w:val="22"/>
                <w:highlight w:val="none"/>
              </w:rPr>
              <w:t>有下列情形之一的视为投标人串通投标，作无效标处理：</w:t>
            </w:r>
          </w:p>
          <w:p>
            <w:pPr>
              <w:numPr>
                <w:ilvl w:val="0"/>
                <w:numId w:val="2"/>
              </w:numPr>
              <w:spacing w:line="460" w:lineRule="exact"/>
              <w:ind w:left="360" w:leftChars="0" w:hanging="360" w:firstLineChars="0"/>
              <w:rPr>
                <w:rFonts w:eastAsia="仿宋"/>
                <w:color w:val="auto"/>
                <w:sz w:val="24"/>
                <w:szCs w:val="22"/>
                <w:highlight w:val="none"/>
              </w:rPr>
            </w:pPr>
            <w:r>
              <w:rPr>
                <w:rFonts w:eastAsia="仿宋"/>
                <w:bCs/>
                <w:color w:val="auto"/>
                <w:kern w:val="0"/>
                <w:sz w:val="24"/>
                <w:szCs w:val="22"/>
                <w:highlight w:val="none"/>
              </w:rPr>
              <w:t>不同投标人的投标文件由同一单位或者个人编制</w:t>
            </w:r>
            <w:r>
              <w:rPr>
                <w:rFonts w:eastAsia="仿宋"/>
                <w:color w:val="auto"/>
                <w:sz w:val="24"/>
                <w:szCs w:val="22"/>
                <w:highlight w:val="none"/>
              </w:rPr>
              <w:t>；</w:t>
            </w:r>
          </w:p>
          <w:p>
            <w:pPr>
              <w:numPr>
                <w:ilvl w:val="0"/>
                <w:numId w:val="2"/>
              </w:numPr>
              <w:spacing w:line="460" w:lineRule="exact"/>
              <w:ind w:left="360" w:leftChars="0" w:hanging="360" w:firstLineChars="0"/>
              <w:rPr>
                <w:rFonts w:eastAsia="仿宋"/>
                <w:color w:val="auto"/>
                <w:sz w:val="24"/>
                <w:szCs w:val="22"/>
                <w:highlight w:val="none"/>
              </w:rPr>
            </w:pPr>
            <w:r>
              <w:rPr>
                <w:rFonts w:eastAsia="仿宋"/>
                <w:color w:val="auto"/>
                <w:sz w:val="24"/>
                <w:szCs w:val="22"/>
                <w:highlight w:val="none"/>
              </w:rPr>
              <w:t>不同投标人委托同一单位或者个人办理投标事宜；</w:t>
            </w:r>
          </w:p>
          <w:p>
            <w:pPr>
              <w:numPr>
                <w:ilvl w:val="0"/>
                <w:numId w:val="2"/>
              </w:numPr>
              <w:spacing w:line="460" w:lineRule="exact"/>
              <w:ind w:left="360" w:leftChars="0" w:hanging="360" w:firstLineChars="0"/>
              <w:rPr>
                <w:rFonts w:eastAsia="仿宋"/>
                <w:color w:val="auto"/>
                <w:sz w:val="24"/>
                <w:szCs w:val="22"/>
                <w:highlight w:val="none"/>
              </w:rPr>
            </w:pPr>
            <w:r>
              <w:rPr>
                <w:rFonts w:eastAsia="仿宋"/>
                <w:color w:val="auto"/>
                <w:sz w:val="24"/>
                <w:szCs w:val="22"/>
                <w:highlight w:val="none"/>
              </w:rPr>
              <w:t>不同投标人的投标文件载明的项目管理成员或者联系人员为同一人；</w:t>
            </w:r>
          </w:p>
          <w:p>
            <w:pPr>
              <w:numPr>
                <w:ilvl w:val="0"/>
                <w:numId w:val="2"/>
              </w:numPr>
              <w:spacing w:line="460" w:lineRule="exact"/>
              <w:ind w:left="360" w:leftChars="0" w:hanging="360" w:firstLineChars="0"/>
              <w:rPr>
                <w:rFonts w:eastAsia="仿宋"/>
                <w:color w:val="auto"/>
                <w:sz w:val="24"/>
                <w:szCs w:val="22"/>
                <w:highlight w:val="none"/>
              </w:rPr>
            </w:pPr>
            <w:r>
              <w:rPr>
                <w:rFonts w:eastAsia="仿宋"/>
                <w:color w:val="auto"/>
                <w:sz w:val="24"/>
                <w:szCs w:val="22"/>
                <w:highlight w:val="none"/>
              </w:rPr>
              <w:t>不同投标人的投标文件异常一致或者投标报价呈规律性差异；</w:t>
            </w:r>
          </w:p>
          <w:p>
            <w:pPr>
              <w:numPr>
                <w:ilvl w:val="0"/>
                <w:numId w:val="2"/>
              </w:numPr>
              <w:spacing w:line="460" w:lineRule="exact"/>
              <w:ind w:left="360" w:leftChars="0" w:hanging="360" w:firstLineChars="0"/>
              <w:rPr>
                <w:rFonts w:eastAsia="仿宋"/>
                <w:color w:val="auto"/>
                <w:sz w:val="24"/>
                <w:szCs w:val="22"/>
                <w:highlight w:val="none"/>
              </w:rPr>
            </w:pPr>
            <w:r>
              <w:rPr>
                <w:rFonts w:eastAsia="仿宋"/>
                <w:color w:val="auto"/>
                <w:sz w:val="24"/>
                <w:szCs w:val="22"/>
                <w:highlight w:val="none"/>
              </w:rPr>
              <w:t>不同投标人的投标文件相互混装；</w:t>
            </w:r>
          </w:p>
          <w:p>
            <w:pPr>
              <w:numPr>
                <w:ilvl w:val="0"/>
                <w:numId w:val="2"/>
              </w:numPr>
              <w:spacing w:line="460" w:lineRule="exact"/>
              <w:ind w:left="360" w:leftChars="0" w:hanging="360" w:firstLineChars="0"/>
              <w:rPr>
                <w:rFonts w:eastAsia="仿宋"/>
                <w:bCs/>
                <w:color w:val="auto"/>
                <w:kern w:val="0"/>
                <w:sz w:val="24"/>
                <w:szCs w:val="22"/>
                <w:highlight w:val="none"/>
              </w:rPr>
            </w:pPr>
            <w:r>
              <w:rPr>
                <w:rFonts w:eastAsia="仿宋"/>
                <w:color w:val="auto"/>
                <w:sz w:val="24"/>
                <w:szCs w:val="22"/>
                <w:highlight w:val="none"/>
              </w:rPr>
              <w:t>不同投标人的投标保证金从同一单位或者个人账户转出。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426" w:type="pct"/>
            <w:vAlign w:val="center"/>
          </w:tcPr>
          <w:p>
            <w:pPr>
              <w:spacing w:line="460" w:lineRule="exact"/>
              <w:jc w:val="center"/>
              <w:rPr>
                <w:rFonts w:eastAsia="仿宋"/>
                <w:color w:val="auto"/>
                <w:sz w:val="24"/>
                <w:szCs w:val="22"/>
                <w:highlight w:val="none"/>
              </w:rPr>
            </w:pPr>
            <w:r>
              <w:rPr>
                <w:rFonts w:eastAsia="仿宋"/>
                <w:color w:val="auto"/>
                <w:sz w:val="24"/>
                <w:szCs w:val="22"/>
                <w:highlight w:val="none"/>
              </w:rPr>
              <w:t>11</w:t>
            </w:r>
          </w:p>
        </w:tc>
        <w:tc>
          <w:tcPr>
            <w:tcW w:w="4573" w:type="pct"/>
            <w:vAlign w:val="center"/>
          </w:tcPr>
          <w:p>
            <w:pPr>
              <w:widowControl/>
              <w:spacing w:line="460" w:lineRule="exact"/>
              <w:rPr>
                <w:rFonts w:eastAsia="仿宋"/>
                <w:b/>
                <w:color w:val="auto"/>
                <w:kern w:val="0"/>
                <w:sz w:val="24"/>
                <w:szCs w:val="22"/>
                <w:highlight w:val="none"/>
              </w:rPr>
            </w:pPr>
            <w:r>
              <w:rPr>
                <w:rFonts w:eastAsia="仿宋"/>
                <w:b/>
                <w:color w:val="auto"/>
                <w:sz w:val="24"/>
                <w:szCs w:val="22"/>
                <w:highlight w:val="none"/>
              </w:rPr>
              <w:t>本项目采购落实以下政府采购政策</w:t>
            </w:r>
            <w:r>
              <w:rPr>
                <w:rFonts w:eastAsia="仿宋"/>
                <w:b/>
                <w:color w:val="auto"/>
                <w:kern w:val="0"/>
                <w:sz w:val="24"/>
                <w:szCs w:val="22"/>
                <w:highlight w:val="none"/>
              </w:rPr>
              <w:t>：</w:t>
            </w:r>
          </w:p>
          <w:p>
            <w:pPr>
              <w:widowControl/>
              <w:spacing w:line="460" w:lineRule="exact"/>
              <w:rPr>
                <w:rFonts w:eastAsia="仿宋"/>
                <w:b/>
                <w:color w:val="auto"/>
                <w:kern w:val="0"/>
                <w:sz w:val="24"/>
                <w:szCs w:val="22"/>
                <w:highlight w:val="none"/>
              </w:rPr>
            </w:pPr>
            <w:r>
              <w:rPr>
                <w:rFonts w:eastAsia="仿宋"/>
                <w:b/>
                <w:color w:val="auto"/>
                <w:kern w:val="0"/>
                <w:sz w:val="24"/>
                <w:szCs w:val="22"/>
                <w:highlight w:val="none"/>
              </w:rPr>
              <w:t>说明：本项目非专门面向中小企业采购的项目，采购标的对应的中小企业划分标准所属行业</w:t>
            </w:r>
            <w:r>
              <w:rPr>
                <w:rFonts w:eastAsia="仿宋"/>
                <w:b/>
                <w:color w:val="auto"/>
                <w:kern w:val="0"/>
                <w:sz w:val="24"/>
                <w:szCs w:val="22"/>
                <w:highlight w:val="none"/>
                <w:u w:val="single"/>
              </w:rPr>
              <w:t>：工业（制造业）</w:t>
            </w:r>
            <w:r>
              <w:rPr>
                <w:rFonts w:eastAsia="仿宋"/>
                <w:b/>
                <w:color w:val="auto"/>
                <w:kern w:val="0"/>
                <w:sz w:val="24"/>
                <w:szCs w:val="22"/>
                <w:highlight w:val="none"/>
              </w:rPr>
              <w:t>。</w:t>
            </w:r>
          </w:p>
          <w:p>
            <w:pPr>
              <w:widowControl/>
              <w:spacing w:line="460" w:lineRule="exact"/>
              <w:jc w:val="left"/>
              <w:textAlignment w:val="center"/>
              <w:rPr>
                <w:rFonts w:eastAsia="仿宋"/>
                <w:color w:val="auto"/>
                <w:kern w:val="0"/>
                <w:sz w:val="24"/>
                <w:szCs w:val="22"/>
                <w:highlight w:val="none"/>
              </w:rPr>
            </w:pPr>
            <w:r>
              <w:rPr>
                <w:rFonts w:hint="eastAsia" w:ascii="宋体" w:hAnsi="宋体" w:eastAsia="仿宋" w:cs="宋体"/>
                <w:color w:val="auto"/>
                <w:kern w:val="0"/>
                <w:sz w:val="24"/>
                <w:szCs w:val="22"/>
                <w:highlight w:val="none"/>
                <w:lang w:eastAsia="zh-CN"/>
              </w:rPr>
              <w:t>（</w:t>
            </w:r>
            <w:r>
              <w:rPr>
                <w:rFonts w:hint="eastAsia" w:ascii="宋体" w:hAnsi="宋体" w:eastAsia="仿宋" w:cs="宋体"/>
                <w:color w:val="auto"/>
                <w:kern w:val="0"/>
                <w:sz w:val="24"/>
                <w:szCs w:val="22"/>
                <w:highlight w:val="none"/>
                <w:lang w:val="en-US" w:eastAsia="zh-CN"/>
              </w:rPr>
              <w:t>1</w:t>
            </w:r>
            <w:r>
              <w:rPr>
                <w:rFonts w:hint="eastAsia" w:ascii="宋体" w:hAnsi="宋体" w:eastAsia="仿宋" w:cs="宋体"/>
                <w:color w:val="auto"/>
                <w:kern w:val="0"/>
                <w:sz w:val="24"/>
                <w:szCs w:val="22"/>
                <w:highlight w:val="none"/>
                <w:lang w:eastAsia="zh-CN"/>
              </w:rPr>
              <w:t>）</w:t>
            </w:r>
            <w:r>
              <w:rPr>
                <w:rFonts w:eastAsia="仿宋"/>
                <w:color w:val="auto"/>
                <w:kern w:val="0"/>
                <w:sz w:val="24"/>
                <w:szCs w:val="22"/>
                <w:highlight w:val="none"/>
              </w:rPr>
              <w:t>中小企业扶持政策：根据《政府采购促进中小企业发展管理办法》规定，投标的货物由小型或微型企业生产且使用该小型或微型企业商号或者注册商标，将对投标报价给予10%的扣除。投标人</w:t>
            </w:r>
            <w:r>
              <w:rPr>
                <w:rFonts w:eastAsia="仿宋"/>
                <w:bCs/>
                <w:color w:val="auto"/>
                <w:kern w:val="0"/>
                <w:sz w:val="24"/>
                <w:szCs w:val="22"/>
                <w:highlight w:val="none"/>
              </w:rPr>
              <w:t>应当</w:t>
            </w:r>
            <w:r>
              <w:rPr>
                <w:rFonts w:eastAsia="仿宋"/>
                <w:color w:val="auto"/>
                <w:sz w:val="24"/>
                <w:szCs w:val="22"/>
                <w:highlight w:val="none"/>
              </w:rPr>
              <w:t>提供招标文件</w:t>
            </w:r>
            <w:r>
              <w:rPr>
                <w:rFonts w:eastAsia="仿宋"/>
                <w:color w:val="auto"/>
                <w:kern w:val="0"/>
                <w:sz w:val="24"/>
                <w:szCs w:val="22"/>
                <w:highlight w:val="none"/>
              </w:rPr>
              <w:t>要求的《中小企业声明函》给予证明，否则评审时不予认可。投标人应对提交的中小企业声明函的真实性负责，提交的中小企业声明函不真实的，应承担相应的法律责任。</w:t>
            </w:r>
          </w:p>
          <w:p>
            <w:pPr>
              <w:widowControl/>
              <w:spacing w:line="460" w:lineRule="exact"/>
              <w:jc w:val="left"/>
              <w:textAlignment w:val="center"/>
              <w:rPr>
                <w:rFonts w:eastAsia="仿宋"/>
                <w:color w:val="auto"/>
                <w:kern w:val="0"/>
                <w:sz w:val="24"/>
                <w:szCs w:val="22"/>
                <w:highlight w:val="none"/>
              </w:rPr>
            </w:pPr>
            <w:r>
              <w:rPr>
                <w:rFonts w:hint="eastAsia" w:ascii="宋体" w:hAnsi="宋体" w:eastAsia="仿宋" w:cs="宋体"/>
                <w:color w:val="auto"/>
                <w:kern w:val="0"/>
                <w:sz w:val="24"/>
                <w:szCs w:val="22"/>
                <w:highlight w:val="none"/>
                <w:lang w:eastAsia="zh-CN"/>
              </w:rPr>
              <w:t>（</w:t>
            </w:r>
            <w:r>
              <w:rPr>
                <w:rFonts w:hint="eastAsia" w:ascii="宋体" w:hAnsi="宋体" w:eastAsia="仿宋" w:cs="宋体"/>
                <w:color w:val="auto"/>
                <w:kern w:val="0"/>
                <w:sz w:val="24"/>
                <w:szCs w:val="22"/>
                <w:highlight w:val="none"/>
                <w:lang w:val="en-US" w:eastAsia="zh-CN"/>
              </w:rPr>
              <w:t>2</w:t>
            </w:r>
            <w:r>
              <w:rPr>
                <w:rFonts w:hint="eastAsia" w:ascii="宋体" w:hAnsi="宋体" w:eastAsia="仿宋" w:cs="宋体"/>
                <w:color w:val="auto"/>
                <w:kern w:val="0"/>
                <w:sz w:val="24"/>
                <w:szCs w:val="22"/>
                <w:highlight w:val="none"/>
                <w:lang w:eastAsia="zh-CN"/>
              </w:rPr>
              <w:t>）</w:t>
            </w:r>
            <w:r>
              <w:rPr>
                <w:rFonts w:eastAsia="仿宋"/>
                <w:color w:val="auto"/>
                <w:kern w:val="0"/>
                <w:sz w:val="24"/>
                <w:szCs w:val="22"/>
                <w:highlight w:val="none"/>
              </w:rPr>
              <w:t>监狱企业扶持政策：根据《财政部 司法部关于政府采购支持监狱企业发展有关问题的通知》（财库[2014]68号）的规定，监狱企业视同小型、微型企业，投标的货物由小型或微型企业生产且使用该小型或微型企业商号或者注册商标，将对投标报价给予10%的扣除。监狱企业参加本次政府采购活动时，</w:t>
            </w:r>
            <w:r>
              <w:rPr>
                <w:rFonts w:eastAsia="仿宋"/>
                <w:bCs/>
                <w:color w:val="auto"/>
                <w:kern w:val="0"/>
                <w:sz w:val="24"/>
                <w:szCs w:val="22"/>
                <w:highlight w:val="none"/>
              </w:rPr>
              <w:t>应当</w:t>
            </w:r>
            <w:r>
              <w:rPr>
                <w:rFonts w:eastAsia="仿宋"/>
                <w:color w:val="auto"/>
                <w:kern w:val="0"/>
                <w:sz w:val="24"/>
                <w:szCs w:val="22"/>
                <w:highlight w:val="none"/>
              </w:rPr>
              <w:t>提供由省级以上监狱管理局、戒毒管理局（含新疆生产建设兵团）出具的属于监狱企业的证明文件，提交的监狱企业的证明文件不真实的，应承担相应的法律责任。</w:t>
            </w:r>
          </w:p>
          <w:p>
            <w:pPr>
              <w:widowControl/>
              <w:spacing w:line="460" w:lineRule="exact"/>
              <w:rPr>
                <w:rFonts w:eastAsia="仿宋"/>
                <w:color w:val="auto"/>
                <w:sz w:val="24"/>
                <w:szCs w:val="22"/>
                <w:highlight w:val="none"/>
              </w:rPr>
            </w:pPr>
            <w:r>
              <w:rPr>
                <w:rFonts w:hint="eastAsia" w:ascii="宋体" w:hAnsi="宋体" w:eastAsia="仿宋" w:cs="宋体"/>
                <w:bCs/>
                <w:color w:val="auto"/>
                <w:kern w:val="0"/>
                <w:sz w:val="24"/>
                <w:szCs w:val="22"/>
                <w:highlight w:val="none"/>
                <w:lang w:eastAsia="zh-CN"/>
              </w:rPr>
              <w:t>（</w:t>
            </w:r>
            <w:r>
              <w:rPr>
                <w:rFonts w:hint="eastAsia" w:ascii="宋体" w:hAnsi="宋体" w:eastAsia="仿宋" w:cs="宋体"/>
                <w:bCs/>
                <w:color w:val="auto"/>
                <w:kern w:val="0"/>
                <w:sz w:val="24"/>
                <w:szCs w:val="22"/>
                <w:highlight w:val="none"/>
                <w:lang w:val="en-US" w:eastAsia="zh-CN"/>
              </w:rPr>
              <w:t>3</w:t>
            </w:r>
            <w:r>
              <w:rPr>
                <w:rFonts w:hint="eastAsia" w:ascii="宋体" w:hAnsi="宋体" w:eastAsia="仿宋" w:cs="宋体"/>
                <w:bCs/>
                <w:color w:val="auto"/>
                <w:kern w:val="0"/>
                <w:sz w:val="24"/>
                <w:szCs w:val="22"/>
                <w:highlight w:val="none"/>
                <w:lang w:eastAsia="zh-CN"/>
              </w:rPr>
              <w:t>）</w:t>
            </w:r>
            <w:r>
              <w:rPr>
                <w:rFonts w:eastAsia="仿宋"/>
                <w:color w:val="auto"/>
                <w:sz w:val="24"/>
                <w:szCs w:val="22"/>
                <w:highlight w:val="none"/>
              </w:rPr>
              <w:t>促进残疾人就业政府采购政策：根据《三部门联合发布关于促进残疾人就业政府采购政策的通知》（财库[2017]141号）的规定，残疾人福利性单位视同小型、微型企业，</w:t>
            </w:r>
            <w:r>
              <w:rPr>
                <w:rFonts w:eastAsia="仿宋"/>
                <w:color w:val="auto"/>
                <w:kern w:val="0"/>
                <w:sz w:val="24"/>
                <w:szCs w:val="22"/>
                <w:highlight w:val="none"/>
              </w:rPr>
              <w:t>投标的货物由小型或微型企业生产且使用该小型或微型企业商号或者注册商标，</w:t>
            </w:r>
            <w:r>
              <w:rPr>
                <w:rFonts w:eastAsia="仿宋"/>
                <w:color w:val="auto"/>
                <w:sz w:val="24"/>
                <w:szCs w:val="22"/>
                <w:highlight w:val="none"/>
              </w:rPr>
              <w:t>将对</w:t>
            </w:r>
            <w:r>
              <w:rPr>
                <w:rFonts w:eastAsia="仿宋"/>
                <w:color w:val="auto"/>
                <w:kern w:val="0"/>
                <w:sz w:val="24"/>
                <w:szCs w:val="22"/>
                <w:highlight w:val="none"/>
              </w:rPr>
              <w:t>投标报价</w:t>
            </w:r>
            <w:r>
              <w:rPr>
                <w:rFonts w:eastAsia="仿宋"/>
                <w:color w:val="auto"/>
                <w:sz w:val="24"/>
                <w:szCs w:val="22"/>
                <w:highlight w:val="none"/>
              </w:rPr>
              <w:t>给予10%的扣除。残疾人福利性单位</w:t>
            </w:r>
            <w:r>
              <w:rPr>
                <w:rFonts w:eastAsia="仿宋"/>
                <w:color w:val="auto"/>
                <w:kern w:val="0"/>
                <w:sz w:val="24"/>
                <w:szCs w:val="22"/>
                <w:highlight w:val="none"/>
              </w:rPr>
              <w:t>参加本次政府采购活动时，</w:t>
            </w:r>
            <w:r>
              <w:rPr>
                <w:rFonts w:eastAsia="仿宋"/>
                <w:bCs/>
                <w:color w:val="auto"/>
                <w:kern w:val="0"/>
                <w:sz w:val="24"/>
                <w:szCs w:val="22"/>
                <w:highlight w:val="none"/>
              </w:rPr>
              <w:t>应当</w:t>
            </w:r>
            <w:r>
              <w:rPr>
                <w:rFonts w:eastAsia="仿宋"/>
                <w:color w:val="auto"/>
                <w:kern w:val="0"/>
                <w:sz w:val="24"/>
                <w:szCs w:val="22"/>
                <w:highlight w:val="none"/>
              </w:rPr>
              <w:t>提供</w:t>
            </w:r>
            <w:r>
              <w:rPr>
                <w:rFonts w:eastAsia="仿宋"/>
                <w:color w:val="auto"/>
                <w:sz w:val="24"/>
                <w:szCs w:val="22"/>
                <w:highlight w:val="none"/>
              </w:rPr>
              <w:t>招标文件要求的《残疾人福利性单位声明函》给予证明，并对声明的真实性负责。提交的残疾人福利性单位声明函不真实的，应承担相应的法律责任。</w:t>
            </w:r>
          </w:p>
          <w:p>
            <w:pPr>
              <w:widowControl/>
              <w:spacing w:line="460" w:lineRule="exact"/>
              <w:rPr>
                <w:rFonts w:eastAsia="仿宋"/>
                <w:color w:val="auto"/>
                <w:kern w:val="0"/>
                <w:sz w:val="24"/>
                <w:szCs w:val="22"/>
                <w:highlight w:val="none"/>
              </w:rPr>
            </w:pPr>
            <w:r>
              <w:rPr>
                <w:rFonts w:eastAsia="仿宋"/>
                <w:b/>
                <w:color w:val="auto"/>
                <w:sz w:val="24"/>
                <w:szCs w:val="22"/>
                <w:highlight w:val="none"/>
              </w:rPr>
              <w:t>注：同属以上优惠类型企业的，不重复享受政策优惠。</w:t>
            </w:r>
          </w:p>
          <w:p>
            <w:pPr>
              <w:widowControl/>
              <w:spacing w:line="460" w:lineRule="exact"/>
              <w:rPr>
                <w:rFonts w:eastAsia="仿宋"/>
                <w:color w:val="auto"/>
                <w:kern w:val="0"/>
                <w:sz w:val="24"/>
                <w:szCs w:val="22"/>
                <w:highlight w:val="none"/>
              </w:rPr>
            </w:pPr>
            <w:r>
              <w:rPr>
                <w:rFonts w:hint="eastAsia" w:ascii="宋体" w:hAnsi="宋体" w:eastAsia="仿宋" w:cs="宋体"/>
                <w:color w:val="auto"/>
                <w:kern w:val="0"/>
                <w:sz w:val="24"/>
                <w:szCs w:val="22"/>
                <w:highlight w:val="none"/>
                <w:lang w:eastAsia="zh-CN"/>
              </w:rPr>
              <w:t>（</w:t>
            </w:r>
            <w:r>
              <w:rPr>
                <w:rFonts w:hint="eastAsia" w:ascii="宋体" w:hAnsi="宋体" w:eastAsia="仿宋" w:cs="宋体"/>
                <w:color w:val="auto"/>
                <w:kern w:val="0"/>
                <w:sz w:val="24"/>
                <w:szCs w:val="22"/>
                <w:highlight w:val="none"/>
                <w:lang w:val="en-US" w:eastAsia="zh-CN"/>
              </w:rPr>
              <w:t>4</w:t>
            </w:r>
            <w:r>
              <w:rPr>
                <w:rFonts w:hint="eastAsia" w:ascii="宋体" w:hAnsi="宋体" w:eastAsia="仿宋" w:cs="宋体"/>
                <w:color w:val="auto"/>
                <w:kern w:val="0"/>
                <w:sz w:val="24"/>
                <w:szCs w:val="22"/>
                <w:highlight w:val="none"/>
                <w:lang w:eastAsia="zh-CN"/>
              </w:rPr>
              <w:t>）</w:t>
            </w:r>
            <w:r>
              <w:rPr>
                <w:rFonts w:eastAsia="仿宋"/>
                <w:color w:val="auto"/>
                <w:kern w:val="0"/>
                <w:sz w:val="24"/>
                <w:szCs w:val="22"/>
                <w:highlight w:val="none"/>
              </w:rPr>
              <w:t>政府采购节约能源政策：根据</w:t>
            </w:r>
            <w:r>
              <w:rPr>
                <w:rFonts w:eastAsia="仿宋"/>
                <w:bCs/>
                <w:color w:val="auto"/>
                <w:kern w:val="0"/>
                <w:sz w:val="24"/>
                <w:szCs w:val="22"/>
                <w:highlight w:val="none"/>
              </w:rPr>
              <w:t>《国务院办公厅关于建立政府强制采购节能产品制度的通知》（国办发[2007]51号）</w:t>
            </w:r>
            <w:r>
              <w:rPr>
                <w:rFonts w:eastAsia="仿宋"/>
                <w:color w:val="auto"/>
                <w:kern w:val="0"/>
                <w:sz w:val="24"/>
                <w:szCs w:val="22"/>
                <w:highlight w:val="none"/>
              </w:rPr>
              <w:t>及</w:t>
            </w:r>
            <w:r>
              <w:rPr>
                <w:rFonts w:eastAsia="仿宋"/>
                <w:bCs/>
                <w:color w:val="auto"/>
                <w:kern w:val="0"/>
                <w:sz w:val="24"/>
                <w:szCs w:val="22"/>
                <w:highlight w:val="none"/>
              </w:rPr>
              <w:t>《财政部 发展改革委 生态环境部 市场监管总局 关于调整优化节能产品、环境标志产品政府采购执行机制的通知》</w:t>
            </w:r>
            <w:r>
              <w:rPr>
                <w:rFonts w:eastAsia="仿宋"/>
                <w:color w:val="auto"/>
                <w:kern w:val="0"/>
                <w:sz w:val="24"/>
                <w:szCs w:val="22"/>
                <w:highlight w:val="none"/>
              </w:rPr>
              <w:t>（财库〔2019〕9号）的规定。本次采购中如涉及节能产品，将优先采购或强制采购具有节能产品认证证书且符合《关于印发节能产品政府采购品目清单的通知》（财库〔2019〕19号）中附件《节能产品政府采购品目清单》要求的产品。该品目清单以中国政府采购网公布的最新品目清单为准。</w:t>
            </w:r>
          </w:p>
          <w:p>
            <w:pPr>
              <w:widowControl/>
              <w:spacing w:line="460" w:lineRule="exact"/>
              <w:rPr>
                <w:rFonts w:eastAsia="仿宋"/>
                <w:color w:val="auto"/>
                <w:kern w:val="0"/>
                <w:sz w:val="24"/>
                <w:szCs w:val="22"/>
                <w:highlight w:val="none"/>
              </w:rPr>
            </w:pPr>
            <w:r>
              <w:rPr>
                <w:rFonts w:hint="eastAsia" w:ascii="宋体" w:hAnsi="宋体" w:eastAsia="仿宋" w:cs="宋体"/>
                <w:color w:val="auto"/>
                <w:kern w:val="0"/>
                <w:sz w:val="24"/>
                <w:szCs w:val="22"/>
                <w:highlight w:val="none"/>
                <w:lang w:eastAsia="zh-CN"/>
              </w:rPr>
              <w:t>（</w:t>
            </w:r>
            <w:r>
              <w:rPr>
                <w:rFonts w:hint="eastAsia" w:ascii="宋体" w:hAnsi="宋体" w:eastAsia="仿宋" w:cs="宋体"/>
                <w:color w:val="auto"/>
                <w:kern w:val="0"/>
                <w:sz w:val="24"/>
                <w:szCs w:val="22"/>
                <w:highlight w:val="none"/>
                <w:lang w:val="en-US" w:eastAsia="zh-CN"/>
              </w:rPr>
              <w:t>5</w:t>
            </w:r>
            <w:r>
              <w:rPr>
                <w:rFonts w:hint="eastAsia" w:ascii="宋体" w:hAnsi="宋体" w:eastAsia="仿宋" w:cs="宋体"/>
                <w:color w:val="auto"/>
                <w:kern w:val="0"/>
                <w:sz w:val="24"/>
                <w:szCs w:val="22"/>
                <w:highlight w:val="none"/>
                <w:lang w:eastAsia="zh-CN"/>
              </w:rPr>
              <w:t>）</w:t>
            </w:r>
            <w:r>
              <w:rPr>
                <w:rFonts w:eastAsia="仿宋"/>
                <w:color w:val="auto"/>
                <w:kern w:val="0"/>
                <w:sz w:val="24"/>
                <w:szCs w:val="22"/>
                <w:highlight w:val="none"/>
              </w:rPr>
              <w:t>政府采购环境保护政策：根据</w:t>
            </w:r>
            <w:r>
              <w:rPr>
                <w:rFonts w:eastAsia="仿宋"/>
                <w:bCs/>
                <w:color w:val="auto"/>
                <w:kern w:val="0"/>
                <w:sz w:val="24"/>
                <w:szCs w:val="22"/>
                <w:highlight w:val="none"/>
              </w:rPr>
              <w:t>《财政部 发展改革委 生态环境部 市场监管总局 关于调整优化节能产品、环境标志产品政府采购执行机制的通知》</w:t>
            </w:r>
            <w:r>
              <w:rPr>
                <w:rFonts w:eastAsia="仿宋"/>
                <w:color w:val="auto"/>
                <w:kern w:val="0"/>
                <w:sz w:val="24"/>
                <w:szCs w:val="22"/>
                <w:highlight w:val="none"/>
              </w:rPr>
              <w:t>（财库〔2019〕9号）的规定。本次采购中如涉及环境标志产品，将优先采购具有环境标志产品认证证书且符合《关于印发环境标志产品政府采购品目清单的通知》（财库〔2019〕18号）中附件《环境产品政府采购品目清单》要求的产品。该品目清单以中国政府采购网公布的最新品目清单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426" w:type="pct"/>
            <w:vAlign w:val="center"/>
          </w:tcPr>
          <w:p>
            <w:pPr>
              <w:spacing w:line="460" w:lineRule="exact"/>
              <w:jc w:val="center"/>
              <w:rPr>
                <w:rFonts w:eastAsia="仿宋"/>
                <w:color w:val="auto"/>
                <w:sz w:val="24"/>
                <w:szCs w:val="22"/>
                <w:highlight w:val="none"/>
              </w:rPr>
            </w:pPr>
            <w:r>
              <w:rPr>
                <w:rFonts w:eastAsia="仿宋"/>
                <w:color w:val="auto"/>
                <w:sz w:val="24"/>
                <w:szCs w:val="22"/>
                <w:highlight w:val="none"/>
              </w:rPr>
              <w:t>12</w:t>
            </w:r>
          </w:p>
        </w:tc>
        <w:tc>
          <w:tcPr>
            <w:tcW w:w="4573" w:type="pct"/>
            <w:vAlign w:val="center"/>
          </w:tcPr>
          <w:p>
            <w:pPr>
              <w:tabs>
                <w:tab w:val="left" w:pos="0"/>
                <w:tab w:val="left" w:pos="284"/>
                <w:tab w:val="left" w:pos="851"/>
                <w:tab w:val="left" w:pos="993"/>
                <w:tab w:val="left" w:pos="1108"/>
              </w:tabs>
              <w:spacing w:line="460" w:lineRule="exact"/>
              <w:rPr>
                <w:rFonts w:eastAsia="仿宋"/>
                <w:bCs/>
                <w:color w:val="auto"/>
                <w:kern w:val="0"/>
                <w:sz w:val="24"/>
                <w:szCs w:val="22"/>
                <w:highlight w:val="none"/>
              </w:rPr>
            </w:pPr>
            <w:r>
              <w:rPr>
                <w:rFonts w:eastAsia="仿宋"/>
                <w:bCs/>
                <w:color w:val="auto"/>
                <w:kern w:val="0"/>
                <w:sz w:val="24"/>
                <w:szCs w:val="22"/>
                <w:highlight w:val="none"/>
              </w:rPr>
              <w:t>评标委员会认为投标人的报价明显低于其他通过符合性审查投标人的报价，有可能影响产品质量或者不能诚信履约的，有权要求其在评标现场合理的时间内提供书面说明，必要时提交相关证明材料；投标人不能证明其报价合理性的，评标委员会有权将其作为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1" w:hRule="atLeast"/>
          <w:jc w:val="center"/>
        </w:trPr>
        <w:tc>
          <w:tcPr>
            <w:tcW w:w="426" w:type="pct"/>
            <w:vAlign w:val="center"/>
          </w:tcPr>
          <w:p>
            <w:pPr>
              <w:spacing w:line="460" w:lineRule="exact"/>
              <w:jc w:val="center"/>
              <w:rPr>
                <w:rFonts w:eastAsia="仿宋"/>
                <w:color w:val="auto"/>
                <w:sz w:val="24"/>
                <w:szCs w:val="22"/>
                <w:highlight w:val="none"/>
              </w:rPr>
            </w:pPr>
            <w:r>
              <w:rPr>
                <w:rFonts w:eastAsia="仿宋"/>
                <w:color w:val="auto"/>
                <w:sz w:val="24"/>
                <w:szCs w:val="22"/>
                <w:highlight w:val="none"/>
              </w:rPr>
              <w:t>13</w:t>
            </w:r>
          </w:p>
        </w:tc>
        <w:tc>
          <w:tcPr>
            <w:tcW w:w="4573" w:type="pct"/>
            <w:vAlign w:val="center"/>
          </w:tcPr>
          <w:p>
            <w:pPr>
              <w:tabs>
                <w:tab w:val="left" w:pos="0"/>
                <w:tab w:val="left" w:pos="284"/>
                <w:tab w:val="left" w:pos="709"/>
                <w:tab w:val="left" w:pos="993"/>
                <w:tab w:val="left" w:pos="1108"/>
              </w:tabs>
              <w:spacing w:line="460" w:lineRule="exact"/>
              <w:rPr>
                <w:rFonts w:eastAsia="仿宋"/>
                <w:b/>
                <w:color w:val="auto"/>
                <w:sz w:val="24"/>
                <w:szCs w:val="22"/>
                <w:highlight w:val="none"/>
              </w:rPr>
            </w:pPr>
            <w:r>
              <w:rPr>
                <w:rFonts w:eastAsia="仿宋"/>
                <w:b/>
                <w:color w:val="auto"/>
                <w:sz w:val="24"/>
                <w:szCs w:val="22"/>
                <w:highlight w:val="none"/>
              </w:rPr>
              <w:t>采购代理服务费：根据下表中差额定率累进法下浮</w:t>
            </w:r>
            <w:r>
              <w:rPr>
                <w:rFonts w:hint="eastAsia" w:eastAsia="仿宋"/>
                <w:b/>
                <w:color w:val="auto"/>
                <w:sz w:val="24"/>
                <w:szCs w:val="22"/>
                <w:highlight w:val="none"/>
                <w:lang w:val="en-US" w:eastAsia="zh-CN"/>
              </w:rPr>
              <w:t>40</w:t>
            </w:r>
            <w:r>
              <w:rPr>
                <w:rFonts w:eastAsia="仿宋"/>
                <w:b/>
                <w:color w:val="auto"/>
                <w:sz w:val="24"/>
                <w:szCs w:val="22"/>
                <w:highlight w:val="none"/>
              </w:rPr>
              <w:t>%向中标人收取代理服务费：</w:t>
            </w:r>
          </w:p>
          <w:tbl>
            <w:tblPr>
              <w:tblStyle w:val="43"/>
              <w:tblW w:w="8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88"/>
              <w:gridCol w:w="42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88" w:type="dxa"/>
                </w:tcPr>
                <w:p>
                  <w:pPr>
                    <w:tabs>
                      <w:tab w:val="left" w:pos="0"/>
                      <w:tab w:val="left" w:pos="284"/>
                      <w:tab w:val="left" w:pos="851"/>
                      <w:tab w:val="left" w:pos="993"/>
                      <w:tab w:val="left" w:pos="1108"/>
                    </w:tabs>
                    <w:spacing w:line="460" w:lineRule="exact"/>
                    <w:jc w:val="center"/>
                    <w:rPr>
                      <w:rFonts w:eastAsia="仿宋"/>
                      <w:bCs/>
                      <w:color w:val="auto"/>
                      <w:kern w:val="0"/>
                      <w:sz w:val="24"/>
                      <w:szCs w:val="22"/>
                      <w:highlight w:val="none"/>
                    </w:rPr>
                  </w:pPr>
                  <w:r>
                    <w:rPr>
                      <w:rFonts w:eastAsia="仿宋"/>
                      <w:bCs/>
                      <w:color w:val="auto"/>
                      <w:kern w:val="0"/>
                      <w:sz w:val="24"/>
                      <w:szCs w:val="22"/>
                      <w:highlight w:val="none"/>
                    </w:rPr>
                    <w:t>中标金额（万元）</w:t>
                  </w:r>
                </w:p>
              </w:tc>
              <w:tc>
                <w:tcPr>
                  <w:tcW w:w="4289" w:type="dxa"/>
                </w:tcPr>
                <w:p>
                  <w:pPr>
                    <w:tabs>
                      <w:tab w:val="left" w:pos="0"/>
                      <w:tab w:val="left" w:pos="284"/>
                      <w:tab w:val="left" w:pos="851"/>
                      <w:tab w:val="left" w:pos="993"/>
                      <w:tab w:val="left" w:pos="1108"/>
                    </w:tabs>
                    <w:spacing w:line="460" w:lineRule="exact"/>
                    <w:jc w:val="center"/>
                    <w:rPr>
                      <w:rFonts w:eastAsia="仿宋"/>
                      <w:bCs/>
                      <w:color w:val="auto"/>
                      <w:kern w:val="0"/>
                      <w:sz w:val="24"/>
                      <w:szCs w:val="22"/>
                      <w:highlight w:val="none"/>
                    </w:rPr>
                  </w:pPr>
                  <w:r>
                    <w:rPr>
                      <w:rFonts w:eastAsia="仿宋"/>
                      <w:bCs/>
                      <w:color w:val="auto"/>
                      <w:kern w:val="0"/>
                      <w:sz w:val="24"/>
                      <w:szCs w:val="22"/>
                      <w:highlight w:val="none"/>
                    </w:rPr>
                    <w:t>收费费率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88" w:type="dxa"/>
                </w:tcPr>
                <w:p>
                  <w:pPr>
                    <w:tabs>
                      <w:tab w:val="left" w:pos="0"/>
                      <w:tab w:val="left" w:pos="284"/>
                      <w:tab w:val="left" w:pos="851"/>
                      <w:tab w:val="left" w:pos="993"/>
                      <w:tab w:val="left" w:pos="1108"/>
                    </w:tabs>
                    <w:spacing w:line="460" w:lineRule="exact"/>
                    <w:jc w:val="center"/>
                    <w:rPr>
                      <w:rFonts w:eastAsia="仿宋"/>
                      <w:bCs/>
                      <w:color w:val="auto"/>
                      <w:kern w:val="0"/>
                      <w:sz w:val="24"/>
                      <w:szCs w:val="22"/>
                      <w:highlight w:val="none"/>
                    </w:rPr>
                  </w:pPr>
                  <w:r>
                    <w:rPr>
                      <w:rFonts w:eastAsia="仿宋"/>
                      <w:bCs/>
                      <w:color w:val="auto"/>
                      <w:kern w:val="0"/>
                      <w:sz w:val="24"/>
                      <w:szCs w:val="22"/>
                      <w:highlight w:val="none"/>
                    </w:rPr>
                    <w:t>100（含）以下</w:t>
                  </w:r>
                </w:p>
              </w:tc>
              <w:tc>
                <w:tcPr>
                  <w:tcW w:w="4289" w:type="dxa"/>
                </w:tcPr>
                <w:p>
                  <w:pPr>
                    <w:tabs>
                      <w:tab w:val="left" w:pos="0"/>
                      <w:tab w:val="left" w:pos="284"/>
                      <w:tab w:val="left" w:pos="851"/>
                      <w:tab w:val="left" w:pos="993"/>
                      <w:tab w:val="left" w:pos="1108"/>
                    </w:tabs>
                    <w:spacing w:line="460" w:lineRule="exact"/>
                    <w:jc w:val="center"/>
                    <w:rPr>
                      <w:rFonts w:eastAsia="仿宋"/>
                      <w:bCs/>
                      <w:color w:val="auto"/>
                      <w:kern w:val="0"/>
                      <w:sz w:val="24"/>
                      <w:szCs w:val="22"/>
                      <w:highlight w:val="none"/>
                    </w:rPr>
                  </w:pPr>
                  <w:r>
                    <w:rPr>
                      <w:rFonts w:eastAsia="仿宋"/>
                      <w:bCs/>
                      <w:color w:val="auto"/>
                      <w:kern w:val="0"/>
                      <w:sz w:val="24"/>
                      <w:szCs w:val="22"/>
                      <w:highlight w:val="none"/>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88" w:type="dxa"/>
                </w:tcPr>
                <w:p>
                  <w:pPr>
                    <w:tabs>
                      <w:tab w:val="left" w:pos="0"/>
                      <w:tab w:val="left" w:pos="284"/>
                      <w:tab w:val="left" w:pos="851"/>
                      <w:tab w:val="left" w:pos="993"/>
                      <w:tab w:val="left" w:pos="1108"/>
                    </w:tabs>
                    <w:spacing w:line="460" w:lineRule="exact"/>
                    <w:jc w:val="center"/>
                    <w:rPr>
                      <w:rFonts w:eastAsia="仿宋"/>
                      <w:bCs/>
                      <w:color w:val="auto"/>
                      <w:kern w:val="0"/>
                      <w:sz w:val="24"/>
                      <w:szCs w:val="22"/>
                      <w:highlight w:val="none"/>
                    </w:rPr>
                  </w:pPr>
                  <w:r>
                    <w:rPr>
                      <w:rFonts w:eastAsia="仿宋"/>
                      <w:bCs/>
                      <w:color w:val="auto"/>
                      <w:kern w:val="0"/>
                      <w:sz w:val="24"/>
                      <w:szCs w:val="22"/>
                      <w:highlight w:val="none"/>
                    </w:rPr>
                    <w:t>100-500（含）</w:t>
                  </w:r>
                </w:p>
              </w:tc>
              <w:tc>
                <w:tcPr>
                  <w:tcW w:w="4289" w:type="dxa"/>
                </w:tcPr>
                <w:p>
                  <w:pPr>
                    <w:tabs>
                      <w:tab w:val="left" w:pos="0"/>
                      <w:tab w:val="left" w:pos="284"/>
                      <w:tab w:val="left" w:pos="851"/>
                      <w:tab w:val="left" w:pos="993"/>
                      <w:tab w:val="left" w:pos="1108"/>
                    </w:tabs>
                    <w:spacing w:line="460" w:lineRule="exact"/>
                    <w:jc w:val="center"/>
                    <w:rPr>
                      <w:rFonts w:eastAsia="仿宋"/>
                      <w:bCs/>
                      <w:color w:val="auto"/>
                      <w:kern w:val="0"/>
                      <w:sz w:val="24"/>
                      <w:szCs w:val="22"/>
                      <w:highlight w:val="none"/>
                    </w:rPr>
                  </w:pPr>
                  <w:r>
                    <w:rPr>
                      <w:rFonts w:eastAsia="仿宋"/>
                      <w:bCs/>
                      <w:color w:val="auto"/>
                      <w:kern w:val="0"/>
                      <w:sz w:val="24"/>
                      <w:szCs w:val="22"/>
                      <w:highlight w:val="none"/>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88" w:type="dxa"/>
                </w:tcPr>
                <w:p>
                  <w:pPr>
                    <w:tabs>
                      <w:tab w:val="left" w:pos="0"/>
                      <w:tab w:val="left" w:pos="284"/>
                      <w:tab w:val="left" w:pos="851"/>
                      <w:tab w:val="left" w:pos="993"/>
                      <w:tab w:val="left" w:pos="1108"/>
                    </w:tabs>
                    <w:spacing w:line="460" w:lineRule="exact"/>
                    <w:jc w:val="center"/>
                    <w:rPr>
                      <w:rFonts w:eastAsia="仿宋"/>
                      <w:bCs/>
                      <w:color w:val="auto"/>
                      <w:kern w:val="0"/>
                      <w:sz w:val="24"/>
                      <w:szCs w:val="22"/>
                      <w:highlight w:val="none"/>
                    </w:rPr>
                  </w:pPr>
                  <w:r>
                    <w:rPr>
                      <w:rFonts w:eastAsia="仿宋"/>
                      <w:bCs/>
                      <w:color w:val="auto"/>
                      <w:kern w:val="0"/>
                      <w:sz w:val="24"/>
                      <w:szCs w:val="22"/>
                      <w:highlight w:val="none"/>
                    </w:rPr>
                    <w:t>500-1000（含）</w:t>
                  </w:r>
                </w:p>
              </w:tc>
              <w:tc>
                <w:tcPr>
                  <w:tcW w:w="4289" w:type="dxa"/>
                </w:tcPr>
                <w:p>
                  <w:pPr>
                    <w:tabs>
                      <w:tab w:val="left" w:pos="0"/>
                      <w:tab w:val="left" w:pos="284"/>
                      <w:tab w:val="left" w:pos="851"/>
                      <w:tab w:val="left" w:pos="993"/>
                      <w:tab w:val="left" w:pos="1108"/>
                    </w:tabs>
                    <w:spacing w:line="460" w:lineRule="exact"/>
                    <w:jc w:val="center"/>
                    <w:rPr>
                      <w:rFonts w:eastAsia="仿宋"/>
                      <w:bCs/>
                      <w:color w:val="auto"/>
                      <w:kern w:val="0"/>
                      <w:sz w:val="24"/>
                      <w:szCs w:val="22"/>
                      <w:highlight w:val="none"/>
                    </w:rPr>
                  </w:pPr>
                  <w:r>
                    <w:rPr>
                      <w:rFonts w:eastAsia="仿宋"/>
                      <w:bCs/>
                      <w:color w:val="auto"/>
                      <w:kern w:val="0"/>
                      <w:sz w:val="24"/>
                      <w:szCs w:val="22"/>
                      <w:highlight w:val="none"/>
                    </w:rPr>
                    <w:t>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88" w:type="dxa"/>
                </w:tcPr>
                <w:p>
                  <w:pPr>
                    <w:tabs>
                      <w:tab w:val="left" w:pos="0"/>
                      <w:tab w:val="left" w:pos="284"/>
                      <w:tab w:val="left" w:pos="851"/>
                      <w:tab w:val="left" w:pos="993"/>
                      <w:tab w:val="left" w:pos="1108"/>
                    </w:tabs>
                    <w:spacing w:line="460" w:lineRule="exact"/>
                    <w:jc w:val="center"/>
                    <w:rPr>
                      <w:rFonts w:eastAsia="仿宋"/>
                      <w:bCs/>
                      <w:color w:val="auto"/>
                      <w:kern w:val="0"/>
                      <w:sz w:val="24"/>
                      <w:szCs w:val="22"/>
                      <w:highlight w:val="none"/>
                    </w:rPr>
                  </w:pPr>
                  <w:r>
                    <w:rPr>
                      <w:rFonts w:eastAsia="仿宋"/>
                      <w:bCs/>
                      <w:color w:val="auto"/>
                      <w:kern w:val="0"/>
                      <w:sz w:val="24"/>
                      <w:szCs w:val="22"/>
                      <w:highlight w:val="none"/>
                    </w:rPr>
                    <w:t>1000-5000（含）</w:t>
                  </w:r>
                </w:p>
              </w:tc>
              <w:tc>
                <w:tcPr>
                  <w:tcW w:w="4289" w:type="dxa"/>
                </w:tcPr>
                <w:p>
                  <w:pPr>
                    <w:tabs>
                      <w:tab w:val="left" w:pos="0"/>
                      <w:tab w:val="left" w:pos="284"/>
                      <w:tab w:val="left" w:pos="851"/>
                      <w:tab w:val="left" w:pos="993"/>
                      <w:tab w:val="left" w:pos="1108"/>
                    </w:tabs>
                    <w:spacing w:line="460" w:lineRule="exact"/>
                    <w:jc w:val="center"/>
                    <w:rPr>
                      <w:rFonts w:eastAsia="仿宋"/>
                      <w:bCs/>
                      <w:color w:val="auto"/>
                      <w:kern w:val="0"/>
                      <w:sz w:val="24"/>
                      <w:szCs w:val="22"/>
                      <w:highlight w:val="none"/>
                    </w:rPr>
                  </w:pPr>
                  <w:r>
                    <w:rPr>
                      <w:rFonts w:eastAsia="仿宋"/>
                      <w:bCs/>
                      <w:color w:val="auto"/>
                      <w:kern w:val="0"/>
                      <w:sz w:val="24"/>
                      <w:szCs w:val="22"/>
                      <w:highlight w:val="none"/>
                    </w:rPr>
                    <w:t>0.5%</w:t>
                  </w:r>
                </w:p>
              </w:tc>
            </w:tr>
          </w:tbl>
          <w:p>
            <w:pPr>
              <w:pStyle w:val="2"/>
              <w:spacing w:before="0" w:after="0" w:line="460" w:lineRule="exact"/>
              <w:rPr>
                <w:rFonts w:ascii="Times New Roman" w:hAnsi="Times New Roman" w:eastAsia="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426" w:type="pct"/>
            <w:vAlign w:val="center"/>
          </w:tcPr>
          <w:p>
            <w:pPr>
              <w:spacing w:line="460" w:lineRule="exact"/>
              <w:jc w:val="center"/>
              <w:rPr>
                <w:rFonts w:eastAsia="仿宋"/>
                <w:color w:val="auto"/>
                <w:sz w:val="24"/>
                <w:szCs w:val="22"/>
                <w:highlight w:val="none"/>
              </w:rPr>
            </w:pPr>
            <w:r>
              <w:rPr>
                <w:rFonts w:eastAsia="仿宋"/>
                <w:color w:val="auto"/>
                <w:sz w:val="24"/>
                <w:szCs w:val="22"/>
                <w:highlight w:val="none"/>
              </w:rPr>
              <w:t>14</w:t>
            </w:r>
          </w:p>
        </w:tc>
        <w:tc>
          <w:tcPr>
            <w:tcW w:w="4573" w:type="pct"/>
            <w:vAlign w:val="center"/>
          </w:tcPr>
          <w:p>
            <w:pPr>
              <w:spacing w:line="460" w:lineRule="exact"/>
              <w:rPr>
                <w:rFonts w:eastAsia="仿宋"/>
                <w:color w:val="auto"/>
                <w:sz w:val="24"/>
                <w:szCs w:val="22"/>
                <w:highlight w:val="none"/>
              </w:rPr>
            </w:pPr>
            <w:r>
              <w:rPr>
                <w:rFonts w:eastAsia="仿宋"/>
                <w:color w:val="auto"/>
                <w:sz w:val="24"/>
                <w:szCs w:val="22"/>
                <w:highlight w:val="none"/>
              </w:rPr>
              <w:t>本招标文件编制依据国家有关法律、法规以及政府采购管理有关规定，本采购代理机构享有对招标文件的最终解释权。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426" w:type="pct"/>
            <w:vAlign w:val="center"/>
          </w:tcPr>
          <w:p>
            <w:pPr>
              <w:spacing w:line="460" w:lineRule="exact"/>
              <w:jc w:val="center"/>
              <w:rPr>
                <w:rFonts w:eastAsia="仿宋"/>
                <w:color w:val="auto"/>
                <w:sz w:val="24"/>
                <w:szCs w:val="22"/>
                <w:highlight w:val="none"/>
              </w:rPr>
            </w:pPr>
            <w:r>
              <w:rPr>
                <w:rFonts w:eastAsia="仿宋"/>
                <w:color w:val="auto"/>
                <w:sz w:val="24"/>
                <w:szCs w:val="22"/>
                <w:highlight w:val="none"/>
              </w:rPr>
              <w:t>15</w:t>
            </w:r>
          </w:p>
        </w:tc>
        <w:tc>
          <w:tcPr>
            <w:tcW w:w="4573" w:type="pct"/>
            <w:vAlign w:val="center"/>
          </w:tcPr>
          <w:p>
            <w:pPr>
              <w:spacing w:line="460" w:lineRule="exact"/>
              <w:rPr>
                <w:rFonts w:eastAsia="仿宋"/>
                <w:bCs/>
                <w:color w:val="auto"/>
                <w:kern w:val="0"/>
                <w:sz w:val="24"/>
                <w:szCs w:val="22"/>
                <w:highlight w:val="none"/>
              </w:rPr>
            </w:pPr>
            <w:r>
              <w:rPr>
                <w:rFonts w:eastAsia="仿宋"/>
                <w:bCs/>
                <w:color w:val="auto"/>
                <w:kern w:val="0"/>
                <w:sz w:val="24"/>
                <w:szCs w:val="22"/>
                <w:highlight w:val="none"/>
              </w:rPr>
              <w:t>商品包装要求（如果所投产品具有外包装）：</w:t>
            </w:r>
          </w:p>
          <w:p>
            <w:pPr>
              <w:spacing w:line="460" w:lineRule="exact"/>
              <w:ind w:firstLine="480" w:firstLineChars="200"/>
              <w:rPr>
                <w:rFonts w:eastAsia="仿宋"/>
                <w:bCs/>
                <w:color w:val="auto"/>
                <w:kern w:val="0"/>
                <w:sz w:val="24"/>
                <w:szCs w:val="22"/>
                <w:highlight w:val="none"/>
              </w:rPr>
            </w:pPr>
            <w:r>
              <w:rPr>
                <w:rFonts w:eastAsia="仿宋"/>
                <w:bCs/>
                <w:color w:val="auto"/>
                <w:kern w:val="0"/>
                <w:sz w:val="24"/>
                <w:szCs w:val="22"/>
                <w:highlight w:val="none"/>
              </w:rPr>
              <w:t>根据《商品包装政府采购需求标准（试行）》，商品包装有7项环保要求：1.商品包装层数不得超过3层，空隙率不大于40%；2.商品包装尽可能使用单一材质的包装材料，如因功能需求必需使用不同材质，不同材质间应便于分离；3.商品包装中铅、汞、镉、六价铬的总含量应不大于100mg/kg；4.商品包装印刷使用的油墨中挥发性有机化合物</w:t>
            </w:r>
            <w:r>
              <w:rPr>
                <w:rFonts w:hint="eastAsia" w:eastAsia="仿宋"/>
                <w:bCs/>
                <w:color w:val="auto"/>
                <w:kern w:val="0"/>
                <w:sz w:val="24"/>
                <w:szCs w:val="22"/>
                <w:highlight w:val="none"/>
                <w:lang w:eastAsia="zh-CN"/>
              </w:rPr>
              <w:t>（</w:t>
            </w:r>
            <w:r>
              <w:rPr>
                <w:rFonts w:eastAsia="仿宋"/>
                <w:bCs/>
                <w:color w:val="auto"/>
                <w:kern w:val="0"/>
                <w:sz w:val="24"/>
                <w:szCs w:val="22"/>
                <w:highlight w:val="none"/>
              </w:rPr>
              <w:t>VOCs</w:t>
            </w:r>
            <w:r>
              <w:rPr>
                <w:rFonts w:hint="eastAsia" w:eastAsia="仿宋"/>
                <w:bCs/>
                <w:color w:val="auto"/>
                <w:kern w:val="0"/>
                <w:sz w:val="24"/>
                <w:szCs w:val="22"/>
                <w:highlight w:val="none"/>
                <w:lang w:eastAsia="zh-CN"/>
              </w:rPr>
              <w:t>）</w:t>
            </w:r>
            <w:r>
              <w:rPr>
                <w:rFonts w:eastAsia="仿宋"/>
                <w:bCs/>
                <w:color w:val="auto"/>
                <w:kern w:val="0"/>
                <w:sz w:val="24"/>
                <w:szCs w:val="22"/>
                <w:highlight w:val="none"/>
              </w:rPr>
              <w:t>含量应不大于5%（以重量计）；5.塑料材质商品包装上呈现的印刷颜色不得超过6色；6.纸质商品包装应使用75%以上的可再生纤维原料生产；7.木质商品包装的原料应来源于可持续性森林。</w:t>
            </w:r>
          </w:p>
          <w:p>
            <w:pPr>
              <w:spacing w:line="460" w:lineRule="exact"/>
              <w:rPr>
                <w:rFonts w:eastAsia="仿宋"/>
                <w:bCs/>
                <w:color w:val="auto"/>
                <w:kern w:val="0"/>
                <w:sz w:val="24"/>
                <w:szCs w:val="22"/>
                <w:highlight w:val="none"/>
              </w:rPr>
            </w:pPr>
            <w:r>
              <w:rPr>
                <w:rFonts w:eastAsia="仿宋"/>
                <w:bCs/>
                <w:color w:val="auto"/>
                <w:kern w:val="0"/>
                <w:sz w:val="24"/>
                <w:szCs w:val="22"/>
                <w:highlight w:val="none"/>
              </w:rPr>
              <w:t>采购人在必要时可以要求中标人在履约验收环节出具包装材料检测报告。</w:t>
            </w:r>
          </w:p>
        </w:tc>
      </w:tr>
    </w:tbl>
    <w:p>
      <w:pPr>
        <w:rPr>
          <w:rFonts w:eastAsia="仿宋"/>
          <w:color w:val="auto"/>
          <w:highlight w:val="none"/>
        </w:rPr>
      </w:pPr>
    </w:p>
    <w:p>
      <w:pPr>
        <w:spacing w:line="460" w:lineRule="exact"/>
        <w:jc w:val="center"/>
        <w:outlineLvl w:val="1"/>
        <w:rPr>
          <w:rFonts w:eastAsia="仿宋"/>
          <w:b/>
          <w:bCs/>
          <w:color w:val="auto"/>
          <w:kern w:val="0"/>
          <w:sz w:val="24"/>
          <w:highlight w:val="none"/>
        </w:rPr>
      </w:pPr>
      <w:bookmarkStart w:id="109" w:name="_Toc13051"/>
      <w:bookmarkStart w:id="110" w:name="_Toc27171"/>
      <w:bookmarkStart w:id="111" w:name="_Toc28913"/>
      <w:bookmarkStart w:id="112" w:name="_Toc11288"/>
      <w:bookmarkStart w:id="113" w:name="_Toc111018933"/>
      <w:bookmarkStart w:id="114" w:name="_Toc2173"/>
      <w:bookmarkStart w:id="115" w:name="_Toc14680"/>
      <w:bookmarkStart w:id="116" w:name="_Toc10789"/>
      <w:bookmarkStart w:id="117" w:name="_Toc26842"/>
      <w:r>
        <w:rPr>
          <w:rFonts w:eastAsia="仿宋"/>
          <w:b/>
          <w:bCs/>
          <w:color w:val="auto"/>
          <w:kern w:val="0"/>
          <w:sz w:val="24"/>
          <w:highlight w:val="none"/>
        </w:rPr>
        <w:t>一、说明</w:t>
      </w:r>
      <w:bookmarkEnd w:id="109"/>
      <w:bookmarkEnd w:id="110"/>
      <w:bookmarkEnd w:id="111"/>
      <w:bookmarkEnd w:id="112"/>
      <w:bookmarkEnd w:id="113"/>
      <w:bookmarkEnd w:id="114"/>
      <w:bookmarkEnd w:id="115"/>
      <w:bookmarkEnd w:id="116"/>
      <w:bookmarkEnd w:id="117"/>
    </w:p>
    <w:p>
      <w:pPr>
        <w:numPr>
          <w:ilvl w:val="0"/>
          <w:numId w:val="3"/>
        </w:numPr>
        <w:tabs>
          <w:tab w:val="left" w:pos="284"/>
        </w:tabs>
        <w:spacing w:line="460" w:lineRule="exact"/>
        <w:ind w:left="284" w:hanging="284"/>
        <w:rPr>
          <w:rFonts w:eastAsia="仿宋"/>
          <w:b/>
          <w:bCs/>
          <w:color w:val="auto"/>
          <w:kern w:val="0"/>
          <w:sz w:val="24"/>
          <w:highlight w:val="none"/>
        </w:rPr>
      </w:pPr>
      <w:r>
        <w:rPr>
          <w:rFonts w:eastAsia="仿宋"/>
          <w:b/>
          <w:bCs/>
          <w:color w:val="auto"/>
          <w:kern w:val="0"/>
          <w:sz w:val="24"/>
          <w:highlight w:val="none"/>
        </w:rPr>
        <w:t>适用范围</w:t>
      </w:r>
    </w:p>
    <w:p>
      <w:pPr>
        <w:tabs>
          <w:tab w:val="left" w:pos="284"/>
          <w:tab w:val="left" w:pos="709"/>
        </w:tabs>
        <w:spacing w:line="460" w:lineRule="exact"/>
        <w:ind w:firstLine="480" w:firstLineChars="200"/>
        <w:rPr>
          <w:rFonts w:eastAsia="仿宋"/>
          <w:bCs/>
          <w:color w:val="auto"/>
          <w:kern w:val="0"/>
          <w:sz w:val="24"/>
          <w:highlight w:val="none"/>
        </w:rPr>
      </w:pPr>
      <w:r>
        <w:rPr>
          <w:rFonts w:eastAsia="仿宋"/>
          <w:bCs/>
          <w:color w:val="auto"/>
          <w:kern w:val="0"/>
          <w:sz w:val="24"/>
          <w:highlight w:val="none"/>
        </w:rPr>
        <w:t>本招标文件仅适用于本次公开招标</w:t>
      </w:r>
      <w:r>
        <w:rPr>
          <w:rFonts w:hint="eastAsia" w:eastAsia="仿宋"/>
          <w:b/>
          <w:color w:val="auto"/>
          <w:kern w:val="0"/>
          <w:sz w:val="24"/>
          <w:highlight w:val="none"/>
          <w:lang w:eastAsia="zh-CN"/>
        </w:rPr>
        <w:t>“</w:t>
      </w:r>
      <w:r>
        <w:rPr>
          <w:rFonts w:eastAsia="仿宋"/>
          <w:b/>
          <w:color w:val="auto"/>
          <w:kern w:val="0"/>
          <w:sz w:val="24"/>
          <w:highlight w:val="none"/>
        </w:rPr>
        <w:t>投标邀请</w:t>
      </w:r>
      <w:r>
        <w:rPr>
          <w:rFonts w:hint="eastAsia" w:eastAsia="仿宋"/>
          <w:b/>
          <w:color w:val="auto"/>
          <w:kern w:val="0"/>
          <w:sz w:val="24"/>
          <w:highlight w:val="none"/>
          <w:lang w:eastAsia="zh-CN"/>
        </w:rPr>
        <w:t>”</w:t>
      </w:r>
      <w:r>
        <w:rPr>
          <w:rFonts w:eastAsia="仿宋"/>
          <w:bCs/>
          <w:color w:val="auto"/>
          <w:kern w:val="0"/>
          <w:sz w:val="24"/>
          <w:highlight w:val="none"/>
        </w:rPr>
        <w:t>中所叙述项目的采购。</w:t>
      </w:r>
    </w:p>
    <w:p>
      <w:pPr>
        <w:numPr>
          <w:ilvl w:val="0"/>
          <w:numId w:val="3"/>
        </w:numPr>
        <w:spacing w:line="460" w:lineRule="exact"/>
        <w:ind w:left="284" w:hanging="284"/>
        <w:rPr>
          <w:rFonts w:eastAsia="仿宋"/>
          <w:b/>
          <w:bCs/>
          <w:color w:val="auto"/>
          <w:kern w:val="0"/>
          <w:sz w:val="24"/>
          <w:highlight w:val="none"/>
        </w:rPr>
      </w:pPr>
      <w:r>
        <w:rPr>
          <w:rFonts w:eastAsia="仿宋"/>
          <w:b/>
          <w:bCs/>
          <w:color w:val="auto"/>
          <w:kern w:val="0"/>
          <w:sz w:val="24"/>
          <w:highlight w:val="none"/>
        </w:rPr>
        <w:t>采购人、采购代理机构、投标人</w:t>
      </w:r>
    </w:p>
    <w:p>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2.1.</w:t>
      </w:r>
      <w:r>
        <w:rPr>
          <w:rFonts w:hint="eastAsia" w:eastAsia="仿宋"/>
          <w:bCs/>
          <w:color w:val="auto"/>
          <w:kern w:val="0"/>
          <w:sz w:val="24"/>
          <w:highlight w:val="none"/>
          <w:lang w:eastAsia="zh-CN"/>
        </w:rPr>
        <w:t>“</w:t>
      </w:r>
      <w:r>
        <w:rPr>
          <w:rFonts w:eastAsia="仿宋"/>
          <w:bCs/>
          <w:color w:val="auto"/>
          <w:kern w:val="0"/>
          <w:sz w:val="24"/>
          <w:highlight w:val="none"/>
        </w:rPr>
        <w:t>采购人</w:t>
      </w:r>
      <w:r>
        <w:rPr>
          <w:rFonts w:hint="eastAsia" w:eastAsia="仿宋"/>
          <w:bCs/>
          <w:color w:val="auto"/>
          <w:kern w:val="0"/>
          <w:sz w:val="24"/>
          <w:highlight w:val="none"/>
          <w:lang w:eastAsia="zh-CN"/>
        </w:rPr>
        <w:t>”</w:t>
      </w:r>
      <w:r>
        <w:rPr>
          <w:rFonts w:eastAsia="仿宋"/>
          <w:bCs/>
          <w:color w:val="auto"/>
          <w:kern w:val="0"/>
          <w:sz w:val="24"/>
          <w:highlight w:val="none"/>
        </w:rPr>
        <w:t>是指依法进行政府采购的国家机关、事业单位、团体组织，即</w:t>
      </w:r>
      <w:r>
        <w:rPr>
          <w:rFonts w:hint="eastAsia" w:eastAsia="仿宋"/>
          <w:bCs/>
          <w:color w:val="auto"/>
          <w:kern w:val="0"/>
          <w:sz w:val="24"/>
          <w:highlight w:val="none"/>
          <w:lang w:eastAsia="zh-CN"/>
        </w:rPr>
        <w:t>“</w:t>
      </w:r>
      <w:r>
        <w:rPr>
          <w:rFonts w:eastAsia="仿宋"/>
          <w:bCs/>
          <w:color w:val="auto"/>
          <w:kern w:val="0"/>
          <w:sz w:val="24"/>
          <w:highlight w:val="none"/>
        </w:rPr>
        <w:t>江西省消防救援总队</w:t>
      </w:r>
      <w:r>
        <w:rPr>
          <w:rFonts w:hint="eastAsia" w:eastAsia="仿宋"/>
          <w:bCs/>
          <w:color w:val="auto"/>
          <w:kern w:val="0"/>
          <w:sz w:val="24"/>
          <w:highlight w:val="none"/>
          <w:lang w:eastAsia="zh-CN"/>
        </w:rPr>
        <w:t>”</w:t>
      </w:r>
      <w:r>
        <w:rPr>
          <w:rFonts w:eastAsia="仿宋"/>
          <w:bCs/>
          <w:color w:val="auto"/>
          <w:kern w:val="0"/>
          <w:sz w:val="24"/>
          <w:highlight w:val="none"/>
        </w:rPr>
        <w:t>。</w:t>
      </w:r>
    </w:p>
    <w:p>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2.2.</w:t>
      </w:r>
      <w:r>
        <w:rPr>
          <w:rFonts w:hint="eastAsia" w:eastAsia="仿宋"/>
          <w:bCs/>
          <w:color w:val="auto"/>
          <w:kern w:val="0"/>
          <w:sz w:val="24"/>
          <w:highlight w:val="none"/>
          <w:lang w:eastAsia="zh-CN"/>
        </w:rPr>
        <w:t>“</w:t>
      </w:r>
      <w:r>
        <w:rPr>
          <w:rFonts w:eastAsia="仿宋"/>
          <w:bCs/>
          <w:color w:val="auto"/>
          <w:kern w:val="0"/>
          <w:sz w:val="24"/>
          <w:highlight w:val="none"/>
        </w:rPr>
        <w:t>采购代理机构</w:t>
      </w:r>
      <w:r>
        <w:rPr>
          <w:rFonts w:hint="eastAsia" w:eastAsia="仿宋"/>
          <w:bCs/>
          <w:color w:val="auto"/>
          <w:kern w:val="0"/>
          <w:sz w:val="24"/>
          <w:highlight w:val="none"/>
          <w:lang w:eastAsia="zh-CN"/>
        </w:rPr>
        <w:t>”</w:t>
      </w:r>
      <w:r>
        <w:rPr>
          <w:rFonts w:eastAsia="仿宋"/>
          <w:bCs/>
          <w:color w:val="auto"/>
          <w:kern w:val="0"/>
          <w:sz w:val="24"/>
          <w:highlight w:val="none"/>
        </w:rPr>
        <w:t>是指根据采购人委托制定招标项目的实施方案，明确招标规程，组织政府采购活动的中介机构，即</w:t>
      </w:r>
      <w:r>
        <w:rPr>
          <w:rFonts w:hint="eastAsia" w:eastAsia="仿宋"/>
          <w:bCs/>
          <w:color w:val="auto"/>
          <w:kern w:val="0"/>
          <w:sz w:val="24"/>
          <w:highlight w:val="none"/>
          <w:lang w:eastAsia="zh-CN"/>
        </w:rPr>
        <w:t>“</w:t>
      </w:r>
      <w:r>
        <w:rPr>
          <w:rFonts w:eastAsia="仿宋"/>
          <w:bCs/>
          <w:color w:val="auto"/>
          <w:kern w:val="0"/>
          <w:sz w:val="24"/>
          <w:highlight w:val="none"/>
        </w:rPr>
        <w:t>江西省机电设备招标有限公司</w:t>
      </w:r>
      <w:r>
        <w:rPr>
          <w:rFonts w:hint="eastAsia" w:eastAsia="仿宋"/>
          <w:bCs/>
          <w:color w:val="auto"/>
          <w:kern w:val="0"/>
          <w:sz w:val="24"/>
          <w:highlight w:val="none"/>
          <w:lang w:eastAsia="zh-CN"/>
        </w:rPr>
        <w:t>”</w:t>
      </w:r>
      <w:r>
        <w:rPr>
          <w:rFonts w:eastAsia="仿宋"/>
          <w:bCs/>
          <w:color w:val="auto"/>
          <w:kern w:val="0"/>
          <w:sz w:val="24"/>
          <w:highlight w:val="none"/>
        </w:rPr>
        <w:t>。</w:t>
      </w:r>
    </w:p>
    <w:p>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2.3.</w:t>
      </w:r>
      <w:r>
        <w:rPr>
          <w:rFonts w:hint="eastAsia" w:eastAsia="仿宋"/>
          <w:bCs/>
          <w:color w:val="auto"/>
          <w:kern w:val="0"/>
          <w:sz w:val="24"/>
          <w:highlight w:val="none"/>
          <w:lang w:eastAsia="zh-CN"/>
        </w:rPr>
        <w:t>“</w:t>
      </w:r>
      <w:r>
        <w:rPr>
          <w:rFonts w:eastAsia="仿宋"/>
          <w:bCs/>
          <w:color w:val="auto"/>
          <w:kern w:val="0"/>
          <w:sz w:val="24"/>
          <w:highlight w:val="none"/>
        </w:rPr>
        <w:t>投标人</w:t>
      </w:r>
      <w:r>
        <w:rPr>
          <w:rFonts w:hint="eastAsia" w:eastAsia="仿宋"/>
          <w:bCs/>
          <w:color w:val="auto"/>
          <w:kern w:val="0"/>
          <w:sz w:val="24"/>
          <w:highlight w:val="none"/>
          <w:lang w:eastAsia="zh-CN"/>
        </w:rPr>
        <w:t>”</w:t>
      </w:r>
      <w:r>
        <w:rPr>
          <w:rFonts w:eastAsia="仿宋"/>
          <w:bCs/>
          <w:color w:val="auto"/>
          <w:kern w:val="0"/>
          <w:sz w:val="24"/>
          <w:highlight w:val="none"/>
        </w:rPr>
        <w:t>是指响应招标文件要求、参加投标竞争的法人、其他组织或者自然人。投标人应当遵守相关的法律、法规、法规政策及招标文件的规定，且具备承担本次招标项目的能力。</w:t>
      </w:r>
    </w:p>
    <w:p>
      <w:pPr>
        <w:numPr>
          <w:ilvl w:val="0"/>
          <w:numId w:val="3"/>
        </w:numPr>
        <w:spacing w:line="460" w:lineRule="exact"/>
        <w:ind w:left="284" w:hanging="284"/>
        <w:rPr>
          <w:rFonts w:eastAsia="仿宋"/>
          <w:b/>
          <w:bCs/>
          <w:color w:val="auto"/>
          <w:kern w:val="0"/>
          <w:sz w:val="24"/>
          <w:highlight w:val="none"/>
        </w:rPr>
      </w:pPr>
      <w:r>
        <w:rPr>
          <w:rFonts w:eastAsia="仿宋"/>
          <w:b/>
          <w:bCs/>
          <w:color w:val="auto"/>
          <w:kern w:val="0"/>
          <w:sz w:val="24"/>
          <w:highlight w:val="none"/>
        </w:rPr>
        <w:t>合格的投标人</w:t>
      </w:r>
    </w:p>
    <w:p>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3.1.满足投标人资格标准：投标人须按第四章投标文件格式</w:t>
      </w:r>
      <w:r>
        <w:rPr>
          <w:rFonts w:hint="eastAsia" w:eastAsia="仿宋"/>
          <w:bCs/>
          <w:color w:val="auto"/>
          <w:kern w:val="0"/>
          <w:sz w:val="24"/>
          <w:highlight w:val="none"/>
          <w:lang w:eastAsia="zh-CN"/>
        </w:rPr>
        <w:t>“</w:t>
      </w:r>
      <w:r>
        <w:rPr>
          <w:rFonts w:eastAsia="仿宋"/>
          <w:bCs/>
          <w:color w:val="auto"/>
          <w:kern w:val="0"/>
          <w:sz w:val="24"/>
          <w:highlight w:val="none"/>
        </w:rPr>
        <w:t>资格证明文件</w:t>
      </w:r>
      <w:r>
        <w:rPr>
          <w:rFonts w:hint="eastAsia" w:eastAsia="仿宋"/>
          <w:bCs/>
          <w:color w:val="auto"/>
          <w:kern w:val="0"/>
          <w:sz w:val="24"/>
          <w:highlight w:val="none"/>
          <w:lang w:eastAsia="zh-CN"/>
        </w:rPr>
        <w:t>”</w:t>
      </w:r>
      <w:r>
        <w:rPr>
          <w:rFonts w:eastAsia="仿宋"/>
          <w:bCs/>
          <w:color w:val="auto"/>
          <w:kern w:val="0"/>
          <w:sz w:val="24"/>
          <w:highlight w:val="none"/>
        </w:rPr>
        <w:t>的规定提供相关证明材料；</w:t>
      </w:r>
    </w:p>
    <w:p>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3.2.在中华人民共和国境内注册，在法律上和财务上独立于采购人和采购代理机构的投标人才能参加投标。</w:t>
      </w:r>
    </w:p>
    <w:p>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3.3.投标人家数认定</w:t>
      </w:r>
    </w:p>
    <w:p>
      <w:pPr>
        <w:tabs>
          <w:tab w:val="left" w:pos="142"/>
          <w:tab w:val="left" w:pos="851"/>
          <w:tab w:val="left" w:pos="993"/>
        </w:tabs>
        <w:spacing w:line="460" w:lineRule="exact"/>
        <w:ind w:left="825" w:leftChars="50" w:hanging="720" w:hangingChars="300"/>
        <w:rPr>
          <w:rFonts w:eastAsia="仿宋"/>
          <w:bCs/>
          <w:color w:val="auto"/>
          <w:kern w:val="0"/>
          <w:sz w:val="24"/>
          <w:highlight w:val="none"/>
        </w:rPr>
      </w:pPr>
      <w:r>
        <w:rPr>
          <w:rFonts w:eastAsia="仿宋"/>
          <w:bCs/>
          <w:color w:val="auto"/>
          <w:kern w:val="0"/>
          <w:sz w:val="24"/>
          <w:highlight w:val="none"/>
        </w:rPr>
        <w:t>3.3.1使用综合评分法的单一产品采购项目，提供相同品牌产品且通过资格审查、符合性审查的不同投标人参加同一合同项下投标的，按一家投标人计算，评审后得分最高的同品牌投标人获得中标人推荐资格；评审得分相同的，由评标委员会按照随机抽取的方式确定一个投标人获得中标人推荐资格，其他同品牌投标人不作为中标候选人；</w:t>
      </w:r>
    </w:p>
    <w:p>
      <w:pPr>
        <w:tabs>
          <w:tab w:val="left" w:pos="142"/>
          <w:tab w:val="left" w:pos="851"/>
          <w:tab w:val="left" w:pos="993"/>
        </w:tabs>
        <w:spacing w:line="460" w:lineRule="exact"/>
        <w:ind w:left="825" w:leftChars="50" w:hanging="720" w:hangingChars="300"/>
        <w:rPr>
          <w:rFonts w:eastAsia="仿宋"/>
          <w:bCs/>
          <w:color w:val="auto"/>
          <w:kern w:val="0"/>
          <w:sz w:val="24"/>
          <w:highlight w:val="none"/>
        </w:rPr>
      </w:pPr>
      <w:r>
        <w:rPr>
          <w:rFonts w:eastAsia="仿宋"/>
          <w:bCs/>
          <w:color w:val="auto"/>
          <w:kern w:val="0"/>
          <w:sz w:val="24"/>
          <w:highlight w:val="none"/>
        </w:rPr>
        <w:t>3.3.2非单一产品采购项目，采购人应当根据采购项目技术构成、产品价格比重等合理确定核心产品，并在招标文件中载明。多家投标人提供的核心产品品牌相同的，按前款规定处理。</w:t>
      </w:r>
    </w:p>
    <w:p>
      <w:pPr>
        <w:numPr>
          <w:ilvl w:val="0"/>
          <w:numId w:val="3"/>
        </w:numPr>
        <w:spacing w:line="460" w:lineRule="exact"/>
        <w:ind w:left="284" w:hanging="284"/>
        <w:rPr>
          <w:rFonts w:eastAsia="仿宋"/>
          <w:b/>
          <w:bCs/>
          <w:color w:val="auto"/>
          <w:kern w:val="0"/>
          <w:sz w:val="24"/>
          <w:highlight w:val="none"/>
        </w:rPr>
      </w:pPr>
      <w:r>
        <w:rPr>
          <w:rFonts w:eastAsia="仿宋"/>
          <w:b/>
          <w:bCs/>
          <w:color w:val="auto"/>
          <w:kern w:val="0"/>
          <w:sz w:val="24"/>
          <w:highlight w:val="none"/>
        </w:rPr>
        <w:t>合格的货物和相关服务</w:t>
      </w:r>
    </w:p>
    <w:p>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4.1.投标人应提交其货物和相关服务符合招标文件规定的证明，作为投标文件的一部分，提供的货物必须是全新的。</w:t>
      </w:r>
    </w:p>
    <w:p>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4.2.投标人应保证，采购人在中华人民共和国使用该货物或货物的任何一部分时，免受第三方提出的侵犯其专利权、商标权或工业设计权的起诉。</w:t>
      </w:r>
    </w:p>
    <w:p>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4.3.采购进口产品的不得拒绝符合条件的国产产品参与采购活动，符合要求的国产产品允许参与本次采购活动。</w:t>
      </w:r>
    </w:p>
    <w:p>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4.4.货物和相关的服务与招标文件的要求相一致的证明，可以是文字资料、图纸和数据，包括：</w:t>
      </w:r>
    </w:p>
    <w:p>
      <w:pPr>
        <w:numPr>
          <w:ilvl w:val="2"/>
          <w:numId w:val="4"/>
        </w:numPr>
        <w:tabs>
          <w:tab w:val="left" w:pos="142"/>
          <w:tab w:val="left" w:pos="851"/>
          <w:tab w:val="left" w:pos="993"/>
        </w:tabs>
        <w:spacing w:line="460" w:lineRule="exact"/>
        <w:rPr>
          <w:rFonts w:eastAsia="仿宋"/>
          <w:bCs/>
          <w:color w:val="auto"/>
          <w:kern w:val="0"/>
          <w:sz w:val="24"/>
          <w:highlight w:val="none"/>
        </w:rPr>
      </w:pPr>
      <w:r>
        <w:rPr>
          <w:rFonts w:eastAsia="仿宋"/>
          <w:bCs/>
          <w:color w:val="auto"/>
          <w:kern w:val="0"/>
          <w:sz w:val="24"/>
          <w:highlight w:val="none"/>
        </w:rPr>
        <w:t>货物主要技术指标和性能的详细说明；</w:t>
      </w:r>
    </w:p>
    <w:p>
      <w:pPr>
        <w:numPr>
          <w:ilvl w:val="2"/>
          <w:numId w:val="4"/>
        </w:numPr>
        <w:tabs>
          <w:tab w:val="left" w:pos="142"/>
          <w:tab w:val="left" w:pos="851"/>
          <w:tab w:val="left" w:pos="993"/>
        </w:tabs>
        <w:spacing w:line="460" w:lineRule="exact"/>
        <w:ind w:left="707" w:leftChars="67" w:hanging="566" w:hangingChars="236"/>
        <w:rPr>
          <w:rFonts w:eastAsia="仿宋"/>
          <w:bCs/>
          <w:color w:val="auto"/>
          <w:kern w:val="0"/>
          <w:sz w:val="24"/>
          <w:highlight w:val="none"/>
        </w:rPr>
      </w:pPr>
      <w:r>
        <w:rPr>
          <w:rFonts w:eastAsia="仿宋"/>
          <w:bCs/>
          <w:color w:val="auto"/>
          <w:kern w:val="0"/>
          <w:sz w:val="24"/>
          <w:highlight w:val="none"/>
        </w:rPr>
        <w:t>对照招标文件技术规格，逐条说明所提供的货物和相关服务已对招标文件的技术规格作出了实质性响应，或申明与技术规格的偏差和例外；特别对于有具体参数要求的指标，投标人必须提供所投产品的具体参数；</w:t>
      </w:r>
    </w:p>
    <w:p>
      <w:pPr>
        <w:numPr>
          <w:ilvl w:val="2"/>
          <w:numId w:val="4"/>
        </w:numPr>
        <w:tabs>
          <w:tab w:val="left" w:pos="142"/>
          <w:tab w:val="left" w:pos="851"/>
          <w:tab w:val="left" w:pos="993"/>
        </w:tabs>
        <w:spacing w:line="460" w:lineRule="exact"/>
        <w:rPr>
          <w:rFonts w:eastAsia="仿宋"/>
          <w:bCs/>
          <w:color w:val="auto"/>
          <w:kern w:val="0"/>
          <w:sz w:val="24"/>
          <w:highlight w:val="none"/>
        </w:rPr>
      </w:pPr>
      <w:r>
        <w:rPr>
          <w:rFonts w:eastAsia="仿宋"/>
          <w:bCs/>
          <w:color w:val="auto"/>
          <w:kern w:val="0"/>
          <w:sz w:val="24"/>
          <w:highlight w:val="none"/>
        </w:rPr>
        <w:t>商务条款的偏差和例外。</w:t>
      </w:r>
    </w:p>
    <w:p>
      <w:pPr>
        <w:spacing w:line="460" w:lineRule="exact"/>
        <w:jc w:val="center"/>
        <w:outlineLvl w:val="1"/>
        <w:rPr>
          <w:rFonts w:eastAsia="仿宋"/>
          <w:b/>
          <w:bCs/>
          <w:color w:val="auto"/>
          <w:kern w:val="0"/>
          <w:sz w:val="24"/>
          <w:highlight w:val="none"/>
        </w:rPr>
      </w:pPr>
      <w:bookmarkStart w:id="118" w:name="_Toc111018934"/>
      <w:bookmarkStart w:id="119" w:name="_Toc17896"/>
      <w:bookmarkStart w:id="120" w:name="_Toc6207"/>
      <w:bookmarkStart w:id="121" w:name="_Toc26237"/>
      <w:bookmarkStart w:id="122" w:name="_Toc27758"/>
      <w:bookmarkStart w:id="123" w:name="_Toc22312"/>
      <w:bookmarkStart w:id="124" w:name="_Toc15633"/>
      <w:bookmarkStart w:id="125" w:name="_Toc11155"/>
      <w:bookmarkStart w:id="126" w:name="_Toc13377"/>
      <w:r>
        <w:rPr>
          <w:rFonts w:eastAsia="仿宋"/>
          <w:b/>
          <w:bCs/>
          <w:color w:val="auto"/>
          <w:kern w:val="0"/>
          <w:sz w:val="24"/>
          <w:highlight w:val="none"/>
        </w:rPr>
        <w:t>二、招标文件</w:t>
      </w:r>
      <w:bookmarkEnd w:id="118"/>
      <w:bookmarkEnd w:id="119"/>
      <w:bookmarkEnd w:id="120"/>
      <w:bookmarkEnd w:id="121"/>
      <w:bookmarkEnd w:id="122"/>
      <w:bookmarkEnd w:id="123"/>
      <w:bookmarkEnd w:id="124"/>
      <w:bookmarkEnd w:id="125"/>
      <w:bookmarkEnd w:id="126"/>
    </w:p>
    <w:p>
      <w:pPr>
        <w:numPr>
          <w:ilvl w:val="0"/>
          <w:numId w:val="3"/>
        </w:numPr>
        <w:spacing w:line="460" w:lineRule="exact"/>
        <w:ind w:left="284" w:hanging="284"/>
        <w:rPr>
          <w:rFonts w:eastAsia="仿宋"/>
          <w:b/>
          <w:bCs/>
          <w:color w:val="auto"/>
          <w:kern w:val="0"/>
          <w:sz w:val="24"/>
          <w:highlight w:val="none"/>
        </w:rPr>
      </w:pPr>
      <w:r>
        <w:rPr>
          <w:rFonts w:eastAsia="仿宋"/>
          <w:b/>
          <w:bCs/>
          <w:color w:val="auto"/>
          <w:kern w:val="0"/>
          <w:sz w:val="24"/>
          <w:highlight w:val="none"/>
        </w:rPr>
        <w:t>构成</w:t>
      </w:r>
    </w:p>
    <w:p>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5.1.要求提供的货物和相关服务、招标过程和合同条件在招标文件中均有说明。招标文件由下述组成：</w:t>
      </w:r>
    </w:p>
    <w:p>
      <w:pPr>
        <w:tabs>
          <w:tab w:val="left" w:pos="284"/>
          <w:tab w:val="left" w:pos="1108"/>
          <w:tab w:val="left" w:pos="1134"/>
        </w:tabs>
        <w:spacing w:line="460" w:lineRule="exact"/>
        <w:ind w:left="502" w:firstLine="240" w:firstLineChars="100"/>
        <w:rPr>
          <w:rFonts w:eastAsia="仿宋"/>
          <w:bCs/>
          <w:color w:val="auto"/>
          <w:kern w:val="0"/>
          <w:sz w:val="24"/>
          <w:highlight w:val="none"/>
        </w:rPr>
      </w:pPr>
      <w:r>
        <w:rPr>
          <w:rFonts w:eastAsia="仿宋"/>
          <w:color w:val="auto"/>
          <w:sz w:val="24"/>
          <w:highlight w:val="none"/>
        </w:rPr>
        <w:t xml:space="preserve">第一章 </w:t>
      </w:r>
      <w:r>
        <w:rPr>
          <w:rFonts w:eastAsia="仿宋"/>
          <w:bCs/>
          <w:color w:val="auto"/>
          <w:kern w:val="0"/>
          <w:sz w:val="24"/>
          <w:highlight w:val="none"/>
        </w:rPr>
        <w:t>投标邀请</w:t>
      </w:r>
    </w:p>
    <w:p>
      <w:pPr>
        <w:tabs>
          <w:tab w:val="left" w:pos="284"/>
          <w:tab w:val="left" w:pos="1108"/>
          <w:tab w:val="left" w:pos="1134"/>
        </w:tabs>
        <w:spacing w:line="460" w:lineRule="exact"/>
        <w:ind w:left="502" w:firstLine="240" w:firstLineChars="100"/>
        <w:rPr>
          <w:rFonts w:eastAsia="仿宋"/>
          <w:bCs/>
          <w:color w:val="auto"/>
          <w:kern w:val="0"/>
          <w:sz w:val="24"/>
          <w:highlight w:val="none"/>
        </w:rPr>
      </w:pPr>
      <w:r>
        <w:rPr>
          <w:rFonts w:eastAsia="仿宋"/>
          <w:color w:val="auto"/>
          <w:sz w:val="24"/>
          <w:highlight w:val="none"/>
        </w:rPr>
        <w:t xml:space="preserve">第二章 </w:t>
      </w:r>
      <w:r>
        <w:rPr>
          <w:rFonts w:eastAsia="仿宋"/>
          <w:bCs/>
          <w:color w:val="auto"/>
          <w:kern w:val="0"/>
          <w:sz w:val="24"/>
          <w:highlight w:val="none"/>
        </w:rPr>
        <w:t>投标人须知</w:t>
      </w:r>
    </w:p>
    <w:p>
      <w:pPr>
        <w:tabs>
          <w:tab w:val="left" w:pos="284"/>
          <w:tab w:val="left" w:pos="1108"/>
          <w:tab w:val="left" w:pos="1134"/>
        </w:tabs>
        <w:spacing w:line="460" w:lineRule="exact"/>
        <w:ind w:left="502" w:firstLine="240" w:firstLineChars="100"/>
        <w:rPr>
          <w:rFonts w:eastAsia="仿宋"/>
          <w:bCs/>
          <w:color w:val="auto"/>
          <w:kern w:val="0"/>
          <w:sz w:val="24"/>
          <w:highlight w:val="none"/>
        </w:rPr>
      </w:pPr>
      <w:r>
        <w:rPr>
          <w:rFonts w:eastAsia="仿宋"/>
          <w:color w:val="auto"/>
          <w:sz w:val="24"/>
          <w:highlight w:val="none"/>
        </w:rPr>
        <w:t xml:space="preserve">第三章 </w:t>
      </w:r>
      <w:r>
        <w:rPr>
          <w:rFonts w:eastAsia="仿宋"/>
          <w:bCs/>
          <w:color w:val="auto"/>
          <w:kern w:val="0"/>
          <w:sz w:val="24"/>
          <w:highlight w:val="none"/>
        </w:rPr>
        <w:t>合同文本</w:t>
      </w:r>
    </w:p>
    <w:p>
      <w:pPr>
        <w:tabs>
          <w:tab w:val="left" w:pos="284"/>
          <w:tab w:val="left" w:pos="1108"/>
          <w:tab w:val="left" w:pos="1134"/>
        </w:tabs>
        <w:spacing w:line="460" w:lineRule="exact"/>
        <w:ind w:left="502" w:firstLine="240" w:firstLineChars="100"/>
        <w:rPr>
          <w:rFonts w:eastAsia="仿宋"/>
          <w:bCs/>
          <w:color w:val="auto"/>
          <w:kern w:val="0"/>
          <w:sz w:val="24"/>
          <w:highlight w:val="none"/>
        </w:rPr>
      </w:pPr>
      <w:r>
        <w:rPr>
          <w:rFonts w:eastAsia="仿宋"/>
          <w:color w:val="auto"/>
          <w:sz w:val="24"/>
          <w:highlight w:val="none"/>
        </w:rPr>
        <w:t xml:space="preserve">第四章 </w:t>
      </w:r>
      <w:r>
        <w:rPr>
          <w:rFonts w:eastAsia="仿宋"/>
          <w:bCs/>
          <w:color w:val="auto"/>
          <w:kern w:val="0"/>
          <w:sz w:val="24"/>
          <w:highlight w:val="none"/>
        </w:rPr>
        <w:t>投标文件格式</w:t>
      </w:r>
    </w:p>
    <w:p>
      <w:pPr>
        <w:tabs>
          <w:tab w:val="left" w:pos="284"/>
          <w:tab w:val="left" w:pos="1108"/>
          <w:tab w:val="left" w:pos="1134"/>
        </w:tabs>
        <w:spacing w:line="460" w:lineRule="exact"/>
        <w:ind w:left="502" w:firstLine="240" w:firstLineChars="100"/>
        <w:rPr>
          <w:rFonts w:eastAsia="仿宋"/>
          <w:bCs/>
          <w:color w:val="auto"/>
          <w:kern w:val="0"/>
          <w:sz w:val="24"/>
          <w:highlight w:val="none"/>
        </w:rPr>
      </w:pPr>
      <w:r>
        <w:rPr>
          <w:rFonts w:eastAsia="仿宋"/>
          <w:color w:val="auto"/>
          <w:sz w:val="24"/>
          <w:highlight w:val="none"/>
        </w:rPr>
        <w:t xml:space="preserve">第五章 </w:t>
      </w:r>
      <w:r>
        <w:rPr>
          <w:rFonts w:eastAsia="仿宋"/>
          <w:bCs/>
          <w:color w:val="auto"/>
          <w:kern w:val="0"/>
          <w:sz w:val="24"/>
          <w:highlight w:val="none"/>
        </w:rPr>
        <w:t>招标项目需求</w:t>
      </w:r>
    </w:p>
    <w:p>
      <w:pPr>
        <w:tabs>
          <w:tab w:val="left" w:pos="284"/>
          <w:tab w:val="left" w:pos="1108"/>
          <w:tab w:val="left" w:pos="1134"/>
        </w:tabs>
        <w:spacing w:line="460" w:lineRule="exact"/>
        <w:ind w:left="502" w:firstLine="240" w:firstLineChars="100"/>
        <w:rPr>
          <w:rFonts w:eastAsia="仿宋"/>
          <w:bCs/>
          <w:color w:val="auto"/>
          <w:kern w:val="0"/>
          <w:sz w:val="24"/>
          <w:highlight w:val="none"/>
        </w:rPr>
      </w:pPr>
      <w:r>
        <w:rPr>
          <w:rFonts w:eastAsia="仿宋"/>
          <w:color w:val="auto"/>
          <w:sz w:val="24"/>
          <w:highlight w:val="none"/>
        </w:rPr>
        <w:t xml:space="preserve">第六章 </w:t>
      </w:r>
      <w:r>
        <w:rPr>
          <w:rFonts w:eastAsia="仿宋"/>
          <w:bCs/>
          <w:color w:val="auto"/>
          <w:kern w:val="0"/>
          <w:sz w:val="24"/>
          <w:highlight w:val="none"/>
        </w:rPr>
        <w:t>评标方法</w:t>
      </w:r>
    </w:p>
    <w:p>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5.2.投标人应认真阅读招标文件中所有的事项、格式、条款和技术规范等。如果投标人没有按照招标文件要求提交全部资料，或者投标没有对招标文件在各方面都做出实质性响应，因此导致其投标被拒绝或者被认定为无效投标，该责任由投标人承担。</w:t>
      </w:r>
    </w:p>
    <w:p>
      <w:pPr>
        <w:numPr>
          <w:ilvl w:val="0"/>
          <w:numId w:val="3"/>
        </w:numPr>
        <w:spacing w:line="460" w:lineRule="exact"/>
        <w:ind w:left="284" w:hanging="284"/>
        <w:rPr>
          <w:rFonts w:eastAsia="仿宋"/>
          <w:b/>
          <w:bCs/>
          <w:color w:val="auto"/>
          <w:kern w:val="0"/>
          <w:sz w:val="24"/>
          <w:highlight w:val="none"/>
        </w:rPr>
      </w:pPr>
      <w:r>
        <w:rPr>
          <w:rFonts w:eastAsia="仿宋"/>
          <w:b/>
          <w:bCs/>
          <w:color w:val="auto"/>
          <w:kern w:val="0"/>
          <w:sz w:val="24"/>
          <w:highlight w:val="none"/>
        </w:rPr>
        <w:t>澄清或修改</w:t>
      </w:r>
    </w:p>
    <w:p>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6.1.采购人或者采购代理机构可以对已发出的招标文件（采购标的和资格条件除外）进行必要的澄清或者修改，修改后的澄清（答疑）文件经采购人确认，并在中国政府采购网发布更正公告，澄清或修改</w:t>
      </w:r>
      <w:bookmarkStart w:id="127" w:name="_Hlk25941639"/>
      <w:r>
        <w:rPr>
          <w:rFonts w:eastAsia="仿宋"/>
          <w:bCs/>
          <w:color w:val="auto"/>
          <w:kern w:val="0"/>
          <w:sz w:val="24"/>
          <w:highlight w:val="none"/>
        </w:rPr>
        <w:t>以邮件的形式通知所有已获取招标文件的投标人</w:t>
      </w:r>
      <w:bookmarkEnd w:id="127"/>
      <w:r>
        <w:rPr>
          <w:rFonts w:eastAsia="仿宋"/>
          <w:bCs/>
          <w:color w:val="auto"/>
          <w:kern w:val="0"/>
          <w:sz w:val="24"/>
          <w:highlight w:val="none"/>
        </w:rPr>
        <w:t>，除此之外不做另行通知，如未及时领取澄清（答疑）文件，产生的后果由投标人自己承担。</w:t>
      </w:r>
    </w:p>
    <w:p>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6.2.澄清或者修改内容可能影响投标文件编制的，采购人或者采购代理机构应当在投标截止时间至少15日前以邮件的形式通知所有已获取招标文件的投标人，不足15日的采购人或者采购代理机构应当顺延提交投标文件截止时间。</w:t>
      </w:r>
    </w:p>
    <w:p>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6.3.该澄清或修改文件的内容是招标文件的组成部分，并对投标人具有约束力。</w:t>
      </w:r>
    </w:p>
    <w:p>
      <w:pPr>
        <w:spacing w:line="460" w:lineRule="exact"/>
        <w:jc w:val="center"/>
        <w:outlineLvl w:val="1"/>
        <w:rPr>
          <w:rFonts w:eastAsia="仿宋"/>
          <w:b/>
          <w:bCs/>
          <w:color w:val="auto"/>
          <w:kern w:val="0"/>
          <w:sz w:val="24"/>
          <w:highlight w:val="none"/>
        </w:rPr>
      </w:pPr>
      <w:bookmarkStart w:id="128" w:name="_Toc16600"/>
      <w:bookmarkStart w:id="129" w:name="_Toc878"/>
      <w:bookmarkStart w:id="130" w:name="_Toc2561"/>
      <w:bookmarkStart w:id="131" w:name="_Toc6770"/>
      <w:bookmarkStart w:id="132" w:name="_Toc29362"/>
      <w:bookmarkStart w:id="133" w:name="_Toc111018935"/>
      <w:bookmarkStart w:id="134" w:name="_Toc6179"/>
      <w:bookmarkStart w:id="135" w:name="_Toc8918"/>
      <w:bookmarkStart w:id="136" w:name="_Toc4658"/>
      <w:r>
        <w:rPr>
          <w:rFonts w:eastAsia="仿宋"/>
          <w:b/>
          <w:bCs/>
          <w:color w:val="auto"/>
          <w:kern w:val="0"/>
          <w:sz w:val="24"/>
          <w:highlight w:val="none"/>
        </w:rPr>
        <w:t>三、政府采购优惠政策</w:t>
      </w:r>
      <w:bookmarkEnd w:id="128"/>
      <w:bookmarkEnd w:id="129"/>
      <w:bookmarkEnd w:id="130"/>
      <w:bookmarkEnd w:id="131"/>
      <w:bookmarkEnd w:id="132"/>
      <w:bookmarkEnd w:id="133"/>
      <w:bookmarkEnd w:id="134"/>
      <w:bookmarkEnd w:id="135"/>
      <w:bookmarkEnd w:id="136"/>
    </w:p>
    <w:p>
      <w:pPr>
        <w:numPr>
          <w:ilvl w:val="0"/>
          <w:numId w:val="3"/>
        </w:numPr>
        <w:spacing w:line="460" w:lineRule="exact"/>
        <w:ind w:left="284" w:hanging="284"/>
        <w:rPr>
          <w:rFonts w:eastAsia="仿宋"/>
          <w:b/>
          <w:bCs/>
          <w:color w:val="auto"/>
          <w:kern w:val="0"/>
          <w:sz w:val="24"/>
          <w:highlight w:val="none"/>
        </w:rPr>
      </w:pPr>
      <w:r>
        <w:rPr>
          <w:rFonts w:eastAsia="仿宋"/>
          <w:b/>
          <w:bCs/>
          <w:color w:val="auto"/>
          <w:kern w:val="0"/>
          <w:sz w:val="24"/>
          <w:highlight w:val="none"/>
        </w:rPr>
        <w:t>中小企业或监狱企业参加投标享受的扶持政策</w:t>
      </w:r>
    </w:p>
    <w:p>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7.1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7.2.投标的货物由小型或微型企业生产且使用该小型或微型企业商号或者注册商标，将对投标报价给予10%的扣除，用扣除后的价格参加评审。</w:t>
      </w:r>
    </w:p>
    <w:p>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7.3.中小企业参加政府采购活动时，必须提供《中小企业声明函》，否则不得享受相关中小企业扶持政策。</w:t>
      </w:r>
    </w:p>
    <w:p>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7.4.投标人提供的货物既有中小企业制造商货物，也有大型企业制造货物的，不享受《政府采购促进中小企业发展管理办法》规定的中小企业扶持政策。</w:t>
      </w:r>
    </w:p>
    <w:p>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7.5.享受扶持政策获得政府采购合同的，小微企业不得将合同分包给大中型企业，中型企业不得将合同分包给大型企业。</w:t>
      </w:r>
    </w:p>
    <w:p>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7.6.根据《财政部 司法部关于政府采购支持监狱企业发展有关问题的通知》（财库[2014]68号）的规定，监狱企业视同小型、微型企业，投标的货物由小型或微型企业生产且使用该小型或微型企业商号或者注册商标，将对报价给予10%的扣除。监狱企业参加本次政府采购活动时，应当提供由省级以上监狱管理局、戒毒管理局（含新疆生产建设兵团）出具的属于监狱企业的证明文件，提交的监狱企业的证明文件不真实的，应承担相应的法律责任。</w:t>
      </w:r>
    </w:p>
    <w:p>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残疾人福利性单位参加投标享受的扶持政策</w:t>
      </w:r>
    </w:p>
    <w:p>
      <w:pPr>
        <w:tabs>
          <w:tab w:val="left" w:pos="0"/>
          <w:tab w:val="left" w:pos="284"/>
          <w:tab w:val="left" w:pos="587"/>
          <w:tab w:val="left" w:pos="709"/>
        </w:tabs>
        <w:spacing w:line="460" w:lineRule="exact"/>
        <w:ind w:firstLine="480" w:firstLineChars="200"/>
        <w:rPr>
          <w:rFonts w:eastAsia="仿宋"/>
          <w:bCs/>
          <w:color w:val="auto"/>
          <w:kern w:val="0"/>
          <w:sz w:val="24"/>
          <w:highlight w:val="none"/>
        </w:rPr>
      </w:pPr>
      <w:r>
        <w:rPr>
          <w:rFonts w:eastAsia="仿宋"/>
          <w:bCs/>
          <w:color w:val="auto"/>
          <w:kern w:val="0"/>
          <w:sz w:val="24"/>
          <w:highlight w:val="none"/>
        </w:rPr>
        <w:t>根据《三部门联合发布关于促进残疾人就业政府采购政策的通知》（财库[2017]141号）的规定，</w:t>
      </w:r>
      <w:r>
        <w:rPr>
          <w:rFonts w:eastAsia="仿宋"/>
          <w:color w:val="auto"/>
          <w:sz w:val="24"/>
          <w:highlight w:val="none"/>
        </w:rPr>
        <w:t>残疾人福利性单位视同小型、微型企业，</w:t>
      </w:r>
      <w:r>
        <w:rPr>
          <w:rFonts w:eastAsia="仿宋"/>
          <w:color w:val="auto"/>
          <w:kern w:val="0"/>
          <w:sz w:val="24"/>
          <w:highlight w:val="none"/>
        </w:rPr>
        <w:t>投标的货物由小型或微型企业生产且使用该小型或微型企业商号或者注册商标，</w:t>
      </w:r>
      <w:r>
        <w:rPr>
          <w:rFonts w:eastAsia="仿宋"/>
          <w:color w:val="auto"/>
          <w:sz w:val="24"/>
          <w:highlight w:val="none"/>
        </w:rPr>
        <w:t>将对投标报价给予10%的扣除。残疾人福利性单位</w:t>
      </w:r>
      <w:r>
        <w:rPr>
          <w:rFonts w:eastAsia="仿宋"/>
          <w:color w:val="auto"/>
          <w:kern w:val="0"/>
          <w:sz w:val="24"/>
          <w:highlight w:val="none"/>
        </w:rPr>
        <w:t>参加本次政府采购活动时，</w:t>
      </w:r>
      <w:r>
        <w:rPr>
          <w:rFonts w:eastAsia="仿宋"/>
          <w:color w:val="auto"/>
          <w:sz w:val="24"/>
          <w:highlight w:val="none"/>
        </w:rPr>
        <w:t>应当提供招标文件要求的《残疾人福利性单位声明函》给予证明，并对声明的真实性负责。提交的残疾人福利性单位声明函不真实的，应承担相应的法律责任。</w:t>
      </w:r>
    </w:p>
    <w:p>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节能产品和环境标志产品</w:t>
      </w:r>
    </w:p>
    <w:p>
      <w:pPr>
        <w:numPr>
          <w:ilvl w:val="1"/>
          <w:numId w:val="6"/>
        </w:numPr>
        <w:tabs>
          <w:tab w:val="left" w:pos="0"/>
          <w:tab w:val="left" w:pos="284"/>
          <w:tab w:val="left" w:pos="567"/>
          <w:tab w:val="left" w:pos="993"/>
        </w:tabs>
        <w:spacing w:line="460" w:lineRule="exact"/>
        <w:ind w:left="0" w:firstLine="0"/>
        <w:rPr>
          <w:rFonts w:eastAsia="仿宋"/>
          <w:bCs/>
          <w:color w:val="auto"/>
          <w:kern w:val="0"/>
          <w:sz w:val="24"/>
          <w:highlight w:val="none"/>
        </w:rPr>
      </w:pPr>
      <w:r>
        <w:rPr>
          <w:rFonts w:eastAsia="仿宋"/>
          <w:bCs/>
          <w:color w:val="auto"/>
          <w:kern w:val="0"/>
          <w:sz w:val="24"/>
          <w:highlight w:val="none"/>
        </w:rPr>
        <w:t>采购人购买的产品属于《节能产品政府采购品目清单》或《环境标志产品政府采购品目清单》强制采购目录范围的，投标人应当按照</w:t>
      </w:r>
      <w:r>
        <w:rPr>
          <w:rFonts w:hint="eastAsia" w:eastAsia="仿宋"/>
          <w:bCs/>
          <w:color w:val="auto"/>
          <w:kern w:val="0"/>
          <w:sz w:val="24"/>
          <w:highlight w:val="none"/>
          <w:lang w:eastAsia="zh-CN"/>
        </w:rPr>
        <w:t>“</w:t>
      </w:r>
      <w:r>
        <w:rPr>
          <w:rFonts w:eastAsia="仿宋"/>
          <w:bCs/>
          <w:color w:val="auto"/>
          <w:kern w:val="0"/>
          <w:sz w:val="24"/>
          <w:highlight w:val="none"/>
        </w:rPr>
        <w:t>《国务院办公厅关于建立政府强制采购节能产品制度的通知》（国办发[2007]51号）</w:t>
      </w:r>
      <w:r>
        <w:rPr>
          <w:rFonts w:hint="eastAsia" w:eastAsia="仿宋"/>
          <w:bCs/>
          <w:color w:val="auto"/>
          <w:kern w:val="0"/>
          <w:sz w:val="24"/>
          <w:highlight w:val="none"/>
          <w:lang w:eastAsia="zh-CN"/>
        </w:rPr>
        <w:t>”</w:t>
      </w:r>
      <w:r>
        <w:rPr>
          <w:rFonts w:eastAsia="仿宋"/>
          <w:bCs/>
          <w:color w:val="auto"/>
          <w:kern w:val="0"/>
          <w:sz w:val="24"/>
          <w:highlight w:val="none"/>
        </w:rPr>
        <w:t>和</w:t>
      </w:r>
      <w:r>
        <w:rPr>
          <w:rFonts w:hint="eastAsia" w:eastAsia="仿宋"/>
          <w:bCs/>
          <w:color w:val="auto"/>
          <w:kern w:val="0"/>
          <w:sz w:val="24"/>
          <w:highlight w:val="none"/>
          <w:lang w:eastAsia="zh-CN"/>
        </w:rPr>
        <w:t>“</w:t>
      </w:r>
      <w:r>
        <w:rPr>
          <w:rFonts w:eastAsia="仿宋"/>
          <w:bCs/>
          <w:color w:val="auto"/>
          <w:kern w:val="0"/>
          <w:sz w:val="24"/>
          <w:highlight w:val="none"/>
        </w:rPr>
        <w:t>《财政部 发展改革委 生态环境部 市场监管总局 关于调整优化节能产品、环境标志产品政府采购执行机制的通知》（财库[2019]9号）</w:t>
      </w:r>
      <w:r>
        <w:rPr>
          <w:rFonts w:hint="eastAsia" w:eastAsia="仿宋"/>
          <w:bCs/>
          <w:color w:val="auto"/>
          <w:kern w:val="0"/>
          <w:sz w:val="24"/>
          <w:highlight w:val="none"/>
          <w:lang w:eastAsia="zh-CN"/>
        </w:rPr>
        <w:t>”</w:t>
      </w:r>
      <w:r>
        <w:rPr>
          <w:rFonts w:eastAsia="仿宋"/>
          <w:bCs/>
          <w:color w:val="auto"/>
          <w:kern w:val="0"/>
          <w:sz w:val="24"/>
          <w:highlight w:val="none"/>
        </w:rPr>
        <w:t>的规定，选择符合要求的节能产品和环境标志产品参与投标。</w:t>
      </w:r>
    </w:p>
    <w:p>
      <w:pPr>
        <w:numPr>
          <w:ilvl w:val="1"/>
          <w:numId w:val="6"/>
        </w:numPr>
        <w:tabs>
          <w:tab w:val="left" w:pos="0"/>
          <w:tab w:val="left" w:pos="284"/>
          <w:tab w:val="left" w:pos="567"/>
          <w:tab w:val="left" w:pos="993"/>
        </w:tabs>
        <w:spacing w:line="460" w:lineRule="exact"/>
        <w:ind w:left="0" w:firstLine="0"/>
        <w:rPr>
          <w:rFonts w:eastAsia="仿宋"/>
          <w:bCs/>
          <w:color w:val="auto"/>
          <w:kern w:val="0"/>
          <w:sz w:val="24"/>
          <w:highlight w:val="none"/>
        </w:rPr>
      </w:pPr>
      <w:r>
        <w:rPr>
          <w:rFonts w:eastAsia="仿宋"/>
          <w:bCs/>
          <w:color w:val="auto"/>
          <w:kern w:val="0"/>
          <w:sz w:val="24"/>
          <w:highlight w:val="none"/>
        </w:rPr>
        <w:t>采购人购买的产品不属于《节能产品政府采购品目清单》或《环境标志产品政府采购品目清单》强制采购目录范围的，对于投标人选择《节能产品政府采购品目清单》或《环境标志产品政府采购品目清单》范围内产品参与投标的，予以优先采购。</w:t>
      </w:r>
    </w:p>
    <w:p>
      <w:pPr>
        <w:numPr>
          <w:ilvl w:val="1"/>
          <w:numId w:val="6"/>
        </w:numPr>
        <w:tabs>
          <w:tab w:val="left" w:pos="0"/>
          <w:tab w:val="left" w:pos="284"/>
          <w:tab w:val="left" w:pos="567"/>
          <w:tab w:val="left" w:pos="993"/>
        </w:tabs>
        <w:spacing w:line="460" w:lineRule="exact"/>
        <w:ind w:left="0" w:firstLine="0"/>
        <w:rPr>
          <w:rFonts w:eastAsia="仿宋"/>
          <w:bCs/>
          <w:color w:val="auto"/>
          <w:kern w:val="0"/>
          <w:sz w:val="24"/>
          <w:highlight w:val="none"/>
        </w:rPr>
      </w:pPr>
      <w:r>
        <w:rPr>
          <w:rFonts w:eastAsia="仿宋"/>
          <w:bCs/>
          <w:color w:val="auto"/>
          <w:kern w:val="0"/>
          <w:sz w:val="24"/>
          <w:highlight w:val="none"/>
        </w:rPr>
        <w:t>以中国政府采购网（</w:t>
      </w:r>
      <w:r>
        <w:rPr>
          <w:rFonts w:eastAsia="仿宋"/>
          <w:color w:val="auto"/>
          <w:kern w:val="0"/>
          <w:sz w:val="24"/>
          <w:highlight w:val="none"/>
        </w:rPr>
        <w:drawing>
          <wp:inline distT="0" distB="0" distL="0" distR="0">
            <wp:extent cx="191135" cy="142875"/>
            <wp:effectExtent l="0" t="0" r="18415" b="9525"/>
            <wp:docPr id="2" name="图片 1" descr="%W@GJ$ACOF(TYDYECOKVDY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W@GJ$ACOF(TYDYECOKVDYB"/>
                    <pic:cNvPicPr>
                      <a:picLocks noChangeAspect="1" noChangeArrowheads="1"/>
                    </pic:cNvPicPr>
                  </pic:nvPicPr>
                  <pic:blipFill>
                    <a:blip r:embed="rId19"/>
                    <a:srcRect/>
                    <a:stretch>
                      <a:fillRect/>
                    </a:stretch>
                  </pic:blipFill>
                  <pic:spPr>
                    <a:xfrm>
                      <a:off x="0" y="0"/>
                      <a:ext cx="191135" cy="142875"/>
                    </a:xfrm>
                    <a:prstGeom prst="rect">
                      <a:avLst/>
                    </a:prstGeom>
                    <a:noFill/>
                    <a:ln w="9525">
                      <a:noFill/>
                      <a:miter lim="800000"/>
                      <a:headEnd/>
                      <a:tailEnd/>
                    </a:ln>
                  </pic:spPr>
                </pic:pic>
              </a:graphicData>
            </a:graphic>
          </wp:inline>
        </w:drawing>
      </w:r>
      <w:r>
        <w:rPr>
          <w:rFonts w:eastAsia="仿宋"/>
          <w:bCs/>
          <w:color w:val="auto"/>
          <w:kern w:val="0"/>
          <w:sz w:val="24"/>
          <w:highlight w:val="none"/>
        </w:rPr>
        <w:t>http://www.ccgp.gov.cn/）公布的最新《节能产品政府采购品目清单》和《环境标志产品政府采购品目清单》为准。</w:t>
      </w:r>
    </w:p>
    <w:p>
      <w:pPr>
        <w:numPr>
          <w:ilvl w:val="1"/>
          <w:numId w:val="6"/>
        </w:numPr>
        <w:tabs>
          <w:tab w:val="left" w:pos="0"/>
          <w:tab w:val="left" w:pos="284"/>
          <w:tab w:val="left" w:pos="567"/>
          <w:tab w:val="left" w:pos="993"/>
        </w:tabs>
        <w:spacing w:line="460" w:lineRule="exact"/>
        <w:ind w:left="0" w:firstLine="0"/>
        <w:rPr>
          <w:rFonts w:eastAsia="仿宋"/>
          <w:bCs/>
          <w:color w:val="auto"/>
          <w:kern w:val="0"/>
          <w:sz w:val="24"/>
          <w:highlight w:val="none"/>
        </w:rPr>
      </w:pPr>
      <w:r>
        <w:rPr>
          <w:rFonts w:eastAsia="仿宋"/>
          <w:bCs/>
          <w:color w:val="auto"/>
          <w:kern w:val="0"/>
          <w:sz w:val="24"/>
          <w:highlight w:val="none"/>
        </w:rPr>
        <w:t>投标人选择</w:t>
      </w:r>
      <w:r>
        <w:rPr>
          <w:rFonts w:hint="eastAsia" w:eastAsia="仿宋"/>
          <w:bCs/>
          <w:color w:val="auto"/>
          <w:kern w:val="0"/>
          <w:sz w:val="24"/>
          <w:highlight w:val="none"/>
          <w:lang w:eastAsia="zh-CN"/>
        </w:rPr>
        <w:t>“</w:t>
      </w:r>
      <w:r>
        <w:rPr>
          <w:rFonts w:eastAsia="仿宋"/>
          <w:bCs/>
          <w:color w:val="auto"/>
          <w:kern w:val="0"/>
          <w:sz w:val="24"/>
          <w:highlight w:val="none"/>
        </w:rPr>
        <w:t>节能产品</w:t>
      </w:r>
      <w:r>
        <w:rPr>
          <w:rFonts w:hint="eastAsia" w:eastAsia="仿宋"/>
          <w:bCs/>
          <w:color w:val="auto"/>
          <w:kern w:val="0"/>
          <w:sz w:val="24"/>
          <w:highlight w:val="none"/>
          <w:lang w:eastAsia="zh-CN"/>
        </w:rPr>
        <w:t>”</w:t>
      </w:r>
      <w:r>
        <w:rPr>
          <w:rFonts w:eastAsia="仿宋"/>
          <w:bCs/>
          <w:color w:val="auto"/>
          <w:kern w:val="0"/>
          <w:sz w:val="24"/>
          <w:highlight w:val="none"/>
        </w:rPr>
        <w:t>和</w:t>
      </w:r>
      <w:r>
        <w:rPr>
          <w:rFonts w:hint="eastAsia" w:eastAsia="仿宋"/>
          <w:bCs/>
          <w:color w:val="auto"/>
          <w:kern w:val="0"/>
          <w:sz w:val="24"/>
          <w:highlight w:val="none"/>
          <w:lang w:eastAsia="zh-CN"/>
        </w:rPr>
        <w:t>“</w:t>
      </w:r>
      <w:r>
        <w:rPr>
          <w:rFonts w:eastAsia="仿宋"/>
          <w:bCs/>
          <w:color w:val="auto"/>
          <w:kern w:val="0"/>
          <w:sz w:val="24"/>
          <w:highlight w:val="none"/>
        </w:rPr>
        <w:t>环境标志产品</w:t>
      </w:r>
      <w:r>
        <w:rPr>
          <w:rFonts w:hint="eastAsia" w:eastAsia="仿宋"/>
          <w:bCs/>
          <w:color w:val="auto"/>
          <w:kern w:val="0"/>
          <w:sz w:val="24"/>
          <w:highlight w:val="none"/>
          <w:lang w:eastAsia="zh-CN"/>
        </w:rPr>
        <w:t>”</w:t>
      </w:r>
      <w:r>
        <w:rPr>
          <w:rFonts w:eastAsia="仿宋"/>
          <w:bCs/>
          <w:color w:val="auto"/>
          <w:kern w:val="0"/>
          <w:sz w:val="24"/>
          <w:highlight w:val="none"/>
        </w:rPr>
        <w:t>参与投标的，应当在投标文件中提供由国家确定的认证机构出具的处于有效期之内的节能产品、环境标志产品认证证书，对获得证书的产品实施政府优先采购或强制采购。</w:t>
      </w:r>
    </w:p>
    <w:p>
      <w:pPr>
        <w:spacing w:line="460" w:lineRule="exact"/>
        <w:jc w:val="center"/>
        <w:outlineLvl w:val="1"/>
        <w:rPr>
          <w:rFonts w:eastAsia="仿宋"/>
          <w:b/>
          <w:bCs/>
          <w:color w:val="auto"/>
          <w:kern w:val="0"/>
          <w:sz w:val="24"/>
          <w:highlight w:val="none"/>
        </w:rPr>
      </w:pPr>
      <w:bookmarkStart w:id="137" w:name="_Toc25767"/>
      <w:bookmarkStart w:id="138" w:name="_Toc6502"/>
      <w:bookmarkStart w:id="139" w:name="_Toc30618"/>
      <w:bookmarkStart w:id="140" w:name="_Toc16205"/>
      <w:bookmarkStart w:id="141" w:name="_Toc8901"/>
      <w:bookmarkStart w:id="142" w:name="_Toc111018936"/>
      <w:bookmarkStart w:id="143" w:name="_Toc2927"/>
      <w:bookmarkStart w:id="144" w:name="_Toc29312"/>
      <w:bookmarkStart w:id="145" w:name="_Toc12444"/>
      <w:r>
        <w:rPr>
          <w:rFonts w:eastAsia="仿宋"/>
          <w:b/>
          <w:bCs/>
          <w:color w:val="auto"/>
          <w:kern w:val="0"/>
          <w:sz w:val="24"/>
          <w:highlight w:val="none"/>
        </w:rPr>
        <w:t>四、投标文件的编制</w:t>
      </w:r>
      <w:bookmarkEnd w:id="137"/>
      <w:bookmarkEnd w:id="138"/>
      <w:bookmarkEnd w:id="139"/>
      <w:bookmarkEnd w:id="140"/>
      <w:bookmarkEnd w:id="141"/>
      <w:bookmarkEnd w:id="142"/>
      <w:bookmarkEnd w:id="143"/>
      <w:bookmarkEnd w:id="144"/>
      <w:bookmarkEnd w:id="145"/>
    </w:p>
    <w:p>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 xml:space="preserve"> 注意事项</w:t>
      </w:r>
    </w:p>
    <w:p>
      <w:pPr>
        <w:numPr>
          <w:ilvl w:val="1"/>
          <w:numId w:val="7"/>
        </w:numPr>
        <w:tabs>
          <w:tab w:val="left" w:pos="709"/>
        </w:tabs>
        <w:spacing w:line="460" w:lineRule="exact"/>
        <w:ind w:left="709" w:hanging="709"/>
        <w:rPr>
          <w:rFonts w:eastAsia="仿宋"/>
          <w:bCs/>
          <w:color w:val="auto"/>
          <w:kern w:val="0"/>
          <w:sz w:val="24"/>
          <w:highlight w:val="none"/>
        </w:rPr>
      </w:pPr>
      <w:r>
        <w:rPr>
          <w:rFonts w:eastAsia="仿宋"/>
          <w:bCs/>
          <w:color w:val="auto"/>
          <w:kern w:val="0"/>
          <w:sz w:val="24"/>
          <w:highlight w:val="none"/>
        </w:rPr>
        <w:t>投标人应仔细阅读招标文件，在完全了解招标文件的内容、要求后，编制投标文件。</w:t>
      </w:r>
    </w:p>
    <w:p>
      <w:pPr>
        <w:numPr>
          <w:ilvl w:val="1"/>
          <w:numId w:val="7"/>
        </w:numPr>
        <w:tabs>
          <w:tab w:val="left" w:pos="709"/>
        </w:tabs>
        <w:spacing w:line="460" w:lineRule="exact"/>
        <w:ind w:left="709" w:hanging="709"/>
        <w:rPr>
          <w:rFonts w:eastAsia="仿宋"/>
          <w:bCs/>
          <w:color w:val="auto"/>
          <w:kern w:val="0"/>
          <w:sz w:val="24"/>
          <w:highlight w:val="none"/>
        </w:rPr>
      </w:pPr>
      <w:r>
        <w:rPr>
          <w:rFonts w:eastAsia="仿宋"/>
          <w:bCs/>
          <w:color w:val="auto"/>
          <w:kern w:val="0"/>
          <w:sz w:val="24"/>
          <w:highlight w:val="none"/>
        </w:rPr>
        <w:t>投标人应按投标文件的构成顺序自编目录及页码。</w:t>
      </w:r>
    </w:p>
    <w:p>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构成</w:t>
      </w:r>
    </w:p>
    <w:p>
      <w:pPr>
        <w:tabs>
          <w:tab w:val="left" w:pos="284"/>
          <w:tab w:val="left" w:pos="851"/>
          <w:tab w:val="left" w:pos="1108"/>
        </w:tabs>
        <w:spacing w:line="460" w:lineRule="exact"/>
        <w:ind w:firstLine="480" w:firstLineChars="200"/>
        <w:rPr>
          <w:rFonts w:eastAsia="仿宋"/>
          <w:bCs/>
          <w:color w:val="auto"/>
          <w:kern w:val="0"/>
          <w:sz w:val="24"/>
          <w:highlight w:val="none"/>
        </w:rPr>
      </w:pPr>
      <w:r>
        <w:rPr>
          <w:rFonts w:eastAsia="仿宋"/>
          <w:bCs/>
          <w:color w:val="auto"/>
          <w:kern w:val="0"/>
          <w:sz w:val="24"/>
          <w:highlight w:val="none"/>
        </w:rPr>
        <w:t>投标人编制的投标文件应包括下列内容：</w:t>
      </w:r>
      <w:r>
        <w:rPr>
          <w:rFonts w:eastAsia="仿宋"/>
          <w:b/>
          <w:bCs/>
          <w:color w:val="auto"/>
          <w:kern w:val="0"/>
          <w:sz w:val="24"/>
          <w:highlight w:val="none"/>
        </w:rPr>
        <w:t>详见招标文件</w:t>
      </w:r>
      <w:r>
        <w:rPr>
          <w:rFonts w:hint="eastAsia" w:eastAsia="仿宋"/>
          <w:b/>
          <w:bCs/>
          <w:color w:val="auto"/>
          <w:kern w:val="0"/>
          <w:sz w:val="24"/>
          <w:highlight w:val="none"/>
          <w:lang w:eastAsia="zh-CN"/>
        </w:rPr>
        <w:t>“</w:t>
      </w:r>
      <w:r>
        <w:rPr>
          <w:rFonts w:eastAsia="仿宋"/>
          <w:b/>
          <w:bCs/>
          <w:color w:val="auto"/>
          <w:kern w:val="0"/>
          <w:sz w:val="24"/>
          <w:highlight w:val="none"/>
        </w:rPr>
        <w:t>第四章 投标文件格式</w:t>
      </w:r>
      <w:r>
        <w:rPr>
          <w:rFonts w:hint="eastAsia" w:eastAsia="仿宋"/>
          <w:b/>
          <w:bCs/>
          <w:color w:val="auto"/>
          <w:kern w:val="0"/>
          <w:sz w:val="24"/>
          <w:highlight w:val="none"/>
          <w:lang w:eastAsia="zh-CN"/>
        </w:rPr>
        <w:t>”</w:t>
      </w:r>
      <w:r>
        <w:rPr>
          <w:rFonts w:eastAsia="仿宋"/>
          <w:bCs/>
          <w:color w:val="auto"/>
          <w:kern w:val="0"/>
          <w:sz w:val="24"/>
          <w:highlight w:val="none"/>
        </w:rPr>
        <w:t>。</w:t>
      </w:r>
    </w:p>
    <w:p>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 xml:space="preserve"> 文字及计量单位</w:t>
      </w:r>
    </w:p>
    <w:p>
      <w:pPr>
        <w:numPr>
          <w:ilvl w:val="1"/>
          <w:numId w:val="8"/>
        </w:numPr>
        <w:tabs>
          <w:tab w:val="left" w:pos="284"/>
          <w:tab w:val="left" w:pos="709"/>
          <w:tab w:val="left" w:pos="1276"/>
        </w:tabs>
        <w:spacing w:line="460" w:lineRule="exact"/>
        <w:ind w:left="0" w:firstLine="0"/>
        <w:rPr>
          <w:rFonts w:eastAsia="仿宋"/>
          <w:bCs/>
          <w:color w:val="auto"/>
          <w:kern w:val="0"/>
          <w:sz w:val="24"/>
          <w:highlight w:val="none"/>
        </w:rPr>
      </w:pPr>
      <w:r>
        <w:rPr>
          <w:rFonts w:eastAsia="仿宋"/>
          <w:bCs/>
          <w:color w:val="auto"/>
          <w:kern w:val="0"/>
          <w:sz w:val="24"/>
          <w:highlight w:val="none"/>
        </w:rPr>
        <w:t>投标人的投标文件以及投标人与采购代理机构的所有来往的文件统一使用中文（另有规定的除外）。投标人提交的支持文件或印刷的文献可以用另一种语言，但相应内容应附有中文翻译本，在解释投标文件内容时以中文翻译本为准。</w:t>
      </w:r>
    </w:p>
    <w:p>
      <w:pPr>
        <w:numPr>
          <w:ilvl w:val="1"/>
          <w:numId w:val="8"/>
        </w:numPr>
        <w:tabs>
          <w:tab w:val="left" w:pos="284"/>
          <w:tab w:val="left" w:pos="709"/>
          <w:tab w:val="left" w:pos="1276"/>
        </w:tabs>
        <w:spacing w:line="460" w:lineRule="exact"/>
        <w:ind w:left="0" w:firstLine="0"/>
        <w:rPr>
          <w:rFonts w:eastAsia="仿宋"/>
          <w:bCs/>
          <w:color w:val="auto"/>
          <w:kern w:val="0"/>
          <w:sz w:val="24"/>
          <w:highlight w:val="none"/>
        </w:rPr>
      </w:pPr>
      <w:r>
        <w:rPr>
          <w:rFonts w:eastAsia="仿宋"/>
          <w:bCs/>
          <w:color w:val="auto"/>
          <w:kern w:val="0"/>
          <w:sz w:val="24"/>
          <w:highlight w:val="none"/>
        </w:rPr>
        <w:t>投标文件中使用的计量单位除招标文件中有特殊规定外，一律使用国家法定计量单位。</w:t>
      </w:r>
    </w:p>
    <w:p>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 xml:space="preserve"> 格式</w:t>
      </w:r>
    </w:p>
    <w:p>
      <w:pPr>
        <w:numPr>
          <w:ilvl w:val="1"/>
          <w:numId w:val="9"/>
        </w:numPr>
        <w:tabs>
          <w:tab w:val="left" w:pos="0"/>
          <w:tab w:val="left" w:pos="284"/>
          <w:tab w:val="left" w:pos="567"/>
          <w:tab w:val="left" w:pos="709"/>
          <w:tab w:val="left" w:pos="935"/>
          <w:tab w:val="left" w:pos="993"/>
          <w:tab w:val="left" w:pos="1108"/>
        </w:tabs>
        <w:spacing w:line="460" w:lineRule="exact"/>
        <w:ind w:left="0" w:firstLine="0"/>
        <w:rPr>
          <w:rFonts w:eastAsia="仿宋"/>
          <w:bCs/>
          <w:color w:val="auto"/>
          <w:kern w:val="0"/>
          <w:sz w:val="24"/>
          <w:highlight w:val="none"/>
        </w:rPr>
      </w:pPr>
      <w:r>
        <w:rPr>
          <w:rFonts w:eastAsia="仿宋"/>
          <w:bCs/>
          <w:color w:val="auto"/>
          <w:kern w:val="0"/>
          <w:sz w:val="24"/>
          <w:highlight w:val="none"/>
        </w:rPr>
        <w:t xml:space="preserve">投标人应按招标文件投标文件格式中提供的 </w:t>
      </w:r>
      <w:r>
        <w:rPr>
          <w:rFonts w:hint="eastAsia" w:eastAsia="仿宋"/>
          <w:bCs/>
          <w:color w:val="auto"/>
          <w:kern w:val="0"/>
          <w:sz w:val="24"/>
          <w:highlight w:val="none"/>
          <w:lang w:eastAsia="zh-CN"/>
        </w:rPr>
        <w:t>“</w:t>
      </w:r>
      <w:r>
        <w:rPr>
          <w:rFonts w:eastAsia="仿宋"/>
          <w:bCs/>
          <w:color w:val="auto"/>
          <w:kern w:val="0"/>
          <w:sz w:val="24"/>
          <w:highlight w:val="none"/>
        </w:rPr>
        <w:t>投标书</w:t>
      </w:r>
      <w:r>
        <w:rPr>
          <w:rFonts w:hint="eastAsia" w:eastAsia="仿宋"/>
          <w:bCs/>
          <w:color w:val="auto"/>
          <w:kern w:val="0"/>
          <w:sz w:val="24"/>
          <w:highlight w:val="none"/>
          <w:lang w:eastAsia="zh-CN"/>
        </w:rPr>
        <w:t>”</w:t>
      </w:r>
      <w:r>
        <w:rPr>
          <w:rFonts w:eastAsia="仿宋"/>
          <w:bCs/>
          <w:color w:val="auto"/>
          <w:kern w:val="0"/>
          <w:sz w:val="24"/>
          <w:highlight w:val="none"/>
        </w:rPr>
        <w:t>、</w:t>
      </w:r>
      <w:r>
        <w:rPr>
          <w:rFonts w:hint="eastAsia" w:eastAsia="仿宋"/>
          <w:bCs/>
          <w:color w:val="auto"/>
          <w:kern w:val="0"/>
          <w:sz w:val="24"/>
          <w:highlight w:val="none"/>
          <w:lang w:eastAsia="zh-CN"/>
        </w:rPr>
        <w:t>“</w:t>
      </w:r>
      <w:r>
        <w:rPr>
          <w:rFonts w:eastAsia="仿宋"/>
          <w:bCs/>
          <w:color w:val="auto"/>
          <w:kern w:val="0"/>
          <w:sz w:val="24"/>
          <w:highlight w:val="none"/>
        </w:rPr>
        <w:t>开标一览表</w:t>
      </w:r>
      <w:r>
        <w:rPr>
          <w:rFonts w:hint="eastAsia" w:eastAsia="仿宋"/>
          <w:bCs/>
          <w:color w:val="auto"/>
          <w:kern w:val="0"/>
          <w:sz w:val="24"/>
          <w:highlight w:val="none"/>
          <w:lang w:eastAsia="zh-CN"/>
        </w:rPr>
        <w:t>”</w:t>
      </w:r>
      <w:r>
        <w:rPr>
          <w:rFonts w:eastAsia="仿宋"/>
          <w:bCs/>
          <w:color w:val="auto"/>
          <w:kern w:val="0"/>
          <w:sz w:val="24"/>
          <w:highlight w:val="none"/>
        </w:rPr>
        <w:t>等格式详细完整地填写各项内容。</w:t>
      </w:r>
    </w:p>
    <w:p>
      <w:pPr>
        <w:numPr>
          <w:ilvl w:val="1"/>
          <w:numId w:val="9"/>
        </w:numPr>
        <w:tabs>
          <w:tab w:val="left" w:pos="0"/>
          <w:tab w:val="left" w:pos="284"/>
          <w:tab w:val="left" w:pos="709"/>
          <w:tab w:val="left" w:pos="935"/>
          <w:tab w:val="left" w:pos="993"/>
          <w:tab w:val="left" w:pos="1108"/>
        </w:tabs>
        <w:spacing w:line="460" w:lineRule="exact"/>
        <w:ind w:left="0" w:firstLine="0"/>
        <w:rPr>
          <w:rFonts w:eastAsia="仿宋"/>
          <w:bCs/>
          <w:color w:val="auto"/>
          <w:kern w:val="0"/>
          <w:sz w:val="24"/>
          <w:highlight w:val="none"/>
        </w:rPr>
      </w:pPr>
      <w:r>
        <w:rPr>
          <w:rFonts w:eastAsia="仿宋"/>
          <w:bCs/>
          <w:color w:val="auto"/>
          <w:kern w:val="0"/>
          <w:sz w:val="24"/>
          <w:highlight w:val="none"/>
        </w:rPr>
        <w:t>投标人不得将同一包中的内容拆开投标，</w:t>
      </w:r>
      <w:r>
        <w:rPr>
          <w:rFonts w:eastAsia="仿宋"/>
          <w:b/>
          <w:bCs/>
          <w:color w:val="auto"/>
          <w:kern w:val="0"/>
          <w:sz w:val="24"/>
          <w:highlight w:val="none"/>
        </w:rPr>
        <w:t>否则投标无效。</w:t>
      </w:r>
    </w:p>
    <w:p>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 xml:space="preserve"> 投标报价和货币</w:t>
      </w:r>
    </w:p>
    <w:p>
      <w:pPr>
        <w:numPr>
          <w:ilvl w:val="1"/>
          <w:numId w:val="10"/>
        </w:numPr>
        <w:tabs>
          <w:tab w:val="left" w:pos="0"/>
          <w:tab w:val="left" w:pos="284"/>
          <w:tab w:val="left" w:pos="567"/>
          <w:tab w:val="left" w:pos="709"/>
        </w:tabs>
        <w:spacing w:line="460" w:lineRule="exact"/>
        <w:ind w:left="0" w:firstLine="0"/>
        <w:rPr>
          <w:rFonts w:eastAsia="仿宋"/>
          <w:bCs/>
          <w:color w:val="auto"/>
          <w:kern w:val="0"/>
          <w:sz w:val="24"/>
          <w:highlight w:val="none"/>
        </w:rPr>
      </w:pPr>
      <w:r>
        <w:rPr>
          <w:rFonts w:eastAsia="仿宋"/>
          <w:bCs/>
          <w:color w:val="auto"/>
          <w:kern w:val="0"/>
          <w:sz w:val="24"/>
          <w:highlight w:val="none"/>
        </w:rPr>
        <w:t>投标人应按招标文件第五章中的内容作出完整、唯一报价，并且所报价格不得超过第一章中的预算金额，如有最高限价的，所报价格不得超过第一章中的最高限价，</w:t>
      </w:r>
      <w:r>
        <w:rPr>
          <w:rFonts w:eastAsia="仿宋"/>
          <w:b/>
          <w:color w:val="auto"/>
          <w:kern w:val="0"/>
          <w:sz w:val="24"/>
          <w:highlight w:val="none"/>
        </w:rPr>
        <w:t>否则投标无效。</w:t>
      </w:r>
    </w:p>
    <w:p>
      <w:pPr>
        <w:numPr>
          <w:ilvl w:val="1"/>
          <w:numId w:val="10"/>
        </w:numPr>
        <w:tabs>
          <w:tab w:val="left" w:pos="0"/>
          <w:tab w:val="left" w:pos="284"/>
          <w:tab w:val="left" w:pos="567"/>
          <w:tab w:val="left" w:pos="709"/>
          <w:tab w:val="left" w:pos="935"/>
        </w:tabs>
        <w:spacing w:line="460" w:lineRule="exact"/>
        <w:ind w:left="0" w:firstLine="0"/>
        <w:rPr>
          <w:rFonts w:eastAsia="仿宋"/>
          <w:b/>
          <w:bCs/>
          <w:color w:val="auto"/>
          <w:kern w:val="0"/>
          <w:sz w:val="24"/>
          <w:highlight w:val="none"/>
        </w:rPr>
      </w:pPr>
      <w:r>
        <w:rPr>
          <w:rFonts w:eastAsia="仿宋"/>
          <w:bCs/>
          <w:color w:val="auto"/>
          <w:kern w:val="0"/>
          <w:sz w:val="24"/>
          <w:highlight w:val="none"/>
        </w:rPr>
        <w:t>投标人须按开标一览表、开标一览表明细的内容填写单价、总价及其他事项。</w:t>
      </w:r>
    </w:p>
    <w:p>
      <w:pPr>
        <w:numPr>
          <w:ilvl w:val="1"/>
          <w:numId w:val="10"/>
        </w:numPr>
        <w:tabs>
          <w:tab w:val="left" w:pos="0"/>
          <w:tab w:val="left" w:pos="284"/>
          <w:tab w:val="left" w:pos="567"/>
          <w:tab w:val="left" w:pos="709"/>
        </w:tabs>
        <w:spacing w:line="460" w:lineRule="exact"/>
        <w:ind w:left="0" w:firstLine="0"/>
        <w:rPr>
          <w:rFonts w:eastAsia="仿宋"/>
          <w:bCs/>
          <w:color w:val="auto"/>
          <w:kern w:val="0"/>
          <w:sz w:val="24"/>
          <w:highlight w:val="none"/>
        </w:rPr>
      </w:pPr>
      <w:r>
        <w:rPr>
          <w:rFonts w:eastAsia="仿宋"/>
          <w:bCs/>
          <w:color w:val="auto"/>
          <w:kern w:val="0"/>
          <w:sz w:val="24"/>
          <w:highlight w:val="none"/>
        </w:rPr>
        <w:t>投标人的报价在合同执行过程中是固定不变的，不得以任何理由予以变更。投标人应对所有招标内容进行投标，且只提供最优方案一套，投标人提交任何包含价格调整要求的投标将按非实质性响应招标文件要求，</w:t>
      </w:r>
      <w:r>
        <w:rPr>
          <w:rFonts w:eastAsia="仿宋"/>
          <w:b/>
          <w:bCs/>
          <w:color w:val="auto"/>
          <w:kern w:val="0"/>
          <w:sz w:val="24"/>
          <w:highlight w:val="none"/>
        </w:rPr>
        <w:t>视为投标无效</w:t>
      </w:r>
      <w:r>
        <w:rPr>
          <w:rFonts w:eastAsia="仿宋"/>
          <w:bCs/>
          <w:color w:val="auto"/>
          <w:kern w:val="0"/>
          <w:sz w:val="24"/>
          <w:highlight w:val="none"/>
        </w:rPr>
        <w:t>。</w:t>
      </w:r>
    </w:p>
    <w:p>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 xml:space="preserve"> 证明投标人合格和资格的证明文件</w:t>
      </w:r>
    </w:p>
    <w:p>
      <w:pPr>
        <w:tabs>
          <w:tab w:val="left" w:pos="0"/>
          <w:tab w:val="left" w:pos="709"/>
          <w:tab w:val="left" w:pos="851"/>
          <w:tab w:val="left" w:pos="935"/>
        </w:tabs>
        <w:spacing w:line="460" w:lineRule="exact"/>
        <w:ind w:firstLine="480" w:firstLineChars="200"/>
        <w:rPr>
          <w:rFonts w:eastAsia="仿宋"/>
          <w:bCs/>
          <w:color w:val="auto"/>
          <w:kern w:val="0"/>
          <w:sz w:val="24"/>
          <w:highlight w:val="none"/>
        </w:rPr>
      </w:pPr>
      <w:r>
        <w:rPr>
          <w:rFonts w:eastAsia="仿宋"/>
          <w:bCs/>
          <w:color w:val="auto"/>
          <w:kern w:val="0"/>
          <w:sz w:val="24"/>
          <w:highlight w:val="none"/>
        </w:rPr>
        <w:t>投标人应提供证明其合格和资格的证明文件</w:t>
      </w:r>
      <w:r>
        <w:rPr>
          <w:rFonts w:hint="eastAsia" w:eastAsia="仿宋"/>
          <w:b/>
          <w:bCs/>
          <w:color w:val="auto"/>
          <w:kern w:val="0"/>
          <w:sz w:val="24"/>
          <w:highlight w:val="none"/>
          <w:lang w:eastAsia="zh-CN"/>
        </w:rPr>
        <w:t>（</w:t>
      </w:r>
      <w:r>
        <w:rPr>
          <w:rFonts w:eastAsia="仿宋"/>
          <w:b/>
          <w:bCs/>
          <w:color w:val="auto"/>
          <w:kern w:val="0"/>
          <w:sz w:val="24"/>
          <w:highlight w:val="none"/>
        </w:rPr>
        <w:t>格式详见：第四章 投标文件格式</w:t>
      </w:r>
      <w:r>
        <w:rPr>
          <w:rFonts w:hint="eastAsia" w:eastAsia="仿宋"/>
          <w:b/>
          <w:bCs/>
          <w:color w:val="auto"/>
          <w:kern w:val="0"/>
          <w:sz w:val="24"/>
          <w:highlight w:val="none"/>
          <w:lang w:eastAsia="zh-CN"/>
        </w:rPr>
        <w:t>“</w:t>
      </w:r>
      <w:r>
        <w:rPr>
          <w:rFonts w:eastAsia="仿宋"/>
          <w:b/>
          <w:bCs/>
          <w:color w:val="auto"/>
          <w:kern w:val="0"/>
          <w:sz w:val="24"/>
          <w:highlight w:val="none"/>
        </w:rPr>
        <w:t>资格证明文件</w:t>
      </w:r>
      <w:r>
        <w:rPr>
          <w:rFonts w:hint="eastAsia" w:eastAsia="仿宋"/>
          <w:b/>
          <w:bCs/>
          <w:color w:val="auto"/>
          <w:kern w:val="0"/>
          <w:sz w:val="24"/>
          <w:highlight w:val="none"/>
          <w:lang w:eastAsia="zh-CN"/>
        </w:rPr>
        <w:t>”）</w:t>
      </w:r>
      <w:r>
        <w:rPr>
          <w:rFonts w:eastAsia="仿宋"/>
          <w:bCs/>
          <w:color w:val="auto"/>
          <w:kern w:val="0"/>
          <w:sz w:val="24"/>
          <w:highlight w:val="none"/>
        </w:rPr>
        <w:t>。</w:t>
      </w:r>
    </w:p>
    <w:p>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 xml:space="preserve"> 证明货物和相关服务符合招标文件规定的文件</w:t>
      </w:r>
    </w:p>
    <w:p>
      <w:pPr>
        <w:tabs>
          <w:tab w:val="left" w:pos="0"/>
          <w:tab w:val="left" w:pos="709"/>
          <w:tab w:val="left" w:pos="851"/>
          <w:tab w:val="left" w:pos="935"/>
        </w:tabs>
        <w:spacing w:line="460" w:lineRule="exact"/>
        <w:ind w:firstLine="480" w:firstLineChars="200"/>
        <w:rPr>
          <w:rFonts w:eastAsia="仿宋"/>
          <w:bCs/>
          <w:color w:val="auto"/>
          <w:kern w:val="0"/>
          <w:sz w:val="24"/>
          <w:highlight w:val="none"/>
        </w:rPr>
      </w:pPr>
      <w:r>
        <w:rPr>
          <w:rFonts w:eastAsia="仿宋"/>
          <w:bCs/>
          <w:color w:val="auto"/>
          <w:kern w:val="0"/>
          <w:sz w:val="24"/>
          <w:highlight w:val="none"/>
        </w:rPr>
        <w:t>投标人应提交证明其拟供的合同项下的货物及相关服务符合招标文件规定的文件。该证明文件作为投标文件的一部分。</w:t>
      </w:r>
    </w:p>
    <w:p>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 xml:space="preserve"> 投标保证金</w:t>
      </w:r>
    </w:p>
    <w:p>
      <w:pPr>
        <w:numPr>
          <w:ilvl w:val="1"/>
          <w:numId w:val="11"/>
        </w:numPr>
        <w:tabs>
          <w:tab w:val="left" w:pos="0"/>
          <w:tab w:val="left" w:pos="709"/>
          <w:tab w:val="left" w:pos="935"/>
          <w:tab w:val="left" w:pos="993"/>
          <w:tab w:val="left" w:pos="1108"/>
        </w:tabs>
        <w:spacing w:line="460" w:lineRule="exact"/>
        <w:ind w:hanging="1077"/>
        <w:rPr>
          <w:rFonts w:eastAsia="仿宋"/>
          <w:bCs/>
          <w:color w:val="auto"/>
          <w:kern w:val="0"/>
          <w:sz w:val="24"/>
          <w:highlight w:val="none"/>
        </w:rPr>
      </w:pPr>
      <w:r>
        <w:rPr>
          <w:rFonts w:eastAsia="仿宋"/>
          <w:bCs/>
          <w:color w:val="auto"/>
          <w:kern w:val="0"/>
          <w:sz w:val="24"/>
          <w:highlight w:val="none"/>
        </w:rPr>
        <w:t>投标保证金提交金额、时间、形式等要求：</w:t>
      </w:r>
      <w:r>
        <w:rPr>
          <w:rFonts w:eastAsia="仿宋"/>
          <w:b/>
          <w:bCs/>
          <w:color w:val="auto"/>
          <w:kern w:val="0"/>
          <w:sz w:val="24"/>
          <w:highlight w:val="none"/>
          <w:u w:val="single"/>
        </w:rPr>
        <w:t>详见</w:t>
      </w:r>
      <w:r>
        <w:rPr>
          <w:rFonts w:hint="eastAsia" w:eastAsia="仿宋"/>
          <w:b/>
          <w:bCs/>
          <w:color w:val="auto"/>
          <w:kern w:val="0"/>
          <w:sz w:val="24"/>
          <w:highlight w:val="none"/>
          <w:u w:val="single"/>
          <w:lang w:eastAsia="zh-CN"/>
        </w:rPr>
        <w:t>“</w:t>
      </w:r>
      <w:r>
        <w:rPr>
          <w:rFonts w:eastAsia="仿宋"/>
          <w:b/>
          <w:color w:val="auto"/>
          <w:sz w:val="24"/>
          <w:highlight w:val="none"/>
          <w:u w:val="single"/>
        </w:rPr>
        <w:t>投标人须知前附表</w:t>
      </w:r>
      <w:r>
        <w:rPr>
          <w:rFonts w:hint="eastAsia" w:eastAsia="仿宋"/>
          <w:b/>
          <w:bCs/>
          <w:color w:val="auto"/>
          <w:kern w:val="0"/>
          <w:sz w:val="24"/>
          <w:highlight w:val="none"/>
          <w:u w:val="single"/>
          <w:lang w:eastAsia="zh-CN"/>
        </w:rPr>
        <w:t>”</w:t>
      </w:r>
      <w:r>
        <w:rPr>
          <w:rFonts w:eastAsia="仿宋"/>
          <w:bCs/>
          <w:color w:val="auto"/>
          <w:kern w:val="0"/>
          <w:sz w:val="24"/>
          <w:highlight w:val="none"/>
        </w:rPr>
        <w:t>。</w:t>
      </w:r>
    </w:p>
    <w:p>
      <w:pPr>
        <w:numPr>
          <w:ilvl w:val="1"/>
          <w:numId w:val="11"/>
        </w:numPr>
        <w:tabs>
          <w:tab w:val="left" w:pos="0"/>
          <w:tab w:val="left" w:pos="284"/>
          <w:tab w:val="left" w:pos="709"/>
          <w:tab w:val="left" w:pos="935"/>
          <w:tab w:val="left" w:pos="993"/>
          <w:tab w:val="left" w:pos="1108"/>
        </w:tabs>
        <w:spacing w:line="460" w:lineRule="exact"/>
        <w:ind w:left="0" w:firstLine="0"/>
        <w:rPr>
          <w:rFonts w:eastAsia="仿宋"/>
          <w:bCs/>
          <w:color w:val="auto"/>
          <w:kern w:val="0"/>
          <w:sz w:val="24"/>
          <w:highlight w:val="none"/>
        </w:rPr>
      </w:pPr>
      <w:r>
        <w:rPr>
          <w:rFonts w:eastAsia="仿宋"/>
          <w:bCs/>
          <w:color w:val="auto"/>
          <w:kern w:val="0"/>
          <w:sz w:val="24"/>
          <w:highlight w:val="none"/>
        </w:rPr>
        <w:t>未中标人的投标保证金，自中标通知书发出之日起5个工作日内退还。</w:t>
      </w:r>
    </w:p>
    <w:p>
      <w:pPr>
        <w:numPr>
          <w:ilvl w:val="1"/>
          <w:numId w:val="11"/>
        </w:numPr>
        <w:tabs>
          <w:tab w:val="left" w:pos="0"/>
          <w:tab w:val="left" w:pos="284"/>
          <w:tab w:val="left" w:pos="709"/>
          <w:tab w:val="left" w:pos="935"/>
          <w:tab w:val="left" w:pos="993"/>
          <w:tab w:val="left" w:pos="1108"/>
        </w:tabs>
        <w:spacing w:line="460" w:lineRule="exact"/>
        <w:ind w:left="0" w:firstLine="0"/>
        <w:rPr>
          <w:rFonts w:eastAsia="仿宋"/>
          <w:bCs/>
          <w:color w:val="auto"/>
          <w:kern w:val="0"/>
          <w:sz w:val="24"/>
          <w:highlight w:val="none"/>
        </w:rPr>
      </w:pPr>
      <w:r>
        <w:rPr>
          <w:rFonts w:eastAsia="仿宋"/>
          <w:bCs/>
          <w:color w:val="auto"/>
          <w:kern w:val="0"/>
          <w:sz w:val="24"/>
          <w:highlight w:val="none"/>
        </w:rPr>
        <w:t>中标人的投标保证金，自采购合同签订之日起5个工作日内退还。</w:t>
      </w:r>
    </w:p>
    <w:p>
      <w:pPr>
        <w:numPr>
          <w:ilvl w:val="1"/>
          <w:numId w:val="11"/>
        </w:numPr>
        <w:tabs>
          <w:tab w:val="left" w:pos="0"/>
          <w:tab w:val="left" w:pos="284"/>
          <w:tab w:val="left" w:pos="709"/>
          <w:tab w:val="left" w:pos="935"/>
          <w:tab w:val="left" w:pos="993"/>
          <w:tab w:val="left" w:pos="1108"/>
        </w:tabs>
        <w:spacing w:line="460" w:lineRule="exact"/>
        <w:ind w:left="0" w:firstLine="0"/>
        <w:rPr>
          <w:rFonts w:eastAsia="仿宋"/>
          <w:bCs/>
          <w:color w:val="auto"/>
          <w:kern w:val="0"/>
          <w:sz w:val="24"/>
          <w:highlight w:val="none"/>
        </w:rPr>
      </w:pPr>
      <w:r>
        <w:rPr>
          <w:rFonts w:eastAsia="仿宋"/>
          <w:bCs/>
          <w:color w:val="auto"/>
          <w:kern w:val="0"/>
          <w:sz w:val="24"/>
          <w:highlight w:val="none"/>
        </w:rPr>
        <w:t>下列任何情况发生时，不予退还其交纳的投标保证金：</w:t>
      </w:r>
    </w:p>
    <w:p>
      <w:pPr>
        <w:tabs>
          <w:tab w:val="left" w:pos="284"/>
          <w:tab w:val="left" w:pos="851"/>
          <w:tab w:val="left" w:pos="1108"/>
        </w:tabs>
        <w:spacing w:line="460" w:lineRule="exact"/>
        <w:ind w:firstLine="360" w:firstLineChars="150"/>
        <w:rPr>
          <w:rFonts w:eastAsia="仿宋"/>
          <w:bCs/>
          <w:color w:val="auto"/>
          <w:kern w:val="0"/>
          <w:sz w:val="24"/>
          <w:highlight w:val="none"/>
        </w:rPr>
      </w:pPr>
      <w:r>
        <w:rPr>
          <w:rFonts w:eastAsia="仿宋"/>
          <w:bCs/>
          <w:color w:val="auto"/>
          <w:kern w:val="0"/>
          <w:sz w:val="24"/>
          <w:highlight w:val="none"/>
        </w:rPr>
        <w:t>17.4.1投标人出现《政府采购法》第七十七条规定的情形之一的；</w:t>
      </w:r>
    </w:p>
    <w:p>
      <w:pPr>
        <w:tabs>
          <w:tab w:val="left" w:pos="284"/>
          <w:tab w:val="left" w:pos="851"/>
          <w:tab w:val="left" w:pos="1108"/>
        </w:tabs>
        <w:spacing w:line="460" w:lineRule="exact"/>
        <w:ind w:firstLine="360" w:firstLineChars="150"/>
        <w:rPr>
          <w:rFonts w:eastAsia="仿宋"/>
          <w:bCs/>
          <w:color w:val="auto"/>
          <w:kern w:val="0"/>
          <w:sz w:val="24"/>
          <w:highlight w:val="none"/>
        </w:rPr>
      </w:pPr>
      <w:r>
        <w:rPr>
          <w:rFonts w:eastAsia="仿宋"/>
          <w:bCs/>
          <w:color w:val="auto"/>
          <w:kern w:val="0"/>
          <w:sz w:val="24"/>
          <w:highlight w:val="none"/>
        </w:rPr>
        <w:t>17.4.2投标人在招标文件规定的投标有效期内撤回其投标；</w:t>
      </w:r>
    </w:p>
    <w:p>
      <w:pPr>
        <w:tabs>
          <w:tab w:val="left" w:pos="284"/>
          <w:tab w:val="left" w:pos="851"/>
          <w:tab w:val="left" w:pos="1108"/>
        </w:tabs>
        <w:spacing w:line="460" w:lineRule="exact"/>
        <w:ind w:firstLine="360" w:firstLineChars="150"/>
        <w:rPr>
          <w:rFonts w:eastAsia="仿宋"/>
          <w:bCs/>
          <w:color w:val="auto"/>
          <w:kern w:val="0"/>
          <w:sz w:val="24"/>
          <w:highlight w:val="none"/>
        </w:rPr>
      </w:pPr>
      <w:r>
        <w:rPr>
          <w:rFonts w:eastAsia="仿宋"/>
          <w:bCs/>
          <w:color w:val="auto"/>
          <w:kern w:val="0"/>
          <w:sz w:val="24"/>
          <w:highlight w:val="none"/>
        </w:rPr>
        <w:t>17.4.3中标人未按招标文件所述规定签订合同；</w:t>
      </w:r>
    </w:p>
    <w:p>
      <w:pPr>
        <w:tabs>
          <w:tab w:val="left" w:pos="284"/>
          <w:tab w:val="left" w:pos="851"/>
          <w:tab w:val="left" w:pos="1108"/>
        </w:tabs>
        <w:spacing w:line="460" w:lineRule="exact"/>
        <w:ind w:firstLine="360" w:firstLineChars="150"/>
        <w:rPr>
          <w:rFonts w:eastAsia="仿宋"/>
          <w:bCs/>
          <w:color w:val="auto"/>
          <w:kern w:val="0"/>
          <w:sz w:val="24"/>
          <w:highlight w:val="none"/>
        </w:rPr>
      </w:pPr>
      <w:r>
        <w:rPr>
          <w:rFonts w:eastAsia="仿宋"/>
          <w:bCs/>
          <w:color w:val="auto"/>
          <w:kern w:val="0"/>
          <w:sz w:val="24"/>
          <w:highlight w:val="none"/>
        </w:rPr>
        <w:t>17.4.4中标人未按规定缴纳代理服务费；</w:t>
      </w:r>
    </w:p>
    <w:p>
      <w:pPr>
        <w:tabs>
          <w:tab w:val="left" w:pos="284"/>
          <w:tab w:val="left" w:pos="851"/>
          <w:tab w:val="left" w:pos="1108"/>
        </w:tabs>
        <w:spacing w:line="460" w:lineRule="exact"/>
        <w:ind w:firstLine="360" w:firstLineChars="150"/>
        <w:rPr>
          <w:rFonts w:eastAsia="仿宋"/>
          <w:bCs/>
          <w:color w:val="auto"/>
          <w:kern w:val="0"/>
          <w:sz w:val="24"/>
          <w:highlight w:val="none"/>
        </w:rPr>
      </w:pPr>
      <w:r>
        <w:rPr>
          <w:rFonts w:eastAsia="仿宋"/>
          <w:bCs/>
          <w:color w:val="auto"/>
          <w:kern w:val="0"/>
          <w:sz w:val="24"/>
          <w:highlight w:val="none"/>
        </w:rPr>
        <w:t>17.4.5中标人未按规定提交履约保证金（如招标文件要求提交履约保证金）；</w:t>
      </w:r>
    </w:p>
    <w:p>
      <w:pPr>
        <w:keepNext w:val="0"/>
        <w:keepLines w:val="0"/>
        <w:pageBreakBefore w:val="0"/>
        <w:widowControl w:val="0"/>
        <w:tabs>
          <w:tab w:val="left" w:pos="0"/>
          <w:tab w:val="left" w:pos="709"/>
          <w:tab w:val="left" w:pos="935"/>
          <w:tab w:val="left" w:pos="993"/>
          <w:tab w:val="left" w:pos="1108"/>
        </w:tabs>
        <w:kinsoku/>
        <w:wordWrap/>
        <w:overflowPunct/>
        <w:topLinePunct w:val="0"/>
        <w:autoSpaceDE/>
        <w:autoSpaceDN/>
        <w:bidi w:val="0"/>
        <w:adjustRightInd/>
        <w:snapToGrid/>
        <w:spacing w:line="460" w:lineRule="exact"/>
        <w:ind w:firstLine="360" w:firstLineChars="150"/>
        <w:textAlignment w:val="auto"/>
        <w:rPr>
          <w:rFonts w:eastAsia="仿宋"/>
          <w:bCs/>
          <w:color w:val="auto"/>
          <w:kern w:val="0"/>
          <w:sz w:val="24"/>
          <w:highlight w:val="none"/>
        </w:rPr>
      </w:pPr>
      <w:r>
        <w:rPr>
          <w:rFonts w:eastAsia="仿宋"/>
          <w:bCs/>
          <w:color w:val="auto"/>
          <w:kern w:val="0"/>
          <w:sz w:val="24"/>
          <w:highlight w:val="none"/>
        </w:rPr>
        <w:t>17.4.6中标人提供虚假材料和文件意图骗取中标。</w:t>
      </w:r>
    </w:p>
    <w:p>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投标有效期</w:t>
      </w:r>
    </w:p>
    <w:p>
      <w:pPr>
        <w:numPr>
          <w:ilvl w:val="1"/>
          <w:numId w:val="12"/>
        </w:numPr>
        <w:tabs>
          <w:tab w:val="left" w:pos="0"/>
          <w:tab w:val="left" w:pos="284"/>
          <w:tab w:val="left" w:pos="709"/>
          <w:tab w:val="left" w:pos="935"/>
          <w:tab w:val="left" w:pos="993"/>
          <w:tab w:val="left" w:pos="1108"/>
        </w:tabs>
        <w:spacing w:line="460" w:lineRule="exact"/>
        <w:ind w:left="0" w:firstLine="0"/>
        <w:rPr>
          <w:rFonts w:eastAsia="仿宋"/>
          <w:color w:val="auto"/>
          <w:sz w:val="24"/>
          <w:highlight w:val="none"/>
        </w:rPr>
      </w:pPr>
      <w:r>
        <w:rPr>
          <w:rFonts w:eastAsia="仿宋"/>
          <w:color w:val="auto"/>
          <w:sz w:val="24"/>
          <w:highlight w:val="none"/>
        </w:rPr>
        <w:t>投标有效期：自开标之日起不少于九十个日历日，投标有效期不足的，</w:t>
      </w:r>
      <w:r>
        <w:rPr>
          <w:rFonts w:eastAsia="仿宋"/>
          <w:b/>
          <w:color w:val="auto"/>
          <w:sz w:val="24"/>
          <w:highlight w:val="none"/>
        </w:rPr>
        <w:t>投标无效。</w:t>
      </w:r>
    </w:p>
    <w:p>
      <w:pPr>
        <w:numPr>
          <w:ilvl w:val="1"/>
          <w:numId w:val="12"/>
        </w:numPr>
        <w:tabs>
          <w:tab w:val="left" w:pos="0"/>
          <w:tab w:val="left" w:pos="284"/>
          <w:tab w:val="left" w:pos="709"/>
          <w:tab w:val="left" w:pos="935"/>
          <w:tab w:val="left" w:pos="993"/>
          <w:tab w:val="left" w:pos="1108"/>
        </w:tabs>
        <w:spacing w:line="460" w:lineRule="exact"/>
        <w:ind w:left="0" w:firstLine="0"/>
        <w:rPr>
          <w:rFonts w:eastAsia="仿宋"/>
          <w:bCs/>
          <w:color w:val="auto"/>
          <w:kern w:val="0"/>
          <w:sz w:val="24"/>
          <w:highlight w:val="none"/>
        </w:rPr>
      </w:pPr>
      <w:r>
        <w:rPr>
          <w:rFonts w:eastAsia="仿宋"/>
          <w:color w:val="auto"/>
          <w:sz w:val="24"/>
          <w:highlight w:val="none"/>
        </w:rPr>
        <w:t>投标有效期内，投标人不得对投标文件的实质性内容作出修改，并且以投标保证金进行担保。</w:t>
      </w:r>
    </w:p>
    <w:p>
      <w:pPr>
        <w:numPr>
          <w:ilvl w:val="1"/>
          <w:numId w:val="12"/>
        </w:numPr>
        <w:tabs>
          <w:tab w:val="left" w:pos="0"/>
          <w:tab w:val="left" w:pos="284"/>
          <w:tab w:val="left" w:pos="709"/>
          <w:tab w:val="left" w:pos="935"/>
          <w:tab w:val="left" w:pos="993"/>
          <w:tab w:val="left" w:pos="1108"/>
        </w:tabs>
        <w:spacing w:line="460" w:lineRule="exact"/>
        <w:ind w:left="0" w:firstLine="0"/>
        <w:rPr>
          <w:rFonts w:eastAsia="仿宋"/>
          <w:bCs/>
          <w:color w:val="auto"/>
          <w:kern w:val="0"/>
          <w:sz w:val="24"/>
          <w:highlight w:val="none"/>
        </w:rPr>
      </w:pPr>
      <w:r>
        <w:rPr>
          <w:rFonts w:eastAsia="仿宋"/>
          <w:bCs/>
          <w:color w:val="auto"/>
          <w:kern w:val="0"/>
          <w:sz w:val="24"/>
          <w:highlight w:val="none"/>
        </w:rPr>
        <w:t>在特殊情况下，采购代理机构</w:t>
      </w:r>
      <w:r>
        <w:rPr>
          <w:rFonts w:eastAsia="仿宋"/>
          <w:color w:val="auto"/>
          <w:sz w:val="24"/>
          <w:highlight w:val="none"/>
        </w:rPr>
        <w:t>或采购人</w:t>
      </w:r>
      <w:r>
        <w:rPr>
          <w:rFonts w:eastAsia="仿宋"/>
          <w:bCs/>
          <w:color w:val="auto"/>
          <w:kern w:val="0"/>
          <w:sz w:val="24"/>
          <w:highlight w:val="none"/>
        </w:rPr>
        <w:t>可延长投标有效期。延长投标有效期在中国政府采购网上发布，延期函以网上公告的形式通知所有已参加投标人。已参加的投标人应以书面形式答复采购代理机构</w:t>
      </w:r>
      <w:r>
        <w:rPr>
          <w:rFonts w:eastAsia="仿宋"/>
          <w:color w:val="auto"/>
          <w:sz w:val="24"/>
          <w:highlight w:val="none"/>
        </w:rPr>
        <w:t>或采购人</w:t>
      </w:r>
      <w:r>
        <w:rPr>
          <w:rFonts w:eastAsia="仿宋"/>
          <w:bCs/>
          <w:color w:val="auto"/>
          <w:kern w:val="0"/>
          <w:sz w:val="24"/>
          <w:highlight w:val="none"/>
        </w:rPr>
        <w:t>，同意延长有效期的投标人不能修改其投标文件，有关投标保证金的规定在投标有效期的延长期内继续有效。</w:t>
      </w:r>
    </w:p>
    <w:p>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投标文件的签署</w:t>
      </w:r>
    </w:p>
    <w:p>
      <w:pPr>
        <w:numPr>
          <w:ilvl w:val="1"/>
          <w:numId w:val="13"/>
        </w:numPr>
        <w:tabs>
          <w:tab w:val="left" w:pos="0"/>
          <w:tab w:val="left" w:pos="284"/>
          <w:tab w:val="left" w:pos="567"/>
          <w:tab w:val="left" w:pos="709"/>
          <w:tab w:val="left" w:pos="851"/>
          <w:tab w:val="left" w:pos="935"/>
        </w:tabs>
        <w:spacing w:line="460" w:lineRule="exact"/>
        <w:ind w:left="0" w:firstLine="0"/>
        <w:rPr>
          <w:rFonts w:eastAsia="仿宋"/>
          <w:bCs/>
          <w:color w:val="auto"/>
          <w:kern w:val="0"/>
          <w:sz w:val="24"/>
          <w:highlight w:val="none"/>
        </w:rPr>
      </w:pPr>
      <w:r>
        <w:rPr>
          <w:rFonts w:eastAsia="仿宋"/>
          <w:bCs/>
          <w:color w:val="auto"/>
          <w:kern w:val="0"/>
          <w:sz w:val="24"/>
          <w:highlight w:val="none"/>
        </w:rPr>
        <w:t>字迹潦草、表达不清、扫描件不清晰或未按要求填写的投标文件可能将被认定为</w:t>
      </w:r>
      <w:r>
        <w:rPr>
          <w:rFonts w:eastAsia="仿宋"/>
          <w:b/>
          <w:bCs/>
          <w:color w:val="auto"/>
          <w:kern w:val="0"/>
          <w:sz w:val="24"/>
          <w:highlight w:val="none"/>
        </w:rPr>
        <w:t>无效的投标</w:t>
      </w:r>
      <w:r>
        <w:rPr>
          <w:rFonts w:eastAsia="仿宋"/>
          <w:bCs/>
          <w:color w:val="auto"/>
          <w:kern w:val="0"/>
          <w:sz w:val="24"/>
          <w:highlight w:val="none"/>
        </w:rPr>
        <w:t>。</w:t>
      </w:r>
    </w:p>
    <w:p>
      <w:pPr>
        <w:numPr>
          <w:ilvl w:val="1"/>
          <w:numId w:val="13"/>
        </w:numPr>
        <w:tabs>
          <w:tab w:val="left" w:pos="0"/>
          <w:tab w:val="left" w:pos="284"/>
          <w:tab w:val="left" w:pos="567"/>
          <w:tab w:val="left" w:pos="709"/>
          <w:tab w:val="left" w:pos="935"/>
          <w:tab w:val="left" w:pos="1108"/>
        </w:tabs>
        <w:spacing w:line="460" w:lineRule="exact"/>
        <w:ind w:left="0" w:firstLine="0"/>
        <w:rPr>
          <w:rFonts w:eastAsia="仿宋"/>
          <w:bCs/>
          <w:color w:val="auto"/>
          <w:kern w:val="0"/>
          <w:sz w:val="24"/>
          <w:highlight w:val="none"/>
        </w:rPr>
      </w:pPr>
      <w:r>
        <w:rPr>
          <w:rFonts w:eastAsia="仿宋"/>
          <w:bCs/>
          <w:color w:val="auto"/>
          <w:kern w:val="0"/>
          <w:sz w:val="24"/>
          <w:highlight w:val="none"/>
        </w:rPr>
        <w:t>投标文件应由法定代表人或授权代表在本招标文件所规定签章处逐一签章或签字，</w:t>
      </w:r>
      <w:r>
        <w:rPr>
          <w:rFonts w:eastAsia="仿宋"/>
          <w:b/>
          <w:bCs/>
          <w:color w:val="auto"/>
          <w:kern w:val="0"/>
          <w:sz w:val="24"/>
          <w:highlight w:val="none"/>
        </w:rPr>
        <w:t>否则投标无效</w:t>
      </w:r>
      <w:r>
        <w:rPr>
          <w:rFonts w:eastAsia="仿宋"/>
          <w:bCs/>
          <w:color w:val="auto"/>
          <w:kern w:val="0"/>
          <w:sz w:val="24"/>
          <w:highlight w:val="none"/>
        </w:rPr>
        <w:t>。</w:t>
      </w:r>
    </w:p>
    <w:p>
      <w:pPr>
        <w:spacing w:line="460" w:lineRule="exact"/>
        <w:jc w:val="center"/>
        <w:outlineLvl w:val="1"/>
        <w:rPr>
          <w:rFonts w:eastAsia="仿宋"/>
          <w:b/>
          <w:bCs/>
          <w:color w:val="auto"/>
          <w:kern w:val="0"/>
          <w:sz w:val="24"/>
          <w:highlight w:val="none"/>
        </w:rPr>
      </w:pPr>
      <w:bookmarkStart w:id="146" w:name="_Toc20226"/>
      <w:bookmarkStart w:id="147" w:name="_Toc111018937"/>
      <w:bookmarkStart w:id="148" w:name="_Toc25125"/>
      <w:bookmarkStart w:id="149" w:name="_Toc25324"/>
      <w:bookmarkStart w:id="150" w:name="_Toc13984"/>
      <w:bookmarkStart w:id="151" w:name="_Toc18948"/>
      <w:bookmarkStart w:id="152" w:name="_Toc18813"/>
      <w:bookmarkStart w:id="153" w:name="_Toc9966"/>
      <w:bookmarkStart w:id="154" w:name="_Toc665"/>
      <w:r>
        <w:rPr>
          <w:rFonts w:eastAsia="仿宋"/>
          <w:b/>
          <w:bCs/>
          <w:color w:val="auto"/>
          <w:kern w:val="0"/>
          <w:sz w:val="24"/>
          <w:highlight w:val="none"/>
        </w:rPr>
        <w:t>五、投标文件的递交</w:t>
      </w:r>
      <w:bookmarkEnd w:id="146"/>
      <w:bookmarkEnd w:id="147"/>
      <w:bookmarkEnd w:id="148"/>
      <w:bookmarkEnd w:id="149"/>
      <w:bookmarkEnd w:id="150"/>
      <w:bookmarkEnd w:id="151"/>
      <w:bookmarkEnd w:id="152"/>
      <w:bookmarkEnd w:id="153"/>
      <w:bookmarkEnd w:id="154"/>
    </w:p>
    <w:p>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 xml:space="preserve"> 投标文件的递交</w:t>
      </w:r>
    </w:p>
    <w:p>
      <w:pPr>
        <w:pStyle w:val="19"/>
        <w:adjustRightInd w:val="0"/>
        <w:snapToGrid w:val="0"/>
        <w:spacing w:line="460" w:lineRule="exact"/>
        <w:ind w:firstLine="477" w:firstLineChars="199"/>
        <w:rPr>
          <w:rFonts w:ascii="Times New Roman" w:hAnsi="Times New Roman" w:eastAsia="仿宋"/>
          <w:b/>
          <w:bCs/>
          <w:color w:val="auto"/>
          <w:sz w:val="24"/>
          <w:szCs w:val="24"/>
          <w:highlight w:val="none"/>
        </w:rPr>
      </w:pPr>
      <w:r>
        <w:rPr>
          <w:rFonts w:ascii="Times New Roman" w:hAnsi="Times New Roman" w:eastAsia="仿宋"/>
          <w:bCs/>
          <w:color w:val="auto"/>
          <w:sz w:val="24"/>
          <w:szCs w:val="24"/>
          <w:highlight w:val="none"/>
        </w:rPr>
        <w:t>投标文件（含电子投标文件和开标一览表（须包含开标一览表明细））必须在</w:t>
      </w:r>
      <w:r>
        <w:rPr>
          <w:rFonts w:hint="eastAsia" w:ascii="Times New Roman" w:hAnsi="Times New Roman" w:eastAsia="仿宋"/>
          <w:bCs/>
          <w:color w:val="auto"/>
          <w:sz w:val="24"/>
          <w:szCs w:val="24"/>
          <w:highlight w:val="none"/>
          <w:lang w:eastAsia="zh-CN"/>
        </w:rPr>
        <w:t>“</w:t>
      </w:r>
      <w:r>
        <w:rPr>
          <w:rFonts w:ascii="Times New Roman" w:hAnsi="Times New Roman" w:eastAsia="仿宋"/>
          <w:bCs/>
          <w:color w:val="auto"/>
          <w:sz w:val="24"/>
          <w:szCs w:val="24"/>
          <w:highlight w:val="none"/>
        </w:rPr>
        <w:t>招标公告</w:t>
      </w:r>
      <w:r>
        <w:rPr>
          <w:rFonts w:hint="eastAsia" w:ascii="Times New Roman" w:hAnsi="Times New Roman" w:eastAsia="仿宋"/>
          <w:bCs/>
          <w:color w:val="auto"/>
          <w:sz w:val="24"/>
          <w:szCs w:val="24"/>
          <w:highlight w:val="none"/>
          <w:lang w:eastAsia="zh-CN"/>
        </w:rPr>
        <w:t>”</w:t>
      </w:r>
      <w:r>
        <w:rPr>
          <w:rFonts w:ascii="Times New Roman" w:hAnsi="Times New Roman" w:eastAsia="仿宋"/>
          <w:bCs/>
          <w:color w:val="auto"/>
          <w:sz w:val="24"/>
          <w:szCs w:val="24"/>
          <w:highlight w:val="none"/>
        </w:rPr>
        <w:t>规定的投标截止时间之前递交至江西省机电设备招标有限公司，</w:t>
      </w:r>
      <w:r>
        <w:rPr>
          <w:rFonts w:ascii="Times New Roman" w:hAnsi="Times New Roman" w:eastAsia="仿宋"/>
          <w:b/>
          <w:bCs/>
          <w:color w:val="auto"/>
          <w:sz w:val="24"/>
          <w:szCs w:val="24"/>
          <w:highlight w:val="none"/>
        </w:rPr>
        <w:t>否则投标无效。</w:t>
      </w:r>
    </w:p>
    <w:p>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 xml:space="preserve"> 投标文件的密封与标记</w:t>
      </w:r>
    </w:p>
    <w:p>
      <w:pPr>
        <w:pStyle w:val="19"/>
        <w:adjustRightInd w:val="0"/>
        <w:snapToGrid w:val="0"/>
        <w:spacing w:line="460" w:lineRule="exact"/>
        <w:ind w:firstLine="477" w:firstLineChars="199"/>
        <w:rPr>
          <w:rFonts w:ascii="Times New Roman" w:hAnsi="Times New Roman" w:eastAsia="仿宋"/>
          <w:bCs/>
          <w:color w:val="auto"/>
          <w:sz w:val="24"/>
          <w:szCs w:val="24"/>
          <w:highlight w:val="none"/>
        </w:rPr>
      </w:pPr>
      <w:r>
        <w:rPr>
          <w:rFonts w:ascii="Times New Roman" w:hAnsi="Times New Roman" w:eastAsia="仿宋"/>
          <w:bCs/>
          <w:color w:val="auto"/>
          <w:sz w:val="24"/>
          <w:szCs w:val="24"/>
          <w:highlight w:val="none"/>
        </w:rPr>
        <w:t>21.1纸质投标文件的密封与标记。投标人应准备一份纸质投标文件正本和六份副本，纸质投标文件须清楚地标明</w:t>
      </w:r>
      <w:r>
        <w:rPr>
          <w:rFonts w:hint="eastAsia" w:ascii="Times New Roman" w:hAnsi="Times New Roman" w:eastAsia="仿宋"/>
          <w:bCs/>
          <w:color w:val="auto"/>
          <w:sz w:val="24"/>
          <w:szCs w:val="24"/>
          <w:highlight w:val="none"/>
          <w:lang w:eastAsia="zh-CN"/>
        </w:rPr>
        <w:t>“</w:t>
      </w:r>
      <w:r>
        <w:rPr>
          <w:rFonts w:ascii="Times New Roman" w:hAnsi="Times New Roman" w:eastAsia="仿宋"/>
          <w:bCs/>
          <w:color w:val="auto"/>
          <w:sz w:val="24"/>
          <w:szCs w:val="24"/>
          <w:highlight w:val="none"/>
        </w:rPr>
        <w:t>正本</w:t>
      </w:r>
      <w:r>
        <w:rPr>
          <w:rFonts w:hint="eastAsia" w:ascii="Times New Roman" w:hAnsi="Times New Roman" w:eastAsia="仿宋"/>
          <w:bCs/>
          <w:color w:val="auto"/>
          <w:sz w:val="24"/>
          <w:szCs w:val="24"/>
          <w:highlight w:val="none"/>
          <w:lang w:eastAsia="zh-CN"/>
        </w:rPr>
        <w:t>”</w:t>
      </w:r>
      <w:r>
        <w:rPr>
          <w:rFonts w:ascii="Times New Roman" w:hAnsi="Times New Roman" w:eastAsia="仿宋"/>
          <w:bCs/>
          <w:color w:val="auto"/>
          <w:sz w:val="24"/>
          <w:szCs w:val="24"/>
          <w:highlight w:val="none"/>
        </w:rPr>
        <w:t>或</w:t>
      </w:r>
      <w:r>
        <w:rPr>
          <w:rFonts w:hint="eastAsia" w:ascii="Times New Roman" w:hAnsi="Times New Roman" w:eastAsia="仿宋"/>
          <w:bCs/>
          <w:color w:val="auto"/>
          <w:sz w:val="24"/>
          <w:szCs w:val="24"/>
          <w:highlight w:val="none"/>
          <w:lang w:eastAsia="zh-CN"/>
        </w:rPr>
        <w:t>“</w:t>
      </w:r>
      <w:r>
        <w:rPr>
          <w:rFonts w:ascii="Times New Roman" w:hAnsi="Times New Roman" w:eastAsia="仿宋"/>
          <w:bCs/>
          <w:color w:val="auto"/>
          <w:sz w:val="24"/>
          <w:szCs w:val="24"/>
          <w:highlight w:val="none"/>
        </w:rPr>
        <w:t>副本</w:t>
      </w:r>
      <w:r>
        <w:rPr>
          <w:rFonts w:hint="eastAsia" w:ascii="Times New Roman" w:hAnsi="Times New Roman" w:eastAsia="仿宋"/>
          <w:bCs/>
          <w:color w:val="auto"/>
          <w:sz w:val="24"/>
          <w:szCs w:val="24"/>
          <w:highlight w:val="none"/>
          <w:lang w:eastAsia="zh-CN"/>
        </w:rPr>
        <w:t>”</w:t>
      </w:r>
      <w:r>
        <w:rPr>
          <w:rFonts w:ascii="Times New Roman" w:hAnsi="Times New Roman" w:eastAsia="仿宋"/>
          <w:bCs/>
          <w:color w:val="auto"/>
          <w:sz w:val="24"/>
          <w:szCs w:val="24"/>
          <w:highlight w:val="none"/>
        </w:rPr>
        <w:t>。纸质投标文件正本须打印，纸质投标文件的副本可采用正本的复印件。若正本和副本不符，以正本为准。投标人应将纸质投标文件正本和所有的副本装在文件袋中加以密封，并在文件袋上标明投标人名称（加盖公章）、项目编号、包号、项目名称，在封贴处密封签字或盖章（公章），并注明</w:t>
      </w:r>
      <w:r>
        <w:rPr>
          <w:rFonts w:hint="eastAsia" w:ascii="Times New Roman" w:hAnsi="Times New Roman" w:eastAsia="仿宋"/>
          <w:bCs/>
          <w:color w:val="auto"/>
          <w:sz w:val="24"/>
          <w:szCs w:val="24"/>
          <w:highlight w:val="none"/>
          <w:lang w:eastAsia="zh-CN"/>
        </w:rPr>
        <w:t>“</w:t>
      </w:r>
      <w:r>
        <w:rPr>
          <w:rFonts w:ascii="Times New Roman" w:hAnsi="Times New Roman" w:eastAsia="仿宋"/>
          <w:bCs/>
          <w:color w:val="auto"/>
          <w:sz w:val="24"/>
          <w:szCs w:val="24"/>
          <w:highlight w:val="none"/>
        </w:rPr>
        <w:t>在开标时间前不准启封</w:t>
      </w:r>
      <w:r>
        <w:rPr>
          <w:rFonts w:hint="eastAsia" w:ascii="Times New Roman" w:hAnsi="Times New Roman" w:eastAsia="仿宋"/>
          <w:bCs/>
          <w:color w:val="auto"/>
          <w:sz w:val="24"/>
          <w:szCs w:val="24"/>
          <w:highlight w:val="none"/>
          <w:lang w:eastAsia="zh-CN"/>
        </w:rPr>
        <w:t>”</w:t>
      </w:r>
      <w:r>
        <w:rPr>
          <w:rFonts w:ascii="Times New Roman" w:hAnsi="Times New Roman" w:eastAsia="仿宋"/>
          <w:bCs/>
          <w:color w:val="auto"/>
          <w:sz w:val="24"/>
          <w:szCs w:val="24"/>
          <w:highlight w:val="none"/>
        </w:rPr>
        <w:t>的字样。</w:t>
      </w:r>
    </w:p>
    <w:p>
      <w:pPr>
        <w:pStyle w:val="19"/>
        <w:adjustRightInd w:val="0"/>
        <w:snapToGrid w:val="0"/>
        <w:spacing w:line="460" w:lineRule="exact"/>
        <w:ind w:firstLine="477" w:firstLineChars="199"/>
        <w:rPr>
          <w:rFonts w:ascii="Times New Roman" w:hAnsi="Times New Roman" w:eastAsia="仿宋"/>
          <w:bCs/>
          <w:color w:val="auto"/>
          <w:sz w:val="24"/>
          <w:szCs w:val="24"/>
          <w:highlight w:val="none"/>
        </w:rPr>
      </w:pPr>
      <w:r>
        <w:rPr>
          <w:rFonts w:ascii="Times New Roman" w:hAnsi="Times New Roman" w:eastAsia="仿宋"/>
          <w:bCs/>
          <w:color w:val="auto"/>
          <w:sz w:val="24"/>
          <w:szCs w:val="24"/>
          <w:highlight w:val="none"/>
        </w:rPr>
        <w:t>21.2开标一览表的密封与标记（须包含开标一览表明细）。投标人应将开标一览表（同时保证正、副本投标文件中也附有）单独密封，在信封上标明</w:t>
      </w:r>
      <w:r>
        <w:rPr>
          <w:rFonts w:hint="eastAsia" w:ascii="Times New Roman" w:hAnsi="Times New Roman" w:eastAsia="仿宋"/>
          <w:bCs/>
          <w:color w:val="auto"/>
          <w:sz w:val="24"/>
          <w:szCs w:val="24"/>
          <w:highlight w:val="none"/>
          <w:lang w:eastAsia="zh-CN"/>
        </w:rPr>
        <w:t>“</w:t>
      </w:r>
      <w:r>
        <w:rPr>
          <w:rFonts w:ascii="Times New Roman" w:hAnsi="Times New Roman" w:eastAsia="仿宋"/>
          <w:bCs/>
          <w:color w:val="auto"/>
          <w:sz w:val="24"/>
          <w:szCs w:val="24"/>
          <w:highlight w:val="none"/>
        </w:rPr>
        <w:t>开标一览表</w:t>
      </w:r>
      <w:r>
        <w:rPr>
          <w:rFonts w:hint="eastAsia" w:ascii="Times New Roman" w:hAnsi="Times New Roman" w:eastAsia="仿宋"/>
          <w:bCs/>
          <w:color w:val="auto"/>
          <w:sz w:val="24"/>
          <w:szCs w:val="24"/>
          <w:highlight w:val="none"/>
          <w:lang w:eastAsia="zh-CN"/>
        </w:rPr>
        <w:t>”</w:t>
      </w:r>
      <w:r>
        <w:rPr>
          <w:rFonts w:ascii="Times New Roman" w:hAnsi="Times New Roman" w:eastAsia="仿宋"/>
          <w:bCs/>
          <w:color w:val="auto"/>
          <w:sz w:val="24"/>
          <w:szCs w:val="24"/>
          <w:highlight w:val="none"/>
        </w:rPr>
        <w:t>字样，并在信封上标明投标人名称（加盖公章）、项目编号、包号、项目名称，在封贴处密封签字或盖章（公章），并注明</w:t>
      </w:r>
      <w:r>
        <w:rPr>
          <w:rFonts w:hint="eastAsia" w:ascii="Times New Roman" w:hAnsi="Times New Roman" w:eastAsia="仿宋"/>
          <w:bCs/>
          <w:color w:val="auto"/>
          <w:sz w:val="24"/>
          <w:szCs w:val="24"/>
          <w:highlight w:val="none"/>
          <w:lang w:eastAsia="zh-CN"/>
        </w:rPr>
        <w:t>“</w:t>
      </w:r>
      <w:r>
        <w:rPr>
          <w:rFonts w:ascii="Times New Roman" w:hAnsi="Times New Roman" w:eastAsia="仿宋"/>
          <w:bCs/>
          <w:color w:val="auto"/>
          <w:sz w:val="24"/>
          <w:szCs w:val="24"/>
          <w:highlight w:val="none"/>
        </w:rPr>
        <w:t>在开标时间前不准启封</w:t>
      </w:r>
      <w:r>
        <w:rPr>
          <w:rFonts w:hint="eastAsia" w:ascii="Times New Roman" w:hAnsi="Times New Roman" w:eastAsia="仿宋"/>
          <w:bCs/>
          <w:color w:val="auto"/>
          <w:sz w:val="24"/>
          <w:szCs w:val="24"/>
          <w:highlight w:val="none"/>
          <w:lang w:eastAsia="zh-CN"/>
        </w:rPr>
        <w:t>”</w:t>
      </w:r>
      <w:r>
        <w:rPr>
          <w:rFonts w:ascii="Times New Roman" w:hAnsi="Times New Roman" w:eastAsia="仿宋"/>
          <w:bCs/>
          <w:color w:val="auto"/>
          <w:sz w:val="24"/>
          <w:szCs w:val="24"/>
          <w:highlight w:val="none"/>
        </w:rPr>
        <w:t>的字样。</w:t>
      </w:r>
    </w:p>
    <w:p>
      <w:pPr>
        <w:pStyle w:val="19"/>
        <w:adjustRightInd w:val="0"/>
        <w:snapToGrid w:val="0"/>
        <w:spacing w:line="460" w:lineRule="exact"/>
        <w:ind w:firstLine="477" w:firstLineChars="199"/>
        <w:rPr>
          <w:rFonts w:ascii="Times New Roman" w:hAnsi="Times New Roman" w:eastAsia="仿宋"/>
          <w:bCs/>
          <w:color w:val="auto"/>
          <w:sz w:val="24"/>
          <w:szCs w:val="24"/>
          <w:highlight w:val="none"/>
        </w:rPr>
      </w:pPr>
      <w:r>
        <w:rPr>
          <w:rFonts w:ascii="Times New Roman" w:hAnsi="Times New Roman" w:eastAsia="仿宋"/>
          <w:bCs/>
          <w:color w:val="auto"/>
          <w:sz w:val="24"/>
          <w:szCs w:val="24"/>
          <w:highlight w:val="none"/>
        </w:rPr>
        <w:t>21.3</w:t>
      </w:r>
      <w:r>
        <w:rPr>
          <w:rFonts w:ascii="Times New Roman" w:hAnsi="Times New Roman" w:eastAsia="仿宋"/>
          <w:color w:val="auto"/>
          <w:sz w:val="24"/>
          <w:highlight w:val="none"/>
        </w:rPr>
        <w:t>正本盖章后的扫描件PDF格式和电子投标文件WORD格式各壹份存入U盘提交，U盘不退</w:t>
      </w:r>
      <w:r>
        <w:rPr>
          <w:rFonts w:hint="eastAsia" w:ascii="Times New Roman" w:hAnsi="Times New Roman" w:eastAsia="仿宋"/>
          <w:color w:val="auto"/>
          <w:sz w:val="24"/>
          <w:highlight w:val="none"/>
          <w:lang w:eastAsia="zh-CN"/>
        </w:rPr>
        <w:t>，</w:t>
      </w:r>
      <w:r>
        <w:rPr>
          <w:rFonts w:eastAsia="仿宋"/>
          <w:b/>
          <w:bCs/>
          <w:color w:val="auto"/>
          <w:sz w:val="24"/>
          <w:szCs w:val="22"/>
          <w:highlight w:val="none"/>
        </w:rPr>
        <w:t>演示文件</w:t>
      </w:r>
      <w:r>
        <w:rPr>
          <w:rFonts w:hint="eastAsia" w:eastAsia="仿宋"/>
          <w:b/>
          <w:bCs/>
          <w:color w:val="auto"/>
          <w:sz w:val="24"/>
          <w:szCs w:val="22"/>
          <w:highlight w:val="none"/>
          <w:lang w:eastAsia="zh-CN"/>
        </w:rPr>
        <w:t>另存一个</w:t>
      </w:r>
      <w:r>
        <w:rPr>
          <w:rFonts w:eastAsia="仿宋"/>
          <w:b/>
          <w:bCs/>
          <w:color w:val="auto"/>
          <w:sz w:val="24"/>
          <w:szCs w:val="22"/>
          <w:highlight w:val="none"/>
        </w:rPr>
        <w:t>U盘</w:t>
      </w:r>
      <w:r>
        <w:rPr>
          <w:rFonts w:ascii="Times New Roman" w:hAnsi="Times New Roman" w:eastAsia="仿宋"/>
          <w:color w:val="auto"/>
          <w:sz w:val="24"/>
          <w:highlight w:val="none"/>
        </w:rPr>
        <w:t>。电子投标文件必须与纸质投标文件一致，</w:t>
      </w:r>
      <w:r>
        <w:rPr>
          <w:rFonts w:ascii="Times New Roman" w:hAnsi="Times New Roman" w:eastAsia="仿宋"/>
          <w:b/>
          <w:bCs/>
          <w:color w:val="auto"/>
          <w:sz w:val="24"/>
          <w:highlight w:val="none"/>
        </w:rPr>
        <w:t>U盘请贴好标签，标签须备注投标人名称并简要描述U盘内容，例：**公司投标文件、**公司演示文件等。</w:t>
      </w:r>
    </w:p>
    <w:p>
      <w:pPr>
        <w:pStyle w:val="19"/>
        <w:adjustRightInd w:val="0"/>
        <w:snapToGrid w:val="0"/>
        <w:spacing w:line="460" w:lineRule="exact"/>
        <w:ind w:firstLine="477" w:firstLineChars="199"/>
        <w:rPr>
          <w:rFonts w:ascii="Times New Roman" w:hAnsi="Times New Roman" w:eastAsia="仿宋"/>
          <w:bCs/>
          <w:color w:val="auto"/>
          <w:sz w:val="24"/>
          <w:szCs w:val="24"/>
          <w:highlight w:val="none"/>
        </w:rPr>
      </w:pPr>
      <w:r>
        <w:rPr>
          <w:rFonts w:ascii="Times New Roman" w:hAnsi="Times New Roman" w:eastAsia="仿宋"/>
          <w:bCs/>
          <w:color w:val="auto"/>
          <w:sz w:val="24"/>
          <w:szCs w:val="24"/>
          <w:highlight w:val="none"/>
        </w:rPr>
        <w:t>21.4电子投标文件与纸质投标文件不一致，以纸质投标文件为准。</w:t>
      </w:r>
    </w:p>
    <w:p>
      <w:pPr>
        <w:pStyle w:val="19"/>
        <w:adjustRightInd w:val="0"/>
        <w:snapToGrid w:val="0"/>
        <w:spacing w:line="460" w:lineRule="exact"/>
        <w:ind w:firstLine="477" w:firstLineChars="199"/>
        <w:rPr>
          <w:rFonts w:ascii="Times New Roman" w:hAnsi="Times New Roman" w:eastAsia="仿宋"/>
          <w:bCs/>
          <w:color w:val="auto"/>
          <w:sz w:val="24"/>
          <w:szCs w:val="24"/>
          <w:highlight w:val="none"/>
        </w:rPr>
      </w:pPr>
      <w:r>
        <w:rPr>
          <w:rFonts w:ascii="Times New Roman" w:hAnsi="Times New Roman" w:eastAsia="仿宋"/>
          <w:bCs/>
          <w:color w:val="auto"/>
          <w:sz w:val="24"/>
          <w:szCs w:val="24"/>
          <w:highlight w:val="none"/>
        </w:rPr>
        <w:t>21.5电子投标文件和开标一览表密封在同一个信封中</w:t>
      </w:r>
      <w:r>
        <w:rPr>
          <w:rFonts w:ascii="Times New Roman" w:hAnsi="Times New Roman" w:eastAsia="仿宋"/>
          <w:color w:val="auto"/>
          <w:sz w:val="24"/>
          <w:highlight w:val="none"/>
        </w:rPr>
        <w:t>，与投标文件同时递交，逾期不予接收，视为无效投标。</w:t>
      </w:r>
    </w:p>
    <w:p>
      <w:pPr>
        <w:pStyle w:val="19"/>
        <w:adjustRightInd w:val="0"/>
        <w:snapToGrid w:val="0"/>
        <w:spacing w:line="460" w:lineRule="exact"/>
        <w:ind w:firstLine="477" w:firstLineChars="199"/>
        <w:rPr>
          <w:rFonts w:ascii="Times New Roman" w:hAnsi="Times New Roman" w:eastAsia="仿宋"/>
          <w:bCs/>
          <w:color w:val="auto"/>
          <w:sz w:val="24"/>
          <w:szCs w:val="24"/>
          <w:highlight w:val="none"/>
        </w:rPr>
      </w:pPr>
      <w:r>
        <w:rPr>
          <w:rFonts w:ascii="Times New Roman" w:hAnsi="Times New Roman" w:eastAsia="仿宋"/>
          <w:bCs/>
          <w:color w:val="auto"/>
          <w:sz w:val="24"/>
          <w:szCs w:val="24"/>
          <w:highlight w:val="none"/>
        </w:rPr>
        <w:t>21.6投标人未按上述要求密封、标记的，采购代理机构有权拒收。</w:t>
      </w:r>
    </w:p>
    <w:p>
      <w:pPr>
        <w:pStyle w:val="19"/>
        <w:adjustRightInd w:val="0"/>
        <w:snapToGrid w:val="0"/>
        <w:spacing w:line="460" w:lineRule="exact"/>
        <w:ind w:firstLine="477" w:firstLineChars="199"/>
        <w:rPr>
          <w:rFonts w:ascii="Times New Roman" w:hAnsi="Times New Roman" w:eastAsia="仿宋"/>
          <w:bCs/>
          <w:color w:val="auto"/>
          <w:sz w:val="24"/>
          <w:szCs w:val="24"/>
          <w:highlight w:val="none"/>
        </w:rPr>
      </w:pPr>
      <w:r>
        <w:rPr>
          <w:rFonts w:ascii="Times New Roman" w:hAnsi="Times New Roman" w:eastAsia="仿宋"/>
          <w:bCs/>
          <w:color w:val="auto"/>
          <w:sz w:val="24"/>
          <w:szCs w:val="24"/>
          <w:highlight w:val="none"/>
        </w:rPr>
        <w:t>21.7对于已接收的投标文件，在开启过程中出现对投标文件密封和标记是否符合招标文件规定存在分歧的，采购人和采购代理机构不承担任何责任，将交由评标委员会评定，采购代理机构现场宣布评定结果。</w:t>
      </w:r>
    </w:p>
    <w:p>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投标文件的修改和撤回</w:t>
      </w:r>
    </w:p>
    <w:p>
      <w:pPr>
        <w:numPr>
          <w:ilvl w:val="0"/>
          <w:numId w:val="14"/>
        </w:numPr>
        <w:tabs>
          <w:tab w:val="left" w:pos="0"/>
          <w:tab w:val="left" w:pos="284"/>
          <w:tab w:val="left" w:pos="709"/>
          <w:tab w:val="left" w:pos="935"/>
        </w:tabs>
        <w:spacing w:line="460" w:lineRule="exact"/>
        <w:rPr>
          <w:rFonts w:eastAsia="仿宋"/>
          <w:bCs/>
          <w:color w:val="auto"/>
          <w:kern w:val="0"/>
          <w:sz w:val="24"/>
          <w:highlight w:val="none"/>
        </w:rPr>
      </w:pPr>
      <w:r>
        <w:rPr>
          <w:rFonts w:eastAsia="仿宋"/>
          <w:bCs/>
          <w:color w:val="auto"/>
          <w:kern w:val="0"/>
          <w:sz w:val="24"/>
          <w:highlight w:val="none"/>
        </w:rPr>
        <w:t xml:space="preserve">在投标截止时间前，投标人可以书面形式提出修改或撤回其投标。 </w:t>
      </w:r>
    </w:p>
    <w:p>
      <w:pPr>
        <w:numPr>
          <w:ilvl w:val="0"/>
          <w:numId w:val="14"/>
        </w:numPr>
        <w:tabs>
          <w:tab w:val="left" w:pos="0"/>
          <w:tab w:val="left" w:pos="284"/>
          <w:tab w:val="left" w:pos="709"/>
          <w:tab w:val="left" w:pos="935"/>
        </w:tabs>
        <w:spacing w:line="460" w:lineRule="exact"/>
        <w:rPr>
          <w:rFonts w:eastAsia="仿宋"/>
          <w:bCs/>
          <w:color w:val="auto"/>
          <w:kern w:val="0"/>
          <w:sz w:val="24"/>
          <w:highlight w:val="none"/>
        </w:rPr>
      </w:pPr>
      <w:r>
        <w:rPr>
          <w:rFonts w:eastAsia="仿宋"/>
          <w:bCs/>
          <w:color w:val="auto"/>
          <w:kern w:val="0"/>
          <w:sz w:val="24"/>
          <w:highlight w:val="none"/>
        </w:rPr>
        <w:t>投标人撤回投标文件的书面材料，须加盖公章或法定代表人或授权代表签字后送达采购代理机构，同时应在材料上写明投标人名称和投标文件的撤回原因。</w:t>
      </w:r>
    </w:p>
    <w:p>
      <w:pPr>
        <w:numPr>
          <w:ilvl w:val="0"/>
          <w:numId w:val="14"/>
        </w:numPr>
        <w:tabs>
          <w:tab w:val="left" w:pos="0"/>
          <w:tab w:val="left" w:pos="284"/>
          <w:tab w:val="left" w:pos="709"/>
          <w:tab w:val="left" w:pos="935"/>
        </w:tabs>
        <w:spacing w:line="460" w:lineRule="exact"/>
        <w:rPr>
          <w:rFonts w:eastAsia="仿宋"/>
          <w:bCs/>
          <w:color w:val="auto"/>
          <w:kern w:val="0"/>
          <w:sz w:val="24"/>
          <w:highlight w:val="none"/>
        </w:rPr>
      </w:pPr>
      <w:r>
        <w:rPr>
          <w:rFonts w:eastAsia="仿宋"/>
          <w:bCs/>
          <w:color w:val="auto"/>
          <w:kern w:val="0"/>
          <w:sz w:val="24"/>
          <w:highlight w:val="none"/>
        </w:rPr>
        <w:t>从投标截止期至投标有效期期满这段时间内，投标人不得撤销其投标。</w:t>
      </w:r>
    </w:p>
    <w:p>
      <w:pPr>
        <w:spacing w:line="460" w:lineRule="exact"/>
        <w:jc w:val="center"/>
        <w:outlineLvl w:val="1"/>
        <w:rPr>
          <w:rFonts w:eastAsia="仿宋"/>
          <w:b/>
          <w:bCs/>
          <w:color w:val="auto"/>
          <w:kern w:val="0"/>
          <w:sz w:val="24"/>
          <w:highlight w:val="none"/>
        </w:rPr>
      </w:pPr>
      <w:bookmarkStart w:id="155" w:name="_Toc12489"/>
      <w:bookmarkStart w:id="156" w:name="_Toc2638"/>
      <w:bookmarkStart w:id="157" w:name="_Toc111018938"/>
      <w:bookmarkStart w:id="158" w:name="_Toc5365"/>
      <w:bookmarkStart w:id="159" w:name="_Toc9485"/>
      <w:bookmarkStart w:id="160" w:name="_Toc12342"/>
      <w:bookmarkStart w:id="161" w:name="_Toc1622"/>
      <w:bookmarkStart w:id="162" w:name="_Toc19663"/>
      <w:bookmarkStart w:id="163" w:name="_Toc17188"/>
      <w:r>
        <w:rPr>
          <w:rFonts w:eastAsia="仿宋"/>
          <w:b/>
          <w:bCs/>
          <w:color w:val="auto"/>
          <w:kern w:val="0"/>
          <w:sz w:val="24"/>
          <w:highlight w:val="none"/>
        </w:rPr>
        <w:t>六、开标</w:t>
      </w:r>
      <w:bookmarkEnd w:id="155"/>
      <w:bookmarkEnd w:id="156"/>
      <w:bookmarkEnd w:id="157"/>
      <w:bookmarkEnd w:id="158"/>
      <w:bookmarkEnd w:id="159"/>
      <w:bookmarkEnd w:id="160"/>
      <w:bookmarkEnd w:id="161"/>
      <w:bookmarkEnd w:id="162"/>
      <w:bookmarkEnd w:id="163"/>
    </w:p>
    <w:p>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 xml:space="preserve"> 开标</w:t>
      </w:r>
    </w:p>
    <w:p>
      <w:pPr>
        <w:tabs>
          <w:tab w:val="left" w:pos="709"/>
        </w:tabs>
        <w:spacing w:line="460" w:lineRule="exact"/>
        <w:rPr>
          <w:rFonts w:eastAsia="仿宋"/>
          <w:bCs/>
          <w:color w:val="auto"/>
          <w:kern w:val="0"/>
          <w:sz w:val="24"/>
          <w:highlight w:val="none"/>
        </w:rPr>
      </w:pPr>
      <w:r>
        <w:rPr>
          <w:rFonts w:eastAsia="仿宋"/>
          <w:bCs/>
          <w:color w:val="auto"/>
          <w:kern w:val="0"/>
          <w:sz w:val="24"/>
          <w:highlight w:val="none"/>
        </w:rPr>
        <w:t>23.1采购代理机构在</w:t>
      </w:r>
      <w:r>
        <w:rPr>
          <w:rFonts w:hint="eastAsia" w:eastAsia="仿宋"/>
          <w:bCs/>
          <w:color w:val="auto"/>
          <w:kern w:val="0"/>
          <w:sz w:val="24"/>
          <w:highlight w:val="none"/>
          <w:lang w:eastAsia="zh-CN"/>
        </w:rPr>
        <w:t>“</w:t>
      </w:r>
      <w:r>
        <w:rPr>
          <w:rFonts w:eastAsia="仿宋"/>
          <w:bCs/>
          <w:color w:val="auto"/>
          <w:kern w:val="0"/>
          <w:sz w:val="24"/>
          <w:highlight w:val="none"/>
        </w:rPr>
        <w:t>投标邀请</w:t>
      </w:r>
      <w:r>
        <w:rPr>
          <w:rFonts w:hint="eastAsia" w:eastAsia="仿宋"/>
          <w:bCs/>
          <w:color w:val="auto"/>
          <w:kern w:val="0"/>
          <w:sz w:val="24"/>
          <w:highlight w:val="none"/>
          <w:lang w:eastAsia="zh-CN"/>
        </w:rPr>
        <w:t>”</w:t>
      </w:r>
      <w:r>
        <w:rPr>
          <w:rFonts w:eastAsia="仿宋"/>
          <w:bCs/>
          <w:color w:val="auto"/>
          <w:kern w:val="0"/>
          <w:sz w:val="24"/>
          <w:highlight w:val="none"/>
        </w:rPr>
        <w:t>中约定的日期、时间和地点组织公开开标。开标时，有采购人和投标人或其推选的代表参加，参加开标的代表应签到以证明其出席。</w:t>
      </w:r>
    </w:p>
    <w:p>
      <w:pPr>
        <w:tabs>
          <w:tab w:val="left" w:pos="0"/>
          <w:tab w:val="left" w:pos="284"/>
          <w:tab w:val="left" w:pos="709"/>
          <w:tab w:val="left" w:pos="935"/>
          <w:tab w:val="left" w:pos="993"/>
          <w:tab w:val="left" w:pos="1077"/>
          <w:tab w:val="left" w:pos="1108"/>
        </w:tabs>
        <w:spacing w:line="460" w:lineRule="exact"/>
        <w:rPr>
          <w:rFonts w:eastAsia="仿宋"/>
          <w:bCs/>
          <w:color w:val="auto"/>
          <w:kern w:val="0"/>
          <w:sz w:val="24"/>
          <w:highlight w:val="none"/>
        </w:rPr>
      </w:pPr>
      <w:r>
        <w:rPr>
          <w:rFonts w:eastAsia="仿宋"/>
          <w:bCs/>
          <w:color w:val="auto"/>
          <w:kern w:val="0"/>
          <w:sz w:val="24"/>
          <w:highlight w:val="none"/>
        </w:rPr>
        <w:t>23.2开标由采购代理机构主持并当众唱标。</w:t>
      </w:r>
    </w:p>
    <w:p>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 xml:space="preserve"> 开标结束后，采购人或者采购代理机构依法对投标人的资格进行审查。合格投标人不足3家的，不得评标。</w:t>
      </w:r>
    </w:p>
    <w:p>
      <w:pPr>
        <w:spacing w:line="460" w:lineRule="exact"/>
        <w:jc w:val="center"/>
        <w:outlineLvl w:val="1"/>
        <w:rPr>
          <w:rFonts w:eastAsia="仿宋"/>
          <w:b/>
          <w:bCs/>
          <w:color w:val="auto"/>
          <w:kern w:val="0"/>
          <w:sz w:val="24"/>
          <w:highlight w:val="none"/>
        </w:rPr>
      </w:pPr>
      <w:bookmarkStart w:id="164" w:name="_Toc111018939"/>
      <w:bookmarkStart w:id="165" w:name="_Toc28830"/>
      <w:bookmarkStart w:id="166" w:name="_Toc3855"/>
      <w:bookmarkStart w:id="167" w:name="_Toc11796"/>
      <w:bookmarkStart w:id="168" w:name="_Toc10082"/>
      <w:bookmarkStart w:id="169" w:name="_Toc23438"/>
      <w:bookmarkStart w:id="170" w:name="_Toc26114"/>
      <w:bookmarkStart w:id="171" w:name="_Toc26073"/>
      <w:bookmarkStart w:id="172" w:name="_Toc25451"/>
      <w:r>
        <w:rPr>
          <w:rFonts w:eastAsia="仿宋"/>
          <w:b/>
          <w:bCs/>
          <w:color w:val="auto"/>
          <w:kern w:val="0"/>
          <w:sz w:val="24"/>
          <w:highlight w:val="none"/>
        </w:rPr>
        <w:t>七、评审原则及程序</w:t>
      </w:r>
      <w:bookmarkEnd w:id="164"/>
      <w:bookmarkEnd w:id="165"/>
      <w:bookmarkEnd w:id="166"/>
      <w:bookmarkEnd w:id="167"/>
      <w:bookmarkEnd w:id="168"/>
      <w:bookmarkEnd w:id="169"/>
      <w:bookmarkEnd w:id="170"/>
      <w:bookmarkEnd w:id="171"/>
      <w:bookmarkEnd w:id="172"/>
    </w:p>
    <w:p>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 xml:space="preserve"> 评标委员会的组成</w:t>
      </w:r>
    </w:p>
    <w:p>
      <w:pPr>
        <w:tabs>
          <w:tab w:val="left" w:pos="426"/>
        </w:tabs>
        <w:spacing w:line="460" w:lineRule="exact"/>
        <w:ind w:left="283" w:leftChars="135" w:firstLine="240" w:firstLineChars="100"/>
        <w:rPr>
          <w:rFonts w:eastAsia="仿宋"/>
          <w:b/>
          <w:bCs/>
          <w:color w:val="auto"/>
          <w:kern w:val="0"/>
          <w:sz w:val="24"/>
          <w:highlight w:val="none"/>
        </w:rPr>
      </w:pPr>
      <w:r>
        <w:rPr>
          <w:rFonts w:eastAsia="仿宋"/>
          <w:bCs/>
          <w:color w:val="auto"/>
          <w:kern w:val="0"/>
          <w:sz w:val="24"/>
          <w:highlight w:val="none"/>
        </w:rPr>
        <w:t>采购代理机构在采购人委托的监督代表监督下，按有关规定从省级以上财政部门设立的政府采购评审专家库中采取随机方式抽取评审专家，依法组建评标委员会。</w:t>
      </w:r>
    </w:p>
    <w:p>
      <w:pPr>
        <w:tabs>
          <w:tab w:val="left" w:pos="426"/>
        </w:tabs>
        <w:spacing w:line="460" w:lineRule="exact"/>
        <w:rPr>
          <w:rFonts w:eastAsia="仿宋"/>
          <w:b/>
          <w:bCs/>
          <w:color w:val="auto"/>
          <w:kern w:val="0"/>
          <w:sz w:val="24"/>
          <w:highlight w:val="none"/>
        </w:rPr>
      </w:pPr>
      <w:r>
        <w:rPr>
          <w:rFonts w:eastAsia="仿宋"/>
          <w:b/>
          <w:bCs/>
          <w:color w:val="auto"/>
          <w:kern w:val="0"/>
          <w:sz w:val="24"/>
          <w:highlight w:val="none"/>
        </w:rPr>
        <w:t>26  评标原则</w:t>
      </w:r>
    </w:p>
    <w:p>
      <w:pPr>
        <w:tabs>
          <w:tab w:val="left" w:pos="0"/>
          <w:tab w:val="left" w:pos="284"/>
          <w:tab w:val="left" w:pos="709"/>
          <w:tab w:val="left" w:pos="935"/>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26.1评标由依照有关规定组建的评标委员会负责。</w:t>
      </w:r>
    </w:p>
    <w:p>
      <w:pPr>
        <w:tabs>
          <w:tab w:val="left" w:pos="0"/>
          <w:tab w:val="left" w:pos="284"/>
          <w:tab w:val="left" w:pos="709"/>
          <w:tab w:val="left" w:pos="935"/>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 xml:space="preserve">26.2以招标文件、投标文件及相关的法律法规为评审依据。 </w:t>
      </w:r>
    </w:p>
    <w:p>
      <w:pPr>
        <w:tabs>
          <w:tab w:val="left" w:pos="0"/>
          <w:tab w:val="left" w:pos="284"/>
          <w:tab w:val="left" w:pos="709"/>
          <w:tab w:val="left" w:pos="935"/>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26.3在评标过程中，投标人所进行的试图影响评标结果公正性的活动，将可能导致其中标资格被取消。</w:t>
      </w:r>
    </w:p>
    <w:p>
      <w:pPr>
        <w:tabs>
          <w:tab w:val="left" w:pos="0"/>
          <w:tab w:val="left" w:pos="284"/>
          <w:tab w:val="left" w:pos="709"/>
          <w:tab w:val="left" w:pos="935"/>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26.4评标全过程中不允许投标人与评标委员会之间有可能影响到投标结果公正性的会面与谈话，以体现公平、公正的基本原则。</w:t>
      </w:r>
    </w:p>
    <w:p>
      <w:pPr>
        <w:tabs>
          <w:tab w:val="left" w:pos="0"/>
          <w:tab w:val="left" w:pos="284"/>
          <w:tab w:val="left" w:pos="709"/>
          <w:tab w:val="left" w:pos="935"/>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26.5评标委员会成员和有关工作人员不得透露对投标文件的评审、比较和中标候选人的推荐情况以及与评标有关的其他情况。</w:t>
      </w:r>
    </w:p>
    <w:p>
      <w:pPr>
        <w:spacing w:line="460" w:lineRule="exact"/>
        <w:rPr>
          <w:rFonts w:eastAsia="仿宋"/>
          <w:b/>
          <w:bCs/>
          <w:color w:val="auto"/>
          <w:kern w:val="0"/>
          <w:sz w:val="24"/>
          <w:highlight w:val="none"/>
        </w:rPr>
      </w:pPr>
      <w:r>
        <w:rPr>
          <w:rFonts w:eastAsia="仿宋"/>
          <w:b/>
          <w:bCs/>
          <w:color w:val="auto"/>
          <w:kern w:val="0"/>
          <w:sz w:val="24"/>
          <w:highlight w:val="none"/>
        </w:rPr>
        <w:t>27评标程序</w:t>
      </w:r>
    </w:p>
    <w:p>
      <w:pPr>
        <w:tabs>
          <w:tab w:val="left" w:pos="0"/>
          <w:tab w:val="left" w:pos="284"/>
          <w:tab w:val="left" w:pos="709"/>
        </w:tabs>
        <w:spacing w:line="460" w:lineRule="exact"/>
        <w:rPr>
          <w:rFonts w:eastAsia="仿宋"/>
          <w:bCs/>
          <w:color w:val="auto"/>
          <w:kern w:val="0"/>
          <w:sz w:val="24"/>
          <w:highlight w:val="none"/>
        </w:rPr>
      </w:pPr>
      <w:r>
        <w:rPr>
          <w:rFonts w:eastAsia="仿宋"/>
          <w:bCs/>
          <w:color w:val="auto"/>
          <w:kern w:val="0"/>
          <w:sz w:val="24"/>
          <w:highlight w:val="none"/>
        </w:rPr>
        <w:t>27.1投标文件符合性检查：依据招标文件的规定，从投标文件的有效性、完整性和对招标文件的响应程度进行审查，以确定是否对招标文件的实质性要求作出响应。</w:t>
      </w:r>
    </w:p>
    <w:p>
      <w:pPr>
        <w:adjustRightInd w:val="0"/>
        <w:snapToGrid w:val="0"/>
        <w:spacing w:line="460" w:lineRule="exact"/>
        <w:ind w:firstLine="482" w:firstLineChars="200"/>
        <w:rPr>
          <w:rFonts w:eastAsia="仿宋"/>
          <w:b/>
          <w:bCs/>
          <w:color w:val="auto"/>
          <w:kern w:val="0"/>
          <w:sz w:val="24"/>
          <w:highlight w:val="none"/>
        </w:rPr>
      </w:pPr>
      <w:r>
        <w:rPr>
          <w:rFonts w:eastAsia="仿宋"/>
          <w:b/>
          <w:bCs/>
          <w:color w:val="auto"/>
          <w:kern w:val="0"/>
          <w:sz w:val="24"/>
          <w:highlight w:val="none"/>
        </w:rPr>
        <w:t>有下列情形之一未对招标文件作实质性响应的，</w:t>
      </w:r>
      <w:r>
        <w:rPr>
          <w:rFonts w:eastAsia="仿宋"/>
          <w:b/>
          <w:color w:val="auto"/>
          <w:sz w:val="24"/>
          <w:highlight w:val="none"/>
        </w:rPr>
        <w:t>视为无效投标</w:t>
      </w:r>
      <w:r>
        <w:rPr>
          <w:rFonts w:eastAsia="仿宋"/>
          <w:b/>
          <w:bCs/>
          <w:color w:val="auto"/>
          <w:kern w:val="0"/>
          <w:sz w:val="24"/>
          <w:highlight w:val="none"/>
        </w:rPr>
        <w:t>：</w:t>
      </w:r>
    </w:p>
    <w:p>
      <w:pPr>
        <w:spacing w:line="460" w:lineRule="exact"/>
        <w:ind w:left="227"/>
        <w:rPr>
          <w:rFonts w:eastAsia="仿宋"/>
          <w:b/>
          <w:color w:val="auto"/>
          <w:sz w:val="24"/>
          <w:highlight w:val="none"/>
        </w:rPr>
      </w:pPr>
      <w:r>
        <w:rPr>
          <w:rFonts w:eastAsia="仿宋"/>
          <w:b/>
          <w:color w:val="auto"/>
          <w:sz w:val="24"/>
          <w:highlight w:val="none"/>
        </w:rPr>
        <w:t>（1）未按招标文件要求提供资格证明文件（详见第四章 投标文件格式</w:t>
      </w:r>
      <w:r>
        <w:rPr>
          <w:rFonts w:hint="eastAsia" w:eastAsia="仿宋"/>
          <w:b/>
          <w:color w:val="auto"/>
          <w:sz w:val="24"/>
          <w:highlight w:val="none"/>
          <w:lang w:eastAsia="zh-CN"/>
        </w:rPr>
        <w:t>“</w:t>
      </w:r>
      <w:r>
        <w:rPr>
          <w:rFonts w:eastAsia="仿宋"/>
          <w:b/>
          <w:color w:val="auto"/>
          <w:sz w:val="24"/>
          <w:highlight w:val="none"/>
        </w:rPr>
        <w:t>资格证明文件</w:t>
      </w:r>
      <w:r>
        <w:rPr>
          <w:rFonts w:hint="eastAsia" w:eastAsia="仿宋"/>
          <w:b/>
          <w:color w:val="auto"/>
          <w:sz w:val="24"/>
          <w:highlight w:val="none"/>
          <w:lang w:eastAsia="zh-CN"/>
        </w:rPr>
        <w:t>”</w:t>
      </w:r>
      <w:r>
        <w:rPr>
          <w:rFonts w:eastAsia="仿宋"/>
          <w:b/>
          <w:color w:val="auto"/>
          <w:sz w:val="24"/>
          <w:highlight w:val="none"/>
        </w:rPr>
        <w:t>）；</w:t>
      </w:r>
    </w:p>
    <w:p>
      <w:pPr>
        <w:spacing w:line="460" w:lineRule="exact"/>
        <w:ind w:left="227"/>
        <w:rPr>
          <w:rFonts w:eastAsia="仿宋"/>
          <w:b/>
          <w:color w:val="auto"/>
          <w:sz w:val="24"/>
          <w:highlight w:val="none"/>
        </w:rPr>
      </w:pPr>
      <w:r>
        <w:rPr>
          <w:rFonts w:eastAsia="仿宋"/>
          <w:b/>
          <w:color w:val="auto"/>
          <w:sz w:val="24"/>
          <w:highlight w:val="none"/>
        </w:rPr>
        <w:t>（2）投标文件未按招标文件要求签署、盖章；</w:t>
      </w:r>
    </w:p>
    <w:p>
      <w:pPr>
        <w:spacing w:line="460" w:lineRule="exact"/>
        <w:ind w:left="227"/>
        <w:rPr>
          <w:rFonts w:eastAsia="仿宋"/>
          <w:b/>
          <w:color w:val="auto"/>
          <w:sz w:val="24"/>
          <w:highlight w:val="none"/>
        </w:rPr>
      </w:pPr>
      <w:r>
        <w:rPr>
          <w:rFonts w:eastAsia="仿宋"/>
          <w:b/>
          <w:color w:val="auto"/>
          <w:sz w:val="24"/>
          <w:highlight w:val="none"/>
        </w:rPr>
        <w:t>（3）非法定代表人本人参与投标，未提供有效的法定代表人授权书；</w:t>
      </w:r>
    </w:p>
    <w:p>
      <w:pPr>
        <w:spacing w:line="460" w:lineRule="exact"/>
        <w:ind w:left="227"/>
        <w:rPr>
          <w:rFonts w:eastAsia="仿宋"/>
          <w:b/>
          <w:color w:val="auto"/>
          <w:sz w:val="24"/>
          <w:highlight w:val="none"/>
        </w:rPr>
      </w:pPr>
      <w:r>
        <w:rPr>
          <w:rFonts w:eastAsia="仿宋"/>
          <w:b/>
          <w:color w:val="auto"/>
          <w:sz w:val="24"/>
          <w:highlight w:val="none"/>
        </w:rPr>
        <w:t>（4）未按招标文件要求提交投标保证金；</w:t>
      </w:r>
    </w:p>
    <w:p>
      <w:pPr>
        <w:spacing w:line="460" w:lineRule="exact"/>
        <w:ind w:left="227"/>
        <w:rPr>
          <w:rFonts w:eastAsia="仿宋"/>
          <w:b/>
          <w:color w:val="auto"/>
          <w:sz w:val="24"/>
          <w:highlight w:val="none"/>
        </w:rPr>
      </w:pPr>
      <w:r>
        <w:rPr>
          <w:rFonts w:eastAsia="仿宋"/>
          <w:b/>
          <w:color w:val="auto"/>
          <w:sz w:val="24"/>
          <w:highlight w:val="none"/>
        </w:rPr>
        <w:t>（5）未在投标文件中提供提交投标保证金的证明材料；</w:t>
      </w:r>
    </w:p>
    <w:p>
      <w:pPr>
        <w:spacing w:line="460" w:lineRule="exact"/>
        <w:ind w:left="227"/>
        <w:rPr>
          <w:rFonts w:eastAsia="仿宋"/>
          <w:b/>
          <w:color w:val="auto"/>
          <w:sz w:val="24"/>
          <w:highlight w:val="none"/>
        </w:rPr>
      </w:pPr>
      <w:r>
        <w:rPr>
          <w:rFonts w:eastAsia="仿宋"/>
          <w:b/>
          <w:color w:val="auto"/>
          <w:sz w:val="24"/>
          <w:highlight w:val="none"/>
        </w:rPr>
        <w:t>（6）报价超过招标文件中规定的</w:t>
      </w:r>
      <w:r>
        <w:rPr>
          <w:rFonts w:hint="eastAsia" w:eastAsia="仿宋"/>
          <w:b/>
          <w:color w:val="auto"/>
          <w:sz w:val="24"/>
          <w:highlight w:val="none"/>
          <w:lang w:val="en-US" w:eastAsia="zh-CN"/>
        </w:rPr>
        <w:t>预算单价或者</w:t>
      </w:r>
      <w:r>
        <w:rPr>
          <w:rFonts w:eastAsia="仿宋"/>
          <w:b/>
          <w:color w:val="auto"/>
          <w:sz w:val="24"/>
          <w:highlight w:val="none"/>
        </w:rPr>
        <w:t>预算金额或者最高限价；</w:t>
      </w:r>
    </w:p>
    <w:p>
      <w:pPr>
        <w:spacing w:line="460" w:lineRule="exact"/>
        <w:ind w:left="227"/>
        <w:rPr>
          <w:rFonts w:eastAsia="仿宋"/>
          <w:b/>
          <w:color w:val="auto"/>
          <w:sz w:val="24"/>
          <w:highlight w:val="none"/>
        </w:rPr>
      </w:pPr>
      <w:r>
        <w:rPr>
          <w:rFonts w:eastAsia="仿宋"/>
          <w:b/>
          <w:color w:val="auto"/>
          <w:sz w:val="24"/>
          <w:highlight w:val="none"/>
        </w:rPr>
        <w:t>（7）未提供开标一览表明细；</w:t>
      </w:r>
    </w:p>
    <w:p>
      <w:pPr>
        <w:spacing w:line="460" w:lineRule="exact"/>
        <w:ind w:left="227"/>
        <w:rPr>
          <w:rFonts w:eastAsia="仿宋"/>
          <w:b/>
          <w:color w:val="auto"/>
          <w:sz w:val="24"/>
          <w:highlight w:val="none"/>
        </w:rPr>
      </w:pPr>
      <w:r>
        <w:rPr>
          <w:rFonts w:eastAsia="仿宋"/>
          <w:b/>
          <w:color w:val="auto"/>
          <w:sz w:val="24"/>
          <w:highlight w:val="none"/>
        </w:rPr>
        <w:t>（8）投标有效期响应不足；</w:t>
      </w:r>
    </w:p>
    <w:p>
      <w:pPr>
        <w:spacing w:line="460" w:lineRule="exact"/>
        <w:ind w:left="227"/>
        <w:rPr>
          <w:rFonts w:eastAsia="仿宋"/>
          <w:b/>
          <w:color w:val="auto"/>
          <w:sz w:val="24"/>
          <w:highlight w:val="none"/>
        </w:rPr>
      </w:pPr>
      <w:r>
        <w:rPr>
          <w:rFonts w:eastAsia="仿宋"/>
          <w:b/>
          <w:color w:val="auto"/>
          <w:sz w:val="24"/>
          <w:highlight w:val="none"/>
        </w:rPr>
        <w:t>（9）以联合体方式参与投标；</w:t>
      </w:r>
    </w:p>
    <w:p>
      <w:pPr>
        <w:spacing w:line="460" w:lineRule="exact"/>
        <w:ind w:left="227"/>
        <w:rPr>
          <w:rFonts w:eastAsia="仿宋"/>
          <w:b/>
          <w:color w:val="auto"/>
          <w:sz w:val="24"/>
          <w:highlight w:val="none"/>
        </w:rPr>
      </w:pPr>
      <w:r>
        <w:rPr>
          <w:rFonts w:eastAsia="仿宋"/>
          <w:b/>
          <w:color w:val="auto"/>
          <w:sz w:val="24"/>
          <w:highlight w:val="none"/>
        </w:rPr>
        <w:t>（10）投标文件含有采购人不能接受的附加条件；</w:t>
      </w:r>
    </w:p>
    <w:p>
      <w:pPr>
        <w:spacing w:line="460" w:lineRule="exact"/>
        <w:ind w:left="227"/>
        <w:rPr>
          <w:rFonts w:eastAsia="仿宋"/>
          <w:b/>
          <w:color w:val="auto"/>
          <w:sz w:val="24"/>
          <w:highlight w:val="none"/>
        </w:rPr>
      </w:pPr>
      <w:r>
        <w:rPr>
          <w:rFonts w:eastAsia="仿宋"/>
          <w:b/>
          <w:color w:val="auto"/>
          <w:sz w:val="24"/>
          <w:highlight w:val="none"/>
        </w:rPr>
        <w:t>（11）发现投标人以他人名义参加投标或相互之间串通，或者以其他弄虚作假方式参加投标；</w:t>
      </w:r>
    </w:p>
    <w:p>
      <w:pPr>
        <w:spacing w:line="460" w:lineRule="exact"/>
        <w:ind w:left="227"/>
        <w:rPr>
          <w:rFonts w:eastAsia="仿宋"/>
          <w:b/>
          <w:color w:val="auto"/>
          <w:sz w:val="24"/>
          <w:highlight w:val="none"/>
        </w:rPr>
      </w:pPr>
      <w:r>
        <w:rPr>
          <w:rFonts w:eastAsia="仿宋"/>
          <w:b/>
          <w:color w:val="auto"/>
          <w:sz w:val="24"/>
          <w:highlight w:val="none"/>
        </w:rPr>
        <w:t>（12）法律、法规和招标文件规定的其他无效情形。</w:t>
      </w:r>
    </w:p>
    <w:p>
      <w:pPr>
        <w:tabs>
          <w:tab w:val="left" w:pos="0"/>
          <w:tab w:val="left" w:pos="284"/>
          <w:tab w:val="left" w:pos="709"/>
          <w:tab w:val="left" w:pos="935"/>
          <w:tab w:val="left" w:pos="993"/>
          <w:tab w:val="left" w:pos="1077"/>
          <w:tab w:val="left" w:pos="1108"/>
        </w:tabs>
        <w:spacing w:line="460" w:lineRule="exact"/>
        <w:rPr>
          <w:rFonts w:eastAsia="仿宋"/>
          <w:bCs/>
          <w:color w:val="auto"/>
          <w:kern w:val="0"/>
          <w:sz w:val="24"/>
          <w:highlight w:val="none"/>
        </w:rPr>
      </w:pPr>
      <w:r>
        <w:rPr>
          <w:rFonts w:eastAsia="仿宋"/>
          <w:bCs/>
          <w:color w:val="auto"/>
          <w:kern w:val="0"/>
          <w:sz w:val="24"/>
          <w:highlight w:val="none"/>
        </w:rPr>
        <w:t>27.2投标文件报价出现前后不一致的，按下列规定修正：</w:t>
      </w:r>
    </w:p>
    <w:p>
      <w:pPr>
        <w:numPr>
          <w:ilvl w:val="0"/>
          <w:numId w:val="15"/>
        </w:numPr>
        <w:spacing w:line="460" w:lineRule="exact"/>
        <w:rPr>
          <w:rFonts w:eastAsia="仿宋"/>
          <w:color w:val="auto"/>
          <w:sz w:val="24"/>
          <w:highlight w:val="none"/>
        </w:rPr>
      </w:pPr>
      <w:r>
        <w:rPr>
          <w:rFonts w:eastAsia="仿宋"/>
          <w:color w:val="auto"/>
          <w:sz w:val="24"/>
          <w:highlight w:val="none"/>
        </w:rPr>
        <w:t>投标文件中开标一览表（报价表）内容与投标文件中相应内容不一致的，以开标一览表（报价表）为准；</w:t>
      </w:r>
    </w:p>
    <w:p>
      <w:pPr>
        <w:numPr>
          <w:ilvl w:val="0"/>
          <w:numId w:val="15"/>
        </w:numPr>
        <w:spacing w:line="460" w:lineRule="exact"/>
        <w:rPr>
          <w:rFonts w:eastAsia="仿宋"/>
          <w:color w:val="auto"/>
          <w:sz w:val="24"/>
          <w:highlight w:val="none"/>
        </w:rPr>
      </w:pPr>
      <w:r>
        <w:rPr>
          <w:rFonts w:eastAsia="仿宋"/>
          <w:color w:val="auto"/>
          <w:sz w:val="24"/>
          <w:highlight w:val="none"/>
        </w:rPr>
        <w:t>大写金额和小写金额不一致的，以大写金额为准；</w:t>
      </w:r>
    </w:p>
    <w:p>
      <w:pPr>
        <w:numPr>
          <w:ilvl w:val="0"/>
          <w:numId w:val="15"/>
        </w:numPr>
        <w:spacing w:line="460" w:lineRule="exact"/>
        <w:rPr>
          <w:rFonts w:eastAsia="仿宋"/>
          <w:color w:val="auto"/>
          <w:sz w:val="24"/>
          <w:highlight w:val="none"/>
        </w:rPr>
      </w:pPr>
      <w:r>
        <w:rPr>
          <w:rFonts w:eastAsia="仿宋"/>
          <w:color w:val="auto"/>
          <w:sz w:val="24"/>
          <w:highlight w:val="none"/>
        </w:rPr>
        <w:t xml:space="preserve">单价金额小数点或者百分比有明显错位的，以开标一览表的总价为准，并修改单价；  </w:t>
      </w:r>
    </w:p>
    <w:p>
      <w:pPr>
        <w:numPr>
          <w:ilvl w:val="0"/>
          <w:numId w:val="15"/>
        </w:numPr>
        <w:spacing w:line="460" w:lineRule="exact"/>
        <w:rPr>
          <w:rFonts w:eastAsia="仿宋"/>
          <w:color w:val="auto"/>
          <w:sz w:val="24"/>
          <w:highlight w:val="none"/>
        </w:rPr>
      </w:pPr>
      <w:r>
        <w:rPr>
          <w:rFonts w:eastAsia="仿宋"/>
          <w:color w:val="auto"/>
          <w:sz w:val="24"/>
          <w:highlight w:val="none"/>
        </w:rPr>
        <w:t>总价金额与按单价汇总金额不一致的，以单价金额计算结果为准；</w:t>
      </w:r>
    </w:p>
    <w:p>
      <w:pPr>
        <w:numPr>
          <w:ilvl w:val="0"/>
          <w:numId w:val="15"/>
        </w:numPr>
        <w:spacing w:line="460" w:lineRule="exact"/>
        <w:rPr>
          <w:rFonts w:eastAsia="仿宋"/>
          <w:color w:val="auto"/>
          <w:sz w:val="24"/>
          <w:highlight w:val="none"/>
        </w:rPr>
      </w:pPr>
      <w:r>
        <w:rPr>
          <w:rFonts w:eastAsia="仿宋"/>
          <w:color w:val="auto"/>
          <w:sz w:val="24"/>
          <w:highlight w:val="none"/>
        </w:rPr>
        <w:t>同时出现两种以上不一致的，按照前款规定的顺序修正，若投标人不同意对其错误的修正，其投标无效。</w:t>
      </w:r>
    </w:p>
    <w:p>
      <w:pPr>
        <w:tabs>
          <w:tab w:val="left" w:pos="0"/>
          <w:tab w:val="left" w:pos="284"/>
          <w:tab w:val="left" w:pos="709"/>
          <w:tab w:val="left" w:pos="935"/>
          <w:tab w:val="left" w:pos="993"/>
          <w:tab w:val="left" w:pos="1077"/>
          <w:tab w:val="left" w:pos="1108"/>
        </w:tabs>
        <w:spacing w:line="460" w:lineRule="exact"/>
        <w:rPr>
          <w:rFonts w:eastAsia="仿宋"/>
          <w:bCs/>
          <w:color w:val="auto"/>
          <w:kern w:val="0"/>
          <w:sz w:val="24"/>
          <w:highlight w:val="none"/>
        </w:rPr>
      </w:pPr>
      <w:r>
        <w:rPr>
          <w:rFonts w:eastAsia="仿宋"/>
          <w:bCs/>
          <w:color w:val="auto"/>
          <w:kern w:val="0"/>
          <w:sz w:val="24"/>
          <w:highlight w:val="none"/>
        </w:rPr>
        <w:t>27.3澄清有关问题：对投标文件中含义不明确、同类问题表述不一致或者有明显文字和计算错误的内容，评标委员会可以书面形式（应当由评标委员会签字）要求投标人作出必要的澄清、说明或者补正。投标人的澄清、说明或者补正应当采用书面形式，由其授权的代表签字，并不得超出投标文件的范围或者改变投标文件的实质性内容。</w:t>
      </w:r>
    </w:p>
    <w:p>
      <w:pPr>
        <w:tabs>
          <w:tab w:val="left" w:pos="0"/>
          <w:tab w:val="left" w:pos="284"/>
          <w:tab w:val="left" w:pos="709"/>
          <w:tab w:val="left" w:pos="935"/>
          <w:tab w:val="left" w:pos="993"/>
          <w:tab w:val="left" w:pos="1077"/>
          <w:tab w:val="left" w:pos="1108"/>
        </w:tabs>
        <w:spacing w:line="460" w:lineRule="exact"/>
        <w:rPr>
          <w:rFonts w:eastAsia="仿宋"/>
          <w:bCs/>
          <w:color w:val="auto"/>
          <w:kern w:val="0"/>
          <w:sz w:val="24"/>
          <w:highlight w:val="none"/>
        </w:rPr>
      </w:pPr>
      <w:r>
        <w:rPr>
          <w:rFonts w:eastAsia="仿宋"/>
          <w:bCs/>
          <w:color w:val="auto"/>
          <w:kern w:val="0"/>
          <w:sz w:val="24"/>
          <w:highlight w:val="none"/>
        </w:rPr>
        <w:t>27.4根据《政府采购货物和服务招标投标管理办法》（财政部令第87号）第六十条：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tabs>
          <w:tab w:val="left" w:pos="0"/>
          <w:tab w:val="left" w:pos="284"/>
          <w:tab w:val="left" w:pos="709"/>
          <w:tab w:val="left" w:pos="935"/>
          <w:tab w:val="left" w:pos="993"/>
          <w:tab w:val="left" w:pos="1077"/>
          <w:tab w:val="left" w:pos="1108"/>
        </w:tabs>
        <w:spacing w:line="460" w:lineRule="exact"/>
        <w:rPr>
          <w:rFonts w:eastAsia="仿宋"/>
          <w:bCs/>
          <w:color w:val="auto"/>
          <w:kern w:val="0"/>
          <w:sz w:val="24"/>
          <w:highlight w:val="none"/>
        </w:rPr>
      </w:pPr>
      <w:r>
        <w:rPr>
          <w:rFonts w:eastAsia="仿宋"/>
          <w:bCs/>
          <w:color w:val="auto"/>
          <w:kern w:val="0"/>
          <w:sz w:val="24"/>
          <w:highlight w:val="none"/>
        </w:rPr>
        <w:t>27.5评标方法：</w:t>
      </w:r>
      <w:r>
        <w:rPr>
          <w:rFonts w:eastAsia="仿宋"/>
          <w:b/>
          <w:bCs/>
          <w:color w:val="auto"/>
          <w:kern w:val="0"/>
          <w:sz w:val="24"/>
          <w:highlight w:val="none"/>
        </w:rPr>
        <w:t>本项目采用综合评分法（是指投标文件满足招标文件全部实质性要求，且按照评审因素的量化指标评审得分最高的投标人为中标候选人的评标方法），</w:t>
      </w:r>
      <w:r>
        <w:rPr>
          <w:rFonts w:eastAsia="仿宋"/>
          <w:b/>
          <w:color w:val="auto"/>
          <w:kern w:val="0"/>
          <w:sz w:val="24"/>
          <w:highlight w:val="none"/>
        </w:rPr>
        <w:t>具体内容详见</w:t>
      </w:r>
      <w:r>
        <w:rPr>
          <w:rFonts w:hint="eastAsia" w:eastAsia="仿宋"/>
          <w:b/>
          <w:color w:val="auto"/>
          <w:kern w:val="0"/>
          <w:sz w:val="24"/>
          <w:highlight w:val="none"/>
          <w:lang w:eastAsia="zh-CN"/>
        </w:rPr>
        <w:t>“</w:t>
      </w:r>
      <w:r>
        <w:rPr>
          <w:rFonts w:eastAsia="仿宋"/>
          <w:b/>
          <w:color w:val="auto"/>
          <w:kern w:val="0"/>
          <w:sz w:val="24"/>
          <w:highlight w:val="none"/>
        </w:rPr>
        <w:t>第六章 评标方法</w:t>
      </w:r>
      <w:r>
        <w:rPr>
          <w:rFonts w:hint="eastAsia" w:eastAsia="仿宋"/>
          <w:b/>
          <w:color w:val="auto"/>
          <w:kern w:val="0"/>
          <w:sz w:val="24"/>
          <w:highlight w:val="none"/>
          <w:lang w:eastAsia="zh-CN"/>
        </w:rPr>
        <w:t>”</w:t>
      </w:r>
      <w:r>
        <w:rPr>
          <w:rFonts w:eastAsia="仿宋"/>
          <w:b/>
          <w:color w:val="auto"/>
          <w:kern w:val="0"/>
          <w:sz w:val="24"/>
          <w:highlight w:val="none"/>
        </w:rPr>
        <w:t>。</w:t>
      </w:r>
    </w:p>
    <w:p>
      <w:pPr>
        <w:tabs>
          <w:tab w:val="left" w:pos="0"/>
          <w:tab w:val="left" w:pos="284"/>
          <w:tab w:val="left" w:pos="709"/>
          <w:tab w:val="left" w:pos="935"/>
          <w:tab w:val="left" w:pos="993"/>
          <w:tab w:val="left" w:pos="1077"/>
          <w:tab w:val="left" w:pos="1108"/>
        </w:tabs>
        <w:spacing w:line="460" w:lineRule="exact"/>
        <w:rPr>
          <w:rFonts w:eastAsia="仿宋"/>
          <w:b/>
          <w:bCs/>
          <w:color w:val="auto"/>
          <w:kern w:val="0"/>
          <w:sz w:val="24"/>
          <w:highlight w:val="none"/>
        </w:rPr>
      </w:pPr>
      <w:r>
        <w:rPr>
          <w:rFonts w:eastAsia="仿宋"/>
          <w:bCs/>
          <w:color w:val="auto"/>
          <w:kern w:val="0"/>
          <w:sz w:val="24"/>
          <w:highlight w:val="none"/>
        </w:rPr>
        <w:t>27.6推荐中标候选人：</w:t>
      </w:r>
      <w:r>
        <w:rPr>
          <w:rFonts w:eastAsia="仿宋"/>
          <w:b/>
          <w:bCs/>
          <w:color w:val="auto"/>
          <w:kern w:val="0"/>
          <w:sz w:val="24"/>
          <w:highlight w:val="none"/>
        </w:rPr>
        <w:t>评标委员会评标结果按评审后得分由高到低顺序排列。得分相同的，按投标报价由低到高顺序排列。得分且投标报价相同的并列，由评标委员会随机抽取确定排序。投标文件满足招标文件全部实质性要求，且按照评审因素的量化指标评审得分最高的投标人为排名第一的中标候选人。</w:t>
      </w:r>
    </w:p>
    <w:p>
      <w:pPr>
        <w:tabs>
          <w:tab w:val="left" w:pos="0"/>
          <w:tab w:val="left" w:pos="284"/>
          <w:tab w:val="left" w:pos="709"/>
          <w:tab w:val="left" w:pos="935"/>
          <w:tab w:val="left" w:pos="993"/>
          <w:tab w:val="left" w:pos="1077"/>
          <w:tab w:val="left" w:pos="1108"/>
        </w:tabs>
        <w:spacing w:line="460" w:lineRule="exact"/>
        <w:rPr>
          <w:rFonts w:eastAsia="仿宋"/>
          <w:bCs/>
          <w:color w:val="auto"/>
          <w:kern w:val="0"/>
          <w:sz w:val="24"/>
          <w:highlight w:val="none"/>
        </w:rPr>
      </w:pPr>
      <w:r>
        <w:rPr>
          <w:rFonts w:eastAsia="仿宋"/>
          <w:bCs/>
          <w:color w:val="auto"/>
          <w:kern w:val="0"/>
          <w:sz w:val="24"/>
          <w:highlight w:val="none"/>
        </w:rPr>
        <w:t>27.7编写开标、评标记录和评标报告：将开标、评标记录和评标报告打印成纸质文件，由评标委员会成员签字。</w:t>
      </w:r>
    </w:p>
    <w:p>
      <w:pPr>
        <w:spacing w:line="460" w:lineRule="exact"/>
        <w:jc w:val="center"/>
        <w:outlineLvl w:val="1"/>
        <w:rPr>
          <w:rFonts w:eastAsia="仿宋"/>
          <w:b/>
          <w:bCs/>
          <w:color w:val="auto"/>
          <w:kern w:val="0"/>
          <w:sz w:val="24"/>
          <w:highlight w:val="none"/>
        </w:rPr>
      </w:pPr>
      <w:bookmarkStart w:id="173" w:name="_Toc15778"/>
      <w:bookmarkStart w:id="174" w:name="_Toc22506"/>
      <w:bookmarkStart w:id="175" w:name="_Toc4752"/>
      <w:bookmarkStart w:id="176" w:name="_Toc853"/>
      <w:bookmarkStart w:id="177" w:name="_Toc111018940"/>
      <w:bookmarkStart w:id="178" w:name="_Toc25113"/>
      <w:bookmarkStart w:id="179" w:name="_Toc26617"/>
      <w:bookmarkStart w:id="180" w:name="_Toc30375"/>
      <w:bookmarkStart w:id="181" w:name="_Toc3214"/>
      <w:r>
        <w:rPr>
          <w:rFonts w:eastAsia="仿宋"/>
          <w:b/>
          <w:bCs/>
          <w:color w:val="auto"/>
          <w:kern w:val="0"/>
          <w:sz w:val="24"/>
          <w:highlight w:val="none"/>
        </w:rPr>
        <w:t>八、中标人的确定</w:t>
      </w:r>
      <w:bookmarkEnd w:id="173"/>
      <w:bookmarkEnd w:id="174"/>
      <w:bookmarkEnd w:id="175"/>
      <w:bookmarkEnd w:id="176"/>
      <w:bookmarkEnd w:id="177"/>
      <w:bookmarkEnd w:id="178"/>
      <w:bookmarkEnd w:id="179"/>
      <w:bookmarkEnd w:id="180"/>
      <w:bookmarkEnd w:id="181"/>
    </w:p>
    <w:p>
      <w:pPr>
        <w:spacing w:line="460" w:lineRule="exact"/>
        <w:rPr>
          <w:rFonts w:eastAsia="仿宋"/>
          <w:b/>
          <w:bCs/>
          <w:color w:val="auto"/>
          <w:kern w:val="0"/>
          <w:sz w:val="24"/>
          <w:highlight w:val="none"/>
        </w:rPr>
      </w:pPr>
      <w:r>
        <w:rPr>
          <w:rFonts w:eastAsia="仿宋"/>
          <w:b/>
          <w:bCs/>
          <w:color w:val="auto"/>
          <w:kern w:val="0"/>
          <w:sz w:val="24"/>
          <w:highlight w:val="none"/>
        </w:rPr>
        <w:t>28 在招标采购中，出现下列情形之一的，应予废标：</w:t>
      </w:r>
    </w:p>
    <w:p>
      <w:pPr>
        <w:tabs>
          <w:tab w:val="left" w:pos="0"/>
          <w:tab w:val="left" w:pos="284"/>
          <w:tab w:val="left" w:pos="709"/>
          <w:tab w:val="left" w:pos="935"/>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28.1符合专业条件的投标人或者对招标文件作实质响应的投标人不足三家的；</w:t>
      </w:r>
    </w:p>
    <w:p>
      <w:pPr>
        <w:tabs>
          <w:tab w:val="left" w:pos="0"/>
          <w:tab w:val="left" w:pos="284"/>
          <w:tab w:val="left" w:pos="709"/>
          <w:tab w:val="left" w:pos="935"/>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28.2出现影响采购公正的违法、违规行为的；</w:t>
      </w:r>
    </w:p>
    <w:p>
      <w:pPr>
        <w:tabs>
          <w:tab w:val="left" w:pos="0"/>
          <w:tab w:val="left" w:pos="284"/>
          <w:tab w:val="left" w:pos="709"/>
          <w:tab w:val="left" w:pos="935"/>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28.3投标人的报价均超过了采购预算，采购人不能支付的；</w:t>
      </w:r>
    </w:p>
    <w:p>
      <w:pPr>
        <w:tabs>
          <w:tab w:val="left" w:pos="0"/>
          <w:tab w:val="left" w:pos="284"/>
          <w:tab w:val="left" w:pos="709"/>
          <w:tab w:val="left" w:pos="935"/>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28.4因重大变故，采购任务取消的。</w:t>
      </w:r>
    </w:p>
    <w:p>
      <w:pPr>
        <w:spacing w:line="460" w:lineRule="exact"/>
        <w:rPr>
          <w:rFonts w:eastAsia="仿宋"/>
          <w:b/>
          <w:bCs/>
          <w:color w:val="auto"/>
          <w:kern w:val="0"/>
          <w:sz w:val="24"/>
          <w:highlight w:val="none"/>
        </w:rPr>
      </w:pPr>
      <w:r>
        <w:rPr>
          <w:rFonts w:eastAsia="仿宋"/>
          <w:b/>
          <w:bCs/>
          <w:color w:val="auto"/>
          <w:kern w:val="0"/>
          <w:sz w:val="24"/>
          <w:highlight w:val="none"/>
        </w:rPr>
        <w:t>29 中标人的确定</w:t>
      </w:r>
    </w:p>
    <w:p>
      <w:pPr>
        <w:tabs>
          <w:tab w:val="left" w:pos="0"/>
          <w:tab w:val="left" w:pos="284"/>
          <w:tab w:val="left" w:pos="709"/>
          <w:tab w:val="left" w:pos="935"/>
          <w:tab w:val="left" w:pos="993"/>
          <w:tab w:val="left" w:pos="1108"/>
        </w:tabs>
        <w:spacing w:line="460" w:lineRule="exact"/>
        <w:ind w:firstLine="480" w:firstLineChars="200"/>
        <w:rPr>
          <w:rFonts w:eastAsia="仿宋"/>
          <w:bCs/>
          <w:color w:val="auto"/>
          <w:kern w:val="0"/>
          <w:sz w:val="24"/>
          <w:highlight w:val="none"/>
        </w:rPr>
      </w:pPr>
      <w:r>
        <w:rPr>
          <w:rFonts w:eastAsia="仿宋"/>
          <w:bCs/>
          <w:color w:val="auto"/>
          <w:kern w:val="0"/>
          <w:sz w:val="24"/>
          <w:highlight w:val="none"/>
        </w:rPr>
        <w:t>采购人应当自收到评标报告之日起5个工作日内在评标报告推荐的中标候选人名单中按顺序确定中标人。</w:t>
      </w:r>
    </w:p>
    <w:p>
      <w:pPr>
        <w:spacing w:line="460" w:lineRule="exact"/>
        <w:jc w:val="center"/>
        <w:outlineLvl w:val="1"/>
        <w:rPr>
          <w:rFonts w:eastAsia="仿宋"/>
          <w:b/>
          <w:bCs/>
          <w:color w:val="auto"/>
          <w:kern w:val="0"/>
          <w:sz w:val="24"/>
          <w:highlight w:val="none"/>
        </w:rPr>
      </w:pPr>
      <w:bookmarkStart w:id="182" w:name="_Toc13930"/>
      <w:bookmarkStart w:id="183" w:name="_Toc111018941"/>
      <w:bookmarkStart w:id="184" w:name="_Toc21649"/>
      <w:bookmarkStart w:id="185" w:name="_Toc1025"/>
      <w:bookmarkStart w:id="186" w:name="_Toc24525"/>
      <w:bookmarkStart w:id="187" w:name="_Toc20719"/>
      <w:bookmarkStart w:id="188" w:name="_Toc16021"/>
      <w:bookmarkStart w:id="189" w:name="_Toc10534"/>
      <w:bookmarkStart w:id="190" w:name="_Toc9262"/>
      <w:r>
        <w:rPr>
          <w:rFonts w:eastAsia="仿宋"/>
          <w:b/>
          <w:bCs/>
          <w:color w:val="auto"/>
          <w:kern w:val="0"/>
          <w:sz w:val="24"/>
          <w:highlight w:val="none"/>
        </w:rPr>
        <w:t>九、中标结果公告</w:t>
      </w:r>
      <w:bookmarkEnd w:id="182"/>
      <w:bookmarkEnd w:id="183"/>
      <w:bookmarkEnd w:id="184"/>
      <w:bookmarkEnd w:id="185"/>
      <w:bookmarkEnd w:id="186"/>
      <w:bookmarkEnd w:id="187"/>
      <w:bookmarkEnd w:id="188"/>
      <w:bookmarkEnd w:id="189"/>
      <w:bookmarkEnd w:id="190"/>
    </w:p>
    <w:p>
      <w:pPr>
        <w:spacing w:line="460" w:lineRule="exact"/>
        <w:rPr>
          <w:rFonts w:eastAsia="仿宋"/>
          <w:b/>
          <w:bCs/>
          <w:color w:val="auto"/>
          <w:kern w:val="0"/>
          <w:sz w:val="24"/>
          <w:highlight w:val="none"/>
        </w:rPr>
      </w:pPr>
      <w:r>
        <w:rPr>
          <w:rFonts w:eastAsia="仿宋"/>
          <w:b/>
          <w:bCs/>
          <w:color w:val="auto"/>
          <w:kern w:val="0"/>
          <w:sz w:val="24"/>
          <w:highlight w:val="none"/>
        </w:rPr>
        <w:t>30 中标结果公告</w:t>
      </w:r>
    </w:p>
    <w:p>
      <w:pPr>
        <w:tabs>
          <w:tab w:val="left" w:pos="0"/>
          <w:tab w:val="left" w:pos="284"/>
          <w:tab w:val="left" w:pos="709"/>
        </w:tabs>
        <w:spacing w:line="460" w:lineRule="exact"/>
        <w:jc w:val="left"/>
        <w:rPr>
          <w:rFonts w:eastAsia="仿宋"/>
          <w:bCs/>
          <w:color w:val="auto"/>
          <w:kern w:val="0"/>
          <w:sz w:val="24"/>
          <w:highlight w:val="none"/>
        </w:rPr>
      </w:pPr>
      <w:r>
        <w:rPr>
          <w:rFonts w:eastAsia="仿宋"/>
          <w:bCs/>
          <w:color w:val="auto"/>
          <w:kern w:val="0"/>
          <w:sz w:val="24"/>
          <w:highlight w:val="none"/>
        </w:rPr>
        <w:t>30.1.采购代理机构根据采购人确定的中标结果，将中标结果在中国政府采购网（http://www.ccgp.gov.cn/）发布；</w:t>
      </w:r>
    </w:p>
    <w:p>
      <w:pPr>
        <w:tabs>
          <w:tab w:val="left" w:pos="0"/>
          <w:tab w:val="left" w:pos="284"/>
          <w:tab w:val="left" w:pos="709"/>
        </w:tabs>
        <w:spacing w:line="460" w:lineRule="exact"/>
        <w:rPr>
          <w:rFonts w:eastAsia="仿宋"/>
          <w:bCs/>
          <w:color w:val="auto"/>
          <w:kern w:val="0"/>
          <w:sz w:val="24"/>
          <w:highlight w:val="none"/>
        </w:rPr>
      </w:pPr>
      <w:r>
        <w:rPr>
          <w:rFonts w:eastAsia="仿宋"/>
          <w:bCs/>
          <w:color w:val="auto"/>
          <w:kern w:val="0"/>
          <w:sz w:val="24"/>
          <w:highlight w:val="none"/>
        </w:rPr>
        <w:t>30.2.中标公告期限为1个工作日。</w:t>
      </w:r>
    </w:p>
    <w:p>
      <w:pPr>
        <w:spacing w:line="460" w:lineRule="exact"/>
        <w:jc w:val="center"/>
        <w:outlineLvl w:val="1"/>
        <w:rPr>
          <w:rFonts w:eastAsia="仿宋"/>
          <w:b/>
          <w:bCs/>
          <w:color w:val="auto"/>
          <w:kern w:val="0"/>
          <w:sz w:val="24"/>
          <w:highlight w:val="none"/>
        </w:rPr>
      </w:pPr>
      <w:bookmarkStart w:id="191" w:name="_Toc29064"/>
      <w:bookmarkStart w:id="192" w:name="_Toc111018942"/>
      <w:bookmarkStart w:id="193" w:name="_Toc6360"/>
      <w:bookmarkStart w:id="194" w:name="_Toc27217"/>
      <w:bookmarkStart w:id="195" w:name="_Toc1684"/>
      <w:bookmarkStart w:id="196" w:name="_Toc19580"/>
      <w:bookmarkStart w:id="197" w:name="_Toc13759"/>
      <w:bookmarkStart w:id="198" w:name="_Toc8259"/>
      <w:bookmarkStart w:id="199" w:name="_Toc20834"/>
      <w:r>
        <w:rPr>
          <w:rFonts w:eastAsia="仿宋"/>
          <w:b/>
          <w:bCs/>
          <w:color w:val="auto"/>
          <w:kern w:val="0"/>
          <w:sz w:val="24"/>
          <w:highlight w:val="none"/>
        </w:rPr>
        <w:t>十、中标通知</w:t>
      </w:r>
      <w:bookmarkEnd w:id="191"/>
      <w:bookmarkEnd w:id="192"/>
      <w:bookmarkEnd w:id="193"/>
      <w:bookmarkEnd w:id="194"/>
      <w:bookmarkEnd w:id="195"/>
      <w:bookmarkEnd w:id="196"/>
      <w:bookmarkEnd w:id="197"/>
      <w:bookmarkEnd w:id="198"/>
      <w:bookmarkEnd w:id="199"/>
    </w:p>
    <w:p>
      <w:pPr>
        <w:spacing w:line="460" w:lineRule="exact"/>
        <w:rPr>
          <w:rFonts w:eastAsia="仿宋"/>
          <w:b/>
          <w:bCs/>
          <w:color w:val="auto"/>
          <w:kern w:val="0"/>
          <w:sz w:val="24"/>
          <w:highlight w:val="none"/>
        </w:rPr>
      </w:pPr>
      <w:r>
        <w:rPr>
          <w:rFonts w:eastAsia="仿宋"/>
          <w:b/>
          <w:bCs/>
          <w:color w:val="auto"/>
          <w:kern w:val="0"/>
          <w:sz w:val="24"/>
          <w:highlight w:val="none"/>
        </w:rPr>
        <w:t>31中标通知</w:t>
      </w:r>
    </w:p>
    <w:p>
      <w:pPr>
        <w:tabs>
          <w:tab w:val="left" w:pos="0"/>
          <w:tab w:val="left" w:pos="284"/>
          <w:tab w:val="left" w:pos="709"/>
          <w:tab w:val="left" w:pos="935"/>
          <w:tab w:val="left" w:pos="993"/>
          <w:tab w:val="left" w:pos="1108"/>
        </w:tabs>
        <w:spacing w:line="460" w:lineRule="exact"/>
        <w:ind w:firstLine="480" w:firstLineChars="200"/>
        <w:rPr>
          <w:rFonts w:eastAsia="仿宋"/>
          <w:bCs/>
          <w:strike/>
          <w:color w:val="auto"/>
          <w:kern w:val="0"/>
          <w:sz w:val="24"/>
          <w:highlight w:val="none"/>
        </w:rPr>
      </w:pPr>
      <w:r>
        <w:rPr>
          <w:rFonts w:eastAsia="仿宋"/>
          <w:bCs/>
          <w:color w:val="auto"/>
          <w:kern w:val="0"/>
          <w:sz w:val="24"/>
          <w:highlight w:val="none"/>
        </w:rPr>
        <w:t>采购代理机构向中标人发出中标通知书。</w:t>
      </w:r>
    </w:p>
    <w:p>
      <w:pPr>
        <w:spacing w:line="460" w:lineRule="exact"/>
        <w:jc w:val="center"/>
        <w:outlineLvl w:val="1"/>
        <w:rPr>
          <w:rFonts w:eastAsia="仿宋"/>
          <w:b/>
          <w:bCs/>
          <w:color w:val="auto"/>
          <w:kern w:val="0"/>
          <w:sz w:val="24"/>
          <w:highlight w:val="none"/>
        </w:rPr>
      </w:pPr>
      <w:bookmarkStart w:id="200" w:name="_Toc1564"/>
      <w:bookmarkStart w:id="201" w:name="_Toc13581"/>
      <w:bookmarkStart w:id="202" w:name="_Toc10580"/>
      <w:bookmarkStart w:id="203" w:name="_Toc7874"/>
      <w:bookmarkStart w:id="204" w:name="_Toc25102"/>
      <w:bookmarkStart w:id="205" w:name="_Toc5130"/>
      <w:bookmarkStart w:id="206" w:name="_Toc13632"/>
      <w:bookmarkStart w:id="207" w:name="_Toc111018943"/>
      <w:bookmarkStart w:id="208" w:name="_Toc9724"/>
      <w:r>
        <w:rPr>
          <w:rFonts w:eastAsia="仿宋"/>
          <w:b/>
          <w:bCs/>
          <w:color w:val="auto"/>
          <w:kern w:val="0"/>
          <w:sz w:val="24"/>
          <w:highlight w:val="none"/>
        </w:rPr>
        <w:t>十一、签订合同</w:t>
      </w:r>
      <w:bookmarkEnd w:id="200"/>
      <w:bookmarkEnd w:id="201"/>
      <w:bookmarkEnd w:id="202"/>
      <w:bookmarkEnd w:id="203"/>
      <w:bookmarkEnd w:id="204"/>
      <w:bookmarkEnd w:id="205"/>
      <w:bookmarkEnd w:id="206"/>
      <w:bookmarkEnd w:id="207"/>
      <w:bookmarkEnd w:id="208"/>
    </w:p>
    <w:p>
      <w:pPr>
        <w:spacing w:line="460" w:lineRule="exact"/>
        <w:rPr>
          <w:rFonts w:eastAsia="仿宋"/>
          <w:b/>
          <w:bCs/>
          <w:color w:val="auto"/>
          <w:kern w:val="0"/>
          <w:sz w:val="24"/>
          <w:highlight w:val="none"/>
        </w:rPr>
      </w:pPr>
      <w:r>
        <w:rPr>
          <w:rFonts w:eastAsia="仿宋"/>
          <w:b/>
          <w:bCs/>
          <w:color w:val="auto"/>
          <w:kern w:val="0"/>
          <w:sz w:val="24"/>
          <w:highlight w:val="none"/>
        </w:rPr>
        <w:t>32签订合同</w:t>
      </w:r>
    </w:p>
    <w:p>
      <w:pPr>
        <w:tabs>
          <w:tab w:val="left" w:pos="0"/>
          <w:tab w:val="left" w:pos="284"/>
          <w:tab w:val="left" w:pos="709"/>
          <w:tab w:val="left" w:pos="935"/>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32.1中标人在中标通知书发出之日起三十日内，按照招标文件确定的事项签订政府采购合同。</w:t>
      </w:r>
    </w:p>
    <w:p>
      <w:pPr>
        <w:tabs>
          <w:tab w:val="left" w:pos="0"/>
          <w:tab w:val="left" w:pos="284"/>
          <w:tab w:val="left" w:pos="709"/>
          <w:tab w:val="left" w:pos="935"/>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32.2中标人拒绝与采购人签订合同的，采购人可以按照评审报告推荐的中标候选人名单排序，确定下一候选人为中标人，也可以重新开展政府采购活动，若中标人拒绝与采购人签订合同对采购人造成损失，中标人应承担相应的责任。</w:t>
      </w:r>
    </w:p>
    <w:p>
      <w:pPr>
        <w:tabs>
          <w:tab w:val="left" w:pos="0"/>
          <w:tab w:val="left" w:pos="284"/>
          <w:tab w:val="left" w:pos="709"/>
          <w:tab w:val="left" w:pos="935"/>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32.3招标文件、中标人的投标文件及评标过程中的有关澄清文件均为签订合同的依据。</w:t>
      </w:r>
    </w:p>
    <w:p>
      <w:pPr>
        <w:tabs>
          <w:tab w:val="left" w:pos="0"/>
          <w:tab w:val="left" w:pos="284"/>
          <w:tab w:val="left" w:pos="709"/>
          <w:tab w:val="left" w:pos="935"/>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32.4合同履行中，采购人需追加与合同标的相同的货物的，在不改变合同其他条款的前提下，可以与中标人协商签订补充合同，但所有补充合同的采购金额不得超过原合同采购金额的百分之十。</w:t>
      </w:r>
    </w:p>
    <w:p>
      <w:pPr>
        <w:spacing w:line="460" w:lineRule="exact"/>
        <w:jc w:val="center"/>
        <w:outlineLvl w:val="1"/>
        <w:rPr>
          <w:rFonts w:eastAsia="仿宋"/>
          <w:b/>
          <w:bCs/>
          <w:color w:val="auto"/>
          <w:kern w:val="0"/>
          <w:sz w:val="24"/>
          <w:highlight w:val="none"/>
        </w:rPr>
      </w:pPr>
      <w:bookmarkStart w:id="209" w:name="_Toc14788"/>
      <w:bookmarkStart w:id="210" w:name="_Toc3254"/>
      <w:bookmarkStart w:id="211" w:name="_Toc29452"/>
      <w:bookmarkStart w:id="212" w:name="_Toc26953"/>
      <w:bookmarkStart w:id="213" w:name="_Toc822"/>
      <w:bookmarkStart w:id="214" w:name="_Toc23882"/>
      <w:bookmarkStart w:id="215" w:name="_Toc111018944"/>
      <w:bookmarkStart w:id="216" w:name="_Toc6287"/>
      <w:bookmarkStart w:id="217" w:name="_Toc10812"/>
      <w:r>
        <w:rPr>
          <w:rFonts w:eastAsia="仿宋"/>
          <w:b/>
          <w:bCs/>
          <w:color w:val="auto"/>
          <w:kern w:val="0"/>
          <w:sz w:val="24"/>
          <w:highlight w:val="none"/>
        </w:rPr>
        <w:t>十二、询问、质疑和投诉</w:t>
      </w:r>
      <w:bookmarkEnd w:id="209"/>
      <w:bookmarkEnd w:id="210"/>
      <w:bookmarkEnd w:id="211"/>
      <w:bookmarkEnd w:id="212"/>
      <w:bookmarkEnd w:id="213"/>
      <w:bookmarkEnd w:id="214"/>
      <w:bookmarkEnd w:id="215"/>
      <w:bookmarkEnd w:id="216"/>
      <w:bookmarkEnd w:id="217"/>
    </w:p>
    <w:p>
      <w:pPr>
        <w:spacing w:line="460" w:lineRule="exact"/>
        <w:rPr>
          <w:rFonts w:eastAsia="仿宋"/>
          <w:b/>
          <w:bCs/>
          <w:color w:val="auto"/>
          <w:kern w:val="0"/>
          <w:sz w:val="24"/>
          <w:highlight w:val="none"/>
        </w:rPr>
      </w:pPr>
      <w:r>
        <w:rPr>
          <w:rFonts w:eastAsia="仿宋"/>
          <w:b/>
          <w:bCs/>
          <w:color w:val="auto"/>
          <w:kern w:val="0"/>
          <w:sz w:val="24"/>
          <w:highlight w:val="none"/>
        </w:rPr>
        <w:t>33询问</w:t>
      </w:r>
    </w:p>
    <w:p>
      <w:pPr>
        <w:tabs>
          <w:tab w:val="left" w:pos="0"/>
          <w:tab w:val="left" w:pos="284"/>
          <w:tab w:val="left" w:pos="709"/>
          <w:tab w:val="left" w:pos="935"/>
        </w:tabs>
        <w:spacing w:line="460" w:lineRule="exact"/>
        <w:ind w:firstLine="480" w:firstLineChars="200"/>
        <w:rPr>
          <w:rFonts w:eastAsia="仿宋"/>
          <w:b/>
          <w:bCs/>
          <w:color w:val="auto"/>
          <w:kern w:val="0"/>
          <w:sz w:val="24"/>
          <w:highlight w:val="none"/>
        </w:rPr>
      </w:pPr>
      <w:r>
        <w:rPr>
          <w:rFonts w:eastAsia="仿宋"/>
          <w:bCs/>
          <w:color w:val="auto"/>
          <w:kern w:val="0"/>
          <w:sz w:val="24"/>
          <w:highlight w:val="none"/>
        </w:rPr>
        <w:t>投标人对政府采购活动事项有疑问的，可以向采购人或者采购代理机构提出询问，采购代理机构应当在3个工作日内对投标人依法提出询问作出答复。</w:t>
      </w:r>
    </w:p>
    <w:p>
      <w:pPr>
        <w:spacing w:line="460" w:lineRule="exact"/>
        <w:rPr>
          <w:rFonts w:eastAsia="仿宋"/>
          <w:b/>
          <w:bCs/>
          <w:color w:val="auto"/>
          <w:kern w:val="0"/>
          <w:sz w:val="24"/>
          <w:highlight w:val="none"/>
        </w:rPr>
      </w:pPr>
      <w:r>
        <w:rPr>
          <w:rFonts w:eastAsia="仿宋"/>
          <w:b/>
          <w:bCs/>
          <w:color w:val="auto"/>
          <w:kern w:val="0"/>
          <w:sz w:val="24"/>
          <w:highlight w:val="none"/>
        </w:rPr>
        <w:t>34质疑、投诉注意事项</w:t>
      </w:r>
    </w:p>
    <w:p>
      <w:pPr>
        <w:tabs>
          <w:tab w:val="left" w:pos="0"/>
          <w:tab w:val="left" w:pos="284"/>
          <w:tab w:val="left" w:pos="709"/>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34.1接收质疑方式</w:t>
      </w:r>
    </w:p>
    <w:p>
      <w:pPr>
        <w:tabs>
          <w:tab w:val="left" w:pos="0"/>
          <w:tab w:val="left" w:pos="284"/>
          <w:tab w:val="left" w:pos="709"/>
          <w:tab w:val="left" w:pos="993"/>
          <w:tab w:val="left" w:pos="1108"/>
        </w:tabs>
        <w:spacing w:line="460" w:lineRule="exact"/>
        <w:ind w:firstLine="360" w:firstLineChars="150"/>
        <w:rPr>
          <w:rFonts w:eastAsia="仿宋"/>
          <w:bCs/>
          <w:color w:val="auto"/>
          <w:kern w:val="0"/>
          <w:sz w:val="24"/>
          <w:highlight w:val="none"/>
        </w:rPr>
      </w:pPr>
      <w:r>
        <w:rPr>
          <w:rFonts w:eastAsia="仿宋"/>
          <w:bCs/>
          <w:color w:val="auto"/>
          <w:kern w:val="0"/>
          <w:sz w:val="24"/>
          <w:highlight w:val="none"/>
        </w:rPr>
        <w:t>34.1.1投标人如委托代理人进行质疑和投诉，应当提交投标人签署的授权委托书，其授权委托书应当载明代理人的姓名或者名称、代理事项、具体权限、期限和相关事项。投标人为自然人的应当由本人签字。投标人为法人或者其他组织的，应当由法定代表人、主要负责人或者其授权代表签字或者盖章，并加盖公章。</w:t>
      </w:r>
    </w:p>
    <w:p>
      <w:pPr>
        <w:tabs>
          <w:tab w:val="left" w:pos="0"/>
          <w:tab w:val="left" w:pos="284"/>
          <w:tab w:val="left" w:pos="709"/>
          <w:tab w:val="left" w:pos="993"/>
          <w:tab w:val="left" w:pos="1108"/>
        </w:tabs>
        <w:spacing w:line="460" w:lineRule="exact"/>
        <w:ind w:firstLine="360" w:firstLineChars="150"/>
        <w:rPr>
          <w:rFonts w:eastAsia="仿宋"/>
          <w:bCs/>
          <w:color w:val="auto"/>
          <w:kern w:val="0"/>
          <w:sz w:val="24"/>
          <w:highlight w:val="none"/>
        </w:rPr>
      </w:pPr>
      <w:r>
        <w:rPr>
          <w:rFonts w:eastAsia="仿宋"/>
          <w:bCs/>
          <w:color w:val="auto"/>
          <w:kern w:val="0"/>
          <w:sz w:val="24"/>
          <w:highlight w:val="none"/>
        </w:rPr>
        <w:t>34.1.2采购代理机构接收询问、质疑联系方式</w:t>
      </w:r>
    </w:p>
    <w:p>
      <w:pPr>
        <w:tabs>
          <w:tab w:val="left" w:pos="0"/>
          <w:tab w:val="left" w:pos="284"/>
          <w:tab w:val="left" w:pos="709"/>
          <w:tab w:val="left" w:pos="993"/>
          <w:tab w:val="left" w:pos="1108"/>
        </w:tabs>
        <w:spacing w:line="460" w:lineRule="exact"/>
        <w:ind w:firstLine="360" w:firstLineChars="150"/>
        <w:rPr>
          <w:rFonts w:eastAsia="仿宋"/>
          <w:bCs/>
          <w:color w:val="auto"/>
          <w:kern w:val="0"/>
          <w:sz w:val="24"/>
          <w:highlight w:val="none"/>
        </w:rPr>
      </w:pPr>
      <w:r>
        <w:rPr>
          <w:rFonts w:eastAsia="仿宋"/>
          <w:bCs/>
          <w:color w:val="auto"/>
          <w:kern w:val="0"/>
          <w:sz w:val="24"/>
          <w:highlight w:val="none"/>
        </w:rPr>
        <w:t xml:space="preserve"> （1）对招标文件质疑</w:t>
      </w:r>
    </w:p>
    <w:p>
      <w:pPr>
        <w:tabs>
          <w:tab w:val="left" w:pos="0"/>
          <w:tab w:val="left" w:pos="284"/>
          <w:tab w:val="left" w:pos="709"/>
          <w:tab w:val="left" w:pos="993"/>
          <w:tab w:val="left" w:pos="1108"/>
        </w:tabs>
        <w:spacing w:line="460" w:lineRule="exact"/>
        <w:ind w:firstLine="360" w:firstLineChars="150"/>
        <w:rPr>
          <w:rFonts w:eastAsia="仿宋"/>
          <w:bCs/>
          <w:color w:val="auto"/>
          <w:kern w:val="0"/>
          <w:sz w:val="24"/>
          <w:highlight w:val="none"/>
        </w:rPr>
      </w:pPr>
      <w:r>
        <w:rPr>
          <w:rFonts w:eastAsia="仿宋"/>
          <w:bCs/>
          <w:color w:val="auto"/>
          <w:kern w:val="0"/>
          <w:sz w:val="24"/>
          <w:highlight w:val="none"/>
        </w:rPr>
        <w:t>接收部门：江西省机电设备招标有限公司招标四部</w:t>
      </w:r>
    </w:p>
    <w:p>
      <w:pPr>
        <w:tabs>
          <w:tab w:val="left" w:pos="0"/>
          <w:tab w:val="left" w:pos="284"/>
          <w:tab w:val="left" w:pos="709"/>
          <w:tab w:val="left" w:pos="993"/>
          <w:tab w:val="left" w:pos="1108"/>
        </w:tabs>
        <w:spacing w:line="460" w:lineRule="exact"/>
        <w:ind w:firstLine="360" w:firstLineChars="150"/>
        <w:rPr>
          <w:rFonts w:eastAsia="仿宋"/>
          <w:bCs/>
          <w:color w:val="auto"/>
          <w:kern w:val="0"/>
          <w:sz w:val="24"/>
          <w:highlight w:val="none"/>
        </w:rPr>
      </w:pPr>
      <w:r>
        <w:rPr>
          <w:rFonts w:eastAsia="仿宋"/>
          <w:bCs/>
          <w:color w:val="auto"/>
          <w:kern w:val="0"/>
          <w:sz w:val="24"/>
          <w:highlight w:val="none"/>
        </w:rPr>
        <w:t>联系电话：0791-86272683</w:t>
      </w:r>
    </w:p>
    <w:p>
      <w:pPr>
        <w:tabs>
          <w:tab w:val="left" w:pos="0"/>
          <w:tab w:val="left" w:pos="284"/>
          <w:tab w:val="left" w:pos="709"/>
          <w:tab w:val="left" w:pos="993"/>
          <w:tab w:val="left" w:pos="1108"/>
        </w:tabs>
        <w:spacing w:line="460" w:lineRule="exact"/>
        <w:ind w:firstLine="360" w:firstLineChars="150"/>
        <w:rPr>
          <w:rFonts w:eastAsia="仿宋"/>
          <w:bCs/>
          <w:color w:val="auto"/>
          <w:kern w:val="0"/>
          <w:sz w:val="24"/>
          <w:highlight w:val="none"/>
        </w:rPr>
      </w:pPr>
      <w:r>
        <w:rPr>
          <w:rFonts w:eastAsia="仿宋"/>
          <w:bCs/>
          <w:color w:val="auto"/>
          <w:kern w:val="0"/>
          <w:sz w:val="24"/>
          <w:highlight w:val="none"/>
        </w:rPr>
        <w:t>通讯地址：江西省南昌市东湖区省政府大院北二路92号咨询大厦311室</w:t>
      </w:r>
    </w:p>
    <w:p>
      <w:pPr>
        <w:tabs>
          <w:tab w:val="left" w:pos="0"/>
          <w:tab w:val="left" w:pos="284"/>
          <w:tab w:val="left" w:pos="709"/>
          <w:tab w:val="left" w:pos="993"/>
          <w:tab w:val="left" w:pos="1108"/>
        </w:tabs>
        <w:spacing w:line="460" w:lineRule="exact"/>
        <w:ind w:firstLine="360" w:firstLineChars="150"/>
        <w:rPr>
          <w:rFonts w:eastAsia="仿宋"/>
          <w:bCs/>
          <w:color w:val="auto"/>
          <w:kern w:val="0"/>
          <w:sz w:val="24"/>
          <w:highlight w:val="none"/>
        </w:rPr>
      </w:pPr>
      <w:r>
        <w:rPr>
          <w:rFonts w:eastAsia="仿宋"/>
          <w:bCs/>
          <w:color w:val="auto"/>
          <w:kern w:val="0"/>
          <w:sz w:val="24"/>
          <w:highlight w:val="none"/>
        </w:rPr>
        <w:t>邮编：330046</w:t>
      </w:r>
    </w:p>
    <w:p>
      <w:pPr>
        <w:tabs>
          <w:tab w:val="left" w:pos="0"/>
          <w:tab w:val="left" w:pos="284"/>
          <w:tab w:val="left" w:pos="709"/>
          <w:tab w:val="left" w:pos="993"/>
          <w:tab w:val="left" w:pos="1108"/>
        </w:tabs>
        <w:spacing w:line="460" w:lineRule="exact"/>
        <w:ind w:firstLine="360" w:firstLineChars="150"/>
        <w:rPr>
          <w:rFonts w:eastAsia="仿宋"/>
          <w:bCs/>
          <w:color w:val="auto"/>
          <w:kern w:val="0"/>
          <w:sz w:val="24"/>
          <w:highlight w:val="none"/>
        </w:rPr>
      </w:pPr>
      <w:r>
        <w:rPr>
          <w:rFonts w:eastAsia="仿宋"/>
          <w:bCs/>
          <w:color w:val="auto"/>
          <w:kern w:val="0"/>
          <w:sz w:val="24"/>
          <w:highlight w:val="none"/>
        </w:rPr>
        <w:t xml:space="preserve"> （2）对招标过程、中标结果质疑</w:t>
      </w:r>
    </w:p>
    <w:p>
      <w:pPr>
        <w:tabs>
          <w:tab w:val="left" w:pos="0"/>
          <w:tab w:val="left" w:pos="284"/>
          <w:tab w:val="left" w:pos="709"/>
          <w:tab w:val="left" w:pos="993"/>
          <w:tab w:val="left" w:pos="1108"/>
        </w:tabs>
        <w:spacing w:line="460" w:lineRule="exact"/>
        <w:ind w:firstLine="360" w:firstLineChars="150"/>
        <w:rPr>
          <w:rFonts w:eastAsia="仿宋"/>
          <w:bCs/>
          <w:color w:val="auto"/>
          <w:kern w:val="0"/>
          <w:sz w:val="24"/>
          <w:highlight w:val="none"/>
        </w:rPr>
      </w:pPr>
      <w:r>
        <w:rPr>
          <w:rFonts w:eastAsia="仿宋"/>
          <w:bCs/>
          <w:color w:val="auto"/>
          <w:kern w:val="0"/>
          <w:sz w:val="24"/>
          <w:highlight w:val="none"/>
        </w:rPr>
        <w:t>接收部门：江西省机电设备招标有限公司质疑室</w:t>
      </w:r>
    </w:p>
    <w:p>
      <w:pPr>
        <w:tabs>
          <w:tab w:val="left" w:pos="0"/>
          <w:tab w:val="left" w:pos="284"/>
          <w:tab w:val="left" w:pos="709"/>
          <w:tab w:val="left" w:pos="993"/>
          <w:tab w:val="left" w:pos="1108"/>
        </w:tabs>
        <w:spacing w:line="460" w:lineRule="exact"/>
        <w:ind w:firstLine="360" w:firstLineChars="150"/>
        <w:rPr>
          <w:rFonts w:eastAsia="仿宋"/>
          <w:bCs/>
          <w:color w:val="auto"/>
          <w:kern w:val="0"/>
          <w:sz w:val="24"/>
          <w:highlight w:val="none"/>
        </w:rPr>
      </w:pPr>
      <w:r>
        <w:rPr>
          <w:rFonts w:eastAsia="仿宋"/>
          <w:bCs/>
          <w:color w:val="auto"/>
          <w:kern w:val="0"/>
          <w:sz w:val="24"/>
          <w:highlight w:val="none"/>
        </w:rPr>
        <w:t>联系电话：0791-86274941</w:t>
      </w:r>
    </w:p>
    <w:p>
      <w:pPr>
        <w:tabs>
          <w:tab w:val="left" w:pos="0"/>
          <w:tab w:val="left" w:pos="284"/>
          <w:tab w:val="left" w:pos="709"/>
          <w:tab w:val="left" w:pos="993"/>
          <w:tab w:val="left" w:pos="1108"/>
        </w:tabs>
        <w:spacing w:line="460" w:lineRule="exact"/>
        <w:ind w:firstLine="360" w:firstLineChars="150"/>
        <w:rPr>
          <w:rFonts w:eastAsia="仿宋"/>
          <w:bCs/>
          <w:color w:val="auto"/>
          <w:kern w:val="0"/>
          <w:sz w:val="24"/>
          <w:highlight w:val="none"/>
        </w:rPr>
      </w:pPr>
      <w:r>
        <w:rPr>
          <w:rFonts w:eastAsia="仿宋"/>
          <w:bCs/>
          <w:color w:val="auto"/>
          <w:kern w:val="0"/>
          <w:sz w:val="24"/>
          <w:highlight w:val="none"/>
        </w:rPr>
        <w:t>通讯地址：江西省南昌市东湖区省政府大院北二路92号咨询大厦402室</w:t>
      </w:r>
    </w:p>
    <w:p>
      <w:pPr>
        <w:tabs>
          <w:tab w:val="left" w:pos="0"/>
          <w:tab w:val="left" w:pos="284"/>
          <w:tab w:val="left" w:pos="709"/>
          <w:tab w:val="left" w:pos="993"/>
          <w:tab w:val="left" w:pos="1108"/>
        </w:tabs>
        <w:spacing w:line="460" w:lineRule="exact"/>
        <w:ind w:firstLine="360" w:firstLineChars="150"/>
        <w:rPr>
          <w:rFonts w:eastAsia="仿宋"/>
          <w:bCs/>
          <w:color w:val="auto"/>
          <w:kern w:val="0"/>
          <w:sz w:val="24"/>
          <w:highlight w:val="none"/>
        </w:rPr>
      </w:pPr>
      <w:r>
        <w:rPr>
          <w:rFonts w:eastAsia="仿宋"/>
          <w:bCs/>
          <w:color w:val="auto"/>
          <w:kern w:val="0"/>
          <w:sz w:val="24"/>
          <w:highlight w:val="none"/>
        </w:rPr>
        <w:t>邮编：330046</w:t>
      </w:r>
    </w:p>
    <w:p>
      <w:pPr>
        <w:tabs>
          <w:tab w:val="left" w:pos="0"/>
          <w:tab w:val="left" w:pos="284"/>
          <w:tab w:val="left" w:pos="709"/>
          <w:tab w:val="left" w:pos="993"/>
          <w:tab w:val="left" w:pos="1108"/>
        </w:tabs>
        <w:spacing w:line="460" w:lineRule="exact"/>
        <w:ind w:firstLine="360" w:firstLineChars="150"/>
        <w:rPr>
          <w:rFonts w:eastAsia="仿宋"/>
          <w:bCs/>
          <w:color w:val="auto"/>
          <w:kern w:val="0"/>
          <w:sz w:val="24"/>
          <w:highlight w:val="none"/>
        </w:rPr>
      </w:pPr>
      <w:r>
        <w:rPr>
          <w:rFonts w:eastAsia="仿宋"/>
          <w:bCs/>
          <w:color w:val="auto"/>
          <w:kern w:val="0"/>
          <w:sz w:val="24"/>
          <w:highlight w:val="none"/>
        </w:rPr>
        <w:t>34.1.3质疑函应包括但不限于下列内容（格式可参照中国政府采购网下载专区《政府采购供应商质疑函范本》）：</w:t>
      </w:r>
    </w:p>
    <w:p>
      <w:pPr>
        <w:tabs>
          <w:tab w:val="left" w:pos="0"/>
          <w:tab w:val="left" w:pos="284"/>
          <w:tab w:val="left" w:pos="709"/>
          <w:tab w:val="left" w:pos="993"/>
          <w:tab w:val="left" w:pos="1108"/>
        </w:tabs>
        <w:spacing w:line="460" w:lineRule="exact"/>
        <w:ind w:firstLine="480" w:firstLineChars="200"/>
        <w:rPr>
          <w:rFonts w:eastAsia="仿宋"/>
          <w:bCs/>
          <w:color w:val="auto"/>
          <w:kern w:val="0"/>
          <w:sz w:val="24"/>
          <w:highlight w:val="none"/>
        </w:rPr>
      </w:pPr>
      <w:r>
        <w:rPr>
          <w:rFonts w:eastAsia="仿宋"/>
          <w:bCs/>
          <w:color w:val="auto"/>
          <w:kern w:val="0"/>
          <w:sz w:val="24"/>
          <w:highlight w:val="none"/>
        </w:rPr>
        <w:t>1）投标人的姓名或者名称、地址、邮编、联系人及联系电话；</w:t>
      </w:r>
    </w:p>
    <w:p>
      <w:pPr>
        <w:tabs>
          <w:tab w:val="left" w:pos="0"/>
          <w:tab w:val="left" w:pos="284"/>
          <w:tab w:val="left" w:pos="709"/>
          <w:tab w:val="left" w:pos="993"/>
          <w:tab w:val="left" w:pos="1108"/>
        </w:tabs>
        <w:spacing w:line="460" w:lineRule="exact"/>
        <w:ind w:firstLine="480" w:firstLineChars="200"/>
        <w:rPr>
          <w:rFonts w:eastAsia="仿宋"/>
          <w:bCs/>
          <w:color w:val="auto"/>
          <w:kern w:val="0"/>
          <w:sz w:val="24"/>
          <w:highlight w:val="none"/>
        </w:rPr>
      </w:pPr>
      <w:r>
        <w:rPr>
          <w:rFonts w:eastAsia="仿宋"/>
          <w:bCs/>
          <w:color w:val="auto"/>
          <w:kern w:val="0"/>
          <w:sz w:val="24"/>
          <w:highlight w:val="none"/>
        </w:rPr>
        <w:t>2）质疑项目的名称、编号；</w:t>
      </w:r>
    </w:p>
    <w:p>
      <w:pPr>
        <w:tabs>
          <w:tab w:val="left" w:pos="0"/>
          <w:tab w:val="left" w:pos="284"/>
          <w:tab w:val="left" w:pos="709"/>
          <w:tab w:val="left" w:pos="993"/>
          <w:tab w:val="left" w:pos="1108"/>
        </w:tabs>
        <w:spacing w:line="460" w:lineRule="exact"/>
        <w:ind w:firstLine="480" w:firstLineChars="200"/>
        <w:rPr>
          <w:rFonts w:eastAsia="仿宋"/>
          <w:bCs/>
          <w:color w:val="auto"/>
          <w:kern w:val="0"/>
          <w:sz w:val="24"/>
          <w:highlight w:val="none"/>
        </w:rPr>
      </w:pPr>
      <w:r>
        <w:rPr>
          <w:rFonts w:eastAsia="仿宋"/>
          <w:bCs/>
          <w:color w:val="auto"/>
          <w:kern w:val="0"/>
          <w:sz w:val="24"/>
          <w:highlight w:val="none"/>
        </w:rPr>
        <w:t>3）具体、明确的质疑事项和与质疑事项相关的请求；</w:t>
      </w:r>
    </w:p>
    <w:p>
      <w:pPr>
        <w:tabs>
          <w:tab w:val="left" w:pos="0"/>
          <w:tab w:val="left" w:pos="284"/>
          <w:tab w:val="left" w:pos="709"/>
          <w:tab w:val="left" w:pos="993"/>
          <w:tab w:val="left" w:pos="1108"/>
        </w:tabs>
        <w:spacing w:line="460" w:lineRule="exact"/>
        <w:ind w:firstLine="480" w:firstLineChars="200"/>
        <w:rPr>
          <w:rFonts w:eastAsia="仿宋"/>
          <w:bCs/>
          <w:color w:val="auto"/>
          <w:kern w:val="0"/>
          <w:sz w:val="24"/>
          <w:highlight w:val="none"/>
        </w:rPr>
      </w:pPr>
      <w:r>
        <w:rPr>
          <w:rFonts w:eastAsia="仿宋"/>
          <w:bCs/>
          <w:color w:val="auto"/>
          <w:kern w:val="0"/>
          <w:sz w:val="24"/>
          <w:highlight w:val="none"/>
        </w:rPr>
        <w:t>4）事实依据；</w:t>
      </w:r>
    </w:p>
    <w:p>
      <w:pPr>
        <w:tabs>
          <w:tab w:val="left" w:pos="0"/>
          <w:tab w:val="left" w:pos="284"/>
          <w:tab w:val="left" w:pos="709"/>
          <w:tab w:val="left" w:pos="993"/>
          <w:tab w:val="left" w:pos="1108"/>
        </w:tabs>
        <w:spacing w:line="460" w:lineRule="exact"/>
        <w:ind w:firstLine="480" w:firstLineChars="200"/>
        <w:rPr>
          <w:rFonts w:eastAsia="仿宋"/>
          <w:bCs/>
          <w:color w:val="auto"/>
          <w:kern w:val="0"/>
          <w:sz w:val="24"/>
          <w:highlight w:val="none"/>
        </w:rPr>
      </w:pPr>
      <w:r>
        <w:rPr>
          <w:rFonts w:eastAsia="仿宋"/>
          <w:bCs/>
          <w:color w:val="auto"/>
          <w:kern w:val="0"/>
          <w:sz w:val="24"/>
          <w:highlight w:val="none"/>
        </w:rPr>
        <w:t>5）必要的法律依据；</w:t>
      </w:r>
    </w:p>
    <w:p>
      <w:pPr>
        <w:tabs>
          <w:tab w:val="left" w:pos="0"/>
          <w:tab w:val="left" w:pos="284"/>
          <w:tab w:val="left" w:pos="709"/>
          <w:tab w:val="left" w:pos="993"/>
          <w:tab w:val="left" w:pos="1108"/>
        </w:tabs>
        <w:spacing w:line="460" w:lineRule="exact"/>
        <w:ind w:firstLine="480" w:firstLineChars="200"/>
        <w:rPr>
          <w:rFonts w:eastAsia="仿宋"/>
          <w:bCs/>
          <w:color w:val="auto"/>
          <w:kern w:val="0"/>
          <w:sz w:val="24"/>
          <w:highlight w:val="none"/>
        </w:rPr>
      </w:pPr>
      <w:r>
        <w:rPr>
          <w:rFonts w:eastAsia="仿宋"/>
          <w:bCs/>
          <w:color w:val="auto"/>
          <w:kern w:val="0"/>
          <w:sz w:val="24"/>
          <w:highlight w:val="none"/>
        </w:rPr>
        <w:t>6）质疑人参加了本次政府采购活动的证明材料（如报名回执等）；</w:t>
      </w:r>
    </w:p>
    <w:p>
      <w:pPr>
        <w:tabs>
          <w:tab w:val="left" w:pos="0"/>
          <w:tab w:val="left" w:pos="284"/>
          <w:tab w:val="left" w:pos="709"/>
          <w:tab w:val="left" w:pos="993"/>
          <w:tab w:val="left" w:pos="1108"/>
        </w:tabs>
        <w:spacing w:line="460" w:lineRule="exact"/>
        <w:ind w:firstLine="480" w:firstLineChars="200"/>
        <w:rPr>
          <w:rFonts w:eastAsia="仿宋"/>
          <w:bCs/>
          <w:color w:val="auto"/>
          <w:kern w:val="0"/>
          <w:sz w:val="24"/>
          <w:highlight w:val="none"/>
        </w:rPr>
      </w:pPr>
      <w:r>
        <w:rPr>
          <w:rFonts w:eastAsia="仿宋"/>
          <w:bCs/>
          <w:color w:val="auto"/>
          <w:kern w:val="0"/>
          <w:sz w:val="24"/>
          <w:highlight w:val="none"/>
        </w:rPr>
        <w:t>7）提出质疑的日期。</w:t>
      </w:r>
    </w:p>
    <w:p>
      <w:pPr>
        <w:tabs>
          <w:tab w:val="left" w:pos="0"/>
          <w:tab w:val="left" w:pos="284"/>
          <w:tab w:val="left" w:pos="709"/>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34.2投标人应当在法定质疑期内一次性提出针对同一采购程序环节的质疑；提出质疑的投标人应当是参与所质疑项目采购活动的投标人。</w:t>
      </w:r>
    </w:p>
    <w:p>
      <w:pPr>
        <w:tabs>
          <w:tab w:val="left" w:pos="0"/>
          <w:tab w:val="left" w:pos="284"/>
          <w:tab w:val="left" w:pos="709"/>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34.3若以联合体形式参加政府采购活动的，其投诉应由组成联合体的所有投标人共同提出。</w:t>
      </w:r>
    </w:p>
    <w:p>
      <w:pPr>
        <w:spacing w:line="460" w:lineRule="exact"/>
        <w:rPr>
          <w:rFonts w:eastAsia="仿宋"/>
          <w:b/>
          <w:bCs/>
          <w:color w:val="auto"/>
          <w:kern w:val="0"/>
          <w:sz w:val="24"/>
          <w:highlight w:val="none"/>
        </w:rPr>
      </w:pPr>
      <w:r>
        <w:rPr>
          <w:rFonts w:eastAsia="仿宋"/>
          <w:b/>
          <w:bCs/>
          <w:color w:val="auto"/>
          <w:kern w:val="0"/>
          <w:sz w:val="24"/>
          <w:highlight w:val="none"/>
        </w:rPr>
        <w:t>35质疑</w:t>
      </w:r>
    </w:p>
    <w:p>
      <w:pPr>
        <w:tabs>
          <w:tab w:val="left" w:pos="0"/>
          <w:tab w:val="left" w:pos="284"/>
          <w:tab w:val="left" w:pos="709"/>
          <w:tab w:val="left" w:pos="993"/>
        </w:tabs>
        <w:spacing w:line="460" w:lineRule="exact"/>
        <w:rPr>
          <w:rFonts w:eastAsia="仿宋"/>
          <w:bCs/>
          <w:color w:val="auto"/>
          <w:kern w:val="0"/>
          <w:sz w:val="24"/>
          <w:highlight w:val="none"/>
        </w:rPr>
      </w:pPr>
      <w:r>
        <w:rPr>
          <w:rFonts w:eastAsia="仿宋"/>
          <w:bCs/>
          <w:color w:val="auto"/>
          <w:kern w:val="0"/>
          <w:sz w:val="24"/>
          <w:highlight w:val="none"/>
        </w:rPr>
        <w:t>35.1投标人认为招标文件、采购过程、中标结果使自己的权益受到损害的，可以在知道或者应知其权益受到损害之日起7个工作日内，以书面形式向采购人、采购代理机构提出质疑。</w:t>
      </w:r>
    </w:p>
    <w:p>
      <w:pPr>
        <w:tabs>
          <w:tab w:val="left" w:pos="0"/>
          <w:tab w:val="left" w:pos="284"/>
          <w:tab w:val="left" w:pos="709"/>
          <w:tab w:val="left" w:pos="993"/>
        </w:tabs>
        <w:spacing w:line="460" w:lineRule="exact"/>
        <w:rPr>
          <w:rFonts w:eastAsia="仿宋"/>
          <w:bCs/>
          <w:color w:val="auto"/>
          <w:kern w:val="0"/>
          <w:sz w:val="24"/>
          <w:highlight w:val="none"/>
        </w:rPr>
      </w:pPr>
      <w:r>
        <w:rPr>
          <w:rFonts w:eastAsia="仿宋"/>
          <w:bCs/>
          <w:color w:val="auto"/>
          <w:kern w:val="0"/>
          <w:sz w:val="24"/>
          <w:highlight w:val="none"/>
        </w:rPr>
        <w:t>35.2采购代理机构会在收到《质疑函》后7个工作日内作出书面答复，并以书面形式通知质疑人和其他有关投标人；必要时，采购代理机构将组织相关专家召开答疑会，并将会议内容以书面形式发给要求澄清的投标人，此类答复中不披露问题的来源，不涉及商业秘密。</w:t>
      </w:r>
    </w:p>
    <w:p>
      <w:pPr>
        <w:tabs>
          <w:tab w:val="left" w:pos="0"/>
          <w:tab w:val="left" w:pos="284"/>
          <w:tab w:val="left" w:pos="709"/>
          <w:tab w:val="left" w:pos="993"/>
        </w:tabs>
        <w:spacing w:line="460" w:lineRule="exact"/>
        <w:rPr>
          <w:rFonts w:eastAsia="仿宋"/>
          <w:bCs/>
          <w:color w:val="auto"/>
          <w:kern w:val="0"/>
          <w:sz w:val="24"/>
          <w:highlight w:val="none"/>
        </w:rPr>
      </w:pPr>
      <w:r>
        <w:rPr>
          <w:rFonts w:eastAsia="仿宋"/>
          <w:bCs/>
          <w:color w:val="auto"/>
          <w:kern w:val="0"/>
          <w:sz w:val="24"/>
          <w:highlight w:val="none"/>
        </w:rPr>
        <w:t>35.3具体相关事宜按中华人民共和国财政部令第94号--《政府采购质疑和投诉办法》的规定执行。</w:t>
      </w:r>
    </w:p>
    <w:p>
      <w:pPr>
        <w:spacing w:line="460" w:lineRule="exact"/>
        <w:rPr>
          <w:rFonts w:eastAsia="仿宋"/>
          <w:b/>
          <w:bCs/>
          <w:color w:val="auto"/>
          <w:kern w:val="0"/>
          <w:sz w:val="24"/>
          <w:highlight w:val="none"/>
        </w:rPr>
      </w:pPr>
      <w:r>
        <w:rPr>
          <w:rFonts w:eastAsia="仿宋"/>
          <w:b/>
          <w:bCs/>
          <w:color w:val="auto"/>
          <w:kern w:val="0"/>
          <w:sz w:val="24"/>
          <w:highlight w:val="none"/>
        </w:rPr>
        <w:t>36投诉</w:t>
      </w:r>
    </w:p>
    <w:p>
      <w:pPr>
        <w:spacing w:line="460" w:lineRule="exact"/>
        <w:ind w:firstLine="480" w:firstLineChars="200"/>
        <w:rPr>
          <w:rFonts w:eastAsia="仿宋"/>
          <w:bCs/>
          <w:color w:val="auto"/>
          <w:kern w:val="0"/>
          <w:sz w:val="24"/>
          <w:highlight w:val="none"/>
        </w:rPr>
      </w:pPr>
      <w:r>
        <w:rPr>
          <w:rFonts w:eastAsia="仿宋"/>
          <w:bCs/>
          <w:color w:val="auto"/>
          <w:kern w:val="0"/>
          <w:sz w:val="24"/>
          <w:highlight w:val="none"/>
        </w:rPr>
        <w:t>投标人提出质疑后对采购代理机构答复不满意或采购代理机构未在规定时间内作出书面答复的，可在采购代理机构发出质疑答复函之日起或答复期满15个工作日内向同级财政部门提出投诉。投诉事项及程序按中华人民共和国财政部令第94号--《政府采购质疑和投诉办法》的规定执行。</w:t>
      </w:r>
    </w:p>
    <w:p>
      <w:pPr>
        <w:spacing w:line="460" w:lineRule="exact"/>
        <w:jc w:val="center"/>
        <w:outlineLvl w:val="1"/>
        <w:rPr>
          <w:rFonts w:eastAsia="仿宋"/>
          <w:b/>
          <w:bCs/>
          <w:color w:val="auto"/>
          <w:kern w:val="0"/>
          <w:sz w:val="24"/>
          <w:highlight w:val="none"/>
        </w:rPr>
      </w:pPr>
      <w:bookmarkStart w:id="218" w:name="_Toc9145"/>
      <w:bookmarkStart w:id="219" w:name="_Toc23568"/>
      <w:bookmarkStart w:id="220" w:name="_Toc22628"/>
      <w:bookmarkStart w:id="221" w:name="_Toc956"/>
      <w:bookmarkStart w:id="222" w:name="_Toc111018945"/>
      <w:bookmarkStart w:id="223" w:name="_Toc31413"/>
      <w:bookmarkStart w:id="224" w:name="_Toc18900"/>
      <w:bookmarkStart w:id="225" w:name="_Toc8987"/>
      <w:bookmarkStart w:id="226" w:name="_Toc4931"/>
      <w:r>
        <w:rPr>
          <w:rFonts w:eastAsia="仿宋"/>
          <w:b/>
          <w:bCs/>
          <w:color w:val="auto"/>
          <w:kern w:val="0"/>
          <w:sz w:val="24"/>
          <w:highlight w:val="none"/>
        </w:rPr>
        <w:t>十三、其他事项</w:t>
      </w:r>
      <w:bookmarkEnd w:id="218"/>
      <w:bookmarkEnd w:id="219"/>
      <w:bookmarkEnd w:id="220"/>
      <w:bookmarkEnd w:id="221"/>
      <w:bookmarkEnd w:id="222"/>
      <w:bookmarkEnd w:id="223"/>
      <w:bookmarkEnd w:id="224"/>
      <w:bookmarkEnd w:id="225"/>
      <w:bookmarkEnd w:id="226"/>
    </w:p>
    <w:p>
      <w:pPr>
        <w:spacing w:line="460" w:lineRule="exact"/>
        <w:rPr>
          <w:rFonts w:eastAsia="仿宋"/>
          <w:b/>
          <w:bCs/>
          <w:color w:val="auto"/>
          <w:kern w:val="0"/>
          <w:sz w:val="24"/>
          <w:highlight w:val="none"/>
        </w:rPr>
      </w:pPr>
      <w:r>
        <w:rPr>
          <w:rFonts w:eastAsia="仿宋"/>
          <w:b/>
          <w:bCs/>
          <w:color w:val="auto"/>
          <w:kern w:val="0"/>
          <w:sz w:val="24"/>
          <w:highlight w:val="none"/>
        </w:rPr>
        <w:t>37代理服务费</w:t>
      </w:r>
    </w:p>
    <w:p>
      <w:pPr>
        <w:tabs>
          <w:tab w:val="left" w:pos="0"/>
          <w:tab w:val="left" w:pos="284"/>
          <w:tab w:val="left" w:pos="709"/>
          <w:tab w:val="left" w:pos="993"/>
          <w:tab w:val="left" w:pos="1108"/>
        </w:tabs>
        <w:spacing w:line="460" w:lineRule="exact"/>
        <w:ind w:firstLine="480" w:firstLineChars="200"/>
        <w:rPr>
          <w:rFonts w:eastAsia="仿宋"/>
          <w:color w:val="auto"/>
          <w:sz w:val="24"/>
          <w:highlight w:val="none"/>
        </w:rPr>
      </w:pPr>
      <w:r>
        <w:rPr>
          <w:rFonts w:eastAsia="仿宋"/>
          <w:bCs/>
          <w:color w:val="auto"/>
          <w:kern w:val="0"/>
          <w:sz w:val="24"/>
          <w:highlight w:val="none"/>
        </w:rPr>
        <w:t>中标人领取中标通知书时，应向采购代理机构一次性付清代理服务费。</w:t>
      </w:r>
      <w:r>
        <w:rPr>
          <w:rFonts w:eastAsia="仿宋"/>
          <w:color w:val="auto"/>
          <w:sz w:val="24"/>
          <w:highlight w:val="none"/>
        </w:rPr>
        <w:t>收费标准：</w:t>
      </w:r>
      <w:r>
        <w:rPr>
          <w:rFonts w:eastAsia="仿宋"/>
          <w:b/>
          <w:bCs/>
          <w:color w:val="auto"/>
          <w:kern w:val="0"/>
          <w:sz w:val="24"/>
          <w:highlight w:val="none"/>
          <w:u w:val="single"/>
        </w:rPr>
        <w:t>详见</w:t>
      </w:r>
      <w:r>
        <w:rPr>
          <w:rFonts w:hint="eastAsia" w:eastAsia="仿宋"/>
          <w:b/>
          <w:bCs/>
          <w:color w:val="auto"/>
          <w:kern w:val="0"/>
          <w:sz w:val="24"/>
          <w:highlight w:val="none"/>
          <w:u w:val="single"/>
          <w:lang w:eastAsia="zh-CN"/>
        </w:rPr>
        <w:t>“</w:t>
      </w:r>
      <w:r>
        <w:rPr>
          <w:rFonts w:eastAsia="仿宋"/>
          <w:b/>
          <w:color w:val="auto"/>
          <w:sz w:val="24"/>
          <w:highlight w:val="none"/>
          <w:u w:val="single"/>
        </w:rPr>
        <w:t>投标人须知前附表</w:t>
      </w:r>
      <w:r>
        <w:rPr>
          <w:rFonts w:hint="eastAsia" w:eastAsia="仿宋"/>
          <w:b/>
          <w:color w:val="auto"/>
          <w:sz w:val="24"/>
          <w:highlight w:val="none"/>
          <w:u w:val="single"/>
          <w:lang w:eastAsia="zh-CN"/>
        </w:rPr>
        <w:t>”</w:t>
      </w:r>
      <w:r>
        <w:rPr>
          <w:rFonts w:eastAsia="仿宋"/>
          <w:bCs/>
          <w:color w:val="auto"/>
          <w:kern w:val="0"/>
          <w:sz w:val="24"/>
          <w:highlight w:val="none"/>
        </w:rPr>
        <w:t>。</w:t>
      </w:r>
    </w:p>
    <w:p>
      <w:pPr>
        <w:spacing w:line="460" w:lineRule="exact"/>
        <w:rPr>
          <w:rFonts w:eastAsia="仿宋"/>
          <w:b/>
          <w:bCs/>
          <w:color w:val="auto"/>
          <w:kern w:val="0"/>
          <w:sz w:val="24"/>
          <w:highlight w:val="none"/>
        </w:rPr>
      </w:pPr>
      <w:r>
        <w:rPr>
          <w:rFonts w:eastAsia="仿宋"/>
          <w:b/>
          <w:bCs/>
          <w:color w:val="auto"/>
          <w:kern w:val="0"/>
          <w:sz w:val="24"/>
          <w:highlight w:val="none"/>
        </w:rPr>
        <w:t>38适用法律</w:t>
      </w:r>
    </w:p>
    <w:p>
      <w:pPr>
        <w:pStyle w:val="19"/>
        <w:spacing w:line="460" w:lineRule="exact"/>
        <w:ind w:firstLine="480" w:firstLineChars="200"/>
        <w:rPr>
          <w:rFonts w:ascii="Times New Roman" w:hAnsi="Times New Roman" w:eastAsia="仿宋"/>
          <w:bCs/>
          <w:color w:val="auto"/>
          <w:sz w:val="24"/>
          <w:szCs w:val="24"/>
          <w:highlight w:val="none"/>
        </w:rPr>
      </w:pPr>
      <w:r>
        <w:rPr>
          <w:rFonts w:ascii="Times New Roman" w:hAnsi="Times New Roman" w:eastAsia="仿宋"/>
          <w:bCs/>
          <w:color w:val="auto"/>
          <w:sz w:val="24"/>
          <w:szCs w:val="24"/>
          <w:highlight w:val="none"/>
        </w:rPr>
        <w:t>采购代理机构及投标人的一切招标投标活动均适用于《中华人民共和国政府采购法》及相关规定。</w:t>
      </w:r>
    </w:p>
    <w:p>
      <w:pPr>
        <w:spacing w:line="460" w:lineRule="exact"/>
        <w:rPr>
          <w:rFonts w:eastAsia="仿宋"/>
          <w:b/>
          <w:bCs/>
          <w:color w:val="auto"/>
          <w:kern w:val="0"/>
          <w:sz w:val="24"/>
          <w:highlight w:val="none"/>
        </w:rPr>
      </w:pPr>
      <w:r>
        <w:rPr>
          <w:rFonts w:eastAsia="仿宋"/>
          <w:b/>
          <w:bCs/>
          <w:color w:val="auto"/>
          <w:kern w:val="0"/>
          <w:sz w:val="24"/>
          <w:highlight w:val="none"/>
        </w:rPr>
        <w:t>39解释权</w:t>
      </w:r>
    </w:p>
    <w:p>
      <w:pPr>
        <w:pStyle w:val="19"/>
        <w:spacing w:line="460" w:lineRule="exact"/>
        <w:ind w:firstLine="480" w:firstLineChars="200"/>
        <w:rPr>
          <w:rFonts w:ascii="Times New Roman" w:hAnsi="Times New Roman" w:eastAsia="仿宋"/>
          <w:color w:val="auto"/>
          <w:sz w:val="24"/>
          <w:szCs w:val="24"/>
          <w:highlight w:val="none"/>
        </w:rPr>
      </w:pPr>
      <w:r>
        <w:rPr>
          <w:rFonts w:ascii="Times New Roman" w:hAnsi="Times New Roman" w:eastAsia="仿宋"/>
          <w:bCs/>
          <w:color w:val="auto"/>
          <w:sz w:val="24"/>
          <w:szCs w:val="24"/>
          <w:highlight w:val="none"/>
        </w:rPr>
        <w:t>本招标文件是根据国家有关法律、法规以及政府采购管理有关规定编制，</w:t>
      </w:r>
      <w:r>
        <w:rPr>
          <w:rFonts w:ascii="Times New Roman" w:hAnsi="Times New Roman" w:eastAsia="仿宋"/>
          <w:color w:val="auto"/>
          <w:sz w:val="24"/>
          <w:szCs w:val="24"/>
          <w:highlight w:val="none"/>
        </w:rPr>
        <w:t>招标文件的最终解释权属于采购代理机构。</w:t>
      </w:r>
    </w:p>
    <w:p>
      <w:pPr>
        <w:pStyle w:val="19"/>
        <w:spacing w:line="460" w:lineRule="exact"/>
        <w:ind w:firstLine="480" w:firstLineChars="200"/>
        <w:rPr>
          <w:rFonts w:ascii="Times New Roman" w:hAnsi="Times New Roman" w:eastAsia="仿宋"/>
          <w:bCs/>
          <w:strike/>
          <w:color w:val="auto"/>
          <w:sz w:val="24"/>
          <w:szCs w:val="24"/>
          <w:highlight w:val="none"/>
        </w:rPr>
      </w:pPr>
    </w:p>
    <w:p>
      <w:pPr>
        <w:pStyle w:val="3"/>
        <w:jc w:val="center"/>
        <w:rPr>
          <w:rFonts w:ascii="Times New Roman" w:eastAsia="仿宋"/>
          <w:color w:val="auto"/>
          <w:szCs w:val="44"/>
          <w:highlight w:val="none"/>
        </w:rPr>
      </w:pPr>
      <w:r>
        <w:rPr>
          <w:rFonts w:ascii="Times New Roman" w:eastAsia="仿宋"/>
          <w:color w:val="auto"/>
          <w:szCs w:val="44"/>
          <w:highlight w:val="none"/>
        </w:rPr>
        <w:br w:type="page"/>
      </w:r>
      <w:bookmarkStart w:id="227" w:name="_Toc31617"/>
      <w:bookmarkStart w:id="228" w:name="_Toc20123"/>
      <w:bookmarkStart w:id="229" w:name="_Toc7765"/>
      <w:bookmarkStart w:id="230" w:name="_Toc111018946"/>
      <w:bookmarkStart w:id="231" w:name="_Toc20772"/>
      <w:bookmarkStart w:id="232" w:name="_Toc25122"/>
      <w:bookmarkStart w:id="233" w:name="_Toc12601"/>
      <w:bookmarkStart w:id="234" w:name="_Toc1188"/>
      <w:bookmarkStart w:id="235" w:name="_Toc495396671"/>
      <w:bookmarkStart w:id="236" w:name="_Toc17164"/>
      <w:bookmarkStart w:id="237" w:name="_Toc413657137"/>
      <w:r>
        <w:rPr>
          <w:rFonts w:ascii="Times New Roman" w:eastAsia="仿宋"/>
          <w:b/>
          <w:bCs/>
          <w:color w:val="auto"/>
          <w:kern w:val="44"/>
          <w:sz w:val="44"/>
          <w:szCs w:val="44"/>
          <w:highlight w:val="none"/>
        </w:rPr>
        <w:t>第三章 合同文本</w:t>
      </w:r>
      <w:bookmarkEnd w:id="227"/>
      <w:bookmarkEnd w:id="228"/>
      <w:bookmarkEnd w:id="229"/>
      <w:bookmarkEnd w:id="230"/>
      <w:bookmarkEnd w:id="231"/>
      <w:bookmarkEnd w:id="232"/>
      <w:bookmarkEnd w:id="233"/>
      <w:bookmarkEnd w:id="234"/>
      <w:bookmarkEnd w:id="235"/>
      <w:bookmarkEnd w:id="236"/>
    </w:p>
    <w:p>
      <w:pPr>
        <w:rPr>
          <w:rFonts w:eastAsia="仿宋"/>
          <w:color w:val="auto"/>
          <w:highlight w:val="none"/>
        </w:rPr>
      </w:pPr>
    </w:p>
    <w:p>
      <w:pPr>
        <w:rPr>
          <w:rFonts w:ascii="仿宋" w:hAnsi="仿宋" w:eastAsia="仿宋"/>
          <w:color w:val="auto"/>
          <w:highlight w:val="none"/>
        </w:rPr>
      </w:pPr>
    </w:p>
    <w:p>
      <w:pPr>
        <w:ind w:firstLine="6023" w:firstLineChars="2500"/>
        <w:rPr>
          <w:rFonts w:ascii="仿宋" w:hAnsi="仿宋" w:eastAsia="仿宋"/>
          <w:b/>
          <w:bCs/>
          <w:color w:val="auto"/>
          <w:sz w:val="24"/>
          <w:highlight w:val="none"/>
        </w:rPr>
      </w:pPr>
      <w:r>
        <w:rPr>
          <w:rFonts w:hint="eastAsia" w:ascii="仿宋" w:hAnsi="仿宋" w:eastAsia="仿宋"/>
          <w:b/>
          <w:bCs/>
          <w:color w:val="auto"/>
          <w:sz w:val="24"/>
          <w:highlight w:val="none"/>
        </w:rPr>
        <w:t>合同编号：</w:t>
      </w:r>
    </w:p>
    <w:p>
      <w:pPr>
        <w:spacing w:line="360" w:lineRule="auto"/>
        <w:jc w:val="center"/>
        <w:rPr>
          <w:rFonts w:ascii="仿宋" w:hAnsi="仿宋" w:eastAsia="仿宋"/>
          <w:b/>
          <w:color w:val="auto"/>
          <w:sz w:val="48"/>
          <w:szCs w:val="48"/>
          <w:highlight w:val="none"/>
        </w:rPr>
      </w:pPr>
    </w:p>
    <w:p>
      <w:pPr>
        <w:pStyle w:val="13"/>
        <w:spacing w:line="360" w:lineRule="auto"/>
        <w:jc w:val="center"/>
        <w:rPr>
          <w:color w:val="auto"/>
          <w:highlight w:val="none"/>
        </w:rPr>
      </w:pPr>
    </w:p>
    <w:p>
      <w:pPr>
        <w:rPr>
          <w:color w:val="auto"/>
          <w:highlight w:val="none"/>
          <w:lang w:val="zh-CN" w:bidi="zh-CN"/>
        </w:rPr>
      </w:pPr>
    </w:p>
    <w:p>
      <w:pPr>
        <w:pStyle w:val="13"/>
        <w:rPr>
          <w:color w:val="auto"/>
          <w:highlight w:val="none"/>
        </w:rPr>
      </w:pPr>
    </w:p>
    <w:p>
      <w:pPr>
        <w:pStyle w:val="13"/>
        <w:rPr>
          <w:color w:val="auto"/>
          <w:highlight w:val="none"/>
        </w:rPr>
      </w:pPr>
    </w:p>
    <w:p>
      <w:pPr>
        <w:spacing w:line="360" w:lineRule="auto"/>
        <w:jc w:val="center"/>
        <w:rPr>
          <w:rFonts w:ascii="仿宋" w:hAnsi="仿宋" w:eastAsia="仿宋"/>
          <w:b/>
          <w:color w:val="auto"/>
          <w:sz w:val="48"/>
          <w:szCs w:val="48"/>
          <w:highlight w:val="none"/>
        </w:rPr>
      </w:pPr>
      <w:r>
        <w:rPr>
          <w:rFonts w:hint="eastAsia" w:ascii="仿宋" w:hAnsi="仿宋" w:eastAsia="仿宋"/>
          <w:b/>
          <w:color w:val="auto"/>
          <w:sz w:val="48"/>
          <w:szCs w:val="48"/>
          <w:highlight w:val="none"/>
        </w:rPr>
        <w:t>合  同  书</w:t>
      </w:r>
    </w:p>
    <w:p>
      <w:pPr>
        <w:spacing w:line="360" w:lineRule="auto"/>
        <w:rPr>
          <w:rFonts w:ascii="仿宋" w:hAnsi="仿宋" w:eastAsia="仿宋"/>
          <w:color w:val="auto"/>
          <w:highlight w:val="none"/>
        </w:rPr>
      </w:pPr>
    </w:p>
    <w:p>
      <w:pPr>
        <w:pStyle w:val="13"/>
        <w:rPr>
          <w:color w:val="auto"/>
          <w:highlight w:val="none"/>
        </w:rPr>
      </w:pPr>
    </w:p>
    <w:p>
      <w:pPr>
        <w:spacing w:line="360" w:lineRule="auto"/>
        <w:rPr>
          <w:rFonts w:ascii="仿宋" w:hAnsi="仿宋" w:eastAsia="仿宋"/>
          <w:color w:val="auto"/>
          <w:highlight w:val="none"/>
        </w:rPr>
      </w:pPr>
    </w:p>
    <w:p>
      <w:pPr>
        <w:spacing w:line="360" w:lineRule="auto"/>
        <w:ind w:left="850" w:leftChars="405"/>
        <w:rPr>
          <w:rFonts w:ascii="仿宋" w:hAnsi="仿宋" w:eastAsia="仿宋"/>
          <w:color w:val="auto"/>
          <w:sz w:val="32"/>
          <w:szCs w:val="32"/>
          <w:highlight w:val="none"/>
        </w:rPr>
      </w:pPr>
      <w:r>
        <w:rPr>
          <w:rFonts w:hint="eastAsia" w:ascii="仿宋" w:hAnsi="仿宋" w:eastAsia="仿宋"/>
          <w:color w:val="auto"/>
          <w:sz w:val="32"/>
          <w:szCs w:val="32"/>
          <w:highlight w:val="none"/>
        </w:rPr>
        <w:t>采购编号：</w:t>
      </w:r>
    </w:p>
    <w:p>
      <w:pPr>
        <w:spacing w:line="360" w:lineRule="auto"/>
        <w:ind w:left="850" w:leftChars="405"/>
        <w:rPr>
          <w:rFonts w:ascii="仿宋" w:hAnsi="仿宋" w:eastAsia="仿宋"/>
          <w:b/>
          <w:bCs/>
          <w:color w:val="auto"/>
          <w:kern w:val="0"/>
          <w:sz w:val="30"/>
          <w:szCs w:val="30"/>
          <w:highlight w:val="none"/>
          <w:u w:val="single"/>
        </w:rPr>
      </w:pPr>
      <w:r>
        <w:rPr>
          <w:rFonts w:hint="eastAsia" w:ascii="仿宋" w:hAnsi="仿宋" w:eastAsia="仿宋"/>
          <w:color w:val="auto"/>
          <w:sz w:val="32"/>
          <w:szCs w:val="32"/>
          <w:highlight w:val="none"/>
        </w:rPr>
        <w:t>合同编号：</w:t>
      </w:r>
    </w:p>
    <w:p>
      <w:pPr>
        <w:spacing w:line="360" w:lineRule="auto"/>
        <w:ind w:left="850" w:leftChars="405"/>
        <w:rPr>
          <w:rFonts w:ascii="仿宋" w:hAnsi="仿宋" w:eastAsia="仿宋"/>
          <w:color w:val="auto"/>
          <w:sz w:val="32"/>
          <w:szCs w:val="32"/>
          <w:highlight w:val="none"/>
          <w:u w:val="single"/>
        </w:rPr>
      </w:pPr>
      <w:r>
        <w:rPr>
          <w:rFonts w:hint="eastAsia" w:ascii="仿宋" w:hAnsi="仿宋" w:eastAsia="仿宋"/>
          <w:color w:val="auto"/>
          <w:sz w:val="32"/>
          <w:szCs w:val="32"/>
          <w:highlight w:val="none"/>
        </w:rPr>
        <w:t>包    号：</w:t>
      </w:r>
    </w:p>
    <w:p>
      <w:pPr>
        <w:spacing w:line="360" w:lineRule="auto"/>
        <w:ind w:left="850" w:leftChars="405"/>
        <w:rPr>
          <w:rFonts w:ascii="仿宋" w:hAnsi="仿宋" w:eastAsia="仿宋"/>
          <w:color w:val="auto"/>
          <w:sz w:val="32"/>
          <w:szCs w:val="32"/>
          <w:highlight w:val="none"/>
        </w:rPr>
      </w:pPr>
      <w:r>
        <w:rPr>
          <w:rFonts w:hint="eastAsia" w:ascii="仿宋" w:hAnsi="仿宋" w:eastAsia="仿宋"/>
          <w:color w:val="auto"/>
          <w:sz w:val="32"/>
          <w:szCs w:val="32"/>
          <w:highlight w:val="none"/>
        </w:rPr>
        <w:t>合同买方：</w:t>
      </w:r>
    </w:p>
    <w:p>
      <w:pPr>
        <w:spacing w:line="360" w:lineRule="auto"/>
        <w:ind w:left="850" w:leftChars="405"/>
        <w:rPr>
          <w:rFonts w:ascii="仿宋" w:hAnsi="仿宋" w:eastAsia="仿宋"/>
          <w:color w:val="auto"/>
          <w:sz w:val="32"/>
          <w:szCs w:val="32"/>
          <w:highlight w:val="none"/>
        </w:rPr>
      </w:pPr>
      <w:r>
        <w:rPr>
          <w:rFonts w:hint="eastAsia" w:ascii="仿宋" w:hAnsi="仿宋" w:eastAsia="仿宋"/>
          <w:color w:val="auto"/>
          <w:sz w:val="32"/>
          <w:szCs w:val="32"/>
          <w:highlight w:val="none"/>
        </w:rPr>
        <w:t>合同卖方：</w:t>
      </w:r>
    </w:p>
    <w:p>
      <w:pPr>
        <w:rPr>
          <w:rFonts w:ascii="仿宋" w:hAnsi="仿宋" w:eastAsia="仿宋"/>
          <w:color w:val="auto"/>
          <w:sz w:val="32"/>
          <w:szCs w:val="32"/>
          <w:highlight w:val="none"/>
        </w:rPr>
      </w:pPr>
    </w:p>
    <w:p>
      <w:pPr>
        <w:spacing w:line="360" w:lineRule="auto"/>
        <w:jc w:val="center"/>
        <w:rPr>
          <w:rFonts w:ascii="仿宋" w:hAnsi="仿宋" w:eastAsia="仿宋"/>
          <w:color w:val="auto"/>
          <w:sz w:val="32"/>
          <w:szCs w:val="32"/>
          <w:highlight w:val="none"/>
        </w:rPr>
      </w:pPr>
    </w:p>
    <w:p>
      <w:pPr>
        <w:spacing w:line="360" w:lineRule="auto"/>
        <w:jc w:val="center"/>
        <w:rPr>
          <w:rFonts w:ascii="仿宋" w:hAnsi="仿宋" w:eastAsia="仿宋"/>
          <w:color w:val="auto"/>
          <w:sz w:val="32"/>
          <w:szCs w:val="32"/>
          <w:highlight w:val="none"/>
        </w:rPr>
        <w:sectPr>
          <w:footerReference r:id="rId8" w:type="first"/>
          <w:footerReference r:id="rId7" w:type="default"/>
          <w:pgSz w:w="11906" w:h="16838"/>
          <w:pgMar w:top="1418" w:right="1276" w:bottom="1134" w:left="1276" w:header="567" w:footer="567" w:gutter="0"/>
          <w:pgBorders>
            <w:top w:val="none" w:sz="0" w:space="0"/>
            <w:left w:val="none" w:sz="0" w:space="0"/>
            <w:bottom w:val="none" w:sz="0" w:space="0"/>
            <w:right w:val="none" w:sz="0" w:space="0"/>
          </w:pgBorders>
          <w:pgNumType w:fmt="decimal" w:start="1"/>
          <w:cols w:space="720" w:num="1"/>
          <w:docGrid w:linePitch="286" w:charSpace="0"/>
        </w:sectPr>
      </w:pPr>
      <w:r>
        <w:rPr>
          <w:rFonts w:hint="eastAsia" w:ascii="仿宋" w:hAnsi="仿宋" w:eastAsia="仿宋"/>
          <w:color w:val="auto"/>
          <w:sz w:val="32"/>
          <w:szCs w:val="32"/>
          <w:highlight w:val="none"/>
        </w:rPr>
        <w:t>二○二</w:t>
      </w:r>
      <w:r>
        <w:rPr>
          <w:rFonts w:hint="eastAsia" w:ascii="仿宋" w:hAnsi="仿宋" w:eastAsia="仿宋"/>
          <w:color w:val="auto"/>
          <w:sz w:val="32"/>
          <w:szCs w:val="32"/>
          <w:highlight w:val="none"/>
          <w:lang w:val="en-US" w:eastAsia="zh-CN"/>
        </w:rPr>
        <w:t>四</w:t>
      </w:r>
      <w:r>
        <w:rPr>
          <w:rFonts w:hint="eastAsia" w:ascii="仿宋" w:hAnsi="仿宋" w:eastAsia="仿宋"/>
          <w:color w:val="auto"/>
          <w:sz w:val="32"/>
          <w:szCs w:val="32"/>
          <w:highlight w:val="none"/>
        </w:rPr>
        <w:t>年  月</w:t>
      </w:r>
    </w:p>
    <w:p>
      <w:pPr>
        <w:spacing w:line="480" w:lineRule="exact"/>
        <w:jc w:val="left"/>
        <w:rPr>
          <w:rFonts w:ascii="仿宋" w:hAnsi="仿宋" w:eastAsia="仿宋"/>
          <w:color w:val="auto"/>
          <w:sz w:val="24"/>
          <w:highlight w:val="none"/>
          <w:u w:val="single"/>
        </w:rPr>
      </w:pPr>
      <w:r>
        <w:rPr>
          <w:rFonts w:ascii="仿宋" w:hAnsi="仿宋" w:eastAsia="仿宋"/>
          <w:color w:val="auto"/>
          <w:sz w:val="24"/>
          <w:highlight w:val="none"/>
        </w:rPr>
        <w:t>买方：</w:t>
      </w:r>
    </w:p>
    <w:p>
      <w:pPr>
        <w:spacing w:line="480" w:lineRule="exact"/>
        <w:jc w:val="left"/>
        <w:rPr>
          <w:rFonts w:ascii="仿宋" w:hAnsi="仿宋" w:eastAsia="仿宋"/>
          <w:color w:val="auto"/>
          <w:sz w:val="24"/>
          <w:highlight w:val="none"/>
          <w:u w:val="single"/>
        </w:rPr>
      </w:pPr>
      <w:r>
        <w:rPr>
          <w:rFonts w:ascii="仿宋" w:hAnsi="仿宋" w:eastAsia="仿宋"/>
          <w:color w:val="auto"/>
          <w:sz w:val="24"/>
          <w:highlight w:val="none"/>
        </w:rPr>
        <w:t>卖方：</w:t>
      </w:r>
    </w:p>
    <w:p>
      <w:pPr>
        <w:spacing w:line="480" w:lineRule="exact"/>
        <w:jc w:val="left"/>
        <w:rPr>
          <w:rFonts w:ascii="仿宋" w:hAnsi="仿宋" w:eastAsia="仿宋"/>
          <w:color w:val="auto"/>
          <w:sz w:val="24"/>
          <w:highlight w:val="none"/>
        </w:rPr>
      </w:pPr>
      <w:r>
        <w:rPr>
          <w:rFonts w:ascii="仿宋" w:hAnsi="仿宋" w:eastAsia="仿宋"/>
          <w:color w:val="auto"/>
          <w:sz w:val="24"/>
          <w:highlight w:val="none"/>
        </w:rPr>
        <w:t>买、卖双方同意按照下面条款和条件，签署本合同。</w:t>
      </w:r>
    </w:p>
    <w:p>
      <w:pPr>
        <w:spacing w:line="480" w:lineRule="exact"/>
        <w:ind w:firstLine="482" w:firstLineChars="200"/>
        <w:jc w:val="left"/>
        <w:rPr>
          <w:rFonts w:ascii="仿宋" w:hAnsi="仿宋" w:eastAsia="仿宋"/>
          <w:b/>
          <w:bCs/>
          <w:color w:val="auto"/>
          <w:sz w:val="24"/>
          <w:highlight w:val="none"/>
        </w:rPr>
      </w:pPr>
      <w:r>
        <w:rPr>
          <w:rFonts w:ascii="仿宋" w:hAnsi="仿宋" w:eastAsia="仿宋"/>
          <w:b/>
          <w:bCs/>
          <w:color w:val="auto"/>
          <w:sz w:val="24"/>
          <w:highlight w:val="none"/>
        </w:rPr>
        <w:t>一、合同文件</w:t>
      </w:r>
    </w:p>
    <w:p>
      <w:pPr>
        <w:spacing w:line="480" w:lineRule="exact"/>
        <w:ind w:firstLine="480" w:firstLineChars="200"/>
        <w:jc w:val="left"/>
        <w:rPr>
          <w:rFonts w:ascii="仿宋" w:hAnsi="仿宋" w:eastAsia="仿宋"/>
          <w:color w:val="auto"/>
          <w:sz w:val="24"/>
          <w:highlight w:val="none"/>
        </w:rPr>
      </w:pPr>
      <w:r>
        <w:rPr>
          <w:rFonts w:ascii="仿宋" w:hAnsi="仿宋" w:eastAsia="仿宋"/>
          <w:color w:val="auto"/>
          <w:sz w:val="24"/>
          <w:highlight w:val="none"/>
        </w:rPr>
        <w:t>下列文件构成本合同的组成部分：</w:t>
      </w:r>
    </w:p>
    <w:p>
      <w:pPr>
        <w:adjustRightInd w:val="0"/>
        <w:snapToGrid w:val="0"/>
        <w:spacing w:line="480" w:lineRule="exact"/>
        <w:ind w:firstLine="480" w:firstLineChars="200"/>
        <w:jc w:val="left"/>
        <w:rPr>
          <w:rFonts w:ascii="仿宋" w:hAnsi="仿宋" w:eastAsia="仿宋"/>
          <w:color w:val="auto"/>
          <w:sz w:val="24"/>
          <w:highlight w:val="none"/>
        </w:rPr>
      </w:pPr>
      <w:r>
        <w:rPr>
          <w:rFonts w:ascii="仿宋" w:hAnsi="仿宋" w:eastAsia="仿宋"/>
          <w:color w:val="auto"/>
          <w:sz w:val="24"/>
          <w:highlight w:val="none"/>
        </w:rPr>
        <w:t>（一）中标通知书</w:t>
      </w:r>
    </w:p>
    <w:p>
      <w:pPr>
        <w:adjustRightInd w:val="0"/>
        <w:snapToGrid w:val="0"/>
        <w:spacing w:line="480" w:lineRule="exact"/>
        <w:ind w:firstLine="480" w:firstLineChars="200"/>
        <w:jc w:val="left"/>
        <w:rPr>
          <w:rFonts w:ascii="仿宋" w:hAnsi="仿宋" w:eastAsia="仿宋"/>
          <w:color w:val="auto"/>
          <w:sz w:val="24"/>
          <w:highlight w:val="none"/>
        </w:rPr>
      </w:pPr>
      <w:r>
        <w:rPr>
          <w:rFonts w:ascii="仿宋" w:hAnsi="仿宋" w:eastAsia="仿宋"/>
          <w:color w:val="auto"/>
          <w:sz w:val="24"/>
          <w:highlight w:val="none"/>
        </w:rPr>
        <w:t>（二）合同主要条款</w:t>
      </w:r>
    </w:p>
    <w:p>
      <w:pPr>
        <w:adjustRightInd w:val="0"/>
        <w:snapToGrid w:val="0"/>
        <w:spacing w:line="480" w:lineRule="exact"/>
        <w:ind w:firstLine="480" w:firstLineChars="200"/>
        <w:jc w:val="left"/>
        <w:rPr>
          <w:rFonts w:ascii="仿宋" w:hAnsi="仿宋" w:eastAsia="仿宋"/>
          <w:color w:val="auto"/>
          <w:sz w:val="24"/>
          <w:highlight w:val="none"/>
        </w:rPr>
      </w:pPr>
      <w:r>
        <w:rPr>
          <w:rFonts w:ascii="仿宋" w:hAnsi="仿宋" w:eastAsia="仿宋"/>
          <w:color w:val="auto"/>
          <w:sz w:val="24"/>
          <w:highlight w:val="none"/>
        </w:rPr>
        <w:t>（三）招投标文件</w:t>
      </w:r>
    </w:p>
    <w:p>
      <w:pPr>
        <w:adjustRightInd w:val="0"/>
        <w:snapToGrid w:val="0"/>
        <w:spacing w:line="500" w:lineRule="exact"/>
        <w:ind w:firstLine="480" w:firstLineChars="200"/>
        <w:jc w:val="lef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（四）</w:t>
      </w:r>
      <w:r>
        <w:rPr>
          <w:rFonts w:hint="eastAsia" w:ascii="仿宋" w:hAnsi="仿宋" w:eastAsia="仿宋" w:cs="仿宋"/>
          <w:color w:val="auto"/>
          <w:sz w:val="24"/>
          <w:highlight w:val="none"/>
          <w:lang w:val="en-US" w:eastAsia="zh-CN"/>
        </w:rPr>
        <w:t>合同附件</w:t>
      </w:r>
    </w:p>
    <w:p>
      <w:pPr>
        <w:adjustRightInd w:val="0"/>
        <w:snapToGrid w:val="0"/>
        <w:spacing w:line="500" w:lineRule="exact"/>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五</w:t>
      </w:r>
      <w:r>
        <w:rPr>
          <w:rFonts w:hint="eastAsia" w:ascii="仿宋" w:hAnsi="仿宋" w:eastAsia="仿宋" w:cs="仿宋"/>
          <w:color w:val="auto"/>
          <w:sz w:val="24"/>
          <w:highlight w:val="none"/>
        </w:rPr>
        <w:t>）合同补充条款或说明（如有）</w:t>
      </w:r>
    </w:p>
    <w:p>
      <w:pPr>
        <w:spacing w:line="480" w:lineRule="exact"/>
        <w:ind w:firstLine="482" w:firstLineChars="200"/>
        <w:jc w:val="left"/>
        <w:rPr>
          <w:rFonts w:ascii="仿宋" w:hAnsi="仿宋" w:eastAsia="仿宋"/>
          <w:b/>
          <w:bCs/>
          <w:color w:val="auto"/>
          <w:sz w:val="24"/>
          <w:highlight w:val="none"/>
        </w:rPr>
      </w:pPr>
      <w:r>
        <w:rPr>
          <w:rFonts w:ascii="仿宋" w:hAnsi="仿宋" w:eastAsia="仿宋"/>
          <w:b/>
          <w:bCs/>
          <w:color w:val="auto"/>
          <w:sz w:val="24"/>
          <w:highlight w:val="none"/>
        </w:rPr>
        <w:t>二、合同总价</w:t>
      </w:r>
    </w:p>
    <w:p>
      <w:pPr>
        <w:spacing w:line="480" w:lineRule="exact"/>
        <w:ind w:firstLine="480" w:firstLineChars="200"/>
        <w:jc w:val="left"/>
        <w:rPr>
          <w:rFonts w:ascii="仿宋" w:hAnsi="仿宋" w:eastAsia="仿宋"/>
          <w:color w:val="auto"/>
          <w:sz w:val="24"/>
          <w:highlight w:val="none"/>
          <w:u w:val="single"/>
        </w:rPr>
      </w:pPr>
      <w:r>
        <w:rPr>
          <w:rFonts w:ascii="仿宋" w:hAnsi="仿宋" w:eastAsia="仿宋"/>
          <w:color w:val="auto"/>
          <w:sz w:val="24"/>
          <w:highlight w:val="none"/>
        </w:rPr>
        <w:t>本合同总价为</w:t>
      </w:r>
      <w:r>
        <w:rPr>
          <w:rFonts w:ascii="仿宋" w:hAnsi="仿宋" w:eastAsia="仿宋"/>
          <w:color w:val="auto"/>
          <w:sz w:val="24"/>
          <w:highlight w:val="none"/>
          <w:u w:val="single"/>
        </w:rPr>
        <w:t>￥元</w:t>
      </w:r>
      <w:r>
        <w:rPr>
          <w:rFonts w:hint="eastAsia" w:ascii="仿宋" w:hAnsi="仿宋" w:eastAsia="仿宋"/>
          <w:color w:val="auto"/>
          <w:sz w:val="24"/>
          <w:highlight w:val="none"/>
          <w:u w:val="single"/>
        </w:rPr>
        <w:t>；</w:t>
      </w:r>
      <w:r>
        <w:rPr>
          <w:rFonts w:ascii="仿宋" w:hAnsi="仿宋" w:eastAsia="仿宋"/>
          <w:color w:val="auto"/>
          <w:sz w:val="24"/>
          <w:highlight w:val="none"/>
        </w:rPr>
        <w:t>人民币（大写）</w:t>
      </w:r>
      <w:r>
        <w:rPr>
          <w:rFonts w:ascii="仿宋" w:hAnsi="仿宋" w:eastAsia="仿宋"/>
          <w:color w:val="auto"/>
          <w:sz w:val="24"/>
          <w:highlight w:val="none"/>
          <w:u w:val="single"/>
        </w:rPr>
        <w:t>￥元整</w:t>
      </w:r>
    </w:p>
    <w:p>
      <w:pPr>
        <w:spacing w:line="480" w:lineRule="exact"/>
        <w:ind w:firstLine="480" w:firstLineChars="200"/>
        <w:jc w:val="left"/>
        <w:rPr>
          <w:rFonts w:ascii="仿宋" w:hAnsi="仿宋" w:eastAsia="仿宋"/>
          <w:color w:val="auto"/>
          <w:sz w:val="24"/>
          <w:highlight w:val="none"/>
        </w:rPr>
      </w:pPr>
      <w:r>
        <w:rPr>
          <w:rFonts w:ascii="仿宋" w:hAnsi="仿宋" w:eastAsia="仿宋"/>
          <w:color w:val="auto"/>
          <w:sz w:val="24"/>
          <w:highlight w:val="none"/>
        </w:rPr>
        <w:t>总价包含所有</w:t>
      </w:r>
      <w:r>
        <w:rPr>
          <w:rFonts w:hint="eastAsia" w:ascii="仿宋" w:hAnsi="仿宋" w:eastAsia="仿宋"/>
          <w:color w:val="auto"/>
          <w:sz w:val="24"/>
          <w:highlight w:val="none"/>
          <w:lang w:eastAsia="zh-CN"/>
        </w:rPr>
        <w:t>产品</w:t>
      </w:r>
      <w:r>
        <w:rPr>
          <w:rFonts w:ascii="仿宋" w:hAnsi="仿宋" w:eastAsia="仿宋"/>
          <w:color w:val="auto"/>
          <w:sz w:val="24"/>
          <w:highlight w:val="none"/>
        </w:rPr>
        <w:t>、材料、运输、转运、辅材、安装、施工、调试、验收、培训、现场回访、实地巡检、税金、招标代理服务费</w:t>
      </w:r>
      <w:r>
        <w:rPr>
          <w:rFonts w:hint="eastAsia" w:ascii="仿宋" w:hAnsi="仿宋" w:eastAsia="仿宋"/>
          <w:color w:val="auto"/>
          <w:sz w:val="24"/>
          <w:highlight w:val="none"/>
          <w:lang w:eastAsia="zh-CN"/>
        </w:rPr>
        <w:t>等费用</w:t>
      </w:r>
      <w:r>
        <w:rPr>
          <w:rFonts w:hint="eastAsia" w:ascii="仿宋" w:hAnsi="仿宋" w:eastAsia="仿宋"/>
          <w:color w:val="auto"/>
          <w:sz w:val="24"/>
          <w:highlight w:val="none"/>
        </w:rPr>
        <w:t>，</w:t>
      </w:r>
      <w:r>
        <w:rPr>
          <w:rFonts w:ascii="仿宋" w:hAnsi="仿宋" w:eastAsia="仿宋"/>
          <w:color w:val="auto"/>
          <w:sz w:val="24"/>
          <w:highlight w:val="none"/>
        </w:rPr>
        <w:t>除此之外，买方无</w:t>
      </w:r>
      <w:r>
        <w:rPr>
          <w:rFonts w:hint="eastAsia" w:ascii="仿宋" w:hAnsi="仿宋" w:eastAsia="仿宋"/>
          <w:color w:val="auto"/>
          <w:sz w:val="24"/>
          <w:highlight w:val="none"/>
        </w:rPr>
        <w:t>需</w:t>
      </w:r>
      <w:r>
        <w:rPr>
          <w:rFonts w:ascii="仿宋" w:hAnsi="仿宋" w:eastAsia="仿宋"/>
          <w:color w:val="auto"/>
          <w:sz w:val="24"/>
          <w:highlight w:val="none"/>
        </w:rPr>
        <w:t>支付任何费用。</w:t>
      </w:r>
    </w:p>
    <w:p>
      <w:pPr>
        <w:spacing w:line="480" w:lineRule="exact"/>
        <w:ind w:firstLine="482" w:firstLineChars="200"/>
        <w:jc w:val="left"/>
        <w:rPr>
          <w:rFonts w:ascii="仿宋" w:hAnsi="仿宋" w:eastAsia="仿宋"/>
          <w:b/>
          <w:bCs/>
          <w:color w:val="auto"/>
          <w:sz w:val="24"/>
          <w:highlight w:val="none"/>
        </w:rPr>
      </w:pPr>
      <w:r>
        <w:rPr>
          <w:rFonts w:ascii="仿宋" w:hAnsi="仿宋" w:eastAsia="仿宋"/>
          <w:b/>
          <w:bCs/>
          <w:color w:val="auto"/>
          <w:sz w:val="24"/>
          <w:highlight w:val="none"/>
        </w:rPr>
        <w:t>三、付款方式</w:t>
      </w:r>
    </w:p>
    <w:p>
      <w:pPr>
        <w:adjustRightInd w:val="0"/>
        <w:snapToGrid w:val="0"/>
        <w:spacing w:line="480" w:lineRule="exact"/>
        <w:ind w:firstLine="480" w:firstLineChars="200"/>
        <w:jc w:val="left"/>
        <w:rPr>
          <w:rFonts w:hint="eastAsia" w:ascii="仿宋" w:hAnsi="仿宋" w:eastAsia="仿宋"/>
          <w:color w:val="auto"/>
          <w:sz w:val="24"/>
          <w:highlight w:val="none"/>
        </w:rPr>
      </w:pPr>
      <w:r>
        <w:rPr>
          <w:rFonts w:hint="eastAsia" w:ascii="仿宋" w:hAnsi="仿宋" w:eastAsia="仿宋" w:cs="仿宋"/>
          <w:color w:val="auto"/>
          <w:kern w:val="0"/>
          <w:sz w:val="24"/>
          <w:highlight w:val="none"/>
        </w:rPr>
        <w:t>交货验收、结算审计等相关手续履行完毕后，</w:t>
      </w:r>
      <w:r>
        <w:rPr>
          <w:rFonts w:hint="eastAsia" w:ascii="仿宋" w:hAnsi="仿宋" w:eastAsia="仿宋" w:cs="仿宋"/>
          <w:color w:val="auto"/>
          <w:kern w:val="0"/>
          <w:sz w:val="24"/>
          <w:highlight w:val="none"/>
          <w:lang w:eastAsia="zh-CN"/>
        </w:rPr>
        <w:t>买方</w:t>
      </w:r>
      <w:r>
        <w:rPr>
          <w:rFonts w:hint="eastAsia" w:ascii="仿宋" w:hAnsi="仿宋" w:eastAsia="仿宋" w:cs="仿宋"/>
          <w:color w:val="auto"/>
          <w:kern w:val="0"/>
          <w:sz w:val="24"/>
          <w:highlight w:val="none"/>
        </w:rPr>
        <w:t>根据验收单和一次性开具的全额发票款情况支付全额购置款（以审计结算金额为准），如</w:t>
      </w:r>
      <w:r>
        <w:rPr>
          <w:rFonts w:hint="eastAsia" w:ascii="仿宋" w:hAnsi="仿宋" w:eastAsia="仿宋" w:cs="仿宋"/>
          <w:color w:val="auto"/>
          <w:kern w:val="0"/>
          <w:sz w:val="24"/>
          <w:highlight w:val="none"/>
          <w:lang w:eastAsia="zh-CN"/>
        </w:rPr>
        <w:t>卖方</w:t>
      </w:r>
      <w:r>
        <w:rPr>
          <w:rFonts w:hint="eastAsia" w:ascii="仿宋" w:hAnsi="仿宋" w:eastAsia="仿宋" w:cs="仿宋"/>
          <w:color w:val="auto"/>
          <w:kern w:val="0"/>
          <w:sz w:val="24"/>
          <w:highlight w:val="none"/>
        </w:rPr>
        <w:t>未开具符合</w:t>
      </w:r>
      <w:r>
        <w:rPr>
          <w:rFonts w:hint="eastAsia" w:ascii="仿宋" w:hAnsi="仿宋" w:eastAsia="仿宋" w:cs="仿宋"/>
          <w:color w:val="auto"/>
          <w:kern w:val="0"/>
          <w:sz w:val="24"/>
          <w:highlight w:val="none"/>
          <w:lang w:eastAsia="zh-CN"/>
        </w:rPr>
        <w:t>买方</w:t>
      </w:r>
      <w:r>
        <w:rPr>
          <w:rFonts w:hint="eastAsia" w:ascii="仿宋" w:hAnsi="仿宋" w:eastAsia="仿宋" w:cs="仿宋"/>
          <w:color w:val="auto"/>
          <w:kern w:val="0"/>
          <w:sz w:val="24"/>
          <w:highlight w:val="none"/>
        </w:rPr>
        <w:t>要求的合格、正式的发票，</w:t>
      </w:r>
      <w:r>
        <w:rPr>
          <w:rFonts w:hint="eastAsia" w:ascii="仿宋" w:hAnsi="仿宋" w:eastAsia="仿宋" w:cs="仿宋"/>
          <w:color w:val="auto"/>
          <w:kern w:val="0"/>
          <w:sz w:val="24"/>
          <w:highlight w:val="none"/>
          <w:lang w:eastAsia="zh-CN"/>
        </w:rPr>
        <w:t>买方</w:t>
      </w:r>
      <w:r>
        <w:rPr>
          <w:rFonts w:hint="eastAsia" w:ascii="仿宋" w:hAnsi="仿宋" w:eastAsia="仿宋" w:cs="仿宋"/>
          <w:color w:val="auto"/>
          <w:kern w:val="0"/>
          <w:sz w:val="24"/>
          <w:highlight w:val="none"/>
        </w:rPr>
        <w:t>有权拒付购置款。</w:t>
      </w:r>
    </w:p>
    <w:p>
      <w:pPr>
        <w:spacing w:line="480" w:lineRule="exact"/>
        <w:ind w:firstLine="482" w:firstLineChars="200"/>
        <w:jc w:val="left"/>
        <w:rPr>
          <w:rFonts w:ascii="仿宋" w:hAnsi="仿宋" w:eastAsia="仿宋"/>
          <w:b/>
          <w:bCs/>
          <w:color w:val="auto"/>
          <w:sz w:val="24"/>
          <w:highlight w:val="none"/>
        </w:rPr>
      </w:pPr>
      <w:r>
        <w:rPr>
          <w:rFonts w:ascii="仿宋" w:hAnsi="仿宋" w:eastAsia="仿宋"/>
          <w:b/>
          <w:bCs/>
          <w:color w:val="auto"/>
          <w:sz w:val="24"/>
          <w:highlight w:val="none"/>
        </w:rPr>
        <w:t>四、履约保证金</w:t>
      </w:r>
    </w:p>
    <w:p>
      <w:pPr>
        <w:adjustRightInd w:val="0"/>
        <w:snapToGrid w:val="0"/>
        <w:spacing w:line="480" w:lineRule="exact"/>
        <w:ind w:firstLine="480" w:firstLineChars="200"/>
        <w:jc w:val="left"/>
        <w:rPr>
          <w:rFonts w:ascii="仿宋" w:hAnsi="仿宋" w:eastAsia="仿宋"/>
          <w:bCs/>
          <w:color w:val="auto"/>
          <w:sz w:val="24"/>
          <w:highlight w:val="none"/>
        </w:rPr>
      </w:pPr>
      <w:r>
        <w:rPr>
          <w:rFonts w:ascii="仿宋" w:hAnsi="仿宋" w:eastAsia="仿宋"/>
          <w:color w:val="auto"/>
          <w:sz w:val="24"/>
          <w:highlight w:val="none"/>
        </w:rPr>
        <w:t>履约保证金在质保期满后，无任何问题，且无合同纠纷的，</w:t>
      </w:r>
      <w:r>
        <w:rPr>
          <w:rFonts w:hint="eastAsia" w:ascii="仿宋" w:hAnsi="仿宋" w:eastAsia="仿宋"/>
          <w:color w:val="auto"/>
          <w:sz w:val="24"/>
          <w:highlight w:val="none"/>
          <w:lang w:eastAsia="zh-CN"/>
        </w:rPr>
        <w:t>经卖方书面申请，</w:t>
      </w:r>
      <w:r>
        <w:rPr>
          <w:rFonts w:ascii="仿宋" w:hAnsi="仿宋" w:eastAsia="仿宋"/>
          <w:color w:val="auto"/>
          <w:sz w:val="24"/>
          <w:highlight w:val="none"/>
        </w:rPr>
        <w:t>无息退还履约保证金</w:t>
      </w:r>
      <w:r>
        <w:rPr>
          <w:rFonts w:hint="eastAsia" w:ascii="仿宋" w:hAnsi="仿宋" w:eastAsia="仿宋"/>
          <w:color w:val="auto"/>
          <w:sz w:val="24"/>
          <w:highlight w:val="none"/>
          <w:lang w:eastAsia="zh-CN"/>
        </w:rPr>
        <w:t>。</w:t>
      </w:r>
      <w:r>
        <w:rPr>
          <w:rFonts w:ascii="仿宋" w:hAnsi="仿宋" w:eastAsia="仿宋"/>
          <w:bCs/>
          <w:color w:val="auto"/>
          <w:sz w:val="24"/>
          <w:highlight w:val="none"/>
        </w:rPr>
        <w:t>以保函形式递交履约保证金的，保函有效期需至质保期结束，质保期结束后保函自动作废</w:t>
      </w:r>
      <w:r>
        <w:rPr>
          <w:rFonts w:hint="eastAsia" w:ascii="仿宋" w:hAnsi="仿宋" w:eastAsia="仿宋"/>
          <w:bCs/>
          <w:color w:val="auto"/>
          <w:sz w:val="24"/>
          <w:highlight w:val="none"/>
        </w:rPr>
        <w:t>，但卖方应配合买方履行书面手续，为买方财务部门及时处理账务提供书面依据</w:t>
      </w:r>
      <w:r>
        <w:rPr>
          <w:rFonts w:ascii="仿宋" w:hAnsi="仿宋" w:eastAsia="仿宋"/>
          <w:bCs/>
          <w:color w:val="auto"/>
          <w:sz w:val="24"/>
          <w:highlight w:val="none"/>
        </w:rPr>
        <w:t>。</w:t>
      </w:r>
    </w:p>
    <w:p>
      <w:pPr>
        <w:spacing w:line="480" w:lineRule="exact"/>
        <w:ind w:firstLine="482" w:firstLineChars="200"/>
        <w:jc w:val="left"/>
        <w:rPr>
          <w:rFonts w:ascii="仿宋" w:hAnsi="仿宋" w:eastAsia="仿宋"/>
          <w:b/>
          <w:bCs/>
          <w:color w:val="auto"/>
          <w:sz w:val="24"/>
          <w:highlight w:val="none"/>
        </w:rPr>
      </w:pPr>
      <w:r>
        <w:rPr>
          <w:rFonts w:ascii="仿宋" w:hAnsi="仿宋" w:eastAsia="仿宋"/>
          <w:b/>
          <w:bCs/>
          <w:color w:val="auto"/>
          <w:sz w:val="24"/>
          <w:highlight w:val="none"/>
        </w:rPr>
        <w:t>五、运输、包装及保险</w:t>
      </w:r>
    </w:p>
    <w:p>
      <w:pPr>
        <w:spacing w:line="480" w:lineRule="exact"/>
        <w:ind w:firstLine="480" w:firstLineChars="200"/>
        <w:jc w:val="left"/>
        <w:rPr>
          <w:rFonts w:ascii="仿宋" w:hAnsi="仿宋" w:eastAsia="仿宋"/>
          <w:b/>
          <w:bCs/>
          <w:color w:val="auto"/>
          <w:sz w:val="24"/>
          <w:highlight w:val="none"/>
        </w:rPr>
      </w:pPr>
      <w:r>
        <w:rPr>
          <w:rFonts w:ascii="仿宋" w:hAnsi="仿宋" w:eastAsia="仿宋"/>
          <w:color w:val="auto"/>
          <w:sz w:val="24"/>
          <w:highlight w:val="none"/>
        </w:rPr>
        <w:t>包装应防潮、防水、防锈、防尘、防震、隔热、贴体，运输方式不限，运输、搬运及保险等费用均卖方承担。</w:t>
      </w:r>
    </w:p>
    <w:p>
      <w:pPr>
        <w:spacing w:line="480" w:lineRule="exact"/>
        <w:ind w:firstLine="482" w:firstLineChars="200"/>
        <w:jc w:val="left"/>
        <w:rPr>
          <w:rFonts w:ascii="仿宋" w:hAnsi="仿宋" w:eastAsia="仿宋"/>
          <w:b/>
          <w:bCs/>
          <w:color w:val="auto"/>
          <w:sz w:val="24"/>
          <w:highlight w:val="none"/>
        </w:rPr>
      </w:pPr>
      <w:r>
        <w:rPr>
          <w:rFonts w:ascii="仿宋" w:hAnsi="仿宋" w:eastAsia="仿宋"/>
          <w:b/>
          <w:bCs/>
          <w:color w:val="auto"/>
          <w:sz w:val="24"/>
          <w:highlight w:val="none"/>
        </w:rPr>
        <w:t>六、交货时间及地点</w:t>
      </w:r>
    </w:p>
    <w:p>
      <w:pPr>
        <w:spacing w:line="480" w:lineRule="exact"/>
        <w:ind w:firstLine="482" w:firstLineChars="200"/>
        <w:jc w:val="left"/>
        <w:rPr>
          <w:rFonts w:ascii="仿宋" w:hAnsi="仿宋" w:eastAsia="仿宋"/>
          <w:color w:val="auto"/>
          <w:sz w:val="24"/>
          <w:highlight w:val="none"/>
        </w:rPr>
      </w:pPr>
      <w:r>
        <w:rPr>
          <w:rFonts w:ascii="仿宋" w:hAnsi="仿宋" w:eastAsia="仿宋"/>
          <w:b/>
          <w:bCs/>
          <w:color w:val="auto"/>
          <w:sz w:val="24"/>
          <w:highlight w:val="none"/>
        </w:rPr>
        <w:t>时间：</w:t>
      </w:r>
      <w:r>
        <w:rPr>
          <w:rFonts w:hint="eastAsia" w:ascii="仿宋" w:hAnsi="仿宋" w:eastAsia="仿宋" w:cs="仿宋"/>
          <w:color w:val="auto"/>
          <w:sz w:val="24"/>
          <w:highlight w:val="none"/>
        </w:rPr>
        <w:t>自合同签订生效之日起3个月内必须将所投产品送到</w:t>
      </w:r>
      <w:r>
        <w:rPr>
          <w:rFonts w:hint="eastAsia" w:ascii="仿宋" w:hAnsi="仿宋" w:eastAsia="仿宋" w:cs="仿宋"/>
          <w:color w:val="auto"/>
          <w:sz w:val="24"/>
          <w:highlight w:val="none"/>
          <w:lang w:eastAsia="zh-CN"/>
        </w:rPr>
        <w:t>江西省消防救援总队指定地点</w:t>
      </w:r>
      <w:r>
        <w:rPr>
          <w:rFonts w:hint="eastAsia" w:ascii="仿宋" w:hAnsi="仿宋" w:eastAsia="仿宋" w:cs="仿宋"/>
          <w:color w:val="auto"/>
          <w:sz w:val="24"/>
          <w:highlight w:val="none"/>
        </w:rPr>
        <w:t>（以采购人到货签收时间作为交货时间）</w:t>
      </w:r>
      <w:r>
        <w:rPr>
          <w:rFonts w:hint="eastAsia" w:ascii="仿宋" w:hAnsi="仿宋" w:eastAsia="仿宋" w:cs="仿宋"/>
          <w:color w:val="auto"/>
          <w:sz w:val="24"/>
          <w:highlight w:val="none"/>
          <w:lang w:eastAsia="zh-CN"/>
        </w:rPr>
        <w:t>，验收合格后由中标人配送至各消防救援支队或消防救援大队指定地点。</w:t>
      </w:r>
    </w:p>
    <w:p>
      <w:pPr>
        <w:spacing w:line="480" w:lineRule="exact"/>
        <w:ind w:firstLine="482" w:firstLineChars="200"/>
        <w:jc w:val="left"/>
        <w:rPr>
          <w:rFonts w:ascii="仿宋" w:hAnsi="仿宋" w:eastAsia="仿宋"/>
          <w:b/>
          <w:bCs/>
          <w:color w:val="auto"/>
          <w:sz w:val="24"/>
          <w:highlight w:val="none"/>
        </w:rPr>
      </w:pPr>
      <w:r>
        <w:rPr>
          <w:rFonts w:ascii="仿宋" w:hAnsi="仿宋" w:eastAsia="仿宋"/>
          <w:b/>
          <w:bCs/>
          <w:color w:val="auto"/>
          <w:sz w:val="24"/>
          <w:highlight w:val="none"/>
        </w:rPr>
        <w:t>地点：</w:t>
      </w:r>
      <w:r>
        <w:rPr>
          <w:rFonts w:hint="eastAsia" w:ascii="仿宋" w:hAnsi="仿宋" w:eastAsia="仿宋" w:cs="仿宋"/>
          <w:color w:val="auto"/>
          <w:sz w:val="24"/>
          <w:highlight w:val="none"/>
          <w:lang w:eastAsia="zh-CN"/>
        </w:rPr>
        <w:t>先</w:t>
      </w:r>
      <w:r>
        <w:rPr>
          <w:rFonts w:hint="eastAsia" w:ascii="仿宋" w:hAnsi="仿宋" w:eastAsia="仿宋" w:cs="仿宋"/>
          <w:color w:val="auto"/>
          <w:sz w:val="24"/>
          <w:highlight w:val="none"/>
        </w:rPr>
        <w:t>送到</w:t>
      </w:r>
      <w:r>
        <w:rPr>
          <w:rFonts w:hint="eastAsia" w:ascii="仿宋" w:hAnsi="仿宋" w:eastAsia="仿宋" w:cs="仿宋"/>
          <w:color w:val="auto"/>
          <w:sz w:val="24"/>
          <w:highlight w:val="none"/>
          <w:lang w:eastAsia="zh-CN"/>
        </w:rPr>
        <w:t>江西省消防救援总队指定地点进行验收，验收通过后再配送至各消防救援支队或消防救援大队指定地点。</w:t>
      </w:r>
    </w:p>
    <w:p>
      <w:pPr>
        <w:spacing w:line="480" w:lineRule="exact"/>
        <w:ind w:firstLine="482" w:firstLineChars="200"/>
        <w:jc w:val="left"/>
        <w:rPr>
          <w:rFonts w:ascii="仿宋" w:hAnsi="仿宋" w:eastAsia="仿宋"/>
          <w:b/>
          <w:bCs/>
          <w:color w:val="auto"/>
          <w:sz w:val="24"/>
          <w:highlight w:val="none"/>
        </w:rPr>
      </w:pPr>
      <w:r>
        <w:rPr>
          <w:rFonts w:hint="eastAsia" w:ascii="仿宋" w:hAnsi="仿宋" w:eastAsia="仿宋"/>
          <w:b/>
          <w:bCs/>
          <w:color w:val="auto"/>
          <w:sz w:val="24"/>
          <w:highlight w:val="none"/>
          <w:lang w:eastAsia="zh-CN"/>
        </w:rPr>
        <w:t>卖方</w:t>
      </w:r>
      <w:r>
        <w:rPr>
          <w:rFonts w:ascii="仿宋" w:hAnsi="仿宋" w:eastAsia="仿宋"/>
          <w:b/>
          <w:bCs/>
          <w:color w:val="auto"/>
          <w:sz w:val="24"/>
          <w:highlight w:val="none"/>
        </w:rPr>
        <w:t>联系人：</w:t>
      </w:r>
    </w:p>
    <w:p>
      <w:pPr>
        <w:spacing w:line="480" w:lineRule="exact"/>
        <w:ind w:firstLine="482" w:firstLineChars="200"/>
        <w:jc w:val="left"/>
        <w:rPr>
          <w:rFonts w:ascii="仿宋" w:hAnsi="仿宋" w:eastAsia="仿宋"/>
          <w:b/>
          <w:bCs/>
          <w:color w:val="auto"/>
          <w:sz w:val="24"/>
          <w:highlight w:val="none"/>
        </w:rPr>
      </w:pPr>
      <w:r>
        <w:rPr>
          <w:rFonts w:ascii="仿宋" w:hAnsi="仿宋" w:eastAsia="仿宋"/>
          <w:b/>
          <w:bCs/>
          <w:color w:val="auto"/>
          <w:sz w:val="24"/>
          <w:highlight w:val="none"/>
        </w:rPr>
        <w:t>七、合同生效</w:t>
      </w:r>
    </w:p>
    <w:p>
      <w:pPr>
        <w:spacing w:line="480" w:lineRule="exact"/>
        <w:ind w:firstLine="480"/>
        <w:jc w:val="left"/>
        <w:rPr>
          <w:rFonts w:ascii="仿宋" w:hAnsi="仿宋" w:eastAsia="仿宋"/>
          <w:color w:val="auto"/>
          <w:sz w:val="24"/>
          <w:highlight w:val="none"/>
        </w:rPr>
      </w:pPr>
      <w:r>
        <w:rPr>
          <w:rFonts w:hint="eastAsia" w:ascii="仿宋" w:hAnsi="仿宋" w:eastAsia="仿宋"/>
          <w:color w:val="auto"/>
          <w:sz w:val="24"/>
          <w:highlight w:val="none"/>
          <w:lang w:val="en-US" w:eastAsia="zh-CN"/>
        </w:rPr>
        <w:t>本合同经双方授权代表签字并盖章之日起生效。本合同一式三份，双方各执一份、采购代理机构执一份，具有同等法律效力</w:t>
      </w:r>
      <w:r>
        <w:rPr>
          <w:rFonts w:ascii="仿宋" w:hAnsi="仿宋" w:eastAsia="仿宋"/>
          <w:color w:val="auto"/>
          <w:sz w:val="24"/>
          <w:highlight w:val="none"/>
        </w:rPr>
        <w:t>。</w:t>
      </w:r>
    </w:p>
    <w:p>
      <w:pPr>
        <w:spacing w:line="480" w:lineRule="exact"/>
        <w:ind w:firstLine="480"/>
        <w:jc w:val="left"/>
        <w:rPr>
          <w:color w:val="auto"/>
          <w:highlight w:val="none"/>
        </w:rPr>
      </w:pPr>
    </w:p>
    <w:p>
      <w:pPr>
        <w:spacing w:line="480" w:lineRule="exact"/>
        <w:ind w:firstLine="480" w:firstLineChars="200"/>
        <w:jc w:val="left"/>
        <w:rPr>
          <w:rFonts w:ascii="仿宋" w:hAnsi="仿宋" w:eastAsia="仿宋"/>
          <w:color w:val="auto"/>
          <w:sz w:val="24"/>
          <w:highlight w:val="none"/>
        </w:rPr>
      </w:pPr>
      <w:r>
        <w:rPr>
          <w:rFonts w:ascii="仿宋" w:hAnsi="仿宋" w:eastAsia="仿宋"/>
          <w:color w:val="auto"/>
          <w:sz w:val="24"/>
          <w:highlight w:val="none"/>
        </w:rPr>
        <w:t>买方：（盖章）</w:t>
      </w:r>
      <w:r>
        <w:rPr>
          <w:rFonts w:hint="eastAsia" w:ascii="仿宋" w:hAnsi="仿宋" w:eastAsia="仿宋"/>
          <w:color w:val="auto"/>
          <w:sz w:val="24"/>
          <w:highlight w:val="none"/>
          <w:lang w:val="en-US" w:eastAsia="zh-CN"/>
        </w:rPr>
        <w:t xml:space="preserve">                     </w:t>
      </w:r>
      <w:r>
        <w:rPr>
          <w:rFonts w:ascii="仿宋" w:hAnsi="仿宋" w:eastAsia="仿宋"/>
          <w:color w:val="auto"/>
          <w:sz w:val="24"/>
          <w:highlight w:val="none"/>
        </w:rPr>
        <w:t>卖方：（盖章）</w:t>
      </w:r>
    </w:p>
    <w:p>
      <w:pPr>
        <w:spacing w:line="480" w:lineRule="exact"/>
        <w:ind w:firstLine="480" w:firstLineChars="200"/>
        <w:jc w:val="left"/>
        <w:rPr>
          <w:rFonts w:ascii="仿宋" w:hAnsi="仿宋" w:eastAsia="仿宋"/>
          <w:color w:val="auto"/>
          <w:sz w:val="24"/>
          <w:highlight w:val="none"/>
        </w:rPr>
      </w:pPr>
      <w:r>
        <w:rPr>
          <w:rFonts w:ascii="仿宋" w:hAnsi="仿宋" w:eastAsia="仿宋"/>
          <w:color w:val="auto"/>
          <w:sz w:val="24"/>
          <w:highlight w:val="none"/>
        </w:rPr>
        <w:t xml:space="preserve">全权代表：（签字）                </w:t>
      </w:r>
      <w:r>
        <w:rPr>
          <w:rFonts w:hint="eastAsia" w:ascii="仿宋" w:hAnsi="仿宋" w:eastAsia="仿宋"/>
          <w:color w:val="auto"/>
          <w:sz w:val="24"/>
          <w:highlight w:val="none"/>
          <w:lang w:val="en-US" w:eastAsia="zh-CN"/>
        </w:rPr>
        <w:t xml:space="preserve"> </w:t>
      </w:r>
      <w:r>
        <w:rPr>
          <w:rFonts w:ascii="仿宋" w:hAnsi="仿宋" w:eastAsia="仿宋"/>
          <w:color w:val="auto"/>
          <w:sz w:val="24"/>
          <w:highlight w:val="none"/>
        </w:rPr>
        <w:t>全权代表：（签字）</w:t>
      </w:r>
    </w:p>
    <w:p>
      <w:pPr>
        <w:spacing w:line="480" w:lineRule="exact"/>
        <w:ind w:firstLine="480" w:firstLineChars="200"/>
        <w:jc w:val="left"/>
        <w:rPr>
          <w:rFonts w:ascii="仿宋" w:hAnsi="仿宋" w:eastAsia="仿宋"/>
          <w:color w:val="auto"/>
          <w:sz w:val="24"/>
          <w:highlight w:val="none"/>
        </w:rPr>
      </w:pPr>
      <w:r>
        <w:rPr>
          <w:rFonts w:ascii="仿宋" w:hAnsi="仿宋" w:eastAsia="仿宋"/>
          <w:color w:val="auto"/>
          <w:sz w:val="24"/>
          <w:highlight w:val="none"/>
        </w:rPr>
        <w:t>地址：                            地址：</w:t>
      </w:r>
    </w:p>
    <w:p>
      <w:pPr>
        <w:spacing w:line="480" w:lineRule="exact"/>
        <w:ind w:firstLine="480" w:firstLineChars="200"/>
        <w:jc w:val="left"/>
        <w:rPr>
          <w:rFonts w:ascii="仿宋" w:hAnsi="仿宋" w:eastAsia="仿宋"/>
          <w:color w:val="auto"/>
          <w:sz w:val="24"/>
          <w:highlight w:val="none"/>
        </w:rPr>
      </w:pPr>
      <w:r>
        <w:rPr>
          <w:rFonts w:ascii="仿宋" w:hAnsi="仿宋" w:eastAsia="仿宋"/>
          <w:color w:val="auto"/>
          <w:sz w:val="24"/>
          <w:highlight w:val="none"/>
        </w:rPr>
        <w:t>邮政编码：                        邮政编码：</w:t>
      </w:r>
    </w:p>
    <w:p>
      <w:pPr>
        <w:spacing w:line="480" w:lineRule="exact"/>
        <w:ind w:firstLine="480" w:firstLineChars="200"/>
        <w:jc w:val="left"/>
        <w:rPr>
          <w:rFonts w:ascii="仿宋" w:hAnsi="仿宋" w:eastAsia="仿宋"/>
          <w:color w:val="auto"/>
          <w:sz w:val="24"/>
          <w:highlight w:val="none"/>
        </w:rPr>
      </w:pPr>
      <w:r>
        <w:rPr>
          <w:rFonts w:ascii="仿宋" w:hAnsi="仿宋" w:eastAsia="仿宋"/>
          <w:color w:val="auto"/>
          <w:sz w:val="24"/>
          <w:highlight w:val="none"/>
        </w:rPr>
        <w:t>电话：                            电话：</w:t>
      </w:r>
    </w:p>
    <w:p>
      <w:pPr>
        <w:spacing w:line="480" w:lineRule="exact"/>
        <w:ind w:firstLine="480" w:firstLineChars="200"/>
        <w:jc w:val="left"/>
        <w:rPr>
          <w:rFonts w:ascii="仿宋" w:hAnsi="仿宋" w:eastAsia="仿宋"/>
          <w:color w:val="auto"/>
          <w:sz w:val="24"/>
          <w:highlight w:val="none"/>
        </w:rPr>
      </w:pPr>
      <w:r>
        <w:rPr>
          <w:rFonts w:ascii="仿宋" w:hAnsi="仿宋" w:eastAsia="仿宋"/>
          <w:color w:val="auto"/>
          <w:sz w:val="24"/>
          <w:highlight w:val="none"/>
        </w:rPr>
        <w:t>传真：                            传真：</w:t>
      </w:r>
    </w:p>
    <w:p>
      <w:pPr>
        <w:spacing w:line="480" w:lineRule="exact"/>
        <w:ind w:firstLine="480" w:firstLineChars="200"/>
        <w:jc w:val="left"/>
        <w:rPr>
          <w:rFonts w:ascii="仿宋" w:hAnsi="仿宋" w:eastAsia="仿宋"/>
          <w:color w:val="auto"/>
          <w:sz w:val="24"/>
          <w:highlight w:val="none"/>
        </w:rPr>
      </w:pPr>
      <w:r>
        <w:rPr>
          <w:rFonts w:ascii="仿宋" w:hAnsi="仿宋" w:eastAsia="仿宋"/>
          <w:color w:val="auto"/>
          <w:sz w:val="24"/>
          <w:highlight w:val="none"/>
        </w:rPr>
        <w:t>开户银行：                        开户银行：</w:t>
      </w:r>
    </w:p>
    <w:p>
      <w:pPr>
        <w:spacing w:line="480" w:lineRule="exact"/>
        <w:ind w:firstLine="480" w:firstLineChars="200"/>
        <w:jc w:val="left"/>
        <w:rPr>
          <w:rFonts w:ascii="仿宋" w:hAnsi="仿宋" w:eastAsia="仿宋"/>
          <w:color w:val="auto"/>
          <w:sz w:val="24"/>
          <w:highlight w:val="none"/>
        </w:rPr>
      </w:pPr>
      <w:r>
        <w:rPr>
          <w:rFonts w:ascii="仿宋" w:hAnsi="仿宋" w:eastAsia="仿宋"/>
          <w:color w:val="auto"/>
          <w:sz w:val="24"/>
          <w:highlight w:val="none"/>
        </w:rPr>
        <w:t xml:space="preserve">开户名称：             </w:t>
      </w:r>
      <w:r>
        <w:rPr>
          <w:rFonts w:hint="eastAsia" w:ascii="仿宋" w:hAnsi="仿宋" w:eastAsia="仿宋"/>
          <w:color w:val="auto"/>
          <w:sz w:val="24"/>
          <w:highlight w:val="none"/>
          <w:lang w:val="en-US" w:eastAsia="zh-CN"/>
        </w:rPr>
        <w:t xml:space="preserve">           </w:t>
      </w:r>
      <w:r>
        <w:rPr>
          <w:rFonts w:ascii="仿宋" w:hAnsi="仿宋" w:eastAsia="仿宋"/>
          <w:color w:val="auto"/>
          <w:sz w:val="24"/>
          <w:highlight w:val="none"/>
        </w:rPr>
        <w:t>开户名称：</w:t>
      </w:r>
    </w:p>
    <w:p>
      <w:pPr>
        <w:spacing w:line="480" w:lineRule="exact"/>
        <w:ind w:firstLine="480" w:firstLineChars="200"/>
        <w:jc w:val="left"/>
        <w:rPr>
          <w:rFonts w:ascii="仿宋" w:hAnsi="仿宋" w:eastAsia="仿宋"/>
          <w:color w:val="auto"/>
          <w:sz w:val="24"/>
          <w:highlight w:val="none"/>
        </w:rPr>
      </w:pPr>
      <w:r>
        <w:rPr>
          <w:rFonts w:ascii="仿宋" w:hAnsi="仿宋" w:eastAsia="仿宋"/>
          <w:color w:val="auto"/>
          <w:sz w:val="24"/>
          <w:highlight w:val="none"/>
        </w:rPr>
        <w:t>帐号：                            帐号：</w:t>
      </w:r>
    </w:p>
    <w:p>
      <w:pPr>
        <w:spacing w:line="480" w:lineRule="exact"/>
        <w:ind w:firstLine="480" w:firstLineChars="200"/>
        <w:jc w:val="left"/>
        <w:rPr>
          <w:rFonts w:ascii="仿宋" w:hAnsi="仿宋" w:eastAsia="仿宋"/>
          <w:color w:val="auto"/>
          <w:sz w:val="24"/>
          <w:highlight w:val="none"/>
        </w:rPr>
      </w:pPr>
      <w:r>
        <w:rPr>
          <w:rFonts w:ascii="仿宋" w:hAnsi="仿宋" w:eastAsia="仿宋"/>
          <w:color w:val="auto"/>
          <w:sz w:val="24"/>
          <w:highlight w:val="none"/>
        </w:rPr>
        <w:t xml:space="preserve">日期：年月日          </w:t>
      </w:r>
      <w:r>
        <w:rPr>
          <w:rFonts w:hint="eastAsia" w:ascii="仿宋" w:hAnsi="仿宋" w:eastAsia="仿宋"/>
          <w:color w:val="auto"/>
          <w:sz w:val="24"/>
          <w:highlight w:val="none"/>
          <w:lang w:val="en-US" w:eastAsia="zh-CN"/>
        </w:rPr>
        <w:t xml:space="preserve">            </w:t>
      </w:r>
      <w:r>
        <w:rPr>
          <w:rFonts w:ascii="仿宋" w:hAnsi="仿宋" w:eastAsia="仿宋"/>
          <w:color w:val="auto"/>
          <w:sz w:val="24"/>
          <w:highlight w:val="none"/>
        </w:rPr>
        <w:t>日期：年月日</w:t>
      </w:r>
    </w:p>
    <w:p>
      <w:pPr>
        <w:spacing w:line="480" w:lineRule="exact"/>
        <w:rPr>
          <w:rFonts w:ascii="仿宋" w:hAnsi="仿宋" w:eastAsia="仿宋"/>
          <w:b/>
          <w:bCs/>
          <w:snapToGrid w:val="0"/>
          <w:color w:val="auto"/>
          <w:sz w:val="28"/>
          <w:szCs w:val="28"/>
          <w:highlight w:val="none"/>
        </w:rPr>
        <w:sectPr>
          <w:footerReference r:id="rId10" w:type="first"/>
          <w:footerReference r:id="rId9" w:type="default"/>
          <w:pgSz w:w="11906" w:h="16838"/>
          <w:pgMar w:top="1418" w:right="1276" w:bottom="1134" w:left="1276" w:header="851" w:footer="973" w:gutter="0"/>
          <w:pgBorders>
            <w:top w:val="none" w:sz="0" w:space="0"/>
            <w:left w:val="none" w:sz="0" w:space="0"/>
            <w:bottom w:val="none" w:sz="0" w:space="0"/>
            <w:right w:val="none" w:sz="0" w:space="0"/>
          </w:pgBorders>
          <w:pgNumType w:fmt="decimal"/>
          <w:cols w:space="720" w:num="1"/>
          <w:titlePg/>
          <w:docGrid w:linePitch="381" w:charSpace="0"/>
        </w:sectPr>
      </w:pPr>
    </w:p>
    <w:p>
      <w:pPr>
        <w:spacing w:beforeLines="50" w:afterLines="50"/>
        <w:jc w:val="center"/>
        <w:rPr>
          <w:rFonts w:ascii="仿宋" w:hAnsi="仿宋" w:eastAsia="仿宋"/>
          <w:b/>
          <w:bCs/>
          <w:snapToGrid w:val="0"/>
          <w:color w:val="auto"/>
          <w:sz w:val="28"/>
          <w:szCs w:val="28"/>
          <w:highlight w:val="none"/>
        </w:rPr>
      </w:pPr>
      <w:r>
        <w:rPr>
          <w:rFonts w:ascii="仿宋" w:hAnsi="仿宋" w:eastAsia="仿宋"/>
          <w:b/>
          <w:bCs/>
          <w:snapToGrid w:val="0"/>
          <w:color w:val="auto"/>
          <w:sz w:val="28"/>
          <w:szCs w:val="28"/>
          <w:highlight w:val="none"/>
        </w:rPr>
        <w:t>购置合同主要条款</w:t>
      </w:r>
    </w:p>
    <w:p>
      <w:pPr>
        <w:spacing w:line="480" w:lineRule="exact"/>
        <w:ind w:firstLine="482" w:firstLineChars="200"/>
        <w:jc w:val="left"/>
        <w:rPr>
          <w:rFonts w:ascii="仿宋" w:hAnsi="仿宋" w:eastAsia="仿宋"/>
          <w:b/>
          <w:bCs/>
          <w:color w:val="auto"/>
          <w:sz w:val="24"/>
          <w:highlight w:val="none"/>
        </w:rPr>
      </w:pPr>
      <w:r>
        <w:rPr>
          <w:rFonts w:hint="eastAsia" w:ascii="仿宋" w:hAnsi="仿宋" w:eastAsia="仿宋"/>
          <w:b/>
          <w:bCs/>
          <w:color w:val="auto"/>
          <w:sz w:val="24"/>
          <w:highlight w:val="none"/>
        </w:rPr>
        <w:t>一、</w:t>
      </w:r>
      <w:r>
        <w:rPr>
          <w:rFonts w:hint="eastAsia" w:ascii="仿宋" w:hAnsi="仿宋" w:eastAsia="仿宋"/>
          <w:b/>
          <w:bCs/>
          <w:color w:val="auto"/>
          <w:sz w:val="24"/>
          <w:highlight w:val="none"/>
          <w:lang w:eastAsia="zh-CN"/>
        </w:rPr>
        <w:t>产品</w:t>
      </w:r>
      <w:r>
        <w:rPr>
          <w:rFonts w:hint="eastAsia" w:ascii="仿宋" w:hAnsi="仿宋" w:eastAsia="仿宋"/>
          <w:b/>
          <w:bCs/>
          <w:color w:val="auto"/>
          <w:sz w:val="24"/>
          <w:highlight w:val="none"/>
        </w:rPr>
        <w:t>名称、型号、数量、单价及金额等一览表</w:t>
      </w:r>
    </w:p>
    <w:tbl>
      <w:tblPr>
        <w:tblStyle w:val="4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39"/>
        <w:gridCol w:w="906"/>
        <w:gridCol w:w="1903"/>
        <w:gridCol w:w="2739"/>
        <w:gridCol w:w="27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781" w:type="pct"/>
            <w:vAlign w:val="center"/>
          </w:tcPr>
          <w:p>
            <w:pPr>
              <w:pStyle w:val="13"/>
              <w:spacing w:line="480" w:lineRule="exact"/>
              <w:ind w:left="0"/>
              <w:jc w:val="center"/>
              <w:rPr>
                <w:rFonts w:hint="eastAsia" w:ascii="仿宋" w:hAnsi="仿宋" w:eastAsia="仿宋" w:cs="仿宋"/>
                <w:color w:val="auto"/>
                <w:highlight w:val="none"/>
              </w:rPr>
            </w:pPr>
            <w:r>
              <w:rPr>
                <w:rFonts w:hint="eastAsia" w:ascii="仿宋" w:hAnsi="仿宋" w:eastAsia="仿宋" w:cs="仿宋"/>
                <w:color w:val="auto"/>
                <w:highlight w:val="none"/>
                <w:lang w:eastAsia="zh-CN"/>
              </w:rPr>
              <w:t>产品</w:t>
            </w:r>
            <w:r>
              <w:rPr>
                <w:rFonts w:hint="eastAsia" w:ascii="仿宋" w:hAnsi="仿宋" w:eastAsia="仿宋" w:cs="仿宋"/>
                <w:color w:val="auto"/>
                <w:highlight w:val="none"/>
              </w:rPr>
              <w:t>名称</w:t>
            </w:r>
          </w:p>
        </w:tc>
        <w:tc>
          <w:tcPr>
            <w:tcW w:w="460" w:type="pct"/>
            <w:vAlign w:val="center"/>
          </w:tcPr>
          <w:p>
            <w:pPr>
              <w:pStyle w:val="13"/>
              <w:spacing w:line="480" w:lineRule="exact"/>
              <w:ind w:left="0"/>
              <w:jc w:val="center"/>
              <w:rPr>
                <w:rFonts w:hint="eastAsia" w:ascii="仿宋" w:hAnsi="仿宋" w:eastAsia="仿宋" w:cs="仿宋"/>
                <w:color w:val="auto"/>
                <w:highlight w:val="none"/>
              </w:rPr>
            </w:pPr>
            <w:r>
              <w:rPr>
                <w:rFonts w:hint="eastAsia" w:ascii="仿宋" w:hAnsi="仿宋" w:eastAsia="仿宋" w:cs="仿宋"/>
                <w:color w:val="auto"/>
                <w:highlight w:val="none"/>
              </w:rPr>
              <w:t>数量</w:t>
            </w:r>
          </w:p>
        </w:tc>
        <w:tc>
          <w:tcPr>
            <w:tcW w:w="966" w:type="pct"/>
            <w:vAlign w:val="center"/>
          </w:tcPr>
          <w:p>
            <w:pPr>
              <w:pStyle w:val="13"/>
              <w:spacing w:line="480" w:lineRule="exact"/>
              <w:ind w:left="0"/>
              <w:jc w:val="center"/>
              <w:rPr>
                <w:rFonts w:hint="eastAsia" w:ascii="仿宋" w:hAnsi="仿宋" w:eastAsia="仿宋" w:cs="仿宋"/>
                <w:color w:val="auto"/>
                <w:highlight w:val="none"/>
              </w:rPr>
            </w:pPr>
            <w:r>
              <w:rPr>
                <w:rFonts w:hint="eastAsia" w:ascii="仿宋" w:hAnsi="仿宋" w:eastAsia="仿宋" w:cs="仿宋"/>
                <w:color w:val="auto"/>
                <w:highlight w:val="none"/>
              </w:rPr>
              <w:t>单价（元）</w:t>
            </w:r>
          </w:p>
        </w:tc>
        <w:tc>
          <w:tcPr>
            <w:tcW w:w="1390" w:type="pct"/>
            <w:vAlign w:val="center"/>
          </w:tcPr>
          <w:p>
            <w:pPr>
              <w:pStyle w:val="13"/>
              <w:spacing w:line="480" w:lineRule="exact"/>
              <w:ind w:left="0"/>
              <w:jc w:val="center"/>
              <w:rPr>
                <w:rFonts w:hint="eastAsia" w:ascii="仿宋" w:hAnsi="仿宋" w:eastAsia="仿宋" w:cs="仿宋"/>
                <w:color w:val="auto"/>
                <w:highlight w:val="none"/>
              </w:rPr>
            </w:pPr>
            <w:r>
              <w:rPr>
                <w:rFonts w:hint="eastAsia" w:ascii="仿宋" w:hAnsi="仿宋" w:eastAsia="仿宋" w:cs="仿宋"/>
                <w:color w:val="auto"/>
                <w:highlight w:val="none"/>
              </w:rPr>
              <w:t>品牌/型号/规格</w:t>
            </w:r>
          </w:p>
        </w:tc>
        <w:tc>
          <w:tcPr>
            <w:tcW w:w="1400" w:type="pct"/>
            <w:vAlign w:val="center"/>
          </w:tcPr>
          <w:p>
            <w:pPr>
              <w:pStyle w:val="13"/>
              <w:spacing w:line="480" w:lineRule="exact"/>
              <w:ind w:left="0"/>
              <w:jc w:val="center"/>
              <w:rPr>
                <w:rFonts w:hint="eastAsia" w:ascii="仿宋" w:hAnsi="仿宋" w:eastAsia="仿宋" w:cs="仿宋"/>
                <w:color w:val="auto"/>
                <w:highlight w:val="none"/>
              </w:rPr>
            </w:pPr>
            <w:r>
              <w:rPr>
                <w:rFonts w:hint="eastAsia" w:ascii="仿宋" w:hAnsi="仿宋" w:eastAsia="仿宋" w:cs="仿宋"/>
                <w:color w:val="auto"/>
                <w:highlight w:val="none"/>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781" w:type="pct"/>
            <w:vAlign w:val="center"/>
          </w:tcPr>
          <w:p>
            <w:pPr>
              <w:pStyle w:val="13"/>
              <w:spacing w:line="480" w:lineRule="exact"/>
              <w:jc w:val="center"/>
              <w:rPr>
                <w:rFonts w:hint="eastAsia" w:ascii="仿宋" w:hAnsi="仿宋" w:eastAsia="仿宋" w:cs="仿宋"/>
                <w:color w:val="auto"/>
                <w:highlight w:val="none"/>
              </w:rPr>
            </w:pPr>
          </w:p>
        </w:tc>
        <w:tc>
          <w:tcPr>
            <w:tcW w:w="460" w:type="pct"/>
            <w:vAlign w:val="center"/>
          </w:tcPr>
          <w:p>
            <w:pPr>
              <w:pStyle w:val="13"/>
              <w:spacing w:line="480" w:lineRule="exact"/>
              <w:jc w:val="center"/>
              <w:rPr>
                <w:rFonts w:hint="eastAsia" w:ascii="仿宋" w:hAnsi="仿宋" w:eastAsia="仿宋" w:cs="仿宋"/>
                <w:color w:val="auto"/>
                <w:highlight w:val="none"/>
              </w:rPr>
            </w:pPr>
          </w:p>
        </w:tc>
        <w:tc>
          <w:tcPr>
            <w:tcW w:w="966" w:type="pct"/>
            <w:vAlign w:val="center"/>
          </w:tcPr>
          <w:p>
            <w:pPr>
              <w:pStyle w:val="13"/>
              <w:spacing w:line="480" w:lineRule="exact"/>
              <w:jc w:val="center"/>
              <w:rPr>
                <w:rFonts w:hint="eastAsia" w:ascii="仿宋" w:hAnsi="仿宋" w:eastAsia="仿宋" w:cs="仿宋"/>
                <w:color w:val="auto"/>
                <w:highlight w:val="none"/>
              </w:rPr>
            </w:pPr>
          </w:p>
        </w:tc>
        <w:tc>
          <w:tcPr>
            <w:tcW w:w="1390" w:type="pct"/>
            <w:vAlign w:val="center"/>
          </w:tcPr>
          <w:p>
            <w:pPr>
              <w:pStyle w:val="13"/>
              <w:spacing w:line="480" w:lineRule="exact"/>
              <w:jc w:val="center"/>
              <w:rPr>
                <w:rFonts w:hint="eastAsia" w:ascii="仿宋" w:hAnsi="仿宋" w:eastAsia="仿宋" w:cs="仿宋"/>
                <w:color w:val="auto"/>
                <w:highlight w:val="none"/>
              </w:rPr>
            </w:pPr>
          </w:p>
        </w:tc>
        <w:tc>
          <w:tcPr>
            <w:tcW w:w="1400" w:type="pct"/>
            <w:vAlign w:val="center"/>
          </w:tcPr>
          <w:p>
            <w:pPr>
              <w:pStyle w:val="13"/>
              <w:spacing w:line="480" w:lineRule="exact"/>
              <w:jc w:val="center"/>
              <w:rPr>
                <w:rFonts w:hint="eastAsia" w:ascii="仿宋" w:hAnsi="仿宋" w:eastAsia="仿宋" w:cs="仿宋"/>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5000" w:type="pct"/>
            <w:gridSpan w:val="5"/>
            <w:vAlign w:val="center"/>
          </w:tcPr>
          <w:p>
            <w:pPr>
              <w:pStyle w:val="13"/>
              <w:spacing w:line="480" w:lineRule="exact"/>
              <w:ind w:left="0"/>
              <w:rPr>
                <w:rFonts w:hint="eastAsia" w:ascii="仿宋" w:hAnsi="仿宋" w:eastAsia="仿宋" w:cs="仿宋"/>
                <w:b/>
                <w:color w:val="auto"/>
                <w:highlight w:val="none"/>
              </w:rPr>
            </w:pPr>
            <w:r>
              <w:rPr>
                <w:rFonts w:hint="eastAsia" w:ascii="仿宋" w:hAnsi="仿宋" w:eastAsia="仿宋" w:cs="仿宋"/>
                <w:b/>
                <w:color w:val="auto"/>
                <w:highlight w:val="none"/>
              </w:rPr>
              <w:t>合计金额：¥             元 （              元整）</w:t>
            </w:r>
          </w:p>
        </w:tc>
      </w:tr>
    </w:tbl>
    <w:p>
      <w:pPr>
        <w:spacing w:line="480" w:lineRule="exact"/>
        <w:ind w:firstLine="480" w:firstLineChars="200"/>
        <w:jc w:val="left"/>
        <w:rPr>
          <w:rFonts w:ascii="仿宋" w:hAnsi="仿宋" w:eastAsia="仿宋"/>
          <w:color w:val="auto"/>
          <w:sz w:val="24"/>
          <w:highlight w:val="none"/>
        </w:rPr>
      </w:pPr>
      <w:r>
        <w:rPr>
          <w:rFonts w:hint="eastAsia" w:ascii="仿宋" w:hAnsi="仿宋" w:eastAsia="仿宋"/>
          <w:color w:val="auto"/>
          <w:sz w:val="24"/>
          <w:highlight w:val="none"/>
        </w:rPr>
        <w:t>注：</w:t>
      </w:r>
      <w:r>
        <w:rPr>
          <w:rFonts w:ascii="仿宋" w:hAnsi="仿宋" w:eastAsia="仿宋"/>
          <w:color w:val="auto"/>
          <w:sz w:val="24"/>
          <w:highlight w:val="none"/>
        </w:rPr>
        <w:t>产品的技术参数以招标文件和投标文件为准。</w:t>
      </w:r>
    </w:p>
    <w:p>
      <w:pPr>
        <w:spacing w:line="480" w:lineRule="exact"/>
        <w:ind w:firstLine="482" w:firstLineChars="200"/>
        <w:jc w:val="left"/>
        <w:rPr>
          <w:rFonts w:ascii="仿宋" w:hAnsi="仿宋" w:eastAsia="仿宋"/>
          <w:b/>
          <w:bCs/>
          <w:color w:val="auto"/>
          <w:sz w:val="24"/>
          <w:highlight w:val="none"/>
        </w:rPr>
      </w:pPr>
      <w:r>
        <w:rPr>
          <w:rFonts w:hint="eastAsia" w:ascii="仿宋" w:hAnsi="仿宋" w:eastAsia="仿宋"/>
          <w:b/>
          <w:bCs/>
          <w:color w:val="auto"/>
          <w:sz w:val="24"/>
          <w:highlight w:val="none"/>
        </w:rPr>
        <w:t>二、质量标准和保证</w:t>
      </w:r>
    </w:p>
    <w:p>
      <w:pPr>
        <w:pStyle w:val="73"/>
        <w:snapToGrid w:val="0"/>
        <w:spacing w:before="0" w:beforeAutospacing="0" w:after="0" w:afterAutospacing="0" w:line="480" w:lineRule="exact"/>
        <w:ind w:firstLine="480" w:firstLineChars="200"/>
        <w:rPr>
          <w:rFonts w:ascii="仿宋" w:hAnsi="仿宋" w:eastAsia="仿宋" w:cs="Times New Roman"/>
          <w:color w:val="auto"/>
          <w:highlight w:val="none"/>
        </w:rPr>
      </w:pPr>
      <w:r>
        <w:rPr>
          <w:rFonts w:ascii="仿宋" w:hAnsi="仿宋" w:eastAsia="仿宋" w:cs="Times New Roman"/>
          <w:color w:val="auto"/>
          <w:highlight w:val="none"/>
        </w:rPr>
        <w:t>（一）卖方提供的产品必须符合国家颁布的质量标准和产品名称、规格型号、技术要求（详见招标文件和投标文件）。</w:t>
      </w:r>
    </w:p>
    <w:p>
      <w:pPr>
        <w:pStyle w:val="73"/>
        <w:snapToGrid w:val="0"/>
        <w:spacing w:before="0" w:beforeAutospacing="0" w:after="0" w:afterAutospacing="0" w:line="480" w:lineRule="exact"/>
        <w:ind w:firstLine="480" w:firstLineChars="200"/>
        <w:rPr>
          <w:rFonts w:ascii="仿宋" w:hAnsi="仿宋" w:eastAsia="仿宋" w:cs="Times New Roman"/>
          <w:color w:val="auto"/>
          <w:highlight w:val="none"/>
        </w:rPr>
      </w:pPr>
      <w:r>
        <w:rPr>
          <w:rFonts w:ascii="仿宋" w:hAnsi="仿宋" w:eastAsia="仿宋" w:cs="Times New Roman"/>
          <w:color w:val="auto"/>
          <w:highlight w:val="none"/>
        </w:rPr>
        <w:t>（二）卖方必须保证所提供的产品是全新的、未使用过的，完全符合合同规定的质量、规格和性能要求。</w:t>
      </w:r>
    </w:p>
    <w:p>
      <w:pPr>
        <w:spacing w:line="48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三、售后服务</w:t>
      </w:r>
    </w:p>
    <w:p>
      <w:pPr>
        <w:spacing w:line="480" w:lineRule="exact"/>
        <w:ind w:firstLine="482" w:firstLineChars="200"/>
        <w:jc w:val="left"/>
        <w:rPr>
          <w:rFonts w:ascii="仿宋" w:hAnsi="仿宋" w:eastAsia="仿宋"/>
          <w:b/>
          <w:bCs/>
          <w:color w:val="auto"/>
          <w:sz w:val="24"/>
          <w:highlight w:val="none"/>
        </w:rPr>
      </w:pPr>
      <w:r>
        <w:rPr>
          <w:rFonts w:hint="eastAsia" w:ascii="仿宋" w:hAnsi="仿宋" w:eastAsia="仿宋"/>
          <w:b/>
          <w:bCs/>
          <w:color w:val="auto"/>
          <w:sz w:val="24"/>
          <w:highlight w:val="none"/>
        </w:rPr>
        <w:t>（一）售后服务要求</w:t>
      </w:r>
    </w:p>
    <w:p>
      <w:pPr>
        <w:spacing w:line="48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卖方承诺在质保期内对所提供产品实施运行监督、维修，但该服务并不能免除卖方在质保期内应承担的义务；在质保期与保修期内，卖方必须提供至少一次免费上门首保服务,主动协助买方做好产品的保养。提供7×24小时服务电话，产品发生质量、故障、事故问题时，在4小时内做出回应，维修人员在24小时内到达现场并解决问题，并应主动与生产厂联系解决索赔问题。如卖方未在约定的时间内作出回应或解决问题，买方有权委托第三方处理，因此产生的费用或给买方造成的损失由卖方承担。</w:t>
      </w:r>
    </w:p>
    <w:p>
      <w:pPr>
        <w:spacing w:line="48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2、鉴于消防产品的特殊性，产品在使用过程中如零部件发生丢失和损坏，卖方须负责买方按优惠价格配到原厂生产的优质零部件。</w:t>
      </w:r>
    </w:p>
    <w:p>
      <w:pPr>
        <w:spacing w:line="48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3、卖方在质保期内收到买方维修通知后，负责对产品进行免费维修、更换有缺陷的零部件、直至更换产品。</w:t>
      </w:r>
    </w:p>
    <w:p>
      <w:pPr>
        <w:spacing w:line="48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4、如果卖方在质保期内收到维修通知后，没有为买方弥补缺陷、更换零部件，买方可采取必要的补救措施，但风险和费用将由卖方承担。</w:t>
      </w:r>
    </w:p>
    <w:p>
      <w:pPr>
        <w:spacing w:line="48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产品</w:t>
      </w:r>
      <w:r>
        <w:rPr>
          <w:rFonts w:hint="eastAsia" w:ascii="仿宋" w:hAnsi="仿宋" w:eastAsia="仿宋" w:cs="仿宋"/>
          <w:color w:val="auto"/>
          <w:sz w:val="24"/>
          <w:highlight w:val="none"/>
        </w:rPr>
        <w:t>必须配有中文说明书</w:t>
      </w:r>
      <w:r>
        <w:rPr>
          <w:rFonts w:hint="eastAsia" w:ascii="仿宋" w:hAnsi="仿宋" w:eastAsia="仿宋" w:cs="仿宋"/>
          <w:color w:val="auto"/>
          <w:sz w:val="24"/>
          <w:highlight w:val="none"/>
          <w:lang w:eastAsia="zh-CN"/>
        </w:rPr>
        <w:t>，并提供电子版文档。</w:t>
      </w:r>
      <w:r>
        <w:rPr>
          <w:rFonts w:hint="eastAsia" w:ascii="仿宋" w:hAnsi="仿宋" w:eastAsia="仿宋" w:cs="仿宋"/>
          <w:color w:val="auto"/>
          <w:sz w:val="24"/>
          <w:highlight w:val="none"/>
        </w:rPr>
        <w:t>说明书应包括</w:t>
      </w:r>
      <w:r>
        <w:rPr>
          <w:rFonts w:hint="eastAsia" w:ascii="仿宋" w:hAnsi="仿宋" w:eastAsia="仿宋" w:cs="仿宋"/>
          <w:color w:val="auto"/>
          <w:sz w:val="24"/>
          <w:highlight w:val="none"/>
          <w:lang w:eastAsia="zh-CN"/>
        </w:rPr>
        <w:t>产品</w:t>
      </w:r>
      <w:r>
        <w:rPr>
          <w:rFonts w:hint="eastAsia" w:ascii="仿宋" w:hAnsi="仿宋" w:eastAsia="仿宋" w:cs="仿宋"/>
          <w:color w:val="auto"/>
          <w:sz w:val="24"/>
          <w:highlight w:val="none"/>
        </w:rPr>
        <w:t>周期性检查及维护保养的详细说明，并提供</w:t>
      </w:r>
      <w:r>
        <w:rPr>
          <w:rFonts w:hint="eastAsia" w:ascii="仿宋" w:hAnsi="仿宋" w:eastAsia="仿宋" w:cs="仿宋"/>
          <w:color w:val="auto"/>
          <w:sz w:val="24"/>
          <w:highlight w:val="none"/>
          <w:lang w:eastAsia="zh-CN"/>
        </w:rPr>
        <w:t>产品</w:t>
      </w:r>
      <w:r>
        <w:rPr>
          <w:rFonts w:hint="eastAsia" w:ascii="仿宋" w:hAnsi="仿宋" w:eastAsia="仿宋" w:cs="仿宋"/>
          <w:color w:val="auto"/>
          <w:sz w:val="24"/>
          <w:highlight w:val="none"/>
        </w:rPr>
        <w:t>操作使用和检查维护的音视频资料。同时提供全寿命周期易损件、消耗品、工具等型号规格清单。相关资料要归档编制目录，并做好档案保管和移交等工作。</w:t>
      </w:r>
    </w:p>
    <w:p>
      <w:pPr>
        <w:spacing w:line="480" w:lineRule="exact"/>
        <w:ind w:firstLine="482" w:firstLineChars="200"/>
        <w:jc w:val="left"/>
        <w:rPr>
          <w:rFonts w:ascii="仿宋" w:hAnsi="仿宋" w:eastAsia="仿宋"/>
          <w:b/>
          <w:bCs/>
          <w:color w:val="auto"/>
          <w:sz w:val="24"/>
          <w:highlight w:val="none"/>
        </w:rPr>
      </w:pPr>
      <w:r>
        <w:rPr>
          <w:rFonts w:hint="eastAsia" w:ascii="仿宋" w:hAnsi="仿宋" w:eastAsia="仿宋"/>
          <w:b/>
          <w:bCs/>
          <w:color w:val="auto"/>
          <w:sz w:val="24"/>
          <w:highlight w:val="none"/>
        </w:rPr>
        <w:t>（二）质量保证和保修</w:t>
      </w:r>
    </w:p>
    <w:p>
      <w:pPr>
        <w:spacing w:line="48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1、卖方提供的产品原则上须提供  年质保期，产品按保养手册执行。</w:t>
      </w:r>
      <w:r>
        <w:rPr>
          <w:rFonts w:hint="eastAsia" w:ascii="仿宋" w:hAnsi="仿宋" w:eastAsia="仿宋" w:cs="仿宋"/>
          <w:color w:val="auto"/>
          <w:sz w:val="24"/>
          <w:highlight w:val="none"/>
          <w:lang w:eastAsia="zh-CN"/>
        </w:rPr>
        <w:t>产品应</w:t>
      </w:r>
      <w:r>
        <w:rPr>
          <w:rFonts w:hint="eastAsia" w:ascii="仿宋" w:hAnsi="仿宋" w:eastAsia="仿宋" w:cs="仿宋"/>
          <w:color w:val="auto"/>
          <w:sz w:val="24"/>
          <w:highlight w:val="none"/>
        </w:rPr>
        <w:t>完全符合合同规定的质量、规格和性能的要求。保证所提供的</w:t>
      </w:r>
      <w:r>
        <w:rPr>
          <w:rFonts w:hint="eastAsia" w:ascii="仿宋" w:hAnsi="仿宋" w:eastAsia="仿宋" w:cs="仿宋"/>
          <w:color w:val="auto"/>
          <w:sz w:val="24"/>
          <w:highlight w:val="none"/>
          <w:lang w:eastAsia="zh-CN"/>
        </w:rPr>
        <w:t>产品</w:t>
      </w:r>
      <w:r>
        <w:rPr>
          <w:rFonts w:hint="eastAsia" w:ascii="仿宋" w:hAnsi="仿宋" w:eastAsia="仿宋" w:cs="仿宋"/>
          <w:color w:val="auto"/>
          <w:sz w:val="24"/>
          <w:highlight w:val="none"/>
        </w:rPr>
        <w:t>经正确安装、正常运转和保养，在其使用寿命期内应具有使买方满意的性能，并且确保一次性通过各项检验和测试。产品最终验收后，在质保期内，卖方应对由于设计、工艺或材料的缺陷而发生的任何不足或故障负责，费用由卖方负担。</w:t>
      </w:r>
    </w:p>
    <w:p>
      <w:pPr>
        <w:spacing w:line="480" w:lineRule="exact"/>
        <w:ind w:firstLine="480" w:firstLineChars="200"/>
        <w:rPr>
          <w:rFonts w:ascii="仿宋" w:hAnsi="仿宋" w:eastAsia="仿宋" w:cs="仿宋"/>
          <w:b/>
          <w:color w:val="auto"/>
          <w:sz w:val="24"/>
          <w:highlight w:val="none"/>
        </w:rPr>
      </w:pPr>
      <w:r>
        <w:rPr>
          <w:rFonts w:hint="eastAsia" w:ascii="仿宋" w:hAnsi="仿宋" w:eastAsia="仿宋" w:cs="仿宋"/>
          <w:color w:val="auto"/>
          <w:sz w:val="24"/>
          <w:highlight w:val="none"/>
        </w:rPr>
        <w:t>2、在质保期内，如果</w:t>
      </w:r>
      <w:r>
        <w:rPr>
          <w:rFonts w:hint="eastAsia" w:ascii="仿宋" w:hAnsi="仿宋" w:eastAsia="仿宋" w:cs="仿宋"/>
          <w:color w:val="auto"/>
          <w:sz w:val="24"/>
          <w:highlight w:val="none"/>
          <w:lang w:eastAsia="zh-CN"/>
        </w:rPr>
        <w:t>产品</w:t>
      </w:r>
      <w:r>
        <w:rPr>
          <w:rFonts w:hint="eastAsia" w:ascii="仿宋" w:hAnsi="仿宋" w:eastAsia="仿宋" w:cs="仿宋"/>
          <w:color w:val="auto"/>
          <w:sz w:val="24"/>
          <w:highlight w:val="none"/>
        </w:rPr>
        <w:t>的数量、质量、规格性能与合同不符，或证实</w:t>
      </w:r>
      <w:r>
        <w:rPr>
          <w:rFonts w:hint="eastAsia" w:ascii="仿宋" w:hAnsi="仿宋" w:eastAsia="仿宋" w:cs="仿宋"/>
          <w:color w:val="auto"/>
          <w:sz w:val="24"/>
          <w:highlight w:val="none"/>
          <w:lang w:eastAsia="zh-CN"/>
        </w:rPr>
        <w:t>产品</w:t>
      </w:r>
      <w:r>
        <w:rPr>
          <w:rFonts w:hint="eastAsia" w:ascii="仿宋" w:hAnsi="仿宋" w:eastAsia="仿宋" w:cs="仿宋"/>
          <w:color w:val="auto"/>
          <w:sz w:val="24"/>
          <w:highlight w:val="none"/>
        </w:rPr>
        <w:t>是有缺陷的，包括潜在的缺陷或使用不符合要求的材料等，买方应尽快以书面形式通知卖方，提出索赔。对于小型缺陷，卖方在收到通知后，应在</w:t>
      </w:r>
      <w:r>
        <w:rPr>
          <w:rFonts w:ascii="仿宋" w:hAnsi="仿宋" w:eastAsia="仿宋" w:cs="仿宋"/>
          <w:color w:val="auto"/>
          <w:sz w:val="24"/>
          <w:highlight w:val="none"/>
        </w:rPr>
        <w:t>7</w:t>
      </w:r>
      <w:r>
        <w:rPr>
          <w:rFonts w:hint="eastAsia" w:ascii="仿宋" w:hAnsi="仿宋" w:eastAsia="仿宋" w:cs="仿宋"/>
          <w:color w:val="auto"/>
          <w:sz w:val="24"/>
          <w:highlight w:val="none"/>
        </w:rPr>
        <w:t>日内，用与投标时采用的零件、部件或材料来更换有缺陷的或不符合要求的零件、部件或材料，同时相应延长质保期；对于重大缺陷，卖方在收到通知后，应在</w:t>
      </w:r>
      <w:r>
        <w:rPr>
          <w:rFonts w:ascii="仿宋" w:hAnsi="仿宋" w:eastAsia="仿宋" w:cs="仿宋"/>
          <w:color w:val="auto"/>
          <w:sz w:val="24"/>
          <w:highlight w:val="none"/>
        </w:rPr>
        <w:t>7</w:t>
      </w:r>
      <w:r>
        <w:rPr>
          <w:rFonts w:hint="eastAsia" w:ascii="仿宋" w:hAnsi="仿宋" w:eastAsia="仿宋" w:cs="仿宋"/>
          <w:color w:val="auto"/>
          <w:sz w:val="24"/>
          <w:highlight w:val="none"/>
        </w:rPr>
        <w:t>日内，更换合格的</w:t>
      </w:r>
      <w:r>
        <w:rPr>
          <w:rFonts w:hint="eastAsia" w:ascii="仿宋" w:hAnsi="仿宋" w:eastAsia="仿宋" w:cs="仿宋"/>
          <w:color w:val="auto"/>
          <w:sz w:val="24"/>
          <w:highlight w:val="none"/>
          <w:lang w:eastAsia="zh-CN"/>
        </w:rPr>
        <w:t>产品</w:t>
      </w:r>
      <w:r>
        <w:rPr>
          <w:rFonts w:hint="eastAsia" w:ascii="仿宋" w:hAnsi="仿宋" w:eastAsia="仿宋" w:cs="仿宋"/>
          <w:color w:val="auto"/>
          <w:sz w:val="24"/>
          <w:highlight w:val="none"/>
        </w:rPr>
        <w:t>（同时相应延长质保期）或做退货处理，并承担给买方造成的损失。</w:t>
      </w:r>
    </w:p>
    <w:p>
      <w:pPr>
        <w:spacing w:line="48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3、质保期限以外</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卖方为所投产品提供  年的保修期，提供全寿命周期的主要耗损件、易损件及更换总成的目录和年度价格清单，保证供应且价格合理。在超出保修服务期限后的每次售后服务，卖方可以按照一定标准收取相应的维修费用、更换零部件费用和升级费用。售后服务结束两个星期后，买方确认签字，完成本次售后服务。超出保修期产品作出的收费维修部分的保修期不应低于12个月。</w:t>
      </w:r>
    </w:p>
    <w:p>
      <w:pPr>
        <w:spacing w:line="480" w:lineRule="exact"/>
        <w:ind w:firstLine="482" w:firstLineChars="200"/>
        <w:jc w:val="left"/>
        <w:rPr>
          <w:rFonts w:ascii="仿宋" w:hAnsi="仿宋" w:eastAsia="仿宋"/>
          <w:b/>
          <w:bCs/>
          <w:color w:val="auto"/>
          <w:sz w:val="24"/>
          <w:highlight w:val="none"/>
        </w:rPr>
      </w:pPr>
      <w:r>
        <w:rPr>
          <w:rFonts w:hint="eastAsia" w:ascii="仿宋" w:hAnsi="仿宋" w:eastAsia="仿宋"/>
          <w:b/>
          <w:bCs/>
          <w:color w:val="auto"/>
          <w:sz w:val="24"/>
          <w:highlight w:val="none"/>
        </w:rPr>
        <w:t>（三）培训与监督</w:t>
      </w:r>
    </w:p>
    <w:p>
      <w:pPr>
        <w:spacing w:line="48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eastAsia="zh-CN"/>
        </w:rPr>
        <w:t>交货时，卖方应</w:t>
      </w:r>
      <w:r>
        <w:rPr>
          <w:rFonts w:hint="eastAsia" w:ascii="仿宋" w:hAnsi="仿宋" w:eastAsia="仿宋" w:cs="仿宋"/>
          <w:color w:val="auto"/>
          <w:sz w:val="24"/>
          <w:highlight w:val="none"/>
        </w:rPr>
        <w:t>提供产品的功能、使用方法、技术参数、常见问题解决方法等书面材料，并确保用户获知产品序列号、型号名称、版本号以及配合使用的主要设备品牌、型号和版本等信息。</w:t>
      </w:r>
    </w:p>
    <w:p>
      <w:pPr>
        <w:spacing w:line="48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eastAsia="zh-CN"/>
        </w:rPr>
        <w:t>配送至指定单位后</w:t>
      </w:r>
      <w:r>
        <w:rPr>
          <w:rFonts w:hint="eastAsia" w:ascii="仿宋" w:hAnsi="仿宋" w:eastAsia="仿宋" w:cs="仿宋"/>
          <w:color w:val="auto"/>
          <w:sz w:val="24"/>
          <w:highlight w:val="none"/>
        </w:rPr>
        <w:t>，卖方应免费组织用户开展操作使用培训，使之熟练掌握操作规程、使用方法和注意事项，并经</w:t>
      </w:r>
      <w:r>
        <w:rPr>
          <w:rFonts w:hint="eastAsia" w:ascii="仿宋" w:hAnsi="仿宋" w:eastAsia="仿宋" w:cs="仿宋"/>
          <w:color w:val="auto"/>
          <w:sz w:val="24"/>
          <w:highlight w:val="none"/>
          <w:lang w:eastAsia="zh-CN"/>
        </w:rPr>
        <w:t>相关单位</w:t>
      </w:r>
      <w:r>
        <w:rPr>
          <w:rFonts w:hint="eastAsia" w:ascii="仿宋" w:hAnsi="仿宋" w:eastAsia="仿宋" w:cs="仿宋"/>
          <w:color w:val="auto"/>
          <w:sz w:val="24"/>
          <w:highlight w:val="none"/>
        </w:rPr>
        <w:t>签字确认后方可移交。</w:t>
      </w:r>
    </w:p>
    <w:p>
      <w:pPr>
        <w:spacing w:line="48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3、卖方应公开原厂售后服务商的联系方式、公司名称、公司地址、邮政编码、电子邮件、联系电话及传真，不断完善服务管理和拓展新的服务模式，接受买方的监督和批评。</w:t>
      </w:r>
    </w:p>
    <w:p>
      <w:pPr>
        <w:spacing w:line="48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卖方应主动与买方</w:t>
      </w:r>
      <w:r>
        <w:rPr>
          <w:rFonts w:hint="eastAsia" w:ascii="仿宋" w:hAnsi="仿宋" w:eastAsia="仿宋" w:cs="仿宋"/>
          <w:color w:val="auto"/>
          <w:sz w:val="24"/>
          <w:highlight w:val="none"/>
        </w:rPr>
        <w:t>建立联勤联动机制</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遇有重大灾害事故处置，要快速响应，选派素质好、业务精的人员遂行技术保障，提供技术支持、现场抢修等应急技术服务。（注：卖方参与买方联勤联动行动所产生的费用支出由卖方自理）</w:t>
      </w:r>
    </w:p>
    <w:p>
      <w:pPr>
        <w:spacing w:line="48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、卖方应提供原厂的服务技术规范，买方可获得有关维修等级、所需时间、工时计算项目、配件价格的信息。</w:t>
      </w:r>
    </w:p>
    <w:p>
      <w:pPr>
        <w:spacing w:line="480" w:lineRule="exact"/>
        <w:ind w:firstLine="482" w:firstLineChars="200"/>
        <w:jc w:val="left"/>
        <w:rPr>
          <w:rFonts w:ascii="仿宋" w:hAnsi="仿宋" w:eastAsia="仿宋"/>
          <w:b/>
          <w:bCs/>
          <w:color w:val="auto"/>
          <w:sz w:val="24"/>
          <w:highlight w:val="none"/>
        </w:rPr>
      </w:pPr>
      <w:r>
        <w:rPr>
          <w:rFonts w:hint="eastAsia" w:ascii="仿宋" w:hAnsi="仿宋" w:eastAsia="仿宋"/>
          <w:b/>
          <w:bCs/>
          <w:color w:val="auto"/>
          <w:sz w:val="24"/>
          <w:highlight w:val="none"/>
        </w:rPr>
        <w:t>（四）服务响应</w:t>
      </w:r>
    </w:p>
    <w:p>
      <w:pPr>
        <w:spacing w:line="48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1、卖方应提供24小时电话服务，支持工程师提供专业技术服务。</w:t>
      </w:r>
    </w:p>
    <w:p>
      <w:pPr>
        <w:spacing w:line="48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2、卖方应认真、完整、真实的填写保养、保修、维修记录，并经买方签字确认。买方有权查阅保养、保修、维修记录。</w:t>
      </w:r>
    </w:p>
    <w:p>
      <w:pPr>
        <w:spacing w:line="480" w:lineRule="exact"/>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、卖方</w:t>
      </w:r>
      <w:r>
        <w:rPr>
          <w:rFonts w:hint="eastAsia" w:ascii="仿宋" w:hAnsi="仿宋" w:eastAsia="仿宋" w:cs="仿宋"/>
          <w:color w:val="auto"/>
          <w:sz w:val="24"/>
          <w:highlight w:val="none"/>
          <w:lang w:eastAsia="zh-CN"/>
        </w:rPr>
        <w:t>负责</w:t>
      </w:r>
      <w:r>
        <w:rPr>
          <w:rFonts w:hint="eastAsia" w:ascii="仿宋" w:hAnsi="仿宋" w:eastAsia="仿宋" w:cs="仿宋"/>
          <w:color w:val="auto"/>
          <w:sz w:val="24"/>
          <w:highlight w:val="none"/>
        </w:rPr>
        <w:t>在整个产品使用寿命期间的技术咨询。</w:t>
      </w:r>
    </w:p>
    <w:p>
      <w:pPr>
        <w:spacing w:line="480" w:lineRule="exact"/>
        <w:ind w:firstLine="482" w:firstLineChars="200"/>
        <w:jc w:val="left"/>
        <w:rPr>
          <w:rFonts w:ascii="仿宋" w:hAnsi="仿宋" w:eastAsia="仿宋"/>
          <w:b/>
          <w:bCs/>
          <w:color w:val="auto"/>
          <w:sz w:val="24"/>
          <w:highlight w:val="none"/>
        </w:rPr>
      </w:pPr>
      <w:r>
        <w:rPr>
          <w:rFonts w:hint="eastAsia" w:ascii="仿宋" w:hAnsi="仿宋" w:eastAsia="仿宋"/>
          <w:b/>
          <w:bCs/>
          <w:color w:val="auto"/>
          <w:sz w:val="24"/>
          <w:highlight w:val="none"/>
        </w:rPr>
        <w:t>四、履约保证金</w:t>
      </w:r>
    </w:p>
    <w:p>
      <w:pPr>
        <w:adjustRightInd w:val="0"/>
        <w:snapToGrid w:val="0"/>
        <w:spacing w:line="480" w:lineRule="exact"/>
        <w:ind w:firstLine="480" w:firstLineChars="200"/>
        <w:jc w:val="left"/>
        <w:rPr>
          <w:rFonts w:hint="eastAsia" w:ascii="仿宋" w:hAnsi="仿宋" w:eastAsia="仿宋"/>
          <w:color w:val="auto"/>
          <w:sz w:val="24"/>
          <w:highlight w:val="none"/>
          <w:lang w:eastAsia="zh-CN"/>
        </w:rPr>
      </w:pPr>
      <w:r>
        <w:rPr>
          <w:rFonts w:ascii="仿宋" w:hAnsi="仿宋" w:eastAsia="仿宋"/>
          <w:color w:val="auto"/>
          <w:sz w:val="24"/>
          <w:highlight w:val="none"/>
        </w:rPr>
        <w:t>（一）履约保证金缴纳金额：合同总价</w:t>
      </w:r>
      <w:r>
        <w:rPr>
          <w:rFonts w:hint="eastAsia" w:ascii="仿宋" w:hAnsi="仿宋" w:eastAsia="仿宋"/>
          <w:color w:val="auto"/>
          <w:sz w:val="24"/>
          <w:highlight w:val="none"/>
          <w:lang w:val="en-US" w:eastAsia="zh-CN"/>
        </w:rPr>
        <w:t>7</w:t>
      </w:r>
      <w:r>
        <w:rPr>
          <w:rFonts w:ascii="仿宋" w:hAnsi="仿宋" w:eastAsia="仿宋"/>
          <w:color w:val="auto"/>
          <w:sz w:val="24"/>
          <w:highlight w:val="none"/>
        </w:rPr>
        <w:t>%作为履约保证金</w:t>
      </w:r>
      <w:r>
        <w:rPr>
          <w:rFonts w:hint="eastAsia" w:ascii="仿宋" w:hAnsi="仿宋" w:eastAsia="仿宋"/>
          <w:color w:val="auto"/>
          <w:sz w:val="24"/>
          <w:highlight w:val="none"/>
          <w:lang w:eastAsia="zh-CN"/>
        </w:rPr>
        <w:t>。</w:t>
      </w:r>
    </w:p>
    <w:p>
      <w:pPr>
        <w:adjustRightInd w:val="0"/>
        <w:snapToGrid w:val="0"/>
        <w:spacing w:line="480" w:lineRule="exact"/>
        <w:ind w:firstLine="480" w:firstLineChars="200"/>
        <w:jc w:val="left"/>
        <w:rPr>
          <w:rFonts w:ascii="仿宋" w:hAnsi="仿宋" w:eastAsia="仿宋"/>
          <w:color w:val="auto"/>
          <w:sz w:val="24"/>
          <w:highlight w:val="none"/>
        </w:rPr>
      </w:pPr>
      <w:r>
        <w:rPr>
          <w:rFonts w:ascii="仿宋" w:hAnsi="仿宋" w:eastAsia="仿宋"/>
          <w:color w:val="auto"/>
          <w:sz w:val="24"/>
          <w:highlight w:val="none"/>
        </w:rPr>
        <w:t>（二）履约保证金缴纳方式和时间：</w:t>
      </w:r>
    </w:p>
    <w:p>
      <w:pPr>
        <w:adjustRightInd w:val="0"/>
        <w:snapToGrid w:val="0"/>
        <w:spacing w:line="480" w:lineRule="exact"/>
        <w:ind w:firstLine="480" w:firstLineChars="200"/>
        <w:jc w:val="left"/>
        <w:rPr>
          <w:rFonts w:ascii="仿宋" w:hAnsi="仿宋" w:eastAsia="仿宋"/>
          <w:color w:val="auto"/>
          <w:sz w:val="24"/>
          <w:highlight w:val="none"/>
        </w:rPr>
      </w:pPr>
      <w:r>
        <w:rPr>
          <w:rFonts w:ascii="仿宋" w:hAnsi="仿宋" w:eastAsia="仿宋"/>
          <w:color w:val="auto"/>
          <w:sz w:val="24"/>
          <w:highlight w:val="none"/>
        </w:rPr>
        <w:t>1.公对公转账方式：在</w:t>
      </w:r>
      <w:r>
        <w:rPr>
          <w:rFonts w:hint="eastAsia" w:ascii="仿宋" w:hAnsi="仿宋" w:eastAsia="仿宋"/>
          <w:color w:val="auto"/>
          <w:sz w:val="24"/>
          <w:highlight w:val="none"/>
        </w:rPr>
        <w:t>合同签订</w:t>
      </w:r>
      <w:r>
        <w:rPr>
          <w:rFonts w:ascii="仿宋" w:hAnsi="仿宋" w:eastAsia="仿宋"/>
          <w:color w:val="auto"/>
          <w:sz w:val="24"/>
          <w:highlight w:val="none"/>
        </w:rPr>
        <w:t>后7个工作日之内卖方将履约保证金递交至买方指定账户；</w:t>
      </w:r>
    </w:p>
    <w:p>
      <w:pPr>
        <w:adjustRightInd w:val="0"/>
        <w:snapToGrid w:val="0"/>
        <w:spacing w:line="480" w:lineRule="exact"/>
        <w:ind w:firstLine="480" w:firstLineChars="200"/>
        <w:jc w:val="left"/>
        <w:rPr>
          <w:rFonts w:ascii="仿宋" w:hAnsi="仿宋" w:eastAsia="仿宋"/>
          <w:color w:val="auto"/>
          <w:sz w:val="24"/>
          <w:highlight w:val="none"/>
        </w:rPr>
      </w:pPr>
      <w:r>
        <w:rPr>
          <w:rFonts w:ascii="仿宋" w:hAnsi="仿宋" w:eastAsia="仿宋"/>
          <w:color w:val="auto"/>
          <w:sz w:val="24"/>
          <w:highlight w:val="none"/>
        </w:rPr>
        <w:t>2.银行保函方式：在</w:t>
      </w:r>
      <w:r>
        <w:rPr>
          <w:rFonts w:hint="eastAsia" w:ascii="仿宋" w:hAnsi="仿宋" w:eastAsia="仿宋"/>
          <w:color w:val="auto"/>
          <w:sz w:val="24"/>
          <w:highlight w:val="none"/>
        </w:rPr>
        <w:t>合同签订</w:t>
      </w:r>
      <w:r>
        <w:rPr>
          <w:rFonts w:ascii="仿宋" w:hAnsi="仿宋" w:eastAsia="仿宋"/>
          <w:color w:val="auto"/>
          <w:sz w:val="24"/>
          <w:highlight w:val="none"/>
        </w:rPr>
        <w:t>后30日之内递交至买方</w:t>
      </w:r>
      <w:r>
        <w:rPr>
          <w:rFonts w:hint="eastAsia" w:ascii="仿宋" w:hAnsi="仿宋" w:eastAsia="仿宋"/>
          <w:color w:val="auto"/>
          <w:sz w:val="24"/>
          <w:highlight w:val="none"/>
          <w:lang w:eastAsia="zh-CN"/>
        </w:rPr>
        <w:t>，</w:t>
      </w:r>
      <w:r>
        <w:rPr>
          <w:rFonts w:ascii="仿宋" w:hAnsi="仿宋" w:eastAsia="仿宋"/>
          <w:color w:val="auto"/>
          <w:sz w:val="24"/>
          <w:highlight w:val="none"/>
        </w:rPr>
        <w:t>保函有效期需与质保期到期时间一致。</w:t>
      </w:r>
    </w:p>
    <w:p>
      <w:pPr>
        <w:adjustRightInd w:val="0"/>
        <w:snapToGrid w:val="0"/>
        <w:spacing w:line="480" w:lineRule="exact"/>
        <w:ind w:firstLine="482" w:firstLineChars="200"/>
        <w:jc w:val="left"/>
        <w:rPr>
          <w:rFonts w:ascii="仿宋" w:hAnsi="仿宋" w:eastAsia="仿宋"/>
          <w:color w:val="auto"/>
          <w:sz w:val="24"/>
          <w:highlight w:val="none"/>
        </w:rPr>
      </w:pPr>
      <w:r>
        <w:rPr>
          <w:rFonts w:ascii="仿宋" w:hAnsi="仿宋" w:eastAsia="仿宋"/>
          <w:b/>
          <w:bCs/>
          <w:color w:val="auto"/>
          <w:sz w:val="24"/>
          <w:highlight w:val="none"/>
        </w:rPr>
        <w:t>注：</w:t>
      </w:r>
      <w:r>
        <w:rPr>
          <w:rFonts w:ascii="仿宋" w:hAnsi="仿宋" w:eastAsia="仿宋"/>
          <w:color w:val="auto"/>
          <w:sz w:val="24"/>
          <w:highlight w:val="none"/>
        </w:rPr>
        <w:t>1.保函类型为</w:t>
      </w:r>
      <w:r>
        <w:rPr>
          <w:rFonts w:hint="eastAsia" w:ascii="仿宋" w:hAnsi="仿宋" w:eastAsia="仿宋"/>
          <w:color w:val="auto"/>
          <w:sz w:val="24"/>
          <w:highlight w:val="none"/>
          <w:lang w:eastAsia="zh-CN"/>
        </w:rPr>
        <w:t>国有</w:t>
      </w:r>
      <w:r>
        <w:rPr>
          <w:rFonts w:ascii="仿宋" w:hAnsi="仿宋" w:eastAsia="仿宋"/>
          <w:color w:val="auto"/>
          <w:sz w:val="24"/>
          <w:highlight w:val="none"/>
        </w:rPr>
        <w:t>银行保函；2.保函需载明以下内容：①见索即付；②收到买方法定代表人或授权委托代理人签字确认并加盖公章的书面索赔通知后即应不争辩、不挑剔、不可撤销地向买方支付索赔款，直至最高担保金额；③担保金额为合同金额的</w:t>
      </w:r>
      <w:r>
        <w:rPr>
          <w:rFonts w:hint="eastAsia" w:ascii="仿宋" w:hAnsi="仿宋" w:eastAsia="仿宋"/>
          <w:color w:val="auto"/>
          <w:sz w:val="24"/>
          <w:highlight w:val="none"/>
          <w:lang w:val="en-US" w:eastAsia="zh-CN"/>
        </w:rPr>
        <w:t>7</w:t>
      </w:r>
      <w:r>
        <w:rPr>
          <w:rFonts w:ascii="仿宋" w:hAnsi="仿宋" w:eastAsia="仿宋"/>
          <w:color w:val="auto"/>
          <w:sz w:val="24"/>
          <w:highlight w:val="none"/>
        </w:rPr>
        <w:t>%；④如卖方提供的保函未载明前述内容的，买方可以拒收该保函，并要求卖方以银行转账的方式提供履约保证金。</w:t>
      </w:r>
    </w:p>
    <w:p>
      <w:pPr>
        <w:adjustRightInd w:val="0"/>
        <w:snapToGrid w:val="0"/>
        <w:spacing w:line="480" w:lineRule="exact"/>
        <w:ind w:firstLine="480" w:firstLineChars="200"/>
        <w:jc w:val="left"/>
        <w:rPr>
          <w:rFonts w:ascii="仿宋" w:hAnsi="仿宋" w:eastAsia="仿宋"/>
          <w:color w:val="auto"/>
          <w:sz w:val="24"/>
          <w:highlight w:val="none"/>
        </w:rPr>
      </w:pPr>
      <w:r>
        <w:rPr>
          <w:rFonts w:ascii="仿宋" w:hAnsi="仿宋" w:eastAsia="仿宋"/>
          <w:color w:val="auto"/>
          <w:sz w:val="24"/>
          <w:highlight w:val="none"/>
        </w:rPr>
        <w:t>(三)履约保证金在质保期满后，无任何问题，且无合同纠纷的，</w:t>
      </w:r>
      <w:r>
        <w:rPr>
          <w:rFonts w:hint="eastAsia" w:ascii="仿宋" w:hAnsi="仿宋" w:eastAsia="仿宋"/>
          <w:color w:val="auto"/>
          <w:sz w:val="24"/>
          <w:highlight w:val="none"/>
          <w:lang w:eastAsia="zh-CN"/>
        </w:rPr>
        <w:t>经卖方书面申请，</w:t>
      </w:r>
      <w:r>
        <w:rPr>
          <w:rFonts w:ascii="仿宋" w:hAnsi="仿宋" w:eastAsia="仿宋"/>
          <w:color w:val="auto"/>
          <w:sz w:val="24"/>
          <w:highlight w:val="none"/>
        </w:rPr>
        <w:t>无息退还履约保证金（质保期以卖方实际响应为准）</w:t>
      </w:r>
      <w:r>
        <w:rPr>
          <w:rFonts w:hint="eastAsia" w:ascii="仿宋" w:hAnsi="仿宋" w:eastAsia="仿宋"/>
          <w:color w:val="auto"/>
          <w:sz w:val="24"/>
          <w:highlight w:val="none"/>
        </w:rPr>
        <w:t>。</w:t>
      </w:r>
      <w:r>
        <w:rPr>
          <w:rFonts w:ascii="仿宋" w:hAnsi="仿宋" w:eastAsia="仿宋"/>
          <w:color w:val="auto"/>
          <w:sz w:val="24"/>
          <w:highlight w:val="none"/>
        </w:rPr>
        <w:t>以保函形式递交履约保证金的，保函有效期需至质保期结束，质保期结束后保函自动作废，但卖方应配合买方履行书面手续，为买方财务部门及时处理账务提供书面依据。</w:t>
      </w:r>
    </w:p>
    <w:p>
      <w:pPr>
        <w:spacing w:line="480" w:lineRule="exact"/>
        <w:ind w:firstLine="482" w:firstLineChars="200"/>
        <w:jc w:val="left"/>
        <w:rPr>
          <w:rFonts w:ascii="仿宋" w:hAnsi="仿宋" w:eastAsia="仿宋"/>
          <w:b/>
          <w:bCs/>
          <w:color w:val="auto"/>
          <w:sz w:val="24"/>
          <w:highlight w:val="none"/>
        </w:rPr>
      </w:pPr>
      <w:r>
        <w:rPr>
          <w:rFonts w:hint="eastAsia" w:ascii="仿宋" w:hAnsi="仿宋" w:eastAsia="仿宋"/>
          <w:b/>
          <w:bCs/>
          <w:color w:val="auto"/>
          <w:sz w:val="24"/>
          <w:highlight w:val="none"/>
        </w:rPr>
        <w:t>五、安装调试及验收</w:t>
      </w:r>
    </w:p>
    <w:p>
      <w:pPr>
        <w:adjustRightInd w:val="0"/>
        <w:snapToGrid w:val="0"/>
        <w:spacing w:line="480" w:lineRule="exact"/>
        <w:ind w:firstLine="480" w:firstLineChars="200"/>
        <w:jc w:val="left"/>
        <w:rPr>
          <w:rFonts w:ascii="仿宋" w:hAnsi="仿宋" w:eastAsia="仿宋"/>
          <w:color w:val="auto"/>
          <w:sz w:val="24"/>
          <w:highlight w:val="none"/>
        </w:rPr>
      </w:pPr>
      <w:r>
        <w:rPr>
          <w:rFonts w:hint="eastAsia" w:ascii="仿宋" w:hAnsi="仿宋" w:eastAsia="仿宋"/>
          <w:color w:val="auto"/>
          <w:sz w:val="24"/>
          <w:highlight w:val="none"/>
        </w:rPr>
        <w:t>（一）安装调试：</w:t>
      </w:r>
    </w:p>
    <w:p>
      <w:pPr>
        <w:adjustRightInd w:val="0"/>
        <w:snapToGrid w:val="0"/>
        <w:spacing w:line="480" w:lineRule="exact"/>
        <w:ind w:firstLine="480" w:firstLineChars="200"/>
        <w:jc w:val="left"/>
        <w:rPr>
          <w:rFonts w:ascii="仿宋" w:hAnsi="仿宋" w:eastAsia="仿宋"/>
          <w:color w:val="auto"/>
          <w:sz w:val="24"/>
          <w:highlight w:val="none"/>
        </w:rPr>
      </w:pPr>
      <w:r>
        <w:rPr>
          <w:rFonts w:hint="eastAsia" w:ascii="仿宋" w:hAnsi="仿宋" w:eastAsia="仿宋"/>
          <w:color w:val="auto"/>
          <w:sz w:val="24"/>
          <w:highlight w:val="none"/>
          <w:lang w:val="en-US" w:eastAsia="zh-CN"/>
        </w:rPr>
        <w:t>1</w:t>
      </w:r>
      <w:r>
        <w:rPr>
          <w:rFonts w:hint="eastAsia" w:ascii="仿宋" w:hAnsi="仿宋" w:eastAsia="仿宋"/>
          <w:color w:val="auto"/>
          <w:sz w:val="24"/>
          <w:highlight w:val="none"/>
        </w:rPr>
        <w:t>、</w:t>
      </w:r>
      <w:r>
        <w:rPr>
          <w:rFonts w:hint="eastAsia" w:ascii="仿宋" w:hAnsi="仿宋" w:eastAsia="仿宋"/>
          <w:color w:val="auto"/>
          <w:sz w:val="24"/>
          <w:highlight w:val="none"/>
          <w:lang w:eastAsia="zh-CN"/>
        </w:rPr>
        <w:t>卖方负责产品</w:t>
      </w:r>
      <w:r>
        <w:rPr>
          <w:rFonts w:hint="eastAsia" w:ascii="仿宋" w:hAnsi="仿宋" w:eastAsia="仿宋"/>
          <w:color w:val="auto"/>
          <w:sz w:val="24"/>
          <w:highlight w:val="none"/>
        </w:rPr>
        <w:t>的拆箱、通电、</w:t>
      </w:r>
      <w:r>
        <w:rPr>
          <w:rFonts w:hint="eastAsia" w:ascii="仿宋" w:hAnsi="仿宋" w:eastAsia="仿宋"/>
          <w:color w:val="auto"/>
          <w:sz w:val="24"/>
          <w:highlight w:val="none"/>
          <w:lang w:eastAsia="zh-CN"/>
        </w:rPr>
        <w:t>安装、</w:t>
      </w:r>
      <w:r>
        <w:rPr>
          <w:rFonts w:hint="eastAsia" w:ascii="仿宋" w:hAnsi="仿宋" w:eastAsia="仿宋"/>
          <w:color w:val="auto"/>
          <w:sz w:val="24"/>
          <w:highlight w:val="none"/>
        </w:rPr>
        <w:t>调试等各项工作，但必须在买方指定人员的参与下进行。在实际实施前必须先经买方同意方可进行。调试的原始记录须经各方签字后作为验收的文件之一。</w:t>
      </w:r>
    </w:p>
    <w:p>
      <w:pPr>
        <w:adjustRightInd w:val="0"/>
        <w:snapToGrid w:val="0"/>
        <w:spacing w:line="480" w:lineRule="exact"/>
        <w:ind w:firstLine="480" w:firstLineChars="200"/>
        <w:jc w:val="left"/>
        <w:rPr>
          <w:rFonts w:ascii="仿宋" w:hAnsi="仿宋" w:eastAsia="仿宋"/>
          <w:color w:val="auto"/>
          <w:sz w:val="24"/>
          <w:highlight w:val="none"/>
        </w:rPr>
      </w:pPr>
      <w:r>
        <w:rPr>
          <w:rFonts w:hint="eastAsia" w:ascii="仿宋" w:hAnsi="仿宋" w:eastAsia="仿宋"/>
          <w:color w:val="auto"/>
          <w:sz w:val="24"/>
          <w:highlight w:val="none"/>
          <w:lang w:val="en-US" w:eastAsia="zh-CN"/>
        </w:rPr>
        <w:t>2</w:t>
      </w:r>
      <w:r>
        <w:rPr>
          <w:rFonts w:hint="eastAsia" w:ascii="仿宋" w:hAnsi="仿宋" w:eastAsia="仿宋"/>
          <w:color w:val="auto"/>
          <w:sz w:val="24"/>
          <w:highlight w:val="none"/>
        </w:rPr>
        <w:t>、卖方</w:t>
      </w:r>
      <w:r>
        <w:rPr>
          <w:rFonts w:hint="eastAsia" w:ascii="仿宋" w:hAnsi="仿宋" w:eastAsia="仿宋"/>
          <w:color w:val="auto"/>
          <w:sz w:val="24"/>
          <w:highlight w:val="none"/>
          <w:lang w:eastAsia="zh-CN"/>
        </w:rPr>
        <w:t>应</w:t>
      </w:r>
      <w:r>
        <w:rPr>
          <w:rFonts w:hint="eastAsia" w:ascii="仿宋" w:hAnsi="仿宋" w:eastAsia="仿宋"/>
          <w:color w:val="auto"/>
          <w:sz w:val="24"/>
          <w:highlight w:val="none"/>
        </w:rPr>
        <w:t>派经买方认可的有经验和能力、具有相应资质的技术人员，负责产品安装</w:t>
      </w:r>
      <w:r>
        <w:rPr>
          <w:rFonts w:hint="eastAsia" w:ascii="仿宋" w:hAnsi="仿宋" w:eastAsia="仿宋"/>
          <w:color w:val="auto"/>
          <w:sz w:val="24"/>
          <w:highlight w:val="none"/>
          <w:lang w:eastAsia="zh-CN"/>
        </w:rPr>
        <w:t>、调试</w:t>
      </w:r>
      <w:r>
        <w:rPr>
          <w:rFonts w:hint="eastAsia" w:ascii="仿宋" w:hAnsi="仿宋" w:eastAsia="仿宋"/>
          <w:color w:val="auto"/>
          <w:sz w:val="24"/>
          <w:highlight w:val="none"/>
        </w:rPr>
        <w:t>工作，在安装</w:t>
      </w:r>
      <w:r>
        <w:rPr>
          <w:rFonts w:hint="eastAsia" w:ascii="仿宋" w:hAnsi="仿宋" w:eastAsia="仿宋"/>
          <w:color w:val="auto"/>
          <w:sz w:val="24"/>
          <w:highlight w:val="none"/>
          <w:lang w:eastAsia="zh-CN"/>
        </w:rPr>
        <w:t>、调试</w:t>
      </w:r>
      <w:r>
        <w:rPr>
          <w:rFonts w:hint="eastAsia" w:ascii="仿宋" w:hAnsi="仿宋" w:eastAsia="仿宋"/>
          <w:color w:val="auto"/>
          <w:sz w:val="24"/>
          <w:highlight w:val="none"/>
        </w:rPr>
        <w:t>期间</w:t>
      </w:r>
      <w:r>
        <w:rPr>
          <w:rFonts w:hint="eastAsia" w:ascii="仿宋" w:hAnsi="仿宋" w:eastAsia="仿宋"/>
          <w:color w:val="auto"/>
          <w:sz w:val="24"/>
          <w:highlight w:val="none"/>
          <w:lang w:eastAsia="zh-CN"/>
        </w:rPr>
        <w:t>，</w:t>
      </w:r>
      <w:r>
        <w:rPr>
          <w:rFonts w:hint="eastAsia" w:ascii="仿宋" w:hAnsi="仿宋" w:eastAsia="仿宋"/>
          <w:color w:val="auto"/>
          <w:sz w:val="24"/>
          <w:highlight w:val="none"/>
        </w:rPr>
        <w:t>应充分了解</w:t>
      </w:r>
      <w:r>
        <w:rPr>
          <w:rFonts w:hint="eastAsia" w:ascii="仿宋" w:hAnsi="仿宋" w:eastAsia="仿宋"/>
          <w:color w:val="auto"/>
          <w:sz w:val="24"/>
          <w:highlight w:val="none"/>
          <w:lang w:eastAsia="zh-CN"/>
        </w:rPr>
        <w:t>产品</w:t>
      </w:r>
      <w:r>
        <w:rPr>
          <w:rFonts w:hint="eastAsia" w:ascii="仿宋" w:hAnsi="仿宋" w:eastAsia="仿宋"/>
          <w:color w:val="auto"/>
          <w:sz w:val="24"/>
          <w:highlight w:val="none"/>
        </w:rPr>
        <w:t>安装</w:t>
      </w:r>
      <w:r>
        <w:rPr>
          <w:rFonts w:hint="eastAsia" w:ascii="仿宋" w:hAnsi="仿宋" w:eastAsia="仿宋"/>
          <w:color w:val="auto"/>
          <w:sz w:val="24"/>
          <w:highlight w:val="none"/>
          <w:lang w:eastAsia="zh-CN"/>
        </w:rPr>
        <w:t>、调试</w:t>
      </w:r>
      <w:r>
        <w:rPr>
          <w:rFonts w:hint="eastAsia" w:ascii="仿宋" w:hAnsi="仿宋" w:eastAsia="仿宋"/>
          <w:color w:val="auto"/>
          <w:sz w:val="24"/>
          <w:highlight w:val="none"/>
        </w:rPr>
        <w:t>进度要求，解决安装</w:t>
      </w:r>
      <w:r>
        <w:rPr>
          <w:rFonts w:hint="eastAsia" w:ascii="仿宋" w:hAnsi="仿宋" w:eastAsia="仿宋"/>
          <w:color w:val="auto"/>
          <w:sz w:val="24"/>
          <w:highlight w:val="none"/>
          <w:lang w:eastAsia="zh-CN"/>
        </w:rPr>
        <w:t>、调试</w:t>
      </w:r>
      <w:r>
        <w:rPr>
          <w:rFonts w:hint="eastAsia" w:ascii="仿宋" w:hAnsi="仿宋" w:eastAsia="仿宋"/>
          <w:color w:val="auto"/>
          <w:sz w:val="24"/>
          <w:highlight w:val="none"/>
        </w:rPr>
        <w:t>中出现的技术问题。</w:t>
      </w:r>
    </w:p>
    <w:p>
      <w:pPr>
        <w:adjustRightInd w:val="0"/>
        <w:snapToGrid w:val="0"/>
        <w:spacing w:line="480" w:lineRule="exact"/>
        <w:ind w:firstLine="480" w:firstLineChars="200"/>
        <w:jc w:val="left"/>
        <w:rPr>
          <w:rFonts w:ascii="仿宋" w:hAnsi="仿宋" w:eastAsia="仿宋"/>
          <w:color w:val="auto"/>
          <w:sz w:val="24"/>
          <w:highlight w:val="none"/>
        </w:rPr>
      </w:pPr>
      <w:r>
        <w:rPr>
          <w:rFonts w:hint="eastAsia" w:ascii="仿宋" w:hAnsi="仿宋" w:eastAsia="仿宋"/>
          <w:color w:val="auto"/>
          <w:sz w:val="24"/>
          <w:highlight w:val="none"/>
        </w:rPr>
        <w:t>3、</w:t>
      </w:r>
      <w:r>
        <w:rPr>
          <w:rFonts w:hint="eastAsia" w:ascii="仿宋" w:hAnsi="仿宋" w:eastAsia="仿宋"/>
          <w:color w:val="auto"/>
          <w:sz w:val="24"/>
          <w:highlight w:val="none"/>
          <w:lang w:eastAsia="zh-CN"/>
        </w:rPr>
        <w:t>安装、</w:t>
      </w:r>
      <w:r>
        <w:rPr>
          <w:rFonts w:hint="eastAsia" w:ascii="仿宋" w:hAnsi="仿宋" w:eastAsia="仿宋"/>
          <w:color w:val="auto"/>
          <w:sz w:val="24"/>
          <w:highlight w:val="none"/>
        </w:rPr>
        <w:t>调试所需专用工具设施物料由卖方自备、自费运到现场，完工后自费搬走。</w:t>
      </w:r>
    </w:p>
    <w:p>
      <w:pPr>
        <w:adjustRightInd w:val="0"/>
        <w:snapToGrid w:val="0"/>
        <w:spacing w:line="480" w:lineRule="exact"/>
        <w:ind w:firstLine="480" w:firstLineChars="200"/>
        <w:jc w:val="left"/>
        <w:rPr>
          <w:rFonts w:ascii="仿宋" w:hAnsi="仿宋" w:eastAsia="仿宋"/>
          <w:color w:val="auto"/>
          <w:sz w:val="24"/>
          <w:highlight w:val="none"/>
        </w:rPr>
      </w:pPr>
      <w:r>
        <w:rPr>
          <w:rFonts w:hint="eastAsia" w:ascii="仿宋" w:hAnsi="仿宋" w:eastAsia="仿宋"/>
          <w:color w:val="auto"/>
          <w:sz w:val="24"/>
          <w:highlight w:val="none"/>
          <w:lang w:val="en-US" w:eastAsia="zh-CN"/>
        </w:rPr>
        <w:t>4</w:t>
      </w:r>
      <w:r>
        <w:rPr>
          <w:rFonts w:hint="eastAsia" w:ascii="仿宋" w:hAnsi="仿宋" w:eastAsia="仿宋"/>
          <w:color w:val="auto"/>
          <w:sz w:val="24"/>
          <w:highlight w:val="none"/>
        </w:rPr>
        <w:t>、所有的产品按照国家有关技术标准在制造厂检查和试验合格，以表明其运行性能、安全性能以及设备材料和结构在电气、机械上的完整性。</w:t>
      </w:r>
    </w:p>
    <w:p>
      <w:pPr>
        <w:adjustRightInd w:val="0"/>
        <w:snapToGrid w:val="0"/>
        <w:spacing w:line="480" w:lineRule="exact"/>
        <w:ind w:firstLine="480" w:firstLineChars="200"/>
        <w:jc w:val="left"/>
        <w:rPr>
          <w:rFonts w:ascii="仿宋" w:hAnsi="仿宋" w:eastAsia="仿宋"/>
          <w:color w:val="auto"/>
          <w:sz w:val="24"/>
          <w:highlight w:val="none"/>
        </w:rPr>
      </w:pPr>
      <w:r>
        <w:rPr>
          <w:rFonts w:hint="eastAsia" w:ascii="仿宋" w:hAnsi="仿宋" w:eastAsia="仿宋"/>
          <w:color w:val="auto"/>
          <w:sz w:val="24"/>
          <w:highlight w:val="none"/>
        </w:rPr>
        <w:t>（二）验收：</w:t>
      </w:r>
    </w:p>
    <w:p>
      <w:pPr>
        <w:adjustRightInd w:val="0"/>
        <w:snapToGrid w:val="0"/>
        <w:spacing w:line="480" w:lineRule="exact"/>
        <w:ind w:firstLine="480" w:firstLineChars="200"/>
        <w:jc w:val="left"/>
        <w:rPr>
          <w:rFonts w:hint="eastAsia" w:ascii="仿宋" w:hAnsi="仿宋" w:eastAsia="仿宋"/>
          <w:color w:val="auto"/>
          <w:sz w:val="24"/>
          <w:highlight w:val="none"/>
        </w:rPr>
      </w:pPr>
      <w:r>
        <w:rPr>
          <w:rFonts w:hint="eastAsia" w:ascii="仿宋" w:hAnsi="仿宋" w:eastAsia="仿宋"/>
          <w:color w:val="auto"/>
          <w:sz w:val="24"/>
          <w:highlight w:val="none"/>
        </w:rPr>
        <w:t>严格按照国家有关规范标准及江西省消防救援总队装备验收的要求组织验收，江西省消防救援总队装备验收的要求见合同附件。</w:t>
      </w:r>
    </w:p>
    <w:p>
      <w:pPr>
        <w:adjustRightInd w:val="0"/>
        <w:snapToGrid w:val="0"/>
        <w:spacing w:line="480" w:lineRule="exact"/>
        <w:ind w:firstLine="480" w:firstLineChars="200"/>
        <w:jc w:val="left"/>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买方有权根据实际开展验收，卖方应认可</w:t>
      </w:r>
      <w:r>
        <w:rPr>
          <w:rFonts w:hint="eastAsia" w:ascii="仿宋" w:hAnsi="仿宋" w:eastAsia="仿宋"/>
          <w:color w:val="auto"/>
          <w:sz w:val="24"/>
          <w:highlight w:val="none"/>
        </w:rPr>
        <w:t>江西省消防救援总队装备验收</w:t>
      </w:r>
      <w:r>
        <w:rPr>
          <w:rFonts w:hint="eastAsia" w:ascii="仿宋" w:hAnsi="仿宋" w:eastAsia="仿宋"/>
          <w:color w:val="auto"/>
          <w:sz w:val="24"/>
          <w:highlight w:val="none"/>
          <w:lang w:eastAsia="zh-CN"/>
        </w:rPr>
        <w:t>的时间、程序和方式。</w:t>
      </w:r>
      <w:r>
        <w:rPr>
          <w:rFonts w:hint="eastAsia" w:ascii="仿宋" w:hAnsi="仿宋" w:eastAsia="仿宋" w:cs="Times New Roman"/>
          <w:color w:val="auto"/>
          <w:sz w:val="24"/>
          <w:highlight w:val="none"/>
          <w:lang w:eastAsia="zh-CN"/>
        </w:rPr>
        <w:t>买方根据验收需要对卖方交付的产品抽样送国家权威检测部门检测，卖方承担检测所产生的费用并补齐由于抽样检测所产生的损耗，检测报告作为是否通过验收的重要依据。若验收结果不合格，则检测过程中产生的损耗由卖方自行承担。</w:t>
      </w:r>
    </w:p>
    <w:p>
      <w:pPr>
        <w:spacing w:line="480" w:lineRule="exact"/>
        <w:ind w:firstLine="482" w:firstLineChars="200"/>
        <w:jc w:val="left"/>
        <w:rPr>
          <w:rFonts w:ascii="仿宋" w:hAnsi="仿宋" w:eastAsia="仿宋"/>
          <w:b/>
          <w:bCs/>
          <w:color w:val="auto"/>
          <w:sz w:val="24"/>
          <w:highlight w:val="none"/>
        </w:rPr>
      </w:pPr>
      <w:r>
        <w:rPr>
          <w:rFonts w:hint="eastAsia" w:ascii="仿宋" w:hAnsi="仿宋" w:eastAsia="仿宋"/>
          <w:b/>
          <w:bCs/>
          <w:color w:val="auto"/>
          <w:sz w:val="24"/>
          <w:highlight w:val="none"/>
        </w:rPr>
        <w:t>六、违约赔偿</w:t>
      </w:r>
    </w:p>
    <w:p>
      <w:pPr>
        <w:adjustRightInd w:val="0"/>
        <w:snapToGrid w:val="0"/>
        <w:spacing w:line="480" w:lineRule="exact"/>
        <w:ind w:firstLine="480" w:firstLineChars="200"/>
        <w:jc w:val="left"/>
        <w:rPr>
          <w:rFonts w:ascii="仿宋" w:hAnsi="仿宋" w:eastAsia="仿宋"/>
          <w:color w:val="auto"/>
          <w:sz w:val="24"/>
          <w:highlight w:val="none"/>
        </w:rPr>
      </w:pPr>
      <w:r>
        <w:rPr>
          <w:rFonts w:ascii="仿宋" w:hAnsi="仿宋" w:eastAsia="仿宋"/>
          <w:color w:val="auto"/>
          <w:sz w:val="24"/>
          <w:highlight w:val="none"/>
        </w:rPr>
        <w:t>（一）在履行合同过程中，如果卖方遇到不能按期交货和提供服务情况，应及时以书面形式将不能按时交货的理由、可能延误的时间通知买方</w:t>
      </w:r>
      <w:r>
        <w:rPr>
          <w:rFonts w:hint="eastAsia" w:ascii="仿宋" w:hAnsi="仿宋" w:eastAsia="仿宋"/>
          <w:color w:val="auto"/>
          <w:sz w:val="24"/>
          <w:highlight w:val="none"/>
          <w:lang w:eastAsia="zh-CN"/>
        </w:rPr>
        <w:t>，</w:t>
      </w:r>
      <w:r>
        <w:rPr>
          <w:rFonts w:hint="eastAsia" w:eastAsia="仿宋"/>
          <w:color w:val="auto"/>
          <w:sz w:val="24"/>
          <w:highlight w:val="none"/>
          <w:lang w:val="en-US" w:eastAsia="zh-CN"/>
        </w:rPr>
        <w:t>经买方书面同意后方可延期交货或提供服务。</w:t>
      </w:r>
    </w:p>
    <w:p>
      <w:pPr>
        <w:spacing w:line="480" w:lineRule="exact"/>
        <w:ind w:firstLine="480" w:firstLineChars="200"/>
        <w:jc w:val="left"/>
        <w:rPr>
          <w:rFonts w:ascii="仿宋" w:hAnsi="仿宋" w:eastAsia="仿宋"/>
          <w:color w:val="auto"/>
          <w:sz w:val="24"/>
          <w:highlight w:val="none"/>
        </w:rPr>
      </w:pPr>
      <w:r>
        <w:rPr>
          <w:rFonts w:ascii="仿宋" w:hAnsi="仿宋" w:eastAsia="仿宋"/>
          <w:color w:val="auto"/>
          <w:sz w:val="24"/>
          <w:highlight w:val="none"/>
        </w:rPr>
        <w:t>（二）如果卖方毫无理由拖延交货，将受到加收违约损失赔偿的制裁或终止合同。</w:t>
      </w:r>
    </w:p>
    <w:p>
      <w:pPr>
        <w:adjustRightInd w:val="0"/>
        <w:snapToGrid w:val="0"/>
        <w:spacing w:line="460" w:lineRule="exact"/>
        <w:ind w:firstLine="480" w:firstLineChars="200"/>
        <w:jc w:val="left"/>
        <w:rPr>
          <w:rFonts w:eastAsia="仿宋"/>
          <w:color w:val="auto"/>
          <w:sz w:val="24"/>
          <w:highlight w:val="none"/>
        </w:rPr>
      </w:pPr>
      <w:r>
        <w:rPr>
          <w:rFonts w:hint="eastAsia" w:eastAsia="仿宋"/>
          <w:color w:val="auto"/>
          <w:sz w:val="24"/>
          <w:highlight w:val="none"/>
        </w:rPr>
        <w:t>（三）</w:t>
      </w:r>
      <w:r>
        <w:rPr>
          <w:rFonts w:hint="eastAsia" w:eastAsia="仿宋"/>
          <w:color w:val="auto"/>
          <w:sz w:val="24"/>
          <w:highlight w:val="none"/>
          <w:lang w:val="en-US" w:eastAsia="zh-CN"/>
        </w:rPr>
        <w:t>除不可抗力外，如果卖方没有按照合同规定的时间交货、提供服务，每延误1天（不足24小时按1天计算），买方按迟交产品交货价或未提供服务费用的百分之零点二五（0.25%）计收延期交付赔偿金，最高限额为合同总价的百分之五（5%）。一旦达到最高限额，买方可终止合同。在交货阶段，买方若因延期交付赔偿金达到限额或无法提供合格产品终止合同，卖方需按合同总价的5%向买方支付赔偿金，由此给买方造成损失的，卖方还应承担全部赔偿责任。</w:t>
      </w:r>
    </w:p>
    <w:p>
      <w:pPr>
        <w:adjustRightInd w:val="0"/>
        <w:snapToGrid w:val="0"/>
        <w:spacing w:line="480" w:lineRule="exact"/>
        <w:ind w:firstLine="480" w:firstLineChars="200"/>
        <w:jc w:val="left"/>
        <w:rPr>
          <w:rFonts w:hint="eastAsia" w:ascii="仿宋" w:hAnsi="仿宋" w:eastAsia="仿宋" w:cs="仿宋"/>
          <w:color w:val="auto"/>
          <w:sz w:val="24"/>
          <w:highlight w:val="none"/>
          <w:lang w:val="en-US" w:eastAsia="zh-CN"/>
        </w:rPr>
      </w:pPr>
      <w:r>
        <w:rPr>
          <w:rFonts w:hint="eastAsia" w:eastAsia="仿宋"/>
          <w:color w:val="auto"/>
          <w:sz w:val="24"/>
          <w:highlight w:val="none"/>
        </w:rPr>
        <w:t>（四）</w:t>
      </w:r>
      <w:r>
        <w:rPr>
          <w:rFonts w:hint="eastAsia" w:eastAsia="仿宋"/>
          <w:color w:val="auto"/>
          <w:sz w:val="24"/>
          <w:highlight w:val="none"/>
          <w:lang w:val="en-US" w:eastAsia="zh-CN"/>
        </w:rPr>
        <w:t>验收时，买方判定卖方交付产品的品质、性能、技术标准、质量要求等不符合合同约定的，买方将判定为验收不通过。卖方应立即对验收中存在的问题进行整改，整改时间不得超过15日，整改完成后向买方提出复验申请并将产品送至买方指定地点。15日内未完成整改的，每超出1天（不足24小时按1天计算），买方按合同总价百分之零点二（0.2%）计收延期整改赔偿金，最高限额为合同总价的百分之二（2%），一旦达到最高限额，买方可终止合同。若在整改阶段，买方因卖方延期整改超过（含）10天或复验不合格而终止合同，卖方应按合同总价的7%向买方支付赔偿金（无论交货延期时长），由此给买方造成损失的，卖方还应承担全部赔偿责任。</w:t>
      </w:r>
    </w:p>
    <w:p>
      <w:pPr>
        <w:adjustRightInd w:val="0"/>
        <w:snapToGrid w:val="0"/>
        <w:spacing w:line="480" w:lineRule="exact"/>
        <w:ind w:firstLine="480" w:firstLineChars="200"/>
        <w:jc w:val="left"/>
        <w:rPr>
          <w:rFonts w:ascii="仿宋" w:hAnsi="仿宋" w:eastAsia="仿宋"/>
          <w:color w:val="auto"/>
          <w:sz w:val="24"/>
          <w:highlight w:val="none"/>
        </w:rPr>
      </w:pPr>
      <w:r>
        <w:rPr>
          <w:rFonts w:ascii="仿宋" w:hAnsi="仿宋" w:eastAsia="仿宋"/>
          <w:color w:val="auto"/>
          <w:sz w:val="24"/>
          <w:highlight w:val="none"/>
        </w:rPr>
        <w:t>（五）卖方偿付的违约金不足以弥补买方损失的，还应按买方损失尚未弥补的部分，支付赔偿金给买方。</w:t>
      </w:r>
    </w:p>
    <w:p>
      <w:pPr>
        <w:adjustRightInd w:val="0"/>
        <w:snapToGrid w:val="0"/>
        <w:spacing w:line="480" w:lineRule="exact"/>
        <w:ind w:firstLine="480" w:firstLineChars="200"/>
        <w:jc w:val="left"/>
        <w:rPr>
          <w:rFonts w:ascii="仿宋" w:hAnsi="仿宋" w:eastAsia="仿宋"/>
          <w:color w:val="auto"/>
          <w:sz w:val="24"/>
          <w:highlight w:val="none"/>
        </w:rPr>
      </w:pPr>
      <w:r>
        <w:rPr>
          <w:rFonts w:ascii="仿宋" w:hAnsi="仿宋" w:eastAsia="仿宋"/>
          <w:color w:val="auto"/>
          <w:sz w:val="24"/>
          <w:highlight w:val="none"/>
        </w:rPr>
        <w:t>（六）买方有权从卖方交付的履约保证金中扣除卖方应偿付的违约金。</w:t>
      </w:r>
    </w:p>
    <w:p>
      <w:pPr>
        <w:adjustRightInd w:val="0"/>
        <w:snapToGrid w:val="0"/>
        <w:spacing w:line="480" w:lineRule="exact"/>
        <w:ind w:firstLine="480" w:firstLineChars="200"/>
        <w:jc w:val="left"/>
        <w:rPr>
          <w:rFonts w:ascii="仿宋" w:hAnsi="仿宋" w:eastAsia="仿宋"/>
          <w:color w:val="auto"/>
          <w:sz w:val="24"/>
          <w:highlight w:val="none"/>
        </w:rPr>
      </w:pPr>
      <w:r>
        <w:rPr>
          <w:rFonts w:ascii="仿宋" w:hAnsi="仿宋" w:eastAsia="仿宋"/>
          <w:color w:val="auto"/>
          <w:sz w:val="24"/>
          <w:highlight w:val="none"/>
        </w:rPr>
        <w:t>（七）对于卖方应承担的违约责任，买方有权直接使用履约保证金进行抵扣或向出具独立保函的金融机构主张索赔。卖方应当自履约保证金抵扣发生之日起二日内向买方补足履约保证金或要求提供保函的金融机构出具补充保函。</w:t>
      </w:r>
    </w:p>
    <w:p>
      <w:pPr>
        <w:adjustRightInd w:val="0"/>
        <w:snapToGrid w:val="0"/>
        <w:spacing w:line="480" w:lineRule="exact"/>
        <w:ind w:firstLine="480" w:firstLineChars="200"/>
        <w:jc w:val="left"/>
        <w:rPr>
          <w:rFonts w:ascii="仿宋" w:hAnsi="仿宋" w:eastAsia="仿宋"/>
          <w:color w:val="auto"/>
          <w:sz w:val="24"/>
          <w:highlight w:val="none"/>
        </w:rPr>
      </w:pPr>
      <w:r>
        <w:rPr>
          <w:rFonts w:ascii="仿宋" w:hAnsi="仿宋" w:eastAsia="仿宋"/>
          <w:color w:val="auto"/>
          <w:sz w:val="24"/>
          <w:highlight w:val="none"/>
        </w:rPr>
        <w:t>（八）卖方保证本合同项下</w:t>
      </w:r>
      <w:r>
        <w:rPr>
          <w:rFonts w:hint="eastAsia" w:ascii="仿宋" w:hAnsi="仿宋" w:eastAsia="仿宋"/>
          <w:color w:val="auto"/>
          <w:sz w:val="24"/>
          <w:highlight w:val="none"/>
          <w:lang w:eastAsia="zh-CN"/>
        </w:rPr>
        <w:t>产品</w:t>
      </w:r>
      <w:r>
        <w:rPr>
          <w:rFonts w:ascii="仿宋" w:hAnsi="仿宋" w:eastAsia="仿宋"/>
          <w:color w:val="auto"/>
          <w:sz w:val="24"/>
          <w:highlight w:val="none"/>
        </w:rPr>
        <w:t>的权利无瑕疵，包括</w:t>
      </w:r>
      <w:r>
        <w:rPr>
          <w:rFonts w:hint="eastAsia" w:ascii="仿宋" w:hAnsi="仿宋" w:eastAsia="仿宋"/>
          <w:color w:val="auto"/>
          <w:sz w:val="24"/>
          <w:highlight w:val="none"/>
          <w:lang w:eastAsia="zh-CN"/>
        </w:rPr>
        <w:t>产品</w:t>
      </w:r>
      <w:r>
        <w:rPr>
          <w:rFonts w:ascii="仿宋" w:hAnsi="仿宋" w:eastAsia="仿宋"/>
          <w:color w:val="auto"/>
          <w:sz w:val="24"/>
          <w:highlight w:val="none"/>
        </w:rPr>
        <w:t>所有权及知识产权等权利无瑕疵，因此引起的任何纠纷及责任由卖方承担，且不得损害买方利益。如任何第三方经法院（或仲裁机构）裁决有权对上述</w:t>
      </w:r>
      <w:r>
        <w:rPr>
          <w:rFonts w:hint="eastAsia" w:ascii="仿宋" w:hAnsi="仿宋" w:eastAsia="仿宋"/>
          <w:color w:val="auto"/>
          <w:sz w:val="24"/>
          <w:highlight w:val="none"/>
          <w:lang w:eastAsia="zh-CN"/>
        </w:rPr>
        <w:t>产品</w:t>
      </w:r>
      <w:r>
        <w:rPr>
          <w:rFonts w:ascii="仿宋" w:hAnsi="仿宋" w:eastAsia="仿宋"/>
          <w:color w:val="auto"/>
          <w:sz w:val="24"/>
          <w:highlight w:val="none"/>
        </w:rPr>
        <w:t>主张权利或国家机关依法对</w:t>
      </w:r>
      <w:r>
        <w:rPr>
          <w:rFonts w:hint="eastAsia" w:ascii="仿宋" w:hAnsi="仿宋" w:eastAsia="仿宋"/>
          <w:color w:val="auto"/>
          <w:sz w:val="24"/>
          <w:highlight w:val="none"/>
          <w:lang w:eastAsia="zh-CN"/>
        </w:rPr>
        <w:t>产品</w:t>
      </w:r>
      <w:r>
        <w:rPr>
          <w:rFonts w:ascii="仿宋" w:hAnsi="仿宋" w:eastAsia="仿宋"/>
          <w:color w:val="auto"/>
          <w:sz w:val="24"/>
          <w:highlight w:val="none"/>
        </w:rPr>
        <w:t>进行没收查处的，卖方应按合同总价的10%向买方支付的违约金并赔偿因此给买方造成的一切损失。</w:t>
      </w:r>
    </w:p>
    <w:p>
      <w:pPr>
        <w:adjustRightInd w:val="0"/>
        <w:snapToGrid w:val="0"/>
        <w:spacing w:line="480" w:lineRule="exact"/>
        <w:ind w:firstLine="480" w:firstLineChars="200"/>
        <w:jc w:val="left"/>
        <w:rPr>
          <w:rFonts w:ascii="仿宋" w:hAnsi="仿宋" w:eastAsia="仿宋"/>
          <w:color w:val="auto"/>
          <w:sz w:val="24"/>
          <w:highlight w:val="none"/>
        </w:rPr>
      </w:pPr>
      <w:r>
        <w:rPr>
          <w:rFonts w:ascii="仿宋" w:hAnsi="仿宋" w:eastAsia="仿宋"/>
          <w:color w:val="auto"/>
          <w:sz w:val="24"/>
          <w:highlight w:val="none"/>
        </w:rPr>
        <w:t>（九）在质量保证期内，卖方不按照合同要求提供售后服务，买方可以从履约保证金中扣除相应费用，费用超出履约保证金金额的，买方向卖方进行索赔。</w:t>
      </w:r>
    </w:p>
    <w:p>
      <w:pPr>
        <w:adjustRightInd w:val="0"/>
        <w:snapToGrid w:val="0"/>
        <w:spacing w:line="480" w:lineRule="exact"/>
        <w:ind w:firstLine="480" w:firstLineChars="200"/>
        <w:jc w:val="left"/>
        <w:rPr>
          <w:rFonts w:ascii="仿宋" w:hAnsi="仿宋" w:eastAsia="仿宋"/>
          <w:color w:val="auto"/>
          <w:sz w:val="24"/>
          <w:highlight w:val="none"/>
        </w:rPr>
      </w:pPr>
      <w:r>
        <w:rPr>
          <w:rFonts w:ascii="仿宋" w:hAnsi="仿宋" w:eastAsia="仿宋"/>
          <w:color w:val="auto"/>
          <w:sz w:val="24"/>
          <w:highlight w:val="none"/>
        </w:rPr>
        <w:t>（十）买方在卖方违约的情况下，如果发生下列情况之一，可终止合同：</w:t>
      </w:r>
    </w:p>
    <w:p>
      <w:pPr>
        <w:adjustRightInd w:val="0"/>
        <w:snapToGrid w:val="0"/>
        <w:spacing w:line="480" w:lineRule="exact"/>
        <w:ind w:firstLine="480" w:firstLineChars="200"/>
        <w:jc w:val="left"/>
        <w:rPr>
          <w:rFonts w:ascii="仿宋" w:hAnsi="仿宋" w:eastAsia="仿宋"/>
          <w:color w:val="auto"/>
          <w:sz w:val="24"/>
          <w:highlight w:val="none"/>
        </w:rPr>
      </w:pPr>
      <w:r>
        <w:rPr>
          <w:rFonts w:ascii="仿宋" w:hAnsi="仿宋" w:eastAsia="仿宋"/>
          <w:color w:val="auto"/>
          <w:sz w:val="24"/>
          <w:highlight w:val="none"/>
        </w:rPr>
        <w:t>1.卖方未能在合同规定的期限内提供合同约定的</w:t>
      </w:r>
      <w:r>
        <w:rPr>
          <w:rFonts w:hint="eastAsia" w:ascii="仿宋" w:hAnsi="仿宋" w:eastAsia="仿宋"/>
          <w:color w:val="auto"/>
          <w:sz w:val="24"/>
          <w:highlight w:val="none"/>
          <w:lang w:eastAsia="zh-CN"/>
        </w:rPr>
        <w:t>产品</w:t>
      </w:r>
      <w:r>
        <w:rPr>
          <w:rFonts w:ascii="仿宋" w:hAnsi="仿宋" w:eastAsia="仿宋"/>
          <w:color w:val="auto"/>
          <w:sz w:val="24"/>
          <w:highlight w:val="none"/>
        </w:rPr>
        <w:t>。</w:t>
      </w:r>
    </w:p>
    <w:p>
      <w:pPr>
        <w:adjustRightInd w:val="0"/>
        <w:snapToGrid w:val="0"/>
        <w:spacing w:line="480" w:lineRule="exact"/>
        <w:ind w:firstLine="480" w:firstLineChars="200"/>
        <w:jc w:val="left"/>
        <w:rPr>
          <w:rFonts w:ascii="仿宋" w:hAnsi="仿宋" w:eastAsia="仿宋"/>
          <w:color w:val="auto"/>
          <w:sz w:val="24"/>
          <w:highlight w:val="none"/>
        </w:rPr>
      </w:pPr>
      <w:r>
        <w:rPr>
          <w:rFonts w:ascii="仿宋" w:hAnsi="仿宋" w:eastAsia="仿宋"/>
          <w:color w:val="auto"/>
          <w:sz w:val="24"/>
          <w:highlight w:val="none"/>
        </w:rPr>
        <w:t>2.卖方未能履行合同规定的其他义务，卖方在收到买方发出的违约通知后30天内，或经买方书面认可延长的时间内未能纠正其过失。买方可向卖方发出书面通知，终止部分或全部合同，在这种情况下，并不影响买方向卖方提出的索赔。</w:t>
      </w:r>
    </w:p>
    <w:p>
      <w:pPr>
        <w:adjustRightInd w:val="0"/>
        <w:snapToGrid w:val="0"/>
        <w:spacing w:line="480" w:lineRule="exact"/>
        <w:ind w:firstLine="480" w:firstLineChars="200"/>
        <w:jc w:val="left"/>
        <w:rPr>
          <w:rFonts w:ascii="仿宋" w:hAnsi="仿宋" w:eastAsia="仿宋"/>
          <w:color w:val="auto"/>
          <w:sz w:val="24"/>
          <w:highlight w:val="none"/>
        </w:rPr>
      </w:pPr>
      <w:r>
        <w:rPr>
          <w:rFonts w:ascii="仿宋" w:hAnsi="仿宋" w:eastAsia="仿宋"/>
          <w:color w:val="auto"/>
          <w:sz w:val="24"/>
          <w:highlight w:val="none"/>
        </w:rPr>
        <w:t>（十</w:t>
      </w:r>
      <w:r>
        <w:rPr>
          <w:rFonts w:hint="eastAsia" w:ascii="仿宋" w:hAnsi="仿宋" w:eastAsia="仿宋"/>
          <w:color w:val="auto"/>
          <w:sz w:val="24"/>
          <w:highlight w:val="none"/>
          <w:lang w:eastAsia="zh-CN"/>
        </w:rPr>
        <w:t>一</w:t>
      </w:r>
      <w:r>
        <w:rPr>
          <w:rFonts w:ascii="仿宋" w:hAnsi="仿宋" w:eastAsia="仿宋"/>
          <w:color w:val="auto"/>
          <w:sz w:val="24"/>
          <w:highlight w:val="none"/>
        </w:rPr>
        <w:t>）卖方未经买方书面同意，不得将买方提供的资料或者因本合同所知悉的买方的相关秘密向任何第三方出示、泄露或提供，也不得将上述资料或者秘密用于非本合同的其它领域，否则，由卖方赔偿合同总金额30%的赔偿金，若该行为给买方造成的损失高于上述违约金的以给买方造成的损失为准。</w:t>
      </w:r>
    </w:p>
    <w:p>
      <w:pPr>
        <w:adjustRightInd w:val="0"/>
        <w:snapToGrid w:val="0"/>
        <w:spacing w:line="480" w:lineRule="exact"/>
        <w:ind w:firstLine="480" w:firstLineChars="200"/>
        <w:jc w:val="left"/>
        <w:rPr>
          <w:rFonts w:ascii="仿宋" w:hAnsi="仿宋" w:eastAsia="仿宋"/>
          <w:color w:val="auto"/>
          <w:sz w:val="24"/>
          <w:highlight w:val="none"/>
        </w:rPr>
      </w:pPr>
      <w:r>
        <w:rPr>
          <w:rFonts w:hint="eastAsia" w:ascii="仿宋" w:hAnsi="仿宋" w:eastAsia="仿宋"/>
          <w:color w:val="auto"/>
          <w:sz w:val="24"/>
          <w:highlight w:val="none"/>
        </w:rPr>
        <w:t>（十</w:t>
      </w:r>
      <w:r>
        <w:rPr>
          <w:rFonts w:hint="eastAsia" w:ascii="仿宋" w:hAnsi="仿宋" w:eastAsia="仿宋"/>
          <w:color w:val="auto"/>
          <w:sz w:val="24"/>
          <w:highlight w:val="none"/>
          <w:lang w:eastAsia="zh-CN"/>
        </w:rPr>
        <w:t>二</w:t>
      </w:r>
      <w:r>
        <w:rPr>
          <w:rFonts w:hint="eastAsia" w:ascii="仿宋" w:hAnsi="仿宋" w:eastAsia="仿宋"/>
          <w:color w:val="auto"/>
          <w:sz w:val="24"/>
          <w:highlight w:val="none"/>
        </w:rPr>
        <w:t>）卖方不得将</w:t>
      </w:r>
      <w:r>
        <w:rPr>
          <w:rFonts w:hint="eastAsia" w:ascii="仿宋" w:hAnsi="仿宋" w:eastAsia="仿宋"/>
          <w:color w:val="auto"/>
          <w:sz w:val="24"/>
          <w:highlight w:val="none"/>
          <w:lang w:eastAsia="zh-CN"/>
        </w:rPr>
        <w:t>本合同项下的产品转包、</w:t>
      </w:r>
      <w:r>
        <w:rPr>
          <w:rFonts w:hint="eastAsia" w:ascii="仿宋" w:hAnsi="仿宋" w:eastAsia="仿宋"/>
          <w:color w:val="auto"/>
          <w:sz w:val="24"/>
          <w:highlight w:val="none"/>
        </w:rPr>
        <w:t>分包，否则买方有权解除合同，并要求卖方承担该单项货款30%的违约金同时承担由此给买方造成的一切费用和损失（包括但不限于管理费、交通费、诉讼费、律师费等）。</w:t>
      </w:r>
    </w:p>
    <w:p>
      <w:pPr>
        <w:adjustRightInd w:val="0"/>
        <w:snapToGrid w:val="0"/>
        <w:spacing w:line="480" w:lineRule="exact"/>
        <w:ind w:firstLine="480" w:firstLineChars="200"/>
        <w:jc w:val="left"/>
        <w:rPr>
          <w:rFonts w:hint="eastAsia" w:ascii="仿宋" w:hAnsi="仿宋" w:eastAsia="仿宋"/>
          <w:color w:val="auto"/>
          <w:sz w:val="24"/>
          <w:highlight w:val="none"/>
        </w:rPr>
      </w:pPr>
      <w:r>
        <w:rPr>
          <w:rFonts w:hint="eastAsia" w:ascii="仿宋" w:hAnsi="仿宋" w:eastAsia="仿宋"/>
          <w:color w:val="auto"/>
          <w:sz w:val="24"/>
          <w:highlight w:val="none"/>
        </w:rPr>
        <w:t>（十</w:t>
      </w:r>
      <w:r>
        <w:rPr>
          <w:rFonts w:hint="eastAsia" w:ascii="仿宋" w:hAnsi="仿宋" w:eastAsia="仿宋"/>
          <w:color w:val="auto"/>
          <w:sz w:val="24"/>
          <w:highlight w:val="none"/>
          <w:lang w:eastAsia="zh-CN"/>
        </w:rPr>
        <w:t>三</w:t>
      </w:r>
      <w:r>
        <w:rPr>
          <w:rFonts w:hint="eastAsia" w:ascii="仿宋" w:hAnsi="仿宋" w:eastAsia="仿宋"/>
          <w:color w:val="auto"/>
          <w:sz w:val="24"/>
          <w:highlight w:val="none"/>
        </w:rPr>
        <w:t>）如果双方中任何一方由于战争、严重火灾、水灾、台风和地震以及其它经双方同意属不可抗力的事故，致使合同履行受阻时，履行合同期限应予延长，延长时限应相当于事故所影响的时间，或双方协商解决。</w:t>
      </w:r>
    </w:p>
    <w:p>
      <w:pPr>
        <w:adjustRightInd w:val="0"/>
        <w:snapToGrid w:val="0"/>
        <w:spacing w:line="460" w:lineRule="exact"/>
        <w:ind w:firstLine="480" w:firstLineChars="200"/>
        <w:jc w:val="left"/>
        <w:rPr>
          <w:color w:val="auto"/>
        </w:rPr>
      </w:pPr>
      <w:r>
        <w:rPr>
          <w:rFonts w:eastAsia="仿宋"/>
          <w:color w:val="auto"/>
          <w:sz w:val="24"/>
          <w:highlight w:val="none"/>
        </w:rPr>
        <w:t>（十</w:t>
      </w:r>
      <w:r>
        <w:rPr>
          <w:rFonts w:hint="eastAsia" w:eastAsia="仿宋"/>
          <w:color w:val="auto"/>
          <w:sz w:val="24"/>
          <w:highlight w:val="none"/>
          <w:lang w:eastAsia="zh-CN"/>
        </w:rPr>
        <w:t>四</w:t>
      </w:r>
      <w:r>
        <w:rPr>
          <w:rFonts w:eastAsia="仿宋"/>
          <w:color w:val="auto"/>
          <w:sz w:val="24"/>
          <w:highlight w:val="none"/>
        </w:rPr>
        <w:t>）卖方不按照与买方订立的合同履行义务，情节严重的，取消其二年至五年在江西省消防救援总队一切销售资格，并通告应急管理部</w:t>
      </w:r>
      <w:r>
        <w:rPr>
          <w:rFonts w:hint="eastAsia" w:eastAsia="仿宋"/>
          <w:color w:val="auto"/>
          <w:sz w:val="24"/>
          <w:highlight w:val="none"/>
          <w:lang w:eastAsia="zh-CN"/>
        </w:rPr>
        <w:t>、国家消防救援局</w:t>
      </w:r>
      <w:r>
        <w:rPr>
          <w:rFonts w:eastAsia="仿宋"/>
          <w:color w:val="auto"/>
          <w:sz w:val="24"/>
          <w:highlight w:val="none"/>
        </w:rPr>
        <w:t>。</w:t>
      </w:r>
    </w:p>
    <w:p>
      <w:pPr>
        <w:spacing w:line="480" w:lineRule="exact"/>
        <w:ind w:firstLine="482" w:firstLineChars="200"/>
        <w:jc w:val="left"/>
        <w:rPr>
          <w:rFonts w:ascii="仿宋" w:hAnsi="仿宋" w:eastAsia="仿宋"/>
          <w:b/>
          <w:bCs/>
          <w:color w:val="auto"/>
          <w:sz w:val="24"/>
          <w:highlight w:val="none"/>
        </w:rPr>
      </w:pPr>
      <w:r>
        <w:rPr>
          <w:rFonts w:hint="eastAsia" w:ascii="仿宋" w:hAnsi="仿宋" w:eastAsia="仿宋"/>
          <w:b/>
          <w:bCs/>
          <w:color w:val="auto"/>
          <w:sz w:val="24"/>
          <w:highlight w:val="none"/>
        </w:rPr>
        <w:t>七、争议解决方式</w:t>
      </w:r>
    </w:p>
    <w:p>
      <w:pPr>
        <w:adjustRightInd w:val="0"/>
        <w:snapToGrid w:val="0"/>
        <w:spacing w:line="480" w:lineRule="exact"/>
        <w:ind w:firstLine="480" w:firstLineChars="200"/>
        <w:jc w:val="left"/>
        <w:rPr>
          <w:rFonts w:ascii="仿宋" w:hAnsi="仿宋" w:eastAsia="仿宋"/>
          <w:bCs/>
          <w:color w:val="auto"/>
          <w:sz w:val="24"/>
          <w:highlight w:val="none"/>
        </w:rPr>
      </w:pPr>
      <w:r>
        <w:rPr>
          <w:rFonts w:ascii="仿宋" w:hAnsi="仿宋" w:eastAsia="仿宋"/>
          <w:bCs/>
          <w:color w:val="auto"/>
          <w:sz w:val="24"/>
          <w:highlight w:val="none"/>
        </w:rPr>
        <w:t>双方在履行合同中所发生的一切争议，应通过协商解决。如协商不成，</w:t>
      </w:r>
      <w:r>
        <w:rPr>
          <w:rFonts w:hint="eastAsia" w:ascii="仿宋" w:hAnsi="仿宋" w:eastAsia="仿宋"/>
          <w:bCs/>
          <w:color w:val="auto"/>
          <w:sz w:val="24"/>
          <w:highlight w:val="none"/>
          <w:lang w:eastAsia="zh-CN"/>
        </w:rPr>
        <w:t>应当</w:t>
      </w:r>
      <w:r>
        <w:rPr>
          <w:rFonts w:ascii="仿宋" w:hAnsi="仿宋" w:eastAsia="仿宋"/>
          <w:bCs/>
          <w:color w:val="auto"/>
          <w:sz w:val="24"/>
          <w:highlight w:val="none"/>
        </w:rPr>
        <w:t>向买方所在地人民法院提起诉讼。</w:t>
      </w:r>
    </w:p>
    <w:p>
      <w:pPr>
        <w:spacing w:line="480" w:lineRule="exact"/>
        <w:ind w:firstLine="482" w:firstLineChars="200"/>
        <w:jc w:val="left"/>
        <w:rPr>
          <w:rFonts w:ascii="仿宋" w:hAnsi="仿宋" w:eastAsia="仿宋"/>
          <w:b/>
          <w:bCs/>
          <w:color w:val="auto"/>
          <w:sz w:val="24"/>
          <w:highlight w:val="none"/>
        </w:rPr>
      </w:pPr>
      <w:r>
        <w:rPr>
          <w:rFonts w:hint="eastAsia" w:ascii="仿宋" w:hAnsi="仿宋" w:eastAsia="仿宋"/>
          <w:b/>
          <w:bCs/>
          <w:color w:val="auto"/>
          <w:sz w:val="24"/>
          <w:highlight w:val="none"/>
        </w:rPr>
        <w:t>八、合同签订</w:t>
      </w:r>
    </w:p>
    <w:p>
      <w:pPr>
        <w:adjustRightInd w:val="0"/>
        <w:snapToGrid w:val="0"/>
        <w:spacing w:line="480" w:lineRule="exact"/>
        <w:ind w:firstLine="480" w:firstLineChars="200"/>
        <w:jc w:val="left"/>
        <w:rPr>
          <w:rFonts w:ascii="仿宋" w:hAnsi="仿宋" w:eastAsia="仿宋"/>
          <w:color w:val="auto"/>
          <w:sz w:val="24"/>
          <w:highlight w:val="none"/>
        </w:rPr>
      </w:pPr>
      <w:r>
        <w:rPr>
          <w:rFonts w:hint="eastAsia" w:ascii="仿宋" w:hAnsi="仿宋" w:eastAsia="仿宋"/>
          <w:color w:val="auto"/>
          <w:sz w:val="24"/>
          <w:highlight w:val="none"/>
          <w:lang w:val="en-US" w:eastAsia="zh-CN"/>
        </w:rPr>
        <w:t>本合同经双方授权代表签字并盖章之日起生效。本合同一式三份，双方各执一份、采购代理机构执一份，具有同等法律效力</w:t>
      </w:r>
      <w:r>
        <w:rPr>
          <w:rFonts w:ascii="仿宋" w:hAnsi="仿宋" w:eastAsia="仿宋"/>
          <w:color w:val="auto"/>
          <w:sz w:val="24"/>
          <w:highlight w:val="none"/>
        </w:rPr>
        <w:t>。</w:t>
      </w:r>
    </w:p>
    <w:p>
      <w:pPr>
        <w:adjustRightInd w:val="0"/>
        <w:snapToGrid w:val="0"/>
        <w:spacing w:line="480" w:lineRule="exact"/>
        <w:ind w:firstLine="480" w:firstLineChars="200"/>
        <w:jc w:val="left"/>
        <w:rPr>
          <w:rFonts w:ascii="仿宋" w:hAnsi="仿宋" w:eastAsia="仿宋"/>
          <w:color w:val="auto"/>
          <w:sz w:val="24"/>
          <w:highlight w:val="none"/>
        </w:rPr>
      </w:pPr>
      <w:r>
        <w:rPr>
          <w:rFonts w:ascii="仿宋" w:hAnsi="仿宋" w:eastAsia="仿宋"/>
          <w:color w:val="auto"/>
          <w:sz w:val="24"/>
          <w:highlight w:val="none"/>
        </w:rPr>
        <w:t>合同履行中，如需修改或补充合同内容，由双方协商另签署书面修改或补充协议并经双方确认后作为主合同不可分割的一部分。</w:t>
      </w:r>
    </w:p>
    <w:p>
      <w:pPr>
        <w:spacing w:line="480" w:lineRule="exact"/>
        <w:ind w:firstLine="482" w:firstLineChars="200"/>
        <w:jc w:val="left"/>
        <w:rPr>
          <w:rFonts w:ascii="仿宋" w:hAnsi="仿宋" w:eastAsia="仿宋"/>
          <w:b/>
          <w:bCs/>
          <w:color w:val="auto"/>
          <w:sz w:val="24"/>
          <w:highlight w:val="none"/>
        </w:rPr>
      </w:pPr>
      <w:r>
        <w:rPr>
          <w:rFonts w:hint="eastAsia" w:ascii="仿宋" w:hAnsi="仿宋" w:eastAsia="仿宋"/>
          <w:b/>
          <w:bCs/>
          <w:color w:val="auto"/>
          <w:sz w:val="24"/>
          <w:highlight w:val="none"/>
        </w:rPr>
        <w:t>九、其他</w:t>
      </w:r>
    </w:p>
    <w:p>
      <w:pPr>
        <w:adjustRightInd w:val="0"/>
        <w:snapToGrid w:val="0"/>
        <w:spacing w:line="460" w:lineRule="exact"/>
        <w:ind w:firstLine="480" w:firstLineChars="200"/>
        <w:jc w:val="left"/>
        <w:rPr>
          <w:rFonts w:hint="eastAsia" w:ascii="Times New Roman" w:hAnsi="Times New Roman" w:eastAsia="仿宋"/>
          <w:color w:val="auto"/>
          <w:sz w:val="24"/>
          <w:highlight w:val="none"/>
        </w:rPr>
      </w:pPr>
      <w:r>
        <w:rPr>
          <w:rFonts w:hint="eastAsia" w:ascii="Times New Roman" w:hAnsi="Times New Roman" w:eastAsia="仿宋"/>
          <w:color w:val="auto"/>
          <w:sz w:val="24"/>
          <w:highlight w:val="none"/>
        </w:rPr>
        <w:t>卖方在交货前须在应急管理部消防救援局装备物资信息采集系统(http://xfzb.119.gov.cn/html/index.html)录入装备基础信息，申请装备唯一编码，并按照应急管理部消防救援局装备物资管理的相关标准要求，赋上二维码及RFID标签，由此所产生的费用包含在投标报价内。</w:t>
      </w:r>
    </w:p>
    <w:p>
      <w:pPr>
        <w:adjustRightInd w:val="0"/>
        <w:snapToGrid w:val="0"/>
        <w:spacing w:line="460" w:lineRule="exact"/>
        <w:ind w:firstLine="480" w:firstLineChars="200"/>
        <w:jc w:val="left"/>
        <w:rPr>
          <w:rFonts w:hint="eastAsia" w:ascii="Times New Roman" w:hAnsi="Times New Roman" w:eastAsia="仿宋"/>
          <w:color w:val="auto"/>
          <w:sz w:val="24"/>
          <w:highlight w:val="none"/>
        </w:rPr>
      </w:pPr>
      <w:r>
        <w:rPr>
          <w:rFonts w:hint="eastAsia" w:ascii="Times New Roman" w:hAnsi="Times New Roman" w:eastAsia="仿宋"/>
          <w:color w:val="auto"/>
          <w:sz w:val="24"/>
          <w:highlight w:val="none"/>
        </w:rPr>
        <w:t>卖方应保证买方不受第三方提出侵犯其专利权、商标权和设计权的起诉。如果任何第三方提出侵权指控或赔偿要求，卖方必须与第三方交涉，并承担发生和可能发生的一切损失、费用和法律责任。</w:t>
      </w:r>
    </w:p>
    <w:p>
      <w:pPr>
        <w:adjustRightInd w:val="0"/>
        <w:snapToGrid w:val="0"/>
        <w:spacing w:line="460" w:lineRule="exact"/>
        <w:ind w:firstLine="480" w:firstLineChars="200"/>
        <w:jc w:val="left"/>
        <w:rPr>
          <w:rFonts w:eastAsia="仿宋"/>
          <w:color w:val="auto"/>
          <w:highlight w:val="none"/>
        </w:rPr>
      </w:pPr>
      <w:r>
        <w:rPr>
          <w:rFonts w:hint="eastAsia" w:eastAsia="仿宋"/>
          <w:color w:val="auto"/>
          <w:sz w:val="24"/>
          <w:highlight w:val="none"/>
        </w:rPr>
        <w:t>本合同项下一方对另一方的通知或请求，应按照本合同载明的联系方式(联系地址、联系电话、信函、电子邮件、微信等)进行。本合同项下的任何通知或请求送达时间如下：如果是电子邮件，则在发送当日或退件当日视为送达，如果是信函，则在挂号信或快递发出后7日或退件之日视为送达；如果是派人送达，则在收件人签收之日视为送达；如果是微信</w:t>
      </w:r>
      <w:r>
        <w:rPr>
          <w:rFonts w:hint="eastAsia" w:eastAsia="仿宋"/>
          <w:color w:val="auto"/>
          <w:sz w:val="24"/>
          <w:highlight w:val="none"/>
          <w:lang w:eastAsia="zh-CN"/>
        </w:rPr>
        <w:t>，</w:t>
      </w:r>
      <w:r>
        <w:rPr>
          <w:rFonts w:hint="eastAsia" w:eastAsia="仿宋"/>
          <w:color w:val="auto"/>
          <w:sz w:val="24"/>
          <w:highlight w:val="none"/>
        </w:rPr>
        <w:t>则在发送之日视为送达；如果同时使用几种方式通知的，则以其中较快到达接收方者为准。</w:t>
      </w:r>
    </w:p>
    <w:p>
      <w:pPr>
        <w:adjustRightInd w:val="0"/>
        <w:snapToGrid w:val="0"/>
        <w:spacing w:line="460" w:lineRule="exact"/>
        <w:ind w:firstLine="480" w:firstLineChars="200"/>
        <w:jc w:val="left"/>
        <w:rPr>
          <w:rFonts w:hint="eastAsia" w:eastAsia="仿宋"/>
          <w:color w:val="auto"/>
          <w:sz w:val="24"/>
          <w:highlight w:val="none"/>
        </w:rPr>
      </w:pPr>
      <w:r>
        <w:rPr>
          <w:rFonts w:hint="eastAsia" w:eastAsia="仿宋"/>
          <w:color w:val="auto"/>
          <w:sz w:val="24"/>
          <w:highlight w:val="none"/>
        </w:rPr>
        <w:t>本合同条款由江西省消防救援总队负责解释，本合同经双方授权代表签字并盖章之日起生效。</w:t>
      </w:r>
    </w:p>
    <w:p>
      <w:pPr>
        <w:spacing w:line="460" w:lineRule="exact"/>
        <w:ind w:firstLine="420" w:firstLineChars="200"/>
        <w:rPr>
          <w:rFonts w:eastAsia="仿宋"/>
          <w:color w:val="auto"/>
          <w:highlight w:val="none"/>
        </w:rPr>
      </w:pPr>
    </w:p>
    <w:p>
      <w:pPr>
        <w:spacing w:line="460" w:lineRule="exact"/>
        <w:ind w:firstLine="480" w:firstLineChars="200"/>
        <w:jc w:val="left"/>
        <w:rPr>
          <w:rFonts w:eastAsia="仿宋"/>
          <w:color w:val="auto"/>
          <w:sz w:val="24"/>
          <w:highlight w:val="none"/>
        </w:rPr>
        <w:sectPr>
          <w:footerReference r:id="rId12" w:type="first"/>
          <w:footerReference r:id="rId11" w:type="default"/>
          <w:pgSz w:w="11907" w:h="16840"/>
          <w:pgMar w:top="1111" w:right="1134" w:bottom="936" w:left="1134" w:header="425" w:footer="573" w:gutter="0"/>
          <w:cols w:space="720" w:num="1"/>
          <w:titlePg/>
          <w:docGrid w:linePitch="462" w:charSpace="0"/>
        </w:sectPr>
      </w:pPr>
    </w:p>
    <w:p>
      <w:pPr>
        <w:spacing w:line="600" w:lineRule="exact"/>
        <w:rPr>
          <w:rFonts w:eastAsia="仿宋"/>
          <w:b/>
          <w:bCs/>
          <w:color w:val="auto"/>
          <w:sz w:val="32"/>
          <w:szCs w:val="32"/>
          <w:highlight w:val="none"/>
        </w:rPr>
      </w:pPr>
      <w:r>
        <w:rPr>
          <w:rFonts w:eastAsia="仿宋"/>
          <w:b/>
          <w:bCs/>
          <w:color w:val="auto"/>
          <w:sz w:val="32"/>
          <w:szCs w:val="32"/>
          <w:highlight w:val="none"/>
        </w:rPr>
        <w:t>附件：</w:t>
      </w:r>
    </w:p>
    <w:p>
      <w:pPr>
        <w:spacing w:line="600" w:lineRule="exact"/>
        <w:jc w:val="center"/>
        <w:rPr>
          <w:rFonts w:ascii="仿宋" w:hAnsi="仿宋" w:eastAsia="仿宋" w:cs="宋体"/>
          <w:b/>
          <w:bCs/>
          <w:color w:val="auto"/>
          <w:sz w:val="32"/>
          <w:szCs w:val="32"/>
          <w:highlight w:val="none"/>
        </w:rPr>
      </w:pPr>
      <w:r>
        <w:rPr>
          <w:rFonts w:hint="eastAsia" w:ascii="仿宋" w:hAnsi="仿宋" w:eastAsia="仿宋" w:cs="宋体"/>
          <w:b/>
          <w:bCs/>
          <w:color w:val="auto"/>
          <w:sz w:val="32"/>
          <w:szCs w:val="32"/>
          <w:highlight w:val="none"/>
        </w:rPr>
        <w:t>江西省消防救援总队装备验收有关要求</w:t>
      </w:r>
    </w:p>
    <w:p>
      <w:pPr>
        <w:pStyle w:val="13"/>
        <w:rPr>
          <w:rFonts w:cs="宋体"/>
          <w:color w:val="auto"/>
          <w:sz w:val="28"/>
          <w:szCs w:val="28"/>
          <w:highlight w:val="none"/>
        </w:rPr>
      </w:pPr>
    </w:p>
    <w:p>
      <w:pPr>
        <w:spacing w:line="460" w:lineRule="exact"/>
        <w:rPr>
          <w:rFonts w:ascii="仿宋" w:hAnsi="仿宋" w:eastAsia="仿宋"/>
          <w:b/>
          <w:bCs/>
          <w:color w:val="auto"/>
          <w:sz w:val="24"/>
          <w:highlight w:val="none"/>
        </w:rPr>
      </w:pPr>
      <w:bookmarkStart w:id="238" w:name="_Toc106115844"/>
      <w:bookmarkStart w:id="239" w:name="_Toc5616"/>
      <w:bookmarkStart w:id="240" w:name="_Toc27384"/>
      <w:bookmarkStart w:id="241" w:name="_Toc18713"/>
      <w:bookmarkStart w:id="242" w:name="_Toc9307"/>
      <w:bookmarkStart w:id="243" w:name="_Toc12405"/>
      <w:bookmarkStart w:id="244" w:name="_Toc106115794"/>
      <w:r>
        <w:rPr>
          <w:rFonts w:hint="eastAsia" w:ascii="仿宋" w:hAnsi="仿宋" w:eastAsia="仿宋"/>
          <w:b/>
          <w:bCs/>
          <w:color w:val="auto"/>
          <w:sz w:val="24"/>
          <w:highlight w:val="none"/>
        </w:rPr>
        <w:t>一、验收有关事项</w:t>
      </w:r>
      <w:bookmarkEnd w:id="238"/>
      <w:bookmarkEnd w:id="239"/>
      <w:bookmarkEnd w:id="240"/>
      <w:bookmarkEnd w:id="241"/>
      <w:bookmarkEnd w:id="242"/>
      <w:bookmarkEnd w:id="243"/>
      <w:bookmarkEnd w:id="244"/>
    </w:p>
    <w:p>
      <w:pPr>
        <w:spacing w:line="460" w:lineRule="exact"/>
        <w:ind w:firstLine="482" w:firstLineChars="200"/>
        <w:rPr>
          <w:rFonts w:ascii="仿宋" w:hAnsi="仿宋" w:eastAsia="仿宋"/>
          <w:b/>
          <w:bCs/>
          <w:color w:val="auto"/>
          <w:sz w:val="24"/>
          <w:highlight w:val="none"/>
        </w:rPr>
      </w:pPr>
      <w:bookmarkStart w:id="245" w:name="_Toc8445"/>
      <w:bookmarkStart w:id="246" w:name="_Toc8606"/>
      <w:r>
        <w:rPr>
          <w:rFonts w:hint="eastAsia" w:ascii="仿宋" w:hAnsi="仿宋" w:eastAsia="仿宋"/>
          <w:b/>
          <w:bCs/>
          <w:color w:val="auto"/>
          <w:sz w:val="24"/>
          <w:highlight w:val="none"/>
        </w:rPr>
        <w:t>一、验收有关事项</w:t>
      </w:r>
      <w:bookmarkEnd w:id="245"/>
      <w:bookmarkEnd w:id="246"/>
    </w:p>
    <w:p>
      <w:pPr>
        <w:spacing w:line="460" w:lineRule="exact"/>
        <w:ind w:firstLine="480" w:firstLineChars="200"/>
        <w:rPr>
          <w:rFonts w:ascii="仿宋" w:hAnsi="仿宋" w:eastAsia="仿宋"/>
          <w:bCs/>
          <w:color w:val="auto"/>
          <w:sz w:val="24"/>
          <w:highlight w:val="none"/>
        </w:rPr>
      </w:pPr>
      <w:bookmarkStart w:id="247" w:name="_Toc15372"/>
      <w:bookmarkStart w:id="248" w:name="_Toc466"/>
      <w:r>
        <w:rPr>
          <w:rFonts w:hint="eastAsia" w:ascii="仿宋" w:hAnsi="仿宋" w:eastAsia="仿宋"/>
          <w:bCs/>
          <w:color w:val="auto"/>
          <w:sz w:val="24"/>
          <w:highlight w:val="none"/>
        </w:rPr>
        <w:t>（一）验收主体</w:t>
      </w:r>
    </w:p>
    <w:p>
      <w:pPr>
        <w:spacing w:line="46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该项目由总队集中组织验收。</w:t>
      </w:r>
      <w:bookmarkEnd w:id="247"/>
      <w:bookmarkEnd w:id="248"/>
    </w:p>
    <w:p>
      <w:pPr>
        <w:spacing w:line="460" w:lineRule="exact"/>
        <w:ind w:firstLine="480" w:firstLineChars="200"/>
        <w:rPr>
          <w:rFonts w:ascii="仿宋" w:hAnsi="仿宋" w:eastAsia="仿宋"/>
          <w:bCs/>
          <w:color w:val="auto"/>
          <w:sz w:val="24"/>
          <w:highlight w:val="none"/>
        </w:rPr>
      </w:pPr>
      <w:bookmarkStart w:id="249" w:name="_Toc10849"/>
      <w:bookmarkStart w:id="250" w:name="_Toc17519"/>
      <w:r>
        <w:rPr>
          <w:rFonts w:hint="eastAsia" w:ascii="仿宋" w:hAnsi="仿宋" w:eastAsia="仿宋"/>
          <w:bCs/>
          <w:color w:val="auto"/>
          <w:sz w:val="24"/>
          <w:highlight w:val="none"/>
        </w:rPr>
        <w:t>（二）验收程序</w:t>
      </w:r>
      <w:bookmarkEnd w:id="249"/>
      <w:bookmarkEnd w:id="250"/>
    </w:p>
    <w:p>
      <w:pPr>
        <w:spacing w:line="460" w:lineRule="exact"/>
        <w:ind w:firstLine="480" w:firstLineChars="200"/>
        <w:rPr>
          <w:rFonts w:ascii="仿宋" w:hAnsi="仿宋" w:eastAsia="仿宋"/>
          <w:color w:val="auto"/>
          <w:sz w:val="24"/>
          <w:highlight w:val="none"/>
        </w:rPr>
      </w:pPr>
      <w:bookmarkStart w:id="251" w:name="_Toc902"/>
      <w:bookmarkStart w:id="252" w:name="_Toc1630"/>
      <w:r>
        <w:rPr>
          <w:rFonts w:ascii="仿宋" w:hAnsi="仿宋" w:eastAsia="仿宋"/>
          <w:color w:val="auto"/>
          <w:sz w:val="24"/>
          <w:highlight w:val="none"/>
        </w:rPr>
        <w:t>装备验收按照提交申请、验收准备、现场实施、形成结论、出具意见、提交审计和拨发培训等程序进行。</w:t>
      </w:r>
    </w:p>
    <w:p>
      <w:pPr>
        <w:spacing w:line="46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1.</w:t>
      </w:r>
      <w:r>
        <w:rPr>
          <w:rFonts w:ascii="仿宋" w:hAnsi="仿宋" w:eastAsia="仿宋"/>
          <w:color w:val="auto"/>
          <w:sz w:val="24"/>
          <w:highlight w:val="none"/>
        </w:rPr>
        <w:t>提交申请</w:t>
      </w:r>
      <w:r>
        <w:rPr>
          <w:rFonts w:hint="eastAsia" w:ascii="仿宋" w:hAnsi="仿宋" w:eastAsia="仿宋"/>
          <w:color w:val="auto"/>
          <w:sz w:val="24"/>
          <w:highlight w:val="none"/>
        </w:rPr>
        <w:t>。</w:t>
      </w:r>
      <w:r>
        <w:rPr>
          <w:rFonts w:ascii="仿宋" w:hAnsi="仿宋" w:eastAsia="仿宋"/>
          <w:color w:val="auto"/>
          <w:sz w:val="24"/>
          <w:highlight w:val="none"/>
        </w:rPr>
        <w:t>合同要求交付时间前7日，供应商填写《消防车辆（器材）验收申请表》</w:t>
      </w:r>
      <w:r>
        <w:rPr>
          <w:rFonts w:hint="eastAsia" w:ascii="仿宋" w:hAnsi="仿宋" w:eastAsia="仿宋"/>
          <w:color w:val="auto"/>
          <w:sz w:val="24"/>
          <w:highlight w:val="none"/>
        </w:rPr>
        <w:t>并向</w:t>
      </w:r>
      <w:r>
        <w:rPr>
          <w:rFonts w:ascii="仿宋" w:hAnsi="仿宋" w:eastAsia="仿宋"/>
          <w:color w:val="auto"/>
          <w:sz w:val="24"/>
          <w:highlight w:val="none"/>
        </w:rPr>
        <w:t>总队采购办</w:t>
      </w:r>
      <w:r>
        <w:rPr>
          <w:rFonts w:hint="eastAsia" w:ascii="仿宋" w:hAnsi="仿宋" w:eastAsia="仿宋"/>
          <w:color w:val="auto"/>
          <w:sz w:val="24"/>
          <w:highlight w:val="none"/>
        </w:rPr>
        <w:t>提交</w:t>
      </w:r>
      <w:r>
        <w:rPr>
          <w:rFonts w:ascii="仿宋" w:hAnsi="仿宋" w:eastAsia="仿宋"/>
          <w:color w:val="auto"/>
          <w:sz w:val="24"/>
          <w:highlight w:val="none"/>
        </w:rPr>
        <w:t>。</w:t>
      </w:r>
    </w:p>
    <w:p>
      <w:pPr>
        <w:spacing w:line="46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2.</w:t>
      </w:r>
      <w:r>
        <w:rPr>
          <w:rFonts w:ascii="仿宋" w:hAnsi="仿宋" w:eastAsia="仿宋"/>
          <w:color w:val="auto"/>
          <w:sz w:val="24"/>
          <w:highlight w:val="none"/>
        </w:rPr>
        <w:t>验收准备</w:t>
      </w:r>
      <w:r>
        <w:rPr>
          <w:rFonts w:hint="eastAsia" w:ascii="仿宋" w:hAnsi="仿宋" w:eastAsia="仿宋"/>
          <w:color w:val="auto"/>
          <w:sz w:val="24"/>
          <w:highlight w:val="none"/>
        </w:rPr>
        <w:t>。装备验收组</w:t>
      </w:r>
      <w:r>
        <w:rPr>
          <w:rFonts w:ascii="仿宋" w:hAnsi="仿宋" w:eastAsia="仿宋"/>
          <w:color w:val="auto"/>
          <w:sz w:val="24"/>
          <w:highlight w:val="none"/>
        </w:rPr>
        <w:t>人员确定后，由装备</w:t>
      </w:r>
      <w:r>
        <w:rPr>
          <w:rFonts w:hint="eastAsia" w:ascii="仿宋" w:hAnsi="仿宋" w:eastAsia="仿宋"/>
          <w:color w:val="auto"/>
          <w:sz w:val="24"/>
          <w:highlight w:val="none"/>
        </w:rPr>
        <w:t>验收组</w:t>
      </w:r>
      <w:r>
        <w:rPr>
          <w:rFonts w:ascii="仿宋" w:hAnsi="仿宋" w:eastAsia="仿宋"/>
          <w:color w:val="auto"/>
          <w:sz w:val="24"/>
          <w:highlight w:val="none"/>
        </w:rPr>
        <w:t>长根据验收任务牵头制定验收方案按程序报批，明确验收时间、地点、任务等具体事项。确定验收时间</w:t>
      </w:r>
      <w:r>
        <w:rPr>
          <w:rFonts w:hint="eastAsia" w:ascii="仿宋" w:hAnsi="仿宋" w:eastAsia="仿宋"/>
          <w:color w:val="auto"/>
          <w:sz w:val="24"/>
          <w:highlight w:val="none"/>
        </w:rPr>
        <w:t>、地点</w:t>
      </w:r>
      <w:r>
        <w:rPr>
          <w:rFonts w:ascii="仿宋" w:hAnsi="仿宋" w:eastAsia="仿宋"/>
          <w:color w:val="auto"/>
          <w:sz w:val="24"/>
          <w:highlight w:val="none"/>
        </w:rPr>
        <w:t>后</w:t>
      </w:r>
      <w:r>
        <w:rPr>
          <w:rFonts w:hint="eastAsia" w:ascii="仿宋" w:hAnsi="仿宋" w:eastAsia="仿宋"/>
          <w:color w:val="auto"/>
          <w:sz w:val="24"/>
          <w:highlight w:val="none"/>
        </w:rPr>
        <w:t>，</w:t>
      </w:r>
      <w:r>
        <w:rPr>
          <w:rFonts w:ascii="仿宋" w:hAnsi="仿宋" w:eastAsia="仿宋"/>
          <w:color w:val="auto"/>
          <w:sz w:val="24"/>
          <w:highlight w:val="none"/>
        </w:rPr>
        <w:t>采购办通知供应商，项目负责人和技术人员携带相关技术</w:t>
      </w:r>
      <w:r>
        <w:rPr>
          <w:rFonts w:hint="eastAsia" w:ascii="仿宋" w:hAnsi="仿宋" w:eastAsia="仿宋"/>
          <w:color w:val="auto"/>
          <w:sz w:val="24"/>
          <w:highlight w:val="none"/>
        </w:rPr>
        <w:t>档案</w:t>
      </w:r>
      <w:r>
        <w:rPr>
          <w:rFonts w:ascii="仿宋" w:hAnsi="仿宋" w:eastAsia="仿宋"/>
          <w:color w:val="auto"/>
          <w:sz w:val="24"/>
          <w:highlight w:val="none"/>
        </w:rPr>
        <w:t>、证明材料原件等资料按时到场配合验收工作</w:t>
      </w:r>
      <w:r>
        <w:rPr>
          <w:rFonts w:hint="eastAsia" w:ascii="仿宋" w:hAnsi="仿宋" w:eastAsia="仿宋"/>
          <w:color w:val="auto"/>
          <w:sz w:val="24"/>
          <w:highlight w:val="none"/>
        </w:rPr>
        <w:t>。</w:t>
      </w:r>
    </w:p>
    <w:p>
      <w:pPr>
        <w:spacing w:line="46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3.</w:t>
      </w:r>
      <w:r>
        <w:rPr>
          <w:rFonts w:ascii="仿宋" w:hAnsi="仿宋" w:eastAsia="仿宋"/>
          <w:color w:val="auto"/>
          <w:sz w:val="24"/>
          <w:highlight w:val="none"/>
        </w:rPr>
        <w:t>现场实施</w:t>
      </w:r>
      <w:r>
        <w:rPr>
          <w:rFonts w:hint="eastAsia" w:ascii="仿宋" w:hAnsi="仿宋" w:eastAsia="仿宋"/>
          <w:color w:val="auto"/>
          <w:sz w:val="24"/>
          <w:highlight w:val="none"/>
        </w:rPr>
        <w:t>。</w:t>
      </w:r>
      <w:r>
        <w:rPr>
          <w:rFonts w:ascii="仿宋" w:hAnsi="仿宋" w:eastAsia="仿宋"/>
          <w:color w:val="auto"/>
          <w:sz w:val="24"/>
          <w:highlight w:val="none"/>
        </w:rPr>
        <w:t>总</w:t>
      </w:r>
      <w:r>
        <w:rPr>
          <w:rFonts w:hint="eastAsia" w:ascii="仿宋" w:hAnsi="仿宋" w:eastAsia="仿宋"/>
          <w:color w:val="auto"/>
          <w:sz w:val="24"/>
          <w:highlight w:val="none"/>
        </w:rPr>
        <w:t>（</w:t>
      </w:r>
      <w:r>
        <w:rPr>
          <w:rFonts w:ascii="仿宋" w:hAnsi="仿宋" w:eastAsia="仿宋"/>
          <w:color w:val="auto"/>
          <w:sz w:val="24"/>
          <w:highlight w:val="none"/>
        </w:rPr>
        <w:t>支</w:t>
      </w:r>
      <w:r>
        <w:rPr>
          <w:rFonts w:hint="eastAsia" w:ascii="仿宋" w:hAnsi="仿宋" w:eastAsia="仿宋"/>
          <w:color w:val="auto"/>
          <w:sz w:val="24"/>
          <w:highlight w:val="none"/>
        </w:rPr>
        <w:t>）</w:t>
      </w:r>
      <w:r>
        <w:rPr>
          <w:rFonts w:ascii="仿宋" w:hAnsi="仿宋" w:eastAsia="仿宋"/>
          <w:color w:val="auto"/>
          <w:sz w:val="24"/>
          <w:highlight w:val="none"/>
        </w:rPr>
        <w:t>队</w:t>
      </w:r>
      <w:r>
        <w:rPr>
          <w:rFonts w:hint="eastAsia" w:ascii="仿宋" w:hAnsi="仿宋" w:eastAsia="仿宋"/>
          <w:color w:val="auto"/>
          <w:sz w:val="24"/>
          <w:highlight w:val="none"/>
        </w:rPr>
        <w:t>装备验收组</w:t>
      </w:r>
      <w:r>
        <w:rPr>
          <w:rFonts w:ascii="仿宋" w:hAnsi="仿宋" w:eastAsia="仿宋"/>
          <w:color w:val="auto"/>
          <w:sz w:val="24"/>
          <w:highlight w:val="none"/>
        </w:rPr>
        <w:t>按照标准要求组织开展验收。</w:t>
      </w:r>
    </w:p>
    <w:p>
      <w:pPr>
        <w:spacing w:line="46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4.</w:t>
      </w:r>
      <w:r>
        <w:rPr>
          <w:rFonts w:ascii="仿宋" w:hAnsi="仿宋" w:eastAsia="仿宋"/>
          <w:color w:val="auto"/>
          <w:sz w:val="24"/>
          <w:highlight w:val="none"/>
        </w:rPr>
        <w:t>形成结论</w:t>
      </w:r>
      <w:r>
        <w:rPr>
          <w:rFonts w:hint="eastAsia" w:ascii="仿宋" w:hAnsi="仿宋" w:eastAsia="仿宋"/>
          <w:color w:val="auto"/>
          <w:sz w:val="24"/>
          <w:highlight w:val="none"/>
        </w:rPr>
        <w:t>。</w:t>
      </w:r>
      <w:r>
        <w:rPr>
          <w:rFonts w:ascii="仿宋" w:hAnsi="仿宋" w:eastAsia="仿宋"/>
          <w:color w:val="auto"/>
          <w:sz w:val="24"/>
          <w:highlight w:val="none"/>
        </w:rPr>
        <w:t>验收结束后，由总队</w:t>
      </w:r>
      <w:r>
        <w:rPr>
          <w:rFonts w:hint="eastAsia" w:ascii="仿宋" w:hAnsi="仿宋" w:eastAsia="仿宋"/>
          <w:color w:val="auto"/>
          <w:sz w:val="24"/>
          <w:highlight w:val="none"/>
        </w:rPr>
        <w:t>装备验收组</w:t>
      </w:r>
      <w:r>
        <w:rPr>
          <w:rFonts w:ascii="仿宋" w:hAnsi="仿宋" w:eastAsia="仿宋"/>
          <w:color w:val="auto"/>
          <w:sz w:val="24"/>
          <w:highlight w:val="none"/>
        </w:rPr>
        <w:t>统一汇总支</w:t>
      </w:r>
      <w:r>
        <w:rPr>
          <w:rFonts w:hint="eastAsia" w:ascii="仿宋" w:hAnsi="仿宋" w:eastAsia="仿宋"/>
          <w:color w:val="auto"/>
          <w:sz w:val="24"/>
          <w:highlight w:val="none"/>
        </w:rPr>
        <w:t>、</w:t>
      </w:r>
      <w:r>
        <w:rPr>
          <w:rFonts w:ascii="仿宋" w:hAnsi="仿宋" w:eastAsia="仿宋"/>
          <w:color w:val="auto"/>
          <w:sz w:val="24"/>
          <w:highlight w:val="none"/>
        </w:rPr>
        <w:t>总队验收情况，形成验收结论报告，</w:t>
      </w:r>
      <w:r>
        <w:rPr>
          <w:rFonts w:hint="eastAsia" w:ascii="仿宋" w:hAnsi="仿宋" w:eastAsia="仿宋"/>
          <w:color w:val="auto"/>
          <w:sz w:val="24"/>
          <w:highlight w:val="none"/>
        </w:rPr>
        <w:t>按程序</w:t>
      </w:r>
      <w:r>
        <w:rPr>
          <w:rFonts w:ascii="仿宋" w:hAnsi="仿宋" w:eastAsia="仿宋"/>
          <w:color w:val="auto"/>
          <w:sz w:val="24"/>
          <w:highlight w:val="none"/>
        </w:rPr>
        <w:t>提交总队</w:t>
      </w:r>
      <w:r>
        <w:rPr>
          <w:rFonts w:hint="eastAsia" w:ascii="仿宋" w:hAnsi="仿宋" w:eastAsia="仿宋"/>
          <w:color w:val="auto"/>
          <w:sz w:val="24"/>
          <w:highlight w:val="none"/>
        </w:rPr>
        <w:t>采购领导小组</w:t>
      </w:r>
      <w:r>
        <w:rPr>
          <w:rFonts w:ascii="仿宋" w:hAnsi="仿宋" w:eastAsia="仿宋"/>
          <w:color w:val="auto"/>
          <w:sz w:val="24"/>
          <w:highlight w:val="none"/>
        </w:rPr>
        <w:t>审批。</w:t>
      </w:r>
    </w:p>
    <w:p>
      <w:pPr>
        <w:spacing w:line="46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5.</w:t>
      </w:r>
      <w:r>
        <w:rPr>
          <w:rFonts w:ascii="仿宋" w:hAnsi="仿宋" w:eastAsia="仿宋"/>
          <w:color w:val="auto"/>
          <w:sz w:val="24"/>
          <w:highlight w:val="none"/>
        </w:rPr>
        <w:t>出具意见</w:t>
      </w:r>
      <w:r>
        <w:rPr>
          <w:rFonts w:hint="eastAsia" w:ascii="仿宋" w:hAnsi="仿宋" w:eastAsia="仿宋"/>
          <w:color w:val="auto"/>
          <w:sz w:val="24"/>
          <w:highlight w:val="none"/>
        </w:rPr>
        <w:t>。</w:t>
      </w:r>
      <w:r>
        <w:rPr>
          <w:rFonts w:ascii="仿宋" w:hAnsi="仿宋" w:eastAsia="仿宋"/>
          <w:color w:val="auto"/>
          <w:sz w:val="24"/>
          <w:highlight w:val="none"/>
        </w:rPr>
        <w:t>总</w:t>
      </w:r>
      <w:r>
        <w:rPr>
          <w:rFonts w:hint="eastAsia" w:ascii="仿宋" w:hAnsi="仿宋" w:eastAsia="仿宋"/>
          <w:color w:val="auto"/>
          <w:sz w:val="24"/>
          <w:highlight w:val="none"/>
        </w:rPr>
        <w:t>（</w:t>
      </w:r>
      <w:r>
        <w:rPr>
          <w:rFonts w:ascii="仿宋" w:hAnsi="仿宋" w:eastAsia="仿宋"/>
          <w:color w:val="auto"/>
          <w:sz w:val="24"/>
          <w:highlight w:val="none"/>
        </w:rPr>
        <w:t>支</w:t>
      </w:r>
      <w:r>
        <w:rPr>
          <w:rFonts w:hint="eastAsia" w:ascii="仿宋" w:hAnsi="仿宋" w:eastAsia="仿宋"/>
          <w:color w:val="auto"/>
          <w:sz w:val="24"/>
          <w:highlight w:val="none"/>
        </w:rPr>
        <w:t>）</w:t>
      </w:r>
      <w:r>
        <w:rPr>
          <w:rFonts w:ascii="仿宋" w:hAnsi="仿宋" w:eastAsia="仿宋"/>
          <w:color w:val="auto"/>
          <w:sz w:val="24"/>
          <w:highlight w:val="none"/>
        </w:rPr>
        <w:t>队</w:t>
      </w:r>
      <w:r>
        <w:rPr>
          <w:rFonts w:hint="eastAsia" w:ascii="仿宋" w:hAnsi="仿宋" w:eastAsia="仿宋"/>
          <w:color w:val="auto"/>
          <w:sz w:val="24"/>
          <w:highlight w:val="none"/>
        </w:rPr>
        <w:t>装备验收组</w:t>
      </w:r>
      <w:r>
        <w:rPr>
          <w:rFonts w:ascii="仿宋" w:hAnsi="仿宋" w:eastAsia="仿宋"/>
          <w:color w:val="auto"/>
          <w:sz w:val="24"/>
          <w:highlight w:val="none"/>
        </w:rPr>
        <w:t>根据总队审批结果，下达意见书。一致性验收的，由总队</w:t>
      </w:r>
      <w:r>
        <w:rPr>
          <w:rFonts w:hint="eastAsia" w:ascii="仿宋" w:hAnsi="仿宋" w:eastAsia="仿宋"/>
          <w:color w:val="auto"/>
          <w:sz w:val="24"/>
          <w:highlight w:val="none"/>
        </w:rPr>
        <w:t>装备验收组</w:t>
      </w:r>
      <w:r>
        <w:rPr>
          <w:rFonts w:ascii="仿宋" w:hAnsi="仿宋" w:eastAsia="仿宋"/>
          <w:color w:val="auto"/>
          <w:sz w:val="24"/>
          <w:highlight w:val="none"/>
        </w:rPr>
        <w:t>出具《消防车辆（器材）一致性验收意见书》《消防车辆（器材）一致性验收整改意见书》；质量性能验收的，由支队</w:t>
      </w:r>
      <w:r>
        <w:rPr>
          <w:rFonts w:hint="eastAsia" w:ascii="仿宋" w:hAnsi="仿宋" w:eastAsia="仿宋"/>
          <w:color w:val="auto"/>
          <w:sz w:val="24"/>
          <w:highlight w:val="none"/>
        </w:rPr>
        <w:t>装备验收组</w:t>
      </w:r>
      <w:r>
        <w:rPr>
          <w:rFonts w:ascii="仿宋" w:hAnsi="仿宋" w:eastAsia="仿宋"/>
          <w:color w:val="auto"/>
          <w:sz w:val="24"/>
          <w:highlight w:val="none"/>
        </w:rPr>
        <w:t>出具《消防车辆（器材）质量性能验收意见书》《消防车辆（器材）质量性能验收整改意见书》。</w:t>
      </w:r>
    </w:p>
    <w:p>
      <w:pPr>
        <w:spacing w:line="46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6.</w:t>
      </w:r>
      <w:r>
        <w:rPr>
          <w:rFonts w:ascii="仿宋" w:hAnsi="仿宋" w:eastAsia="仿宋"/>
          <w:color w:val="auto"/>
          <w:sz w:val="24"/>
          <w:highlight w:val="none"/>
        </w:rPr>
        <w:t>提交审计</w:t>
      </w:r>
      <w:r>
        <w:rPr>
          <w:rFonts w:hint="eastAsia" w:ascii="仿宋" w:hAnsi="仿宋" w:eastAsia="仿宋"/>
          <w:color w:val="auto"/>
          <w:sz w:val="24"/>
          <w:highlight w:val="none"/>
        </w:rPr>
        <w:t>。</w:t>
      </w:r>
      <w:r>
        <w:rPr>
          <w:rFonts w:ascii="仿宋" w:hAnsi="仿宋" w:eastAsia="仿宋"/>
          <w:color w:val="auto"/>
          <w:sz w:val="24"/>
          <w:highlight w:val="none"/>
        </w:rPr>
        <w:t>总队</w:t>
      </w:r>
      <w:r>
        <w:rPr>
          <w:rFonts w:hint="eastAsia" w:ascii="仿宋" w:hAnsi="仿宋" w:eastAsia="仿宋"/>
          <w:color w:val="auto"/>
          <w:sz w:val="24"/>
          <w:highlight w:val="none"/>
        </w:rPr>
        <w:t>装备验收组</w:t>
      </w:r>
      <w:r>
        <w:rPr>
          <w:rFonts w:ascii="仿宋" w:hAnsi="仿宋" w:eastAsia="仿宋"/>
          <w:color w:val="auto"/>
          <w:sz w:val="24"/>
          <w:highlight w:val="none"/>
        </w:rPr>
        <w:t>将验收档案资料提交总队审计室开展结算审计。总队</w:t>
      </w:r>
      <w:r>
        <w:rPr>
          <w:rFonts w:hint="eastAsia" w:ascii="仿宋" w:hAnsi="仿宋" w:eastAsia="仿宋"/>
          <w:color w:val="auto"/>
          <w:sz w:val="24"/>
          <w:highlight w:val="none"/>
        </w:rPr>
        <w:t>装备验收组</w:t>
      </w:r>
      <w:r>
        <w:rPr>
          <w:rFonts w:ascii="仿宋" w:hAnsi="仿宋" w:eastAsia="仿宋"/>
          <w:color w:val="auto"/>
          <w:sz w:val="24"/>
          <w:highlight w:val="none"/>
        </w:rPr>
        <w:t>根据项目结算审计报告下发调拨单。</w:t>
      </w:r>
    </w:p>
    <w:p>
      <w:pPr>
        <w:spacing w:line="46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7.</w:t>
      </w:r>
      <w:r>
        <w:rPr>
          <w:rFonts w:ascii="仿宋" w:hAnsi="仿宋" w:eastAsia="仿宋"/>
          <w:color w:val="auto"/>
          <w:sz w:val="24"/>
          <w:highlight w:val="none"/>
        </w:rPr>
        <w:t>拨发培训</w:t>
      </w:r>
      <w:r>
        <w:rPr>
          <w:rFonts w:hint="eastAsia" w:ascii="仿宋" w:hAnsi="仿宋" w:eastAsia="仿宋"/>
          <w:color w:val="auto"/>
          <w:sz w:val="24"/>
          <w:highlight w:val="none"/>
        </w:rPr>
        <w:t>。</w:t>
      </w:r>
      <w:r>
        <w:rPr>
          <w:rFonts w:ascii="仿宋" w:hAnsi="仿宋" w:eastAsia="仿宋"/>
          <w:color w:val="auto"/>
          <w:sz w:val="24"/>
          <w:highlight w:val="none"/>
        </w:rPr>
        <w:t>装备拨发至基层队站后，供应商应在3天内组织开展操作和维护保养培训。其中，普通消防车辆操作和维护保养培训时间不少于1天，新型车辆、特种车辆操作和维护保养培训时间不少于2天；普通器材操作和维护保养</w:t>
      </w:r>
      <w:r>
        <w:rPr>
          <w:rFonts w:hint="eastAsia" w:ascii="仿宋" w:hAnsi="仿宋" w:eastAsia="仿宋"/>
          <w:color w:val="auto"/>
          <w:sz w:val="24"/>
          <w:highlight w:val="none"/>
        </w:rPr>
        <w:t>培训</w:t>
      </w:r>
      <w:r>
        <w:rPr>
          <w:rFonts w:ascii="仿宋" w:hAnsi="仿宋" w:eastAsia="仿宋"/>
          <w:color w:val="auto"/>
          <w:sz w:val="24"/>
          <w:highlight w:val="none"/>
        </w:rPr>
        <w:t>时间不少于半天，新型器材、操作复杂的器材操作和维护保养</w:t>
      </w:r>
      <w:r>
        <w:rPr>
          <w:rFonts w:hint="eastAsia" w:ascii="仿宋" w:hAnsi="仿宋" w:eastAsia="仿宋"/>
          <w:color w:val="auto"/>
          <w:sz w:val="24"/>
          <w:highlight w:val="none"/>
        </w:rPr>
        <w:t>培训</w:t>
      </w:r>
      <w:r>
        <w:rPr>
          <w:rFonts w:ascii="仿宋" w:hAnsi="仿宋" w:eastAsia="仿宋"/>
          <w:color w:val="auto"/>
          <w:sz w:val="24"/>
          <w:highlight w:val="none"/>
        </w:rPr>
        <w:t>时间不少于1天。</w:t>
      </w:r>
    </w:p>
    <w:p>
      <w:pPr>
        <w:spacing w:line="460" w:lineRule="exact"/>
        <w:ind w:firstLine="482" w:firstLineChars="200"/>
        <w:rPr>
          <w:rFonts w:ascii="仿宋" w:hAnsi="仿宋" w:eastAsia="仿宋"/>
          <w:b/>
          <w:bCs/>
          <w:color w:val="auto"/>
          <w:sz w:val="24"/>
          <w:highlight w:val="none"/>
        </w:rPr>
      </w:pPr>
      <w:r>
        <w:rPr>
          <w:rFonts w:hint="eastAsia" w:ascii="仿宋" w:hAnsi="仿宋" w:eastAsia="仿宋"/>
          <w:b/>
          <w:bCs/>
          <w:color w:val="auto"/>
          <w:sz w:val="24"/>
          <w:highlight w:val="none"/>
        </w:rPr>
        <w:t>二、验收内容</w:t>
      </w:r>
    </w:p>
    <w:p>
      <w:pPr>
        <w:spacing w:line="460" w:lineRule="exact"/>
        <w:ind w:firstLine="480" w:firstLineChars="200"/>
        <w:rPr>
          <w:rFonts w:ascii="仿宋" w:hAnsi="仿宋" w:eastAsia="仿宋"/>
          <w:bCs/>
          <w:color w:val="auto"/>
          <w:sz w:val="24"/>
          <w:highlight w:val="none"/>
        </w:rPr>
      </w:pPr>
      <w:r>
        <w:rPr>
          <w:rFonts w:hint="eastAsia" w:ascii="仿宋" w:hAnsi="仿宋" w:eastAsia="仿宋"/>
          <w:bCs/>
          <w:color w:val="auto"/>
          <w:sz w:val="24"/>
          <w:highlight w:val="none"/>
        </w:rPr>
        <w:t>（一）消防</w:t>
      </w:r>
      <w:r>
        <w:rPr>
          <w:rFonts w:ascii="仿宋" w:hAnsi="仿宋" w:eastAsia="仿宋"/>
          <w:color w:val="auto"/>
          <w:sz w:val="24"/>
          <w:highlight w:val="none"/>
        </w:rPr>
        <w:t>车辆验收</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消防车辆的一致性验收和质量性能验收采取逐辆验收的方法进行</w:t>
      </w:r>
      <w:r>
        <w:rPr>
          <w:rFonts w:hint="eastAsia" w:ascii="仿宋" w:hAnsi="仿宋" w:eastAsia="仿宋"/>
          <w:color w:val="auto"/>
          <w:sz w:val="24"/>
          <w:highlight w:val="none"/>
        </w:rPr>
        <w:t>，</w:t>
      </w:r>
      <w:r>
        <w:rPr>
          <w:rFonts w:ascii="仿宋" w:hAnsi="仿宋" w:eastAsia="仿宋"/>
          <w:color w:val="auto"/>
          <w:sz w:val="24"/>
          <w:highlight w:val="none"/>
        </w:rPr>
        <w:t>批量采购的</w:t>
      </w:r>
      <w:r>
        <w:rPr>
          <w:rFonts w:hint="eastAsia" w:ascii="仿宋" w:hAnsi="仿宋" w:eastAsia="仿宋"/>
          <w:color w:val="auto"/>
          <w:sz w:val="24"/>
          <w:highlight w:val="none"/>
        </w:rPr>
        <w:t>消防车辆</w:t>
      </w:r>
      <w:r>
        <w:rPr>
          <w:rFonts w:ascii="仿宋" w:hAnsi="仿宋" w:eastAsia="仿宋"/>
          <w:color w:val="auto"/>
          <w:sz w:val="24"/>
          <w:highlight w:val="none"/>
        </w:rPr>
        <w:t>可视情进行生产过程检查。</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1.车辆一致性验收主要内容：</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1）资料审查。审查资料的齐全性、真实性、有效性、合法性等，经审查资料不合格的，不予进入外观检查、部件检查和性能测试等验收环节。主要包含工信部公告、出厂检验报告、整车合格证、底盘驾驶员操作手册、上装操作手册、底盘维修手册、保养保修手册、零件目录图册、上装维修手册、保养保修手册及云梯、水泵结构图、水管路、液压、电路配线系统图、附属外购设备和随车器材的使用说明书、维修保养手册、购车发票（一式四联、按国家规定要求的增值税发票），罐类消防车需提供总队水力性能测试站出具的水力性能检测报告。</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（2）外观检查</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①油漆的颜色及光亮度；</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②外表的平整度；</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③车门及卷帘门的密封；</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④车上各主要部件铭牌标牌、警示标志和重要设备操作流程图。</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（3）部件检查</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①底盘、泵、炮、取力器、臂架、压缩空气泡沫系统、起吊设备、牵引设备等主要部件的规格型号；</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 xml:space="preserve">②固定升降照明灯、固定排烟设备、警灯、警报、车灯、空调、照明、发电机、消防梯等附属设备的规格型号； </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③随车器材的数量、规格和型号；</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④车门、卷帘门、器材箱、翻板、踏板等的材质、结构布局、紧密程度等；</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⑤其他部件的检查。</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2.车辆质量性能验收主要内容：</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按照《</w:t>
      </w:r>
      <w:r>
        <w:rPr>
          <w:rFonts w:hint="eastAsia" w:ascii="仿宋" w:hAnsi="仿宋" w:eastAsia="仿宋"/>
          <w:color w:val="auto"/>
          <w:sz w:val="24"/>
          <w:highlight w:val="none"/>
        </w:rPr>
        <w:t>〈</w:t>
      </w:r>
      <w:r>
        <w:rPr>
          <w:rFonts w:ascii="仿宋" w:hAnsi="仿宋" w:eastAsia="仿宋"/>
          <w:color w:val="auto"/>
          <w:sz w:val="24"/>
          <w:highlight w:val="none"/>
        </w:rPr>
        <w:t>中华人民共和国公共安全行业标准</w:t>
      </w:r>
      <w:r>
        <w:rPr>
          <w:rFonts w:hint="eastAsia" w:ascii="仿宋" w:hAnsi="仿宋" w:eastAsia="仿宋"/>
          <w:color w:val="auto"/>
          <w:sz w:val="24"/>
          <w:highlight w:val="none"/>
        </w:rPr>
        <w:t>〉</w:t>
      </w:r>
      <w:r>
        <w:rPr>
          <w:rFonts w:ascii="仿宋" w:hAnsi="仿宋" w:eastAsia="仿宋"/>
          <w:color w:val="auto"/>
          <w:sz w:val="24"/>
          <w:highlight w:val="none"/>
        </w:rPr>
        <w:t>——消防车 消防要求和试验方法（GA 39-2016）》逐车进行测试和检测，主要包括吸水（泡沫）、出水（泡沫）、举升、牵引、起吊、照明等内容测试和行驶、操纵等能力测试，每辆车性能测试内容应逐个项目开展，其中长时间、抗疲劳、极限测试均必须按照相关标准及合同要求达到最短测试时长和装备部件操作极限强度。</w:t>
      </w:r>
    </w:p>
    <w:p>
      <w:pPr>
        <w:spacing w:line="460" w:lineRule="exact"/>
        <w:ind w:firstLine="480" w:firstLineChars="200"/>
        <w:rPr>
          <w:rFonts w:ascii="仿宋" w:hAnsi="仿宋" w:eastAsia="仿宋"/>
          <w:bCs/>
          <w:color w:val="auto"/>
          <w:sz w:val="24"/>
          <w:highlight w:val="none"/>
        </w:rPr>
      </w:pPr>
      <w:r>
        <w:rPr>
          <w:rFonts w:hint="eastAsia" w:ascii="仿宋" w:hAnsi="仿宋" w:eastAsia="仿宋"/>
          <w:bCs/>
          <w:color w:val="auto"/>
          <w:sz w:val="24"/>
          <w:highlight w:val="none"/>
        </w:rPr>
        <w:t>（二）消防器材</w:t>
      </w:r>
      <w:r>
        <w:rPr>
          <w:rFonts w:ascii="仿宋" w:hAnsi="仿宋" w:eastAsia="仿宋"/>
          <w:bCs/>
          <w:color w:val="auto"/>
          <w:sz w:val="24"/>
          <w:highlight w:val="none"/>
        </w:rPr>
        <w:t>验收</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1.器材一致性验收主要内容：</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（1）资料审查</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审查资料的齐全性、真实性、有效性、合法性等，经审查资料不合格的，不予进入外观检查和性能测试等验收环节。</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（2）外观检查</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①器材外观颜色及光亮度是否符合要求；</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②外表应光滑无毛刺、起毛现象；</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③铭牌标牌是否与标书一致。</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2.器材质量性能验收主要内容：</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按照招投标文件、检测报告、国家行业标准组织开展性能测试，检查各组成部件是否齐全，规格型号是否与标书文件一致，并对主要性能进行测试。</w:t>
      </w:r>
    </w:p>
    <w:p>
      <w:pPr>
        <w:spacing w:line="460" w:lineRule="exact"/>
        <w:ind w:firstLine="480" w:firstLineChars="200"/>
        <w:rPr>
          <w:rFonts w:ascii="仿宋" w:hAnsi="仿宋" w:eastAsia="仿宋"/>
          <w:bCs/>
          <w:color w:val="auto"/>
          <w:sz w:val="24"/>
          <w:highlight w:val="none"/>
        </w:rPr>
      </w:pPr>
      <w:r>
        <w:rPr>
          <w:rFonts w:hint="eastAsia" w:ascii="仿宋" w:hAnsi="仿宋" w:eastAsia="仿宋"/>
          <w:bCs/>
          <w:color w:val="auto"/>
          <w:sz w:val="24"/>
          <w:highlight w:val="none"/>
        </w:rPr>
        <w:t>（三）其他装备验收</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消防船艇的验收至少包括以下内容：</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1.船体验收：油漆、标志、船型、适用航区、主尺度是否与合同一致。</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2.性能验收：航速、续航能力、稳性、泵炮性能、水系统、泡沫系统是否与合同一致，是否完整好用。</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3.船体结构验收：船体材料、结构形式、舾装、锚设备、舵设备、单臂回转吊架及工作艇、舱室设备、救生设备、消防设备、信号设备、防止船舶造成污染结构设备是否与合同一致，是否完整好用。</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4.轮机部分验收：主推进装备、轴系、机舱布置、侧推装备、对外消防系统、燃油系统、滑油及污油系统、冷却水系统、排气系统、压缩空气系统、舱底消防水系统、油污水处理系统、生活用水系统、生活污水排放系统、通风和空调系统、测深注入和透气系统、操纵监控及通信系统、机舱维修设备是否与合同一致，是否完整好用。</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5.电气部分验收：发电机、电动机、照明、生活娱乐设备、航行、无线电、助航设备、船通信、报警设备是否与合同一致，是否完整好用。</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消防飞行器的验收至少包括以下内容：</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1.一致性验收：机型、重量、尺寸、颜色、功能模块是否与合同一致、是否提供产品合格证、中文使用说明书。</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2.质量性能验收：导航、飞控、动力、链路、电气、发动机等主要无人机系统是否完整好用；通信</w:t>
      </w:r>
      <w:r>
        <w:rPr>
          <w:rFonts w:hint="eastAsia" w:ascii="仿宋" w:hAnsi="仿宋" w:eastAsia="仿宋"/>
          <w:color w:val="auto"/>
          <w:sz w:val="24"/>
          <w:highlight w:val="none"/>
        </w:rPr>
        <w:t>、</w:t>
      </w:r>
      <w:r>
        <w:rPr>
          <w:rFonts w:ascii="仿宋" w:hAnsi="仿宋" w:eastAsia="仿宋"/>
          <w:color w:val="auto"/>
          <w:sz w:val="24"/>
          <w:highlight w:val="none"/>
        </w:rPr>
        <w:t>摄录</w:t>
      </w:r>
      <w:r>
        <w:rPr>
          <w:rFonts w:hint="eastAsia" w:ascii="仿宋" w:hAnsi="仿宋" w:eastAsia="仿宋"/>
          <w:color w:val="auto"/>
          <w:sz w:val="24"/>
          <w:highlight w:val="none"/>
        </w:rPr>
        <w:t>、</w:t>
      </w:r>
      <w:r>
        <w:rPr>
          <w:rFonts w:ascii="仿宋" w:hAnsi="仿宋" w:eastAsia="仿宋"/>
          <w:color w:val="auto"/>
          <w:sz w:val="24"/>
          <w:highlight w:val="none"/>
        </w:rPr>
        <w:t>灭火等功能模块是否与招标文件一致，是否完整好用；飞行半径、高度、时间是否与招标文件一致；信号接收设备等附属设备是否与招标文件一致，是否完整好用。</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消防机器人的验收至少包括以下内容：</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1.一致性验收：机型、重量、尺寸、颜色、功能模块是否与合同一致、是否提供产品合格证、中文使用说明书。</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2.质量性能验收：导航、遥控、动力、通信、电气、管路、泵、炮等主要系统是否完整好用；通信</w:t>
      </w:r>
      <w:r>
        <w:rPr>
          <w:rFonts w:hint="eastAsia" w:ascii="仿宋" w:hAnsi="仿宋" w:eastAsia="仿宋"/>
          <w:color w:val="auto"/>
          <w:sz w:val="24"/>
          <w:highlight w:val="none"/>
        </w:rPr>
        <w:t>、</w:t>
      </w:r>
      <w:r>
        <w:rPr>
          <w:rFonts w:ascii="仿宋" w:hAnsi="仿宋" w:eastAsia="仿宋"/>
          <w:color w:val="auto"/>
          <w:sz w:val="24"/>
          <w:highlight w:val="none"/>
        </w:rPr>
        <w:t>侦检</w:t>
      </w:r>
      <w:r>
        <w:rPr>
          <w:rFonts w:hint="eastAsia" w:ascii="仿宋" w:hAnsi="仿宋" w:eastAsia="仿宋"/>
          <w:color w:val="auto"/>
          <w:sz w:val="24"/>
          <w:highlight w:val="none"/>
        </w:rPr>
        <w:t>、</w:t>
      </w:r>
      <w:r>
        <w:rPr>
          <w:rFonts w:ascii="仿宋" w:hAnsi="仿宋" w:eastAsia="仿宋"/>
          <w:color w:val="auto"/>
          <w:sz w:val="24"/>
          <w:highlight w:val="none"/>
        </w:rPr>
        <w:t>排烟、灭火等功能模块是否与招标文件一致，是否完整好用；转弯半径、越障能力、拖拽能力、连续工作时间是否与招标文件一致；信号接收设备等附属设备是否与招标文件一致，是否完整好用。</w:t>
      </w:r>
    </w:p>
    <w:bookmarkEnd w:id="251"/>
    <w:bookmarkEnd w:id="252"/>
    <w:p>
      <w:pPr>
        <w:spacing w:line="460" w:lineRule="exact"/>
        <w:ind w:firstLine="482" w:firstLineChars="200"/>
        <w:rPr>
          <w:rFonts w:ascii="仿宋" w:hAnsi="仿宋" w:eastAsia="仿宋"/>
          <w:color w:val="auto"/>
          <w:sz w:val="24"/>
          <w:highlight w:val="none"/>
        </w:rPr>
      </w:pPr>
      <w:bookmarkStart w:id="253" w:name="_Toc15847"/>
      <w:bookmarkStart w:id="254" w:name="_Toc19956"/>
      <w:r>
        <w:rPr>
          <w:rFonts w:hint="eastAsia" w:ascii="仿宋" w:hAnsi="仿宋" w:eastAsia="仿宋"/>
          <w:b/>
          <w:bCs/>
          <w:color w:val="auto"/>
          <w:sz w:val="24"/>
          <w:highlight w:val="none"/>
        </w:rPr>
        <w:t>三、注意事项</w:t>
      </w:r>
      <w:bookmarkEnd w:id="253"/>
      <w:bookmarkEnd w:id="254"/>
    </w:p>
    <w:p>
      <w:pPr>
        <w:spacing w:line="460" w:lineRule="exact"/>
        <w:ind w:firstLine="480" w:firstLineChars="200"/>
        <w:rPr>
          <w:rFonts w:ascii="仿宋" w:hAnsi="仿宋" w:eastAsia="仿宋" w:cs="仿宋"/>
          <w:color w:val="auto"/>
          <w:sz w:val="24"/>
          <w:highlight w:val="none"/>
        </w:rPr>
      </w:pPr>
      <w:r>
        <w:rPr>
          <w:rFonts w:hint="eastAsia" w:ascii="仿宋" w:hAnsi="仿宋" w:eastAsia="仿宋"/>
          <w:color w:val="auto"/>
          <w:sz w:val="24"/>
          <w:highlight w:val="none"/>
        </w:rPr>
        <w:t>验收具体要求详见《</w:t>
      </w:r>
      <w:r>
        <w:rPr>
          <w:rFonts w:ascii="仿宋" w:hAnsi="仿宋" w:eastAsia="仿宋"/>
          <w:color w:val="auto"/>
          <w:sz w:val="24"/>
          <w:highlight w:val="none"/>
        </w:rPr>
        <w:t>江西省消防救援队伍灭火救援装备验收办法</w:t>
      </w:r>
      <w:r>
        <w:rPr>
          <w:rFonts w:hint="eastAsia" w:ascii="仿宋" w:hAnsi="仿宋" w:eastAsia="仿宋"/>
          <w:color w:val="auto"/>
          <w:sz w:val="24"/>
          <w:highlight w:val="none"/>
        </w:rPr>
        <w:t>（试行）</w:t>
      </w:r>
      <w:r>
        <w:rPr>
          <w:rFonts w:ascii="仿宋" w:hAnsi="仿宋" w:eastAsia="仿宋"/>
          <w:color w:val="auto"/>
          <w:sz w:val="24"/>
          <w:highlight w:val="none"/>
        </w:rPr>
        <w:t>》</w:t>
      </w:r>
      <w:r>
        <w:rPr>
          <w:rFonts w:hint="eastAsia" w:ascii="仿宋" w:hAnsi="仿宋" w:eastAsia="仿宋"/>
          <w:color w:val="auto"/>
          <w:sz w:val="24"/>
          <w:highlight w:val="none"/>
        </w:rPr>
        <w:t>。若总队印发新的文件通知或有新的实施要求，则按最新的文件通知或要求组织实施。</w:t>
      </w:r>
    </w:p>
    <w:p>
      <w:pPr>
        <w:widowControl/>
        <w:snapToGrid w:val="0"/>
        <w:spacing w:line="460" w:lineRule="exact"/>
        <w:ind w:firstLine="420" w:firstLineChars="200"/>
        <w:rPr>
          <w:color w:val="auto"/>
          <w:highlight w:val="none"/>
        </w:rPr>
      </w:pPr>
    </w:p>
    <w:p>
      <w:pPr>
        <w:pStyle w:val="13"/>
        <w:rPr>
          <w:color w:val="auto"/>
          <w:highlight w:val="none"/>
        </w:rPr>
        <w:sectPr>
          <w:footerReference r:id="rId14" w:type="first"/>
          <w:footerReference r:id="rId13" w:type="default"/>
          <w:pgSz w:w="11907" w:h="16840"/>
          <w:pgMar w:top="1111" w:right="1134" w:bottom="936" w:left="1134" w:header="425" w:footer="573" w:gutter="0"/>
          <w:cols w:space="720" w:num="1"/>
          <w:titlePg/>
          <w:docGrid w:linePitch="462" w:charSpace="0"/>
        </w:sectPr>
      </w:pPr>
    </w:p>
    <w:p>
      <w:pPr>
        <w:jc w:val="center"/>
        <w:rPr>
          <w:rFonts w:eastAsia="仿宋"/>
          <w:b/>
          <w:color w:val="auto"/>
          <w:sz w:val="44"/>
          <w:szCs w:val="44"/>
          <w:highlight w:val="none"/>
        </w:rPr>
      </w:pPr>
      <w:r>
        <w:rPr>
          <w:rFonts w:hint="eastAsia" w:eastAsia="仿宋"/>
          <w:b/>
          <w:color w:val="auto"/>
          <w:sz w:val="44"/>
          <w:szCs w:val="44"/>
          <w:highlight w:val="none"/>
        </w:rPr>
        <w:t>消防器材验收申请表</w:t>
      </w:r>
    </w:p>
    <w:p>
      <w:pPr>
        <w:ind w:firstLine="470" w:firstLineChars="196"/>
        <w:rPr>
          <w:bCs/>
          <w:color w:val="auto"/>
          <w:sz w:val="24"/>
          <w:szCs w:val="24"/>
          <w:highlight w:val="none"/>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eastAsia="仿宋"/>
          <w:bCs/>
          <w:color w:val="auto"/>
          <w:sz w:val="24"/>
          <w:szCs w:val="24"/>
          <w:highlight w:val="none"/>
        </w:rPr>
      </w:pPr>
      <w:r>
        <w:rPr>
          <w:rFonts w:eastAsia="仿宋"/>
          <w:bCs/>
          <w:color w:val="auto"/>
          <w:sz w:val="24"/>
          <w:szCs w:val="24"/>
          <w:highlight w:val="none"/>
        </w:rPr>
        <w:t>江西省消防救援总队：</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eastAsia="仿宋"/>
          <w:bCs/>
          <w:color w:val="auto"/>
          <w:sz w:val="24"/>
          <w:szCs w:val="24"/>
          <w:highlight w:val="none"/>
        </w:rPr>
      </w:pPr>
      <w:r>
        <w:rPr>
          <w:rFonts w:eastAsia="仿宋"/>
          <w:bCs/>
          <w:color w:val="auto"/>
          <w:sz w:val="24"/>
          <w:szCs w:val="24"/>
          <w:highlight w:val="none"/>
        </w:rPr>
        <w:t>我公司（盖章）下列器材已按合同要求准备完毕，现提出到货验收申请，请贵单位安排相关验收人员组织验收。我公司郑重承诺，若提供的材料失真、失实，自愿承担一切后果。</w:t>
      </w:r>
    </w:p>
    <w:p>
      <w:pPr>
        <w:pStyle w:val="13"/>
        <w:keepNext w:val="0"/>
        <w:keepLines w:val="0"/>
        <w:pageBreakBefore w:val="0"/>
        <w:widowControl w:val="0"/>
        <w:kinsoku/>
        <w:wordWrap/>
        <w:overflowPunct/>
        <w:topLinePunct w:val="0"/>
        <w:autoSpaceDE/>
        <w:autoSpaceDN/>
        <w:bidi w:val="0"/>
        <w:adjustRightInd/>
        <w:snapToGrid/>
        <w:spacing w:line="500" w:lineRule="exact"/>
        <w:textAlignment w:val="auto"/>
        <w:rPr>
          <w:color w:val="auto"/>
          <w:highlight w:val="none"/>
        </w:rPr>
      </w:pPr>
    </w:p>
    <w:tbl>
      <w:tblPr>
        <w:tblStyle w:val="42"/>
        <w:tblW w:w="98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1"/>
        <w:gridCol w:w="1129"/>
        <w:gridCol w:w="3008"/>
        <w:gridCol w:w="1314"/>
        <w:gridCol w:w="1091"/>
        <w:gridCol w:w="1162"/>
        <w:gridCol w:w="1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rPr>
        <w:tc>
          <w:tcPr>
            <w:tcW w:w="18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仿宋"/>
                <w:b/>
                <w:bCs/>
                <w:color w:val="auto"/>
                <w:sz w:val="24"/>
                <w:szCs w:val="24"/>
                <w:highlight w:val="none"/>
              </w:rPr>
            </w:pPr>
            <w:r>
              <w:rPr>
                <w:rFonts w:hint="eastAsia" w:eastAsia="仿宋"/>
                <w:b/>
                <w:bCs/>
                <w:color w:val="auto"/>
                <w:sz w:val="24"/>
                <w:szCs w:val="24"/>
                <w:highlight w:val="none"/>
              </w:rPr>
              <w:t>项目</w:t>
            </w:r>
            <w:r>
              <w:rPr>
                <w:rFonts w:eastAsia="仿宋"/>
                <w:b/>
                <w:bCs/>
                <w:color w:val="auto"/>
                <w:sz w:val="24"/>
                <w:szCs w:val="24"/>
                <w:highlight w:val="none"/>
              </w:rPr>
              <w:t>/</w:t>
            </w:r>
            <w:r>
              <w:rPr>
                <w:rFonts w:hint="eastAsia" w:eastAsia="仿宋"/>
                <w:b/>
                <w:bCs/>
                <w:color w:val="auto"/>
                <w:sz w:val="24"/>
                <w:szCs w:val="24"/>
                <w:highlight w:val="none"/>
              </w:rPr>
              <w:t>合同编号</w:t>
            </w:r>
          </w:p>
        </w:tc>
        <w:tc>
          <w:tcPr>
            <w:tcW w:w="30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仿宋"/>
                <w:b/>
                <w:bCs/>
                <w:color w:val="auto"/>
                <w:sz w:val="24"/>
                <w:szCs w:val="24"/>
                <w:highlight w:val="none"/>
              </w:rPr>
            </w:pPr>
            <w:r>
              <w:rPr>
                <w:rFonts w:hint="eastAsia" w:eastAsia="仿宋"/>
                <w:b/>
                <w:bCs/>
                <w:color w:val="auto"/>
                <w:sz w:val="24"/>
                <w:szCs w:val="24"/>
                <w:highlight w:val="none"/>
              </w:rPr>
              <w:t>装备名称</w:t>
            </w: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仿宋"/>
                <w:b/>
                <w:bCs/>
                <w:color w:val="auto"/>
                <w:sz w:val="24"/>
                <w:szCs w:val="24"/>
                <w:highlight w:val="none"/>
              </w:rPr>
            </w:pPr>
            <w:r>
              <w:rPr>
                <w:rFonts w:hint="eastAsia" w:eastAsia="仿宋"/>
                <w:b/>
                <w:bCs/>
                <w:color w:val="auto"/>
                <w:sz w:val="24"/>
                <w:szCs w:val="24"/>
                <w:highlight w:val="none"/>
              </w:rPr>
              <w:t>数量</w:t>
            </w:r>
          </w:p>
        </w:tc>
        <w:tc>
          <w:tcPr>
            <w:tcW w:w="109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仿宋"/>
                <w:b/>
                <w:bCs/>
                <w:color w:val="auto"/>
                <w:sz w:val="24"/>
                <w:szCs w:val="24"/>
                <w:highlight w:val="none"/>
              </w:rPr>
            </w:pPr>
            <w:r>
              <w:rPr>
                <w:rFonts w:hint="eastAsia" w:eastAsia="仿宋"/>
                <w:b/>
                <w:bCs/>
                <w:color w:val="auto"/>
                <w:sz w:val="24"/>
                <w:szCs w:val="24"/>
                <w:highlight w:val="none"/>
              </w:rPr>
              <w:t>单价</w:t>
            </w:r>
          </w:p>
        </w:tc>
        <w:tc>
          <w:tcPr>
            <w:tcW w:w="116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仿宋"/>
                <w:b/>
                <w:bCs/>
                <w:color w:val="auto"/>
                <w:sz w:val="24"/>
                <w:szCs w:val="24"/>
                <w:highlight w:val="none"/>
              </w:rPr>
            </w:pPr>
            <w:r>
              <w:rPr>
                <w:rFonts w:hint="eastAsia" w:eastAsia="仿宋"/>
                <w:b/>
                <w:bCs/>
                <w:color w:val="auto"/>
                <w:sz w:val="24"/>
                <w:szCs w:val="24"/>
                <w:highlight w:val="none"/>
              </w:rPr>
              <w:t>总价</w:t>
            </w:r>
          </w:p>
        </w:tc>
        <w:tc>
          <w:tcPr>
            <w:tcW w:w="139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仿宋"/>
                <w:b/>
                <w:bCs/>
                <w:color w:val="auto"/>
                <w:sz w:val="24"/>
                <w:szCs w:val="24"/>
                <w:highlight w:val="none"/>
              </w:rPr>
            </w:pPr>
            <w:r>
              <w:rPr>
                <w:rFonts w:hint="eastAsia" w:eastAsia="仿宋"/>
                <w:b/>
                <w:bCs/>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8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kern w:val="0"/>
                <w:sz w:val="20"/>
                <w:highlight w:val="none"/>
              </w:rPr>
            </w:pPr>
          </w:p>
        </w:tc>
        <w:tc>
          <w:tcPr>
            <w:tcW w:w="30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kern w:val="0"/>
                <w:sz w:val="20"/>
                <w:highlight w:val="none"/>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kern w:val="0"/>
                <w:sz w:val="20"/>
                <w:highlight w:val="none"/>
              </w:rPr>
            </w:pPr>
          </w:p>
        </w:tc>
        <w:tc>
          <w:tcPr>
            <w:tcW w:w="109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sz w:val="20"/>
                <w:highlight w:val="none"/>
              </w:rPr>
            </w:pPr>
          </w:p>
        </w:tc>
        <w:tc>
          <w:tcPr>
            <w:tcW w:w="116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sz w:val="20"/>
                <w:highlight w:val="none"/>
              </w:rPr>
            </w:pPr>
          </w:p>
        </w:tc>
        <w:tc>
          <w:tcPr>
            <w:tcW w:w="139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8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kern w:val="0"/>
                <w:sz w:val="20"/>
                <w:highlight w:val="none"/>
              </w:rPr>
            </w:pPr>
          </w:p>
        </w:tc>
        <w:tc>
          <w:tcPr>
            <w:tcW w:w="30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kern w:val="0"/>
                <w:sz w:val="20"/>
                <w:highlight w:val="none"/>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kern w:val="0"/>
                <w:sz w:val="20"/>
                <w:highlight w:val="none"/>
              </w:rPr>
            </w:pPr>
          </w:p>
        </w:tc>
        <w:tc>
          <w:tcPr>
            <w:tcW w:w="109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sz w:val="20"/>
                <w:highlight w:val="none"/>
              </w:rPr>
            </w:pPr>
          </w:p>
        </w:tc>
        <w:tc>
          <w:tcPr>
            <w:tcW w:w="116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sz w:val="20"/>
                <w:highlight w:val="none"/>
              </w:rPr>
            </w:pPr>
          </w:p>
        </w:tc>
        <w:tc>
          <w:tcPr>
            <w:tcW w:w="139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8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kern w:val="0"/>
                <w:sz w:val="20"/>
                <w:highlight w:val="none"/>
              </w:rPr>
            </w:pPr>
          </w:p>
        </w:tc>
        <w:tc>
          <w:tcPr>
            <w:tcW w:w="30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kern w:val="0"/>
                <w:sz w:val="20"/>
                <w:highlight w:val="none"/>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kern w:val="0"/>
                <w:sz w:val="20"/>
                <w:highlight w:val="none"/>
              </w:rPr>
            </w:pPr>
          </w:p>
        </w:tc>
        <w:tc>
          <w:tcPr>
            <w:tcW w:w="109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sz w:val="20"/>
                <w:highlight w:val="none"/>
              </w:rPr>
            </w:pPr>
          </w:p>
        </w:tc>
        <w:tc>
          <w:tcPr>
            <w:tcW w:w="116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sz w:val="20"/>
                <w:highlight w:val="none"/>
              </w:rPr>
            </w:pPr>
          </w:p>
        </w:tc>
        <w:tc>
          <w:tcPr>
            <w:tcW w:w="139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8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kern w:val="0"/>
                <w:sz w:val="20"/>
                <w:highlight w:val="none"/>
              </w:rPr>
            </w:pPr>
          </w:p>
        </w:tc>
        <w:tc>
          <w:tcPr>
            <w:tcW w:w="30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kern w:val="0"/>
                <w:sz w:val="20"/>
                <w:highlight w:val="none"/>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kern w:val="0"/>
                <w:sz w:val="20"/>
                <w:highlight w:val="none"/>
              </w:rPr>
            </w:pPr>
          </w:p>
        </w:tc>
        <w:tc>
          <w:tcPr>
            <w:tcW w:w="109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sz w:val="20"/>
                <w:highlight w:val="none"/>
              </w:rPr>
            </w:pPr>
          </w:p>
        </w:tc>
        <w:tc>
          <w:tcPr>
            <w:tcW w:w="116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sz w:val="20"/>
                <w:highlight w:val="none"/>
              </w:rPr>
            </w:pPr>
          </w:p>
        </w:tc>
        <w:tc>
          <w:tcPr>
            <w:tcW w:w="139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8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kern w:val="0"/>
                <w:sz w:val="20"/>
                <w:highlight w:val="none"/>
              </w:rPr>
            </w:pPr>
          </w:p>
        </w:tc>
        <w:tc>
          <w:tcPr>
            <w:tcW w:w="30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kern w:val="0"/>
                <w:sz w:val="20"/>
                <w:highlight w:val="none"/>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kern w:val="0"/>
                <w:sz w:val="20"/>
                <w:highlight w:val="none"/>
              </w:rPr>
            </w:pPr>
          </w:p>
        </w:tc>
        <w:tc>
          <w:tcPr>
            <w:tcW w:w="109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sz w:val="20"/>
                <w:highlight w:val="none"/>
              </w:rPr>
            </w:pPr>
          </w:p>
        </w:tc>
        <w:tc>
          <w:tcPr>
            <w:tcW w:w="116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sz w:val="20"/>
                <w:highlight w:val="none"/>
              </w:rPr>
            </w:pPr>
          </w:p>
        </w:tc>
        <w:tc>
          <w:tcPr>
            <w:tcW w:w="139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8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kern w:val="0"/>
                <w:sz w:val="20"/>
                <w:highlight w:val="none"/>
              </w:rPr>
            </w:pPr>
          </w:p>
        </w:tc>
        <w:tc>
          <w:tcPr>
            <w:tcW w:w="30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kern w:val="0"/>
                <w:sz w:val="20"/>
                <w:highlight w:val="none"/>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kern w:val="0"/>
                <w:sz w:val="20"/>
                <w:highlight w:val="none"/>
              </w:rPr>
            </w:pPr>
          </w:p>
        </w:tc>
        <w:tc>
          <w:tcPr>
            <w:tcW w:w="109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sz w:val="20"/>
                <w:highlight w:val="none"/>
              </w:rPr>
            </w:pPr>
          </w:p>
        </w:tc>
        <w:tc>
          <w:tcPr>
            <w:tcW w:w="116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sz w:val="20"/>
                <w:highlight w:val="none"/>
              </w:rPr>
            </w:pPr>
          </w:p>
        </w:tc>
        <w:tc>
          <w:tcPr>
            <w:tcW w:w="139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rPr>
        <w:tc>
          <w:tcPr>
            <w:tcW w:w="488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仿宋"/>
                <w:b/>
                <w:color w:val="auto"/>
                <w:sz w:val="24"/>
                <w:szCs w:val="24"/>
                <w:highlight w:val="none"/>
              </w:rPr>
            </w:pPr>
            <w:r>
              <w:rPr>
                <w:rFonts w:hint="eastAsia" w:eastAsia="仿宋"/>
                <w:b/>
                <w:color w:val="auto"/>
                <w:sz w:val="24"/>
                <w:szCs w:val="24"/>
                <w:highlight w:val="none"/>
              </w:rPr>
              <w:t>验收准备资料</w:t>
            </w:r>
          </w:p>
        </w:tc>
        <w:tc>
          <w:tcPr>
            <w:tcW w:w="496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黑体_GBK"/>
                <w:b/>
                <w:color w:val="auto"/>
                <w:sz w:val="24"/>
                <w:szCs w:val="24"/>
                <w:highlight w:val="none"/>
              </w:rPr>
            </w:pPr>
            <w:r>
              <w:rPr>
                <w:rFonts w:hint="eastAsia" w:eastAsia="仿宋"/>
                <w:b/>
                <w:color w:val="auto"/>
                <w:sz w:val="24"/>
                <w:szCs w:val="24"/>
                <w:highlight w:val="none"/>
              </w:rPr>
              <w:t>是否齐全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rPr>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b/>
                <w:color w:val="auto"/>
                <w:kern w:val="0"/>
                <w:sz w:val="20"/>
                <w:highlight w:val="none"/>
              </w:rPr>
            </w:pPr>
            <w:r>
              <w:rPr>
                <w:rFonts w:eastAsia="方正仿宋_GBK"/>
                <w:b/>
                <w:color w:val="auto"/>
                <w:kern w:val="0"/>
                <w:sz w:val="20"/>
                <w:highlight w:val="none"/>
              </w:rPr>
              <w:t>1</w:t>
            </w:r>
          </w:p>
        </w:tc>
        <w:tc>
          <w:tcPr>
            <w:tcW w:w="413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eastAsia="仿宋"/>
                <w:b/>
                <w:color w:val="auto"/>
                <w:sz w:val="24"/>
                <w:szCs w:val="24"/>
                <w:highlight w:val="none"/>
              </w:rPr>
            </w:pPr>
            <w:r>
              <w:rPr>
                <w:rFonts w:hint="eastAsia" w:eastAsia="仿宋"/>
                <w:b/>
                <w:color w:val="auto"/>
                <w:sz w:val="24"/>
                <w:szCs w:val="24"/>
                <w:highlight w:val="none"/>
              </w:rPr>
              <w:t>型式检验报告，有效的</w:t>
            </w:r>
            <w:r>
              <w:rPr>
                <w:rFonts w:eastAsia="仿宋"/>
                <w:b/>
                <w:color w:val="auto"/>
                <w:sz w:val="24"/>
                <w:szCs w:val="24"/>
                <w:highlight w:val="none"/>
              </w:rPr>
              <w:t>3C</w:t>
            </w:r>
            <w:r>
              <w:rPr>
                <w:rFonts w:hint="eastAsia" w:eastAsia="仿宋"/>
                <w:b/>
                <w:color w:val="auto"/>
                <w:sz w:val="24"/>
                <w:szCs w:val="24"/>
                <w:highlight w:val="none"/>
              </w:rPr>
              <w:t>认证证书及其复印件；</w:t>
            </w:r>
          </w:p>
        </w:tc>
        <w:tc>
          <w:tcPr>
            <w:tcW w:w="496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b/>
                <w:color w:val="auto"/>
                <w:kern w:val="0"/>
                <w:sz w:val="20"/>
                <w:highlight w:val="none"/>
              </w:rPr>
            </w:pPr>
            <w:r>
              <w:rPr>
                <w:rFonts w:eastAsia="方正仿宋_GBK"/>
                <w:b/>
                <w:color w:val="auto"/>
                <w:kern w:val="0"/>
                <w:sz w:val="20"/>
                <w:highlight w:val="none"/>
              </w:rPr>
              <w:t>2</w:t>
            </w:r>
          </w:p>
        </w:tc>
        <w:tc>
          <w:tcPr>
            <w:tcW w:w="413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eastAsia="仿宋"/>
                <w:b/>
                <w:color w:val="auto"/>
                <w:sz w:val="24"/>
                <w:szCs w:val="24"/>
                <w:highlight w:val="none"/>
              </w:rPr>
            </w:pPr>
            <w:r>
              <w:rPr>
                <w:rFonts w:hint="eastAsia" w:eastAsia="仿宋"/>
                <w:b/>
                <w:color w:val="auto"/>
                <w:sz w:val="24"/>
                <w:szCs w:val="24"/>
                <w:highlight w:val="none"/>
              </w:rPr>
              <w:t>产品合格证；</w:t>
            </w:r>
          </w:p>
        </w:tc>
        <w:tc>
          <w:tcPr>
            <w:tcW w:w="496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b/>
                <w:color w:val="auto"/>
                <w:kern w:val="0"/>
                <w:sz w:val="20"/>
                <w:highlight w:val="none"/>
              </w:rPr>
            </w:pPr>
            <w:r>
              <w:rPr>
                <w:rFonts w:eastAsia="方正仿宋_GBK"/>
                <w:b/>
                <w:color w:val="auto"/>
                <w:kern w:val="0"/>
                <w:sz w:val="20"/>
                <w:highlight w:val="none"/>
              </w:rPr>
              <w:t>3</w:t>
            </w:r>
          </w:p>
        </w:tc>
        <w:tc>
          <w:tcPr>
            <w:tcW w:w="413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eastAsia="仿宋"/>
                <w:b/>
                <w:color w:val="auto"/>
                <w:sz w:val="24"/>
                <w:szCs w:val="24"/>
                <w:highlight w:val="none"/>
              </w:rPr>
            </w:pPr>
            <w:r>
              <w:rPr>
                <w:rFonts w:hint="eastAsia" w:eastAsia="仿宋"/>
                <w:b/>
                <w:color w:val="auto"/>
                <w:sz w:val="24"/>
                <w:szCs w:val="24"/>
                <w:highlight w:val="none"/>
              </w:rPr>
              <w:t>中文使用说明书及使用视频资料。</w:t>
            </w:r>
          </w:p>
        </w:tc>
        <w:tc>
          <w:tcPr>
            <w:tcW w:w="496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b/>
                <w:color w:val="auto"/>
                <w:kern w:val="0"/>
                <w:sz w:val="20"/>
                <w:highlight w:val="none"/>
              </w:rPr>
            </w:pPr>
          </w:p>
        </w:tc>
        <w:tc>
          <w:tcPr>
            <w:tcW w:w="413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eastAsia="方正黑体_GBK"/>
                <w:b/>
                <w:color w:val="auto"/>
                <w:sz w:val="20"/>
                <w:highlight w:val="none"/>
              </w:rPr>
            </w:pPr>
          </w:p>
        </w:tc>
        <w:tc>
          <w:tcPr>
            <w:tcW w:w="496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b/>
                <w:color w:val="auto"/>
                <w:kern w:val="0"/>
                <w:sz w:val="20"/>
                <w:highlight w:val="none"/>
              </w:rPr>
            </w:pPr>
          </w:p>
        </w:tc>
        <w:tc>
          <w:tcPr>
            <w:tcW w:w="413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eastAsia="方正黑体_GBK"/>
                <w:b/>
                <w:color w:val="auto"/>
                <w:kern w:val="0"/>
                <w:sz w:val="20"/>
                <w:highlight w:val="none"/>
              </w:rPr>
            </w:pPr>
          </w:p>
        </w:tc>
        <w:tc>
          <w:tcPr>
            <w:tcW w:w="496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b/>
                <w:color w:val="auto"/>
                <w:kern w:val="0"/>
                <w:sz w:val="20"/>
                <w:highlight w:val="none"/>
              </w:rPr>
            </w:pPr>
          </w:p>
        </w:tc>
        <w:tc>
          <w:tcPr>
            <w:tcW w:w="413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eastAsia="方正黑体_GBK"/>
                <w:color w:val="auto"/>
                <w:sz w:val="20"/>
                <w:highlight w:val="none"/>
              </w:rPr>
            </w:pPr>
          </w:p>
        </w:tc>
        <w:tc>
          <w:tcPr>
            <w:tcW w:w="496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b/>
                <w:color w:val="auto"/>
                <w:kern w:val="0"/>
                <w:sz w:val="20"/>
                <w:highlight w:val="none"/>
              </w:rPr>
            </w:pPr>
          </w:p>
        </w:tc>
        <w:tc>
          <w:tcPr>
            <w:tcW w:w="413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eastAsia="方正仿宋_GBK"/>
                <w:color w:val="auto"/>
                <w:sz w:val="20"/>
                <w:highlight w:val="none"/>
              </w:rPr>
            </w:pPr>
          </w:p>
        </w:tc>
        <w:tc>
          <w:tcPr>
            <w:tcW w:w="496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75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b/>
                <w:color w:val="auto"/>
                <w:kern w:val="0"/>
                <w:sz w:val="20"/>
                <w:highlight w:val="none"/>
              </w:rPr>
            </w:pPr>
          </w:p>
        </w:tc>
        <w:tc>
          <w:tcPr>
            <w:tcW w:w="413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eastAsia="方正仿宋_GBK"/>
                <w:color w:val="auto"/>
                <w:sz w:val="20"/>
                <w:highlight w:val="none"/>
              </w:rPr>
            </w:pPr>
          </w:p>
        </w:tc>
        <w:tc>
          <w:tcPr>
            <w:tcW w:w="496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eastAsia="方正仿宋_GBK"/>
                <w:color w:val="auto"/>
                <w:sz w:val="20"/>
                <w:highlight w:val="none"/>
              </w:rPr>
            </w:pPr>
          </w:p>
        </w:tc>
      </w:tr>
    </w:tbl>
    <w:p>
      <w:pPr>
        <w:rPr>
          <w:color w:val="auto"/>
          <w:highlight w:val="none"/>
        </w:rPr>
      </w:pPr>
    </w:p>
    <w:p>
      <w:pPr>
        <w:widowControl/>
        <w:jc w:val="left"/>
        <w:rPr>
          <w:color w:val="auto"/>
          <w:highlight w:val="none"/>
        </w:rPr>
      </w:pPr>
      <w:r>
        <w:rPr>
          <w:color w:val="auto"/>
          <w:highlight w:val="none"/>
        </w:rPr>
        <w:br w:type="page"/>
      </w:r>
    </w:p>
    <w:p>
      <w:pPr>
        <w:spacing w:line="360" w:lineRule="auto"/>
        <w:jc w:val="center"/>
        <w:rPr>
          <w:rFonts w:hint="eastAsia" w:eastAsia="方正小标宋_GBK"/>
          <w:color w:val="auto"/>
          <w:kern w:val="0"/>
          <w:sz w:val="32"/>
          <w:szCs w:val="32"/>
          <w:highlight w:val="none"/>
          <w:lang w:eastAsia="zh-CN"/>
        </w:rPr>
      </w:pPr>
      <w:r>
        <w:rPr>
          <w:rFonts w:hint="eastAsia" w:eastAsia="方正小标宋_GBK"/>
          <w:color w:val="auto"/>
          <w:kern w:val="0"/>
          <w:sz w:val="32"/>
          <w:szCs w:val="32"/>
          <w:highlight w:val="none"/>
          <w:lang w:eastAsia="zh-CN"/>
        </w:rPr>
        <w:t>江西省消防救援总队自然灾害应急能力提升工程装备配备项目</w:t>
      </w:r>
    </w:p>
    <w:p>
      <w:pPr>
        <w:spacing w:line="360" w:lineRule="auto"/>
        <w:jc w:val="center"/>
        <w:rPr>
          <w:rFonts w:hint="eastAsia" w:eastAsia="方正小标宋_GBK"/>
          <w:color w:val="auto"/>
          <w:kern w:val="0"/>
          <w:sz w:val="32"/>
          <w:szCs w:val="32"/>
          <w:highlight w:val="none"/>
          <w:lang w:eastAsia="zh-CN"/>
        </w:rPr>
      </w:pPr>
      <w:r>
        <w:rPr>
          <w:rFonts w:hint="eastAsia" w:eastAsia="方正小标宋_GBK"/>
          <w:color w:val="auto"/>
          <w:kern w:val="0"/>
          <w:sz w:val="32"/>
          <w:szCs w:val="32"/>
          <w:highlight w:val="none"/>
          <w:lang w:eastAsia="zh-CN"/>
        </w:rPr>
        <w:t>（器材类）</w:t>
      </w:r>
    </w:p>
    <w:p>
      <w:pPr>
        <w:spacing w:line="360" w:lineRule="auto"/>
        <w:jc w:val="center"/>
        <w:rPr>
          <w:rFonts w:eastAsia="方正小标宋_GBK"/>
          <w:color w:val="auto"/>
          <w:kern w:val="0"/>
          <w:sz w:val="32"/>
          <w:szCs w:val="32"/>
          <w:highlight w:val="none"/>
        </w:rPr>
      </w:pPr>
      <w:r>
        <w:rPr>
          <w:rFonts w:eastAsia="方正小标宋_GBK"/>
          <w:color w:val="auto"/>
          <w:kern w:val="0"/>
          <w:sz w:val="32"/>
          <w:szCs w:val="32"/>
          <w:highlight w:val="none"/>
        </w:rPr>
        <w:t>第</w:t>
      </w:r>
      <w:r>
        <w:rPr>
          <w:rFonts w:hint="eastAsia" w:eastAsia="方正小标宋_GBK"/>
          <w:color w:val="auto"/>
          <w:kern w:val="0"/>
          <w:sz w:val="32"/>
          <w:szCs w:val="32"/>
          <w:highlight w:val="none"/>
          <w:lang w:val="en-US" w:eastAsia="zh-CN"/>
        </w:rPr>
        <w:t xml:space="preserve">  </w:t>
      </w:r>
      <w:r>
        <w:rPr>
          <w:rFonts w:eastAsia="方正小标宋_GBK"/>
          <w:color w:val="auto"/>
          <w:kern w:val="0"/>
          <w:sz w:val="32"/>
          <w:szCs w:val="32"/>
          <w:highlight w:val="none"/>
        </w:rPr>
        <w:t>包交货清单</w:t>
      </w:r>
    </w:p>
    <w:p>
      <w:pPr>
        <w:pStyle w:val="13"/>
        <w:rPr>
          <w:color w:val="auto"/>
          <w:highlight w:val="none"/>
        </w:rPr>
      </w:pPr>
    </w:p>
    <w:tbl>
      <w:tblPr>
        <w:tblStyle w:val="42"/>
        <w:tblW w:w="9294" w:type="dxa"/>
        <w:jc w:val="center"/>
        <w:tblLayout w:type="fixed"/>
        <w:tblCellMar>
          <w:top w:w="0" w:type="dxa"/>
          <w:left w:w="108" w:type="dxa"/>
          <w:bottom w:w="0" w:type="dxa"/>
          <w:right w:w="108" w:type="dxa"/>
        </w:tblCellMar>
      </w:tblPr>
      <w:tblGrid>
        <w:gridCol w:w="572"/>
        <w:gridCol w:w="1684"/>
        <w:gridCol w:w="1684"/>
        <w:gridCol w:w="851"/>
        <w:gridCol w:w="86"/>
        <w:gridCol w:w="2182"/>
        <w:gridCol w:w="2235"/>
      </w:tblGrid>
      <w:tr>
        <w:tblPrEx>
          <w:tblCellMar>
            <w:top w:w="0" w:type="dxa"/>
            <w:left w:w="108" w:type="dxa"/>
            <w:bottom w:w="0" w:type="dxa"/>
            <w:right w:w="108" w:type="dxa"/>
          </w:tblCellMar>
        </w:tblPrEx>
        <w:trPr>
          <w:trHeight w:val="567" w:hRule="exact"/>
          <w:jc w:val="center"/>
        </w:trPr>
        <w:tc>
          <w:tcPr>
            <w:tcW w:w="9294" w:type="dxa"/>
            <w:gridSpan w:val="7"/>
            <w:shd w:val="clear" w:color="auto" w:fill="FFFFFF"/>
            <w:vAlign w:val="center"/>
          </w:tcPr>
          <w:p>
            <w:pPr>
              <w:widowControl/>
              <w:jc w:val="left"/>
              <w:rPr>
                <w:color w:val="auto"/>
                <w:kern w:val="0"/>
                <w:sz w:val="24"/>
                <w:szCs w:val="24"/>
                <w:highlight w:val="none"/>
              </w:rPr>
            </w:pPr>
            <w:r>
              <w:rPr>
                <w:rFonts w:hAnsi="宋体"/>
                <w:color w:val="auto"/>
                <w:kern w:val="0"/>
                <w:sz w:val="24"/>
                <w:szCs w:val="24"/>
                <w:highlight w:val="none"/>
              </w:rPr>
              <w:t>收</w:t>
            </w:r>
            <w:r>
              <w:rPr>
                <w:rFonts w:hint="eastAsia" w:hAnsi="宋体"/>
                <w:color w:val="auto"/>
                <w:kern w:val="0"/>
                <w:sz w:val="24"/>
                <w:szCs w:val="24"/>
                <w:highlight w:val="none"/>
              </w:rPr>
              <w:t>货</w:t>
            </w:r>
            <w:r>
              <w:rPr>
                <w:rFonts w:hAnsi="宋体"/>
                <w:color w:val="auto"/>
                <w:kern w:val="0"/>
                <w:sz w:val="24"/>
                <w:szCs w:val="24"/>
                <w:highlight w:val="none"/>
              </w:rPr>
              <w:t>单位：</w:t>
            </w:r>
          </w:p>
        </w:tc>
      </w:tr>
      <w:tr>
        <w:tblPrEx>
          <w:tblCellMar>
            <w:top w:w="0" w:type="dxa"/>
            <w:left w:w="108" w:type="dxa"/>
            <w:bottom w:w="0" w:type="dxa"/>
            <w:right w:w="108" w:type="dxa"/>
          </w:tblCellMar>
        </w:tblPrEx>
        <w:trPr>
          <w:trHeight w:val="567" w:hRule="exact"/>
          <w:jc w:val="center"/>
        </w:trPr>
        <w:tc>
          <w:tcPr>
            <w:tcW w:w="9294" w:type="dxa"/>
            <w:gridSpan w:val="7"/>
            <w:shd w:val="clear" w:color="auto" w:fill="FFFFFF"/>
            <w:vAlign w:val="center"/>
          </w:tcPr>
          <w:p>
            <w:pPr>
              <w:widowControl/>
              <w:rPr>
                <w:color w:val="auto"/>
                <w:kern w:val="0"/>
                <w:sz w:val="24"/>
                <w:szCs w:val="24"/>
                <w:highlight w:val="none"/>
              </w:rPr>
            </w:pPr>
            <w:r>
              <w:rPr>
                <w:rFonts w:hAnsi="宋体"/>
                <w:color w:val="auto"/>
                <w:kern w:val="0"/>
                <w:sz w:val="24"/>
                <w:szCs w:val="24"/>
                <w:highlight w:val="none"/>
              </w:rPr>
              <w:t>收</w:t>
            </w:r>
            <w:r>
              <w:rPr>
                <w:rFonts w:hint="eastAsia" w:hAnsi="宋体"/>
                <w:color w:val="auto"/>
                <w:kern w:val="0"/>
                <w:sz w:val="24"/>
                <w:szCs w:val="24"/>
                <w:highlight w:val="none"/>
              </w:rPr>
              <w:t>货</w:t>
            </w:r>
            <w:r>
              <w:rPr>
                <w:rFonts w:hAnsi="宋体"/>
                <w:color w:val="auto"/>
                <w:kern w:val="0"/>
                <w:sz w:val="24"/>
                <w:szCs w:val="24"/>
                <w:highlight w:val="none"/>
              </w:rPr>
              <w:t>地址：</w:t>
            </w:r>
          </w:p>
        </w:tc>
      </w:tr>
      <w:tr>
        <w:tblPrEx>
          <w:tblCellMar>
            <w:top w:w="0" w:type="dxa"/>
            <w:left w:w="108" w:type="dxa"/>
            <w:bottom w:w="0" w:type="dxa"/>
            <w:right w:w="108" w:type="dxa"/>
          </w:tblCellMar>
        </w:tblPrEx>
        <w:trPr>
          <w:trHeight w:val="567" w:hRule="exact"/>
          <w:jc w:val="center"/>
        </w:trPr>
        <w:tc>
          <w:tcPr>
            <w:tcW w:w="9294" w:type="dxa"/>
            <w:gridSpan w:val="7"/>
            <w:tcBorders>
              <w:bottom w:val="single" w:color="000000" w:sz="4" w:space="0"/>
            </w:tcBorders>
            <w:shd w:val="clear" w:color="auto" w:fill="FFFFFF"/>
            <w:vAlign w:val="center"/>
          </w:tcPr>
          <w:p>
            <w:pPr>
              <w:widowControl/>
              <w:jc w:val="left"/>
              <w:rPr>
                <w:color w:val="auto"/>
                <w:kern w:val="0"/>
                <w:sz w:val="24"/>
                <w:szCs w:val="24"/>
                <w:highlight w:val="none"/>
              </w:rPr>
            </w:pPr>
            <w:r>
              <w:rPr>
                <w:rFonts w:hAnsi="宋体"/>
                <w:color w:val="auto"/>
                <w:kern w:val="0"/>
                <w:sz w:val="24"/>
                <w:szCs w:val="24"/>
                <w:highlight w:val="none"/>
              </w:rPr>
              <w:t>收</w:t>
            </w:r>
            <w:r>
              <w:rPr>
                <w:rFonts w:hint="eastAsia" w:hAnsi="宋体"/>
                <w:color w:val="auto"/>
                <w:kern w:val="0"/>
                <w:sz w:val="24"/>
                <w:szCs w:val="24"/>
                <w:highlight w:val="none"/>
              </w:rPr>
              <w:t>货</w:t>
            </w:r>
            <w:r>
              <w:rPr>
                <w:rFonts w:hAnsi="宋体"/>
                <w:color w:val="auto"/>
                <w:kern w:val="0"/>
                <w:sz w:val="24"/>
                <w:szCs w:val="24"/>
                <w:highlight w:val="none"/>
              </w:rPr>
              <w:t>人：手机：</w:t>
            </w:r>
          </w:p>
        </w:tc>
      </w:tr>
      <w:tr>
        <w:tblPrEx>
          <w:tblCellMar>
            <w:top w:w="0" w:type="dxa"/>
            <w:left w:w="108" w:type="dxa"/>
            <w:bottom w:w="0" w:type="dxa"/>
            <w:right w:w="108" w:type="dxa"/>
          </w:tblCellMar>
        </w:tblPrEx>
        <w:trPr>
          <w:trHeight w:val="567" w:hRule="exact"/>
          <w:jc w:val="center"/>
        </w:trPr>
        <w:tc>
          <w:tcPr>
            <w:tcW w:w="9294" w:type="dxa"/>
            <w:gridSpan w:val="7"/>
            <w:shd w:val="clear" w:color="auto" w:fill="FFFFFF"/>
            <w:vAlign w:val="center"/>
          </w:tcPr>
          <w:p>
            <w:pPr>
              <w:widowControl/>
              <w:jc w:val="left"/>
              <w:rPr>
                <w:color w:val="auto"/>
                <w:kern w:val="0"/>
                <w:sz w:val="24"/>
                <w:szCs w:val="24"/>
                <w:highlight w:val="none"/>
              </w:rPr>
            </w:pPr>
            <w:r>
              <w:rPr>
                <w:rFonts w:hAnsi="宋体"/>
                <w:color w:val="auto"/>
                <w:kern w:val="0"/>
                <w:sz w:val="24"/>
                <w:szCs w:val="24"/>
                <w:highlight w:val="none"/>
              </w:rPr>
              <w:t>发</w:t>
            </w:r>
            <w:r>
              <w:rPr>
                <w:rFonts w:hint="eastAsia" w:hAnsi="宋体"/>
                <w:color w:val="auto"/>
                <w:kern w:val="0"/>
                <w:sz w:val="24"/>
                <w:szCs w:val="24"/>
                <w:highlight w:val="none"/>
              </w:rPr>
              <w:t>货</w:t>
            </w:r>
            <w:r>
              <w:rPr>
                <w:rFonts w:hAnsi="宋体"/>
                <w:color w:val="auto"/>
                <w:kern w:val="0"/>
                <w:sz w:val="24"/>
                <w:szCs w:val="24"/>
                <w:highlight w:val="none"/>
              </w:rPr>
              <w:t>单位（盖章）：</w:t>
            </w:r>
          </w:p>
        </w:tc>
      </w:tr>
      <w:tr>
        <w:tblPrEx>
          <w:tblCellMar>
            <w:top w:w="0" w:type="dxa"/>
            <w:left w:w="108" w:type="dxa"/>
            <w:bottom w:w="0" w:type="dxa"/>
            <w:right w:w="108" w:type="dxa"/>
          </w:tblCellMar>
        </w:tblPrEx>
        <w:trPr>
          <w:trHeight w:val="567" w:hRule="exact"/>
          <w:jc w:val="center"/>
        </w:trPr>
        <w:tc>
          <w:tcPr>
            <w:tcW w:w="9294" w:type="dxa"/>
            <w:gridSpan w:val="7"/>
            <w:shd w:val="clear" w:color="auto" w:fill="FFFFFF"/>
            <w:vAlign w:val="center"/>
          </w:tcPr>
          <w:p>
            <w:pPr>
              <w:widowControl/>
              <w:jc w:val="left"/>
              <w:rPr>
                <w:rFonts w:hAnsi="宋体"/>
                <w:color w:val="auto"/>
                <w:kern w:val="0"/>
                <w:sz w:val="24"/>
                <w:szCs w:val="24"/>
                <w:highlight w:val="none"/>
              </w:rPr>
            </w:pPr>
          </w:p>
        </w:tc>
      </w:tr>
      <w:tr>
        <w:tblPrEx>
          <w:tblCellMar>
            <w:top w:w="0" w:type="dxa"/>
            <w:left w:w="108" w:type="dxa"/>
            <w:bottom w:w="0" w:type="dxa"/>
            <w:right w:w="108" w:type="dxa"/>
          </w:tblCellMar>
        </w:tblPrEx>
        <w:trPr>
          <w:trHeight w:val="567" w:hRule="exact"/>
          <w:jc w:val="center"/>
        </w:trPr>
        <w:tc>
          <w:tcPr>
            <w:tcW w:w="9294" w:type="dxa"/>
            <w:gridSpan w:val="7"/>
            <w:shd w:val="clear" w:color="auto" w:fill="FFFFFF"/>
            <w:vAlign w:val="center"/>
          </w:tcPr>
          <w:p>
            <w:pPr>
              <w:widowControl/>
              <w:jc w:val="left"/>
              <w:rPr>
                <w:rFonts w:hAnsi="宋体"/>
                <w:color w:val="auto"/>
                <w:kern w:val="0"/>
                <w:sz w:val="24"/>
                <w:szCs w:val="24"/>
                <w:highlight w:val="none"/>
              </w:rPr>
            </w:pPr>
          </w:p>
        </w:tc>
      </w:tr>
      <w:tr>
        <w:tblPrEx>
          <w:tblCellMar>
            <w:top w:w="0" w:type="dxa"/>
            <w:left w:w="108" w:type="dxa"/>
            <w:bottom w:w="0" w:type="dxa"/>
            <w:right w:w="108" w:type="dxa"/>
          </w:tblCellMar>
        </w:tblPrEx>
        <w:trPr>
          <w:trHeight w:val="567" w:hRule="exact"/>
          <w:jc w:val="center"/>
        </w:trPr>
        <w:tc>
          <w:tcPr>
            <w:tcW w:w="9294" w:type="dxa"/>
            <w:gridSpan w:val="7"/>
            <w:shd w:val="clear" w:color="auto" w:fill="FFFFFF"/>
            <w:vAlign w:val="center"/>
          </w:tcPr>
          <w:p>
            <w:pPr>
              <w:widowControl/>
              <w:jc w:val="left"/>
              <w:rPr>
                <w:color w:val="auto"/>
                <w:kern w:val="0"/>
                <w:sz w:val="24"/>
                <w:szCs w:val="24"/>
                <w:highlight w:val="none"/>
              </w:rPr>
            </w:pPr>
            <w:r>
              <w:rPr>
                <w:rFonts w:hAnsi="宋体"/>
                <w:color w:val="auto"/>
                <w:kern w:val="0"/>
                <w:sz w:val="24"/>
                <w:szCs w:val="24"/>
                <w:highlight w:val="none"/>
              </w:rPr>
              <w:t>发</w:t>
            </w:r>
            <w:r>
              <w:rPr>
                <w:rFonts w:hint="eastAsia" w:hAnsi="宋体"/>
                <w:color w:val="auto"/>
                <w:kern w:val="0"/>
                <w:sz w:val="24"/>
                <w:szCs w:val="24"/>
                <w:highlight w:val="none"/>
              </w:rPr>
              <w:t>货</w:t>
            </w:r>
            <w:r>
              <w:rPr>
                <w:rFonts w:hAnsi="宋体"/>
                <w:color w:val="auto"/>
                <w:kern w:val="0"/>
                <w:sz w:val="24"/>
                <w:szCs w:val="24"/>
                <w:highlight w:val="none"/>
              </w:rPr>
              <w:t>地址：</w:t>
            </w:r>
          </w:p>
        </w:tc>
      </w:tr>
      <w:tr>
        <w:tblPrEx>
          <w:tblCellMar>
            <w:top w:w="0" w:type="dxa"/>
            <w:left w:w="108" w:type="dxa"/>
            <w:bottom w:w="0" w:type="dxa"/>
            <w:right w:w="108" w:type="dxa"/>
          </w:tblCellMar>
        </w:tblPrEx>
        <w:trPr>
          <w:trHeight w:val="567" w:hRule="exact"/>
          <w:jc w:val="center"/>
        </w:trPr>
        <w:tc>
          <w:tcPr>
            <w:tcW w:w="9294" w:type="dxa"/>
            <w:gridSpan w:val="7"/>
            <w:tcBorders>
              <w:bottom w:val="single" w:color="000000" w:sz="4" w:space="0"/>
            </w:tcBorders>
            <w:shd w:val="clear" w:color="auto" w:fill="FFFFFF"/>
            <w:vAlign w:val="center"/>
          </w:tcPr>
          <w:p>
            <w:pPr>
              <w:widowControl/>
              <w:jc w:val="left"/>
              <w:rPr>
                <w:color w:val="auto"/>
                <w:kern w:val="0"/>
                <w:sz w:val="24"/>
                <w:szCs w:val="24"/>
                <w:highlight w:val="none"/>
              </w:rPr>
            </w:pPr>
            <w:r>
              <w:rPr>
                <w:rFonts w:hAnsi="宋体"/>
                <w:color w:val="auto"/>
                <w:kern w:val="0"/>
                <w:sz w:val="24"/>
                <w:szCs w:val="24"/>
                <w:highlight w:val="none"/>
              </w:rPr>
              <w:t>发</w:t>
            </w:r>
            <w:r>
              <w:rPr>
                <w:rFonts w:hint="eastAsia" w:hAnsi="宋体"/>
                <w:color w:val="auto"/>
                <w:kern w:val="0"/>
                <w:sz w:val="24"/>
                <w:szCs w:val="24"/>
                <w:highlight w:val="none"/>
              </w:rPr>
              <w:t>货</w:t>
            </w:r>
            <w:r>
              <w:rPr>
                <w:rFonts w:hAnsi="宋体"/>
                <w:color w:val="auto"/>
                <w:kern w:val="0"/>
                <w:sz w:val="24"/>
                <w:szCs w:val="24"/>
                <w:highlight w:val="none"/>
              </w:rPr>
              <w:t>人：手机：</w:t>
            </w:r>
          </w:p>
        </w:tc>
      </w:tr>
      <w:tr>
        <w:tblPrEx>
          <w:tblCellMar>
            <w:top w:w="0" w:type="dxa"/>
            <w:left w:w="108" w:type="dxa"/>
            <w:bottom w:w="0" w:type="dxa"/>
            <w:right w:w="108" w:type="dxa"/>
          </w:tblCellMar>
        </w:tblPrEx>
        <w:trPr>
          <w:trHeight w:val="383" w:hRule="atLeast"/>
          <w:jc w:val="center"/>
        </w:trPr>
        <w:tc>
          <w:tcPr>
            <w:tcW w:w="57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b/>
                <w:color w:val="auto"/>
                <w:kern w:val="0"/>
                <w:szCs w:val="21"/>
                <w:highlight w:val="none"/>
              </w:rPr>
            </w:pPr>
            <w:r>
              <w:rPr>
                <w:rFonts w:hAnsi="宋体"/>
                <w:b/>
                <w:color w:val="auto"/>
                <w:kern w:val="0"/>
                <w:szCs w:val="21"/>
                <w:highlight w:val="none"/>
              </w:rPr>
              <w:t>序号</w:t>
            </w:r>
          </w:p>
        </w:tc>
        <w:tc>
          <w:tcPr>
            <w:tcW w:w="1684" w:type="dxa"/>
            <w:tcBorders>
              <w:top w:val="single" w:color="000000" w:sz="4" w:space="0"/>
              <w:left w:val="nil"/>
              <w:bottom w:val="single" w:color="000000" w:sz="4" w:space="0"/>
              <w:right w:val="single" w:color="000000" w:sz="4" w:space="0"/>
            </w:tcBorders>
            <w:shd w:val="clear" w:color="auto" w:fill="FFFFFF"/>
            <w:vAlign w:val="center"/>
          </w:tcPr>
          <w:p>
            <w:pPr>
              <w:widowControl/>
              <w:jc w:val="center"/>
              <w:rPr>
                <w:b/>
                <w:color w:val="auto"/>
                <w:kern w:val="0"/>
                <w:szCs w:val="21"/>
                <w:highlight w:val="none"/>
              </w:rPr>
            </w:pPr>
            <w:r>
              <w:rPr>
                <w:rFonts w:hAnsi="宋体"/>
                <w:b/>
                <w:color w:val="auto"/>
                <w:kern w:val="0"/>
                <w:szCs w:val="21"/>
                <w:highlight w:val="none"/>
              </w:rPr>
              <w:t>品名</w:t>
            </w:r>
          </w:p>
        </w:tc>
        <w:tc>
          <w:tcPr>
            <w:tcW w:w="1684" w:type="dxa"/>
            <w:tcBorders>
              <w:top w:val="single" w:color="000000" w:sz="4" w:space="0"/>
              <w:left w:val="nil"/>
              <w:bottom w:val="single" w:color="000000" w:sz="4" w:space="0"/>
              <w:right w:val="single" w:color="000000" w:sz="4" w:space="0"/>
            </w:tcBorders>
            <w:shd w:val="clear" w:color="auto" w:fill="FFFFFF"/>
            <w:vAlign w:val="center"/>
          </w:tcPr>
          <w:p>
            <w:pPr>
              <w:widowControl/>
              <w:jc w:val="center"/>
              <w:rPr>
                <w:b/>
                <w:color w:val="auto"/>
                <w:kern w:val="0"/>
                <w:szCs w:val="21"/>
                <w:highlight w:val="none"/>
              </w:rPr>
            </w:pPr>
            <w:r>
              <w:rPr>
                <w:rFonts w:hint="eastAsia"/>
                <w:b/>
                <w:color w:val="auto"/>
                <w:kern w:val="0"/>
                <w:szCs w:val="21"/>
                <w:highlight w:val="none"/>
              </w:rPr>
              <w:t>型号款式</w:t>
            </w:r>
          </w:p>
        </w:tc>
        <w:tc>
          <w:tcPr>
            <w:tcW w:w="851" w:type="dxa"/>
            <w:tcBorders>
              <w:top w:val="single" w:color="000000" w:sz="4" w:space="0"/>
              <w:left w:val="nil"/>
              <w:bottom w:val="single" w:color="000000" w:sz="4" w:space="0"/>
              <w:right w:val="single" w:color="auto" w:sz="4" w:space="0"/>
            </w:tcBorders>
            <w:shd w:val="clear" w:color="auto" w:fill="FFFFFF"/>
            <w:vAlign w:val="center"/>
          </w:tcPr>
          <w:p>
            <w:pPr>
              <w:widowControl/>
              <w:jc w:val="center"/>
              <w:rPr>
                <w:b/>
                <w:color w:val="auto"/>
                <w:kern w:val="0"/>
                <w:szCs w:val="21"/>
                <w:highlight w:val="none"/>
              </w:rPr>
            </w:pPr>
            <w:r>
              <w:rPr>
                <w:rFonts w:hAnsi="宋体"/>
                <w:b/>
                <w:color w:val="auto"/>
                <w:kern w:val="0"/>
                <w:szCs w:val="21"/>
                <w:highlight w:val="none"/>
              </w:rPr>
              <w:t>计量</w:t>
            </w:r>
          </w:p>
          <w:p>
            <w:pPr>
              <w:widowControl/>
              <w:jc w:val="center"/>
              <w:rPr>
                <w:b/>
                <w:color w:val="auto"/>
                <w:kern w:val="0"/>
                <w:szCs w:val="21"/>
                <w:highlight w:val="none"/>
              </w:rPr>
            </w:pPr>
            <w:r>
              <w:rPr>
                <w:rFonts w:hAnsi="宋体"/>
                <w:b/>
                <w:color w:val="auto"/>
                <w:kern w:val="0"/>
                <w:szCs w:val="21"/>
                <w:highlight w:val="none"/>
              </w:rPr>
              <w:t>单位</w:t>
            </w:r>
          </w:p>
        </w:tc>
        <w:tc>
          <w:tcPr>
            <w:tcW w:w="2268" w:type="dxa"/>
            <w:gridSpan w:val="2"/>
            <w:tcBorders>
              <w:top w:val="single" w:color="000000" w:sz="4" w:space="0"/>
              <w:left w:val="single" w:color="auto" w:sz="4" w:space="0"/>
              <w:bottom w:val="single" w:color="000000" w:sz="4" w:space="0"/>
              <w:right w:val="single" w:color="auto" w:sz="4" w:space="0"/>
            </w:tcBorders>
            <w:shd w:val="clear" w:color="auto" w:fill="FFFFFF"/>
            <w:vAlign w:val="center"/>
          </w:tcPr>
          <w:p>
            <w:pPr>
              <w:jc w:val="center"/>
              <w:rPr>
                <w:b/>
                <w:color w:val="auto"/>
                <w:kern w:val="0"/>
                <w:szCs w:val="21"/>
                <w:highlight w:val="none"/>
              </w:rPr>
            </w:pPr>
            <w:r>
              <w:rPr>
                <w:rFonts w:hAnsi="宋体"/>
                <w:b/>
                <w:color w:val="auto"/>
                <w:kern w:val="0"/>
                <w:szCs w:val="21"/>
                <w:highlight w:val="none"/>
              </w:rPr>
              <w:t>合同约定交货数量</w:t>
            </w:r>
          </w:p>
          <w:p>
            <w:pPr>
              <w:jc w:val="center"/>
              <w:rPr>
                <w:color w:val="auto"/>
                <w:szCs w:val="21"/>
                <w:highlight w:val="none"/>
              </w:rPr>
            </w:pPr>
            <w:r>
              <w:rPr>
                <w:rFonts w:hAnsi="宋体"/>
                <w:b/>
                <w:color w:val="auto"/>
                <w:kern w:val="0"/>
                <w:szCs w:val="21"/>
                <w:highlight w:val="none"/>
              </w:rPr>
              <w:t>（由发物单位填写）</w:t>
            </w:r>
          </w:p>
        </w:tc>
        <w:tc>
          <w:tcPr>
            <w:tcW w:w="2235" w:type="dxa"/>
            <w:tcBorders>
              <w:top w:val="single" w:color="000000" w:sz="4" w:space="0"/>
              <w:left w:val="single" w:color="auto" w:sz="4" w:space="0"/>
              <w:bottom w:val="single" w:color="000000" w:sz="4" w:space="0"/>
              <w:right w:val="single" w:color="000000" w:sz="4" w:space="0"/>
            </w:tcBorders>
            <w:shd w:val="clear" w:color="auto" w:fill="FFFFFF"/>
            <w:vAlign w:val="center"/>
          </w:tcPr>
          <w:p>
            <w:pPr>
              <w:jc w:val="center"/>
              <w:rPr>
                <w:b/>
                <w:color w:val="auto"/>
                <w:kern w:val="0"/>
                <w:szCs w:val="21"/>
                <w:highlight w:val="none"/>
              </w:rPr>
            </w:pPr>
            <w:r>
              <w:rPr>
                <w:rFonts w:hAnsi="宋体"/>
                <w:b/>
                <w:color w:val="auto"/>
                <w:kern w:val="0"/>
                <w:szCs w:val="21"/>
                <w:highlight w:val="none"/>
              </w:rPr>
              <w:t>本次交货和到货数量</w:t>
            </w:r>
          </w:p>
          <w:p>
            <w:pPr>
              <w:jc w:val="center"/>
              <w:rPr>
                <w:color w:val="auto"/>
                <w:szCs w:val="21"/>
                <w:highlight w:val="none"/>
              </w:rPr>
            </w:pPr>
            <w:r>
              <w:rPr>
                <w:rFonts w:hAnsi="宋体"/>
                <w:b/>
                <w:color w:val="auto"/>
                <w:kern w:val="0"/>
                <w:szCs w:val="21"/>
                <w:highlight w:val="none"/>
              </w:rPr>
              <w:t>（由发物单位填写）</w:t>
            </w:r>
          </w:p>
        </w:tc>
      </w:tr>
      <w:tr>
        <w:tblPrEx>
          <w:tblCellMar>
            <w:top w:w="0" w:type="dxa"/>
            <w:left w:w="108" w:type="dxa"/>
            <w:bottom w:w="0" w:type="dxa"/>
            <w:right w:w="108" w:type="dxa"/>
          </w:tblCellMar>
        </w:tblPrEx>
        <w:trPr>
          <w:trHeight w:val="328" w:hRule="atLeast"/>
          <w:jc w:val="center"/>
        </w:trPr>
        <w:tc>
          <w:tcPr>
            <w:tcW w:w="572" w:type="dxa"/>
            <w:tcBorders>
              <w:top w:val="nil"/>
              <w:left w:val="single" w:color="000000" w:sz="4" w:space="0"/>
              <w:bottom w:val="single" w:color="000000" w:sz="4" w:space="0"/>
              <w:right w:val="single" w:color="000000" w:sz="4" w:space="0"/>
            </w:tcBorders>
            <w:shd w:val="clear" w:color="auto" w:fill="FFFFFF"/>
            <w:vAlign w:val="center"/>
          </w:tcPr>
          <w:p>
            <w:pPr>
              <w:widowControl/>
              <w:jc w:val="center"/>
              <w:rPr>
                <w:color w:val="auto"/>
                <w:kern w:val="0"/>
                <w:szCs w:val="21"/>
                <w:highlight w:val="none"/>
              </w:rPr>
            </w:pPr>
            <w:r>
              <w:rPr>
                <w:color w:val="auto"/>
                <w:kern w:val="0"/>
                <w:szCs w:val="21"/>
                <w:highlight w:val="none"/>
              </w:rPr>
              <w:t>1</w:t>
            </w:r>
          </w:p>
        </w:tc>
        <w:tc>
          <w:tcPr>
            <w:tcW w:w="1684" w:type="dxa"/>
            <w:tcBorders>
              <w:top w:val="nil"/>
              <w:left w:val="nil"/>
              <w:bottom w:val="single" w:color="000000" w:sz="4" w:space="0"/>
              <w:right w:val="single" w:color="000000" w:sz="4" w:space="0"/>
            </w:tcBorders>
            <w:shd w:val="clear" w:color="auto" w:fill="FFFFFF"/>
            <w:vAlign w:val="center"/>
          </w:tcPr>
          <w:p>
            <w:pPr>
              <w:widowControl/>
              <w:jc w:val="center"/>
              <w:rPr>
                <w:color w:val="auto"/>
                <w:kern w:val="0"/>
                <w:szCs w:val="21"/>
                <w:highlight w:val="none"/>
              </w:rPr>
            </w:pPr>
          </w:p>
        </w:tc>
        <w:tc>
          <w:tcPr>
            <w:tcW w:w="1684" w:type="dxa"/>
            <w:tcBorders>
              <w:top w:val="nil"/>
              <w:left w:val="nil"/>
              <w:bottom w:val="single" w:color="000000" w:sz="4" w:space="0"/>
              <w:right w:val="single" w:color="000000" w:sz="4" w:space="0"/>
            </w:tcBorders>
            <w:shd w:val="clear" w:color="auto" w:fill="FFFFFF"/>
            <w:vAlign w:val="center"/>
          </w:tcPr>
          <w:p>
            <w:pPr>
              <w:widowControl/>
              <w:jc w:val="center"/>
              <w:rPr>
                <w:color w:val="auto"/>
                <w:kern w:val="0"/>
                <w:szCs w:val="21"/>
                <w:highlight w:val="none"/>
              </w:rPr>
            </w:pPr>
          </w:p>
        </w:tc>
        <w:tc>
          <w:tcPr>
            <w:tcW w:w="851" w:type="dxa"/>
            <w:tcBorders>
              <w:top w:val="nil"/>
              <w:left w:val="nil"/>
              <w:bottom w:val="single" w:color="000000" w:sz="4" w:space="0"/>
              <w:right w:val="single" w:color="auto" w:sz="4" w:space="0"/>
            </w:tcBorders>
            <w:shd w:val="clear" w:color="auto" w:fill="FFFFFF"/>
            <w:vAlign w:val="center"/>
          </w:tcPr>
          <w:p>
            <w:pPr>
              <w:widowControl/>
              <w:jc w:val="center"/>
              <w:rPr>
                <w:color w:val="auto"/>
                <w:kern w:val="0"/>
                <w:szCs w:val="21"/>
                <w:highlight w:val="none"/>
              </w:rPr>
            </w:pPr>
          </w:p>
        </w:tc>
        <w:tc>
          <w:tcPr>
            <w:tcW w:w="2268" w:type="dxa"/>
            <w:gridSpan w:val="2"/>
            <w:tcBorders>
              <w:top w:val="nil"/>
              <w:left w:val="nil"/>
              <w:bottom w:val="single" w:color="000000" w:sz="4" w:space="0"/>
              <w:right w:val="single" w:color="auto" w:sz="4" w:space="0"/>
            </w:tcBorders>
            <w:shd w:val="clear" w:color="auto" w:fill="FFFFFF"/>
            <w:vAlign w:val="center"/>
          </w:tcPr>
          <w:p>
            <w:pPr>
              <w:widowControl/>
              <w:jc w:val="center"/>
              <w:rPr>
                <w:color w:val="auto"/>
                <w:kern w:val="0"/>
                <w:szCs w:val="21"/>
                <w:highlight w:val="none"/>
              </w:rPr>
            </w:pPr>
          </w:p>
        </w:tc>
        <w:tc>
          <w:tcPr>
            <w:tcW w:w="2235" w:type="dxa"/>
            <w:tcBorders>
              <w:top w:val="nil"/>
              <w:left w:val="single" w:color="auto" w:sz="4" w:space="0"/>
              <w:bottom w:val="single" w:color="000000" w:sz="4" w:space="0"/>
              <w:right w:val="single" w:color="000000" w:sz="4" w:space="0"/>
            </w:tcBorders>
            <w:shd w:val="clear" w:color="auto" w:fill="FFFFFF"/>
            <w:vAlign w:val="center"/>
          </w:tcPr>
          <w:p>
            <w:pPr>
              <w:widowControl/>
              <w:jc w:val="center"/>
              <w:rPr>
                <w:color w:val="auto"/>
                <w:kern w:val="0"/>
                <w:szCs w:val="21"/>
                <w:highlight w:val="none"/>
              </w:rPr>
            </w:pPr>
          </w:p>
        </w:tc>
      </w:tr>
      <w:tr>
        <w:tblPrEx>
          <w:tblCellMar>
            <w:top w:w="0" w:type="dxa"/>
            <w:left w:w="108" w:type="dxa"/>
            <w:bottom w:w="0" w:type="dxa"/>
            <w:right w:w="108" w:type="dxa"/>
          </w:tblCellMar>
        </w:tblPrEx>
        <w:trPr>
          <w:trHeight w:val="328" w:hRule="atLeast"/>
          <w:jc w:val="center"/>
        </w:trPr>
        <w:tc>
          <w:tcPr>
            <w:tcW w:w="572" w:type="dxa"/>
            <w:tcBorders>
              <w:top w:val="nil"/>
              <w:left w:val="single" w:color="000000" w:sz="4" w:space="0"/>
              <w:bottom w:val="single" w:color="000000" w:sz="4" w:space="0"/>
              <w:right w:val="single" w:color="000000" w:sz="4" w:space="0"/>
            </w:tcBorders>
            <w:shd w:val="clear" w:color="auto" w:fill="FFFFFF"/>
            <w:vAlign w:val="center"/>
          </w:tcPr>
          <w:p>
            <w:pPr>
              <w:widowControl/>
              <w:jc w:val="center"/>
              <w:rPr>
                <w:color w:val="auto"/>
                <w:kern w:val="0"/>
                <w:szCs w:val="21"/>
                <w:highlight w:val="none"/>
              </w:rPr>
            </w:pPr>
            <w:r>
              <w:rPr>
                <w:color w:val="auto"/>
                <w:kern w:val="0"/>
                <w:szCs w:val="21"/>
                <w:highlight w:val="none"/>
              </w:rPr>
              <w:t>2</w:t>
            </w:r>
          </w:p>
        </w:tc>
        <w:tc>
          <w:tcPr>
            <w:tcW w:w="1684" w:type="dxa"/>
            <w:tcBorders>
              <w:top w:val="nil"/>
              <w:left w:val="nil"/>
              <w:bottom w:val="single" w:color="000000" w:sz="4" w:space="0"/>
              <w:right w:val="single" w:color="000000" w:sz="4" w:space="0"/>
            </w:tcBorders>
            <w:shd w:val="clear" w:color="auto" w:fill="FFFFFF"/>
            <w:vAlign w:val="center"/>
          </w:tcPr>
          <w:p>
            <w:pPr>
              <w:widowControl/>
              <w:jc w:val="center"/>
              <w:rPr>
                <w:color w:val="auto"/>
                <w:kern w:val="0"/>
                <w:szCs w:val="21"/>
                <w:highlight w:val="none"/>
              </w:rPr>
            </w:pPr>
          </w:p>
        </w:tc>
        <w:tc>
          <w:tcPr>
            <w:tcW w:w="1684" w:type="dxa"/>
            <w:tcBorders>
              <w:top w:val="nil"/>
              <w:left w:val="nil"/>
              <w:bottom w:val="single" w:color="000000" w:sz="4" w:space="0"/>
              <w:right w:val="single" w:color="000000" w:sz="4" w:space="0"/>
            </w:tcBorders>
            <w:shd w:val="clear" w:color="auto" w:fill="FFFFFF"/>
            <w:vAlign w:val="center"/>
          </w:tcPr>
          <w:p>
            <w:pPr>
              <w:widowControl/>
              <w:jc w:val="center"/>
              <w:rPr>
                <w:color w:val="auto"/>
                <w:kern w:val="0"/>
                <w:szCs w:val="21"/>
                <w:highlight w:val="none"/>
              </w:rPr>
            </w:pPr>
          </w:p>
        </w:tc>
        <w:tc>
          <w:tcPr>
            <w:tcW w:w="851" w:type="dxa"/>
            <w:tcBorders>
              <w:top w:val="nil"/>
              <w:left w:val="nil"/>
              <w:bottom w:val="single" w:color="000000" w:sz="4" w:space="0"/>
              <w:right w:val="single" w:color="auto" w:sz="4" w:space="0"/>
            </w:tcBorders>
            <w:shd w:val="clear" w:color="auto" w:fill="FFFFFF"/>
            <w:vAlign w:val="center"/>
          </w:tcPr>
          <w:p>
            <w:pPr>
              <w:widowControl/>
              <w:jc w:val="center"/>
              <w:rPr>
                <w:color w:val="auto"/>
                <w:kern w:val="0"/>
                <w:szCs w:val="21"/>
                <w:highlight w:val="none"/>
              </w:rPr>
            </w:pPr>
          </w:p>
        </w:tc>
        <w:tc>
          <w:tcPr>
            <w:tcW w:w="2268" w:type="dxa"/>
            <w:gridSpan w:val="2"/>
            <w:tcBorders>
              <w:top w:val="nil"/>
              <w:left w:val="nil"/>
              <w:bottom w:val="single" w:color="000000" w:sz="4" w:space="0"/>
              <w:right w:val="single" w:color="auto" w:sz="4" w:space="0"/>
            </w:tcBorders>
            <w:shd w:val="clear" w:color="auto" w:fill="FFFFFF"/>
            <w:vAlign w:val="center"/>
          </w:tcPr>
          <w:p>
            <w:pPr>
              <w:widowControl/>
              <w:jc w:val="center"/>
              <w:rPr>
                <w:color w:val="auto"/>
                <w:kern w:val="0"/>
                <w:szCs w:val="21"/>
                <w:highlight w:val="none"/>
              </w:rPr>
            </w:pPr>
          </w:p>
        </w:tc>
        <w:tc>
          <w:tcPr>
            <w:tcW w:w="2235" w:type="dxa"/>
            <w:tcBorders>
              <w:top w:val="nil"/>
              <w:left w:val="single" w:color="auto" w:sz="4" w:space="0"/>
              <w:bottom w:val="single" w:color="000000" w:sz="4" w:space="0"/>
              <w:right w:val="single" w:color="000000" w:sz="4" w:space="0"/>
            </w:tcBorders>
            <w:shd w:val="clear" w:color="auto" w:fill="FFFFFF"/>
            <w:vAlign w:val="center"/>
          </w:tcPr>
          <w:p>
            <w:pPr>
              <w:widowControl/>
              <w:jc w:val="center"/>
              <w:rPr>
                <w:color w:val="auto"/>
                <w:kern w:val="0"/>
                <w:szCs w:val="21"/>
                <w:highlight w:val="none"/>
              </w:rPr>
            </w:pPr>
          </w:p>
        </w:tc>
      </w:tr>
      <w:tr>
        <w:tblPrEx>
          <w:tblCellMar>
            <w:top w:w="0" w:type="dxa"/>
            <w:left w:w="108" w:type="dxa"/>
            <w:bottom w:w="0" w:type="dxa"/>
            <w:right w:w="108" w:type="dxa"/>
          </w:tblCellMar>
        </w:tblPrEx>
        <w:trPr>
          <w:trHeight w:val="328" w:hRule="atLeast"/>
          <w:jc w:val="center"/>
        </w:trPr>
        <w:tc>
          <w:tcPr>
            <w:tcW w:w="572" w:type="dxa"/>
            <w:tcBorders>
              <w:top w:val="nil"/>
              <w:left w:val="single" w:color="000000" w:sz="4" w:space="0"/>
              <w:bottom w:val="single" w:color="000000" w:sz="4" w:space="0"/>
              <w:right w:val="single" w:color="000000" w:sz="4" w:space="0"/>
            </w:tcBorders>
            <w:shd w:val="clear" w:color="auto" w:fill="FFFFFF"/>
            <w:vAlign w:val="center"/>
          </w:tcPr>
          <w:p>
            <w:pPr>
              <w:widowControl/>
              <w:jc w:val="center"/>
              <w:rPr>
                <w:color w:val="auto"/>
                <w:kern w:val="0"/>
                <w:szCs w:val="21"/>
                <w:highlight w:val="none"/>
              </w:rPr>
            </w:pPr>
            <w:r>
              <w:rPr>
                <w:color w:val="auto"/>
                <w:kern w:val="0"/>
                <w:szCs w:val="21"/>
                <w:highlight w:val="none"/>
              </w:rPr>
              <w:t>3</w:t>
            </w:r>
          </w:p>
        </w:tc>
        <w:tc>
          <w:tcPr>
            <w:tcW w:w="1684" w:type="dxa"/>
            <w:tcBorders>
              <w:top w:val="nil"/>
              <w:left w:val="nil"/>
              <w:bottom w:val="single" w:color="000000" w:sz="4" w:space="0"/>
              <w:right w:val="single" w:color="000000" w:sz="4" w:space="0"/>
            </w:tcBorders>
            <w:shd w:val="clear" w:color="auto" w:fill="FFFFFF"/>
            <w:vAlign w:val="center"/>
          </w:tcPr>
          <w:p>
            <w:pPr>
              <w:widowControl/>
              <w:jc w:val="center"/>
              <w:rPr>
                <w:color w:val="auto"/>
                <w:kern w:val="0"/>
                <w:szCs w:val="21"/>
                <w:highlight w:val="none"/>
              </w:rPr>
            </w:pPr>
          </w:p>
        </w:tc>
        <w:tc>
          <w:tcPr>
            <w:tcW w:w="1684" w:type="dxa"/>
            <w:tcBorders>
              <w:top w:val="nil"/>
              <w:left w:val="nil"/>
              <w:bottom w:val="single" w:color="000000" w:sz="4" w:space="0"/>
              <w:right w:val="single" w:color="000000" w:sz="4" w:space="0"/>
            </w:tcBorders>
            <w:shd w:val="clear" w:color="auto" w:fill="FFFFFF"/>
            <w:vAlign w:val="center"/>
          </w:tcPr>
          <w:p>
            <w:pPr>
              <w:widowControl/>
              <w:jc w:val="center"/>
              <w:rPr>
                <w:color w:val="auto"/>
                <w:kern w:val="0"/>
                <w:szCs w:val="21"/>
                <w:highlight w:val="none"/>
              </w:rPr>
            </w:pPr>
          </w:p>
        </w:tc>
        <w:tc>
          <w:tcPr>
            <w:tcW w:w="851" w:type="dxa"/>
            <w:tcBorders>
              <w:top w:val="nil"/>
              <w:left w:val="nil"/>
              <w:bottom w:val="single" w:color="000000" w:sz="4" w:space="0"/>
              <w:right w:val="single" w:color="auto" w:sz="4" w:space="0"/>
            </w:tcBorders>
            <w:shd w:val="clear" w:color="auto" w:fill="FFFFFF"/>
            <w:vAlign w:val="center"/>
          </w:tcPr>
          <w:p>
            <w:pPr>
              <w:widowControl/>
              <w:jc w:val="center"/>
              <w:rPr>
                <w:color w:val="auto"/>
                <w:kern w:val="0"/>
                <w:szCs w:val="21"/>
                <w:highlight w:val="none"/>
              </w:rPr>
            </w:pPr>
          </w:p>
        </w:tc>
        <w:tc>
          <w:tcPr>
            <w:tcW w:w="2268" w:type="dxa"/>
            <w:gridSpan w:val="2"/>
            <w:tcBorders>
              <w:top w:val="nil"/>
              <w:left w:val="nil"/>
              <w:bottom w:val="single" w:color="000000" w:sz="4" w:space="0"/>
              <w:right w:val="single" w:color="auto" w:sz="4" w:space="0"/>
            </w:tcBorders>
            <w:shd w:val="clear" w:color="auto" w:fill="FFFFFF"/>
            <w:vAlign w:val="center"/>
          </w:tcPr>
          <w:p>
            <w:pPr>
              <w:widowControl/>
              <w:jc w:val="center"/>
              <w:rPr>
                <w:color w:val="auto"/>
                <w:kern w:val="0"/>
                <w:szCs w:val="21"/>
                <w:highlight w:val="none"/>
              </w:rPr>
            </w:pPr>
          </w:p>
        </w:tc>
        <w:tc>
          <w:tcPr>
            <w:tcW w:w="2235" w:type="dxa"/>
            <w:tcBorders>
              <w:top w:val="nil"/>
              <w:left w:val="single" w:color="auto" w:sz="4" w:space="0"/>
              <w:bottom w:val="single" w:color="000000" w:sz="4" w:space="0"/>
              <w:right w:val="single" w:color="000000" w:sz="4" w:space="0"/>
            </w:tcBorders>
            <w:shd w:val="clear" w:color="auto" w:fill="FFFFFF"/>
            <w:vAlign w:val="center"/>
          </w:tcPr>
          <w:p>
            <w:pPr>
              <w:widowControl/>
              <w:jc w:val="center"/>
              <w:rPr>
                <w:color w:val="auto"/>
                <w:kern w:val="0"/>
                <w:szCs w:val="21"/>
                <w:highlight w:val="none"/>
              </w:rPr>
            </w:pPr>
          </w:p>
        </w:tc>
      </w:tr>
      <w:tr>
        <w:tblPrEx>
          <w:tblCellMar>
            <w:top w:w="0" w:type="dxa"/>
            <w:left w:w="108" w:type="dxa"/>
            <w:bottom w:w="0" w:type="dxa"/>
            <w:right w:w="108" w:type="dxa"/>
          </w:tblCellMar>
        </w:tblPrEx>
        <w:trPr>
          <w:trHeight w:val="328" w:hRule="atLeast"/>
          <w:jc w:val="center"/>
        </w:trPr>
        <w:tc>
          <w:tcPr>
            <w:tcW w:w="572" w:type="dxa"/>
            <w:tcBorders>
              <w:top w:val="nil"/>
              <w:left w:val="single" w:color="000000" w:sz="4" w:space="0"/>
              <w:bottom w:val="single" w:color="000000" w:sz="4" w:space="0"/>
              <w:right w:val="single" w:color="000000" w:sz="4" w:space="0"/>
            </w:tcBorders>
            <w:shd w:val="clear" w:color="auto" w:fill="FFFFFF"/>
            <w:vAlign w:val="center"/>
          </w:tcPr>
          <w:p>
            <w:pPr>
              <w:widowControl/>
              <w:jc w:val="center"/>
              <w:rPr>
                <w:color w:val="auto"/>
                <w:kern w:val="0"/>
                <w:szCs w:val="21"/>
                <w:highlight w:val="none"/>
              </w:rPr>
            </w:pPr>
            <w:r>
              <w:rPr>
                <w:rFonts w:hint="eastAsia"/>
                <w:color w:val="auto"/>
                <w:kern w:val="0"/>
                <w:szCs w:val="21"/>
                <w:highlight w:val="none"/>
              </w:rPr>
              <w:t>...</w:t>
            </w:r>
          </w:p>
        </w:tc>
        <w:tc>
          <w:tcPr>
            <w:tcW w:w="1684" w:type="dxa"/>
            <w:tcBorders>
              <w:top w:val="nil"/>
              <w:left w:val="nil"/>
              <w:bottom w:val="single" w:color="000000" w:sz="4" w:space="0"/>
              <w:right w:val="single" w:color="000000" w:sz="4" w:space="0"/>
            </w:tcBorders>
            <w:shd w:val="clear" w:color="auto" w:fill="FFFFFF"/>
            <w:vAlign w:val="center"/>
          </w:tcPr>
          <w:p>
            <w:pPr>
              <w:widowControl/>
              <w:jc w:val="center"/>
              <w:rPr>
                <w:color w:val="auto"/>
                <w:kern w:val="0"/>
                <w:szCs w:val="21"/>
                <w:highlight w:val="none"/>
              </w:rPr>
            </w:pPr>
          </w:p>
        </w:tc>
        <w:tc>
          <w:tcPr>
            <w:tcW w:w="1684" w:type="dxa"/>
            <w:tcBorders>
              <w:top w:val="nil"/>
              <w:left w:val="nil"/>
              <w:bottom w:val="single" w:color="000000" w:sz="4" w:space="0"/>
              <w:right w:val="single" w:color="000000" w:sz="4" w:space="0"/>
            </w:tcBorders>
            <w:shd w:val="clear" w:color="auto" w:fill="FFFFFF"/>
            <w:vAlign w:val="center"/>
          </w:tcPr>
          <w:p>
            <w:pPr>
              <w:widowControl/>
              <w:jc w:val="center"/>
              <w:rPr>
                <w:color w:val="auto"/>
                <w:kern w:val="0"/>
                <w:szCs w:val="21"/>
                <w:highlight w:val="none"/>
              </w:rPr>
            </w:pPr>
          </w:p>
        </w:tc>
        <w:tc>
          <w:tcPr>
            <w:tcW w:w="851" w:type="dxa"/>
            <w:tcBorders>
              <w:top w:val="nil"/>
              <w:left w:val="nil"/>
              <w:bottom w:val="single" w:color="000000" w:sz="4" w:space="0"/>
              <w:right w:val="single" w:color="auto" w:sz="4" w:space="0"/>
            </w:tcBorders>
            <w:shd w:val="clear" w:color="auto" w:fill="FFFFFF"/>
            <w:vAlign w:val="center"/>
          </w:tcPr>
          <w:p>
            <w:pPr>
              <w:widowControl/>
              <w:jc w:val="center"/>
              <w:rPr>
                <w:color w:val="auto"/>
                <w:kern w:val="0"/>
                <w:szCs w:val="21"/>
                <w:highlight w:val="none"/>
              </w:rPr>
            </w:pPr>
          </w:p>
        </w:tc>
        <w:tc>
          <w:tcPr>
            <w:tcW w:w="2268" w:type="dxa"/>
            <w:gridSpan w:val="2"/>
            <w:tcBorders>
              <w:top w:val="nil"/>
              <w:left w:val="nil"/>
              <w:bottom w:val="single" w:color="000000" w:sz="4" w:space="0"/>
              <w:right w:val="single" w:color="auto" w:sz="4" w:space="0"/>
            </w:tcBorders>
            <w:shd w:val="clear" w:color="auto" w:fill="FFFFFF"/>
            <w:vAlign w:val="center"/>
          </w:tcPr>
          <w:p>
            <w:pPr>
              <w:widowControl/>
              <w:jc w:val="center"/>
              <w:rPr>
                <w:color w:val="auto"/>
                <w:kern w:val="0"/>
                <w:szCs w:val="21"/>
                <w:highlight w:val="none"/>
              </w:rPr>
            </w:pPr>
          </w:p>
        </w:tc>
        <w:tc>
          <w:tcPr>
            <w:tcW w:w="2235" w:type="dxa"/>
            <w:tcBorders>
              <w:top w:val="nil"/>
              <w:left w:val="single" w:color="auto" w:sz="4" w:space="0"/>
              <w:bottom w:val="single" w:color="000000" w:sz="4" w:space="0"/>
              <w:right w:val="single" w:color="000000" w:sz="4" w:space="0"/>
            </w:tcBorders>
            <w:shd w:val="clear" w:color="auto" w:fill="FFFFFF"/>
            <w:vAlign w:val="center"/>
          </w:tcPr>
          <w:p>
            <w:pPr>
              <w:widowControl/>
              <w:jc w:val="center"/>
              <w:rPr>
                <w:color w:val="auto"/>
                <w:kern w:val="0"/>
                <w:szCs w:val="21"/>
                <w:highlight w:val="none"/>
              </w:rPr>
            </w:pPr>
          </w:p>
        </w:tc>
      </w:tr>
      <w:tr>
        <w:tblPrEx>
          <w:tblCellMar>
            <w:top w:w="0" w:type="dxa"/>
            <w:left w:w="108" w:type="dxa"/>
            <w:bottom w:w="0" w:type="dxa"/>
            <w:right w:w="108" w:type="dxa"/>
          </w:tblCellMar>
        </w:tblPrEx>
        <w:trPr>
          <w:trHeight w:val="328" w:hRule="atLeast"/>
          <w:jc w:val="center"/>
        </w:trPr>
        <w:tc>
          <w:tcPr>
            <w:tcW w:w="572" w:type="dxa"/>
            <w:tcBorders>
              <w:top w:val="nil"/>
              <w:left w:val="single" w:color="000000" w:sz="4" w:space="0"/>
              <w:bottom w:val="single" w:color="000000" w:sz="4" w:space="0"/>
              <w:right w:val="single" w:color="000000" w:sz="4" w:space="0"/>
            </w:tcBorders>
            <w:shd w:val="clear" w:color="auto" w:fill="FFFFFF"/>
            <w:vAlign w:val="center"/>
          </w:tcPr>
          <w:p>
            <w:pPr>
              <w:widowControl/>
              <w:jc w:val="center"/>
              <w:rPr>
                <w:color w:val="auto"/>
                <w:kern w:val="0"/>
                <w:szCs w:val="21"/>
                <w:highlight w:val="none"/>
              </w:rPr>
            </w:pPr>
          </w:p>
        </w:tc>
        <w:tc>
          <w:tcPr>
            <w:tcW w:w="1684" w:type="dxa"/>
            <w:tcBorders>
              <w:top w:val="nil"/>
              <w:left w:val="nil"/>
              <w:bottom w:val="single" w:color="000000" w:sz="4" w:space="0"/>
              <w:right w:val="single" w:color="000000" w:sz="4" w:space="0"/>
            </w:tcBorders>
            <w:shd w:val="clear" w:color="auto" w:fill="FFFFFF"/>
            <w:vAlign w:val="center"/>
          </w:tcPr>
          <w:p>
            <w:pPr>
              <w:widowControl/>
              <w:jc w:val="center"/>
              <w:rPr>
                <w:color w:val="auto"/>
                <w:kern w:val="0"/>
                <w:szCs w:val="21"/>
                <w:highlight w:val="none"/>
              </w:rPr>
            </w:pPr>
          </w:p>
        </w:tc>
        <w:tc>
          <w:tcPr>
            <w:tcW w:w="1684" w:type="dxa"/>
            <w:tcBorders>
              <w:top w:val="nil"/>
              <w:left w:val="nil"/>
              <w:bottom w:val="single" w:color="000000" w:sz="4" w:space="0"/>
              <w:right w:val="single" w:color="000000" w:sz="4" w:space="0"/>
            </w:tcBorders>
            <w:shd w:val="clear" w:color="auto" w:fill="FFFFFF"/>
            <w:vAlign w:val="center"/>
          </w:tcPr>
          <w:p>
            <w:pPr>
              <w:widowControl/>
              <w:jc w:val="center"/>
              <w:rPr>
                <w:color w:val="auto"/>
                <w:kern w:val="0"/>
                <w:szCs w:val="21"/>
                <w:highlight w:val="none"/>
              </w:rPr>
            </w:pPr>
          </w:p>
        </w:tc>
        <w:tc>
          <w:tcPr>
            <w:tcW w:w="851" w:type="dxa"/>
            <w:tcBorders>
              <w:top w:val="nil"/>
              <w:left w:val="nil"/>
              <w:bottom w:val="single" w:color="000000" w:sz="4" w:space="0"/>
              <w:right w:val="single" w:color="auto" w:sz="4" w:space="0"/>
            </w:tcBorders>
            <w:shd w:val="clear" w:color="auto" w:fill="FFFFFF"/>
            <w:vAlign w:val="center"/>
          </w:tcPr>
          <w:p>
            <w:pPr>
              <w:widowControl/>
              <w:jc w:val="center"/>
              <w:rPr>
                <w:color w:val="auto"/>
                <w:kern w:val="0"/>
                <w:szCs w:val="21"/>
                <w:highlight w:val="none"/>
              </w:rPr>
            </w:pPr>
          </w:p>
        </w:tc>
        <w:tc>
          <w:tcPr>
            <w:tcW w:w="2268" w:type="dxa"/>
            <w:gridSpan w:val="2"/>
            <w:tcBorders>
              <w:top w:val="nil"/>
              <w:left w:val="nil"/>
              <w:bottom w:val="single" w:color="000000" w:sz="4" w:space="0"/>
              <w:right w:val="single" w:color="auto" w:sz="4" w:space="0"/>
            </w:tcBorders>
            <w:shd w:val="clear" w:color="auto" w:fill="FFFFFF"/>
            <w:vAlign w:val="center"/>
          </w:tcPr>
          <w:p>
            <w:pPr>
              <w:widowControl/>
              <w:jc w:val="center"/>
              <w:rPr>
                <w:color w:val="auto"/>
                <w:kern w:val="0"/>
                <w:szCs w:val="21"/>
                <w:highlight w:val="none"/>
              </w:rPr>
            </w:pPr>
          </w:p>
        </w:tc>
        <w:tc>
          <w:tcPr>
            <w:tcW w:w="2235" w:type="dxa"/>
            <w:tcBorders>
              <w:top w:val="nil"/>
              <w:left w:val="single" w:color="auto" w:sz="4" w:space="0"/>
              <w:bottom w:val="single" w:color="000000" w:sz="4" w:space="0"/>
              <w:right w:val="single" w:color="000000" w:sz="4" w:space="0"/>
            </w:tcBorders>
            <w:shd w:val="clear" w:color="auto" w:fill="FFFFFF"/>
            <w:vAlign w:val="center"/>
          </w:tcPr>
          <w:p>
            <w:pPr>
              <w:widowControl/>
              <w:jc w:val="center"/>
              <w:rPr>
                <w:color w:val="auto"/>
                <w:kern w:val="0"/>
                <w:szCs w:val="21"/>
                <w:highlight w:val="none"/>
              </w:rPr>
            </w:pPr>
          </w:p>
        </w:tc>
      </w:tr>
      <w:tr>
        <w:tblPrEx>
          <w:tblCellMar>
            <w:top w:w="0" w:type="dxa"/>
            <w:left w:w="108" w:type="dxa"/>
            <w:bottom w:w="0" w:type="dxa"/>
            <w:right w:w="108" w:type="dxa"/>
          </w:tblCellMar>
        </w:tblPrEx>
        <w:trPr>
          <w:trHeight w:val="328" w:hRule="atLeast"/>
          <w:jc w:val="center"/>
        </w:trPr>
        <w:tc>
          <w:tcPr>
            <w:tcW w:w="572" w:type="dxa"/>
            <w:tcBorders>
              <w:top w:val="nil"/>
              <w:left w:val="single" w:color="000000" w:sz="4" w:space="0"/>
              <w:bottom w:val="single" w:color="000000" w:sz="4" w:space="0"/>
              <w:right w:val="single" w:color="000000" w:sz="4" w:space="0"/>
            </w:tcBorders>
            <w:shd w:val="clear" w:color="auto" w:fill="FFFFFF"/>
            <w:vAlign w:val="center"/>
          </w:tcPr>
          <w:p>
            <w:pPr>
              <w:widowControl/>
              <w:jc w:val="center"/>
              <w:rPr>
                <w:color w:val="auto"/>
                <w:kern w:val="0"/>
                <w:szCs w:val="21"/>
                <w:highlight w:val="none"/>
              </w:rPr>
            </w:pPr>
          </w:p>
        </w:tc>
        <w:tc>
          <w:tcPr>
            <w:tcW w:w="1684" w:type="dxa"/>
            <w:tcBorders>
              <w:top w:val="nil"/>
              <w:left w:val="nil"/>
              <w:bottom w:val="single" w:color="000000" w:sz="4" w:space="0"/>
              <w:right w:val="single" w:color="000000" w:sz="4" w:space="0"/>
            </w:tcBorders>
            <w:shd w:val="clear" w:color="auto" w:fill="FFFFFF"/>
            <w:vAlign w:val="center"/>
          </w:tcPr>
          <w:p>
            <w:pPr>
              <w:widowControl/>
              <w:jc w:val="center"/>
              <w:rPr>
                <w:color w:val="auto"/>
                <w:kern w:val="0"/>
                <w:szCs w:val="21"/>
                <w:highlight w:val="none"/>
              </w:rPr>
            </w:pPr>
          </w:p>
        </w:tc>
        <w:tc>
          <w:tcPr>
            <w:tcW w:w="1684" w:type="dxa"/>
            <w:tcBorders>
              <w:top w:val="nil"/>
              <w:left w:val="nil"/>
              <w:bottom w:val="single" w:color="000000" w:sz="4" w:space="0"/>
              <w:right w:val="single" w:color="000000" w:sz="4" w:space="0"/>
            </w:tcBorders>
            <w:shd w:val="clear" w:color="auto" w:fill="FFFFFF"/>
            <w:vAlign w:val="center"/>
          </w:tcPr>
          <w:p>
            <w:pPr>
              <w:widowControl/>
              <w:jc w:val="center"/>
              <w:rPr>
                <w:color w:val="auto"/>
                <w:kern w:val="0"/>
                <w:szCs w:val="21"/>
                <w:highlight w:val="none"/>
              </w:rPr>
            </w:pPr>
          </w:p>
        </w:tc>
        <w:tc>
          <w:tcPr>
            <w:tcW w:w="851" w:type="dxa"/>
            <w:tcBorders>
              <w:top w:val="nil"/>
              <w:left w:val="nil"/>
              <w:bottom w:val="single" w:color="000000" w:sz="4" w:space="0"/>
              <w:right w:val="single" w:color="auto" w:sz="4" w:space="0"/>
            </w:tcBorders>
            <w:shd w:val="clear" w:color="auto" w:fill="FFFFFF"/>
            <w:vAlign w:val="center"/>
          </w:tcPr>
          <w:p>
            <w:pPr>
              <w:widowControl/>
              <w:jc w:val="center"/>
              <w:rPr>
                <w:color w:val="auto"/>
                <w:kern w:val="0"/>
                <w:szCs w:val="21"/>
                <w:highlight w:val="none"/>
              </w:rPr>
            </w:pPr>
          </w:p>
        </w:tc>
        <w:tc>
          <w:tcPr>
            <w:tcW w:w="2268" w:type="dxa"/>
            <w:gridSpan w:val="2"/>
            <w:tcBorders>
              <w:top w:val="nil"/>
              <w:left w:val="nil"/>
              <w:bottom w:val="single" w:color="000000" w:sz="4" w:space="0"/>
              <w:right w:val="single" w:color="auto" w:sz="4" w:space="0"/>
            </w:tcBorders>
            <w:shd w:val="clear" w:color="auto" w:fill="FFFFFF"/>
            <w:vAlign w:val="center"/>
          </w:tcPr>
          <w:p>
            <w:pPr>
              <w:widowControl/>
              <w:jc w:val="center"/>
              <w:rPr>
                <w:color w:val="auto"/>
                <w:kern w:val="0"/>
                <w:szCs w:val="21"/>
                <w:highlight w:val="none"/>
              </w:rPr>
            </w:pPr>
          </w:p>
        </w:tc>
        <w:tc>
          <w:tcPr>
            <w:tcW w:w="2235" w:type="dxa"/>
            <w:tcBorders>
              <w:top w:val="nil"/>
              <w:left w:val="single" w:color="auto" w:sz="4" w:space="0"/>
              <w:bottom w:val="single" w:color="000000" w:sz="4" w:space="0"/>
              <w:right w:val="single" w:color="000000" w:sz="4" w:space="0"/>
            </w:tcBorders>
            <w:shd w:val="clear" w:color="auto" w:fill="FFFFFF"/>
            <w:vAlign w:val="center"/>
          </w:tcPr>
          <w:p>
            <w:pPr>
              <w:widowControl/>
              <w:jc w:val="center"/>
              <w:rPr>
                <w:color w:val="auto"/>
                <w:kern w:val="0"/>
                <w:szCs w:val="21"/>
                <w:highlight w:val="none"/>
              </w:rPr>
            </w:pPr>
          </w:p>
        </w:tc>
      </w:tr>
      <w:tr>
        <w:tblPrEx>
          <w:tblCellMar>
            <w:top w:w="0" w:type="dxa"/>
            <w:left w:w="108" w:type="dxa"/>
            <w:bottom w:w="0" w:type="dxa"/>
            <w:right w:w="108" w:type="dxa"/>
          </w:tblCellMar>
        </w:tblPrEx>
        <w:trPr>
          <w:trHeight w:val="539" w:hRule="atLeast"/>
          <w:jc w:val="center"/>
        </w:trPr>
        <w:tc>
          <w:tcPr>
            <w:tcW w:w="572" w:type="dxa"/>
            <w:vMerge w:val="restart"/>
            <w:tcBorders>
              <w:top w:val="nil"/>
              <w:left w:val="single" w:color="000000" w:sz="4" w:space="0"/>
              <w:bottom w:val="single" w:color="000000" w:sz="4" w:space="0"/>
              <w:right w:val="single" w:color="000000" w:sz="4" w:space="0"/>
            </w:tcBorders>
            <w:shd w:val="clear" w:color="auto" w:fill="FFFFFF"/>
            <w:vAlign w:val="center"/>
          </w:tcPr>
          <w:p>
            <w:pPr>
              <w:widowControl/>
              <w:jc w:val="center"/>
              <w:rPr>
                <w:color w:val="auto"/>
                <w:kern w:val="0"/>
                <w:szCs w:val="21"/>
                <w:highlight w:val="none"/>
              </w:rPr>
            </w:pPr>
            <w:r>
              <w:rPr>
                <w:rFonts w:hAnsi="宋体"/>
                <w:color w:val="auto"/>
                <w:kern w:val="0"/>
                <w:szCs w:val="21"/>
                <w:highlight w:val="none"/>
              </w:rPr>
              <w:t>备注</w:t>
            </w:r>
          </w:p>
        </w:tc>
        <w:tc>
          <w:tcPr>
            <w:tcW w:w="8722" w:type="dxa"/>
            <w:gridSpan w:val="6"/>
            <w:tcBorders>
              <w:top w:val="single" w:color="000000" w:sz="4" w:space="0"/>
              <w:left w:val="nil"/>
              <w:bottom w:val="single" w:color="000000" w:sz="4" w:space="0"/>
              <w:right w:val="single" w:color="000000" w:sz="4" w:space="0"/>
            </w:tcBorders>
            <w:shd w:val="clear" w:color="auto" w:fill="FFFFFF"/>
            <w:vAlign w:val="center"/>
          </w:tcPr>
          <w:p>
            <w:pPr>
              <w:widowControl/>
              <w:jc w:val="left"/>
              <w:rPr>
                <w:color w:val="auto"/>
                <w:kern w:val="0"/>
                <w:szCs w:val="21"/>
                <w:highlight w:val="none"/>
              </w:rPr>
            </w:pPr>
            <w:r>
              <w:rPr>
                <w:color w:val="auto"/>
                <w:kern w:val="0"/>
                <w:szCs w:val="21"/>
                <w:highlight w:val="none"/>
              </w:rPr>
              <w:t>1</w:t>
            </w:r>
            <w:r>
              <w:rPr>
                <w:rFonts w:hint="eastAsia"/>
                <w:color w:val="auto"/>
                <w:kern w:val="0"/>
                <w:szCs w:val="21"/>
                <w:highlight w:val="none"/>
              </w:rPr>
              <w:t>.</w:t>
            </w:r>
            <w:r>
              <w:rPr>
                <w:rFonts w:hAnsi="宋体"/>
                <w:color w:val="auto"/>
                <w:kern w:val="0"/>
                <w:szCs w:val="21"/>
                <w:highlight w:val="none"/>
              </w:rPr>
              <w:t>收货单位对照此清单，确认货物包装完好、品名、数量、号型准确无误后，收货单位方可签字。</w:t>
            </w:r>
          </w:p>
        </w:tc>
      </w:tr>
      <w:tr>
        <w:tblPrEx>
          <w:tblCellMar>
            <w:top w:w="0" w:type="dxa"/>
            <w:left w:w="108" w:type="dxa"/>
            <w:bottom w:w="0" w:type="dxa"/>
            <w:right w:w="108" w:type="dxa"/>
          </w:tblCellMar>
        </w:tblPrEx>
        <w:trPr>
          <w:trHeight w:val="505" w:hRule="atLeast"/>
          <w:jc w:val="center"/>
        </w:trPr>
        <w:tc>
          <w:tcPr>
            <w:tcW w:w="572" w:type="dxa"/>
            <w:vMerge w:val="continue"/>
            <w:tcBorders>
              <w:top w:val="nil"/>
              <w:left w:val="single" w:color="000000" w:sz="4" w:space="0"/>
              <w:bottom w:val="single" w:color="000000" w:sz="4" w:space="0"/>
              <w:right w:val="single" w:color="000000" w:sz="4" w:space="0"/>
            </w:tcBorders>
            <w:shd w:val="clear" w:color="auto" w:fill="FFFFFF"/>
            <w:vAlign w:val="center"/>
          </w:tcPr>
          <w:p>
            <w:pPr>
              <w:rPr>
                <w:color w:val="auto"/>
                <w:szCs w:val="21"/>
                <w:highlight w:val="none"/>
              </w:rPr>
            </w:pPr>
          </w:p>
        </w:tc>
        <w:tc>
          <w:tcPr>
            <w:tcW w:w="8722" w:type="dxa"/>
            <w:gridSpan w:val="6"/>
            <w:tcBorders>
              <w:top w:val="single" w:color="000000" w:sz="4" w:space="0"/>
              <w:left w:val="nil"/>
              <w:bottom w:val="single" w:color="000000" w:sz="4" w:space="0"/>
              <w:right w:val="single" w:color="000000" w:sz="4" w:space="0"/>
            </w:tcBorders>
            <w:shd w:val="clear" w:color="auto" w:fill="FFFFFF"/>
            <w:vAlign w:val="center"/>
          </w:tcPr>
          <w:p>
            <w:pPr>
              <w:widowControl/>
              <w:jc w:val="left"/>
              <w:rPr>
                <w:color w:val="auto"/>
                <w:kern w:val="0"/>
                <w:szCs w:val="21"/>
                <w:highlight w:val="none"/>
              </w:rPr>
            </w:pPr>
            <w:r>
              <w:rPr>
                <w:color w:val="auto"/>
                <w:kern w:val="0"/>
                <w:szCs w:val="21"/>
                <w:highlight w:val="none"/>
              </w:rPr>
              <w:t>2</w:t>
            </w:r>
            <w:r>
              <w:rPr>
                <w:rFonts w:hint="eastAsia"/>
                <w:color w:val="auto"/>
                <w:kern w:val="0"/>
                <w:szCs w:val="21"/>
                <w:highlight w:val="none"/>
              </w:rPr>
              <w:t>.</w:t>
            </w:r>
            <w:r>
              <w:rPr>
                <w:rFonts w:hAnsi="宋体"/>
                <w:color w:val="auto"/>
                <w:kern w:val="0"/>
                <w:szCs w:val="21"/>
                <w:highlight w:val="none"/>
              </w:rPr>
              <w:t>本交货清单一式</w:t>
            </w:r>
            <w:r>
              <w:rPr>
                <w:rFonts w:hint="eastAsia" w:hAnsi="宋体"/>
                <w:color w:val="auto"/>
                <w:kern w:val="0"/>
                <w:szCs w:val="21"/>
                <w:highlight w:val="none"/>
              </w:rPr>
              <w:t>两</w:t>
            </w:r>
            <w:r>
              <w:rPr>
                <w:rFonts w:hAnsi="宋体"/>
                <w:color w:val="auto"/>
                <w:kern w:val="0"/>
                <w:szCs w:val="21"/>
                <w:highlight w:val="none"/>
              </w:rPr>
              <w:t>份，收</w:t>
            </w:r>
            <w:r>
              <w:rPr>
                <w:rFonts w:hint="eastAsia" w:hAnsi="宋体"/>
                <w:color w:val="auto"/>
                <w:kern w:val="0"/>
                <w:szCs w:val="21"/>
                <w:highlight w:val="none"/>
              </w:rPr>
              <w:t>货</w:t>
            </w:r>
            <w:r>
              <w:rPr>
                <w:rFonts w:hAnsi="宋体"/>
                <w:color w:val="auto"/>
                <w:kern w:val="0"/>
                <w:szCs w:val="21"/>
                <w:highlight w:val="none"/>
              </w:rPr>
              <w:t>单位留存一份，发货单位留存</w:t>
            </w:r>
            <w:r>
              <w:rPr>
                <w:rFonts w:hint="eastAsia" w:hAnsi="宋体"/>
                <w:color w:val="auto"/>
                <w:kern w:val="0"/>
                <w:szCs w:val="21"/>
                <w:highlight w:val="none"/>
              </w:rPr>
              <w:t>一</w:t>
            </w:r>
            <w:r>
              <w:rPr>
                <w:rFonts w:hAnsi="宋体"/>
                <w:color w:val="auto"/>
                <w:kern w:val="0"/>
                <w:szCs w:val="21"/>
                <w:highlight w:val="none"/>
              </w:rPr>
              <w:t>份。</w:t>
            </w:r>
          </w:p>
        </w:tc>
      </w:tr>
      <w:tr>
        <w:tblPrEx>
          <w:tblCellMar>
            <w:top w:w="0" w:type="dxa"/>
            <w:left w:w="108" w:type="dxa"/>
            <w:bottom w:w="0" w:type="dxa"/>
            <w:right w:w="108" w:type="dxa"/>
          </w:tblCellMar>
        </w:tblPrEx>
        <w:trPr>
          <w:trHeight w:val="439" w:hRule="atLeast"/>
          <w:jc w:val="center"/>
        </w:trPr>
        <w:tc>
          <w:tcPr>
            <w:tcW w:w="9294" w:type="dxa"/>
            <w:gridSpan w:val="7"/>
            <w:tcBorders>
              <w:top w:val="single" w:color="000000" w:sz="4" w:space="0"/>
              <w:left w:val="nil"/>
              <w:bottom w:val="nil"/>
              <w:right w:val="nil"/>
            </w:tcBorders>
            <w:shd w:val="clear" w:color="auto" w:fill="FFFFFF"/>
            <w:vAlign w:val="center"/>
          </w:tcPr>
          <w:p>
            <w:pPr>
              <w:widowControl/>
              <w:jc w:val="left"/>
              <w:rPr>
                <w:color w:val="auto"/>
                <w:kern w:val="0"/>
                <w:szCs w:val="21"/>
                <w:highlight w:val="none"/>
              </w:rPr>
            </w:pPr>
          </w:p>
        </w:tc>
      </w:tr>
      <w:tr>
        <w:tblPrEx>
          <w:tblCellMar>
            <w:top w:w="0" w:type="dxa"/>
            <w:left w:w="108" w:type="dxa"/>
            <w:bottom w:w="0" w:type="dxa"/>
            <w:right w:w="108" w:type="dxa"/>
          </w:tblCellMar>
        </w:tblPrEx>
        <w:trPr>
          <w:trHeight w:val="891" w:hRule="atLeast"/>
          <w:jc w:val="center"/>
        </w:trPr>
        <w:tc>
          <w:tcPr>
            <w:tcW w:w="4877" w:type="dxa"/>
            <w:gridSpan w:val="5"/>
            <w:shd w:val="clear" w:color="auto" w:fill="FFFFFF"/>
            <w:vAlign w:val="center"/>
          </w:tcPr>
          <w:p>
            <w:pPr>
              <w:widowControl/>
              <w:jc w:val="left"/>
              <w:rPr>
                <w:color w:val="auto"/>
                <w:kern w:val="0"/>
                <w:szCs w:val="21"/>
                <w:highlight w:val="none"/>
              </w:rPr>
            </w:pPr>
            <w:r>
              <w:rPr>
                <w:rFonts w:hint="eastAsia"/>
                <w:color w:val="auto"/>
                <w:kern w:val="0"/>
                <w:szCs w:val="21"/>
                <w:highlight w:val="none"/>
              </w:rPr>
              <w:t>交货人：（签字）</w:t>
            </w:r>
          </w:p>
        </w:tc>
        <w:tc>
          <w:tcPr>
            <w:tcW w:w="4417" w:type="dxa"/>
            <w:gridSpan w:val="2"/>
            <w:shd w:val="clear" w:color="auto" w:fill="FFFFFF"/>
            <w:vAlign w:val="center"/>
          </w:tcPr>
          <w:p>
            <w:pPr>
              <w:widowControl/>
              <w:ind w:firstLine="1155" w:firstLineChars="550"/>
              <w:jc w:val="left"/>
              <w:rPr>
                <w:rFonts w:eastAsia="黑体" w:cs="Arial"/>
                <w:color w:val="auto"/>
                <w:kern w:val="0"/>
                <w:szCs w:val="21"/>
                <w:highlight w:val="none"/>
              </w:rPr>
            </w:pPr>
            <w:r>
              <w:rPr>
                <w:rFonts w:hint="eastAsia"/>
                <w:color w:val="auto"/>
                <w:kern w:val="0"/>
                <w:szCs w:val="21"/>
                <w:highlight w:val="none"/>
              </w:rPr>
              <w:t>收货人：（签字）</w:t>
            </w:r>
          </w:p>
        </w:tc>
      </w:tr>
      <w:tr>
        <w:tblPrEx>
          <w:tblCellMar>
            <w:top w:w="0" w:type="dxa"/>
            <w:left w:w="108" w:type="dxa"/>
            <w:bottom w:w="0" w:type="dxa"/>
            <w:right w:w="108" w:type="dxa"/>
          </w:tblCellMar>
        </w:tblPrEx>
        <w:trPr>
          <w:trHeight w:val="597" w:hRule="atLeast"/>
          <w:jc w:val="center"/>
        </w:trPr>
        <w:tc>
          <w:tcPr>
            <w:tcW w:w="9294" w:type="dxa"/>
            <w:gridSpan w:val="7"/>
            <w:shd w:val="clear" w:color="auto" w:fill="FFFFFF"/>
            <w:vAlign w:val="center"/>
          </w:tcPr>
          <w:p>
            <w:pPr>
              <w:widowControl/>
              <w:jc w:val="center"/>
              <w:rPr>
                <w:color w:val="auto"/>
                <w:kern w:val="0"/>
                <w:szCs w:val="21"/>
                <w:highlight w:val="none"/>
              </w:rPr>
            </w:pPr>
            <w:r>
              <w:rPr>
                <w:rFonts w:hint="eastAsia" w:hAnsi="宋体"/>
                <w:color w:val="auto"/>
                <w:kern w:val="0"/>
                <w:szCs w:val="21"/>
                <w:highlight w:val="none"/>
              </w:rPr>
              <w:t xml:space="preserve">                                                      签收</w:t>
            </w:r>
            <w:r>
              <w:rPr>
                <w:rFonts w:hAnsi="宋体"/>
                <w:color w:val="auto"/>
                <w:kern w:val="0"/>
                <w:szCs w:val="21"/>
                <w:highlight w:val="none"/>
              </w:rPr>
              <w:t>时间：年月日</w:t>
            </w:r>
          </w:p>
        </w:tc>
      </w:tr>
    </w:tbl>
    <w:p>
      <w:pPr>
        <w:rPr>
          <w:color w:val="auto"/>
          <w:highlight w:val="none"/>
        </w:rPr>
      </w:pPr>
    </w:p>
    <w:p>
      <w:pPr>
        <w:widowControl/>
        <w:jc w:val="left"/>
        <w:rPr>
          <w:color w:val="auto"/>
          <w:highlight w:val="none"/>
        </w:rPr>
      </w:pPr>
      <w:r>
        <w:rPr>
          <w:color w:val="auto"/>
          <w:highlight w:val="none"/>
        </w:rPr>
        <w:br w:type="page"/>
      </w:r>
    </w:p>
    <w:p>
      <w:pPr>
        <w:rPr>
          <w:color w:val="auto"/>
          <w:highlight w:val="none"/>
        </w:rPr>
        <w:sectPr>
          <w:pgSz w:w="11907" w:h="16840"/>
          <w:pgMar w:top="1111" w:right="1134" w:bottom="936" w:left="1134" w:header="425" w:footer="573" w:gutter="0"/>
          <w:cols w:space="720" w:num="1"/>
          <w:titlePg/>
          <w:docGrid w:linePitch="462" w:charSpace="0"/>
        </w:sectPr>
      </w:pPr>
    </w:p>
    <w:p>
      <w:pPr>
        <w:pStyle w:val="3"/>
        <w:jc w:val="center"/>
        <w:rPr>
          <w:rFonts w:ascii="Times New Roman" w:eastAsia="仿宋"/>
          <w:color w:val="auto"/>
          <w:szCs w:val="44"/>
          <w:highlight w:val="none"/>
        </w:rPr>
      </w:pPr>
      <w:bookmarkStart w:id="255" w:name="_Toc14625"/>
      <w:bookmarkStart w:id="256" w:name="_Toc13526"/>
      <w:bookmarkStart w:id="257" w:name="_Toc25374"/>
      <w:bookmarkStart w:id="258" w:name="_Toc8951"/>
      <w:bookmarkStart w:id="259" w:name="_Toc32128"/>
      <w:bookmarkStart w:id="260" w:name="_Toc30422"/>
      <w:bookmarkStart w:id="261" w:name="_Toc111018947"/>
      <w:bookmarkStart w:id="262" w:name="_Toc11082"/>
      <w:bookmarkStart w:id="263" w:name="_Toc20096"/>
      <w:r>
        <w:rPr>
          <w:rFonts w:ascii="Times New Roman" w:eastAsia="仿宋"/>
          <w:b/>
          <w:color w:val="auto"/>
          <w:sz w:val="40"/>
          <w:highlight w:val="none"/>
        </w:rPr>
        <w:t>第四章</w:t>
      </w:r>
      <w:bookmarkEnd w:id="237"/>
      <w:bookmarkStart w:id="264" w:name="_Toc413657138"/>
      <w:bookmarkStart w:id="265" w:name="_Toc413656906"/>
      <w:bookmarkStart w:id="266" w:name="_Toc432064409"/>
      <w:bookmarkStart w:id="267" w:name="_Toc432064609"/>
      <w:r>
        <w:rPr>
          <w:rFonts w:ascii="Times New Roman" w:eastAsia="仿宋"/>
          <w:b/>
          <w:color w:val="auto"/>
          <w:sz w:val="40"/>
          <w:highlight w:val="none"/>
        </w:rPr>
        <w:t xml:space="preserve"> 投标文件格式</w:t>
      </w:r>
      <w:bookmarkEnd w:id="255"/>
      <w:bookmarkEnd w:id="256"/>
      <w:bookmarkEnd w:id="257"/>
      <w:bookmarkEnd w:id="258"/>
      <w:bookmarkEnd w:id="259"/>
      <w:bookmarkEnd w:id="260"/>
      <w:bookmarkEnd w:id="261"/>
      <w:bookmarkEnd w:id="262"/>
      <w:bookmarkEnd w:id="263"/>
      <w:bookmarkEnd w:id="264"/>
      <w:bookmarkEnd w:id="265"/>
      <w:bookmarkEnd w:id="266"/>
      <w:bookmarkEnd w:id="267"/>
    </w:p>
    <w:p>
      <w:pPr>
        <w:spacing w:line="560" w:lineRule="exact"/>
        <w:jc w:val="center"/>
        <w:outlineLvl w:val="1"/>
        <w:rPr>
          <w:rFonts w:eastAsia="仿宋"/>
          <w:b/>
          <w:bCs/>
          <w:snapToGrid w:val="0"/>
          <w:color w:val="auto"/>
          <w:kern w:val="0"/>
          <w:sz w:val="28"/>
          <w:szCs w:val="28"/>
          <w:highlight w:val="none"/>
        </w:rPr>
      </w:pPr>
      <w:bookmarkStart w:id="268" w:name="_Toc13045"/>
      <w:bookmarkStart w:id="269" w:name="_Toc3702"/>
      <w:bookmarkStart w:id="270" w:name="_Toc399344494"/>
      <w:bookmarkStart w:id="271" w:name="_Toc12098"/>
      <w:bookmarkStart w:id="272" w:name="_Toc400631655"/>
      <w:bookmarkStart w:id="273" w:name="_Toc399344121"/>
      <w:bookmarkStart w:id="274" w:name="_Toc18879"/>
      <w:bookmarkStart w:id="275" w:name="_Toc14902"/>
      <w:bookmarkStart w:id="276" w:name="_Toc23070"/>
      <w:bookmarkStart w:id="277" w:name="_Toc111018948"/>
      <w:bookmarkStart w:id="278" w:name="_Toc18238"/>
      <w:bookmarkStart w:id="279" w:name="_Toc2405"/>
      <w:r>
        <w:rPr>
          <w:rFonts w:eastAsia="仿宋"/>
          <w:b/>
          <w:bCs/>
          <w:snapToGrid w:val="0"/>
          <w:color w:val="auto"/>
          <w:kern w:val="0"/>
          <w:sz w:val="28"/>
          <w:szCs w:val="28"/>
          <w:highlight w:val="none"/>
        </w:rPr>
        <w:t>一、投标书</w:t>
      </w:r>
      <w:bookmarkEnd w:id="268"/>
      <w:bookmarkEnd w:id="269"/>
      <w:bookmarkEnd w:id="270"/>
      <w:bookmarkEnd w:id="271"/>
      <w:bookmarkEnd w:id="272"/>
      <w:bookmarkEnd w:id="273"/>
      <w:bookmarkEnd w:id="274"/>
      <w:bookmarkEnd w:id="275"/>
      <w:bookmarkEnd w:id="276"/>
      <w:bookmarkEnd w:id="277"/>
      <w:bookmarkEnd w:id="278"/>
      <w:bookmarkEnd w:id="279"/>
    </w:p>
    <w:p>
      <w:pPr>
        <w:spacing w:line="480" w:lineRule="exact"/>
        <w:rPr>
          <w:rFonts w:eastAsia="仿宋"/>
          <w:color w:val="auto"/>
          <w:sz w:val="24"/>
          <w:highlight w:val="none"/>
          <w:u w:val="single"/>
        </w:rPr>
      </w:pPr>
      <w:r>
        <w:rPr>
          <w:rFonts w:eastAsia="仿宋"/>
          <w:color w:val="auto"/>
          <w:sz w:val="24"/>
          <w:highlight w:val="none"/>
        </w:rPr>
        <w:t>致：</w:t>
      </w:r>
      <w:r>
        <w:rPr>
          <w:rFonts w:eastAsia="仿宋"/>
          <w:b/>
          <w:color w:val="auto"/>
          <w:sz w:val="24"/>
          <w:highlight w:val="none"/>
          <w:u w:val="single"/>
        </w:rPr>
        <w:t>（江西省机电设备招标有限公司）</w:t>
      </w:r>
    </w:p>
    <w:p>
      <w:pPr>
        <w:spacing w:line="480" w:lineRule="exact"/>
        <w:ind w:firstLine="480" w:firstLineChars="200"/>
        <w:rPr>
          <w:rFonts w:eastAsia="仿宋"/>
          <w:color w:val="auto"/>
          <w:sz w:val="24"/>
          <w:highlight w:val="none"/>
        </w:rPr>
      </w:pPr>
      <w:bookmarkStart w:id="280" w:name="_Toc209412917"/>
      <w:bookmarkStart w:id="281" w:name="_Toc216189500"/>
      <w:r>
        <w:rPr>
          <w:rFonts w:eastAsia="仿宋"/>
          <w:color w:val="auto"/>
          <w:sz w:val="24"/>
          <w:highlight w:val="none"/>
        </w:rPr>
        <w:t>依据贵方（项目名称）项目招标采购货物及服务的投标邀请，我方代表（姓名、职务）经正式授权并代表（投标人名称）提交投标文件。</w:t>
      </w:r>
    </w:p>
    <w:p>
      <w:pPr>
        <w:spacing w:line="480" w:lineRule="exact"/>
        <w:ind w:firstLine="480" w:firstLineChars="200"/>
        <w:rPr>
          <w:rFonts w:eastAsia="仿宋"/>
          <w:color w:val="auto"/>
          <w:sz w:val="24"/>
          <w:highlight w:val="none"/>
        </w:rPr>
      </w:pPr>
      <w:r>
        <w:rPr>
          <w:rFonts w:eastAsia="仿宋"/>
          <w:color w:val="auto"/>
          <w:sz w:val="24"/>
          <w:highlight w:val="none"/>
        </w:rPr>
        <w:t>在此，我方声明如下：</w:t>
      </w:r>
    </w:p>
    <w:p>
      <w:pPr>
        <w:spacing w:line="480" w:lineRule="exact"/>
        <w:ind w:firstLine="480" w:firstLineChars="200"/>
        <w:rPr>
          <w:rFonts w:eastAsia="仿宋"/>
          <w:color w:val="auto"/>
          <w:sz w:val="24"/>
          <w:highlight w:val="none"/>
        </w:rPr>
      </w:pPr>
      <w:r>
        <w:rPr>
          <w:rFonts w:eastAsia="仿宋"/>
          <w:color w:val="auto"/>
          <w:sz w:val="24"/>
          <w:highlight w:val="none"/>
        </w:rPr>
        <w:t>同意并接受招标文件的各项要求，遵守招标文件中的各项规定，按招标文件的要求提供报价。</w:t>
      </w:r>
    </w:p>
    <w:p>
      <w:pPr>
        <w:numPr>
          <w:ilvl w:val="0"/>
          <w:numId w:val="16"/>
        </w:numPr>
        <w:spacing w:line="480" w:lineRule="exact"/>
        <w:ind w:left="567" w:hanging="283"/>
        <w:rPr>
          <w:rFonts w:eastAsia="仿宋"/>
          <w:color w:val="auto"/>
          <w:sz w:val="24"/>
          <w:highlight w:val="none"/>
        </w:rPr>
      </w:pPr>
      <w:r>
        <w:rPr>
          <w:rFonts w:eastAsia="仿宋"/>
          <w:color w:val="auto"/>
          <w:sz w:val="24"/>
          <w:highlight w:val="none"/>
        </w:rPr>
        <w:t>投标有效期自开标之日起</w:t>
      </w:r>
      <w:r>
        <w:rPr>
          <w:rFonts w:eastAsia="仿宋"/>
          <w:color w:val="auto"/>
          <w:sz w:val="24"/>
          <w:highlight w:val="none"/>
          <w:u w:val="single"/>
        </w:rPr>
        <w:t>九十</w:t>
      </w:r>
      <w:r>
        <w:rPr>
          <w:rFonts w:eastAsia="仿宋"/>
          <w:color w:val="auto"/>
          <w:sz w:val="24"/>
          <w:highlight w:val="none"/>
        </w:rPr>
        <w:t>个日历日，中标人投标有效期延至合同履行终止之日。</w:t>
      </w:r>
    </w:p>
    <w:p>
      <w:pPr>
        <w:numPr>
          <w:ilvl w:val="0"/>
          <w:numId w:val="16"/>
        </w:numPr>
        <w:spacing w:line="480" w:lineRule="exact"/>
        <w:ind w:left="567" w:hanging="283"/>
        <w:rPr>
          <w:rFonts w:eastAsia="仿宋"/>
          <w:color w:val="auto"/>
          <w:sz w:val="24"/>
          <w:highlight w:val="none"/>
        </w:rPr>
      </w:pPr>
      <w:r>
        <w:rPr>
          <w:rFonts w:eastAsia="仿宋"/>
          <w:color w:val="auto"/>
          <w:sz w:val="24"/>
          <w:highlight w:val="none"/>
        </w:rPr>
        <w:t>我方已经详细地阅读了全部招标文件及其附件，包括澄清及参考文件</w:t>
      </w:r>
      <w:r>
        <w:rPr>
          <w:rFonts w:hint="eastAsia" w:eastAsia="仿宋"/>
          <w:color w:val="auto"/>
          <w:sz w:val="24"/>
          <w:highlight w:val="none"/>
          <w:lang w:eastAsia="zh-CN"/>
        </w:rPr>
        <w:t>（</w:t>
      </w:r>
      <w:r>
        <w:rPr>
          <w:rFonts w:eastAsia="仿宋"/>
          <w:color w:val="auto"/>
          <w:sz w:val="24"/>
          <w:highlight w:val="none"/>
        </w:rPr>
        <w:t>如果有</w:t>
      </w:r>
      <w:r>
        <w:rPr>
          <w:rFonts w:hint="eastAsia" w:eastAsia="仿宋"/>
          <w:color w:val="auto"/>
          <w:sz w:val="24"/>
          <w:highlight w:val="none"/>
          <w:lang w:eastAsia="zh-CN"/>
        </w:rPr>
        <w:t>）</w:t>
      </w:r>
      <w:r>
        <w:rPr>
          <w:rFonts w:eastAsia="仿宋"/>
          <w:color w:val="auto"/>
          <w:sz w:val="24"/>
          <w:highlight w:val="none"/>
        </w:rPr>
        <w:t>。我方已完全清晰理解招标文件的要求，不存在任何含糊不清和误解之处，同意放弃对这些文件所提出的异议和质疑的权利。</w:t>
      </w:r>
    </w:p>
    <w:p>
      <w:pPr>
        <w:numPr>
          <w:ilvl w:val="0"/>
          <w:numId w:val="16"/>
        </w:numPr>
        <w:spacing w:line="480" w:lineRule="exact"/>
        <w:ind w:left="567" w:hanging="283"/>
        <w:rPr>
          <w:rFonts w:eastAsia="仿宋"/>
          <w:color w:val="auto"/>
          <w:sz w:val="24"/>
          <w:highlight w:val="none"/>
        </w:rPr>
      </w:pPr>
      <w:r>
        <w:rPr>
          <w:rFonts w:eastAsia="仿宋"/>
          <w:color w:val="auto"/>
          <w:sz w:val="24"/>
          <w:highlight w:val="none"/>
        </w:rPr>
        <w:t>我方已毫无保留地向贵方提供一切所需的证明材料。</w:t>
      </w:r>
    </w:p>
    <w:p>
      <w:pPr>
        <w:numPr>
          <w:ilvl w:val="0"/>
          <w:numId w:val="16"/>
        </w:numPr>
        <w:spacing w:line="480" w:lineRule="exact"/>
        <w:ind w:left="567" w:hanging="283"/>
        <w:rPr>
          <w:rFonts w:eastAsia="仿宋"/>
          <w:color w:val="auto"/>
          <w:sz w:val="24"/>
          <w:highlight w:val="none"/>
        </w:rPr>
      </w:pPr>
      <w:r>
        <w:rPr>
          <w:rFonts w:eastAsia="仿宋"/>
          <w:color w:val="auto"/>
          <w:sz w:val="24"/>
          <w:highlight w:val="none"/>
        </w:rPr>
        <w:t>我方承诺在本次投标文件中提供的一切文件，无论是原件还是扫描件均为真实和准确的，绝无任何虚假、伪造和夸大的成份，否则，愿承担相应的后果和法律责任。</w:t>
      </w:r>
    </w:p>
    <w:p>
      <w:pPr>
        <w:numPr>
          <w:ilvl w:val="0"/>
          <w:numId w:val="16"/>
        </w:numPr>
        <w:spacing w:line="480" w:lineRule="exact"/>
        <w:ind w:left="567" w:hanging="283"/>
        <w:rPr>
          <w:rFonts w:eastAsia="仿宋"/>
          <w:color w:val="auto"/>
          <w:sz w:val="24"/>
          <w:highlight w:val="none"/>
        </w:rPr>
      </w:pPr>
      <w:r>
        <w:rPr>
          <w:rFonts w:eastAsia="仿宋"/>
          <w:color w:val="auto"/>
          <w:sz w:val="24"/>
          <w:highlight w:val="none"/>
        </w:rPr>
        <w:t>我方完全服从和尊重评标委员会所作出的评审结果，同时清楚理解到报价最低并非意味着必定获得中标资格。</w:t>
      </w:r>
    </w:p>
    <w:p>
      <w:pPr>
        <w:numPr>
          <w:ilvl w:val="0"/>
          <w:numId w:val="16"/>
        </w:numPr>
        <w:spacing w:line="480" w:lineRule="exact"/>
        <w:ind w:left="567" w:hanging="283"/>
        <w:rPr>
          <w:rFonts w:eastAsia="仿宋"/>
          <w:color w:val="auto"/>
          <w:sz w:val="24"/>
          <w:highlight w:val="none"/>
        </w:rPr>
      </w:pPr>
      <w:r>
        <w:rPr>
          <w:rFonts w:eastAsia="仿宋"/>
          <w:color w:val="auto"/>
          <w:sz w:val="24"/>
          <w:highlight w:val="none"/>
        </w:rPr>
        <w:t>我方同意按招标文件规定向采购代理机构缴纳代理服务费。</w:t>
      </w:r>
    </w:p>
    <w:p>
      <w:pPr>
        <w:spacing w:line="480" w:lineRule="exact"/>
        <w:rPr>
          <w:rFonts w:eastAsia="仿宋"/>
          <w:color w:val="auto"/>
          <w:sz w:val="24"/>
          <w:highlight w:val="none"/>
        </w:rPr>
      </w:pPr>
      <w:r>
        <w:rPr>
          <w:rFonts w:eastAsia="仿宋"/>
          <w:color w:val="auto"/>
          <w:sz w:val="24"/>
          <w:highlight w:val="none"/>
        </w:rPr>
        <w:t xml:space="preserve">投标人：                             </w:t>
      </w:r>
    </w:p>
    <w:p>
      <w:pPr>
        <w:spacing w:line="480" w:lineRule="exact"/>
        <w:rPr>
          <w:rFonts w:eastAsia="仿宋"/>
          <w:color w:val="auto"/>
          <w:sz w:val="24"/>
          <w:highlight w:val="none"/>
        </w:rPr>
      </w:pPr>
      <w:r>
        <w:rPr>
          <w:rFonts w:eastAsia="仿宋"/>
          <w:color w:val="auto"/>
          <w:sz w:val="24"/>
          <w:highlight w:val="none"/>
        </w:rPr>
        <w:t xml:space="preserve">地址：                               </w:t>
      </w:r>
    </w:p>
    <w:p>
      <w:pPr>
        <w:spacing w:line="480" w:lineRule="exact"/>
        <w:rPr>
          <w:rFonts w:eastAsia="仿宋"/>
          <w:color w:val="auto"/>
          <w:sz w:val="24"/>
          <w:highlight w:val="none"/>
        </w:rPr>
      </w:pPr>
      <w:r>
        <w:rPr>
          <w:rFonts w:eastAsia="仿宋"/>
          <w:color w:val="auto"/>
          <w:sz w:val="24"/>
          <w:highlight w:val="none"/>
        </w:rPr>
        <w:t xml:space="preserve">传真：                            电话：                </w:t>
      </w:r>
    </w:p>
    <w:p>
      <w:pPr>
        <w:spacing w:line="460" w:lineRule="exact"/>
        <w:rPr>
          <w:rFonts w:eastAsia="仿宋"/>
          <w:color w:val="auto"/>
          <w:sz w:val="24"/>
          <w:highlight w:val="none"/>
        </w:rPr>
      </w:pPr>
      <w:r>
        <w:rPr>
          <w:rFonts w:eastAsia="仿宋"/>
          <w:color w:val="auto"/>
          <w:sz w:val="24"/>
          <w:highlight w:val="none"/>
        </w:rPr>
        <w:t>投标人名称： （加盖公章）</w:t>
      </w:r>
    </w:p>
    <w:p>
      <w:pPr>
        <w:spacing w:line="480" w:lineRule="exact"/>
        <w:rPr>
          <w:rFonts w:eastAsia="仿宋"/>
          <w:color w:val="auto"/>
          <w:sz w:val="24"/>
          <w:highlight w:val="none"/>
        </w:rPr>
      </w:pPr>
      <w:r>
        <w:rPr>
          <w:rFonts w:eastAsia="仿宋"/>
          <w:color w:val="auto"/>
          <w:sz w:val="24"/>
          <w:highlight w:val="none"/>
        </w:rPr>
        <w:t xml:space="preserve">开户银行：                           </w:t>
      </w:r>
    </w:p>
    <w:p>
      <w:pPr>
        <w:spacing w:line="480" w:lineRule="exact"/>
        <w:rPr>
          <w:rFonts w:eastAsia="仿宋"/>
          <w:color w:val="auto"/>
          <w:sz w:val="24"/>
          <w:highlight w:val="none"/>
        </w:rPr>
      </w:pPr>
      <w:r>
        <w:rPr>
          <w:rFonts w:eastAsia="仿宋"/>
          <w:color w:val="auto"/>
          <w:sz w:val="24"/>
          <w:highlight w:val="none"/>
        </w:rPr>
        <w:t xml:space="preserve">帐号：                           日期：          </w:t>
      </w:r>
    </w:p>
    <w:p>
      <w:pPr>
        <w:spacing w:line="560" w:lineRule="exact"/>
        <w:rPr>
          <w:rFonts w:eastAsia="仿宋"/>
          <w:b/>
          <w:bCs/>
          <w:snapToGrid w:val="0"/>
          <w:color w:val="auto"/>
          <w:kern w:val="0"/>
          <w:sz w:val="28"/>
          <w:szCs w:val="28"/>
          <w:highlight w:val="none"/>
        </w:rPr>
      </w:pPr>
      <w:r>
        <w:rPr>
          <w:rFonts w:eastAsia="仿宋"/>
          <w:b/>
          <w:color w:val="auto"/>
          <w:sz w:val="24"/>
          <w:highlight w:val="none"/>
        </w:rPr>
        <w:t>注：未按照本招标文件要求填报的投标文件将被视为非实质性响应投标，从而导致该投标被拒绝。</w:t>
      </w:r>
      <w:bookmarkEnd w:id="280"/>
      <w:bookmarkEnd w:id="281"/>
      <w:bookmarkStart w:id="282" w:name="_Toc399344122"/>
      <w:bookmarkStart w:id="283" w:name="_Toc400631656"/>
      <w:bookmarkStart w:id="284" w:name="_Toc399344495"/>
    </w:p>
    <w:p>
      <w:pPr>
        <w:spacing w:line="560" w:lineRule="exact"/>
        <w:jc w:val="center"/>
        <w:outlineLvl w:val="1"/>
        <w:rPr>
          <w:rFonts w:eastAsia="仿宋"/>
          <w:b/>
          <w:bCs/>
          <w:snapToGrid w:val="0"/>
          <w:color w:val="auto"/>
          <w:kern w:val="0"/>
          <w:sz w:val="28"/>
          <w:szCs w:val="28"/>
          <w:highlight w:val="none"/>
        </w:rPr>
      </w:pPr>
      <w:r>
        <w:rPr>
          <w:rFonts w:eastAsia="仿宋"/>
          <w:b/>
          <w:bCs/>
          <w:snapToGrid w:val="0"/>
          <w:color w:val="auto"/>
          <w:kern w:val="0"/>
          <w:sz w:val="28"/>
          <w:szCs w:val="28"/>
          <w:highlight w:val="none"/>
        </w:rPr>
        <w:br w:type="page"/>
      </w:r>
      <w:bookmarkStart w:id="285" w:name="_Toc21583"/>
      <w:bookmarkStart w:id="286" w:name="_Toc111018949"/>
      <w:bookmarkStart w:id="287" w:name="_Toc12732"/>
      <w:bookmarkStart w:id="288" w:name="_Toc30514"/>
      <w:bookmarkStart w:id="289" w:name="_Toc20741"/>
      <w:bookmarkStart w:id="290" w:name="_Toc24223"/>
      <w:bookmarkStart w:id="291" w:name="_Toc20264"/>
      <w:bookmarkStart w:id="292" w:name="_Toc9593"/>
      <w:bookmarkStart w:id="293" w:name="_Toc30692"/>
      <w:r>
        <w:rPr>
          <w:rFonts w:eastAsia="仿宋"/>
          <w:b/>
          <w:bCs/>
          <w:snapToGrid w:val="0"/>
          <w:color w:val="auto"/>
          <w:kern w:val="0"/>
          <w:sz w:val="28"/>
          <w:szCs w:val="28"/>
          <w:highlight w:val="none"/>
        </w:rPr>
        <w:t>二、开标一览表</w:t>
      </w:r>
      <w:bookmarkEnd w:id="282"/>
      <w:bookmarkEnd w:id="283"/>
      <w:bookmarkEnd w:id="284"/>
      <w:bookmarkEnd w:id="285"/>
      <w:bookmarkEnd w:id="286"/>
      <w:bookmarkEnd w:id="287"/>
      <w:bookmarkEnd w:id="288"/>
      <w:bookmarkEnd w:id="289"/>
      <w:bookmarkEnd w:id="290"/>
      <w:bookmarkEnd w:id="291"/>
      <w:bookmarkEnd w:id="292"/>
      <w:bookmarkEnd w:id="293"/>
    </w:p>
    <w:p>
      <w:pPr>
        <w:rPr>
          <w:rFonts w:eastAsia="仿宋"/>
          <w:b/>
          <w:bCs/>
          <w:snapToGrid w:val="0"/>
          <w:color w:val="auto"/>
          <w:kern w:val="0"/>
          <w:szCs w:val="21"/>
          <w:highlight w:val="none"/>
        </w:rPr>
      </w:pPr>
    </w:p>
    <w:p>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eastAsia="仿宋"/>
          <w:b/>
          <w:color w:val="auto"/>
          <w:sz w:val="24"/>
          <w:highlight w:val="none"/>
        </w:rPr>
      </w:pPr>
    </w:p>
    <w:p>
      <w:pPr>
        <w:spacing w:line="460" w:lineRule="exact"/>
        <w:ind w:left="-2" w:leftChars="-50" w:hanging="103" w:hangingChars="43"/>
        <w:rPr>
          <w:rFonts w:eastAsia="仿宋"/>
          <w:color w:val="auto"/>
          <w:sz w:val="24"/>
          <w:highlight w:val="none"/>
        </w:rPr>
      </w:pPr>
      <w:r>
        <w:rPr>
          <w:rFonts w:eastAsia="仿宋"/>
          <w:color w:val="auto"/>
          <w:sz w:val="24"/>
          <w:highlight w:val="none"/>
        </w:rPr>
        <w:t xml:space="preserve">投标人名称：                                  项目编号：            </w:t>
      </w:r>
    </w:p>
    <w:p>
      <w:pPr>
        <w:spacing w:line="460" w:lineRule="exact"/>
        <w:ind w:left="-2" w:leftChars="-50" w:hanging="103" w:hangingChars="43"/>
        <w:rPr>
          <w:rFonts w:eastAsia="仿宋"/>
          <w:color w:val="auto"/>
          <w:sz w:val="24"/>
          <w:highlight w:val="none"/>
        </w:rPr>
      </w:pPr>
      <w:r>
        <w:rPr>
          <w:rFonts w:eastAsia="仿宋"/>
          <w:color w:val="auto"/>
          <w:sz w:val="24"/>
          <w:highlight w:val="none"/>
        </w:rPr>
        <w:t>包号：</w:t>
      </w:r>
    </w:p>
    <w:tbl>
      <w:tblPr>
        <w:tblStyle w:val="42"/>
        <w:tblW w:w="9829"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1701"/>
        <w:gridCol w:w="1842"/>
        <w:gridCol w:w="1276"/>
        <w:gridCol w:w="1418"/>
        <w:gridCol w:w="708"/>
        <w:gridCol w:w="709"/>
        <w:gridCol w:w="50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44" w:hRule="atLeast"/>
        </w:trPr>
        <w:tc>
          <w:tcPr>
            <w:tcW w:w="1668" w:type="dxa"/>
            <w:vAlign w:val="center"/>
          </w:tcPr>
          <w:p>
            <w:pPr>
              <w:spacing w:line="460" w:lineRule="exact"/>
              <w:jc w:val="center"/>
              <w:rPr>
                <w:rFonts w:eastAsia="仿宋"/>
                <w:color w:val="auto"/>
                <w:sz w:val="24"/>
                <w:szCs w:val="22"/>
                <w:highlight w:val="none"/>
              </w:rPr>
            </w:pPr>
            <w:r>
              <w:rPr>
                <w:rFonts w:eastAsia="仿宋"/>
                <w:color w:val="auto"/>
                <w:sz w:val="24"/>
                <w:szCs w:val="22"/>
                <w:highlight w:val="none"/>
              </w:rPr>
              <w:t>项目名称</w:t>
            </w:r>
          </w:p>
        </w:tc>
        <w:tc>
          <w:tcPr>
            <w:tcW w:w="1701" w:type="dxa"/>
            <w:vAlign w:val="center"/>
          </w:tcPr>
          <w:p>
            <w:pPr>
              <w:tabs>
                <w:tab w:val="left" w:pos="654"/>
                <w:tab w:val="left" w:pos="1734"/>
                <w:tab w:val="left" w:pos="2814"/>
                <w:tab w:val="left" w:pos="3894"/>
                <w:tab w:val="left" w:pos="5334"/>
                <w:tab w:val="left" w:pos="6414"/>
                <w:tab w:val="left" w:pos="7254"/>
                <w:tab w:val="left" w:pos="8574"/>
                <w:tab w:val="left" w:pos="9654"/>
              </w:tabs>
              <w:spacing w:line="460" w:lineRule="exact"/>
              <w:jc w:val="center"/>
              <w:rPr>
                <w:rFonts w:eastAsia="仿宋"/>
                <w:color w:val="auto"/>
                <w:sz w:val="24"/>
                <w:szCs w:val="22"/>
                <w:highlight w:val="none"/>
              </w:rPr>
            </w:pPr>
            <w:r>
              <w:rPr>
                <w:rFonts w:eastAsia="仿宋"/>
                <w:color w:val="auto"/>
                <w:sz w:val="24"/>
                <w:szCs w:val="22"/>
                <w:highlight w:val="none"/>
              </w:rPr>
              <w:t>投标保证金</w:t>
            </w:r>
          </w:p>
          <w:p>
            <w:pPr>
              <w:spacing w:line="460" w:lineRule="exact"/>
              <w:jc w:val="center"/>
              <w:rPr>
                <w:rFonts w:eastAsia="仿宋"/>
                <w:color w:val="auto"/>
                <w:sz w:val="24"/>
                <w:szCs w:val="22"/>
                <w:highlight w:val="none"/>
              </w:rPr>
            </w:pPr>
            <w:r>
              <w:rPr>
                <w:rFonts w:eastAsia="仿宋"/>
                <w:color w:val="auto"/>
                <w:sz w:val="24"/>
                <w:szCs w:val="22"/>
                <w:highlight w:val="none"/>
              </w:rPr>
              <w:t>（人民币/元）</w:t>
            </w:r>
          </w:p>
        </w:tc>
        <w:tc>
          <w:tcPr>
            <w:tcW w:w="1842" w:type="dxa"/>
            <w:vAlign w:val="center"/>
          </w:tcPr>
          <w:p>
            <w:pPr>
              <w:spacing w:line="460" w:lineRule="exact"/>
              <w:jc w:val="center"/>
              <w:rPr>
                <w:rFonts w:eastAsia="仿宋"/>
                <w:color w:val="auto"/>
                <w:sz w:val="24"/>
                <w:szCs w:val="22"/>
                <w:highlight w:val="none"/>
              </w:rPr>
            </w:pPr>
            <w:r>
              <w:rPr>
                <w:rFonts w:eastAsia="仿宋"/>
                <w:color w:val="auto"/>
                <w:sz w:val="24"/>
                <w:szCs w:val="22"/>
                <w:highlight w:val="none"/>
              </w:rPr>
              <w:t>投标报价</w:t>
            </w:r>
          </w:p>
          <w:p>
            <w:pPr>
              <w:spacing w:line="460" w:lineRule="exact"/>
              <w:jc w:val="center"/>
              <w:rPr>
                <w:rFonts w:eastAsia="仿宋"/>
                <w:color w:val="auto"/>
                <w:sz w:val="24"/>
                <w:szCs w:val="22"/>
                <w:highlight w:val="none"/>
              </w:rPr>
            </w:pPr>
            <w:r>
              <w:rPr>
                <w:rFonts w:eastAsia="仿宋"/>
                <w:color w:val="auto"/>
                <w:sz w:val="24"/>
                <w:szCs w:val="22"/>
                <w:highlight w:val="none"/>
              </w:rPr>
              <w:t>（人民币/元）</w:t>
            </w:r>
          </w:p>
        </w:tc>
        <w:tc>
          <w:tcPr>
            <w:tcW w:w="1276" w:type="dxa"/>
            <w:vAlign w:val="center"/>
          </w:tcPr>
          <w:p>
            <w:pPr>
              <w:spacing w:line="460" w:lineRule="exact"/>
              <w:jc w:val="center"/>
              <w:rPr>
                <w:rFonts w:eastAsia="仿宋"/>
                <w:color w:val="auto"/>
                <w:sz w:val="24"/>
                <w:szCs w:val="22"/>
                <w:highlight w:val="none"/>
              </w:rPr>
            </w:pPr>
            <w:r>
              <w:rPr>
                <w:rFonts w:eastAsia="仿宋"/>
                <w:color w:val="auto"/>
                <w:sz w:val="24"/>
                <w:szCs w:val="22"/>
                <w:highlight w:val="none"/>
              </w:rPr>
              <w:t>交货期限</w:t>
            </w:r>
          </w:p>
        </w:tc>
        <w:tc>
          <w:tcPr>
            <w:tcW w:w="1418" w:type="dxa"/>
            <w:vAlign w:val="center"/>
          </w:tcPr>
          <w:p>
            <w:pPr>
              <w:spacing w:line="460" w:lineRule="exact"/>
              <w:jc w:val="center"/>
              <w:rPr>
                <w:color w:val="auto"/>
                <w:szCs w:val="22"/>
                <w:highlight w:val="none"/>
              </w:rPr>
            </w:pPr>
            <w:r>
              <w:rPr>
                <w:rFonts w:eastAsia="仿宋"/>
                <w:color w:val="auto"/>
                <w:sz w:val="24"/>
                <w:szCs w:val="22"/>
                <w:highlight w:val="none"/>
              </w:rPr>
              <w:t>制造商</w:t>
            </w:r>
          </w:p>
        </w:tc>
        <w:tc>
          <w:tcPr>
            <w:tcW w:w="708" w:type="dxa"/>
            <w:vAlign w:val="center"/>
          </w:tcPr>
          <w:p>
            <w:pPr>
              <w:spacing w:line="360" w:lineRule="exact"/>
              <w:jc w:val="center"/>
              <w:rPr>
                <w:rFonts w:eastAsia="仿宋"/>
                <w:color w:val="auto"/>
                <w:sz w:val="24"/>
                <w:szCs w:val="22"/>
                <w:highlight w:val="none"/>
              </w:rPr>
            </w:pPr>
            <w:r>
              <w:rPr>
                <w:rFonts w:eastAsia="仿宋"/>
                <w:color w:val="auto"/>
                <w:sz w:val="24"/>
                <w:szCs w:val="22"/>
                <w:highlight w:val="none"/>
              </w:rPr>
              <w:t>品牌</w:t>
            </w:r>
          </w:p>
        </w:tc>
        <w:tc>
          <w:tcPr>
            <w:tcW w:w="709" w:type="dxa"/>
            <w:vAlign w:val="center"/>
          </w:tcPr>
          <w:p>
            <w:pPr>
              <w:spacing w:line="360" w:lineRule="exact"/>
              <w:jc w:val="center"/>
              <w:rPr>
                <w:rFonts w:eastAsia="仿宋"/>
                <w:color w:val="auto"/>
                <w:sz w:val="24"/>
                <w:szCs w:val="22"/>
                <w:highlight w:val="none"/>
              </w:rPr>
            </w:pPr>
            <w:r>
              <w:rPr>
                <w:rFonts w:eastAsia="仿宋"/>
                <w:color w:val="auto"/>
                <w:sz w:val="24"/>
                <w:szCs w:val="22"/>
                <w:highlight w:val="none"/>
              </w:rPr>
              <w:t>型号</w:t>
            </w:r>
          </w:p>
        </w:tc>
        <w:tc>
          <w:tcPr>
            <w:tcW w:w="507" w:type="dxa"/>
            <w:vAlign w:val="center"/>
          </w:tcPr>
          <w:p>
            <w:pPr>
              <w:spacing w:line="460" w:lineRule="exact"/>
              <w:jc w:val="center"/>
              <w:rPr>
                <w:rFonts w:eastAsia="仿宋"/>
                <w:color w:val="auto"/>
                <w:sz w:val="24"/>
                <w:szCs w:val="22"/>
                <w:highlight w:val="none"/>
              </w:rPr>
            </w:pPr>
            <w:r>
              <w:rPr>
                <w:rFonts w:eastAsia="仿宋"/>
                <w:color w:val="auto"/>
                <w:sz w:val="24"/>
                <w:szCs w:val="22"/>
                <w:highlight w:val="none"/>
              </w:rPr>
              <w:t>备注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275" w:hRule="atLeast"/>
        </w:trPr>
        <w:tc>
          <w:tcPr>
            <w:tcW w:w="1668" w:type="dxa"/>
            <w:vAlign w:val="center"/>
          </w:tcPr>
          <w:p>
            <w:pPr>
              <w:spacing w:line="460" w:lineRule="exact"/>
              <w:jc w:val="center"/>
              <w:rPr>
                <w:rFonts w:eastAsia="仿宋"/>
                <w:color w:val="auto"/>
                <w:sz w:val="24"/>
                <w:szCs w:val="22"/>
                <w:highlight w:val="none"/>
              </w:rPr>
            </w:pPr>
          </w:p>
        </w:tc>
        <w:tc>
          <w:tcPr>
            <w:tcW w:w="1701" w:type="dxa"/>
            <w:vAlign w:val="center"/>
          </w:tcPr>
          <w:p>
            <w:pPr>
              <w:spacing w:line="460" w:lineRule="exact"/>
              <w:jc w:val="center"/>
              <w:rPr>
                <w:rFonts w:eastAsia="仿宋"/>
                <w:color w:val="auto"/>
                <w:sz w:val="24"/>
                <w:szCs w:val="22"/>
                <w:highlight w:val="none"/>
              </w:rPr>
            </w:pPr>
          </w:p>
        </w:tc>
        <w:tc>
          <w:tcPr>
            <w:tcW w:w="1842" w:type="dxa"/>
            <w:vAlign w:val="center"/>
          </w:tcPr>
          <w:p>
            <w:pPr>
              <w:spacing w:line="460" w:lineRule="exact"/>
              <w:jc w:val="center"/>
              <w:rPr>
                <w:rFonts w:eastAsia="仿宋"/>
                <w:color w:val="auto"/>
                <w:sz w:val="24"/>
                <w:szCs w:val="22"/>
                <w:highlight w:val="none"/>
              </w:rPr>
            </w:pPr>
          </w:p>
        </w:tc>
        <w:tc>
          <w:tcPr>
            <w:tcW w:w="1276" w:type="dxa"/>
            <w:vAlign w:val="center"/>
          </w:tcPr>
          <w:p>
            <w:pPr>
              <w:spacing w:line="460" w:lineRule="exact"/>
              <w:jc w:val="center"/>
              <w:rPr>
                <w:rFonts w:eastAsia="仿宋"/>
                <w:color w:val="auto"/>
                <w:sz w:val="24"/>
                <w:szCs w:val="22"/>
                <w:highlight w:val="none"/>
              </w:rPr>
            </w:pPr>
          </w:p>
        </w:tc>
        <w:tc>
          <w:tcPr>
            <w:tcW w:w="1418" w:type="dxa"/>
            <w:vAlign w:val="center"/>
          </w:tcPr>
          <w:p>
            <w:pPr>
              <w:spacing w:line="460" w:lineRule="exact"/>
              <w:jc w:val="center"/>
              <w:rPr>
                <w:rFonts w:eastAsia="仿宋"/>
                <w:color w:val="auto"/>
                <w:sz w:val="24"/>
                <w:szCs w:val="22"/>
                <w:highlight w:val="none"/>
              </w:rPr>
            </w:pPr>
          </w:p>
        </w:tc>
        <w:tc>
          <w:tcPr>
            <w:tcW w:w="708" w:type="dxa"/>
            <w:vAlign w:val="center"/>
          </w:tcPr>
          <w:p>
            <w:pPr>
              <w:spacing w:line="460" w:lineRule="exact"/>
              <w:jc w:val="center"/>
              <w:rPr>
                <w:rFonts w:eastAsia="仿宋"/>
                <w:color w:val="auto"/>
                <w:sz w:val="24"/>
                <w:szCs w:val="22"/>
                <w:highlight w:val="none"/>
              </w:rPr>
            </w:pPr>
          </w:p>
        </w:tc>
        <w:tc>
          <w:tcPr>
            <w:tcW w:w="709" w:type="dxa"/>
            <w:vAlign w:val="center"/>
          </w:tcPr>
          <w:p>
            <w:pPr>
              <w:spacing w:line="460" w:lineRule="exact"/>
              <w:jc w:val="center"/>
              <w:rPr>
                <w:rFonts w:eastAsia="仿宋"/>
                <w:color w:val="auto"/>
                <w:sz w:val="24"/>
                <w:szCs w:val="22"/>
                <w:highlight w:val="none"/>
              </w:rPr>
            </w:pPr>
          </w:p>
        </w:tc>
        <w:tc>
          <w:tcPr>
            <w:tcW w:w="507" w:type="dxa"/>
            <w:vAlign w:val="center"/>
          </w:tcPr>
          <w:p>
            <w:pPr>
              <w:spacing w:line="460" w:lineRule="exact"/>
              <w:jc w:val="center"/>
              <w:rPr>
                <w:rFonts w:eastAsia="仿宋"/>
                <w:color w:val="auto"/>
                <w:sz w:val="24"/>
                <w:szCs w:val="22"/>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275" w:hRule="atLeast"/>
        </w:trPr>
        <w:tc>
          <w:tcPr>
            <w:tcW w:w="9829" w:type="dxa"/>
            <w:gridSpan w:val="8"/>
            <w:vAlign w:val="center"/>
          </w:tcPr>
          <w:p>
            <w:pPr>
              <w:spacing w:line="460" w:lineRule="exact"/>
              <w:jc w:val="left"/>
              <w:rPr>
                <w:rFonts w:eastAsia="仿宋"/>
                <w:color w:val="auto"/>
                <w:sz w:val="24"/>
                <w:szCs w:val="22"/>
                <w:highlight w:val="none"/>
              </w:rPr>
            </w:pPr>
            <w:r>
              <w:rPr>
                <w:rFonts w:eastAsia="仿宋"/>
                <w:color w:val="auto"/>
                <w:sz w:val="24"/>
                <w:szCs w:val="22"/>
                <w:highlight w:val="none"/>
              </w:rPr>
              <w:t>投标报价（大写）：</w:t>
            </w:r>
          </w:p>
        </w:tc>
      </w:tr>
    </w:tbl>
    <w:p>
      <w:pPr>
        <w:widowControl/>
        <w:spacing w:line="440" w:lineRule="exact"/>
        <w:jc w:val="left"/>
        <w:rPr>
          <w:rFonts w:eastAsia="仿宋"/>
          <w:b/>
          <w:bCs/>
          <w:color w:val="auto"/>
          <w:sz w:val="24"/>
          <w:highlight w:val="none"/>
        </w:rPr>
      </w:pPr>
      <w:r>
        <w:rPr>
          <w:rFonts w:eastAsia="仿宋"/>
          <w:b/>
          <w:bCs/>
          <w:color w:val="auto"/>
          <w:sz w:val="24"/>
          <w:highlight w:val="none"/>
        </w:rPr>
        <w:t>注</w:t>
      </w:r>
      <w:r>
        <w:rPr>
          <w:rFonts w:hint="eastAsia" w:eastAsia="仿宋"/>
          <w:b/>
          <w:bCs/>
          <w:color w:val="auto"/>
          <w:sz w:val="24"/>
          <w:highlight w:val="none"/>
          <w:lang w:eastAsia="zh-CN"/>
        </w:rPr>
        <w:t>：</w:t>
      </w:r>
      <w:r>
        <w:rPr>
          <w:rFonts w:eastAsia="仿宋"/>
          <w:b/>
          <w:bCs/>
          <w:color w:val="auto"/>
          <w:sz w:val="24"/>
          <w:highlight w:val="none"/>
        </w:rPr>
        <w:t>1、此表应按招标文件的规定与投标保证金凭证一同单独密封在一个信封中。</w:t>
      </w:r>
    </w:p>
    <w:p>
      <w:pPr>
        <w:widowControl/>
        <w:spacing w:line="440" w:lineRule="exact"/>
        <w:ind w:firstLine="482" w:firstLineChars="200"/>
        <w:jc w:val="left"/>
        <w:rPr>
          <w:rFonts w:eastAsia="仿宋"/>
          <w:b/>
          <w:bCs/>
          <w:color w:val="auto"/>
          <w:sz w:val="24"/>
          <w:highlight w:val="none"/>
        </w:rPr>
      </w:pPr>
      <w:r>
        <w:rPr>
          <w:rFonts w:eastAsia="仿宋"/>
          <w:b/>
          <w:bCs/>
          <w:color w:val="auto"/>
          <w:sz w:val="24"/>
          <w:highlight w:val="none"/>
        </w:rPr>
        <w:t>2、若投标报价的大、小写金额不同，以大写金额为准。</w:t>
      </w:r>
    </w:p>
    <w:p>
      <w:pPr>
        <w:widowControl/>
        <w:spacing w:line="440" w:lineRule="exact"/>
        <w:jc w:val="left"/>
        <w:rPr>
          <w:rFonts w:eastAsia="仿宋"/>
          <w:b/>
          <w:bCs/>
          <w:color w:val="auto"/>
          <w:sz w:val="24"/>
          <w:highlight w:val="none"/>
        </w:rPr>
      </w:pPr>
    </w:p>
    <w:p>
      <w:pPr>
        <w:spacing w:line="460" w:lineRule="exact"/>
        <w:ind w:left="-1" w:leftChars="-50" w:hanging="104" w:hangingChars="43"/>
        <w:rPr>
          <w:rFonts w:eastAsia="仿宋"/>
          <w:b/>
          <w:color w:val="auto"/>
          <w:sz w:val="24"/>
          <w:highlight w:val="none"/>
        </w:rPr>
      </w:pPr>
    </w:p>
    <w:p>
      <w:pPr>
        <w:spacing w:line="460" w:lineRule="exact"/>
        <w:ind w:left="-2" w:leftChars="-50" w:hanging="103" w:hangingChars="43"/>
        <w:rPr>
          <w:rFonts w:eastAsia="仿宋"/>
          <w:color w:val="auto"/>
          <w:sz w:val="24"/>
          <w:highlight w:val="none"/>
        </w:rPr>
      </w:pPr>
    </w:p>
    <w:p>
      <w:pPr>
        <w:spacing w:line="460" w:lineRule="exact"/>
        <w:ind w:left="-2" w:leftChars="-50" w:hanging="103" w:hangingChars="43"/>
        <w:rPr>
          <w:rFonts w:eastAsia="仿宋"/>
          <w:color w:val="auto"/>
          <w:sz w:val="24"/>
          <w:highlight w:val="none"/>
        </w:rPr>
      </w:pPr>
    </w:p>
    <w:p>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eastAsia="仿宋"/>
          <w:bCs/>
          <w:color w:val="auto"/>
          <w:sz w:val="24"/>
          <w:highlight w:val="none"/>
        </w:rPr>
      </w:pPr>
      <w:r>
        <w:rPr>
          <w:rFonts w:eastAsia="仿宋"/>
          <w:bCs/>
          <w:color w:val="auto"/>
          <w:sz w:val="24"/>
          <w:highlight w:val="none"/>
        </w:rPr>
        <w:t>投标人名称： （加盖公章）</w:t>
      </w:r>
    </w:p>
    <w:p>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eastAsia="仿宋"/>
          <w:bCs/>
          <w:color w:val="auto"/>
          <w:sz w:val="24"/>
          <w:highlight w:val="none"/>
        </w:rPr>
      </w:pPr>
      <w:r>
        <w:rPr>
          <w:rFonts w:eastAsia="仿宋"/>
          <w:bCs/>
          <w:color w:val="auto"/>
          <w:sz w:val="24"/>
          <w:highlight w:val="none"/>
        </w:rPr>
        <w:t>法定代表人（或授权代表）签字（或签章）：</w:t>
      </w:r>
    </w:p>
    <w:p>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eastAsia="仿宋"/>
          <w:bCs/>
          <w:color w:val="auto"/>
          <w:sz w:val="24"/>
          <w:highlight w:val="none"/>
        </w:rPr>
      </w:pPr>
      <w:r>
        <w:rPr>
          <w:rFonts w:eastAsia="仿宋"/>
          <w:bCs/>
          <w:color w:val="auto"/>
          <w:sz w:val="24"/>
          <w:highlight w:val="none"/>
        </w:rPr>
        <w:t>日期：</w:t>
      </w:r>
    </w:p>
    <w:p>
      <w:pPr>
        <w:rPr>
          <w:rFonts w:eastAsia="仿宋"/>
          <w:b/>
          <w:bCs/>
          <w:snapToGrid w:val="0"/>
          <w:color w:val="auto"/>
          <w:kern w:val="0"/>
          <w:sz w:val="28"/>
          <w:szCs w:val="28"/>
          <w:highlight w:val="none"/>
        </w:rPr>
        <w:sectPr>
          <w:pgSz w:w="11907" w:h="16840"/>
          <w:pgMar w:top="1111" w:right="1134" w:bottom="936" w:left="1134" w:header="425" w:footer="573" w:gutter="0"/>
          <w:cols w:space="720" w:num="1"/>
          <w:titlePg/>
          <w:docGrid w:linePitch="462" w:charSpace="0"/>
        </w:sectPr>
      </w:pPr>
      <w:bookmarkStart w:id="294" w:name="_Toc399344497"/>
      <w:bookmarkStart w:id="295" w:name="_Toc400631658"/>
      <w:bookmarkStart w:id="296" w:name="_Toc399344124"/>
    </w:p>
    <w:p>
      <w:pPr>
        <w:spacing w:line="560" w:lineRule="exact"/>
        <w:jc w:val="center"/>
        <w:outlineLvl w:val="1"/>
        <w:rPr>
          <w:rFonts w:eastAsia="仿宋"/>
          <w:b/>
          <w:bCs/>
          <w:snapToGrid w:val="0"/>
          <w:color w:val="auto"/>
          <w:kern w:val="0"/>
          <w:sz w:val="28"/>
          <w:szCs w:val="28"/>
          <w:highlight w:val="none"/>
        </w:rPr>
      </w:pPr>
      <w:bookmarkStart w:id="297" w:name="_Toc31161"/>
      <w:bookmarkStart w:id="298" w:name="_Toc5847"/>
      <w:bookmarkStart w:id="299" w:name="_Toc14922"/>
      <w:bookmarkStart w:id="300" w:name="_Toc15814"/>
      <w:bookmarkStart w:id="301" w:name="_Toc105"/>
      <w:bookmarkStart w:id="302" w:name="_Toc26004"/>
      <w:bookmarkStart w:id="303" w:name="_Toc111018950"/>
      <w:bookmarkStart w:id="304" w:name="_Toc19263"/>
      <w:bookmarkStart w:id="305" w:name="_Toc27154"/>
      <w:r>
        <w:rPr>
          <w:rFonts w:eastAsia="仿宋"/>
          <w:b/>
          <w:bCs/>
          <w:snapToGrid w:val="0"/>
          <w:color w:val="auto"/>
          <w:kern w:val="0"/>
          <w:sz w:val="28"/>
          <w:szCs w:val="28"/>
          <w:highlight w:val="none"/>
        </w:rPr>
        <w:t>三、</w:t>
      </w:r>
      <w:bookmarkEnd w:id="294"/>
      <w:bookmarkEnd w:id="295"/>
      <w:bookmarkEnd w:id="296"/>
      <w:bookmarkStart w:id="306" w:name="_Toc478480273"/>
      <w:bookmarkStart w:id="307" w:name="_Toc478659311"/>
      <w:r>
        <w:rPr>
          <w:rFonts w:eastAsia="仿宋"/>
          <w:b/>
          <w:bCs/>
          <w:snapToGrid w:val="0"/>
          <w:color w:val="auto"/>
          <w:kern w:val="0"/>
          <w:sz w:val="28"/>
          <w:szCs w:val="28"/>
          <w:highlight w:val="none"/>
        </w:rPr>
        <w:t>开标一览表明细</w:t>
      </w:r>
      <w:bookmarkEnd w:id="297"/>
      <w:bookmarkEnd w:id="298"/>
      <w:bookmarkEnd w:id="299"/>
      <w:bookmarkEnd w:id="300"/>
      <w:bookmarkEnd w:id="301"/>
      <w:bookmarkEnd w:id="302"/>
      <w:bookmarkEnd w:id="303"/>
      <w:bookmarkEnd w:id="304"/>
      <w:bookmarkEnd w:id="305"/>
      <w:bookmarkEnd w:id="306"/>
      <w:bookmarkEnd w:id="307"/>
    </w:p>
    <w:p>
      <w:pPr>
        <w:spacing w:line="460" w:lineRule="exact"/>
        <w:ind w:left="-2" w:leftChars="-50" w:hanging="103" w:hangingChars="43"/>
        <w:rPr>
          <w:rFonts w:eastAsia="仿宋"/>
          <w:color w:val="auto"/>
          <w:sz w:val="24"/>
          <w:highlight w:val="none"/>
        </w:rPr>
      </w:pPr>
      <w:bookmarkStart w:id="308" w:name="_Toc399344125"/>
      <w:bookmarkStart w:id="309" w:name="_Toc400631659"/>
      <w:bookmarkStart w:id="310" w:name="_Toc399344498"/>
      <w:r>
        <w:rPr>
          <w:rFonts w:eastAsia="仿宋"/>
          <w:color w:val="auto"/>
          <w:sz w:val="24"/>
          <w:highlight w:val="none"/>
        </w:rPr>
        <w:t xml:space="preserve">投标人名称：                                                                      项目编号：  </w:t>
      </w:r>
    </w:p>
    <w:p>
      <w:pPr>
        <w:spacing w:line="460" w:lineRule="exact"/>
        <w:ind w:left="-2" w:leftChars="-50" w:hanging="103" w:hangingChars="43"/>
        <w:rPr>
          <w:rFonts w:eastAsia="仿宋"/>
          <w:color w:val="auto"/>
          <w:sz w:val="24"/>
          <w:highlight w:val="none"/>
        </w:rPr>
      </w:pPr>
      <w:r>
        <w:rPr>
          <w:rFonts w:eastAsia="仿宋"/>
          <w:color w:val="auto"/>
          <w:sz w:val="24"/>
          <w:highlight w:val="none"/>
        </w:rPr>
        <w:t>包      号：</w:t>
      </w:r>
    </w:p>
    <w:tbl>
      <w:tblPr>
        <w:tblStyle w:val="42"/>
        <w:tblW w:w="1500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10"/>
        <w:gridCol w:w="2852"/>
        <w:gridCol w:w="934"/>
        <w:gridCol w:w="1069"/>
        <w:gridCol w:w="768"/>
        <w:gridCol w:w="1102"/>
        <w:gridCol w:w="1417"/>
        <w:gridCol w:w="1579"/>
        <w:gridCol w:w="1666"/>
        <w:gridCol w:w="1762"/>
        <w:gridCol w:w="115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10" w:type="dxa"/>
            <w:tcBorders>
              <w:top w:val="single" w:color="auto" w:sz="12" w:space="0"/>
            </w:tcBorders>
            <w:vAlign w:val="center"/>
          </w:tcPr>
          <w:p>
            <w:pPr>
              <w:spacing w:line="360" w:lineRule="exact"/>
              <w:jc w:val="center"/>
              <w:rPr>
                <w:rFonts w:eastAsia="仿宋"/>
                <w:color w:val="auto"/>
                <w:sz w:val="24"/>
                <w:szCs w:val="22"/>
                <w:highlight w:val="none"/>
              </w:rPr>
            </w:pPr>
            <w:r>
              <w:rPr>
                <w:rFonts w:eastAsia="仿宋"/>
                <w:color w:val="auto"/>
                <w:sz w:val="24"/>
                <w:szCs w:val="22"/>
                <w:highlight w:val="none"/>
              </w:rPr>
              <w:t>序号</w:t>
            </w:r>
          </w:p>
        </w:tc>
        <w:tc>
          <w:tcPr>
            <w:tcW w:w="2852" w:type="dxa"/>
            <w:tcBorders>
              <w:top w:val="single" w:color="auto" w:sz="12" w:space="0"/>
            </w:tcBorders>
            <w:vAlign w:val="center"/>
          </w:tcPr>
          <w:p>
            <w:pPr>
              <w:spacing w:line="360" w:lineRule="exact"/>
              <w:jc w:val="center"/>
              <w:rPr>
                <w:rFonts w:eastAsia="仿宋"/>
                <w:color w:val="auto"/>
                <w:sz w:val="24"/>
                <w:szCs w:val="22"/>
                <w:highlight w:val="none"/>
              </w:rPr>
            </w:pPr>
            <w:r>
              <w:rPr>
                <w:rFonts w:eastAsia="仿宋"/>
                <w:color w:val="auto"/>
                <w:sz w:val="24"/>
                <w:szCs w:val="22"/>
                <w:highlight w:val="none"/>
              </w:rPr>
              <w:t>货物名称</w:t>
            </w:r>
          </w:p>
        </w:tc>
        <w:tc>
          <w:tcPr>
            <w:tcW w:w="934" w:type="dxa"/>
            <w:tcBorders>
              <w:top w:val="single" w:color="auto" w:sz="12" w:space="0"/>
            </w:tcBorders>
            <w:vAlign w:val="center"/>
          </w:tcPr>
          <w:p>
            <w:pPr>
              <w:spacing w:line="360" w:lineRule="exact"/>
              <w:jc w:val="center"/>
              <w:rPr>
                <w:rFonts w:eastAsia="仿宋"/>
                <w:color w:val="auto"/>
                <w:sz w:val="24"/>
                <w:szCs w:val="22"/>
                <w:highlight w:val="none"/>
              </w:rPr>
            </w:pPr>
            <w:r>
              <w:rPr>
                <w:rFonts w:eastAsia="仿宋"/>
                <w:color w:val="auto"/>
                <w:sz w:val="24"/>
                <w:szCs w:val="22"/>
                <w:highlight w:val="none"/>
              </w:rPr>
              <w:t>数量/单位</w:t>
            </w:r>
          </w:p>
        </w:tc>
        <w:tc>
          <w:tcPr>
            <w:tcW w:w="1069" w:type="dxa"/>
            <w:tcBorders>
              <w:top w:val="single" w:color="auto" w:sz="12" w:space="0"/>
              <w:right w:val="single" w:color="auto" w:sz="4" w:space="0"/>
            </w:tcBorders>
            <w:vAlign w:val="center"/>
          </w:tcPr>
          <w:p>
            <w:pPr>
              <w:spacing w:line="360" w:lineRule="exact"/>
              <w:jc w:val="center"/>
              <w:rPr>
                <w:rFonts w:eastAsia="仿宋"/>
                <w:color w:val="auto"/>
                <w:sz w:val="24"/>
                <w:szCs w:val="22"/>
                <w:highlight w:val="none"/>
              </w:rPr>
            </w:pPr>
            <w:r>
              <w:rPr>
                <w:rFonts w:eastAsia="仿宋"/>
                <w:color w:val="auto"/>
                <w:sz w:val="24"/>
                <w:szCs w:val="22"/>
                <w:highlight w:val="none"/>
              </w:rPr>
              <w:t>品牌</w:t>
            </w:r>
          </w:p>
        </w:tc>
        <w:tc>
          <w:tcPr>
            <w:tcW w:w="768" w:type="dxa"/>
            <w:tcBorders>
              <w:top w:val="single" w:color="auto" w:sz="12" w:space="0"/>
              <w:left w:val="single" w:color="auto" w:sz="4" w:space="0"/>
            </w:tcBorders>
            <w:vAlign w:val="center"/>
          </w:tcPr>
          <w:p>
            <w:pPr>
              <w:spacing w:line="360" w:lineRule="exact"/>
              <w:jc w:val="center"/>
              <w:rPr>
                <w:rFonts w:eastAsia="仿宋"/>
                <w:strike/>
                <w:color w:val="auto"/>
                <w:sz w:val="24"/>
                <w:szCs w:val="22"/>
                <w:highlight w:val="none"/>
              </w:rPr>
            </w:pPr>
            <w:r>
              <w:rPr>
                <w:rFonts w:eastAsia="仿宋"/>
                <w:color w:val="auto"/>
                <w:sz w:val="24"/>
                <w:szCs w:val="22"/>
                <w:highlight w:val="none"/>
              </w:rPr>
              <w:t>规格</w:t>
            </w:r>
          </w:p>
          <w:p>
            <w:pPr>
              <w:spacing w:line="360" w:lineRule="exact"/>
              <w:jc w:val="center"/>
              <w:rPr>
                <w:rFonts w:eastAsia="仿宋"/>
                <w:color w:val="auto"/>
                <w:sz w:val="24"/>
                <w:szCs w:val="22"/>
                <w:highlight w:val="none"/>
              </w:rPr>
            </w:pPr>
            <w:r>
              <w:rPr>
                <w:rFonts w:eastAsia="仿宋"/>
                <w:color w:val="auto"/>
                <w:sz w:val="24"/>
                <w:szCs w:val="22"/>
                <w:highlight w:val="none"/>
              </w:rPr>
              <w:t>型号</w:t>
            </w:r>
          </w:p>
        </w:tc>
        <w:tc>
          <w:tcPr>
            <w:tcW w:w="1102" w:type="dxa"/>
            <w:tcBorders>
              <w:top w:val="single" w:color="auto" w:sz="12" w:space="0"/>
            </w:tcBorders>
            <w:vAlign w:val="center"/>
          </w:tcPr>
          <w:p>
            <w:pPr>
              <w:spacing w:line="360" w:lineRule="exact"/>
              <w:jc w:val="center"/>
              <w:rPr>
                <w:rFonts w:eastAsia="仿宋"/>
                <w:color w:val="auto"/>
                <w:sz w:val="24"/>
                <w:szCs w:val="22"/>
                <w:highlight w:val="none"/>
              </w:rPr>
            </w:pPr>
            <w:r>
              <w:rPr>
                <w:rFonts w:eastAsia="仿宋"/>
                <w:color w:val="auto"/>
                <w:sz w:val="24"/>
                <w:szCs w:val="22"/>
                <w:highlight w:val="none"/>
              </w:rPr>
              <w:t>制造商名称</w:t>
            </w:r>
          </w:p>
        </w:tc>
        <w:tc>
          <w:tcPr>
            <w:tcW w:w="1417" w:type="dxa"/>
            <w:tcBorders>
              <w:top w:val="single" w:color="auto" w:sz="12" w:space="0"/>
            </w:tcBorders>
            <w:vAlign w:val="center"/>
          </w:tcPr>
          <w:p>
            <w:pPr>
              <w:spacing w:line="360" w:lineRule="exact"/>
              <w:jc w:val="center"/>
              <w:rPr>
                <w:rFonts w:eastAsia="仿宋"/>
                <w:color w:val="auto"/>
                <w:sz w:val="24"/>
                <w:szCs w:val="22"/>
                <w:highlight w:val="none"/>
              </w:rPr>
            </w:pPr>
            <w:r>
              <w:rPr>
                <w:rFonts w:eastAsia="仿宋"/>
                <w:color w:val="auto"/>
                <w:sz w:val="24"/>
                <w:szCs w:val="22"/>
                <w:highlight w:val="none"/>
              </w:rPr>
              <w:t>产地</w:t>
            </w:r>
          </w:p>
        </w:tc>
        <w:tc>
          <w:tcPr>
            <w:tcW w:w="1579" w:type="dxa"/>
            <w:tcBorders>
              <w:top w:val="single" w:color="auto" w:sz="12" w:space="0"/>
            </w:tcBorders>
            <w:vAlign w:val="center"/>
          </w:tcPr>
          <w:p>
            <w:pPr>
              <w:spacing w:line="360" w:lineRule="exact"/>
              <w:jc w:val="center"/>
              <w:rPr>
                <w:rFonts w:eastAsia="仿宋"/>
                <w:color w:val="auto"/>
                <w:sz w:val="24"/>
                <w:szCs w:val="22"/>
                <w:highlight w:val="none"/>
              </w:rPr>
            </w:pPr>
            <w:r>
              <w:rPr>
                <w:rFonts w:eastAsia="仿宋"/>
                <w:color w:val="auto"/>
                <w:sz w:val="24"/>
                <w:szCs w:val="22"/>
                <w:highlight w:val="none"/>
              </w:rPr>
              <w:t>单价</w:t>
            </w:r>
          </w:p>
          <w:p>
            <w:pPr>
              <w:spacing w:line="360" w:lineRule="exact"/>
              <w:jc w:val="center"/>
              <w:rPr>
                <w:rFonts w:hint="eastAsia" w:eastAsia="仿宋"/>
                <w:color w:val="auto"/>
                <w:sz w:val="24"/>
                <w:szCs w:val="22"/>
                <w:highlight w:val="none"/>
                <w:lang w:eastAsia="zh-CN"/>
              </w:rPr>
            </w:pPr>
            <w:r>
              <w:rPr>
                <w:rFonts w:hint="eastAsia" w:eastAsia="仿宋"/>
                <w:color w:val="auto"/>
                <w:sz w:val="24"/>
                <w:szCs w:val="22"/>
                <w:highlight w:val="none"/>
                <w:lang w:eastAsia="zh-CN"/>
              </w:rPr>
              <w:t>（</w:t>
            </w:r>
            <w:r>
              <w:rPr>
                <w:rFonts w:eastAsia="仿宋"/>
                <w:color w:val="auto"/>
                <w:sz w:val="24"/>
                <w:szCs w:val="22"/>
                <w:highlight w:val="none"/>
              </w:rPr>
              <w:t>人民币/元</w:t>
            </w:r>
            <w:r>
              <w:rPr>
                <w:rFonts w:hint="eastAsia" w:eastAsia="仿宋"/>
                <w:color w:val="auto"/>
                <w:sz w:val="24"/>
                <w:szCs w:val="22"/>
                <w:highlight w:val="none"/>
                <w:lang w:eastAsia="zh-CN"/>
              </w:rPr>
              <w:t>）</w:t>
            </w:r>
          </w:p>
        </w:tc>
        <w:tc>
          <w:tcPr>
            <w:tcW w:w="1666" w:type="dxa"/>
            <w:tcBorders>
              <w:top w:val="single" w:color="auto" w:sz="12" w:space="0"/>
            </w:tcBorders>
            <w:vAlign w:val="center"/>
          </w:tcPr>
          <w:p>
            <w:pPr>
              <w:spacing w:line="360" w:lineRule="exact"/>
              <w:jc w:val="center"/>
              <w:rPr>
                <w:rFonts w:eastAsia="仿宋"/>
                <w:color w:val="auto"/>
                <w:sz w:val="24"/>
                <w:szCs w:val="22"/>
                <w:highlight w:val="none"/>
              </w:rPr>
            </w:pPr>
            <w:r>
              <w:rPr>
                <w:rFonts w:eastAsia="仿宋"/>
                <w:color w:val="auto"/>
                <w:sz w:val="24"/>
                <w:szCs w:val="22"/>
                <w:highlight w:val="none"/>
              </w:rPr>
              <w:t>总价</w:t>
            </w:r>
          </w:p>
          <w:p>
            <w:pPr>
              <w:spacing w:line="360" w:lineRule="exact"/>
              <w:jc w:val="center"/>
              <w:rPr>
                <w:rFonts w:hint="eastAsia" w:eastAsia="仿宋"/>
                <w:color w:val="auto"/>
                <w:sz w:val="24"/>
                <w:szCs w:val="22"/>
                <w:highlight w:val="none"/>
                <w:lang w:eastAsia="zh-CN"/>
              </w:rPr>
            </w:pPr>
            <w:r>
              <w:rPr>
                <w:rFonts w:hint="eastAsia" w:eastAsia="仿宋"/>
                <w:color w:val="auto"/>
                <w:sz w:val="24"/>
                <w:szCs w:val="22"/>
                <w:highlight w:val="none"/>
                <w:lang w:eastAsia="zh-CN"/>
              </w:rPr>
              <w:t>（</w:t>
            </w:r>
            <w:r>
              <w:rPr>
                <w:rFonts w:eastAsia="仿宋"/>
                <w:color w:val="auto"/>
                <w:sz w:val="24"/>
                <w:szCs w:val="22"/>
                <w:highlight w:val="none"/>
              </w:rPr>
              <w:t>人民币/元</w:t>
            </w:r>
            <w:r>
              <w:rPr>
                <w:rFonts w:hint="eastAsia" w:eastAsia="仿宋"/>
                <w:color w:val="auto"/>
                <w:sz w:val="24"/>
                <w:szCs w:val="22"/>
                <w:highlight w:val="none"/>
                <w:lang w:eastAsia="zh-CN"/>
              </w:rPr>
              <w:t>）</w:t>
            </w:r>
          </w:p>
        </w:tc>
        <w:tc>
          <w:tcPr>
            <w:tcW w:w="1762" w:type="dxa"/>
            <w:tcBorders>
              <w:top w:val="single" w:color="auto" w:sz="12" w:space="0"/>
            </w:tcBorders>
            <w:vAlign w:val="center"/>
          </w:tcPr>
          <w:p>
            <w:pPr>
              <w:spacing w:line="360" w:lineRule="exact"/>
              <w:jc w:val="center"/>
              <w:rPr>
                <w:rFonts w:eastAsia="仿宋"/>
                <w:color w:val="auto"/>
                <w:sz w:val="24"/>
                <w:szCs w:val="22"/>
                <w:highlight w:val="none"/>
              </w:rPr>
            </w:pPr>
            <w:r>
              <w:rPr>
                <w:rFonts w:eastAsia="仿宋"/>
                <w:color w:val="auto"/>
                <w:sz w:val="24"/>
                <w:szCs w:val="22"/>
                <w:highlight w:val="none"/>
              </w:rPr>
              <w:t>是否属于品目清单内的节能、环保产品</w:t>
            </w:r>
          </w:p>
        </w:tc>
        <w:tc>
          <w:tcPr>
            <w:tcW w:w="1150" w:type="dxa"/>
            <w:tcBorders>
              <w:top w:val="single" w:color="auto" w:sz="12" w:space="0"/>
            </w:tcBorders>
            <w:vAlign w:val="center"/>
          </w:tcPr>
          <w:p>
            <w:pPr>
              <w:spacing w:line="360" w:lineRule="exact"/>
              <w:jc w:val="center"/>
              <w:rPr>
                <w:rFonts w:eastAsia="仿宋"/>
                <w:color w:val="auto"/>
                <w:sz w:val="24"/>
                <w:szCs w:val="22"/>
                <w:highlight w:val="none"/>
              </w:rPr>
            </w:pPr>
            <w:r>
              <w:rPr>
                <w:rFonts w:eastAsia="仿宋"/>
                <w:color w:val="auto"/>
                <w:sz w:val="24"/>
                <w:szCs w:val="22"/>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10" w:type="dxa"/>
            <w:vAlign w:val="center"/>
          </w:tcPr>
          <w:p>
            <w:pPr>
              <w:spacing w:line="460" w:lineRule="exact"/>
              <w:jc w:val="center"/>
              <w:rPr>
                <w:rFonts w:eastAsia="仿宋"/>
                <w:color w:val="auto"/>
                <w:sz w:val="24"/>
                <w:szCs w:val="22"/>
                <w:highlight w:val="none"/>
              </w:rPr>
            </w:pPr>
            <w:r>
              <w:rPr>
                <w:rFonts w:eastAsia="仿宋"/>
                <w:color w:val="auto"/>
                <w:sz w:val="24"/>
                <w:szCs w:val="22"/>
                <w:highlight w:val="none"/>
              </w:rPr>
              <w:t>1</w:t>
            </w:r>
          </w:p>
        </w:tc>
        <w:tc>
          <w:tcPr>
            <w:tcW w:w="2852" w:type="dxa"/>
          </w:tcPr>
          <w:p>
            <w:pPr>
              <w:spacing w:line="460" w:lineRule="atLeast"/>
              <w:jc w:val="center"/>
              <w:rPr>
                <w:rFonts w:eastAsia="仿宋"/>
                <w:color w:val="auto"/>
                <w:sz w:val="24"/>
                <w:szCs w:val="22"/>
                <w:highlight w:val="none"/>
              </w:rPr>
            </w:pPr>
          </w:p>
        </w:tc>
        <w:tc>
          <w:tcPr>
            <w:tcW w:w="934" w:type="dxa"/>
          </w:tcPr>
          <w:p>
            <w:pPr>
              <w:spacing w:line="460" w:lineRule="atLeast"/>
              <w:jc w:val="center"/>
              <w:rPr>
                <w:rFonts w:eastAsia="仿宋"/>
                <w:color w:val="auto"/>
                <w:sz w:val="24"/>
                <w:szCs w:val="22"/>
                <w:highlight w:val="none"/>
              </w:rPr>
            </w:pPr>
          </w:p>
        </w:tc>
        <w:tc>
          <w:tcPr>
            <w:tcW w:w="1069" w:type="dxa"/>
            <w:tcBorders>
              <w:right w:val="single" w:color="auto" w:sz="4" w:space="0"/>
            </w:tcBorders>
            <w:vAlign w:val="center"/>
          </w:tcPr>
          <w:p>
            <w:pPr>
              <w:spacing w:line="460" w:lineRule="exact"/>
              <w:jc w:val="center"/>
              <w:rPr>
                <w:rFonts w:eastAsia="仿宋"/>
                <w:color w:val="auto"/>
                <w:sz w:val="24"/>
                <w:szCs w:val="22"/>
                <w:highlight w:val="none"/>
              </w:rPr>
            </w:pPr>
          </w:p>
        </w:tc>
        <w:tc>
          <w:tcPr>
            <w:tcW w:w="768" w:type="dxa"/>
            <w:tcBorders>
              <w:left w:val="single" w:color="auto" w:sz="4" w:space="0"/>
            </w:tcBorders>
            <w:vAlign w:val="center"/>
          </w:tcPr>
          <w:p>
            <w:pPr>
              <w:spacing w:line="460" w:lineRule="exact"/>
              <w:jc w:val="center"/>
              <w:rPr>
                <w:rFonts w:eastAsia="仿宋"/>
                <w:color w:val="auto"/>
                <w:sz w:val="24"/>
                <w:szCs w:val="22"/>
                <w:highlight w:val="none"/>
              </w:rPr>
            </w:pPr>
          </w:p>
        </w:tc>
        <w:tc>
          <w:tcPr>
            <w:tcW w:w="1102" w:type="dxa"/>
          </w:tcPr>
          <w:p>
            <w:pPr>
              <w:spacing w:line="460" w:lineRule="exact"/>
              <w:jc w:val="center"/>
              <w:rPr>
                <w:rFonts w:eastAsia="仿宋"/>
                <w:color w:val="auto"/>
                <w:sz w:val="24"/>
                <w:szCs w:val="22"/>
                <w:highlight w:val="none"/>
              </w:rPr>
            </w:pPr>
          </w:p>
        </w:tc>
        <w:tc>
          <w:tcPr>
            <w:tcW w:w="1417" w:type="dxa"/>
            <w:vAlign w:val="center"/>
          </w:tcPr>
          <w:p>
            <w:pPr>
              <w:spacing w:line="460" w:lineRule="exact"/>
              <w:jc w:val="center"/>
              <w:rPr>
                <w:rFonts w:eastAsia="仿宋"/>
                <w:color w:val="auto"/>
                <w:sz w:val="24"/>
                <w:szCs w:val="22"/>
                <w:highlight w:val="none"/>
              </w:rPr>
            </w:pPr>
          </w:p>
        </w:tc>
        <w:tc>
          <w:tcPr>
            <w:tcW w:w="1579" w:type="dxa"/>
            <w:vAlign w:val="center"/>
          </w:tcPr>
          <w:p>
            <w:pPr>
              <w:spacing w:line="460" w:lineRule="exact"/>
              <w:jc w:val="center"/>
              <w:rPr>
                <w:rFonts w:eastAsia="仿宋"/>
                <w:color w:val="auto"/>
                <w:sz w:val="24"/>
                <w:szCs w:val="22"/>
                <w:highlight w:val="none"/>
              </w:rPr>
            </w:pPr>
          </w:p>
        </w:tc>
        <w:tc>
          <w:tcPr>
            <w:tcW w:w="1666" w:type="dxa"/>
            <w:vAlign w:val="center"/>
          </w:tcPr>
          <w:p>
            <w:pPr>
              <w:spacing w:line="460" w:lineRule="exact"/>
              <w:jc w:val="center"/>
              <w:rPr>
                <w:rFonts w:eastAsia="仿宋"/>
                <w:color w:val="auto"/>
                <w:sz w:val="24"/>
                <w:szCs w:val="22"/>
                <w:highlight w:val="none"/>
              </w:rPr>
            </w:pPr>
          </w:p>
        </w:tc>
        <w:tc>
          <w:tcPr>
            <w:tcW w:w="1762" w:type="dxa"/>
          </w:tcPr>
          <w:p>
            <w:pPr>
              <w:spacing w:line="460" w:lineRule="exact"/>
              <w:jc w:val="center"/>
              <w:rPr>
                <w:rFonts w:eastAsia="仿宋"/>
                <w:color w:val="auto"/>
                <w:sz w:val="24"/>
                <w:szCs w:val="22"/>
                <w:highlight w:val="none"/>
              </w:rPr>
            </w:pPr>
          </w:p>
        </w:tc>
        <w:tc>
          <w:tcPr>
            <w:tcW w:w="1150" w:type="dxa"/>
            <w:vAlign w:val="center"/>
          </w:tcPr>
          <w:p>
            <w:pPr>
              <w:spacing w:line="460" w:lineRule="exact"/>
              <w:jc w:val="cente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10" w:type="dxa"/>
            <w:vAlign w:val="center"/>
          </w:tcPr>
          <w:p>
            <w:pPr>
              <w:spacing w:line="460" w:lineRule="exact"/>
              <w:jc w:val="center"/>
              <w:rPr>
                <w:rFonts w:eastAsia="仿宋"/>
                <w:color w:val="auto"/>
                <w:sz w:val="24"/>
                <w:szCs w:val="22"/>
                <w:highlight w:val="none"/>
              </w:rPr>
            </w:pPr>
            <w:r>
              <w:rPr>
                <w:rFonts w:eastAsia="仿宋"/>
                <w:color w:val="auto"/>
                <w:sz w:val="24"/>
                <w:szCs w:val="22"/>
                <w:highlight w:val="none"/>
              </w:rPr>
              <w:t>…</w:t>
            </w:r>
          </w:p>
        </w:tc>
        <w:tc>
          <w:tcPr>
            <w:tcW w:w="2852" w:type="dxa"/>
          </w:tcPr>
          <w:p>
            <w:pPr>
              <w:spacing w:line="460" w:lineRule="atLeast"/>
              <w:jc w:val="center"/>
              <w:rPr>
                <w:rFonts w:eastAsia="仿宋"/>
                <w:color w:val="auto"/>
                <w:sz w:val="24"/>
                <w:szCs w:val="22"/>
                <w:highlight w:val="none"/>
              </w:rPr>
            </w:pPr>
            <w:r>
              <w:rPr>
                <w:rFonts w:eastAsia="仿宋"/>
                <w:color w:val="auto"/>
                <w:sz w:val="24"/>
                <w:szCs w:val="22"/>
                <w:highlight w:val="none"/>
              </w:rPr>
              <w:t>…</w:t>
            </w:r>
          </w:p>
        </w:tc>
        <w:tc>
          <w:tcPr>
            <w:tcW w:w="934" w:type="dxa"/>
            <w:vAlign w:val="center"/>
          </w:tcPr>
          <w:p>
            <w:pPr>
              <w:spacing w:line="460" w:lineRule="atLeast"/>
              <w:jc w:val="center"/>
              <w:rPr>
                <w:rFonts w:eastAsia="仿宋"/>
                <w:color w:val="auto"/>
                <w:sz w:val="24"/>
                <w:szCs w:val="22"/>
                <w:highlight w:val="none"/>
              </w:rPr>
            </w:pPr>
          </w:p>
        </w:tc>
        <w:tc>
          <w:tcPr>
            <w:tcW w:w="1069" w:type="dxa"/>
            <w:tcBorders>
              <w:right w:val="single" w:color="auto" w:sz="4" w:space="0"/>
            </w:tcBorders>
            <w:vAlign w:val="center"/>
          </w:tcPr>
          <w:p>
            <w:pPr>
              <w:spacing w:line="460" w:lineRule="exact"/>
              <w:jc w:val="center"/>
              <w:rPr>
                <w:rFonts w:eastAsia="仿宋"/>
                <w:color w:val="auto"/>
                <w:sz w:val="24"/>
                <w:szCs w:val="22"/>
                <w:highlight w:val="none"/>
              </w:rPr>
            </w:pPr>
          </w:p>
        </w:tc>
        <w:tc>
          <w:tcPr>
            <w:tcW w:w="768" w:type="dxa"/>
            <w:tcBorders>
              <w:left w:val="single" w:color="auto" w:sz="4" w:space="0"/>
            </w:tcBorders>
            <w:vAlign w:val="center"/>
          </w:tcPr>
          <w:p>
            <w:pPr>
              <w:spacing w:line="460" w:lineRule="exact"/>
              <w:jc w:val="center"/>
              <w:rPr>
                <w:rFonts w:eastAsia="仿宋"/>
                <w:color w:val="auto"/>
                <w:sz w:val="24"/>
                <w:szCs w:val="22"/>
                <w:highlight w:val="none"/>
              </w:rPr>
            </w:pPr>
          </w:p>
        </w:tc>
        <w:tc>
          <w:tcPr>
            <w:tcW w:w="1102" w:type="dxa"/>
          </w:tcPr>
          <w:p>
            <w:pPr>
              <w:spacing w:line="460" w:lineRule="exact"/>
              <w:jc w:val="center"/>
              <w:rPr>
                <w:rFonts w:eastAsia="仿宋"/>
                <w:color w:val="auto"/>
                <w:sz w:val="24"/>
                <w:szCs w:val="22"/>
                <w:highlight w:val="none"/>
              </w:rPr>
            </w:pPr>
          </w:p>
        </w:tc>
        <w:tc>
          <w:tcPr>
            <w:tcW w:w="1417" w:type="dxa"/>
            <w:vAlign w:val="center"/>
          </w:tcPr>
          <w:p>
            <w:pPr>
              <w:spacing w:line="460" w:lineRule="exact"/>
              <w:jc w:val="center"/>
              <w:rPr>
                <w:rFonts w:eastAsia="仿宋"/>
                <w:color w:val="auto"/>
                <w:sz w:val="24"/>
                <w:szCs w:val="22"/>
                <w:highlight w:val="none"/>
              </w:rPr>
            </w:pPr>
          </w:p>
        </w:tc>
        <w:tc>
          <w:tcPr>
            <w:tcW w:w="1579" w:type="dxa"/>
            <w:vAlign w:val="center"/>
          </w:tcPr>
          <w:p>
            <w:pPr>
              <w:spacing w:line="460" w:lineRule="exact"/>
              <w:jc w:val="center"/>
              <w:rPr>
                <w:rFonts w:eastAsia="仿宋"/>
                <w:color w:val="auto"/>
                <w:sz w:val="24"/>
                <w:szCs w:val="22"/>
                <w:highlight w:val="none"/>
              </w:rPr>
            </w:pPr>
          </w:p>
        </w:tc>
        <w:tc>
          <w:tcPr>
            <w:tcW w:w="1666" w:type="dxa"/>
            <w:vAlign w:val="center"/>
          </w:tcPr>
          <w:p>
            <w:pPr>
              <w:spacing w:line="460" w:lineRule="exact"/>
              <w:jc w:val="center"/>
              <w:rPr>
                <w:rFonts w:eastAsia="仿宋"/>
                <w:color w:val="auto"/>
                <w:sz w:val="24"/>
                <w:szCs w:val="22"/>
                <w:highlight w:val="none"/>
              </w:rPr>
            </w:pPr>
          </w:p>
        </w:tc>
        <w:tc>
          <w:tcPr>
            <w:tcW w:w="1762" w:type="dxa"/>
          </w:tcPr>
          <w:p>
            <w:pPr>
              <w:spacing w:line="460" w:lineRule="exact"/>
              <w:jc w:val="center"/>
              <w:rPr>
                <w:rFonts w:eastAsia="仿宋"/>
                <w:color w:val="auto"/>
                <w:sz w:val="24"/>
                <w:szCs w:val="22"/>
                <w:highlight w:val="none"/>
              </w:rPr>
            </w:pPr>
          </w:p>
        </w:tc>
        <w:tc>
          <w:tcPr>
            <w:tcW w:w="1150" w:type="dxa"/>
            <w:vAlign w:val="center"/>
          </w:tcPr>
          <w:p>
            <w:pPr>
              <w:spacing w:line="460" w:lineRule="exact"/>
              <w:jc w:val="cente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5009" w:type="dxa"/>
            <w:gridSpan w:val="11"/>
            <w:tcBorders>
              <w:bottom w:val="single" w:color="auto" w:sz="12" w:space="0"/>
            </w:tcBorders>
          </w:tcPr>
          <w:p>
            <w:pPr>
              <w:spacing w:line="460" w:lineRule="exact"/>
              <w:jc w:val="left"/>
              <w:rPr>
                <w:rFonts w:eastAsia="仿宋"/>
                <w:color w:val="auto"/>
                <w:sz w:val="24"/>
                <w:szCs w:val="22"/>
                <w:highlight w:val="none"/>
              </w:rPr>
            </w:pPr>
            <w:r>
              <w:rPr>
                <w:rFonts w:eastAsia="仿宋"/>
                <w:color w:val="auto"/>
                <w:sz w:val="24"/>
                <w:szCs w:val="22"/>
                <w:highlight w:val="none"/>
              </w:rPr>
              <w:t>合计：（大写）           ￥：（小写）</w:t>
            </w:r>
          </w:p>
        </w:tc>
      </w:tr>
    </w:tbl>
    <w:p>
      <w:pPr>
        <w:spacing w:line="460" w:lineRule="exact"/>
        <w:rPr>
          <w:rFonts w:eastAsia="仿宋"/>
          <w:color w:val="auto"/>
          <w:sz w:val="24"/>
          <w:szCs w:val="24"/>
          <w:highlight w:val="none"/>
        </w:rPr>
      </w:pPr>
      <w:r>
        <w:rPr>
          <w:rFonts w:eastAsia="仿宋"/>
          <w:color w:val="auto"/>
          <w:sz w:val="24"/>
          <w:highlight w:val="none"/>
        </w:rPr>
        <w:t>注：</w:t>
      </w:r>
      <w:r>
        <w:rPr>
          <w:rFonts w:eastAsia="仿宋"/>
          <w:color w:val="auto"/>
          <w:sz w:val="24"/>
          <w:szCs w:val="24"/>
          <w:highlight w:val="none"/>
        </w:rPr>
        <w:t>1.属于《节能产品政府采购品目清单》、《环境标志产品政府采购品目清单》的产品需注明，并提供国家确定的认证机构出具的有效认证证书扫描件，否则产生的一切后果由投标人承担。（不属于节能产品、环境标志产品的不需提供）。</w:t>
      </w:r>
    </w:p>
    <w:p>
      <w:pPr>
        <w:spacing w:line="460" w:lineRule="exact"/>
        <w:ind w:firstLine="480" w:firstLineChars="200"/>
        <w:rPr>
          <w:rFonts w:eastAsia="仿宋"/>
          <w:color w:val="auto"/>
          <w:sz w:val="24"/>
          <w:szCs w:val="24"/>
          <w:highlight w:val="none"/>
        </w:rPr>
      </w:pPr>
      <w:r>
        <w:rPr>
          <w:rFonts w:eastAsia="仿宋"/>
          <w:color w:val="auto"/>
          <w:sz w:val="24"/>
          <w:szCs w:val="24"/>
          <w:highlight w:val="none"/>
        </w:rPr>
        <w:t>2.招标文件对节能、环保产品另有规定的从其规定。</w:t>
      </w:r>
    </w:p>
    <w:p>
      <w:pPr>
        <w:spacing w:line="460" w:lineRule="exact"/>
        <w:ind w:firstLine="482" w:firstLineChars="200"/>
        <w:rPr>
          <w:rFonts w:eastAsia="仿宋"/>
          <w:b/>
          <w:color w:val="auto"/>
          <w:sz w:val="24"/>
          <w:highlight w:val="none"/>
        </w:rPr>
      </w:pPr>
      <w:r>
        <w:rPr>
          <w:rFonts w:hint="eastAsia" w:eastAsia="仿宋"/>
          <w:b/>
          <w:color w:val="auto"/>
          <w:sz w:val="24"/>
          <w:szCs w:val="24"/>
          <w:highlight w:val="none"/>
          <w:lang w:val="en-US" w:eastAsia="zh-CN"/>
        </w:rPr>
        <w:t>3</w:t>
      </w:r>
      <w:r>
        <w:rPr>
          <w:rFonts w:eastAsia="仿宋"/>
          <w:b/>
          <w:color w:val="auto"/>
          <w:sz w:val="24"/>
          <w:szCs w:val="24"/>
          <w:highlight w:val="none"/>
        </w:rPr>
        <w:t>.此表应按招标文件的规定与开标一览表一同单独密封在一个信封中。</w:t>
      </w:r>
    </w:p>
    <w:p>
      <w:pPr>
        <w:spacing w:line="360" w:lineRule="auto"/>
        <w:rPr>
          <w:rFonts w:eastAsia="仿宋"/>
          <w:color w:val="auto"/>
          <w:sz w:val="24"/>
          <w:highlight w:val="none"/>
        </w:rPr>
      </w:pPr>
    </w:p>
    <w:p>
      <w:pPr>
        <w:spacing w:line="460" w:lineRule="exact"/>
        <w:ind w:left="690"/>
        <w:rPr>
          <w:rFonts w:eastAsia="仿宋"/>
          <w:color w:val="auto"/>
          <w:sz w:val="24"/>
          <w:highlight w:val="none"/>
        </w:rPr>
      </w:pPr>
      <w:r>
        <w:rPr>
          <w:rFonts w:eastAsia="仿宋"/>
          <w:color w:val="auto"/>
          <w:sz w:val="24"/>
          <w:highlight w:val="none"/>
        </w:rPr>
        <w:t>投标人名称： （加盖公章）</w:t>
      </w:r>
    </w:p>
    <w:p>
      <w:pPr>
        <w:spacing w:line="460" w:lineRule="exact"/>
        <w:ind w:left="690"/>
        <w:rPr>
          <w:rFonts w:eastAsia="仿宋"/>
          <w:color w:val="auto"/>
          <w:sz w:val="24"/>
          <w:highlight w:val="none"/>
        </w:rPr>
      </w:pPr>
      <w:r>
        <w:rPr>
          <w:rFonts w:eastAsia="仿宋"/>
          <w:color w:val="auto"/>
          <w:sz w:val="24"/>
          <w:highlight w:val="none"/>
        </w:rPr>
        <w:t>法定代表人（或授权代表）签字（或签章）：</w:t>
      </w:r>
    </w:p>
    <w:p>
      <w:pPr>
        <w:spacing w:line="460" w:lineRule="exact"/>
        <w:ind w:firstLine="720" w:firstLineChars="300"/>
        <w:jc w:val="left"/>
        <w:rPr>
          <w:rFonts w:eastAsia="仿宋"/>
          <w:color w:val="auto"/>
          <w:sz w:val="24"/>
          <w:highlight w:val="none"/>
        </w:rPr>
      </w:pPr>
      <w:r>
        <w:rPr>
          <w:rFonts w:eastAsia="仿宋"/>
          <w:color w:val="auto"/>
          <w:sz w:val="24"/>
          <w:highlight w:val="none"/>
        </w:rPr>
        <w:t>日期：</w:t>
      </w:r>
    </w:p>
    <w:p>
      <w:pPr>
        <w:spacing w:line="360" w:lineRule="auto"/>
        <w:rPr>
          <w:rFonts w:eastAsia="仿宋"/>
          <w:color w:val="auto"/>
          <w:sz w:val="24"/>
          <w:highlight w:val="none"/>
        </w:rPr>
        <w:sectPr>
          <w:pgSz w:w="16840" w:h="11907" w:orient="landscape"/>
          <w:pgMar w:top="1134" w:right="1111" w:bottom="1134" w:left="936" w:header="425" w:footer="573" w:gutter="0"/>
          <w:cols w:space="720" w:num="1"/>
          <w:titlePg/>
          <w:docGrid w:linePitch="462" w:charSpace="0"/>
        </w:sectPr>
      </w:pPr>
    </w:p>
    <w:p>
      <w:pPr>
        <w:spacing w:line="560" w:lineRule="exact"/>
        <w:jc w:val="center"/>
        <w:outlineLvl w:val="1"/>
        <w:rPr>
          <w:rFonts w:eastAsia="仿宋"/>
          <w:b/>
          <w:bCs/>
          <w:snapToGrid w:val="0"/>
          <w:color w:val="auto"/>
          <w:kern w:val="0"/>
          <w:sz w:val="28"/>
          <w:szCs w:val="28"/>
          <w:highlight w:val="none"/>
        </w:rPr>
      </w:pPr>
      <w:bookmarkStart w:id="311" w:name="_Toc96"/>
      <w:bookmarkStart w:id="312" w:name="_Toc19481"/>
      <w:bookmarkStart w:id="313" w:name="_Toc23963"/>
      <w:bookmarkStart w:id="314" w:name="_Toc6950"/>
      <w:bookmarkStart w:id="315" w:name="_Toc8139"/>
      <w:bookmarkStart w:id="316" w:name="_Toc111018951"/>
      <w:bookmarkStart w:id="317" w:name="_Toc14883"/>
      <w:bookmarkStart w:id="318" w:name="_Toc11339"/>
      <w:bookmarkStart w:id="319" w:name="_Toc18685"/>
      <w:r>
        <w:rPr>
          <w:rFonts w:eastAsia="仿宋"/>
          <w:b/>
          <w:bCs/>
          <w:snapToGrid w:val="0"/>
          <w:color w:val="auto"/>
          <w:kern w:val="0"/>
          <w:sz w:val="28"/>
          <w:szCs w:val="28"/>
          <w:highlight w:val="none"/>
        </w:rPr>
        <w:t>四、技术条款响应表</w:t>
      </w:r>
      <w:bookmarkEnd w:id="308"/>
      <w:bookmarkEnd w:id="309"/>
      <w:bookmarkEnd w:id="310"/>
      <w:bookmarkEnd w:id="311"/>
      <w:bookmarkEnd w:id="312"/>
      <w:bookmarkEnd w:id="313"/>
      <w:bookmarkEnd w:id="314"/>
      <w:bookmarkEnd w:id="315"/>
      <w:bookmarkEnd w:id="316"/>
      <w:bookmarkEnd w:id="317"/>
      <w:bookmarkEnd w:id="318"/>
      <w:bookmarkEnd w:id="319"/>
    </w:p>
    <w:p>
      <w:pPr>
        <w:tabs>
          <w:tab w:val="left" w:pos="3544"/>
        </w:tabs>
        <w:spacing w:line="360" w:lineRule="auto"/>
        <w:ind w:firstLine="210" w:firstLineChars="100"/>
        <w:rPr>
          <w:rFonts w:eastAsia="仿宋"/>
          <w:color w:val="auto"/>
          <w:szCs w:val="21"/>
          <w:highlight w:val="none"/>
        </w:rPr>
      </w:pPr>
    </w:p>
    <w:p>
      <w:pPr>
        <w:spacing w:line="360" w:lineRule="auto"/>
        <w:rPr>
          <w:rFonts w:eastAsia="仿宋"/>
          <w:color w:val="auto"/>
          <w:sz w:val="24"/>
          <w:highlight w:val="none"/>
        </w:rPr>
      </w:pPr>
      <w:r>
        <w:rPr>
          <w:rFonts w:eastAsia="仿宋"/>
          <w:color w:val="auto"/>
          <w:sz w:val="24"/>
          <w:highlight w:val="none"/>
        </w:rPr>
        <w:t>投标人名称：                                            项目编号：</w:t>
      </w:r>
    </w:p>
    <w:p>
      <w:pPr>
        <w:spacing w:line="360" w:lineRule="auto"/>
        <w:rPr>
          <w:rFonts w:eastAsia="仿宋"/>
          <w:color w:val="auto"/>
          <w:sz w:val="24"/>
          <w:highlight w:val="none"/>
        </w:rPr>
      </w:pPr>
      <w:r>
        <w:rPr>
          <w:rFonts w:eastAsia="仿宋"/>
          <w:color w:val="auto"/>
          <w:sz w:val="24"/>
          <w:highlight w:val="none"/>
        </w:rPr>
        <w:t>包号：</w:t>
      </w:r>
    </w:p>
    <w:tbl>
      <w:tblPr>
        <w:tblStyle w:val="42"/>
        <w:tblW w:w="92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
        <w:gridCol w:w="2819"/>
        <w:gridCol w:w="2863"/>
        <w:gridCol w:w="1627"/>
        <w:gridCol w:w="1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879" w:type="dxa"/>
            <w:vAlign w:val="center"/>
          </w:tcPr>
          <w:p>
            <w:pPr>
              <w:spacing w:line="360" w:lineRule="auto"/>
              <w:jc w:val="center"/>
              <w:rPr>
                <w:rFonts w:eastAsia="仿宋"/>
                <w:color w:val="auto"/>
                <w:sz w:val="24"/>
                <w:szCs w:val="22"/>
                <w:highlight w:val="none"/>
              </w:rPr>
            </w:pPr>
            <w:r>
              <w:rPr>
                <w:rFonts w:eastAsia="仿宋"/>
                <w:color w:val="auto"/>
                <w:sz w:val="24"/>
                <w:szCs w:val="22"/>
                <w:highlight w:val="none"/>
              </w:rPr>
              <w:t>序号</w:t>
            </w:r>
          </w:p>
        </w:tc>
        <w:tc>
          <w:tcPr>
            <w:tcW w:w="2819" w:type="dxa"/>
            <w:vAlign w:val="center"/>
          </w:tcPr>
          <w:p>
            <w:pPr>
              <w:spacing w:line="360" w:lineRule="auto"/>
              <w:jc w:val="center"/>
              <w:rPr>
                <w:rFonts w:eastAsia="仿宋"/>
                <w:color w:val="auto"/>
                <w:sz w:val="24"/>
                <w:szCs w:val="22"/>
                <w:highlight w:val="none"/>
              </w:rPr>
            </w:pPr>
            <w:r>
              <w:rPr>
                <w:rFonts w:eastAsia="仿宋"/>
                <w:color w:val="auto"/>
                <w:sz w:val="24"/>
                <w:szCs w:val="22"/>
                <w:highlight w:val="none"/>
              </w:rPr>
              <w:t>招标文件技术条款</w:t>
            </w:r>
          </w:p>
        </w:tc>
        <w:tc>
          <w:tcPr>
            <w:tcW w:w="2863" w:type="dxa"/>
            <w:vAlign w:val="center"/>
          </w:tcPr>
          <w:p>
            <w:pPr>
              <w:spacing w:line="360" w:lineRule="auto"/>
              <w:jc w:val="center"/>
              <w:rPr>
                <w:rFonts w:eastAsia="仿宋"/>
                <w:color w:val="auto"/>
                <w:sz w:val="24"/>
                <w:szCs w:val="22"/>
                <w:highlight w:val="none"/>
              </w:rPr>
            </w:pPr>
            <w:r>
              <w:rPr>
                <w:rFonts w:eastAsia="仿宋"/>
                <w:color w:val="auto"/>
                <w:sz w:val="24"/>
                <w:szCs w:val="22"/>
                <w:highlight w:val="none"/>
              </w:rPr>
              <w:t>投标人响应技术条款</w:t>
            </w:r>
          </w:p>
        </w:tc>
        <w:tc>
          <w:tcPr>
            <w:tcW w:w="1627" w:type="dxa"/>
            <w:vAlign w:val="center"/>
          </w:tcPr>
          <w:p>
            <w:pPr>
              <w:spacing w:line="360" w:lineRule="auto"/>
              <w:jc w:val="center"/>
              <w:rPr>
                <w:rFonts w:eastAsia="仿宋"/>
                <w:color w:val="auto"/>
                <w:sz w:val="24"/>
                <w:szCs w:val="22"/>
                <w:highlight w:val="none"/>
              </w:rPr>
            </w:pPr>
            <w:r>
              <w:rPr>
                <w:rFonts w:eastAsia="仿宋"/>
                <w:color w:val="auto"/>
                <w:sz w:val="24"/>
                <w:szCs w:val="22"/>
                <w:highlight w:val="none"/>
              </w:rPr>
              <w:t>响应/偏离</w:t>
            </w:r>
          </w:p>
        </w:tc>
        <w:tc>
          <w:tcPr>
            <w:tcW w:w="1096" w:type="dxa"/>
            <w:vAlign w:val="center"/>
          </w:tcPr>
          <w:p>
            <w:pPr>
              <w:spacing w:line="360" w:lineRule="auto"/>
              <w:jc w:val="center"/>
              <w:rPr>
                <w:rFonts w:eastAsia="仿宋"/>
                <w:color w:val="auto"/>
                <w:sz w:val="24"/>
                <w:szCs w:val="22"/>
                <w:highlight w:val="none"/>
              </w:rPr>
            </w:pPr>
            <w:r>
              <w:rPr>
                <w:rFonts w:eastAsia="仿宋"/>
                <w:color w:val="auto"/>
                <w:sz w:val="24"/>
                <w:szCs w:val="22"/>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dxa"/>
            <w:vAlign w:val="center"/>
          </w:tcPr>
          <w:p>
            <w:pPr>
              <w:spacing w:line="312" w:lineRule="auto"/>
              <w:jc w:val="center"/>
              <w:rPr>
                <w:rFonts w:eastAsia="仿宋"/>
                <w:color w:val="auto"/>
                <w:sz w:val="24"/>
                <w:szCs w:val="22"/>
                <w:highlight w:val="none"/>
              </w:rPr>
            </w:pPr>
          </w:p>
        </w:tc>
        <w:tc>
          <w:tcPr>
            <w:tcW w:w="2819" w:type="dxa"/>
          </w:tcPr>
          <w:p>
            <w:pPr>
              <w:spacing w:line="360" w:lineRule="auto"/>
              <w:rPr>
                <w:rFonts w:eastAsia="仿宋"/>
                <w:color w:val="auto"/>
                <w:sz w:val="24"/>
                <w:szCs w:val="22"/>
                <w:highlight w:val="none"/>
              </w:rPr>
            </w:pPr>
          </w:p>
        </w:tc>
        <w:tc>
          <w:tcPr>
            <w:tcW w:w="2863" w:type="dxa"/>
          </w:tcPr>
          <w:p>
            <w:pPr>
              <w:spacing w:line="360" w:lineRule="auto"/>
              <w:rPr>
                <w:rFonts w:eastAsia="仿宋"/>
                <w:color w:val="auto"/>
                <w:sz w:val="24"/>
                <w:szCs w:val="22"/>
                <w:highlight w:val="none"/>
              </w:rPr>
            </w:pPr>
          </w:p>
        </w:tc>
        <w:tc>
          <w:tcPr>
            <w:tcW w:w="1627" w:type="dxa"/>
          </w:tcPr>
          <w:p>
            <w:pPr>
              <w:spacing w:line="360" w:lineRule="auto"/>
              <w:rPr>
                <w:rFonts w:eastAsia="仿宋"/>
                <w:color w:val="auto"/>
                <w:sz w:val="24"/>
                <w:szCs w:val="22"/>
                <w:highlight w:val="none"/>
              </w:rPr>
            </w:pPr>
          </w:p>
        </w:tc>
        <w:tc>
          <w:tcPr>
            <w:tcW w:w="1096" w:type="dxa"/>
          </w:tcPr>
          <w:p>
            <w:pPr>
              <w:spacing w:line="360" w:lineRule="auto"/>
              <w:rPr>
                <w:rFonts w:eastAsia="仿宋"/>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dxa"/>
            <w:vAlign w:val="center"/>
          </w:tcPr>
          <w:p>
            <w:pPr>
              <w:spacing w:line="312" w:lineRule="auto"/>
              <w:jc w:val="center"/>
              <w:rPr>
                <w:rFonts w:eastAsia="仿宋"/>
                <w:color w:val="auto"/>
                <w:sz w:val="24"/>
                <w:szCs w:val="22"/>
                <w:highlight w:val="none"/>
              </w:rPr>
            </w:pPr>
          </w:p>
        </w:tc>
        <w:tc>
          <w:tcPr>
            <w:tcW w:w="2819" w:type="dxa"/>
          </w:tcPr>
          <w:p>
            <w:pPr>
              <w:spacing w:line="360" w:lineRule="auto"/>
              <w:rPr>
                <w:rFonts w:eastAsia="仿宋"/>
                <w:color w:val="auto"/>
                <w:sz w:val="24"/>
                <w:szCs w:val="22"/>
                <w:highlight w:val="none"/>
              </w:rPr>
            </w:pPr>
          </w:p>
        </w:tc>
        <w:tc>
          <w:tcPr>
            <w:tcW w:w="2863" w:type="dxa"/>
          </w:tcPr>
          <w:p>
            <w:pPr>
              <w:spacing w:line="360" w:lineRule="auto"/>
              <w:rPr>
                <w:rFonts w:eastAsia="仿宋"/>
                <w:color w:val="auto"/>
                <w:sz w:val="24"/>
                <w:szCs w:val="22"/>
                <w:highlight w:val="none"/>
              </w:rPr>
            </w:pPr>
          </w:p>
        </w:tc>
        <w:tc>
          <w:tcPr>
            <w:tcW w:w="1627" w:type="dxa"/>
          </w:tcPr>
          <w:p>
            <w:pPr>
              <w:spacing w:line="360" w:lineRule="auto"/>
              <w:rPr>
                <w:rFonts w:eastAsia="仿宋"/>
                <w:color w:val="auto"/>
                <w:sz w:val="24"/>
                <w:szCs w:val="22"/>
                <w:highlight w:val="none"/>
              </w:rPr>
            </w:pPr>
          </w:p>
        </w:tc>
        <w:tc>
          <w:tcPr>
            <w:tcW w:w="1096" w:type="dxa"/>
          </w:tcPr>
          <w:p>
            <w:pPr>
              <w:spacing w:line="360" w:lineRule="auto"/>
              <w:rPr>
                <w:rFonts w:eastAsia="仿宋"/>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dxa"/>
            <w:vAlign w:val="center"/>
          </w:tcPr>
          <w:p>
            <w:pPr>
              <w:spacing w:line="312" w:lineRule="auto"/>
              <w:jc w:val="center"/>
              <w:rPr>
                <w:rFonts w:eastAsia="仿宋"/>
                <w:color w:val="auto"/>
                <w:sz w:val="24"/>
                <w:szCs w:val="22"/>
                <w:highlight w:val="none"/>
              </w:rPr>
            </w:pPr>
          </w:p>
        </w:tc>
        <w:tc>
          <w:tcPr>
            <w:tcW w:w="2819" w:type="dxa"/>
          </w:tcPr>
          <w:p>
            <w:pPr>
              <w:spacing w:line="360" w:lineRule="auto"/>
              <w:rPr>
                <w:rFonts w:eastAsia="仿宋"/>
                <w:color w:val="auto"/>
                <w:sz w:val="24"/>
                <w:szCs w:val="22"/>
                <w:highlight w:val="none"/>
              </w:rPr>
            </w:pPr>
          </w:p>
        </w:tc>
        <w:tc>
          <w:tcPr>
            <w:tcW w:w="2863" w:type="dxa"/>
          </w:tcPr>
          <w:p>
            <w:pPr>
              <w:spacing w:line="360" w:lineRule="auto"/>
              <w:rPr>
                <w:rFonts w:eastAsia="仿宋"/>
                <w:color w:val="auto"/>
                <w:sz w:val="24"/>
                <w:szCs w:val="22"/>
                <w:highlight w:val="none"/>
              </w:rPr>
            </w:pPr>
          </w:p>
        </w:tc>
        <w:tc>
          <w:tcPr>
            <w:tcW w:w="1627" w:type="dxa"/>
          </w:tcPr>
          <w:p>
            <w:pPr>
              <w:spacing w:line="360" w:lineRule="auto"/>
              <w:rPr>
                <w:rFonts w:eastAsia="仿宋"/>
                <w:color w:val="auto"/>
                <w:sz w:val="24"/>
                <w:szCs w:val="22"/>
                <w:highlight w:val="none"/>
              </w:rPr>
            </w:pPr>
          </w:p>
        </w:tc>
        <w:tc>
          <w:tcPr>
            <w:tcW w:w="1096" w:type="dxa"/>
          </w:tcPr>
          <w:p>
            <w:pPr>
              <w:spacing w:line="360" w:lineRule="auto"/>
              <w:rPr>
                <w:rFonts w:eastAsia="仿宋"/>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dxa"/>
            <w:vAlign w:val="center"/>
          </w:tcPr>
          <w:p>
            <w:pPr>
              <w:spacing w:line="312" w:lineRule="auto"/>
              <w:jc w:val="center"/>
              <w:rPr>
                <w:rFonts w:eastAsia="仿宋"/>
                <w:color w:val="auto"/>
                <w:sz w:val="24"/>
                <w:szCs w:val="22"/>
                <w:highlight w:val="none"/>
              </w:rPr>
            </w:pPr>
          </w:p>
        </w:tc>
        <w:tc>
          <w:tcPr>
            <w:tcW w:w="2819" w:type="dxa"/>
          </w:tcPr>
          <w:p>
            <w:pPr>
              <w:spacing w:line="360" w:lineRule="auto"/>
              <w:rPr>
                <w:rFonts w:eastAsia="仿宋"/>
                <w:color w:val="auto"/>
                <w:sz w:val="24"/>
                <w:szCs w:val="22"/>
                <w:highlight w:val="none"/>
              </w:rPr>
            </w:pPr>
          </w:p>
        </w:tc>
        <w:tc>
          <w:tcPr>
            <w:tcW w:w="2863" w:type="dxa"/>
          </w:tcPr>
          <w:p>
            <w:pPr>
              <w:spacing w:line="360" w:lineRule="auto"/>
              <w:rPr>
                <w:rFonts w:eastAsia="仿宋"/>
                <w:color w:val="auto"/>
                <w:sz w:val="24"/>
                <w:szCs w:val="22"/>
                <w:highlight w:val="none"/>
              </w:rPr>
            </w:pPr>
          </w:p>
        </w:tc>
        <w:tc>
          <w:tcPr>
            <w:tcW w:w="1627" w:type="dxa"/>
          </w:tcPr>
          <w:p>
            <w:pPr>
              <w:spacing w:line="360" w:lineRule="auto"/>
              <w:rPr>
                <w:rFonts w:eastAsia="仿宋"/>
                <w:color w:val="auto"/>
                <w:sz w:val="24"/>
                <w:szCs w:val="22"/>
                <w:highlight w:val="none"/>
              </w:rPr>
            </w:pPr>
          </w:p>
        </w:tc>
        <w:tc>
          <w:tcPr>
            <w:tcW w:w="1096" w:type="dxa"/>
          </w:tcPr>
          <w:p>
            <w:pPr>
              <w:spacing w:line="360" w:lineRule="auto"/>
              <w:rPr>
                <w:rFonts w:eastAsia="仿宋"/>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dxa"/>
            <w:vAlign w:val="center"/>
          </w:tcPr>
          <w:p>
            <w:pPr>
              <w:spacing w:line="312" w:lineRule="auto"/>
              <w:jc w:val="center"/>
              <w:rPr>
                <w:rFonts w:eastAsia="仿宋"/>
                <w:color w:val="auto"/>
                <w:sz w:val="24"/>
                <w:szCs w:val="22"/>
                <w:highlight w:val="none"/>
              </w:rPr>
            </w:pPr>
          </w:p>
        </w:tc>
        <w:tc>
          <w:tcPr>
            <w:tcW w:w="2819" w:type="dxa"/>
          </w:tcPr>
          <w:p>
            <w:pPr>
              <w:spacing w:line="360" w:lineRule="auto"/>
              <w:rPr>
                <w:rFonts w:eastAsia="仿宋"/>
                <w:color w:val="auto"/>
                <w:sz w:val="24"/>
                <w:szCs w:val="22"/>
                <w:highlight w:val="none"/>
              </w:rPr>
            </w:pPr>
          </w:p>
        </w:tc>
        <w:tc>
          <w:tcPr>
            <w:tcW w:w="2863" w:type="dxa"/>
          </w:tcPr>
          <w:p>
            <w:pPr>
              <w:spacing w:line="360" w:lineRule="auto"/>
              <w:rPr>
                <w:rFonts w:eastAsia="仿宋"/>
                <w:color w:val="auto"/>
                <w:sz w:val="24"/>
                <w:szCs w:val="22"/>
                <w:highlight w:val="none"/>
              </w:rPr>
            </w:pPr>
          </w:p>
        </w:tc>
        <w:tc>
          <w:tcPr>
            <w:tcW w:w="1627" w:type="dxa"/>
          </w:tcPr>
          <w:p>
            <w:pPr>
              <w:spacing w:line="360" w:lineRule="auto"/>
              <w:rPr>
                <w:rFonts w:eastAsia="仿宋"/>
                <w:color w:val="auto"/>
                <w:sz w:val="24"/>
                <w:szCs w:val="22"/>
                <w:highlight w:val="none"/>
              </w:rPr>
            </w:pPr>
          </w:p>
        </w:tc>
        <w:tc>
          <w:tcPr>
            <w:tcW w:w="1096" w:type="dxa"/>
          </w:tcPr>
          <w:p>
            <w:pPr>
              <w:spacing w:line="360" w:lineRule="auto"/>
              <w:rPr>
                <w:rFonts w:eastAsia="仿宋"/>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dxa"/>
            <w:vAlign w:val="center"/>
          </w:tcPr>
          <w:p>
            <w:pPr>
              <w:spacing w:line="312" w:lineRule="auto"/>
              <w:jc w:val="center"/>
              <w:rPr>
                <w:rFonts w:eastAsia="仿宋"/>
                <w:color w:val="auto"/>
                <w:sz w:val="24"/>
                <w:szCs w:val="22"/>
                <w:highlight w:val="none"/>
              </w:rPr>
            </w:pPr>
          </w:p>
        </w:tc>
        <w:tc>
          <w:tcPr>
            <w:tcW w:w="2819" w:type="dxa"/>
          </w:tcPr>
          <w:p>
            <w:pPr>
              <w:spacing w:line="360" w:lineRule="auto"/>
              <w:rPr>
                <w:rFonts w:eastAsia="仿宋"/>
                <w:color w:val="auto"/>
                <w:sz w:val="24"/>
                <w:szCs w:val="22"/>
                <w:highlight w:val="none"/>
              </w:rPr>
            </w:pPr>
          </w:p>
        </w:tc>
        <w:tc>
          <w:tcPr>
            <w:tcW w:w="2863" w:type="dxa"/>
          </w:tcPr>
          <w:p>
            <w:pPr>
              <w:spacing w:line="360" w:lineRule="auto"/>
              <w:rPr>
                <w:rFonts w:eastAsia="仿宋"/>
                <w:color w:val="auto"/>
                <w:sz w:val="24"/>
                <w:szCs w:val="22"/>
                <w:highlight w:val="none"/>
              </w:rPr>
            </w:pPr>
          </w:p>
        </w:tc>
        <w:tc>
          <w:tcPr>
            <w:tcW w:w="1627" w:type="dxa"/>
          </w:tcPr>
          <w:p>
            <w:pPr>
              <w:spacing w:line="360" w:lineRule="auto"/>
              <w:rPr>
                <w:rFonts w:eastAsia="仿宋"/>
                <w:color w:val="auto"/>
                <w:sz w:val="24"/>
                <w:szCs w:val="22"/>
                <w:highlight w:val="none"/>
              </w:rPr>
            </w:pPr>
          </w:p>
        </w:tc>
        <w:tc>
          <w:tcPr>
            <w:tcW w:w="1096" w:type="dxa"/>
          </w:tcPr>
          <w:p>
            <w:pPr>
              <w:spacing w:line="360" w:lineRule="auto"/>
              <w:rPr>
                <w:rFonts w:eastAsia="仿宋"/>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dxa"/>
            <w:vAlign w:val="center"/>
          </w:tcPr>
          <w:p>
            <w:pPr>
              <w:spacing w:line="312" w:lineRule="auto"/>
              <w:jc w:val="center"/>
              <w:rPr>
                <w:rFonts w:eastAsia="仿宋"/>
                <w:color w:val="auto"/>
                <w:sz w:val="24"/>
                <w:szCs w:val="22"/>
                <w:highlight w:val="none"/>
              </w:rPr>
            </w:pPr>
          </w:p>
        </w:tc>
        <w:tc>
          <w:tcPr>
            <w:tcW w:w="2819" w:type="dxa"/>
          </w:tcPr>
          <w:p>
            <w:pPr>
              <w:spacing w:line="360" w:lineRule="auto"/>
              <w:rPr>
                <w:rFonts w:eastAsia="仿宋"/>
                <w:color w:val="auto"/>
                <w:sz w:val="24"/>
                <w:szCs w:val="22"/>
                <w:highlight w:val="none"/>
              </w:rPr>
            </w:pPr>
          </w:p>
        </w:tc>
        <w:tc>
          <w:tcPr>
            <w:tcW w:w="2863" w:type="dxa"/>
          </w:tcPr>
          <w:p>
            <w:pPr>
              <w:spacing w:line="360" w:lineRule="auto"/>
              <w:rPr>
                <w:rFonts w:eastAsia="仿宋"/>
                <w:color w:val="auto"/>
                <w:sz w:val="24"/>
                <w:szCs w:val="22"/>
                <w:highlight w:val="none"/>
              </w:rPr>
            </w:pPr>
          </w:p>
        </w:tc>
        <w:tc>
          <w:tcPr>
            <w:tcW w:w="1627" w:type="dxa"/>
          </w:tcPr>
          <w:p>
            <w:pPr>
              <w:spacing w:line="360" w:lineRule="auto"/>
              <w:rPr>
                <w:rFonts w:eastAsia="仿宋"/>
                <w:color w:val="auto"/>
                <w:sz w:val="24"/>
                <w:szCs w:val="22"/>
                <w:highlight w:val="none"/>
              </w:rPr>
            </w:pPr>
          </w:p>
        </w:tc>
        <w:tc>
          <w:tcPr>
            <w:tcW w:w="1096" w:type="dxa"/>
          </w:tcPr>
          <w:p>
            <w:pPr>
              <w:spacing w:line="360" w:lineRule="auto"/>
              <w:rPr>
                <w:rFonts w:eastAsia="仿宋"/>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dxa"/>
            <w:vAlign w:val="center"/>
          </w:tcPr>
          <w:p>
            <w:pPr>
              <w:spacing w:line="312" w:lineRule="auto"/>
              <w:jc w:val="center"/>
              <w:rPr>
                <w:rFonts w:eastAsia="仿宋"/>
                <w:color w:val="auto"/>
                <w:sz w:val="24"/>
                <w:szCs w:val="22"/>
                <w:highlight w:val="none"/>
              </w:rPr>
            </w:pPr>
          </w:p>
        </w:tc>
        <w:tc>
          <w:tcPr>
            <w:tcW w:w="2819" w:type="dxa"/>
          </w:tcPr>
          <w:p>
            <w:pPr>
              <w:spacing w:line="360" w:lineRule="auto"/>
              <w:rPr>
                <w:rFonts w:eastAsia="仿宋"/>
                <w:color w:val="auto"/>
                <w:sz w:val="24"/>
                <w:szCs w:val="22"/>
                <w:highlight w:val="none"/>
              </w:rPr>
            </w:pPr>
          </w:p>
        </w:tc>
        <w:tc>
          <w:tcPr>
            <w:tcW w:w="2863" w:type="dxa"/>
          </w:tcPr>
          <w:p>
            <w:pPr>
              <w:spacing w:line="360" w:lineRule="auto"/>
              <w:rPr>
                <w:rFonts w:eastAsia="仿宋"/>
                <w:color w:val="auto"/>
                <w:sz w:val="24"/>
                <w:szCs w:val="22"/>
                <w:highlight w:val="none"/>
              </w:rPr>
            </w:pPr>
          </w:p>
        </w:tc>
        <w:tc>
          <w:tcPr>
            <w:tcW w:w="1627" w:type="dxa"/>
          </w:tcPr>
          <w:p>
            <w:pPr>
              <w:spacing w:line="360" w:lineRule="auto"/>
              <w:rPr>
                <w:rFonts w:eastAsia="仿宋"/>
                <w:color w:val="auto"/>
                <w:sz w:val="24"/>
                <w:szCs w:val="22"/>
                <w:highlight w:val="none"/>
              </w:rPr>
            </w:pPr>
          </w:p>
        </w:tc>
        <w:tc>
          <w:tcPr>
            <w:tcW w:w="1096" w:type="dxa"/>
          </w:tcPr>
          <w:p>
            <w:pPr>
              <w:spacing w:line="360" w:lineRule="auto"/>
              <w:rPr>
                <w:rFonts w:eastAsia="仿宋"/>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dxa"/>
            <w:vAlign w:val="center"/>
          </w:tcPr>
          <w:p>
            <w:pPr>
              <w:spacing w:line="312" w:lineRule="auto"/>
              <w:jc w:val="center"/>
              <w:rPr>
                <w:rFonts w:eastAsia="仿宋"/>
                <w:color w:val="auto"/>
                <w:sz w:val="24"/>
                <w:szCs w:val="22"/>
                <w:highlight w:val="none"/>
              </w:rPr>
            </w:pPr>
          </w:p>
        </w:tc>
        <w:tc>
          <w:tcPr>
            <w:tcW w:w="2819" w:type="dxa"/>
          </w:tcPr>
          <w:p>
            <w:pPr>
              <w:spacing w:line="360" w:lineRule="auto"/>
              <w:rPr>
                <w:rFonts w:eastAsia="仿宋"/>
                <w:color w:val="auto"/>
                <w:sz w:val="24"/>
                <w:szCs w:val="22"/>
                <w:highlight w:val="none"/>
              </w:rPr>
            </w:pPr>
          </w:p>
        </w:tc>
        <w:tc>
          <w:tcPr>
            <w:tcW w:w="2863" w:type="dxa"/>
          </w:tcPr>
          <w:p>
            <w:pPr>
              <w:spacing w:line="360" w:lineRule="auto"/>
              <w:rPr>
                <w:rFonts w:eastAsia="仿宋"/>
                <w:color w:val="auto"/>
                <w:sz w:val="24"/>
                <w:szCs w:val="22"/>
                <w:highlight w:val="none"/>
              </w:rPr>
            </w:pPr>
          </w:p>
        </w:tc>
        <w:tc>
          <w:tcPr>
            <w:tcW w:w="1627" w:type="dxa"/>
          </w:tcPr>
          <w:p>
            <w:pPr>
              <w:spacing w:line="360" w:lineRule="auto"/>
              <w:rPr>
                <w:rFonts w:eastAsia="仿宋"/>
                <w:color w:val="auto"/>
                <w:sz w:val="24"/>
                <w:szCs w:val="22"/>
                <w:highlight w:val="none"/>
              </w:rPr>
            </w:pPr>
          </w:p>
        </w:tc>
        <w:tc>
          <w:tcPr>
            <w:tcW w:w="1096" w:type="dxa"/>
          </w:tcPr>
          <w:p>
            <w:pPr>
              <w:spacing w:line="360" w:lineRule="auto"/>
              <w:rPr>
                <w:rFonts w:eastAsia="仿宋"/>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dxa"/>
            <w:vAlign w:val="center"/>
          </w:tcPr>
          <w:p>
            <w:pPr>
              <w:spacing w:line="312" w:lineRule="auto"/>
              <w:jc w:val="center"/>
              <w:rPr>
                <w:rFonts w:eastAsia="仿宋"/>
                <w:color w:val="auto"/>
                <w:sz w:val="24"/>
                <w:szCs w:val="22"/>
                <w:highlight w:val="none"/>
              </w:rPr>
            </w:pPr>
          </w:p>
        </w:tc>
        <w:tc>
          <w:tcPr>
            <w:tcW w:w="2819" w:type="dxa"/>
          </w:tcPr>
          <w:p>
            <w:pPr>
              <w:spacing w:line="360" w:lineRule="auto"/>
              <w:rPr>
                <w:rFonts w:eastAsia="仿宋"/>
                <w:color w:val="auto"/>
                <w:sz w:val="24"/>
                <w:szCs w:val="22"/>
                <w:highlight w:val="none"/>
              </w:rPr>
            </w:pPr>
          </w:p>
        </w:tc>
        <w:tc>
          <w:tcPr>
            <w:tcW w:w="2863" w:type="dxa"/>
          </w:tcPr>
          <w:p>
            <w:pPr>
              <w:spacing w:line="360" w:lineRule="auto"/>
              <w:rPr>
                <w:rFonts w:eastAsia="仿宋"/>
                <w:color w:val="auto"/>
                <w:sz w:val="24"/>
                <w:szCs w:val="22"/>
                <w:highlight w:val="none"/>
              </w:rPr>
            </w:pPr>
          </w:p>
        </w:tc>
        <w:tc>
          <w:tcPr>
            <w:tcW w:w="1627" w:type="dxa"/>
          </w:tcPr>
          <w:p>
            <w:pPr>
              <w:spacing w:line="360" w:lineRule="auto"/>
              <w:rPr>
                <w:rFonts w:eastAsia="仿宋"/>
                <w:color w:val="auto"/>
                <w:sz w:val="24"/>
                <w:szCs w:val="22"/>
                <w:highlight w:val="none"/>
              </w:rPr>
            </w:pPr>
          </w:p>
        </w:tc>
        <w:tc>
          <w:tcPr>
            <w:tcW w:w="1096" w:type="dxa"/>
          </w:tcPr>
          <w:p>
            <w:pPr>
              <w:spacing w:line="360" w:lineRule="auto"/>
              <w:rPr>
                <w:rFonts w:eastAsia="仿宋"/>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dxa"/>
            <w:vAlign w:val="center"/>
          </w:tcPr>
          <w:p>
            <w:pPr>
              <w:spacing w:line="312" w:lineRule="auto"/>
              <w:jc w:val="center"/>
              <w:rPr>
                <w:rFonts w:eastAsia="仿宋"/>
                <w:color w:val="auto"/>
                <w:sz w:val="24"/>
                <w:szCs w:val="22"/>
                <w:highlight w:val="none"/>
              </w:rPr>
            </w:pPr>
          </w:p>
        </w:tc>
        <w:tc>
          <w:tcPr>
            <w:tcW w:w="2819" w:type="dxa"/>
          </w:tcPr>
          <w:p>
            <w:pPr>
              <w:spacing w:line="360" w:lineRule="auto"/>
              <w:rPr>
                <w:rFonts w:eastAsia="仿宋"/>
                <w:color w:val="auto"/>
                <w:sz w:val="24"/>
                <w:szCs w:val="22"/>
                <w:highlight w:val="none"/>
              </w:rPr>
            </w:pPr>
          </w:p>
        </w:tc>
        <w:tc>
          <w:tcPr>
            <w:tcW w:w="2863" w:type="dxa"/>
          </w:tcPr>
          <w:p>
            <w:pPr>
              <w:spacing w:line="360" w:lineRule="auto"/>
              <w:rPr>
                <w:rFonts w:eastAsia="仿宋"/>
                <w:color w:val="auto"/>
                <w:sz w:val="24"/>
                <w:szCs w:val="22"/>
                <w:highlight w:val="none"/>
              </w:rPr>
            </w:pPr>
          </w:p>
        </w:tc>
        <w:tc>
          <w:tcPr>
            <w:tcW w:w="1627" w:type="dxa"/>
          </w:tcPr>
          <w:p>
            <w:pPr>
              <w:spacing w:line="360" w:lineRule="auto"/>
              <w:rPr>
                <w:rFonts w:eastAsia="仿宋"/>
                <w:color w:val="auto"/>
                <w:sz w:val="24"/>
                <w:szCs w:val="22"/>
                <w:highlight w:val="none"/>
              </w:rPr>
            </w:pPr>
          </w:p>
        </w:tc>
        <w:tc>
          <w:tcPr>
            <w:tcW w:w="1096" w:type="dxa"/>
          </w:tcPr>
          <w:p>
            <w:pPr>
              <w:spacing w:line="360" w:lineRule="auto"/>
              <w:rPr>
                <w:rFonts w:eastAsia="仿宋"/>
                <w:color w:val="auto"/>
                <w:sz w:val="24"/>
                <w:szCs w:val="22"/>
                <w:highlight w:val="none"/>
              </w:rPr>
            </w:pPr>
          </w:p>
        </w:tc>
      </w:tr>
    </w:tbl>
    <w:p>
      <w:pPr>
        <w:spacing w:line="400" w:lineRule="exact"/>
        <w:rPr>
          <w:rFonts w:eastAsia="仿宋"/>
          <w:b/>
          <w:color w:val="auto"/>
          <w:sz w:val="24"/>
          <w:szCs w:val="24"/>
          <w:highlight w:val="none"/>
        </w:rPr>
      </w:pPr>
      <w:r>
        <w:rPr>
          <w:rFonts w:eastAsia="仿宋"/>
          <w:b/>
          <w:color w:val="auto"/>
          <w:sz w:val="24"/>
          <w:szCs w:val="24"/>
          <w:highlight w:val="none"/>
        </w:rPr>
        <w:t>注：</w:t>
      </w:r>
      <w:r>
        <w:rPr>
          <w:rFonts w:hint="eastAsia" w:ascii="宋体" w:hAnsi="宋体" w:cs="宋体"/>
          <w:b/>
          <w:color w:val="auto"/>
          <w:sz w:val="24"/>
          <w:szCs w:val="24"/>
          <w:highlight w:val="none"/>
        </w:rPr>
        <w:t>⑴</w:t>
      </w:r>
      <w:r>
        <w:rPr>
          <w:rFonts w:hint="eastAsia" w:eastAsia="仿宋"/>
          <w:b/>
          <w:color w:val="auto"/>
          <w:sz w:val="24"/>
          <w:szCs w:val="24"/>
          <w:highlight w:val="none"/>
          <w:lang w:eastAsia="zh-CN"/>
        </w:rPr>
        <w:t>“</w:t>
      </w:r>
      <w:r>
        <w:rPr>
          <w:rFonts w:eastAsia="仿宋"/>
          <w:b/>
          <w:color w:val="auto"/>
          <w:sz w:val="24"/>
          <w:szCs w:val="24"/>
          <w:highlight w:val="none"/>
        </w:rPr>
        <w:t>投标文件响应技术条款</w:t>
      </w:r>
      <w:r>
        <w:rPr>
          <w:rFonts w:hint="eastAsia" w:eastAsia="仿宋"/>
          <w:b/>
          <w:color w:val="auto"/>
          <w:sz w:val="24"/>
          <w:szCs w:val="24"/>
          <w:highlight w:val="none"/>
          <w:lang w:eastAsia="zh-CN"/>
        </w:rPr>
        <w:t>”</w:t>
      </w:r>
      <w:r>
        <w:rPr>
          <w:rFonts w:eastAsia="仿宋"/>
          <w:b/>
          <w:color w:val="auto"/>
          <w:sz w:val="24"/>
          <w:szCs w:val="24"/>
          <w:highlight w:val="none"/>
        </w:rPr>
        <w:t>一栏中对应</w:t>
      </w:r>
      <w:r>
        <w:rPr>
          <w:rFonts w:hint="eastAsia" w:eastAsia="仿宋"/>
          <w:b/>
          <w:color w:val="auto"/>
          <w:sz w:val="24"/>
          <w:szCs w:val="24"/>
          <w:highlight w:val="none"/>
          <w:lang w:eastAsia="zh-CN"/>
        </w:rPr>
        <w:t>“</w:t>
      </w:r>
      <w:r>
        <w:rPr>
          <w:rFonts w:eastAsia="仿宋"/>
          <w:b/>
          <w:color w:val="auto"/>
          <w:sz w:val="24"/>
          <w:szCs w:val="24"/>
          <w:highlight w:val="none"/>
        </w:rPr>
        <w:t>招标文件技术条款</w:t>
      </w:r>
      <w:r>
        <w:rPr>
          <w:rFonts w:hint="eastAsia" w:eastAsia="仿宋"/>
          <w:b/>
          <w:color w:val="auto"/>
          <w:sz w:val="24"/>
          <w:szCs w:val="24"/>
          <w:highlight w:val="none"/>
          <w:lang w:eastAsia="zh-CN"/>
        </w:rPr>
        <w:t>”</w:t>
      </w:r>
      <w:r>
        <w:rPr>
          <w:rFonts w:eastAsia="仿宋"/>
          <w:b/>
          <w:color w:val="auto"/>
          <w:sz w:val="24"/>
          <w:szCs w:val="24"/>
          <w:highlight w:val="none"/>
        </w:rPr>
        <w:t>中内容。</w:t>
      </w:r>
      <w:r>
        <w:rPr>
          <w:rFonts w:hint="eastAsia" w:eastAsia="仿宋"/>
          <w:b/>
          <w:color w:val="auto"/>
          <w:sz w:val="24"/>
          <w:szCs w:val="24"/>
          <w:highlight w:val="none"/>
          <w:lang w:eastAsia="zh-CN"/>
        </w:rPr>
        <w:t>“</w:t>
      </w:r>
      <w:r>
        <w:rPr>
          <w:rFonts w:eastAsia="仿宋"/>
          <w:b/>
          <w:color w:val="auto"/>
          <w:sz w:val="24"/>
          <w:szCs w:val="24"/>
          <w:highlight w:val="none"/>
        </w:rPr>
        <w:t>招标文件技术条款</w:t>
      </w:r>
      <w:r>
        <w:rPr>
          <w:rFonts w:hint="eastAsia" w:eastAsia="仿宋"/>
          <w:b/>
          <w:color w:val="auto"/>
          <w:sz w:val="24"/>
          <w:szCs w:val="24"/>
          <w:highlight w:val="none"/>
          <w:lang w:eastAsia="zh-CN"/>
        </w:rPr>
        <w:t>”</w:t>
      </w:r>
      <w:r>
        <w:rPr>
          <w:rFonts w:eastAsia="仿宋"/>
          <w:b/>
          <w:color w:val="auto"/>
          <w:sz w:val="24"/>
          <w:szCs w:val="24"/>
          <w:highlight w:val="none"/>
        </w:rPr>
        <w:t>详见</w:t>
      </w:r>
      <w:r>
        <w:rPr>
          <w:rFonts w:hint="eastAsia" w:eastAsia="仿宋"/>
          <w:b/>
          <w:color w:val="auto"/>
          <w:sz w:val="24"/>
          <w:szCs w:val="24"/>
          <w:highlight w:val="none"/>
          <w:lang w:eastAsia="zh-CN"/>
        </w:rPr>
        <w:t>“</w:t>
      </w:r>
      <w:r>
        <w:rPr>
          <w:rFonts w:eastAsia="仿宋"/>
          <w:b/>
          <w:color w:val="auto"/>
          <w:sz w:val="24"/>
          <w:szCs w:val="24"/>
          <w:highlight w:val="none"/>
        </w:rPr>
        <w:t>招标文件~第五章~招标项目需求~技术要求</w:t>
      </w:r>
      <w:r>
        <w:rPr>
          <w:rFonts w:hint="eastAsia" w:eastAsia="仿宋"/>
          <w:b/>
          <w:color w:val="auto"/>
          <w:sz w:val="24"/>
          <w:szCs w:val="24"/>
          <w:highlight w:val="none"/>
          <w:lang w:eastAsia="zh-CN"/>
        </w:rPr>
        <w:t>”</w:t>
      </w:r>
      <w:r>
        <w:rPr>
          <w:rFonts w:eastAsia="仿宋"/>
          <w:b/>
          <w:color w:val="auto"/>
          <w:sz w:val="24"/>
          <w:szCs w:val="24"/>
          <w:highlight w:val="none"/>
        </w:rPr>
        <w:t>。</w:t>
      </w:r>
    </w:p>
    <w:p>
      <w:pPr>
        <w:spacing w:line="400" w:lineRule="exact"/>
        <w:ind w:firstLine="482" w:firstLineChars="200"/>
        <w:rPr>
          <w:rFonts w:eastAsia="仿宋"/>
          <w:b/>
          <w:color w:val="auto"/>
          <w:sz w:val="24"/>
          <w:szCs w:val="24"/>
          <w:highlight w:val="none"/>
        </w:rPr>
      </w:pPr>
      <w:r>
        <w:rPr>
          <w:rFonts w:hint="eastAsia" w:ascii="宋体" w:hAnsi="宋体" w:cs="宋体"/>
          <w:b/>
          <w:color w:val="auto"/>
          <w:sz w:val="24"/>
          <w:szCs w:val="24"/>
          <w:highlight w:val="none"/>
        </w:rPr>
        <w:t>⑵</w:t>
      </w:r>
      <w:r>
        <w:rPr>
          <w:rFonts w:hint="eastAsia" w:eastAsia="仿宋"/>
          <w:b/>
          <w:color w:val="auto"/>
          <w:sz w:val="24"/>
          <w:szCs w:val="24"/>
          <w:highlight w:val="none"/>
          <w:lang w:eastAsia="zh-CN"/>
        </w:rPr>
        <w:t>“</w:t>
      </w:r>
      <w:r>
        <w:rPr>
          <w:rFonts w:eastAsia="仿宋"/>
          <w:b/>
          <w:color w:val="auto"/>
          <w:sz w:val="24"/>
          <w:szCs w:val="24"/>
          <w:highlight w:val="none"/>
        </w:rPr>
        <w:t>响应/偏离</w:t>
      </w:r>
      <w:r>
        <w:rPr>
          <w:rFonts w:hint="eastAsia" w:eastAsia="仿宋"/>
          <w:b/>
          <w:color w:val="auto"/>
          <w:sz w:val="24"/>
          <w:szCs w:val="24"/>
          <w:highlight w:val="none"/>
          <w:lang w:eastAsia="zh-CN"/>
        </w:rPr>
        <w:t>”</w:t>
      </w:r>
      <w:r>
        <w:rPr>
          <w:rFonts w:eastAsia="仿宋"/>
          <w:b/>
          <w:color w:val="auto"/>
          <w:sz w:val="24"/>
          <w:szCs w:val="24"/>
          <w:highlight w:val="none"/>
        </w:rPr>
        <w:t>一栏中写</w:t>
      </w:r>
      <w:r>
        <w:rPr>
          <w:rFonts w:hint="eastAsia" w:eastAsia="仿宋"/>
          <w:b/>
          <w:color w:val="auto"/>
          <w:sz w:val="24"/>
          <w:szCs w:val="24"/>
          <w:highlight w:val="none"/>
          <w:lang w:eastAsia="zh-CN"/>
        </w:rPr>
        <w:t>“</w:t>
      </w:r>
      <w:r>
        <w:rPr>
          <w:rFonts w:eastAsia="仿宋"/>
          <w:b/>
          <w:color w:val="auto"/>
          <w:sz w:val="24"/>
          <w:szCs w:val="24"/>
          <w:highlight w:val="none"/>
        </w:rPr>
        <w:t>完全响应</w:t>
      </w:r>
      <w:r>
        <w:rPr>
          <w:rFonts w:hint="eastAsia" w:eastAsia="仿宋"/>
          <w:b/>
          <w:color w:val="auto"/>
          <w:sz w:val="24"/>
          <w:szCs w:val="24"/>
          <w:highlight w:val="none"/>
          <w:lang w:eastAsia="zh-CN"/>
        </w:rPr>
        <w:t>”</w:t>
      </w:r>
      <w:r>
        <w:rPr>
          <w:rFonts w:eastAsia="仿宋"/>
          <w:b/>
          <w:color w:val="auto"/>
          <w:sz w:val="24"/>
          <w:szCs w:val="24"/>
          <w:highlight w:val="none"/>
        </w:rPr>
        <w:t>或者</w:t>
      </w:r>
      <w:r>
        <w:rPr>
          <w:rFonts w:hint="eastAsia" w:eastAsia="仿宋"/>
          <w:b/>
          <w:color w:val="auto"/>
          <w:sz w:val="24"/>
          <w:szCs w:val="24"/>
          <w:highlight w:val="none"/>
          <w:lang w:eastAsia="zh-CN"/>
        </w:rPr>
        <w:t>“</w:t>
      </w:r>
      <w:r>
        <w:rPr>
          <w:rFonts w:eastAsia="仿宋"/>
          <w:b/>
          <w:color w:val="auto"/>
          <w:sz w:val="24"/>
          <w:szCs w:val="24"/>
          <w:highlight w:val="none"/>
        </w:rPr>
        <w:t>正（负）偏离</w:t>
      </w:r>
      <w:r>
        <w:rPr>
          <w:rFonts w:hint="eastAsia" w:eastAsia="仿宋"/>
          <w:b/>
          <w:color w:val="auto"/>
          <w:sz w:val="24"/>
          <w:szCs w:val="24"/>
          <w:highlight w:val="none"/>
          <w:lang w:eastAsia="zh-CN"/>
        </w:rPr>
        <w:t>”</w:t>
      </w:r>
      <w:r>
        <w:rPr>
          <w:rFonts w:eastAsia="仿宋"/>
          <w:b/>
          <w:color w:val="auto"/>
          <w:sz w:val="24"/>
          <w:szCs w:val="24"/>
          <w:highlight w:val="none"/>
        </w:rPr>
        <w:t>，如</w:t>
      </w:r>
      <w:r>
        <w:rPr>
          <w:rFonts w:hint="eastAsia" w:eastAsia="仿宋"/>
          <w:b/>
          <w:color w:val="auto"/>
          <w:sz w:val="24"/>
          <w:szCs w:val="24"/>
          <w:highlight w:val="none"/>
          <w:lang w:eastAsia="zh-CN"/>
        </w:rPr>
        <w:t>“</w:t>
      </w:r>
      <w:r>
        <w:rPr>
          <w:rFonts w:eastAsia="仿宋"/>
          <w:b/>
          <w:color w:val="auto"/>
          <w:sz w:val="24"/>
          <w:szCs w:val="24"/>
          <w:highlight w:val="none"/>
        </w:rPr>
        <w:t>正（负）偏离</w:t>
      </w:r>
      <w:r>
        <w:rPr>
          <w:rFonts w:hint="eastAsia" w:eastAsia="仿宋"/>
          <w:b/>
          <w:color w:val="auto"/>
          <w:sz w:val="24"/>
          <w:szCs w:val="24"/>
          <w:highlight w:val="none"/>
          <w:lang w:eastAsia="zh-CN"/>
        </w:rPr>
        <w:t>”</w:t>
      </w:r>
      <w:r>
        <w:rPr>
          <w:rFonts w:eastAsia="仿宋"/>
          <w:b/>
          <w:color w:val="auto"/>
          <w:sz w:val="24"/>
          <w:szCs w:val="24"/>
          <w:highlight w:val="none"/>
        </w:rPr>
        <w:t>，</w:t>
      </w:r>
      <w:r>
        <w:rPr>
          <w:rFonts w:hint="eastAsia" w:eastAsia="仿宋"/>
          <w:b/>
          <w:color w:val="auto"/>
          <w:sz w:val="24"/>
          <w:szCs w:val="24"/>
          <w:highlight w:val="none"/>
          <w:lang w:val="en-US" w:eastAsia="zh-CN"/>
        </w:rPr>
        <w:t>须</w:t>
      </w:r>
      <w:r>
        <w:rPr>
          <w:rFonts w:eastAsia="仿宋"/>
          <w:b/>
          <w:color w:val="auto"/>
          <w:sz w:val="24"/>
          <w:szCs w:val="24"/>
          <w:highlight w:val="none"/>
        </w:rPr>
        <w:t>在</w:t>
      </w:r>
      <w:r>
        <w:rPr>
          <w:rFonts w:hint="eastAsia" w:eastAsia="仿宋"/>
          <w:b/>
          <w:color w:val="auto"/>
          <w:sz w:val="24"/>
          <w:szCs w:val="24"/>
          <w:highlight w:val="none"/>
          <w:lang w:eastAsia="zh-CN"/>
        </w:rPr>
        <w:t>“</w:t>
      </w:r>
      <w:r>
        <w:rPr>
          <w:rFonts w:eastAsia="仿宋"/>
          <w:b/>
          <w:color w:val="auto"/>
          <w:sz w:val="24"/>
          <w:szCs w:val="24"/>
          <w:highlight w:val="none"/>
        </w:rPr>
        <w:t>说明</w:t>
      </w:r>
      <w:r>
        <w:rPr>
          <w:rFonts w:hint="eastAsia" w:eastAsia="仿宋"/>
          <w:b/>
          <w:color w:val="auto"/>
          <w:sz w:val="24"/>
          <w:szCs w:val="24"/>
          <w:highlight w:val="none"/>
          <w:lang w:eastAsia="zh-CN"/>
        </w:rPr>
        <w:t>”</w:t>
      </w:r>
      <w:r>
        <w:rPr>
          <w:rFonts w:eastAsia="仿宋"/>
          <w:b/>
          <w:color w:val="auto"/>
          <w:sz w:val="24"/>
          <w:szCs w:val="24"/>
          <w:highlight w:val="none"/>
        </w:rPr>
        <w:t>一栏中说明情况</w:t>
      </w:r>
      <w:r>
        <w:rPr>
          <w:rFonts w:hint="eastAsia" w:eastAsia="仿宋"/>
          <w:b/>
          <w:color w:val="auto"/>
          <w:sz w:val="24"/>
          <w:szCs w:val="24"/>
          <w:highlight w:val="none"/>
          <w:lang w:val="en-US" w:eastAsia="zh-CN"/>
        </w:rPr>
        <w:t>并标明技术支撑文件的页码</w:t>
      </w:r>
      <w:r>
        <w:rPr>
          <w:rFonts w:eastAsia="仿宋"/>
          <w:b/>
          <w:color w:val="auto"/>
          <w:sz w:val="24"/>
          <w:szCs w:val="24"/>
          <w:highlight w:val="none"/>
        </w:rPr>
        <w:t>。</w:t>
      </w:r>
    </w:p>
    <w:p>
      <w:pPr>
        <w:spacing w:line="400" w:lineRule="exact"/>
        <w:ind w:firstLine="482" w:firstLineChars="200"/>
        <w:rPr>
          <w:rFonts w:eastAsia="仿宋"/>
          <w:b/>
          <w:color w:val="auto"/>
          <w:sz w:val="24"/>
          <w:szCs w:val="24"/>
          <w:highlight w:val="none"/>
        </w:rPr>
      </w:pPr>
      <w:r>
        <w:rPr>
          <w:rFonts w:hint="eastAsia" w:ascii="宋体" w:hAnsi="宋体" w:cs="宋体"/>
          <w:b/>
          <w:color w:val="auto"/>
          <w:sz w:val="24"/>
          <w:szCs w:val="24"/>
          <w:highlight w:val="none"/>
        </w:rPr>
        <w:t>⑶</w:t>
      </w:r>
      <w:r>
        <w:rPr>
          <w:rFonts w:eastAsia="仿宋"/>
          <w:b/>
          <w:color w:val="auto"/>
          <w:sz w:val="24"/>
          <w:szCs w:val="24"/>
          <w:highlight w:val="none"/>
        </w:rPr>
        <w:t>投标人不按上述表格填写，所产生的一切后果由投标人承担。</w:t>
      </w:r>
    </w:p>
    <w:p>
      <w:pPr>
        <w:spacing w:line="460" w:lineRule="exact"/>
        <w:rPr>
          <w:rFonts w:eastAsia="仿宋"/>
          <w:color w:val="auto"/>
          <w:sz w:val="24"/>
          <w:highlight w:val="none"/>
        </w:rPr>
      </w:pPr>
      <w:bookmarkStart w:id="320" w:name="_Toc399344499"/>
      <w:bookmarkStart w:id="321" w:name="_Toc400631660"/>
      <w:bookmarkStart w:id="322" w:name="_Toc399344126"/>
    </w:p>
    <w:p>
      <w:pPr>
        <w:spacing w:line="460" w:lineRule="exact"/>
        <w:ind w:left="690"/>
        <w:rPr>
          <w:rFonts w:eastAsia="仿宋"/>
          <w:color w:val="auto"/>
          <w:sz w:val="24"/>
          <w:highlight w:val="none"/>
        </w:rPr>
      </w:pPr>
      <w:r>
        <w:rPr>
          <w:rFonts w:eastAsia="仿宋"/>
          <w:color w:val="auto"/>
          <w:sz w:val="24"/>
          <w:highlight w:val="none"/>
        </w:rPr>
        <w:t>投标人名称： （加盖公章）</w:t>
      </w:r>
    </w:p>
    <w:p>
      <w:pPr>
        <w:spacing w:line="460" w:lineRule="exact"/>
        <w:ind w:left="690"/>
        <w:rPr>
          <w:rFonts w:eastAsia="仿宋"/>
          <w:color w:val="auto"/>
          <w:sz w:val="24"/>
          <w:highlight w:val="none"/>
        </w:rPr>
      </w:pPr>
      <w:r>
        <w:rPr>
          <w:rFonts w:eastAsia="仿宋"/>
          <w:color w:val="auto"/>
          <w:sz w:val="24"/>
          <w:highlight w:val="none"/>
        </w:rPr>
        <w:t>法定代表人（或授权代表）签字（或签章）：</w:t>
      </w:r>
    </w:p>
    <w:p>
      <w:pPr>
        <w:spacing w:line="460" w:lineRule="exact"/>
        <w:ind w:firstLine="720" w:firstLineChars="300"/>
        <w:jc w:val="left"/>
        <w:rPr>
          <w:rFonts w:eastAsia="仿宋"/>
          <w:color w:val="auto"/>
          <w:sz w:val="24"/>
          <w:highlight w:val="none"/>
        </w:rPr>
      </w:pPr>
      <w:r>
        <w:rPr>
          <w:rFonts w:eastAsia="仿宋"/>
          <w:color w:val="auto"/>
          <w:sz w:val="24"/>
          <w:highlight w:val="none"/>
        </w:rPr>
        <w:t>日期：</w:t>
      </w:r>
    </w:p>
    <w:p>
      <w:pPr>
        <w:spacing w:line="560" w:lineRule="exact"/>
        <w:jc w:val="center"/>
        <w:outlineLvl w:val="1"/>
        <w:rPr>
          <w:rFonts w:eastAsia="仿宋"/>
          <w:b/>
          <w:bCs/>
          <w:snapToGrid w:val="0"/>
          <w:color w:val="auto"/>
          <w:kern w:val="0"/>
          <w:sz w:val="28"/>
          <w:szCs w:val="28"/>
          <w:highlight w:val="none"/>
        </w:rPr>
      </w:pPr>
      <w:r>
        <w:rPr>
          <w:rFonts w:eastAsia="仿宋"/>
          <w:b/>
          <w:color w:val="auto"/>
          <w:sz w:val="24"/>
          <w:highlight w:val="none"/>
        </w:rPr>
        <w:br w:type="page"/>
      </w:r>
      <w:bookmarkStart w:id="323" w:name="_Toc23397"/>
      <w:bookmarkStart w:id="324" w:name="_Toc5625"/>
      <w:bookmarkStart w:id="325" w:name="_Toc18418"/>
      <w:bookmarkStart w:id="326" w:name="_Toc15553"/>
      <w:bookmarkStart w:id="327" w:name="_Toc13208"/>
      <w:bookmarkStart w:id="328" w:name="_Toc27379"/>
      <w:bookmarkStart w:id="329" w:name="_Toc111018952"/>
      <w:bookmarkStart w:id="330" w:name="_Toc19092"/>
      <w:bookmarkStart w:id="331" w:name="_Toc140"/>
      <w:r>
        <w:rPr>
          <w:rFonts w:eastAsia="仿宋"/>
          <w:b/>
          <w:bCs/>
          <w:snapToGrid w:val="0"/>
          <w:color w:val="auto"/>
          <w:kern w:val="0"/>
          <w:sz w:val="28"/>
          <w:szCs w:val="28"/>
          <w:highlight w:val="none"/>
        </w:rPr>
        <w:t>五、商务条款响应表</w:t>
      </w:r>
      <w:bookmarkEnd w:id="320"/>
      <w:bookmarkEnd w:id="321"/>
      <w:bookmarkEnd w:id="322"/>
      <w:bookmarkEnd w:id="323"/>
      <w:bookmarkEnd w:id="324"/>
      <w:bookmarkEnd w:id="325"/>
      <w:bookmarkEnd w:id="326"/>
      <w:bookmarkEnd w:id="327"/>
      <w:bookmarkEnd w:id="328"/>
      <w:bookmarkEnd w:id="329"/>
      <w:bookmarkEnd w:id="330"/>
      <w:bookmarkEnd w:id="331"/>
    </w:p>
    <w:p>
      <w:pPr>
        <w:spacing w:line="400" w:lineRule="exact"/>
        <w:rPr>
          <w:color w:val="auto"/>
          <w:highlight w:val="none"/>
        </w:rPr>
      </w:pPr>
    </w:p>
    <w:p>
      <w:pPr>
        <w:spacing w:line="360" w:lineRule="auto"/>
        <w:rPr>
          <w:rFonts w:eastAsia="仿宋"/>
          <w:color w:val="auto"/>
          <w:sz w:val="24"/>
          <w:highlight w:val="none"/>
        </w:rPr>
      </w:pPr>
      <w:r>
        <w:rPr>
          <w:rFonts w:eastAsia="仿宋"/>
          <w:color w:val="auto"/>
          <w:sz w:val="24"/>
          <w:highlight w:val="none"/>
        </w:rPr>
        <w:t>投标人名称：                                         项目编号：</w:t>
      </w:r>
    </w:p>
    <w:p>
      <w:pPr>
        <w:spacing w:line="360" w:lineRule="auto"/>
        <w:rPr>
          <w:rFonts w:eastAsia="仿宋"/>
          <w:color w:val="auto"/>
          <w:sz w:val="24"/>
          <w:highlight w:val="none"/>
        </w:rPr>
      </w:pPr>
      <w:r>
        <w:rPr>
          <w:rFonts w:eastAsia="仿宋"/>
          <w:color w:val="auto"/>
          <w:sz w:val="24"/>
          <w:highlight w:val="none"/>
        </w:rPr>
        <w:t>包号：</w:t>
      </w:r>
    </w:p>
    <w:tbl>
      <w:tblPr>
        <w:tblStyle w:val="42"/>
        <w:tblW w:w="92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9"/>
        <w:gridCol w:w="2553"/>
        <w:gridCol w:w="2686"/>
        <w:gridCol w:w="1842"/>
        <w:gridCol w:w="9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Align w:val="center"/>
          </w:tcPr>
          <w:p>
            <w:pPr>
              <w:spacing w:line="360" w:lineRule="auto"/>
              <w:jc w:val="center"/>
              <w:rPr>
                <w:rFonts w:eastAsia="仿宋"/>
                <w:color w:val="auto"/>
                <w:sz w:val="24"/>
                <w:szCs w:val="22"/>
                <w:highlight w:val="none"/>
              </w:rPr>
            </w:pPr>
            <w:r>
              <w:rPr>
                <w:rFonts w:eastAsia="仿宋"/>
                <w:color w:val="auto"/>
                <w:sz w:val="24"/>
                <w:szCs w:val="22"/>
                <w:highlight w:val="none"/>
              </w:rPr>
              <w:t>序号</w:t>
            </w:r>
          </w:p>
        </w:tc>
        <w:tc>
          <w:tcPr>
            <w:tcW w:w="2553" w:type="dxa"/>
            <w:vAlign w:val="center"/>
          </w:tcPr>
          <w:p>
            <w:pPr>
              <w:spacing w:line="360" w:lineRule="auto"/>
              <w:jc w:val="center"/>
              <w:rPr>
                <w:rFonts w:eastAsia="仿宋"/>
                <w:color w:val="auto"/>
                <w:sz w:val="24"/>
                <w:szCs w:val="22"/>
                <w:highlight w:val="none"/>
              </w:rPr>
            </w:pPr>
            <w:r>
              <w:rPr>
                <w:rFonts w:eastAsia="仿宋"/>
                <w:color w:val="auto"/>
                <w:sz w:val="24"/>
                <w:szCs w:val="22"/>
                <w:highlight w:val="none"/>
              </w:rPr>
              <w:t>招标文件商务条款</w:t>
            </w:r>
          </w:p>
        </w:tc>
        <w:tc>
          <w:tcPr>
            <w:tcW w:w="2686" w:type="dxa"/>
            <w:vAlign w:val="center"/>
          </w:tcPr>
          <w:p>
            <w:pPr>
              <w:spacing w:line="360" w:lineRule="auto"/>
              <w:jc w:val="center"/>
              <w:rPr>
                <w:rFonts w:eastAsia="仿宋"/>
                <w:color w:val="auto"/>
                <w:sz w:val="24"/>
                <w:szCs w:val="22"/>
                <w:highlight w:val="none"/>
              </w:rPr>
            </w:pPr>
            <w:r>
              <w:rPr>
                <w:rFonts w:eastAsia="仿宋"/>
                <w:color w:val="auto"/>
                <w:sz w:val="24"/>
                <w:szCs w:val="22"/>
                <w:highlight w:val="none"/>
              </w:rPr>
              <w:t>投标文件响应商务条款</w:t>
            </w:r>
          </w:p>
        </w:tc>
        <w:tc>
          <w:tcPr>
            <w:tcW w:w="1842" w:type="dxa"/>
            <w:vAlign w:val="center"/>
          </w:tcPr>
          <w:p>
            <w:pPr>
              <w:spacing w:line="360" w:lineRule="auto"/>
              <w:jc w:val="center"/>
              <w:rPr>
                <w:rFonts w:eastAsia="仿宋"/>
                <w:color w:val="auto"/>
                <w:sz w:val="24"/>
                <w:szCs w:val="22"/>
                <w:highlight w:val="none"/>
              </w:rPr>
            </w:pPr>
            <w:r>
              <w:rPr>
                <w:rFonts w:eastAsia="仿宋"/>
                <w:color w:val="auto"/>
                <w:sz w:val="24"/>
                <w:szCs w:val="22"/>
                <w:highlight w:val="none"/>
              </w:rPr>
              <w:t>响应/偏离</w:t>
            </w:r>
          </w:p>
        </w:tc>
        <w:tc>
          <w:tcPr>
            <w:tcW w:w="962" w:type="dxa"/>
            <w:vAlign w:val="center"/>
          </w:tcPr>
          <w:p>
            <w:pPr>
              <w:spacing w:line="360" w:lineRule="auto"/>
              <w:jc w:val="center"/>
              <w:rPr>
                <w:rFonts w:eastAsia="仿宋"/>
                <w:color w:val="auto"/>
                <w:sz w:val="24"/>
                <w:szCs w:val="22"/>
                <w:highlight w:val="none"/>
              </w:rPr>
            </w:pPr>
            <w:r>
              <w:rPr>
                <w:rFonts w:eastAsia="仿宋"/>
                <w:color w:val="auto"/>
                <w:sz w:val="24"/>
                <w:szCs w:val="22"/>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Align w:val="center"/>
          </w:tcPr>
          <w:p>
            <w:pPr>
              <w:spacing w:line="360" w:lineRule="exact"/>
              <w:jc w:val="center"/>
              <w:rPr>
                <w:rFonts w:eastAsia="仿宋"/>
                <w:color w:val="auto"/>
                <w:sz w:val="24"/>
                <w:szCs w:val="22"/>
                <w:highlight w:val="none"/>
              </w:rPr>
            </w:pPr>
          </w:p>
        </w:tc>
        <w:tc>
          <w:tcPr>
            <w:tcW w:w="2553" w:type="dxa"/>
            <w:vAlign w:val="center"/>
          </w:tcPr>
          <w:p>
            <w:pPr>
              <w:spacing w:line="360" w:lineRule="exact"/>
              <w:rPr>
                <w:rFonts w:eastAsia="仿宋"/>
                <w:color w:val="auto"/>
                <w:sz w:val="24"/>
                <w:szCs w:val="22"/>
                <w:highlight w:val="none"/>
              </w:rPr>
            </w:pPr>
          </w:p>
        </w:tc>
        <w:tc>
          <w:tcPr>
            <w:tcW w:w="2686" w:type="dxa"/>
            <w:vAlign w:val="center"/>
          </w:tcPr>
          <w:p>
            <w:pPr>
              <w:spacing w:line="360" w:lineRule="exact"/>
              <w:ind w:left="252" w:leftChars="120"/>
              <w:rPr>
                <w:rFonts w:eastAsia="仿宋"/>
                <w:color w:val="auto"/>
                <w:sz w:val="24"/>
                <w:szCs w:val="22"/>
                <w:highlight w:val="none"/>
              </w:rPr>
            </w:pPr>
          </w:p>
        </w:tc>
        <w:tc>
          <w:tcPr>
            <w:tcW w:w="1842" w:type="dxa"/>
            <w:vAlign w:val="center"/>
          </w:tcPr>
          <w:p>
            <w:pPr>
              <w:spacing w:line="360" w:lineRule="exact"/>
              <w:ind w:left="252" w:leftChars="120"/>
              <w:rPr>
                <w:rFonts w:eastAsia="仿宋"/>
                <w:color w:val="auto"/>
                <w:sz w:val="24"/>
                <w:szCs w:val="22"/>
                <w:highlight w:val="none"/>
              </w:rPr>
            </w:pPr>
          </w:p>
        </w:tc>
        <w:tc>
          <w:tcPr>
            <w:tcW w:w="962" w:type="dxa"/>
          </w:tcPr>
          <w:p>
            <w:pPr>
              <w:spacing w:line="400" w:lineRule="exact"/>
              <w:rPr>
                <w:rFonts w:eastAsia="仿宋"/>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Align w:val="center"/>
          </w:tcPr>
          <w:p>
            <w:pPr>
              <w:spacing w:line="360" w:lineRule="exact"/>
              <w:jc w:val="center"/>
              <w:rPr>
                <w:rFonts w:eastAsia="仿宋"/>
                <w:color w:val="auto"/>
                <w:sz w:val="24"/>
                <w:szCs w:val="22"/>
                <w:highlight w:val="none"/>
              </w:rPr>
            </w:pPr>
          </w:p>
        </w:tc>
        <w:tc>
          <w:tcPr>
            <w:tcW w:w="2553" w:type="dxa"/>
            <w:vAlign w:val="center"/>
          </w:tcPr>
          <w:p>
            <w:pPr>
              <w:spacing w:line="360" w:lineRule="exact"/>
              <w:rPr>
                <w:rFonts w:eastAsia="仿宋"/>
                <w:color w:val="auto"/>
                <w:sz w:val="24"/>
                <w:szCs w:val="22"/>
                <w:highlight w:val="none"/>
              </w:rPr>
            </w:pPr>
          </w:p>
        </w:tc>
        <w:tc>
          <w:tcPr>
            <w:tcW w:w="2686" w:type="dxa"/>
            <w:vAlign w:val="center"/>
          </w:tcPr>
          <w:p>
            <w:pPr>
              <w:spacing w:line="360" w:lineRule="exact"/>
              <w:rPr>
                <w:rFonts w:eastAsia="仿宋"/>
                <w:color w:val="auto"/>
                <w:sz w:val="24"/>
                <w:szCs w:val="22"/>
                <w:highlight w:val="none"/>
              </w:rPr>
            </w:pPr>
          </w:p>
        </w:tc>
        <w:tc>
          <w:tcPr>
            <w:tcW w:w="1842" w:type="dxa"/>
            <w:vAlign w:val="center"/>
          </w:tcPr>
          <w:p>
            <w:pPr>
              <w:spacing w:line="360" w:lineRule="exact"/>
              <w:rPr>
                <w:rFonts w:eastAsia="仿宋"/>
                <w:color w:val="auto"/>
                <w:sz w:val="24"/>
                <w:szCs w:val="22"/>
                <w:highlight w:val="none"/>
              </w:rPr>
            </w:pPr>
          </w:p>
        </w:tc>
        <w:tc>
          <w:tcPr>
            <w:tcW w:w="962" w:type="dxa"/>
          </w:tcPr>
          <w:p>
            <w:pPr>
              <w:spacing w:line="400" w:lineRule="exact"/>
              <w:rPr>
                <w:rFonts w:eastAsia="仿宋"/>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Align w:val="center"/>
          </w:tcPr>
          <w:p>
            <w:pPr>
              <w:spacing w:line="360" w:lineRule="exact"/>
              <w:jc w:val="center"/>
              <w:rPr>
                <w:rFonts w:eastAsia="仿宋"/>
                <w:color w:val="auto"/>
                <w:sz w:val="24"/>
                <w:szCs w:val="22"/>
                <w:highlight w:val="none"/>
              </w:rPr>
            </w:pPr>
          </w:p>
        </w:tc>
        <w:tc>
          <w:tcPr>
            <w:tcW w:w="2553" w:type="dxa"/>
            <w:vAlign w:val="center"/>
          </w:tcPr>
          <w:p>
            <w:pPr>
              <w:spacing w:line="360" w:lineRule="exact"/>
              <w:rPr>
                <w:rFonts w:eastAsia="仿宋"/>
                <w:color w:val="auto"/>
                <w:sz w:val="24"/>
                <w:szCs w:val="22"/>
                <w:highlight w:val="none"/>
              </w:rPr>
            </w:pPr>
          </w:p>
        </w:tc>
        <w:tc>
          <w:tcPr>
            <w:tcW w:w="2686" w:type="dxa"/>
            <w:vAlign w:val="center"/>
          </w:tcPr>
          <w:p>
            <w:pPr>
              <w:spacing w:line="360" w:lineRule="exact"/>
              <w:rPr>
                <w:rFonts w:eastAsia="仿宋"/>
                <w:color w:val="auto"/>
                <w:sz w:val="24"/>
                <w:szCs w:val="22"/>
                <w:highlight w:val="none"/>
              </w:rPr>
            </w:pPr>
            <w:r>
              <w:rPr>
                <w:rFonts w:eastAsia="仿宋"/>
                <w:color w:val="auto"/>
                <w:sz w:val="24"/>
                <w:szCs w:val="22"/>
                <w:highlight w:val="none"/>
              </w:rPr>
              <w:t>　</w:t>
            </w:r>
          </w:p>
        </w:tc>
        <w:tc>
          <w:tcPr>
            <w:tcW w:w="1842" w:type="dxa"/>
            <w:vAlign w:val="center"/>
          </w:tcPr>
          <w:p>
            <w:pPr>
              <w:spacing w:line="360" w:lineRule="exact"/>
              <w:rPr>
                <w:rFonts w:eastAsia="仿宋"/>
                <w:color w:val="auto"/>
                <w:sz w:val="24"/>
                <w:szCs w:val="22"/>
                <w:highlight w:val="none"/>
              </w:rPr>
            </w:pPr>
          </w:p>
        </w:tc>
        <w:tc>
          <w:tcPr>
            <w:tcW w:w="962" w:type="dxa"/>
          </w:tcPr>
          <w:p>
            <w:pPr>
              <w:spacing w:line="400" w:lineRule="exact"/>
              <w:rPr>
                <w:rFonts w:eastAsia="仿宋"/>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Align w:val="center"/>
          </w:tcPr>
          <w:p>
            <w:pPr>
              <w:spacing w:line="360" w:lineRule="exact"/>
              <w:jc w:val="center"/>
              <w:rPr>
                <w:rFonts w:eastAsia="仿宋"/>
                <w:color w:val="auto"/>
                <w:sz w:val="24"/>
                <w:szCs w:val="22"/>
                <w:highlight w:val="none"/>
              </w:rPr>
            </w:pPr>
          </w:p>
        </w:tc>
        <w:tc>
          <w:tcPr>
            <w:tcW w:w="2553" w:type="dxa"/>
            <w:vAlign w:val="center"/>
          </w:tcPr>
          <w:p>
            <w:pPr>
              <w:spacing w:line="360" w:lineRule="exact"/>
              <w:rPr>
                <w:rFonts w:eastAsia="仿宋"/>
                <w:color w:val="auto"/>
                <w:sz w:val="24"/>
                <w:szCs w:val="22"/>
                <w:highlight w:val="none"/>
              </w:rPr>
            </w:pPr>
          </w:p>
        </w:tc>
        <w:tc>
          <w:tcPr>
            <w:tcW w:w="2686" w:type="dxa"/>
            <w:vAlign w:val="center"/>
          </w:tcPr>
          <w:p>
            <w:pPr>
              <w:spacing w:line="360" w:lineRule="exact"/>
              <w:rPr>
                <w:rFonts w:eastAsia="仿宋"/>
                <w:color w:val="auto"/>
                <w:sz w:val="24"/>
                <w:szCs w:val="22"/>
                <w:highlight w:val="none"/>
              </w:rPr>
            </w:pPr>
          </w:p>
        </w:tc>
        <w:tc>
          <w:tcPr>
            <w:tcW w:w="1842" w:type="dxa"/>
            <w:vAlign w:val="center"/>
          </w:tcPr>
          <w:p>
            <w:pPr>
              <w:spacing w:line="360" w:lineRule="exact"/>
              <w:rPr>
                <w:rFonts w:eastAsia="仿宋"/>
                <w:color w:val="auto"/>
                <w:sz w:val="24"/>
                <w:szCs w:val="22"/>
                <w:highlight w:val="none"/>
              </w:rPr>
            </w:pPr>
          </w:p>
        </w:tc>
        <w:tc>
          <w:tcPr>
            <w:tcW w:w="962" w:type="dxa"/>
          </w:tcPr>
          <w:p>
            <w:pPr>
              <w:spacing w:line="400" w:lineRule="exact"/>
              <w:rPr>
                <w:rFonts w:eastAsia="仿宋"/>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Align w:val="center"/>
          </w:tcPr>
          <w:p>
            <w:pPr>
              <w:spacing w:line="360" w:lineRule="exact"/>
              <w:jc w:val="center"/>
              <w:rPr>
                <w:rFonts w:eastAsia="仿宋"/>
                <w:color w:val="auto"/>
                <w:sz w:val="24"/>
                <w:szCs w:val="22"/>
                <w:highlight w:val="none"/>
              </w:rPr>
            </w:pPr>
          </w:p>
        </w:tc>
        <w:tc>
          <w:tcPr>
            <w:tcW w:w="2553" w:type="dxa"/>
            <w:vAlign w:val="center"/>
          </w:tcPr>
          <w:p>
            <w:pPr>
              <w:spacing w:line="360" w:lineRule="exact"/>
              <w:rPr>
                <w:rFonts w:eastAsia="仿宋"/>
                <w:color w:val="auto"/>
                <w:sz w:val="24"/>
                <w:szCs w:val="22"/>
                <w:highlight w:val="none"/>
              </w:rPr>
            </w:pPr>
          </w:p>
        </w:tc>
        <w:tc>
          <w:tcPr>
            <w:tcW w:w="2686" w:type="dxa"/>
            <w:vAlign w:val="center"/>
          </w:tcPr>
          <w:p>
            <w:pPr>
              <w:spacing w:line="360" w:lineRule="exact"/>
              <w:rPr>
                <w:rFonts w:eastAsia="仿宋"/>
                <w:color w:val="auto"/>
                <w:sz w:val="24"/>
                <w:szCs w:val="22"/>
                <w:highlight w:val="none"/>
              </w:rPr>
            </w:pPr>
          </w:p>
        </w:tc>
        <w:tc>
          <w:tcPr>
            <w:tcW w:w="1842" w:type="dxa"/>
            <w:vAlign w:val="center"/>
          </w:tcPr>
          <w:p>
            <w:pPr>
              <w:spacing w:line="360" w:lineRule="exact"/>
              <w:rPr>
                <w:rFonts w:eastAsia="仿宋"/>
                <w:color w:val="auto"/>
                <w:sz w:val="24"/>
                <w:szCs w:val="22"/>
                <w:highlight w:val="none"/>
              </w:rPr>
            </w:pPr>
          </w:p>
        </w:tc>
        <w:tc>
          <w:tcPr>
            <w:tcW w:w="962" w:type="dxa"/>
          </w:tcPr>
          <w:p>
            <w:pPr>
              <w:spacing w:line="400" w:lineRule="exact"/>
              <w:rPr>
                <w:rFonts w:eastAsia="仿宋"/>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Align w:val="center"/>
          </w:tcPr>
          <w:p>
            <w:pPr>
              <w:spacing w:line="360" w:lineRule="exact"/>
              <w:jc w:val="center"/>
              <w:rPr>
                <w:rFonts w:eastAsia="仿宋"/>
                <w:color w:val="auto"/>
                <w:sz w:val="24"/>
                <w:szCs w:val="22"/>
                <w:highlight w:val="none"/>
              </w:rPr>
            </w:pPr>
          </w:p>
        </w:tc>
        <w:tc>
          <w:tcPr>
            <w:tcW w:w="2553" w:type="dxa"/>
            <w:vAlign w:val="center"/>
          </w:tcPr>
          <w:p>
            <w:pPr>
              <w:spacing w:line="360" w:lineRule="exact"/>
              <w:rPr>
                <w:rFonts w:eastAsia="仿宋"/>
                <w:color w:val="auto"/>
                <w:sz w:val="24"/>
                <w:szCs w:val="22"/>
                <w:highlight w:val="none"/>
              </w:rPr>
            </w:pPr>
          </w:p>
        </w:tc>
        <w:tc>
          <w:tcPr>
            <w:tcW w:w="2686" w:type="dxa"/>
            <w:vAlign w:val="center"/>
          </w:tcPr>
          <w:p>
            <w:pPr>
              <w:rPr>
                <w:rFonts w:eastAsia="仿宋"/>
                <w:color w:val="auto"/>
                <w:sz w:val="24"/>
                <w:szCs w:val="22"/>
                <w:highlight w:val="none"/>
              </w:rPr>
            </w:pPr>
          </w:p>
        </w:tc>
        <w:tc>
          <w:tcPr>
            <w:tcW w:w="1842" w:type="dxa"/>
            <w:vAlign w:val="center"/>
          </w:tcPr>
          <w:p>
            <w:pPr>
              <w:rPr>
                <w:rFonts w:eastAsia="仿宋"/>
                <w:color w:val="auto"/>
                <w:sz w:val="24"/>
                <w:szCs w:val="22"/>
                <w:highlight w:val="none"/>
              </w:rPr>
            </w:pPr>
          </w:p>
        </w:tc>
        <w:tc>
          <w:tcPr>
            <w:tcW w:w="962" w:type="dxa"/>
          </w:tcPr>
          <w:p>
            <w:pPr>
              <w:spacing w:line="400" w:lineRule="exact"/>
              <w:rPr>
                <w:rFonts w:eastAsia="仿宋"/>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Align w:val="center"/>
          </w:tcPr>
          <w:p>
            <w:pPr>
              <w:spacing w:line="360" w:lineRule="exact"/>
              <w:jc w:val="center"/>
              <w:rPr>
                <w:rFonts w:eastAsia="仿宋"/>
                <w:color w:val="auto"/>
                <w:sz w:val="24"/>
                <w:szCs w:val="22"/>
                <w:highlight w:val="none"/>
              </w:rPr>
            </w:pPr>
          </w:p>
        </w:tc>
        <w:tc>
          <w:tcPr>
            <w:tcW w:w="2553" w:type="dxa"/>
            <w:vAlign w:val="center"/>
          </w:tcPr>
          <w:p>
            <w:pPr>
              <w:spacing w:line="360" w:lineRule="exact"/>
              <w:rPr>
                <w:rFonts w:eastAsia="仿宋"/>
                <w:color w:val="auto"/>
                <w:sz w:val="24"/>
                <w:szCs w:val="22"/>
                <w:highlight w:val="none"/>
              </w:rPr>
            </w:pPr>
          </w:p>
        </w:tc>
        <w:tc>
          <w:tcPr>
            <w:tcW w:w="2686" w:type="dxa"/>
            <w:vAlign w:val="center"/>
          </w:tcPr>
          <w:p>
            <w:pPr>
              <w:spacing w:line="360" w:lineRule="exact"/>
              <w:rPr>
                <w:rFonts w:eastAsia="仿宋"/>
                <w:color w:val="auto"/>
                <w:sz w:val="24"/>
                <w:szCs w:val="22"/>
                <w:highlight w:val="none"/>
              </w:rPr>
            </w:pPr>
          </w:p>
        </w:tc>
        <w:tc>
          <w:tcPr>
            <w:tcW w:w="1842" w:type="dxa"/>
            <w:vAlign w:val="center"/>
          </w:tcPr>
          <w:p>
            <w:pPr>
              <w:spacing w:line="360" w:lineRule="exact"/>
              <w:rPr>
                <w:rFonts w:eastAsia="仿宋"/>
                <w:color w:val="auto"/>
                <w:sz w:val="24"/>
                <w:szCs w:val="22"/>
                <w:highlight w:val="none"/>
              </w:rPr>
            </w:pPr>
          </w:p>
        </w:tc>
        <w:tc>
          <w:tcPr>
            <w:tcW w:w="962" w:type="dxa"/>
          </w:tcPr>
          <w:p>
            <w:pPr>
              <w:spacing w:line="400" w:lineRule="exact"/>
              <w:rPr>
                <w:rFonts w:eastAsia="仿宋"/>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Align w:val="center"/>
          </w:tcPr>
          <w:p>
            <w:pPr>
              <w:spacing w:line="360" w:lineRule="exact"/>
              <w:jc w:val="center"/>
              <w:rPr>
                <w:rFonts w:eastAsia="仿宋"/>
                <w:color w:val="auto"/>
                <w:sz w:val="24"/>
                <w:szCs w:val="22"/>
                <w:highlight w:val="none"/>
              </w:rPr>
            </w:pPr>
          </w:p>
        </w:tc>
        <w:tc>
          <w:tcPr>
            <w:tcW w:w="2553" w:type="dxa"/>
            <w:vAlign w:val="center"/>
          </w:tcPr>
          <w:p>
            <w:pPr>
              <w:spacing w:line="360" w:lineRule="exact"/>
              <w:rPr>
                <w:rFonts w:eastAsia="仿宋"/>
                <w:color w:val="auto"/>
                <w:sz w:val="24"/>
                <w:szCs w:val="22"/>
                <w:highlight w:val="none"/>
              </w:rPr>
            </w:pPr>
          </w:p>
        </w:tc>
        <w:tc>
          <w:tcPr>
            <w:tcW w:w="2686" w:type="dxa"/>
            <w:vAlign w:val="center"/>
          </w:tcPr>
          <w:p>
            <w:pPr>
              <w:spacing w:line="360" w:lineRule="exact"/>
              <w:rPr>
                <w:rFonts w:eastAsia="仿宋"/>
                <w:color w:val="auto"/>
                <w:sz w:val="24"/>
                <w:szCs w:val="22"/>
                <w:highlight w:val="none"/>
              </w:rPr>
            </w:pPr>
          </w:p>
        </w:tc>
        <w:tc>
          <w:tcPr>
            <w:tcW w:w="1842" w:type="dxa"/>
            <w:vAlign w:val="center"/>
          </w:tcPr>
          <w:p>
            <w:pPr>
              <w:spacing w:line="360" w:lineRule="exact"/>
              <w:rPr>
                <w:rFonts w:eastAsia="仿宋"/>
                <w:color w:val="auto"/>
                <w:sz w:val="24"/>
                <w:szCs w:val="22"/>
                <w:highlight w:val="none"/>
              </w:rPr>
            </w:pPr>
          </w:p>
        </w:tc>
        <w:tc>
          <w:tcPr>
            <w:tcW w:w="962" w:type="dxa"/>
          </w:tcPr>
          <w:p>
            <w:pPr>
              <w:spacing w:line="400" w:lineRule="exact"/>
              <w:rPr>
                <w:rFonts w:eastAsia="仿宋"/>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Align w:val="center"/>
          </w:tcPr>
          <w:p>
            <w:pPr>
              <w:spacing w:line="360" w:lineRule="exact"/>
              <w:jc w:val="center"/>
              <w:rPr>
                <w:rFonts w:eastAsia="仿宋"/>
                <w:color w:val="auto"/>
                <w:sz w:val="24"/>
                <w:szCs w:val="22"/>
                <w:highlight w:val="none"/>
              </w:rPr>
            </w:pPr>
          </w:p>
        </w:tc>
        <w:tc>
          <w:tcPr>
            <w:tcW w:w="2553" w:type="dxa"/>
            <w:vAlign w:val="center"/>
          </w:tcPr>
          <w:p>
            <w:pPr>
              <w:spacing w:line="360" w:lineRule="exact"/>
              <w:rPr>
                <w:rFonts w:eastAsia="仿宋"/>
                <w:color w:val="auto"/>
                <w:sz w:val="24"/>
                <w:szCs w:val="22"/>
                <w:highlight w:val="none"/>
              </w:rPr>
            </w:pPr>
          </w:p>
        </w:tc>
        <w:tc>
          <w:tcPr>
            <w:tcW w:w="2686" w:type="dxa"/>
            <w:vAlign w:val="center"/>
          </w:tcPr>
          <w:p>
            <w:pPr>
              <w:spacing w:line="360" w:lineRule="exact"/>
              <w:rPr>
                <w:rFonts w:eastAsia="仿宋"/>
                <w:color w:val="auto"/>
                <w:sz w:val="24"/>
                <w:szCs w:val="22"/>
                <w:highlight w:val="none"/>
              </w:rPr>
            </w:pPr>
          </w:p>
        </w:tc>
        <w:tc>
          <w:tcPr>
            <w:tcW w:w="1842" w:type="dxa"/>
            <w:vAlign w:val="center"/>
          </w:tcPr>
          <w:p>
            <w:pPr>
              <w:spacing w:line="360" w:lineRule="exact"/>
              <w:rPr>
                <w:rFonts w:eastAsia="仿宋"/>
                <w:color w:val="auto"/>
                <w:sz w:val="24"/>
                <w:szCs w:val="22"/>
                <w:highlight w:val="none"/>
              </w:rPr>
            </w:pPr>
          </w:p>
        </w:tc>
        <w:tc>
          <w:tcPr>
            <w:tcW w:w="962" w:type="dxa"/>
          </w:tcPr>
          <w:p>
            <w:pPr>
              <w:spacing w:line="400" w:lineRule="exact"/>
              <w:rPr>
                <w:rFonts w:eastAsia="仿宋"/>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Align w:val="center"/>
          </w:tcPr>
          <w:p>
            <w:pPr>
              <w:spacing w:line="360" w:lineRule="exact"/>
              <w:jc w:val="center"/>
              <w:rPr>
                <w:rFonts w:eastAsia="仿宋"/>
                <w:color w:val="auto"/>
                <w:sz w:val="24"/>
                <w:szCs w:val="22"/>
                <w:highlight w:val="none"/>
              </w:rPr>
            </w:pPr>
          </w:p>
        </w:tc>
        <w:tc>
          <w:tcPr>
            <w:tcW w:w="2553" w:type="dxa"/>
            <w:vAlign w:val="center"/>
          </w:tcPr>
          <w:p>
            <w:pPr>
              <w:spacing w:line="360" w:lineRule="exact"/>
              <w:rPr>
                <w:rFonts w:eastAsia="仿宋"/>
                <w:color w:val="auto"/>
                <w:sz w:val="24"/>
                <w:szCs w:val="22"/>
                <w:highlight w:val="none"/>
              </w:rPr>
            </w:pPr>
          </w:p>
        </w:tc>
        <w:tc>
          <w:tcPr>
            <w:tcW w:w="2686" w:type="dxa"/>
            <w:vAlign w:val="center"/>
          </w:tcPr>
          <w:p>
            <w:pPr>
              <w:spacing w:line="360" w:lineRule="exact"/>
              <w:rPr>
                <w:rFonts w:eastAsia="仿宋"/>
                <w:color w:val="auto"/>
                <w:sz w:val="24"/>
                <w:szCs w:val="22"/>
                <w:highlight w:val="none"/>
              </w:rPr>
            </w:pPr>
          </w:p>
        </w:tc>
        <w:tc>
          <w:tcPr>
            <w:tcW w:w="1842" w:type="dxa"/>
            <w:vAlign w:val="center"/>
          </w:tcPr>
          <w:p>
            <w:pPr>
              <w:spacing w:line="360" w:lineRule="exact"/>
              <w:rPr>
                <w:rFonts w:eastAsia="仿宋"/>
                <w:color w:val="auto"/>
                <w:sz w:val="24"/>
                <w:szCs w:val="22"/>
                <w:highlight w:val="none"/>
              </w:rPr>
            </w:pPr>
          </w:p>
        </w:tc>
        <w:tc>
          <w:tcPr>
            <w:tcW w:w="962" w:type="dxa"/>
          </w:tcPr>
          <w:p>
            <w:pPr>
              <w:spacing w:line="400" w:lineRule="exact"/>
              <w:rPr>
                <w:rFonts w:eastAsia="仿宋"/>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Align w:val="center"/>
          </w:tcPr>
          <w:p>
            <w:pPr>
              <w:spacing w:line="360" w:lineRule="exact"/>
              <w:jc w:val="center"/>
              <w:rPr>
                <w:rFonts w:eastAsia="仿宋"/>
                <w:color w:val="auto"/>
                <w:sz w:val="24"/>
                <w:szCs w:val="22"/>
                <w:highlight w:val="none"/>
              </w:rPr>
            </w:pPr>
          </w:p>
        </w:tc>
        <w:tc>
          <w:tcPr>
            <w:tcW w:w="2553" w:type="dxa"/>
            <w:vAlign w:val="center"/>
          </w:tcPr>
          <w:p>
            <w:pPr>
              <w:spacing w:line="360" w:lineRule="exact"/>
              <w:rPr>
                <w:rFonts w:eastAsia="仿宋"/>
                <w:color w:val="auto"/>
                <w:sz w:val="24"/>
                <w:szCs w:val="22"/>
                <w:highlight w:val="none"/>
              </w:rPr>
            </w:pPr>
          </w:p>
        </w:tc>
        <w:tc>
          <w:tcPr>
            <w:tcW w:w="2686" w:type="dxa"/>
            <w:vAlign w:val="center"/>
          </w:tcPr>
          <w:p>
            <w:pPr>
              <w:spacing w:line="360" w:lineRule="exact"/>
              <w:rPr>
                <w:rFonts w:eastAsia="仿宋"/>
                <w:color w:val="auto"/>
                <w:sz w:val="24"/>
                <w:szCs w:val="22"/>
                <w:highlight w:val="none"/>
              </w:rPr>
            </w:pPr>
          </w:p>
        </w:tc>
        <w:tc>
          <w:tcPr>
            <w:tcW w:w="1842" w:type="dxa"/>
            <w:vAlign w:val="center"/>
          </w:tcPr>
          <w:p>
            <w:pPr>
              <w:spacing w:line="360" w:lineRule="exact"/>
              <w:rPr>
                <w:rFonts w:eastAsia="仿宋"/>
                <w:color w:val="auto"/>
                <w:sz w:val="24"/>
                <w:szCs w:val="22"/>
                <w:highlight w:val="none"/>
              </w:rPr>
            </w:pPr>
          </w:p>
        </w:tc>
        <w:tc>
          <w:tcPr>
            <w:tcW w:w="962" w:type="dxa"/>
          </w:tcPr>
          <w:p>
            <w:pPr>
              <w:spacing w:line="400" w:lineRule="exact"/>
              <w:rPr>
                <w:rFonts w:eastAsia="仿宋"/>
                <w:color w:val="auto"/>
                <w:sz w:val="24"/>
                <w:szCs w:val="22"/>
                <w:highlight w:val="none"/>
              </w:rPr>
            </w:pPr>
          </w:p>
        </w:tc>
      </w:tr>
    </w:tbl>
    <w:p>
      <w:pPr>
        <w:spacing w:line="400" w:lineRule="exact"/>
        <w:rPr>
          <w:rFonts w:eastAsia="仿宋"/>
          <w:b/>
          <w:color w:val="auto"/>
          <w:sz w:val="24"/>
          <w:szCs w:val="24"/>
          <w:highlight w:val="none"/>
        </w:rPr>
      </w:pPr>
      <w:r>
        <w:rPr>
          <w:rFonts w:eastAsia="仿宋"/>
          <w:b/>
          <w:color w:val="auto"/>
          <w:sz w:val="24"/>
          <w:szCs w:val="24"/>
          <w:highlight w:val="none"/>
        </w:rPr>
        <w:t>注：</w:t>
      </w:r>
      <w:r>
        <w:rPr>
          <w:rFonts w:hint="eastAsia" w:ascii="宋体" w:hAnsi="宋体" w:cs="宋体"/>
          <w:b/>
          <w:color w:val="auto"/>
          <w:sz w:val="24"/>
          <w:szCs w:val="24"/>
          <w:highlight w:val="none"/>
        </w:rPr>
        <w:t>⑴</w:t>
      </w:r>
      <w:r>
        <w:rPr>
          <w:rFonts w:hint="eastAsia" w:eastAsia="仿宋"/>
          <w:b/>
          <w:color w:val="auto"/>
          <w:sz w:val="24"/>
          <w:szCs w:val="24"/>
          <w:highlight w:val="none"/>
          <w:lang w:eastAsia="zh-CN"/>
        </w:rPr>
        <w:t>“</w:t>
      </w:r>
      <w:r>
        <w:rPr>
          <w:rFonts w:eastAsia="仿宋"/>
          <w:b/>
          <w:color w:val="auto"/>
          <w:sz w:val="24"/>
          <w:szCs w:val="24"/>
          <w:highlight w:val="none"/>
        </w:rPr>
        <w:t>投标文件响应商务条款</w:t>
      </w:r>
      <w:r>
        <w:rPr>
          <w:rFonts w:hint="eastAsia" w:eastAsia="仿宋"/>
          <w:b/>
          <w:color w:val="auto"/>
          <w:sz w:val="24"/>
          <w:szCs w:val="24"/>
          <w:highlight w:val="none"/>
          <w:lang w:eastAsia="zh-CN"/>
        </w:rPr>
        <w:t>”</w:t>
      </w:r>
      <w:r>
        <w:rPr>
          <w:rFonts w:eastAsia="仿宋"/>
          <w:b/>
          <w:color w:val="auto"/>
          <w:sz w:val="24"/>
          <w:szCs w:val="24"/>
          <w:highlight w:val="none"/>
        </w:rPr>
        <w:t>一栏中对应</w:t>
      </w:r>
      <w:r>
        <w:rPr>
          <w:rFonts w:hint="eastAsia" w:eastAsia="仿宋"/>
          <w:b/>
          <w:color w:val="auto"/>
          <w:sz w:val="24"/>
          <w:szCs w:val="24"/>
          <w:highlight w:val="none"/>
          <w:lang w:eastAsia="zh-CN"/>
        </w:rPr>
        <w:t>“</w:t>
      </w:r>
      <w:r>
        <w:rPr>
          <w:rFonts w:eastAsia="仿宋"/>
          <w:b/>
          <w:color w:val="auto"/>
          <w:sz w:val="24"/>
          <w:szCs w:val="24"/>
          <w:highlight w:val="none"/>
        </w:rPr>
        <w:t>招标文件商务条款</w:t>
      </w:r>
      <w:r>
        <w:rPr>
          <w:rFonts w:hint="eastAsia" w:eastAsia="仿宋"/>
          <w:b/>
          <w:color w:val="auto"/>
          <w:sz w:val="24"/>
          <w:szCs w:val="24"/>
          <w:highlight w:val="none"/>
          <w:lang w:eastAsia="zh-CN"/>
        </w:rPr>
        <w:t>”</w:t>
      </w:r>
      <w:r>
        <w:rPr>
          <w:rFonts w:eastAsia="仿宋"/>
          <w:b/>
          <w:color w:val="auto"/>
          <w:sz w:val="24"/>
          <w:szCs w:val="24"/>
          <w:highlight w:val="none"/>
        </w:rPr>
        <w:t>中内容。</w:t>
      </w:r>
      <w:r>
        <w:rPr>
          <w:rFonts w:hint="eastAsia" w:eastAsia="仿宋"/>
          <w:b/>
          <w:color w:val="auto"/>
          <w:sz w:val="24"/>
          <w:szCs w:val="24"/>
          <w:highlight w:val="none"/>
          <w:lang w:eastAsia="zh-CN"/>
        </w:rPr>
        <w:t>“</w:t>
      </w:r>
      <w:r>
        <w:rPr>
          <w:rFonts w:eastAsia="仿宋"/>
          <w:b/>
          <w:color w:val="auto"/>
          <w:sz w:val="24"/>
          <w:szCs w:val="24"/>
          <w:highlight w:val="none"/>
        </w:rPr>
        <w:t>招标文件商务条款</w:t>
      </w:r>
      <w:r>
        <w:rPr>
          <w:rFonts w:hint="eastAsia" w:eastAsia="仿宋"/>
          <w:b/>
          <w:color w:val="auto"/>
          <w:sz w:val="24"/>
          <w:szCs w:val="24"/>
          <w:highlight w:val="none"/>
          <w:lang w:eastAsia="zh-CN"/>
        </w:rPr>
        <w:t>”</w:t>
      </w:r>
      <w:r>
        <w:rPr>
          <w:rFonts w:eastAsia="仿宋"/>
          <w:b/>
          <w:color w:val="auto"/>
          <w:sz w:val="24"/>
          <w:szCs w:val="24"/>
          <w:highlight w:val="none"/>
        </w:rPr>
        <w:t>详见</w:t>
      </w:r>
      <w:r>
        <w:rPr>
          <w:rFonts w:hint="eastAsia" w:eastAsia="仿宋"/>
          <w:b/>
          <w:color w:val="auto"/>
          <w:sz w:val="24"/>
          <w:szCs w:val="24"/>
          <w:highlight w:val="none"/>
          <w:lang w:eastAsia="zh-CN"/>
        </w:rPr>
        <w:t>“</w:t>
      </w:r>
      <w:r>
        <w:rPr>
          <w:rFonts w:eastAsia="仿宋"/>
          <w:b/>
          <w:color w:val="auto"/>
          <w:sz w:val="24"/>
          <w:szCs w:val="24"/>
          <w:highlight w:val="none"/>
        </w:rPr>
        <w:t>招标文件~第五章~招标项目需求~商务要求</w:t>
      </w:r>
      <w:r>
        <w:rPr>
          <w:rFonts w:hint="eastAsia" w:eastAsia="仿宋"/>
          <w:b/>
          <w:color w:val="auto"/>
          <w:sz w:val="24"/>
          <w:szCs w:val="24"/>
          <w:highlight w:val="none"/>
          <w:lang w:eastAsia="zh-CN"/>
        </w:rPr>
        <w:t>”</w:t>
      </w:r>
      <w:r>
        <w:rPr>
          <w:rFonts w:eastAsia="仿宋"/>
          <w:b/>
          <w:color w:val="auto"/>
          <w:sz w:val="24"/>
          <w:szCs w:val="24"/>
          <w:highlight w:val="none"/>
        </w:rPr>
        <w:t>。</w:t>
      </w:r>
    </w:p>
    <w:p>
      <w:pPr>
        <w:spacing w:line="400" w:lineRule="exact"/>
        <w:ind w:firstLine="482" w:firstLineChars="200"/>
        <w:rPr>
          <w:rFonts w:eastAsia="仿宋"/>
          <w:b/>
          <w:color w:val="auto"/>
          <w:sz w:val="24"/>
          <w:szCs w:val="24"/>
          <w:highlight w:val="none"/>
        </w:rPr>
      </w:pPr>
      <w:r>
        <w:rPr>
          <w:rFonts w:hint="eastAsia" w:ascii="宋体" w:hAnsi="宋体" w:cs="宋体"/>
          <w:b/>
          <w:color w:val="auto"/>
          <w:sz w:val="24"/>
          <w:szCs w:val="24"/>
          <w:highlight w:val="none"/>
        </w:rPr>
        <w:t>⑵</w:t>
      </w:r>
      <w:r>
        <w:rPr>
          <w:rFonts w:hint="eastAsia" w:eastAsia="仿宋"/>
          <w:b/>
          <w:color w:val="auto"/>
          <w:sz w:val="24"/>
          <w:szCs w:val="24"/>
          <w:highlight w:val="none"/>
          <w:lang w:eastAsia="zh-CN"/>
        </w:rPr>
        <w:t>“</w:t>
      </w:r>
      <w:r>
        <w:rPr>
          <w:rFonts w:eastAsia="仿宋"/>
          <w:b/>
          <w:color w:val="auto"/>
          <w:sz w:val="24"/>
          <w:szCs w:val="24"/>
          <w:highlight w:val="none"/>
        </w:rPr>
        <w:t>响应/偏离</w:t>
      </w:r>
      <w:r>
        <w:rPr>
          <w:rFonts w:hint="eastAsia" w:eastAsia="仿宋"/>
          <w:b/>
          <w:color w:val="auto"/>
          <w:sz w:val="24"/>
          <w:szCs w:val="24"/>
          <w:highlight w:val="none"/>
          <w:lang w:eastAsia="zh-CN"/>
        </w:rPr>
        <w:t>”</w:t>
      </w:r>
      <w:r>
        <w:rPr>
          <w:rFonts w:eastAsia="仿宋"/>
          <w:b/>
          <w:color w:val="auto"/>
          <w:sz w:val="24"/>
          <w:szCs w:val="24"/>
          <w:highlight w:val="none"/>
        </w:rPr>
        <w:t>一栏中写</w:t>
      </w:r>
      <w:r>
        <w:rPr>
          <w:rFonts w:hint="eastAsia" w:eastAsia="仿宋"/>
          <w:b/>
          <w:color w:val="auto"/>
          <w:sz w:val="24"/>
          <w:szCs w:val="24"/>
          <w:highlight w:val="none"/>
          <w:lang w:eastAsia="zh-CN"/>
        </w:rPr>
        <w:t>“</w:t>
      </w:r>
      <w:r>
        <w:rPr>
          <w:rFonts w:eastAsia="仿宋"/>
          <w:b/>
          <w:color w:val="auto"/>
          <w:sz w:val="24"/>
          <w:szCs w:val="24"/>
          <w:highlight w:val="none"/>
        </w:rPr>
        <w:t>完全响应</w:t>
      </w:r>
      <w:r>
        <w:rPr>
          <w:rFonts w:hint="eastAsia" w:eastAsia="仿宋"/>
          <w:b/>
          <w:color w:val="auto"/>
          <w:sz w:val="24"/>
          <w:szCs w:val="24"/>
          <w:highlight w:val="none"/>
          <w:lang w:eastAsia="zh-CN"/>
        </w:rPr>
        <w:t>”</w:t>
      </w:r>
      <w:r>
        <w:rPr>
          <w:rFonts w:eastAsia="仿宋"/>
          <w:b/>
          <w:color w:val="auto"/>
          <w:sz w:val="24"/>
          <w:szCs w:val="24"/>
          <w:highlight w:val="none"/>
        </w:rPr>
        <w:t>或者</w:t>
      </w:r>
      <w:r>
        <w:rPr>
          <w:rFonts w:hint="eastAsia" w:eastAsia="仿宋"/>
          <w:b/>
          <w:color w:val="auto"/>
          <w:sz w:val="24"/>
          <w:szCs w:val="24"/>
          <w:highlight w:val="none"/>
          <w:lang w:eastAsia="zh-CN"/>
        </w:rPr>
        <w:t>“</w:t>
      </w:r>
      <w:r>
        <w:rPr>
          <w:rFonts w:eastAsia="仿宋"/>
          <w:b/>
          <w:color w:val="auto"/>
          <w:sz w:val="24"/>
          <w:szCs w:val="24"/>
          <w:highlight w:val="none"/>
        </w:rPr>
        <w:t>正（负）偏离</w:t>
      </w:r>
      <w:r>
        <w:rPr>
          <w:rFonts w:hint="eastAsia" w:eastAsia="仿宋"/>
          <w:b/>
          <w:color w:val="auto"/>
          <w:sz w:val="24"/>
          <w:szCs w:val="24"/>
          <w:highlight w:val="none"/>
          <w:lang w:eastAsia="zh-CN"/>
        </w:rPr>
        <w:t>”</w:t>
      </w:r>
      <w:r>
        <w:rPr>
          <w:rFonts w:eastAsia="仿宋"/>
          <w:b/>
          <w:color w:val="auto"/>
          <w:sz w:val="24"/>
          <w:szCs w:val="24"/>
          <w:highlight w:val="none"/>
        </w:rPr>
        <w:t>，如</w:t>
      </w:r>
      <w:r>
        <w:rPr>
          <w:rFonts w:hint="eastAsia" w:eastAsia="仿宋"/>
          <w:b/>
          <w:color w:val="auto"/>
          <w:sz w:val="24"/>
          <w:szCs w:val="24"/>
          <w:highlight w:val="none"/>
          <w:lang w:eastAsia="zh-CN"/>
        </w:rPr>
        <w:t>“</w:t>
      </w:r>
      <w:r>
        <w:rPr>
          <w:rFonts w:eastAsia="仿宋"/>
          <w:b/>
          <w:color w:val="auto"/>
          <w:sz w:val="24"/>
          <w:szCs w:val="24"/>
          <w:highlight w:val="none"/>
        </w:rPr>
        <w:t>正（负）偏离</w:t>
      </w:r>
      <w:r>
        <w:rPr>
          <w:rFonts w:hint="eastAsia" w:eastAsia="仿宋"/>
          <w:b/>
          <w:color w:val="auto"/>
          <w:sz w:val="24"/>
          <w:szCs w:val="24"/>
          <w:highlight w:val="none"/>
          <w:lang w:eastAsia="zh-CN"/>
        </w:rPr>
        <w:t>”</w:t>
      </w:r>
      <w:r>
        <w:rPr>
          <w:rFonts w:eastAsia="仿宋"/>
          <w:b/>
          <w:color w:val="auto"/>
          <w:sz w:val="24"/>
          <w:szCs w:val="24"/>
          <w:highlight w:val="none"/>
        </w:rPr>
        <w:t>，可在</w:t>
      </w:r>
      <w:r>
        <w:rPr>
          <w:rFonts w:hint="eastAsia" w:eastAsia="仿宋"/>
          <w:b/>
          <w:color w:val="auto"/>
          <w:sz w:val="24"/>
          <w:szCs w:val="24"/>
          <w:highlight w:val="none"/>
          <w:lang w:eastAsia="zh-CN"/>
        </w:rPr>
        <w:t>“</w:t>
      </w:r>
      <w:r>
        <w:rPr>
          <w:rFonts w:eastAsia="仿宋"/>
          <w:b/>
          <w:color w:val="auto"/>
          <w:sz w:val="24"/>
          <w:szCs w:val="24"/>
          <w:highlight w:val="none"/>
        </w:rPr>
        <w:t>说明</w:t>
      </w:r>
      <w:r>
        <w:rPr>
          <w:rFonts w:hint="eastAsia" w:eastAsia="仿宋"/>
          <w:b/>
          <w:color w:val="auto"/>
          <w:sz w:val="24"/>
          <w:szCs w:val="24"/>
          <w:highlight w:val="none"/>
          <w:lang w:eastAsia="zh-CN"/>
        </w:rPr>
        <w:t>”</w:t>
      </w:r>
      <w:r>
        <w:rPr>
          <w:rFonts w:eastAsia="仿宋"/>
          <w:b/>
          <w:color w:val="auto"/>
          <w:sz w:val="24"/>
          <w:szCs w:val="24"/>
          <w:highlight w:val="none"/>
        </w:rPr>
        <w:t>一栏中说明情况。</w:t>
      </w:r>
    </w:p>
    <w:p>
      <w:pPr>
        <w:spacing w:line="400" w:lineRule="exact"/>
        <w:ind w:firstLine="482" w:firstLineChars="200"/>
        <w:rPr>
          <w:rFonts w:eastAsia="仿宋"/>
          <w:b/>
          <w:color w:val="auto"/>
          <w:sz w:val="24"/>
          <w:szCs w:val="24"/>
          <w:highlight w:val="none"/>
        </w:rPr>
      </w:pPr>
      <w:r>
        <w:rPr>
          <w:rFonts w:hint="eastAsia" w:ascii="宋体" w:hAnsi="宋体" w:cs="宋体"/>
          <w:b/>
          <w:color w:val="auto"/>
          <w:sz w:val="24"/>
          <w:szCs w:val="24"/>
          <w:highlight w:val="none"/>
        </w:rPr>
        <w:t>⑶</w:t>
      </w:r>
      <w:r>
        <w:rPr>
          <w:rFonts w:eastAsia="仿宋"/>
          <w:b/>
          <w:color w:val="auto"/>
          <w:sz w:val="24"/>
          <w:szCs w:val="24"/>
          <w:highlight w:val="none"/>
        </w:rPr>
        <w:t>投标人不按上述表格填写，所产生的一切后果由投标人承担。</w:t>
      </w:r>
    </w:p>
    <w:p>
      <w:pPr>
        <w:spacing w:line="460" w:lineRule="exact"/>
        <w:rPr>
          <w:rFonts w:eastAsia="仿宋"/>
          <w:color w:val="auto"/>
          <w:sz w:val="24"/>
          <w:highlight w:val="none"/>
        </w:rPr>
      </w:pPr>
    </w:p>
    <w:p>
      <w:pPr>
        <w:spacing w:line="460" w:lineRule="exact"/>
        <w:ind w:left="690"/>
        <w:rPr>
          <w:rFonts w:eastAsia="仿宋"/>
          <w:color w:val="auto"/>
          <w:sz w:val="24"/>
          <w:highlight w:val="none"/>
        </w:rPr>
      </w:pPr>
      <w:bookmarkStart w:id="332" w:name="_Toc399344500"/>
      <w:bookmarkStart w:id="333" w:name="_Toc399344127"/>
      <w:bookmarkStart w:id="334" w:name="_Toc400631661"/>
      <w:r>
        <w:rPr>
          <w:rFonts w:eastAsia="仿宋"/>
          <w:color w:val="auto"/>
          <w:sz w:val="24"/>
          <w:highlight w:val="none"/>
        </w:rPr>
        <w:t>投标人名称： （加盖公章）</w:t>
      </w:r>
    </w:p>
    <w:p>
      <w:pPr>
        <w:spacing w:line="460" w:lineRule="exact"/>
        <w:ind w:left="690"/>
        <w:rPr>
          <w:rFonts w:eastAsia="仿宋"/>
          <w:color w:val="auto"/>
          <w:sz w:val="24"/>
          <w:highlight w:val="none"/>
        </w:rPr>
      </w:pPr>
      <w:r>
        <w:rPr>
          <w:rFonts w:eastAsia="仿宋"/>
          <w:color w:val="auto"/>
          <w:sz w:val="24"/>
          <w:highlight w:val="none"/>
        </w:rPr>
        <w:t>法定代表人（或授权代表）签字（或签章）：</w:t>
      </w:r>
    </w:p>
    <w:p>
      <w:pPr>
        <w:spacing w:line="460" w:lineRule="exact"/>
        <w:ind w:firstLine="720" w:firstLineChars="300"/>
        <w:jc w:val="left"/>
        <w:rPr>
          <w:rFonts w:eastAsia="仿宋"/>
          <w:color w:val="auto"/>
          <w:sz w:val="24"/>
          <w:highlight w:val="none"/>
        </w:rPr>
      </w:pPr>
      <w:r>
        <w:rPr>
          <w:rFonts w:eastAsia="仿宋"/>
          <w:color w:val="auto"/>
          <w:sz w:val="24"/>
          <w:highlight w:val="none"/>
        </w:rPr>
        <w:t>日期：</w:t>
      </w:r>
    </w:p>
    <w:p>
      <w:pPr>
        <w:spacing w:line="560" w:lineRule="exact"/>
        <w:jc w:val="center"/>
        <w:outlineLvl w:val="1"/>
        <w:rPr>
          <w:rFonts w:eastAsia="仿宋"/>
          <w:b/>
          <w:bCs/>
          <w:snapToGrid w:val="0"/>
          <w:color w:val="auto"/>
          <w:kern w:val="0"/>
          <w:sz w:val="28"/>
          <w:szCs w:val="28"/>
          <w:highlight w:val="none"/>
        </w:rPr>
      </w:pPr>
      <w:r>
        <w:rPr>
          <w:rFonts w:eastAsia="仿宋"/>
          <w:b/>
          <w:color w:val="auto"/>
          <w:sz w:val="24"/>
          <w:highlight w:val="none"/>
          <w:u w:val="single"/>
        </w:rPr>
        <w:br w:type="page"/>
      </w:r>
      <w:bookmarkStart w:id="335" w:name="_Toc19358"/>
      <w:bookmarkStart w:id="336" w:name="_Toc8449"/>
      <w:bookmarkStart w:id="337" w:name="_Toc20796"/>
      <w:bookmarkStart w:id="338" w:name="_Toc111018953"/>
      <w:bookmarkStart w:id="339" w:name="_Toc1976"/>
      <w:bookmarkStart w:id="340" w:name="_Toc10820"/>
      <w:bookmarkStart w:id="341" w:name="_Toc29671"/>
      <w:bookmarkStart w:id="342" w:name="_Toc18438"/>
      <w:bookmarkStart w:id="343" w:name="_Toc16096"/>
      <w:r>
        <w:rPr>
          <w:rFonts w:eastAsia="仿宋"/>
          <w:b/>
          <w:bCs/>
          <w:snapToGrid w:val="0"/>
          <w:color w:val="auto"/>
          <w:kern w:val="0"/>
          <w:sz w:val="28"/>
          <w:szCs w:val="28"/>
          <w:highlight w:val="none"/>
        </w:rPr>
        <w:t>六、关于资格的声明函</w:t>
      </w:r>
      <w:bookmarkEnd w:id="332"/>
      <w:bookmarkEnd w:id="333"/>
      <w:bookmarkEnd w:id="334"/>
      <w:bookmarkEnd w:id="335"/>
      <w:bookmarkEnd w:id="336"/>
      <w:bookmarkEnd w:id="337"/>
      <w:bookmarkEnd w:id="338"/>
      <w:bookmarkEnd w:id="339"/>
      <w:bookmarkEnd w:id="340"/>
      <w:bookmarkEnd w:id="341"/>
      <w:bookmarkEnd w:id="342"/>
      <w:bookmarkEnd w:id="343"/>
    </w:p>
    <w:p>
      <w:pPr>
        <w:spacing w:line="460" w:lineRule="exact"/>
        <w:rPr>
          <w:rFonts w:eastAsia="仿宋"/>
          <w:b/>
          <w:color w:val="auto"/>
          <w:sz w:val="24"/>
          <w:highlight w:val="none"/>
        </w:rPr>
      </w:pPr>
    </w:p>
    <w:p>
      <w:pPr>
        <w:spacing w:line="460" w:lineRule="exact"/>
        <w:rPr>
          <w:rFonts w:eastAsia="仿宋"/>
          <w:b/>
          <w:color w:val="auto"/>
          <w:sz w:val="24"/>
          <w:highlight w:val="none"/>
        </w:rPr>
      </w:pPr>
      <w:r>
        <w:rPr>
          <w:rFonts w:eastAsia="仿宋"/>
          <w:b/>
          <w:color w:val="auto"/>
          <w:sz w:val="24"/>
          <w:highlight w:val="none"/>
        </w:rPr>
        <w:t>致：</w:t>
      </w:r>
      <w:r>
        <w:rPr>
          <w:rFonts w:eastAsia="仿宋"/>
          <w:b/>
          <w:color w:val="auto"/>
          <w:sz w:val="24"/>
          <w:highlight w:val="none"/>
          <w:u w:val="single"/>
        </w:rPr>
        <w:t>（江西省机电设备招标有限公司）</w:t>
      </w:r>
    </w:p>
    <w:p>
      <w:pPr>
        <w:spacing w:line="460" w:lineRule="exact"/>
        <w:ind w:firstLine="480" w:firstLineChars="200"/>
        <w:rPr>
          <w:rFonts w:eastAsia="仿宋"/>
          <w:color w:val="auto"/>
          <w:sz w:val="24"/>
          <w:highlight w:val="none"/>
        </w:rPr>
      </w:pPr>
      <w:r>
        <w:rPr>
          <w:rFonts w:eastAsia="仿宋"/>
          <w:color w:val="auto"/>
          <w:sz w:val="24"/>
          <w:highlight w:val="none"/>
        </w:rPr>
        <w:t>关于贵方</w:t>
      </w:r>
      <w:r>
        <w:rPr>
          <w:rFonts w:eastAsia="仿宋"/>
          <w:color w:val="auto"/>
          <w:sz w:val="24"/>
          <w:highlight w:val="none"/>
          <w:u w:val="single"/>
        </w:rPr>
        <w:t>（项目名称、项目编号、包号）</w:t>
      </w:r>
      <w:r>
        <w:rPr>
          <w:rFonts w:eastAsia="仿宋"/>
          <w:color w:val="auto"/>
          <w:sz w:val="24"/>
          <w:highlight w:val="none"/>
        </w:rPr>
        <w:t>投标邀请，本签字人愿意参加投标，提供招标文件中规定的货物和服务，并证明投标文件中所提交的所有材料和所述事项均是准确的和真实的。</w:t>
      </w:r>
    </w:p>
    <w:p>
      <w:pPr>
        <w:spacing w:line="460" w:lineRule="exact"/>
        <w:rPr>
          <w:rFonts w:eastAsia="仿宋"/>
          <w:color w:val="auto"/>
          <w:sz w:val="24"/>
          <w:highlight w:val="none"/>
        </w:rPr>
      </w:pPr>
    </w:p>
    <w:p>
      <w:pPr>
        <w:spacing w:line="460" w:lineRule="exact"/>
        <w:ind w:left="690"/>
        <w:rPr>
          <w:rFonts w:eastAsia="仿宋"/>
          <w:color w:val="auto"/>
          <w:sz w:val="24"/>
          <w:highlight w:val="none"/>
        </w:rPr>
      </w:pPr>
      <w:r>
        <w:rPr>
          <w:rFonts w:eastAsia="仿宋"/>
          <w:color w:val="auto"/>
          <w:sz w:val="24"/>
          <w:highlight w:val="none"/>
        </w:rPr>
        <w:t>投标人名称： （加盖公章）</w:t>
      </w:r>
    </w:p>
    <w:p>
      <w:pPr>
        <w:spacing w:line="460" w:lineRule="exact"/>
        <w:ind w:left="690"/>
        <w:rPr>
          <w:rFonts w:eastAsia="仿宋"/>
          <w:color w:val="auto"/>
          <w:sz w:val="24"/>
          <w:highlight w:val="none"/>
        </w:rPr>
      </w:pPr>
      <w:r>
        <w:rPr>
          <w:rFonts w:eastAsia="仿宋"/>
          <w:color w:val="auto"/>
          <w:sz w:val="24"/>
          <w:highlight w:val="none"/>
        </w:rPr>
        <w:t>法定代表人（或授权代表）签字（或签章）：</w:t>
      </w:r>
    </w:p>
    <w:p>
      <w:pPr>
        <w:spacing w:line="460" w:lineRule="exact"/>
        <w:ind w:firstLine="720" w:firstLineChars="300"/>
        <w:jc w:val="left"/>
        <w:rPr>
          <w:rFonts w:eastAsia="仿宋"/>
          <w:color w:val="auto"/>
          <w:sz w:val="24"/>
          <w:highlight w:val="none"/>
        </w:rPr>
      </w:pPr>
      <w:r>
        <w:rPr>
          <w:rFonts w:eastAsia="仿宋"/>
          <w:color w:val="auto"/>
          <w:sz w:val="24"/>
          <w:highlight w:val="none"/>
        </w:rPr>
        <w:t>日期：</w:t>
      </w:r>
    </w:p>
    <w:p>
      <w:pPr>
        <w:spacing w:line="560" w:lineRule="exact"/>
        <w:jc w:val="center"/>
        <w:outlineLvl w:val="1"/>
        <w:rPr>
          <w:rFonts w:eastAsia="仿宋"/>
          <w:b/>
          <w:bCs/>
          <w:snapToGrid w:val="0"/>
          <w:color w:val="auto"/>
          <w:kern w:val="0"/>
          <w:sz w:val="28"/>
          <w:szCs w:val="28"/>
          <w:highlight w:val="none"/>
        </w:rPr>
      </w:pPr>
      <w:r>
        <w:rPr>
          <w:rFonts w:eastAsia="仿宋"/>
          <w:color w:val="auto"/>
          <w:szCs w:val="21"/>
          <w:highlight w:val="none"/>
          <w:u w:val="single"/>
        </w:rPr>
        <w:br w:type="page"/>
      </w:r>
      <w:bookmarkStart w:id="344" w:name="_Toc11020"/>
      <w:bookmarkStart w:id="345" w:name="_Toc10507"/>
      <w:bookmarkStart w:id="346" w:name="_Toc111018954"/>
      <w:bookmarkStart w:id="347" w:name="_Toc16753"/>
      <w:bookmarkStart w:id="348" w:name="_Toc20029"/>
      <w:bookmarkStart w:id="349" w:name="_Toc21008"/>
      <w:bookmarkStart w:id="350" w:name="_Toc11555"/>
      <w:bookmarkStart w:id="351" w:name="_Toc8250"/>
      <w:bookmarkStart w:id="352" w:name="_Toc28432"/>
      <w:r>
        <w:rPr>
          <w:rFonts w:eastAsia="仿宋"/>
          <w:b/>
          <w:bCs/>
          <w:snapToGrid w:val="0"/>
          <w:color w:val="auto"/>
          <w:kern w:val="0"/>
          <w:sz w:val="28"/>
          <w:szCs w:val="28"/>
          <w:highlight w:val="none"/>
        </w:rPr>
        <w:t>七、法定代表人授权书</w:t>
      </w:r>
      <w:bookmarkEnd w:id="344"/>
      <w:bookmarkEnd w:id="345"/>
      <w:bookmarkEnd w:id="346"/>
      <w:bookmarkEnd w:id="347"/>
      <w:bookmarkEnd w:id="348"/>
      <w:bookmarkEnd w:id="349"/>
      <w:bookmarkEnd w:id="350"/>
      <w:bookmarkEnd w:id="351"/>
      <w:bookmarkEnd w:id="352"/>
    </w:p>
    <w:p>
      <w:pPr>
        <w:spacing w:line="460" w:lineRule="exact"/>
        <w:rPr>
          <w:rFonts w:eastAsia="仿宋"/>
          <w:color w:val="auto"/>
          <w:sz w:val="24"/>
          <w:highlight w:val="none"/>
        </w:rPr>
      </w:pPr>
    </w:p>
    <w:p>
      <w:pPr>
        <w:spacing w:line="460" w:lineRule="exact"/>
        <w:rPr>
          <w:rFonts w:eastAsia="仿宋"/>
          <w:color w:val="auto"/>
          <w:sz w:val="24"/>
          <w:highlight w:val="none"/>
        </w:rPr>
      </w:pPr>
      <w:r>
        <w:rPr>
          <w:rFonts w:eastAsia="仿宋"/>
          <w:color w:val="auto"/>
          <w:sz w:val="24"/>
          <w:highlight w:val="none"/>
        </w:rPr>
        <w:t>江西省机电设备招标有限公司：</w:t>
      </w:r>
    </w:p>
    <w:p>
      <w:pPr>
        <w:spacing w:line="460" w:lineRule="exact"/>
        <w:ind w:firstLine="480" w:firstLineChars="200"/>
        <w:rPr>
          <w:rFonts w:eastAsia="仿宋"/>
          <w:color w:val="auto"/>
          <w:sz w:val="24"/>
          <w:highlight w:val="none"/>
          <w:u w:val="single"/>
        </w:rPr>
      </w:pPr>
      <w:r>
        <w:rPr>
          <w:rFonts w:eastAsia="仿宋"/>
          <w:color w:val="auto"/>
          <w:sz w:val="24"/>
          <w:highlight w:val="none"/>
        </w:rPr>
        <w:t>本授权委托书声明：我（姓名），系（单位名称）的法定代表人，兹授权同志，为我方签订经济合同及办理其他事务代理人，其权限是：</w:t>
      </w:r>
      <w:r>
        <w:rPr>
          <w:rFonts w:eastAsia="仿宋"/>
          <w:color w:val="auto"/>
          <w:sz w:val="24"/>
          <w:highlight w:val="none"/>
          <w:u w:val="single"/>
        </w:rPr>
        <w:t>全权代表本公司参与（项目名称、项目编号、包号）的投标，负责提供与签署确认一切文书资料，以及向贵方递交的任何补充承诺。</w:t>
      </w:r>
    </w:p>
    <w:p>
      <w:pPr>
        <w:spacing w:line="460" w:lineRule="exact"/>
        <w:ind w:left="690"/>
        <w:rPr>
          <w:rFonts w:eastAsia="仿宋"/>
          <w:color w:val="auto"/>
          <w:sz w:val="24"/>
          <w:highlight w:val="none"/>
        </w:rPr>
      </w:pPr>
      <w:r>
        <w:rPr>
          <w:rFonts w:eastAsia="仿宋"/>
          <w:color w:val="auto"/>
          <w:sz w:val="24"/>
          <w:highlight w:val="none"/>
        </w:rPr>
        <w:t>投标人名称： （加盖公章）</w:t>
      </w:r>
    </w:p>
    <w:p>
      <w:pPr>
        <w:spacing w:line="460" w:lineRule="exact"/>
        <w:ind w:firstLine="561"/>
        <w:rPr>
          <w:rFonts w:eastAsia="仿宋"/>
          <w:color w:val="auto"/>
          <w:sz w:val="24"/>
          <w:highlight w:val="none"/>
        </w:rPr>
      </w:pPr>
      <w:r>
        <w:rPr>
          <w:rFonts w:eastAsia="仿宋"/>
          <w:color w:val="auto"/>
          <w:sz w:val="24"/>
          <w:highlight w:val="none"/>
        </w:rPr>
        <w:t xml:space="preserve"> 法定代表人：（签字或签章）</w:t>
      </w:r>
    </w:p>
    <w:p>
      <w:pPr>
        <w:spacing w:line="460" w:lineRule="exact"/>
        <w:ind w:firstLine="561"/>
        <w:rPr>
          <w:rFonts w:eastAsia="仿宋"/>
          <w:color w:val="auto"/>
          <w:sz w:val="24"/>
          <w:highlight w:val="none"/>
        </w:rPr>
      </w:pPr>
      <w:r>
        <w:rPr>
          <w:rFonts w:eastAsia="仿宋"/>
          <w:color w:val="auto"/>
          <w:sz w:val="24"/>
          <w:highlight w:val="none"/>
        </w:rPr>
        <w:t>有效期限：与本公司投标文件中标注的投标有效期相同，自本单位盖公章之日起生效。</w:t>
      </w:r>
    </w:p>
    <w:p>
      <w:pPr>
        <w:spacing w:line="460" w:lineRule="exact"/>
        <w:ind w:firstLine="561"/>
        <w:rPr>
          <w:rFonts w:eastAsia="仿宋"/>
          <w:color w:val="auto"/>
          <w:sz w:val="24"/>
          <w:highlight w:val="none"/>
        </w:rPr>
      </w:pPr>
      <w:r>
        <w:rPr>
          <w:rFonts w:eastAsia="仿宋"/>
          <w:color w:val="auto"/>
          <w:sz w:val="24"/>
          <w:highlight w:val="none"/>
        </w:rPr>
        <w:t>签发日期：</w:t>
      </w:r>
    </w:p>
    <w:p>
      <w:pPr>
        <w:spacing w:line="460" w:lineRule="exact"/>
        <w:ind w:firstLine="561"/>
        <w:rPr>
          <w:rFonts w:eastAsia="仿宋"/>
          <w:color w:val="auto"/>
          <w:sz w:val="24"/>
          <w:highlight w:val="none"/>
        </w:rPr>
      </w:pPr>
      <w:r>
        <w:rPr>
          <w:rFonts w:eastAsia="仿宋"/>
          <w:color w:val="auto"/>
          <w:sz w:val="24"/>
          <w:highlight w:val="none"/>
        </w:rPr>
        <w:t xml:space="preserve">附：代理人性别：        年龄：       职务：         </w:t>
      </w:r>
    </w:p>
    <w:p>
      <w:pPr>
        <w:spacing w:line="460" w:lineRule="exact"/>
        <w:ind w:firstLine="561"/>
        <w:rPr>
          <w:rFonts w:eastAsia="仿宋"/>
          <w:color w:val="auto"/>
          <w:sz w:val="24"/>
          <w:highlight w:val="none"/>
        </w:rPr>
      </w:pPr>
      <w:r>
        <w:rPr>
          <w:rFonts w:eastAsia="仿宋"/>
          <w:color w:val="auto"/>
          <w:sz w:val="24"/>
          <w:highlight w:val="none"/>
        </w:rPr>
        <w:t>身份证号码：                     联系电话：</w:t>
      </w:r>
    </w:p>
    <w:p>
      <w:pPr>
        <w:spacing w:line="460" w:lineRule="exact"/>
        <w:rPr>
          <w:rFonts w:eastAsia="仿宋"/>
          <w:color w:val="auto"/>
          <w:sz w:val="24"/>
          <w:highlight w:val="none"/>
        </w:rPr>
      </w:pPr>
      <w:r>
        <w:rPr>
          <w:rFonts w:eastAsia="仿宋"/>
          <w:color w:val="auto"/>
          <w:sz w:val="24"/>
          <w:highlight w:val="none"/>
        </w:rPr>
        <w:t>说明：1.法定代表人为企业事业单位、国家机关、社会团体的主要行政负责人。</w:t>
      </w:r>
    </w:p>
    <w:p>
      <w:pPr>
        <w:spacing w:line="460" w:lineRule="exact"/>
        <w:ind w:firstLine="708" w:firstLineChars="295"/>
        <w:rPr>
          <w:rFonts w:eastAsia="仿宋"/>
          <w:color w:val="auto"/>
          <w:sz w:val="24"/>
          <w:highlight w:val="none"/>
        </w:rPr>
      </w:pPr>
      <w:r>
        <w:rPr>
          <w:rFonts w:eastAsia="仿宋"/>
          <w:color w:val="auto"/>
          <w:sz w:val="24"/>
          <w:highlight w:val="none"/>
        </w:rPr>
        <w:t>2.内容必须填写真实、清楚、涂改无效，不得转让。</w:t>
      </w:r>
    </w:p>
    <w:p>
      <w:pPr>
        <w:spacing w:line="460" w:lineRule="exact"/>
        <w:ind w:firstLine="708" w:firstLineChars="295"/>
        <w:rPr>
          <w:rFonts w:eastAsia="仿宋"/>
          <w:color w:val="auto"/>
          <w:sz w:val="24"/>
          <w:highlight w:val="none"/>
        </w:rPr>
      </w:pPr>
      <w:r>
        <w:rPr>
          <w:rFonts w:eastAsia="仿宋"/>
          <w:color w:val="auto"/>
          <w:sz w:val="24"/>
          <w:highlight w:val="none"/>
        </w:rPr>
        <w:t>3.法定代表人本人参与投标，则本表不适用。</w:t>
      </w:r>
    </w:p>
    <w:tbl>
      <w:tblPr>
        <w:tblStyle w:val="42"/>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1"/>
        <w:gridCol w:w="46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5" w:hRule="atLeast"/>
        </w:trPr>
        <w:tc>
          <w:tcPr>
            <w:tcW w:w="4641" w:type="dxa"/>
            <w:vAlign w:val="center"/>
          </w:tcPr>
          <w:p>
            <w:pPr>
              <w:spacing w:line="360" w:lineRule="auto"/>
              <w:jc w:val="center"/>
              <w:rPr>
                <w:rFonts w:eastAsia="仿宋"/>
                <w:color w:val="auto"/>
                <w:sz w:val="24"/>
                <w:szCs w:val="22"/>
                <w:highlight w:val="none"/>
              </w:rPr>
            </w:pPr>
            <w:r>
              <w:rPr>
                <w:rFonts w:eastAsia="仿宋"/>
                <w:color w:val="auto"/>
                <w:sz w:val="24"/>
                <w:szCs w:val="22"/>
                <w:highlight w:val="none"/>
              </w:rPr>
              <w:t>法定代表人身份证粘贴处</w:t>
            </w:r>
          </w:p>
        </w:tc>
        <w:tc>
          <w:tcPr>
            <w:tcW w:w="4645" w:type="dxa"/>
            <w:vAlign w:val="center"/>
          </w:tcPr>
          <w:p>
            <w:pPr>
              <w:spacing w:line="360" w:lineRule="auto"/>
              <w:jc w:val="center"/>
              <w:rPr>
                <w:rFonts w:eastAsia="仿宋"/>
                <w:color w:val="auto"/>
                <w:sz w:val="24"/>
                <w:szCs w:val="22"/>
                <w:highlight w:val="none"/>
              </w:rPr>
            </w:pPr>
            <w:r>
              <w:rPr>
                <w:rFonts w:eastAsia="仿宋"/>
                <w:color w:val="auto"/>
                <w:sz w:val="24"/>
                <w:szCs w:val="22"/>
                <w:highlight w:val="none"/>
              </w:rPr>
              <w:t>委托人身份证粘贴处</w:t>
            </w:r>
          </w:p>
        </w:tc>
      </w:tr>
    </w:tbl>
    <w:p>
      <w:pPr>
        <w:rPr>
          <w:rFonts w:eastAsia="仿宋"/>
          <w:color w:val="auto"/>
          <w:highlight w:val="none"/>
        </w:rPr>
      </w:pPr>
      <w:bookmarkStart w:id="353" w:name="_Toc400631664"/>
      <w:bookmarkStart w:id="354" w:name="_Toc399344503"/>
      <w:bookmarkStart w:id="355" w:name="_Toc399344130"/>
      <w:bookmarkStart w:id="356" w:name="_Hlk25942543"/>
    </w:p>
    <w:p>
      <w:pPr>
        <w:spacing w:line="560" w:lineRule="exact"/>
        <w:jc w:val="center"/>
        <w:outlineLvl w:val="1"/>
        <w:rPr>
          <w:rFonts w:eastAsia="仿宋"/>
          <w:b/>
          <w:bCs/>
          <w:snapToGrid w:val="0"/>
          <w:color w:val="auto"/>
          <w:kern w:val="0"/>
          <w:sz w:val="28"/>
          <w:szCs w:val="28"/>
          <w:highlight w:val="none"/>
        </w:rPr>
      </w:pPr>
      <w:r>
        <w:rPr>
          <w:rFonts w:eastAsia="仿宋"/>
          <w:color w:val="auto"/>
          <w:sz w:val="24"/>
          <w:highlight w:val="none"/>
        </w:rPr>
        <w:br w:type="page"/>
      </w:r>
      <w:bookmarkStart w:id="357" w:name="_Toc15701"/>
      <w:bookmarkStart w:id="358" w:name="_Toc30529"/>
      <w:bookmarkStart w:id="359" w:name="_Toc111018955"/>
      <w:bookmarkStart w:id="360" w:name="_Toc6224"/>
      <w:bookmarkStart w:id="361" w:name="_Toc4146"/>
      <w:bookmarkStart w:id="362" w:name="_Toc14387"/>
      <w:bookmarkStart w:id="363" w:name="_Toc20860"/>
      <w:bookmarkStart w:id="364" w:name="_Toc8427"/>
      <w:bookmarkStart w:id="365" w:name="_Toc3686"/>
      <w:r>
        <w:rPr>
          <w:rFonts w:eastAsia="仿宋"/>
          <w:b/>
          <w:bCs/>
          <w:snapToGrid w:val="0"/>
          <w:color w:val="auto"/>
          <w:kern w:val="0"/>
          <w:sz w:val="28"/>
          <w:szCs w:val="28"/>
          <w:highlight w:val="none"/>
        </w:rPr>
        <w:t>八、资格证明文件</w:t>
      </w:r>
      <w:bookmarkEnd w:id="353"/>
      <w:bookmarkEnd w:id="354"/>
      <w:bookmarkEnd w:id="355"/>
      <w:bookmarkEnd w:id="357"/>
      <w:bookmarkEnd w:id="358"/>
      <w:bookmarkEnd w:id="359"/>
      <w:bookmarkEnd w:id="360"/>
      <w:bookmarkEnd w:id="361"/>
      <w:bookmarkEnd w:id="362"/>
      <w:bookmarkEnd w:id="363"/>
      <w:bookmarkEnd w:id="364"/>
      <w:bookmarkEnd w:id="365"/>
    </w:p>
    <w:bookmarkEnd w:id="356"/>
    <w:p>
      <w:pPr>
        <w:spacing w:line="460" w:lineRule="exact"/>
        <w:rPr>
          <w:rFonts w:eastAsia="仿宋"/>
          <w:b/>
          <w:color w:val="auto"/>
          <w:sz w:val="24"/>
          <w:highlight w:val="none"/>
        </w:rPr>
      </w:pPr>
      <w:bookmarkStart w:id="366" w:name="_Toc399344131"/>
      <w:bookmarkStart w:id="367" w:name="_Toc400631665"/>
      <w:bookmarkStart w:id="368" w:name="_Toc399344504"/>
      <w:r>
        <w:rPr>
          <w:rFonts w:eastAsia="仿宋"/>
          <w:b/>
          <w:color w:val="auto"/>
          <w:sz w:val="24"/>
          <w:highlight w:val="none"/>
        </w:rPr>
        <w:t>资格证明文件组成如下：</w:t>
      </w:r>
    </w:p>
    <w:p>
      <w:pPr>
        <w:spacing w:line="460" w:lineRule="exact"/>
        <w:jc w:val="center"/>
        <w:rPr>
          <w:rFonts w:eastAsia="仿宋"/>
          <w:b/>
          <w:color w:val="auto"/>
          <w:sz w:val="24"/>
          <w:highlight w:val="none"/>
        </w:rPr>
      </w:pPr>
    </w:p>
    <w:p>
      <w:pPr>
        <w:spacing w:line="460" w:lineRule="exact"/>
        <w:jc w:val="center"/>
        <w:rPr>
          <w:rFonts w:eastAsia="仿宋"/>
          <w:b/>
          <w:color w:val="auto"/>
          <w:sz w:val="24"/>
          <w:highlight w:val="none"/>
        </w:rPr>
      </w:pPr>
      <w:r>
        <w:rPr>
          <w:rFonts w:eastAsia="仿宋"/>
          <w:b/>
          <w:color w:val="auto"/>
          <w:sz w:val="24"/>
          <w:highlight w:val="none"/>
        </w:rPr>
        <w:t>1.具有独立承担民事责任的能力的资格证明文件</w:t>
      </w:r>
    </w:p>
    <w:p>
      <w:pPr>
        <w:spacing w:line="460" w:lineRule="exact"/>
        <w:rPr>
          <w:rFonts w:eastAsia="仿宋"/>
          <w:b/>
          <w:color w:val="auto"/>
          <w:sz w:val="24"/>
          <w:highlight w:val="none"/>
        </w:rPr>
      </w:pPr>
    </w:p>
    <w:p>
      <w:pPr>
        <w:spacing w:line="460" w:lineRule="exact"/>
        <w:rPr>
          <w:rFonts w:eastAsia="仿宋"/>
          <w:color w:val="auto"/>
          <w:sz w:val="24"/>
          <w:highlight w:val="none"/>
        </w:rPr>
      </w:pPr>
      <w:r>
        <w:rPr>
          <w:rFonts w:eastAsia="仿宋"/>
          <w:b/>
          <w:color w:val="auto"/>
          <w:sz w:val="24"/>
          <w:highlight w:val="none"/>
        </w:rPr>
        <w:t>提供材料说明：</w:t>
      </w:r>
      <w:r>
        <w:rPr>
          <w:rFonts w:eastAsia="仿宋"/>
          <w:color w:val="auto"/>
          <w:sz w:val="24"/>
          <w:highlight w:val="none"/>
        </w:rPr>
        <w:t>如投标人是企业的包括（合伙企业）应提供有效的</w:t>
      </w:r>
      <w:r>
        <w:rPr>
          <w:rFonts w:hint="eastAsia" w:eastAsia="仿宋"/>
          <w:color w:val="auto"/>
          <w:sz w:val="24"/>
          <w:highlight w:val="none"/>
          <w:lang w:eastAsia="zh-CN"/>
        </w:rPr>
        <w:t>“</w:t>
      </w:r>
      <w:r>
        <w:rPr>
          <w:rFonts w:eastAsia="仿宋"/>
          <w:color w:val="auto"/>
          <w:sz w:val="24"/>
          <w:highlight w:val="none"/>
        </w:rPr>
        <w:t>企业法人营业执照</w:t>
      </w:r>
      <w:r>
        <w:rPr>
          <w:rFonts w:hint="eastAsia" w:eastAsia="仿宋"/>
          <w:color w:val="auto"/>
          <w:sz w:val="24"/>
          <w:highlight w:val="none"/>
          <w:lang w:eastAsia="zh-CN"/>
        </w:rPr>
        <w:t>”</w:t>
      </w:r>
      <w:r>
        <w:rPr>
          <w:rFonts w:eastAsia="仿宋"/>
          <w:color w:val="auto"/>
          <w:sz w:val="24"/>
          <w:highlight w:val="none"/>
        </w:rPr>
        <w:t>或</w:t>
      </w:r>
      <w:r>
        <w:rPr>
          <w:rFonts w:hint="eastAsia" w:eastAsia="仿宋"/>
          <w:color w:val="auto"/>
          <w:sz w:val="24"/>
          <w:highlight w:val="none"/>
          <w:lang w:eastAsia="zh-CN"/>
        </w:rPr>
        <w:t>“</w:t>
      </w:r>
      <w:r>
        <w:rPr>
          <w:rFonts w:eastAsia="仿宋"/>
          <w:color w:val="auto"/>
          <w:sz w:val="24"/>
          <w:highlight w:val="none"/>
        </w:rPr>
        <w:t>营业执照</w:t>
      </w:r>
      <w:r>
        <w:rPr>
          <w:rFonts w:hint="eastAsia" w:eastAsia="仿宋"/>
          <w:color w:val="auto"/>
          <w:sz w:val="24"/>
          <w:highlight w:val="none"/>
          <w:lang w:eastAsia="zh-CN"/>
        </w:rPr>
        <w:t>”</w:t>
      </w:r>
      <w:r>
        <w:rPr>
          <w:rFonts w:eastAsia="仿宋"/>
          <w:color w:val="auto"/>
          <w:sz w:val="24"/>
          <w:highlight w:val="none"/>
        </w:rPr>
        <w:t>；如投标人是事业单位的应提供</w:t>
      </w:r>
      <w:r>
        <w:rPr>
          <w:rFonts w:hint="eastAsia" w:eastAsia="仿宋"/>
          <w:color w:val="auto"/>
          <w:sz w:val="24"/>
          <w:highlight w:val="none"/>
          <w:lang w:eastAsia="zh-CN"/>
        </w:rPr>
        <w:t>“</w:t>
      </w:r>
      <w:r>
        <w:rPr>
          <w:rFonts w:eastAsia="仿宋"/>
          <w:color w:val="auto"/>
          <w:sz w:val="24"/>
          <w:highlight w:val="none"/>
        </w:rPr>
        <w:t>事业单位法人证书</w:t>
      </w:r>
      <w:r>
        <w:rPr>
          <w:rFonts w:hint="eastAsia" w:eastAsia="仿宋"/>
          <w:color w:val="auto"/>
          <w:sz w:val="24"/>
          <w:highlight w:val="none"/>
          <w:lang w:eastAsia="zh-CN"/>
        </w:rPr>
        <w:t>”</w:t>
      </w:r>
      <w:r>
        <w:rPr>
          <w:rFonts w:eastAsia="仿宋"/>
          <w:color w:val="auto"/>
          <w:sz w:val="24"/>
          <w:highlight w:val="none"/>
        </w:rPr>
        <w:t>；如投标人是非企业专业服务机构的应提供执业许可证等证明文件；如投标人是个体工商户的应提供有效的</w:t>
      </w:r>
      <w:r>
        <w:rPr>
          <w:rFonts w:hint="eastAsia" w:eastAsia="仿宋"/>
          <w:color w:val="auto"/>
          <w:sz w:val="24"/>
          <w:highlight w:val="none"/>
          <w:lang w:eastAsia="zh-CN"/>
        </w:rPr>
        <w:t>“</w:t>
      </w:r>
      <w:r>
        <w:rPr>
          <w:rFonts w:eastAsia="仿宋"/>
          <w:color w:val="auto"/>
          <w:sz w:val="24"/>
          <w:highlight w:val="none"/>
        </w:rPr>
        <w:t>个体工商户营业执照</w:t>
      </w:r>
      <w:r>
        <w:rPr>
          <w:rFonts w:hint="eastAsia" w:eastAsia="仿宋"/>
          <w:color w:val="auto"/>
          <w:sz w:val="24"/>
          <w:highlight w:val="none"/>
          <w:lang w:eastAsia="zh-CN"/>
        </w:rPr>
        <w:t>”</w:t>
      </w:r>
      <w:r>
        <w:rPr>
          <w:rFonts w:eastAsia="仿宋"/>
          <w:color w:val="auto"/>
          <w:sz w:val="24"/>
          <w:highlight w:val="none"/>
        </w:rPr>
        <w:t>、组织机构代码证（实行</w:t>
      </w:r>
      <w:r>
        <w:rPr>
          <w:rFonts w:hint="eastAsia" w:eastAsia="仿宋"/>
          <w:color w:val="auto"/>
          <w:sz w:val="24"/>
          <w:highlight w:val="none"/>
          <w:lang w:eastAsia="zh-CN"/>
        </w:rPr>
        <w:t>“</w:t>
      </w:r>
      <w:r>
        <w:rPr>
          <w:rFonts w:eastAsia="仿宋"/>
          <w:color w:val="auto"/>
          <w:sz w:val="24"/>
          <w:highlight w:val="none"/>
        </w:rPr>
        <w:t>三证合一</w:t>
      </w:r>
      <w:r>
        <w:rPr>
          <w:rFonts w:hint="eastAsia" w:eastAsia="仿宋"/>
          <w:color w:val="auto"/>
          <w:sz w:val="24"/>
          <w:highlight w:val="none"/>
          <w:lang w:eastAsia="zh-CN"/>
        </w:rPr>
        <w:t>”</w:t>
      </w:r>
      <w:r>
        <w:rPr>
          <w:rFonts w:eastAsia="仿宋"/>
          <w:color w:val="auto"/>
          <w:sz w:val="24"/>
          <w:highlight w:val="none"/>
        </w:rPr>
        <w:t>的不需单独提供组织机构代码证）；如投标人是自然人的，应提供有效的自然人的身份证明</w:t>
      </w:r>
      <w:r>
        <w:rPr>
          <w:rFonts w:hint="eastAsia" w:eastAsia="仿宋"/>
          <w:color w:val="auto"/>
          <w:sz w:val="24"/>
          <w:highlight w:val="none"/>
          <w:lang w:eastAsia="zh-CN"/>
        </w:rPr>
        <w:t>（</w:t>
      </w:r>
      <w:r>
        <w:rPr>
          <w:rFonts w:eastAsia="仿宋"/>
          <w:color w:val="auto"/>
          <w:sz w:val="24"/>
          <w:highlight w:val="none"/>
        </w:rPr>
        <w:t>中国公民</w:t>
      </w:r>
      <w:r>
        <w:rPr>
          <w:rFonts w:hint="eastAsia" w:eastAsia="仿宋"/>
          <w:color w:val="auto"/>
          <w:sz w:val="24"/>
          <w:highlight w:val="none"/>
          <w:lang w:eastAsia="zh-CN"/>
        </w:rPr>
        <w:t>）</w:t>
      </w:r>
      <w:r>
        <w:rPr>
          <w:rFonts w:eastAsia="仿宋"/>
          <w:color w:val="auto"/>
          <w:sz w:val="24"/>
          <w:highlight w:val="none"/>
        </w:rPr>
        <w:t>。如采购标的属于银行、保险、石油石化、电力、电信等行业的，允许该行业法人的分支机构参加投标，提供分支机构的《营业执照》及总公司同意分支机构参与该项目的授权书。</w:t>
      </w:r>
    </w:p>
    <w:p>
      <w:pPr>
        <w:rPr>
          <w:color w:val="auto"/>
          <w:highlight w:val="none"/>
        </w:rPr>
      </w:pPr>
    </w:p>
    <w:p>
      <w:pPr>
        <w:rPr>
          <w:color w:val="auto"/>
          <w:highlight w:val="none"/>
        </w:rPr>
      </w:pPr>
    </w:p>
    <w:p>
      <w:pPr>
        <w:rPr>
          <w:color w:val="auto"/>
          <w:highlight w:val="none"/>
        </w:rPr>
      </w:pPr>
    </w:p>
    <w:p>
      <w:pPr>
        <w:spacing w:line="460" w:lineRule="exact"/>
        <w:jc w:val="center"/>
        <w:rPr>
          <w:rFonts w:eastAsia="仿宋"/>
          <w:b/>
          <w:color w:val="auto"/>
          <w:sz w:val="24"/>
          <w:highlight w:val="none"/>
        </w:rPr>
      </w:pPr>
      <w:r>
        <w:rPr>
          <w:rFonts w:eastAsia="仿宋"/>
          <w:b/>
          <w:color w:val="auto"/>
          <w:sz w:val="24"/>
          <w:highlight w:val="none"/>
        </w:rPr>
        <w:t>2.具有良好的商业信誉和健全的财务会计制度的证明文件</w:t>
      </w:r>
    </w:p>
    <w:p>
      <w:pPr>
        <w:spacing w:line="460" w:lineRule="exact"/>
        <w:rPr>
          <w:rFonts w:eastAsia="仿宋"/>
          <w:b/>
          <w:color w:val="auto"/>
          <w:sz w:val="24"/>
          <w:highlight w:val="none"/>
        </w:rPr>
      </w:pPr>
    </w:p>
    <w:p>
      <w:pPr>
        <w:spacing w:line="460" w:lineRule="exact"/>
        <w:rPr>
          <w:rFonts w:eastAsia="仿宋"/>
          <w:b/>
          <w:color w:val="auto"/>
          <w:sz w:val="24"/>
          <w:highlight w:val="none"/>
        </w:rPr>
      </w:pPr>
      <w:r>
        <w:rPr>
          <w:rFonts w:eastAsia="仿宋"/>
          <w:b/>
          <w:color w:val="auto"/>
          <w:sz w:val="24"/>
          <w:highlight w:val="none"/>
        </w:rPr>
        <w:t>提供材料说明：</w:t>
      </w:r>
      <w:r>
        <w:rPr>
          <w:rFonts w:eastAsia="仿宋"/>
          <w:color w:val="auto"/>
          <w:sz w:val="24"/>
          <w:highlight w:val="none"/>
        </w:rPr>
        <w:t>投标人是法人的，提供开标前二个年度内任一年度经审计的财务状况报告，或在开标前三个月内其基本开户银行出具的资信证明；其他组织和自然人，没有经审计的财务报告，可以提供在开标前三个月内银行出具的资信证明；个体工商户提供开标前三个月内中国人民银行征信中心开具个人信用报告。</w:t>
      </w:r>
    </w:p>
    <w:p>
      <w:pPr>
        <w:spacing w:line="460" w:lineRule="exact"/>
        <w:rPr>
          <w:rFonts w:eastAsia="仿宋"/>
          <w:b/>
          <w:color w:val="auto"/>
          <w:sz w:val="24"/>
          <w:highlight w:val="none"/>
        </w:rPr>
      </w:pPr>
    </w:p>
    <w:p>
      <w:pPr>
        <w:spacing w:line="460" w:lineRule="exact"/>
        <w:rPr>
          <w:rFonts w:eastAsia="仿宋"/>
          <w:b/>
          <w:color w:val="auto"/>
          <w:sz w:val="24"/>
          <w:highlight w:val="none"/>
        </w:rPr>
      </w:pPr>
    </w:p>
    <w:p>
      <w:pPr>
        <w:spacing w:line="460" w:lineRule="exact"/>
        <w:jc w:val="center"/>
        <w:rPr>
          <w:rFonts w:eastAsia="仿宋"/>
          <w:b/>
          <w:color w:val="auto"/>
          <w:sz w:val="24"/>
          <w:highlight w:val="none"/>
        </w:rPr>
      </w:pPr>
      <w:r>
        <w:rPr>
          <w:rFonts w:eastAsia="仿宋"/>
          <w:b/>
          <w:color w:val="auto"/>
          <w:sz w:val="24"/>
          <w:highlight w:val="none"/>
        </w:rPr>
        <w:t>3.有依法缴纳税收和社会保障资金的良好记录的证明文件</w:t>
      </w:r>
    </w:p>
    <w:p>
      <w:pPr>
        <w:spacing w:line="460" w:lineRule="exact"/>
        <w:rPr>
          <w:rFonts w:eastAsia="仿宋"/>
          <w:b/>
          <w:color w:val="auto"/>
          <w:sz w:val="24"/>
          <w:highlight w:val="none"/>
        </w:rPr>
      </w:pPr>
    </w:p>
    <w:p>
      <w:pPr>
        <w:spacing w:line="460" w:lineRule="exact"/>
        <w:rPr>
          <w:rFonts w:eastAsia="仿宋"/>
          <w:b/>
          <w:color w:val="auto"/>
          <w:sz w:val="24"/>
          <w:highlight w:val="none"/>
        </w:rPr>
      </w:pPr>
      <w:r>
        <w:rPr>
          <w:rFonts w:eastAsia="仿宋"/>
          <w:b/>
          <w:color w:val="auto"/>
          <w:sz w:val="24"/>
          <w:highlight w:val="none"/>
        </w:rPr>
        <w:t>提供材料说明：</w:t>
      </w:r>
      <w:r>
        <w:rPr>
          <w:rFonts w:eastAsia="仿宋"/>
          <w:color w:val="auto"/>
          <w:sz w:val="24"/>
          <w:highlight w:val="none"/>
        </w:rPr>
        <w:t>提供开标前六个月内任意一个月的依法缴纳税收和缴纳社会保障资金的证明材料；（依法不需要缴纳税收、社会保障资金的投标人，应当提供相关文件证明其依法免税或不需要缴纳社会保障资金）</w:t>
      </w:r>
    </w:p>
    <w:p>
      <w:pPr>
        <w:spacing w:line="460" w:lineRule="exact"/>
        <w:rPr>
          <w:rFonts w:eastAsia="仿宋"/>
          <w:b/>
          <w:color w:val="auto"/>
          <w:sz w:val="24"/>
          <w:highlight w:val="none"/>
        </w:rPr>
      </w:pPr>
    </w:p>
    <w:p>
      <w:pPr>
        <w:rPr>
          <w:color w:val="auto"/>
          <w:highlight w:val="none"/>
        </w:rPr>
      </w:pPr>
    </w:p>
    <w:p>
      <w:pPr>
        <w:rPr>
          <w:color w:val="auto"/>
          <w:highlight w:val="none"/>
        </w:rPr>
      </w:pPr>
    </w:p>
    <w:p>
      <w:pPr>
        <w:rPr>
          <w:color w:val="auto"/>
          <w:highlight w:val="none"/>
        </w:rPr>
      </w:pPr>
    </w:p>
    <w:p>
      <w:pPr>
        <w:spacing w:line="460" w:lineRule="exact"/>
        <w:jc w:val="center"/>
        <w:rPr>
          <w:rFonts w:eastAsia="仿宋"/>
          <w:b/>
          <w:color w:val="auto"/>
          <w:sz w:val="24"/>
          <w:highlight w:val="none"/>
        </w:rPr>
      </w:pPr>
    </w:p>
    <w:p>
      <w:pPr>
        <w:spacing w:line="460" w:lineRule="exact"/>
        <w:jc w:val="center"/>
        <w:rPr>
          <w:rFonts w:eastAsia="仿宋"/>
          <w:b/>
          <w:color w:val="auto"/>
          <w:sz w:val="24"/>
          <w:highlight w:val="none"/>
        </w:rPr>
      </w:pPr>
      <w:r>
        <w:rPr>
          <w:rFonts w:eastAsia="仿宋"/>
          <w:b/>
          <w:color w:val="auto"/>
          <w:sz w:val="24"/>
          <w:highlight w:val="none"/>
        </w:rPr>
        <w:t>4.投标人有关资格条件声明函</w:t>
      </w:r>
    </w:p>
    <w:p>
      <w:pPr>
        <w:spacing w:line="460" w:lineRule="exact"/>
        <w:rPr>
          <w:rFonts w:eastAsia="仿宋"/>
          <w:b/>
          <w:color w:val="auto"/>
          <w:sz w:val="24"/>
          <w:highlight w:val="none"/>
        </w:rPr>
      </w:pPr>
    </w:p>
    <w:p>
      <w:pPr>
        <w:spacing w:line="460" w:lineRule="exact"/>
        <w:rPr>
          <w:rFonts w:eastAsia="仿宋"/>
          <w:color w:val="auto"/>
          <w:sz w:val="24"/>
          <w:highlight w:val="none"/>
        </w:rPr>
      </w:pPr>
      <w:r>
        <w:rPr>
          <w:rFonts w:eastAsia="仿宋"/>
          <w:color w:val="auto"/>
          <w:sz w:val="24"/>
          <w:highlight w:val="none"/>
        </w:rPr>
        <w:t>江西省机电设备招标有限公司：</w:t>
      </w:r>
    </w:p>
    <w:p>
      <w:pPr>
        <w:spacing w:line="460" w:lineRule="exact"/>
        <w:ind w:firstLine="480" w:firstLineChars="200"/>
        <w:rPr>
          <w:rFonts w:eastAsia="仿宋"/>
          <w:color w:val="auto"/>
          <w:sz w:val="24"/>
          <w:highlight w:val="none"/>
        </w:rPr>
      </w:pPr>
      <w:r>
        <w:rPr>
          <w:rFonts w:eastAsia="仿宋"/>
          <w:color w:val="auto"/>
          <w:sz w:val="24"/>
          <w:highlight w:val="none"/>
        </w:rPr>
        <w:t>我公司参加贵公司组织的（项目名称、项目编号、包号）的投标，现就有关资格条件声明如下：</w:t>
      </w:r>
    </w:p>
    <w:p>
      <w:pPr>
        <w:spacing w:line="460" w:lineRule="exact"/>
        <w:ind w:firstLine="480" w:firstLineChars="200"/>
        <w:rPr>
          <w:rFonts w:eastAsia="仿宋"/>
          <w:color w:val="auto"/>
          <w:sz w:val="24"/>
          <w:highlight w:val="none"/>
        </w:rPr>
      </w:pPr>
      <w:r>
        <w:rPr>
          <w:rFonts w:eastAsia="仿宋"/>
          <w:color w:val="auto"/>
          <w:sz w:val="24"/>
          <w:highlight w:val="none"/>
        </w:rPr>
        <w:t>我公司具备《中华人民共和国政府采购法》第二十二条所规定的条件，并已清楚招标文件的要求及有关文件规定。</w:t>
      </w:r>
    </w:p>
    <w:p>
      <w:pPr>
        <w:spacing w:line="460" w:lineRule="exact"/>
        <w:rPr>
          <w:rFonts w:eastAsia="仿宋"/>
          <w:color w:val="auto"/>
          <w:sz w:val="24"/>
          <w:highlight w:val="none"/>
        </w:rPr>
      </w:pPr>
      <w:r>
        <w:rPr>
          <w:rFonts w:eastAsia="仿宋"/>
          <w:color w:val="auto"/>
          <w:sz w:val="24"/>
          <w:highlight w:val="none"/>
        </w:rPr>
        <w:t>（1）我公司具有履行合同所必需的设备和专业技术能力。</w:t>
      </w:r>
    </w:p>
    <w:p>
      <w:pPr>
        <w:spacing w:line="460" w:lineRule="exact"/>
        <w:rPr>
          <w:rFonts w:eastAsia="仿宋"/>
          <w:color w:val="auto"/>
          <w:sz w:val="24"/>
          <w:highlight w:val="none"/>
        </w:rPr>
      </w:pPr>
      <w:r>
        <w:rPr>
          <w:rFonts w:eastAsia="仿宋"/>
          <w:color w:val="auto"/>
          <w:sz w:val="24"/>
          <w:highlight w:val="none"/>
        </w:rPr>
        <w:t>（2）我公司参加本次政府采购活动前3年内在经营活动中没有因违法经营受到刑事处罚或者责令停产停业、吊销许可证或者执照、较大数额罚款等行政处罚。</w:t>
      </w:r>
    </w:p>
    <w:p>
      <w:pPr>
        <w:spacing w:line="460" w:lineRule="exact"/>
        <w:rPr>
          <w:rFonts w:eastAsia="仿宋"/>
          <w:color w:val="auto"/>
          <w:sz w:val="24"/>
          <w:highlight w:val="none"/>
        </w:rPr>
      </w:pPr>
      <w:r>
        <w:rPr>
          <w:rFonts w:eastAsia="仿宋"/>
          <w:color w:val="auto"/>
          <w:sz w:val="24"/>
          <w:highlight w:val="none"/>
        </w:rPr>
        <w:t>（3）我公司符合法律、行政法规规定的其他条件。</w:t>
      </w:r>
    </w:p>
    <w:p>
      <w:pPr>
        <w:spacing w:line="460" w:lineRule="exact"/>
        <w:rPr>
          <w:rFonts w:eastAsia="仿宋"/>
          <w:color w:val="auto"/>
          <w:sz w:val="24"/>
          <w:highlight w:val="none"/>
        </w:rPr>
      </w:pPr>
      <w:r>
        <w:rPr>
          <w:rFonts w:eastAsia="仿宋"/>
          <w:color w:val="auto"/>
          <w:sz w:val="24"/>
          <w:highlight w:val="none"/>
        </w:rPr>
        <w:t>（4）与我公司单位负责人为同一人或者存在直接控股、管理关系的不同投标人，未参加本次的政府采购活动。</w:t>
      </w:r>
    </w:p>
    <w:p>
      <w:pPr>
        <w:spacing w:line="460" w:lineRule="exact"/>
        <w:ind w:firstLine="480" w:firstLineChars="200"/>
        <w:rPr>
          <w:rFonts w:eastAsia="仿宋"/>
          <w:color w:val="auto"/>
          <w:sz w:val="24"/>
          <w:highlight w:val="none"/>
        </w:rPr>
      </w:pPr>
      <w:r>
        <w:rPr>
          <w:rFonts w:eastAsia="仿宋"/>
          <w:color w:val="auto"/>
          <w:sz w:val="24"/>
          <w:highlight w:val="none"/>
        </w:rPr>
        <w:t>我公司对上述声明的真实性负责。如有虚假，将依法承担相应责任。</w:t>
      </w:r>
    </w:p>
    <w:p>
      <w:pPr>
        <w:spacing w:line="460" w:lineRule="exact"/>
        <w:rPr>
          <w:rFonts w:eastAsia="仿宋"/>
          <w:b/>
          <w:color w:val="auto"/>
          <w:sz w:val="24"/>
          <w:highlight w:val="none"/>
        </w:rPr>
      </w:pPr>
    </w:p>
    <w:p>
      <w:pPr>
        <w:spacing w:line="460" w:lineRule="exact"/>
        <w:rPr>
          <w:rFonts w:eastAsia="仿宋"/>
          <w:b/>
          <w:color w:val="auto"/>
          <w:sz w:val="24"/>
          <w:highlight w:val="none"/>
        </w:rPr>
      </w:pPr>
    </w:p>
    <w:p>
      <w:pPr>
        <w:spacing w:line="460" w:lineRule="exact"/>
        <w:rPr>
          <w:rFonts w:eastAsia="仿宋"/>
          <w:b/>
          <w:color w:val="auto"/>
          <w:sz w:val="24"/>
          <w:highlight w:val="none"/>
        </w:rPr>
      </w:pPr>
    </w:p>
    <w:p>
      <w:pPr>
        <w:spacing w:line="460" w:lineRule="exact"/>
        <w:rPr>
          <w:rFonts w:eastAsia="仿宋"/>
          <w:color w:val="auto"/>
          <w:sz w:val="24"/>
          <w:highlight w:val="none"/>
        </w:rPr>
      </w:pPr>
      <w:r>
        <w:rPr>
          <w:rFonts w:eastAsia="仿宋"/>
          <w:color w:val="auto"/>
          <w:sz w:val="24"/>
          <w:highlight w:val="none"/>
        </w:rPr>
        <w:t>投标人名称：（加盖公章）</w:t>
      </w:r>
    </w:p>
    <w:p>
      <w:pPr>
        <w:spacing w:line="460" w:lineRule="exact"/>
        <w:rPr>
          <w:rFonts w:eastAsia="仿宋"/>
          <w:color w:val="auto"/>
          <w:sz w:val="24"/>
          <w:highlight w:val="none"/>
        </w:rPr>
      </w:pPr>
      <w:r>
        <w:rPr>
          <w:rFonts w:eastAsia="仿宋"/>
          <w:color w:val="auto"/>
          <w:sz w:val="24"/>
          <w:highlight w:val="none"/>
        </w:rPr>
        <w:t>法定代表人或授权代表：（签字或签章）</w:t>
      </w:r>
    </w:p>
    <w:p>
      <w:pPr>
        <w:spacing w:line="460" w:lineRule="exact"/>
        <w:rPr>
          <w:rFonts w:eastAsia="仿宋"/>
          <w:color w:val="auto"/>
          <w:sz w:val="24"/>
          <w:highlight w:val="none"/>
        </w:rPr>
      </w:pPr>
      <w:r>
        <w:rPr>
          <w:rFonts w:eastAsia="仿宋"/>
          <w:color w:val="auto"/>
          <w:sz w:val="24"/>
          <w:highlight w:val="none"/>
        </w:rPr>
        <w:t>日期：</w:t>
      </w:r>
    </w:p>
    <w:p>
      <w:pPr>
        <w:spacing w:line="460" w:lineRule="exact"/>
        <w:jc w:val="center"/>
        <w:rPr>
          <w:rFonts w:eastAsia="仿宋"/>
          <w:b/>
          <w:color w:val="auto"/>
          <w:sz w:val="24"/>
          <w:highlight w:val="none"/>
        </w:rPr>
      </w:pPr>
    </w:p>
    <w:p>
      <w:pPr>
        <w:spacing w:line="460" w:lineRule="exact"/>
        <w:jc w:val="center"/>
        <w:rPr>
          <w:rFonts w:eastAsia="仿宋"/>
          <w:b/>
          <w:color w:val="auto"/>
          <w:sz w:val="24"/>
          <w:highlight w:val="none"/>
        </w:rPr>
      </w:pPr>
    </w:p>
    <w:p>
      <w:pPr>
        <w:spacing w:line="460" w:lineRule="exact"/>
        <w:jc w:val="center"/>
        <w:rPr>
          <w:rFonts w:eastAsia="仿宋"/>
          <w:b/>
          <w:color w:val="auto"/>
          <w:sz w:val="24"/>
          <w:highlight w:val="none"/>
        </w:rPr>
      </w:pPr>
    </w:p>
    <w:p>
      <w:pPr>
        <w:spacing w:line="460" w:lineRule="exact"/>
        <w:jc w:val="center"/>
        <w:rPr>
          <w:rFonts w:eastAsia="仿宋"/>
          <w:b/>
          <w:color w:val="auto"/>
          <w:sz w:val="24"/>
          <w:highlight w:val="none"/>
        </w:rPr>
      </w:pPr>
    </w:p>
    <w:p>
      <w:pPr>
        <w:spacing w:line="460" w:lineRule="exact"/>
        <w:jc w:val="center"/>
        <w:rPr>
          <w:rFonts w:eastAsia="仿宋"/>
          <w:b/>
          <w:color w:val="auto"/>
          <w:sz w:val="24"/>
          <w:highlight w:val="none"/>
        </w:rPr>
      </w:pPr>
    </w:p>
    <w:p>
      <w:pPr>
        <w:spacing w:line="460" w:lineRule="exact"/>
        <w:jc w:val="center"/>
        <w:rPr>
          <w:rFonts w:eastAsia="仿宋"/>
          <w:b/>
          <w:color w:val="auto"/>
          <w:sz w:val="24"/>
          <w:highlight w:val="none"/>
        </w:rPr>
      </w:pPr>
      <w:r>
        <w:rPr>
          <w:rFonts w:eastAsia="仿宋"/>
          <w:b/>
          <w:color w:val="auto"/>
          <w:sz w:val="24"/>
          <w:highlight w:val="none"/>
        </w:rPr>
        <w:t>5.投标人认为需要提供的其它证明材料</w:t>
      </w:r>
    </w:p>
    <w:p>
      <w:pPr>
        <w:spacing w:line="560" w:lineRule="exact"/>
        <w:jc w:val="center"/>
        <w:outlineLvl w:val="1"/>
        <w:rPr>
          <w:rFonts w:eastAsia="仿宋"/>
          <w:b/>
          <w:bCs/>
          <w:snapToGrid w:val="0"/>
          <w:color w:val="auto"/>
          <w:kern w:val="0"/>
          <w:sz w:val="28"/>
          <w:szCs w:val="28"/>
          <w:highlight w:val="none"/>
        </w:rPr>
      </w:pPr>
      <w:r>
        <w:rPr>
          <w:rFonts w:eastAsia="仿宋"/>
          <w:b/>
          <w:color w:val="auto"/>
          <w:sz w:val="24"/>
          <w:highlight w:val="none"/>
        </w:rPr>
        <w:br w:type="page"/>
      </w:r>
      <w:bookmarkStart w:id="369" w:name="_Toc111018956"/>
      <w:bookmarkStart w:id="370" w:name="_Toc8872"/>
      <w:bookmarkStart w:id="371" w:name="_Toc25421"/>
      <w:bookmarkStart w:id="372" w:name="_Toc11053"/>
      <w:bookmarkStart w:id="373" w:name="_Toc7685"/>
      <w:bookmarkStart w:id="374" w:name="_Toc26778"/>
      <w:bookmarkStart w:id="375" w:name="_Toc14763"/>
      <w:bookmarkStart w:id="376" w:name="_Toc24952"/>
      <w:bookmarkStart w:id="377" w:name="_Toc3168"/>
      <w:r>
        <w:rPr>
          <w:rFonts w:eastAsia="仿宋"/>
          <w:b/>
          <w:bCs/>
          <w:snapToGrid w:val="0"/>
          <w:color w:val="auto"/>
          <w:kern w:val="0"/>
          <w:sz w:val="28"/>
          <w:szCs w:val="28"/>
          <w:highlight w:val="none"/>
        </w:rPr>
        <w:t>九、提供投标保证金的证明材料</w:t>
      </w:r>
      <w:bookmarkEnd w:id="369"/>
      <w:bookmarkEnd w:id="370"/>
      <w:bookmarkEnd w:id="371"/>
      <w:bookmarkEnd w:id="372"/>
      <w:bookmarkEnd w:id="373"/>
      <w:bookmarkEnd w:id="374"/>
      <w:bookmarkEnd w:id="375"/>
      <w:bookmarkEnd w:id="376"/>
      <w:bookmarkEnd w:id="377"/>
    </w:p>
    <w:p>
      <w:pPr>
        <w:rPr>
          <w:rFonts w:eastAsia="仿宋"/>
          <w:color w:val="auto"/>
          <w:sz w:val="24"/>
          <w:highlight w:val="none"/>
        </w:rPr>
      </w:pPr>
    </w:p>
    <w:p>
      <w:pPr>
        <w:rPr>
          <w:rFonts w:eastAsia="仿宋"/>
          <w:color w:val="auto"/>
          <w:sz w:val="24"/>
          <w:highlight w:val="none"/>
        </w:rPr>
      </w:pPr>
      <w:bookmarkStart w:id="378" w:name="_Toc12023"/>
      <w:bookmarkStart w:id="379" w:name="_Toc14568"/>
      <w:bookmarkStart w:id="380" w:name="_Toc95250189"/>
      <w:r>
        <w:rPr>
          <w:rFonts w:eastAsia="仿宋"/>
          <w:color w:val="auto"/>
          <w:sz w:val="24"/>
          <w:highlight w:val="none"/>
        </w:rPr>
        <w:t>投标人自行提供缴纳投标保证金的凭证......</w:t>
      </w:r>
      <w:bookmarkEnd w:id="378"/>
      <w:bookmarkEnd w:id="379"/>
      <w:bookmarkEnd w:id="380"/>
    </w:p>
    <w:p>
      <w:pPr>
        <w:rPr>
          <w:rFonts w:eastAsia="仿宋"/>
          <w:color w:val="auto"/>
          <w:highlight w:val="none"/>
        </w:rPr>
      </w:pPr>
    </w:p>
    <w:p>
      <w:pPr>
        <w:rPr>
          <w:rFonts w:eastAsia="仿宋"/>
          <w:color w:val="auto"/>
          <w:highlight w:val="none"/>
        </w:rPr>
      </w:pPr>
    </w:p>
    <w:p>
      <w:pPr>
        <w:spacing w:line="560" w:lineRule="exact"/>
        <w:jc w:val="center"/>
        <w:outlineLvl w:val="1"/>
        <w:rPr>
          <w:rFonts w:eastAsia="仿宋"/>
          <w:b/>
          <w:bCs/>
          <w:snapToGrid w:val="0"/>
          <w:color w:val="auto"/>
          <w:kern w:val="0"/>
          <w:sz w:val="28"/>
          <w:szCs w:val="28"/>
          <w:highlight w:val="none"/>
        </w:rPr>
      </w:pPr>
      <w:bookmarkStart w:id="381" w:name="_Toc22895"/>
      <w:bookmarkStart w:id="382" w:name="_Toc111018957"/>
      <w:bookmarkStart w:id="383" w:name="_Toc21584"/>
      <w:bookmarkStart w:id="384" w:name="_Toc318"/>
      <w:bookmarkStart w:id="385" w:name="_Toc31951"/>
      <w:bookmarkStart w:id="386" w:name="_Toc29414"/>
      <w:bookmarkStart w:id="387" w:name="_Toc13063"/>
      <w:bookmarkStart w:id="388" w:name="_Toc27226"/>
      <w:bookmarkStart w:id="389" w:name="_Toc31602"/>
      <w:r>
        <w:rPr>
          <w:rFonts w:eastAsia="仿宋"/>
          <w:b/>
          <w:bCs/>
          <w:snapToGrid w:val="0"/>
          <w:color w:val="auto"/>
          <w:kern w:val="0"/>
          <w:sz w:val="28"/>
          <w:szCs w:val="28"/>
          <w:highlight w:val="none"/>
        </w:rPr>
        <w:t>十、投标货物技术文件</w:t>
      </w:r>
      <w:bookmarkEnd w:id="366"/>
      <w:bookmarkEnd w:id="367"/>
      <w:bookmarkEnd w:id="368"/>
      <w:r>
        <w:rPr>
          <w:rFonts w:eastAsia="仿宋"/>
          <w:b/>
          <w:bCs/>
          <w:snapToGrid w:val="0"/>
          <w:color w:val="auto"/>
          <w:kern w:val="0"/>
          <w:sz w:val="28"/>
          <w:szCs w:val="28"/>
          <w:highlight w:val="none"/>
        </w:rPr>
        <w:t>及其他材料</w:t>
      </w:r>
      <w:bookmarkEnd w:id="381"/>
      <w:bookmarkEnd w:id="382"/>
      <w:bookmarkEnd w:id="383"/>
      <w:bookmarkEnd w:id="384"/>
      <w:bookmarkEnd w:id="385"/>
      <w:bookmarkEnd w:id="386"/>
      <w:bookmarkEnd w:id="387"/>
      <w:bookmarkEnd w:id="388"/>
      <w:bookmarkEnd w:id="389"/>
    </w:p>
    <w:p>
      <w:pPr>
        <w:pStyle w:val="41"/>
        <w:ind w:firstLine="562"/>
        <w:rPr>
          <w:rFonts w:eastAsia="仿宋"/>
          <w:b/>
          <w:bCs/>
          <w:snapToGrid w:val="0"/>
          <w:color w:val="auto"/>
          <w:sz w:val="28"/>
          <w:szCs w:val="28"/>
          <w:highlight w:val="none"/>
        </w:rPr>
      </w:pPr>
    </w:p>
    <w:p>
      <w:pPr>
        <w:pStyle w:val="41"/>
        <w:ind w:firstLine="562"/>
        <w:rPr>
          <w:rFonts w:eastAsia="仿宋"/>
          <w:b/>
          <w:bCs/>
          <w:snapToGrid w:val="0"/>
          <w:color w:val="auto"/>
          <w:sz w:val="28"/>
          <w:szCs w:val="28"/>
          <w:highlight w:val="none"/>
        </w:rPr>
      </w:pPr>
    </w:p>
    <w:p>
      <w:pPr>
        <w:rPr>
          <w:rFonts w:eastAsia="仿宋"/>
          <w:b/>
          <w:color w:val="auto"/>
          <w:sz w:val="24"/>
          <w:highlight w:val="none"/>
        </w:rPr>
      </w:pPr>
      <w:r>
        <w:rPr>
          <w:rFonts w:eastAsia="仿宋"/>
          <w:b/>
          <w:color w:val="auto"/>
          <w:sz w:val="24"/>
          <w:highlight w:val="none"/>
        </w:rPr>
        <w:t>技术文件：</w:t>
      </w:r>
    </w:p>
    <w:p>
      <w:pPr>
        <w:pStyle w:val="9"/>
        <w:ind w:firstLine="480"/>
        <w:rPr>
          <w:color w:val="auto"/>
          <w:sz w:val="24"/>
          <w:highlight w:val="none"/>
        </w:rPr>
      </w:pPr>
    </w:p>
    <w:p>
      <w:pPr>
        <w:pStyle w:val="9"/>
        <w:ind w:firstLine="840" w:firstLineChars="350"/>
        <w:rPr>
          <w:color w:val="auto"/>
          <w:sz w:val="24"/>
          <w:highlight w:val="none"/>
        </w:rPr>
      </w:pPr>
      <w:r>
        <w:rPr>
          <w:color w:val="auto"/>
          <w:sz w:val="24"/>
          <w:highlight w:val="none"/>
        </w:rPr>
        <w:t>投标人认为应提交的技术材料，可在此附件中提交（格式自定）</w:t>
      </w:r>
    </w:p>
    <w:p>
      <w:pPr>
        <w:rPr>
          <w:rFonts w:eastAsia="仿宋"/>
          <w:b/>
          <w:color w:val="auto"/>
          <w:sz w:val="24"/>
          <w:highlight w:val="none"/>
        </w:rPr>
      </w:pPr>
      <w:bookmarkStart w:id="390" w:name="_Toc495403965"/>
      <w:bookmarkStart w:id="391" w:name="_Toc400631667"/>
      <w:bookmarkStart w:id="392" w:name="_Toc399344133"/>
      <w:bookmarkStart w:id="393" w:name="_Toc399344506"/>
      <w:r>
        <w:rPr>
          <w:rFonts w:eastAsia="仿宋"/>
          <w:b/>
          <w:color w:val="auto"/>
          <w:sz w:val="28"/>
          <w:szCs w:val="28"/>
          <w:highlight w:val="none"/>
        </w:rPr>
        <w:br w:type="page"/>
      </w:r>
      <w:r>
        <w:rPr>
          <w:rFonts w:eastAsia="仿宋"/>
          <w:b/>
          <w:color w:val="auto"/>
          <w:sz w:val="24"/>
          <w:highlight w:val="none"/>
        </w:rPr>
        <w:t>其他材料：</w:t>
      </w:r>
      <w:bookmarkEnd w:id="390"/>
    </w:p>
    <w:p>
      <w:pPr>
        <w:rPr>
          <w:rFonts w:eastAsia="仿宋"/>
          <w:b/>
          <w:color w:val="auto"/>
          <w:sz w:val="24"/>
          <w:highlight w:val="none"/>
        </w:rPr>
      </w:pPr>
      <w:bookmarkStart w:id="394" w:name="_Toc495403966"/>
      <w:r>
        <w:rPr>
          <w:rFonts w:eastAsia="仿宋"/>
          <w:b/>
          <w:color w:val="auto"/>
          <w:sz w:val="24"/>
          <w:highlight w:val="none"/>
        </w:rPr>
        <w:t>（1）投标人情况一览表</w:t>
      </w:r>
      <w:bookmarkEnd w:id="391"/>
      <w:bookmarkEnd w:id="392"/>
      <w:bookmarkEnd w:id="393"/>
      <w:bookmarkEnd w:id="394"/>
    </w:p>
    <w:tbl>
      <w:tblPr>
        <w:tblStyle w:val="42"/>
        <w:tblW w:w="9286"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698"/>
        <w:gridCol w:w="1483"/>
        <w:gridCol w:w="1164"/>
        <w:gridCol w:w="737"/>
        <w:gridCol w:w="425"/>
        <w:gridCol w:w="1378"/>
        <w:gridCol w:w="804"/>
        <w:gridCol w:w="159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1698" w:type="dxa"/>
            <w:vAlign w:val="center"/>
          </w:tcPr>
          <w:p>
            <w:pPr>
              <w:rPr>
                <w:rFonts w:eastAsia="仿宋"/>
                <w:color w:val="auto"/>
                <w:sz w:val="24"/>
                <w:szCs w:val="22"/>
                <w:highlight w:val="none"/>
              </w:rPr>
            </w:pPr>
            <w:r>
              <w:rPr>
                <w:rFonts w:eastAsia="仿宋"/>
                <w:color w:val="auto"/>
                <w:sz w:val="24"/>
                <w:szCs w:val="22"/>
                <w:highlight w:val="none"/>
              </w:rPr>
              <w:t>投标人名称</w:t>
            </w:r>
          </w:p>
        </w:tc>
        <w:tc>
          <w:tcPr>
            <w:tcW w:w="7588" w:type="dxa"/>
            <w:gridSpan w:val="7"/>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1698" w:type="dxa"/>
            <w:vAlign w:val="center"/>
          </w:tcPr>
          <w:p>
            <w:pPr>
              <w:rPr>
                <w:rFonts w:eastAsia="仿宋"/>
                <w:color w:val="auto"/>
                <w:sz w:val="24"/>
                <w:szCs w:val="22"/>
                <w:highlight w:val="none"/>
              </w:rPr>
            </w:pPr>
            <w:r>
              <w:rPr>
                <w:rFonts w:eastAsia="仿宋"/>
                <w:color w:val="auto"/>
                <w:sz w:val="24"/>
                <w:szCs w:val="22"/>
                <w:highlight w:val="none"/>
              </w:rPr>
              <w:t>注册地址</w:t>
            </w:r>
          </w:p>
        </w:tc>
        <w:tc>
          <w:tcPr>
            <w:tcW w:w="3809" w:type="dxa"/>
            <w:gridSpan w:val="4"/>
            <w:vAlign w:val="center"/>
          </w:tcPr>
          <w:p>
            <w:pPr>
              <w:rPr>
                <w:rFonts w:eastAsia="仿宋"/>
                <w:color w:val="auto"/>
                <w:sz w:val="24"/>
                <w:szCs w:val="22"/>
                <w:highlight w:val="none"/>
              </w:rPr>
            </w:pPr>
          </w:p>
        </w:tc>
        <w:tc>
          <w:tcPr>
            <w:tcW w:w="1378" w:type="dxa"/>
            <w:vAlign w:val="center"/>
          </w:tcPr>
          <w:p>
            <w:pPr>
              <w:rPr>
                <w:rFonts w:eastAsia="仿宋"/>
                <w:color w:val="auto"/>
                <w:sz w:val="24"/>
                <w:szCs w:val="22"/>
                <w:highlight w:val="none"/>
              </w:rPr>
            </w:pPr>
            <w:r>
              <w:rPr>
                <w:rFonts w:eastAsia="仿宋"/>
                <w:color w:val="auto"/>
                <w:sz w:val="24"/>
                <w:szCs w:val="22"/>
                <w:highlight w:val="none"/>
              </w:rPr>
              <w:t>邮政编码</w:t>
            </w:r>
          </w:p>
        </w:tc>
        <w:tc>
          <w:tcPr>
            <w:tcW w:w="2401" w:type="dxa"/>
            <w:gridSpan w:val="2"/>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1698" w:type="dxa"/>
            <w:vMerge w:val="restart"/>
            <w:vAlign w:val="center"/>
          </w:tcPr>
          <w:p>
            <w:pPr>
              <w:rPr>
                <w:rFonts w:eastAsia="仿宋"/>
                <w:color w:val="auto"/>
                <w:sz w:val="24"/>
                <w:szCs w:val="22"/>
                <w:highlight w:val="none"/>
              </w:rPr>
            </w:pPr>
            <w:r>
              <w:rPr>
                <w:rFonts w:eastAsia="仿宋"/>
                <w:color w:val="auto"/>
                <w:sz w:val="24"/>
                <w:szCs w:val="22"/>
                <w:highlight w:val="none"/>
              </w:rPr>
              <w:t>联系方式</w:t>
            </w:r>
          </w:p>
        </w:tc>
        <w:tc>
          <w:tcPr>
            <w:tcW w:w="1483" w:type="dxa"/>
            <w:vAlign w:val="center"/>
          </w:tcPr>
          <w:p>
            <w:pPr>
              <w:rPr>
                <w:rFonts w:eastAsia="仿宋"/>
                <w:color w:val="auto"/>
                <w:sz w:val="24"/>
                <w:szCs w:val="22"/>
                <w:highlight w:val="none"/>
              </w:rPr>
            </w:pPr>
            <w:r>
              <w:rPr>
                <w:rFonts w:eastAsia="仿宋"/>
                <w:color w:val="auto"/>
                <w:sz w:val="24"/>
                <w:szCs w:val="22"/>
                <w:highlight w:val="none"/>
              </w:rPr>
              <w:t>联系人</w:t>
            </w:r>
          </w:p>
        </w:tc>
        <w:tc>
          <w:tcPr>
            <w:tcW w:w="2326" w:type="dxa"/>
            <w:gridSpan w:val="3"/>
            <w:vAlign w:val="center"/>
          </w:tcPr>
          <w:p>
            <w:pPr>
              <w:rPr>
                <w:rFonts w:eastAsia="仿宋"/>
                <w:color w:val="auto"/>
                <w:sz w:val="24"/>
                <w:szCs w:val="22"/>
                <w:highlight w:val="none"/>
              </w:rPr>
            </w:pPr>
          </w:p>
        </w:tc>
        <w:tc>
          <w:tcPr>
            <w:tcW w:w="1378" w:type="dxa"/>
            <w:vAlign w:val="center"/>
          </w:tcPr>
          <w:p>
            <w:pPr>
              <w:rPr>
                <w:rFonts w:eastAsia="仿宋"/>
                <w:color w:val="auto"/>
                <w:sz w:val="24"/>
                <w:szCs w:val="22"/>
                <w:highlight w:val="none"/>
              </w:rPr>
            </w:pPr>
            <w:r>
              <w:rPr>
                <w:rFonts w:eastAsia="仿宋"/>
                <w:color w:val="auto"/>
                <w:sz w:val="24"/>
                <w:szCs w:val="22"/>
                <w:highlight w:val="none"/>
              </w:rPr>
              <w:t>联系电话</w:t>
            </w:r>
          </w:p>
        </w:tc>
        <w:tc>
          <w:tcPr>
            <w:tcW w:w="2401" w:type="dxa"/>
            <w:gridSpan w:val="2"/>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1698" w:type="dxa"/>
            <w:vMerge w:val="continue"/>
            <w:vAlign w:val="center"/>
          </w:tcPr>
          <w:p>
            <w:pPr>
              <w:rPr>
                <w:rFonts w:eastAsia="仿宋"/>
                <w:color w:val="auto"/>
                <w:sz w:val="24"/>
                <w:szCs w:val="22"/>
                <w:highlight w:val="none"/>
              </w:rPr>
            </w:pPr>
          </w:p>
        </w:tc>
        <w:tc>
          <w:tcPr>
            <w:tcW w:w="1483" w:type="dxa"/>
            <w:vAlign w:val="center"/>
          </w:tcPr>
          <w:p>
            <w:pPr>
              <w:rPr>
                <w:rFonts w:eastAsia="仿宋"/>
                <w:color w:val="auto"/>
                <w:sz w:val="24"/>
                <w:szCs w:val="22"/>
                <w:highlight w:val="none"/>
              </w:rPr>
            </w:pPr>
            <w:r>
              <w:rPr>
                <w:rFonts w:eastAsia="仿宋"/>
                <w:color w:val="auto"/>
                <w:sz w:val="24"/>
                <w:szCs w:val="22"/>
                <w:highlight w:val="none"/>
              </w:rPr>
              <w:t>传  真</w:t>
            </w:r>
          </w:p>
        </w:tc>
        <w:tc>
          <w:tcPr>
            <w:tcW w:w="2326" w:type="dxa"/>
            <w:gridSpan w:val="3"/>
            <w:vAlign w:val="center"/>
          </w:tcPr>
          <w:p>
            <w:pPr>
              <w:rPr>
                <w:rFonts w:eastAsia="仿宋"/>
                <w:color w:val="auto"/>
                <w:sz w:val="24"/>
                <w:szCs w:val="22"/>
                <w:highlight w:val="none"/>
              </w:rPr>
            </w:pPr>
          </w:p>
        </w:tc>
        <w:tc>
          <w:tcPr>
            <w:tcW w:w="1378" w:type="dxa"/>
            <w:vAlign w:val="center"/>
          </w:tcPr>
          <w:p>
            <w:pPr>
              <w:rPr>
                <w:rFonts w:eastAsia="仿宋"/>
                <w:color w:val="auto"/>
                <w:sz w:val="24"/>
                <w:szCs w:val="22"/>
                <w:highlight w:val="none"/>
              </w:rPr>
            </w:pPr>
            <w:r>
              <w:rPr>
                <w:rFonts w:eastAsia="仿宋"/>
                <w:color w:val="auto"/>
                <w:sz w:val="24"/>
                <w:szCs w:val="22"/>
                <w:highlight w:val="none"/>
              </w:rPr>
              <w:t>网址/邮箱</w:t>
            </w:r>
          </w:p>
        </w:tc>
        <w:tc>
          <w:tcPr>
            <w:tcW w:w="2401" w:type="dxa"/>
            <w:gridSpan w:val="2"/>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1698" w:type="dxa"/>
            <w:vAlign w:val="center"/>
          </w:tcPr>
          <w:p>
            <w:pPr>
              <w:rPr>
                <w:rFonts w:eastAsia="仿宋"/>
                <w:color w:val="auto"/>
                <w:sz w:val="24"/>
                <w:szCs w:val="22"/>
                <w:highlight w:val="none"/>
              </w:rPr>
            </w:pPr>
            <w:r>
              <w:rPr>
                <w:rFonts w:eastAsia="仿宋"/>
                <w:color w:val="auto"/>
                <w:sz w:val="24"/>
                <w:szCs w:val="22"/>
                <w:highlight w:val="none"/>
              </w:rPr>
              <w:t>组织结构</w:t>
            </w:r>
          </w:p>
        </w:tc>
        <w:tc>
          <w:tcPr>
            <w:tcW w:w="7588" w:type="dxa"/>
            <w:gridSpan w:val="7"/>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1698" w:type="dxa"/>
            <w:vAlign w:val="center"/>
          </w:tcPr>
          <w:p>
            <w:pPr>
              <w:rPr>
                <w:rFonts w:eastAsia="仿宋"/>
                <w:color w:val="auto"/>
                <w:sz w:val="24"/>
                <w:szCs w:val="22"/>
                <w:highlight w:val="none"/>
              </w:rPr>
            </w:pPr>
            <w:r>
              <w:rPr>
                <w:rFonts w:eastAsia="仿宋"/>
                <w:color w:val="auto"/>
                <w:sz w:val="24"/>
                <w:szCs w:val="22"/>
                <w:highlight w:val="none"/>
              </w:rPr>
              <w:t>法定代表人</w:t>
            </w:r>
          </w:p>
        </w:tc>
        <w:tc>
          <w:tcPr>
            <w:tcW w:w="1483" w:type="dxa"/>
            <w:vAlign w:val="center"/>
          </w:tcPr>
          <w:p>
            <w:pPr>
              <w:rPr>
                <w:rFonts w:eastAsia="仿宋"/>
                <w:color w:val="auto"/>
                <w:sz w:val="24"/>
                <w:szCs w:val="22"/>
                <w:highlight w:val="none"/>
              </w:rPr>
            </w:pPr>
            <w:r>
              <w:rPr>
                <w:rFonts w:eastAsia="仿宋"/>
                <w:color w:val="auto"/>
                <w:sz w:val="24"/>
                <w:szCs w:val="22"/>
                <w:highlight w:val="none"/>
              </w:rPr>
              <w:t>姓名</w:t>
            </w:r>
          </w:p>
        </w:tc>
        <w:tc>
          <w:tcPr>
            <w:tcW w:w="1164" w:type="dxa"/>
            <w:vAlign w:val="center"/>
          </w:tcPr>
          <w:p>
            <w:pPr>
              <w:rPr>
                <w:rFonts w:eastAsia="仿宋"/>
                <w:color w:val="auto"/>
                <w:sz w:val="24"/>
                <w:szCs w:val="22"/>
                <w:highlight w:val="none"/>
              </w:rPr>
            </w:pPr>
          </w:p>
        </w:tc>
        <w:tc>
          <w:tcPr>
            <w:tcW w:w="1162" w:type="dxa"/>
            <w:gridSpan w:val="2"/>
            <w:vAlign w:val="center"/>
          </w:tcPr>
          <w:p>
            <w:pPr>
              <w:rPr>
                <w:rFonts w:eastAsia="仿宋"/>
                <w:color w:val="auto"/>
                <w:sz w:val="24"/>
                <w:szCs w:val="22"/>
                <w:highlight w:val="none"/>
              </w:rPr>
            </w:pPr>
            <w:r>
              <w:rPr>
                <w:rFonts w:eastAsia="仿宋"/>
                <w:color w:val="auto"/>
                <w:sz w:val="24"/>
                <w:szCs w:val="22"/>
                <w:highlight w:val="none"/>
              </w:rPr>
              <w:t>技术职称</w:t>
            </w:r>
          </w:p>
        </w:tc>
        <w:tc>
          <w:tcPr>
            <w:tcW w:w="1378" w:type="dxa"/>
            <w:vAlign w:val="center"/>
          </w:tcPr>
          <w:p>
            <w:pPr>
              <w:rPr>
                <w:rFonts w:eastAsia="仿宋"/>
                <w:color w:val="auto"/>
                <w:sz w:val="24"/>
                <w:szCs w:val="22"/>
                <w:highlight w:val="none"/>
              </w:rPr>
            </w:pPr>
          </w:p>
        </w:tc>
        <w:tc>
          <w:tcPr>
            <w:tcW w:w="804" w:type="dxa"/>
            <w:vAlign w:val="center"/>
          </w:tcPr>
          <w:p>
            <w:pPr>
              <w:rPr>
                <w:rFonts w:eastAsia="仿宋"/>
                <w:color w:val="auto"/>
                <w:sz w:val="24"/>
                <w:szCs w:val="22"/>
                <w:highlight w:val="none"/>
              </w:rPr>
            </w:pPr>
            <w:r>
              <w:rPr>
                <w:rFonts w:eastAsia="仿宋"/>
                <w:color w:val="auto"/>
                <w:sz w:val="24"/>
                <w:szCs w:val="22"/>
                <w:highlight w:val="none"/>
              </w:rPr>
              <w:t>电话</w:t>
            </w:r>
          </w:p>
        </w:tc>
        <w:tc>
          <w:tcPr>
            <w:tcW w:w="1597" w:type="dxa"/>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1698" w:type="dxa"/>
            <w:vAlign w:val="center"/>
          </w:tcPr>
          <w:p>
            <w:pPr>
              <w:rPr>
                <w:rFonts w:eastAsia="仿宋"/>
                <w:color w:val="auto"/>
                <w:sz w:val="24"/>
                <w:szCs w:val="22"/>
                <w:highlight w:val="none"/>
              </w:rPr>
            </w:pPr>
            <w:r>
              <w:rPr>
                <w:rFonts w:eastAsia="仿宋"/>
                <w:color w:val="auto"/>
                <w:sz w:val="24"/>
                <w:szCs w:val="22"/>
                <w:highlight w:val="none"/>
              </w:rPr>
              <w:t>技术负责人</w:t>
            </w:r>
          </w:p>
        </w:tc>
        <w:tc>
          <w:tcPr>
            <w:tcW w:w="1483" w:type="dxa"/>
            <w:vAlign w:val="center"/>
          </w:tcPr>
          <w:p>
            <w:pPr>
              <w:rPr>
                <w:rFonts w:eastAsia="仿宋"/>
                <w:color w:val="auto"/>
                <w:sz w:val="24"/>
                <w:szCs w:val="22"/>
                <w:highlight w:val="none"/>
              </w:rPr>
            </w:pPr>
            <w:r>
              <w:rPr>
                <w:rFonts w:eastAsia="仿宋"/>
                <w:color w:val="auto"/>
                <w:sz w:val="24"/>
                <w:szCs w:val="22"/>
                <w:highlight w:val="none"/>
              </w:rPr>
              <w:t>姓名</w:t>
            </w:r>
          </w:p>
        </w:tc>
        <w:tc>
          <w:tcPr>
            <w:tcW w:w="1164" w:type="dxa"/>
            <w:vAlign w:val="center"/>
          </w:tcPr>
          <w:p>
            <w:pPr>
              <w:rPr>
                <w:rFonts w:eastAsia="仿宋"/>
                <w:color w:val="auto"/>
                <w:sz w:val="24"/>
                <w:szCs w:val="22"/>
                <w:highlight w:val="none"/>
              </w:rPr>
            </w:pPr>
          </w:p>
        </w:tc>
        <w:tc>
          <w:tcPr>
            <w:tcW w:w="1162" w:type="dxa"/>
            <w:gridSpan w:val="2"/>
            <w:vAlign w:val="center"/>
          </w:tcPr>
          <w:p>
            <w:pPr>
              <w:rPr>
                <w:rFonts w:eastAsia="仿宋"/>
                <w:color w:val="auto"/>
                <w:sz w:val="24"/>
                <w:szCs w:val="22"/>
                <w:highlight w:val="none"/>
              </w:rPr>
            </w:pPr>
            <w:r>
              <w:rPr>
                <w:rFonts w:eastAsia="仿宋"/>
                <w:color w:val="auto"/>
                <w:sz w:val="24"/>
                <w:szCs w:val="22"/>
                <w:highlight w:val="none"/>
              </w:rPr>
              <w:t>技术职称</w:t>
            </w:r>
          </w:p>
        </w:tc>
        <w:tc>
          <w:tcPr>
            <w:tcW w:w="1378" w:type="dxa"/>
            <w:vAlign w:val="center"/>
          </w:tcPr>
          <w:p>
            <w:pPr>
              <w:rPr>
                <w:rFonts w:eastAsia="仿宋"/>
                <w:color w:val="auto"/>
                <w:sz w:val="24"/>
                <w:szCs w:val="22"/>
                <w:highlight w:val="none"/>
              </w:rPr>
            </w:pPr>
          </w:p>
        </w:tc>
        <w:tc>
          <w:tcPr>
            <w:tcW w:w="804" w:type="dxa"/>
            <w:vAlign w:val="center"/>
          </w:tcPr>
          <w:p>
            <w:pPr>
              <w:rPr>
                <w:rFonts w:eastAsia="仿宋"/>
                <w:color w:val="auto"/>
                <w:sz w:val="24"/>
                <w:szCs w:val="22"/>
                <w:highlight w:val="none"/>
              </w:rPr>
            </w:pPr>
            <w:r>
              <w:rPr>
                <w:rFonts w:eastAsia="仿宋"/>
                <w:color w:val="auto"/>
                <w:sz w:val="24"/>
                <w:szCs w:val="22"/>
                <w:highlight w:val="none"/>
              </w:rPr>
              <w:t>电话</w:t>
            </w:r>
          </w:p>
        </w:tc>
        <w:tc>
          <w:tcPr>
            <w:tcW w:w="1597" w:type="dxa"/>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1698" w:type="dxa"/>
            <w:vAlign w:val="center"/>
          </w:tcPr>
          <w:p>
            <w:pPr>
              <w:rPr>
                <w:rFonts w:eastAsia="仿宋"/>
                <w:color w:val="auto"/>
                <w:sz w:val="24"/>
                <w:szCs w:val="22"/>
                <w:highlight w:val="none"/>
              </w:rPr>
            </w:pPr>
            <w:r>
              <w:rPr>
                <w:rFonts w:eastAsia="仿宋"/>
                <w:color w:val="auto"/>
                <w:sz w:val="24"/>
                <w:szCs w:val="22"/>
                <w:highlight w:val="none"/>
              </w:rPr>
              <w:t>成立时间</w:t>
            </w:r>
          </w:p>
        </w:tc>
        <w:tc>
          <w:tcPr>
            <w:tcW w:w="2647" w:type="dxa"/>
            <w:gridSpan w:val="2"/>
            <w:vAlign w:val="center"/>
          </w:tcPr>
          <w:p>
            <w:pPr>
              <w:rPr>
                <w:rFonts w:eastAsia="仿宋"/>
                <w:color w:val="auto"/>
                <w:sz w:val="24"/>
                <w:szCs w:val="22"/>
                <w:highlight w:val="none"/>
              </w:rPr>
            </w:pPr>
          </w:p>
        </w:tc>
        <w:tc>
          <w:tcPr>
            <w:tcW w:w="4941" w:type="dxa"/>
            <w:gridSpan w:val="5"/>
            <w:vAlign w:val="center"/>
          </w:tcPr>
          <w:p>
            <w:pPr>
              <w:rPr>
                <w:rFonts w:eastAsia="仿宋"/>
                <w:color w:val="auto"/>
                <w:sz w:val="24"/>
                <w:szCs w:val="22"/>
                <w:highlight w:val="none"/>
              </w:rPr>
            </w:pPr>
            <w:r>
              <w:rPr>
                <w:rFonts w:eastAsia="仿宋"/>
                <w:color w:val="auto"/>
                <w:sz w:val="24"/>
                <w:szCs w:val="22"/>
                <w:highlight w:val="none"/>
              </w:rPr>
              <w:t>员工总人数：</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1698" w:type="dxa"/>
            <w:vAlign w:val="center"/>
          </w:tcPr>
          <w:p>
            <w:pPr>
              <w:rPr>
                <w:rFonts w:eastAsia="仿宋"/>
                <w:color w:val="auto"/>
                <w:sz w:val="24"/>
                <w:szCs w:val="22"/>
                <w:highlight w:val="none"/>
              </w:rPr>
            </w:pPr>
            <w:r>
              <w:rPr>
                <w:rFonts w:eastAsia="仿宋"/>
                <w:color w:val="auto"/>
                <w:sz w:val="24"/>
                <w:szCs w:val="22"/>
                <w:highlight w:val="none"/>
              </w:rPr>
              <w:t>营业执照号</w:t>
            </w:r>
          </w:p>
        </w:tc>
        <w:tc>
          <w:tcPr>
            <w:tcW w:w="2647" w:type="dxa"/>
            <w:gridSpan w:val="2"/>
            <w:vAlign w:val="center"/>
          </w:tcPr>
          <w:p>
            <w:pPr>
              <w:rPr>
                <w:rFonts w:eastAsia="仿宋"/>
                <w:color w:val="auto"/>
                <w:sz w:val="24"/>
                <w:szCs w:val="22"/>
                <w:highlight w:val="none"/>
              </w:rPr>
            </w:pPr>
          </w:p>
        </w:tc>
        <w:tc>
          <w:tcPr>
            <w:tcW w:w="737" w:type="dxa"/>
            <w:vMerge w:val="restart"/>
            <w:vAlign w:val="center"/>
          </w:tcPr>
          <w:p>
            <w:pPr>
              <w:rPr>
                <w:rFonts w:eastAsia="仿宋"/>
                <w:color w:val="auto"/>
                <w:sz w:val="24"/>
                <w:szCs w:val="22"/>
                <w:highlight w:val="none"/>
              </w:rPr>
            </w:pPr>
            <w:r>
              <w:rPr>
                <w:rFonts w:eastAsia="仿宋"/>
                <w:color w:val="auto"/>
                <w:sz w:val="24"/>
                <w:szCs w:val="22"/>
                <w:highlight w:val="none"/>
              </w:rPr>
              <w:t>其中</w:t>
            </w:r>
          </w:p>
        </w:tc>
        <w:tc>
          <w:tcPr>
            <w:tcW w:w="1803" w:type="dxa"/>
            <w:gridSpan w:val="2"/>
            <w:vAlign w:val="center"/>
          </w:tcPr>
          <w:p>
            <w:pPr>
              <w:rPr>
                <w:rFonts w:eastAsia="仿宋"/>
                <w:color w:val="auto"/>
                <w:sz w:val="24"/>
                <w:szCs w:val="22"/>
                <w:highlight w:val="none"/>
              </w:rPr>
            </w:pPr>
            <w:r>
              <w:rPr>
                <w:rFonts w:eastAsia="仿宋"/>
                <w:color w:val="auto"/>
                <w:sz w:val="24"/>
                <w:szCs w:val="22"/>
                <w:highlight w:val="none"/>
              </w:rPr>
              <w:t>高级职称人员</w:t>
            </w:r>
          </w:p>
        </w:tc>
        <w:tc>
          <w:tcPr>
            <w:tcW w:w="2401" w:type="dxa"/>
            <w:gridSpan w:val="2"/>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1698" w:type="dxa"/>
            <w:vAlign w:val="center"/>
          </w:tcPr>
          <w:p>
            <w:pPr>
              <w:rPr>
                <w:rFonts w:eastAsia="仿宋"/>
                <w:color w:val="auto"/>
                <w:sz w:val="24"/>
                <w:szCs w:val="22"/>
                <w:highlight w:val="none"/>
              </w:rPr>
            </w:pPr>
            <w:r>
              <w:rPr>
                <w:rFonts w:eastAsia="仿宋"/>
                <w:color w:val="auto"/>
                <w:sz w:val="24"/>
                <w:szCs w:val="22"/>
                <w:highlight w:val="none"/>
              </w:rPr>
              <w:t>注册资金</w:t>
            </w:r>
          </w:p>
        </w:tc>
        <w:tc>
          <w:tcPr>
            <w:tcW w:w="2647" w:type="dxa"/>
            <w:gridSpan w:val="2"/>
            <w:vAlign w:val="center"/>
          </w:tcPr>
          <w:p>
            <w:pPr>
              <w:rPr>
                <w:rFonts w:eastAsia="仿宋"/>
                <w:color w:val="auto"/>
                <w:sz w:val="24"/>
                <w:szCs w:val="22"/>
                <w:highlight w:val="none"/>
              </w:rPr>
            </w:pPr>
          </w:p>
        </w:tc>
        <w:tc>
          <w:tcPr>
            <w:tcW w:w="737" w:type="dxa"/>
            <w:vMerge w:val="continue"/>
            <w:vAlign w:val="center"/>
          </w:tcPr>
          <w:p>
            <w:pPr>
              <w:rPr>
                <w:rFonts w:eastAsia="仿宋"/>
                <w:color w:val="auto"/>
                <w:sz w:val="24"/>
                <w:szCs w:val="22"/>
                <w:highlight w:val="none"/>
              </w:rPr>
            </w:pPr>
          </w:p>
        </w:tc>
        <w:tc>
          <w:tcPr>
            <w:tcW w:w="1803" w:type="dxa"/>
            <w:gridSpan w:val="2"/>
            <w:vAlign w:val="center"/>
          </w:tcPr>
          <w:p>
            <w:pPr>
              <w:rPr>
                <w:rFonts w:eastAsia="仿宋"/>
                <w:color w:val="auto"/>
                <w:sz w:val="24"/>
                <w:szCs w:val="22"/>
                <w:highlight w:val="none"/>
              </w:rPr>
            </w:pPr>
            <w:r>
              <w:rPr>
                <w:rFonts w:eastAsia="仿宋"/>
                <w:color w:val="auto"/>
                <w:sz w:val="24"/>
                <w:szCs w:val="22"/>
                <w:highlight w:val="none"/>
              </w:rPr>
              <w:t>中级职称人员</w:t>
            </w:r>
          </w:p>
        </w:tc>
        <w:tc>
          <w:tcPr>
            <w:tcW w:w="2401" w:type="dxa"/>
            <w:gridSpan w:val="2"/>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1698" w:type="dxa"/>
            <w:vAlign w:val="center"/>
          </w:tcPr>
          <w:p>
            <w:pPr>
              <w:rPr>
                <w:rFonts w:eastAsia="仿宋"/>
                <w:color w:val="auto"/>
                <w:sz w:val="24"/>
                <w:szCs w:val="22"/>
                <w:highlight w:val="none"/>
              </w:rPr>
            </w:pPr>
            <w:r>
              <w:rPr>
                <w:rFonts w:eastAsia="仿宋"/>
                <w:color w:val="auto"/>
                <w:sz w:val="24"/>
                <w:szCs w:val="22"/>
                <w:highlight w:val="none"/>
              </w:rPr>
              <w:t>开户银行</w:t>
            </w:r>
          </w:p>
        </w:tc>
        <w:tc>
          <w:tcPr>
            <w:tcW w:w="2647" w:type="dxa"/>
            <w:gridSpan w:val="2"/>
            <w:vAlign w:val="center"/>
          </w:tcPr>
          <w:p>
            <w:pPr>
              <w:rPr>
                <w:rFonts w:eastAsia="仿宋"/>
                <w:color w:val="auto"/>
                <w:sz w:val="24"/>
                <w:szCs w:val="22"/>
                <w:highlight w:val="none"/>
              </w:rPr>
            </w:pPr>
          </w:p>
        </w:tc>
        <w:tc>
          <w:tcPr>
            <w:tcW w:w="737" w:type="dxa"/>
            <w:vMerge w:val="continue"/>
            <w:vAlign w:val="center"/>
          </w:tcPr>
          <w:p>
            <w:pPr>
              <w:rPr>
                <w:rFonts w:eastAsia="仿宋"/>
                <w:color w:val="auto"/>
                <w:sz w:val="24"/>
                <w:szCs w:val="22"/>
                <w:highlight w:val="none"/>
              </w:rPr>
            </w:pPr>
          </w:p>
        </w:tc>
        <w:tc>
          <w:tcPr>
            <w:tcW w:w="1803" w:type="dxa"/>
            <w:gridSpan w:val="2"/>
            <w:vAlign w:val="center"/>
          </w:tcPr>
          <w:p>
            <w:pPr>
              <w:rPr>
                <w:rFonts w:eastAsia="仿宋"/>
                <w:color w:val="auto"/>
                <w:sz w:val="24"/>
                <w:szCs w:val="22"/>
                <w:highlight w:val="none"/>
              </w:rPr>
            </w:pPr>
            <w:r>
              <w:rPr>
                <w:rFonts w:eastAsia="仿宋"/>
                <w:color w:val="auto"/>
                <w:sz w:val="24"/>
                <w:szCs w:val="22"/>
                <w:highlight w:val="none"/>
              </w:rPr>
              <w:t>初级职称人员</w:t>
            </w:r>
          </w:p>
        </w:tc>
        <w:tc>
          <w:tcPr>
            <w:tcW w:w="2401" w:type="dxa"/>
            <w:gridSpan w:val="2"/>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1698" w:type="dxa"/>
            <w:vAlign w:val="center"/>
          </w:tcPr>
          <w:p>
            <w:pPr>
              <w:rPr>
                <w:rFonts w:eastAsia="仿宋"/>
                <w:color w:val="auto"/>
                <w:sz w:val="24"/>
                <w:szCs w:val="22"/>
                <w:highlight w:val="none"/>
              </w:rPr>
            </w:pPr>
            <w:r>
              <w:rPr>
                <w:rFonts w:eastAsia="仿宋"/>
                <w:color w:val="auto"/>
                <w:sz w:val="24"/>
                <w:szCs w:val="22"/>
                <w:highlight w:val="none"/>
              </w:rPr>
              <w:t>银行账号</w:t>
            </w:r>
          </w:p>
        </w:tc>
        <w:tc>
          <w:tcPr>
            <w:tcW w:w="2647" w:type="dxa"/>
            <w:gridSpan w:val="2"/>
            <w:vAlign w:val="center"/>
          </w:tcPr>
          <w:p>
            <w:pPr>
              <w:rPr>
                <w:rFonts w:eastAsia="仿宋"/>
                <w:color w:val="auto"/>
                <w:sz w:val="24"/>
                <w:szCs w:val="22"/>
                <w:highlight w:val="none"/>
              </w:rPr>
            </w:pPr>
          </w:p>
        </w:tc>
        <w:tc>
          <w:tcPr>
            <w:tcW w:w="737" w:type="dxa"/>
            <w:vMerge w:val="continue"/>
            <w:vAlign w:val="center"/>
          </w:tcPr>
          <w:p>
            <w:pPr>
              <w:rPr>
                <w:rFonts w:eastAsia="仿宋"/>
                <w:color w:val="auto"/>
                <w:sz w:val="24"/>
                <w:szCs w:val="22"/>
                <w:highlight w:val="none"/>
              </w:rPr>
            </w:pPr>
          </w:p>
        </w:tc>
        <w:tc>
          <w:tcPr>
            <w:tcW w:w="1803" w:type="dxa"/>
            <w:gridSpan w:val="2"/>
            <w:vAlign w:val="center"/>
          </w:tcPr>
          <w:p>
            <w:pPr>
              <w:rPr>
                <w:rFonts w:eastAsia="仿宋"/>
                <w:color w:val="auto"/>
                <w:sz w:val="24"/>
                <w:szCs w:val="22"/>
                <w:highlight w:val="none"/>
              </w:rPr>
            </w:pPr>
            <w:r>
              <w:rPr>
                <w:rFonts w:eastAsia="仿宋"/>
                <w:color w:val="auto"/>
                <w:sz w:val="24"/>
                <w:szCs w:val="22"/>
                <w:highlight w:val="none"/>
              </w:rPr>
              <w:t>技工</w:t>
            </w:r>
          </w:p>
        </w:tc>
        <w:tc>
          <w:tcPr>
            <w:tcW w:w="2401" w:type="dxa"/>
            <w:gridSpan w:val="2"/>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1698" w:type="dxa"/>
            <w:vAlign w:val="center"/>
          </w:tcPr>
          <w:p>
            <w:pPr>
              <w:rPr>
                <w:rFonts w:eastAsia="仿宋"/>
                <w:color w:val="auto"/>
                <w:sz w:val="24"/>
                <w:szCs w:val="22"/>
                <w:highlight w:val="none"/>
              </w:rPr>
            </w:pPr>
            <w:r>
              <w:rPr>
                <w:rFonts w:eastAsia="仿宋"/>
                <w:color w:val="auto"/>
                <w:sz w:val="24"/>
                <w:szCs w:val="22"/>
                <w:highlight w:val="none"/>
              </w:rPr>
              <w:t>经营范围备注</w:t>
            </w:r>
          </w:p>
        </w:tc>
        <w:tc>
          <w:tcPr>
            <w:tcW w:w="7588" w:type="dxa"/>
            <w:gridSpan w:val="7"/>
            <w:vAlign w:val="center"/>
          </w:tcPr>
          <w:p>
            <w:pPr>
              <w:rPr>
                <w:rFonts w:eastAsia="仿宋"/>
                <w:color w:val="auto"/>
                <w:sz w:val="24"/>
                <w:szCs w:val="22"/>
                <w:highlight w:val="none"/>
              </w:rPr>
            </w:pPr>
          </w:p>
        </w:tc>
      </w:tr>
    </w:tbl>
    <w:p>
      <w:pPr>
        <w:spacing w:line="460" w:lineRule="exact"/>
        <w:ind w:firstLine="720" w:firstLineChars="300"/>
        <w:rPr>
          <w:rFonts w:eastAsia="仿宋"/>
          <w:color w:val="auto"/>
          <w:sz w:val="24"/>
          <w:highlight w:val="none"/>
        </w:rPr>
      </w:pPr>
      <w:bookmarkStart w:id="395" w:name="_Toc400631668"/>
      <w:bookmarkStart w:id="396" w:name="_Toc399344507"/>
      <w:bookmarkStart w:id="397" w:name="_Toc399344134"/>
      <w:bookmarkStart w:id="398" w:name="_Toc495403967"/>
      <w:r>
        <w:rPr>
          <w:rFonts w:eastAsia="仿宋"/>
          <w:color w:val="auto"/>
          <w:sz w:val="24"/>
          <w:highlight w:val="none"/>
        </w:rPr>
        <w:t>投标人名称： （加盖公章）</w:t>
      </w:r>
    </w:p>
    <w:p>
      <w:pPr>
        <w:spacing w:line="460" w:lineRule="exact"/>
        <w:ind w:left="690"/>
        <w:rPr>
          <w:rFonts w:eastAsia="仿宋"/>
          <w:color w:val="auto"/>
          <w:sz w:val="24"/>
          <w:highlight w:val="none"/>
        </w:rPr>
      </w:pPr>
      <w:r>
        <w:rPr>
          <w:rFonts w:eastAsia="仿宋"/>
          <w:color w:val="auto"/>
          <w:sz w:val="24"/>
          <w:highlight w:val="none"/>
        </w:rPr>
        <w:t>法定代表人（或授权代表）签字（或签章）：</w:t>
      </w:r>
    </w:p>
    <w:p>
      <w:pPr>
        <w:spacing w:line="460" w:lineRule="exact"/>
        <w:ind w:left="690"/>
        <w:rPr>
          <w:rFonts w:eastAsia="仿宋"/>
          <w:color w:val="auto"/>
          <w:sz w:val="24"/>
          <w:highlight w:val="none"/>
        </w:rPr>
      </w:pPr>
      <w:r>
        <w:rPr>
          <w:rFonts w:eastAsia="仿宋"/>
          <w:color w:val="auto"/>
          <w:sz w:val="24"/>
          <w:highlight w:val="none"/>
        </w:rPr>
        <w:t>日期：</w:t>
      </w:r>
    </w:p>
    <w:p>
      <w:pPr>
        <w:rPr>
          <w:rFonts w:eastAsia="仿宋"/>
          <w:b/>
          <w:color w:val="auto"/>
          <w:sz w:val="24"/>
          <w:highlight w:val="none"/>
        </w:rPr>
      </w:pPr>
      <w:r>
        <w:rPr>
          <w:rFonts w:eastAsia="仿宋"/>
          <w:b/>
          <w:color w:val="auto"/>
          <w:sz w:val="24"/>
          <w:highlight w:val="none"/>
        </w:rPr>
        <w:br w:type="page"/>
      </w:r>
      <w:r>
        <w:rPr>
          <w:rFonts w:eastAsia="仿宋"/>
          <w:b/>
          <w:color w:val="auto"/>
          <w:sz w:val="24"/>
          <w:highlight w:val="none"/>
        </w:rPr>
        <w:t>（2）近年完成的类似项目情况表</w:t>
      </w:r>
      <w:bookmarkEnd w:id="395"/>
      <w:bookmarkEnd w:id="396"/>
      <w:bookmarkEnd w:id="397"/>
      <w:bookmarkEnd w:id="398"/>
    </w:p>
    <w:tbl>
      <w:tblPr>
        <w:tblStyle w:val="42"/>
        <w:tblW w:w="9286"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210"/>
        <w:gridCol w:w="7076"/>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3" w:hRule="atLeast"/>
        </w:trPr>
        <w:tc>
          <w:tcPr>
            <w:tcW w:w="2210" w:type="dxa"/>
            <w:vAlign w:val="center"/>
          </w:tcPr>
          <w:p>
            <w:pPr>
              <w:rPr>
                <w:rFonts w:eastAsia="仿宋"/>
                <w:color w:val="auto"/>
                <w:sz w:val="24"/>
                <w:szCs w:val="22"/>
                <w:highlight w:val="none"/>
              </w:rPr>
            </w:pPr>
            <w:r>
              <w:rPr>
                <w:rFonts w:eastAsia="仿宋"/>
                <w:color w:val="auto"/>
                <w:sz w:val="24"/>
                <w:szCs w:val="22"/>
                <w:highlight w:val="none"/>
              </w:rPr>
              <w:t>项目名称</w:t>
            </w:r>
          </w:p>
        </w:tc>
        <w:tc>
          <w:tcPr>
            <w:tcW w:w="7076" w:type="dxa"/>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3" w:hRule="atLeast"/>
        </w:trPr>
        <w:tc>
          <w:tcPr>
            <w:tcW w:w="2210" w:type="dxa"/>
            <w:vAlign w:val="center"/>
          </w:tcPr>
          <w:p>
            <w:pPr>
              <w:rPr>
                <w:rFonts w:hint="default" w:eastAsia="仿宋"/>
                <w:color w:val="auto"/>
                <w:sz w:val="24"/>
                <w:szCs w:val="22"/>
                <w:highlight w:val="none"/>
                <w:lang w:val="en-US" w:eastAsia="zh-CN"/>
              </w:rPr>
            </w:pPr>
            <w:r>
              <w:rPr>
                <w:rFonts w:hint="eastAsia" w:eastAsia="仿宋"/>
                <w:color w:val="auto"/>
                <w:sz w:val="24"/>
                <w:szCs w:val="22"/>
                <w:highlight w:val="none"/>
                <w:lang w:val="en-US" w:eastAsia="zh-CN"/>
              </w:rPr>
              <w:t>发布网站名称</w:t>
            </w:r>
          </w:p>
        </w:tc>
        <w:tc>
          <w:tcPr>
            <w:tcW w:w="7076" w:type="dxa"/>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33" w:hRule="atLeast"/>
        </w:trPr>
        <w:tc>
          <w:tcPr>
            <w:tcW w:w="2210" w:type="dxa"/>
            <w:vAlign w:val="center"/>
          </w:tcPr>
          <w:p>
            <w:pPr>
              <w:rPr>
                <w:rFonts w:hint="default" w:eastAsia="仿宋"/>
                <w:color w:val="auto"/>
                <w:sz w:val="24"/>
                <w:szCs w:val="22"/>
                <w:highlight w:val="none"/>
                <w:lang w:val="en-US" w:eastAsia="zh-CN"/>
              </w:rPr>
            </w:pPr>
            <w:r>
              <w:rPr>
                <w:rFonts w:hint="eastAsia" w:eastAsia="仿宋"/>
                <w:color w:val="auto"/>
                <w:sz w:val="24"/>
                <w:szCs w:val="22"/>
                <w:highlight w:val="none"/>
                <w:lang w:val="en-US" w:eastAsia="zh-CN"/>
              </w:rPr>
              <w:t>网页链接地址</w:t>
            </w:r>
          </w:p>
        </w:tc>
        <w:tc>
          <w:tcPr>
            <w:tcW w:w="7076" w:type="dxa"/>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33" w:hRule="atLeast"/>
        </w:trPr>
        <w:tc>
          <w:tcPr>
            <w:tcW w:w="2210" w:type="dxa"/>
            <w:vAlign w:val="center"/>
          </w:tcPr>
          <w:p>
            <w:pPr>
              <w:rPr>
                <w:rFonts w:eastAsia="仿宋"/>
                <w:color w:val="auto"/>
                <w:sz w:val="24"/>
                <w:szCs w:val="22"/>
                <w:highlight w:val="none"/>
              </w:rPr>
            </w:pPr>
            <w:r>
              <w:rPr>
                <w:rFonts w:eastAsia="仿宋"/>
                <w:color w:val="auto"/>
                <w:sz w:val="24"/>
                <w:szCs w:val="22"/>
                <w:highlight w:val="none"/>
              </w:rPr>
              <w:t>采购人名称</w:t>
            </w:r>
          </w:p>
        </w:tc>
        <w:tc>
          <w:tcPr>
            <w:tcW w:w="7076" w:type="dxa"/>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3" w:hRule="atLeast"/>
        </w:trPr>
        <w:tc>
          <w:tcPr>
            <w:tcW w:w="2210" w:type="dxa"/>
            <w:vAlign w:val="center"/>
          </w:tcPr>
          <w:p>
            <w:pPr>
              <w:rPr>
                <w:rFonts w:eastAsia="仿宋"/>
                <w:color w:val="auto"/>
                <w:sz w:val="24"/>
                <w:szCs w:val="22"/>
                <w:highlight w:val="none"/>
              </w:rPr>
            </w:pPr>
            <w:r>
              <w:rPr>
                <w:rFonts w:eastAsia="仿宋"/>
                <w:color w:val="auto"/>
                <w:sz w:val="24"/>
                <w:szCs w:val="22"/>
                <w:highlight w:val="none"/>
              </w:rPr>
              <w:t>采购人地址</w:t>
            </w:r>
          </w:p>
        </w:tc>
        <w:tc>
          <w:tcPr>
            <w:tcW w:w="7076" w:type="dxa"/>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3" w:hRule="atLeast"/>
        </w:trPr>
        <w:tc>
          <w:tcPr>
            <w:tcW w:w="2210" w:type="dxa"/>
            <w:vAlign w:val="center"/>
          </w:tcPr>
          <w:p>
            <w:pPr>
              <w:rPr>
                <w:rFonts w:eastAsia="仿宋"/>
                <w:color w:val="auto"/>
                <w:sz w:val="24"/>
                <w:szCs w:val="22"/>
                <w:highlight w:val="none"/>
              </w:rPr>
            </w:pPr>
            <w:r>
              <w:rPr>
                <w:rFonts w:eastAsia="仿宋"/>
                <w:color w:val="auto"/>
                <w:sz w:val="24"/>
                <w:szCs w:val="22"/>
                <w:highlight w:val="none"/>
              </w:rPr>
              <w:t>采购人电话</w:t>
            </w:r>
          </w:p>
        </w:tc>
        <w:tc>
          <w:tcPr>
            <w:tcW w:w="7076" w:type="dxa"/>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3" w:hRule="atLeast"/>
        </w:trPr>
        <w:tc>
          <w:tcPr>
            <w:tcW w:w="2210" w:type="dxa"/>
            <w:vAlign w:val="center"/>
          </w:tcPr>
          <w:p>
            <w:pPr>
              <w:rPr>
                <w:rFonts w:hint="default" w:eastAsia="仿宋"/>
                <w:color w:val="auto"/>
                <w:sz w:val="24"/>
                <w:szCs w:val="22"/>
                <w:highlight w:val="none"/>
                <w:lang w:val="en-US" w:eastAsia="zh-CN"/>
              </w:rPr>
            </w:pPr>
            <w:r>
              <w:rPr>
                <w:rFonts w:hint="eastAsia" w:eastAsia="仿宋"/>
                <w:color w:val="auto"/>
                <w:sz w:val="24"/>
                <w:szCs w:val="22"/>
                <w:highlight w:val="none"/>
                <w:lang w:val="en-US" w:eastAsia="zh-CN"/>
              </w:rPr>
              <w:t>采购代理机构名称</w:t>
            </w:r>
          </w:p>
        </w:tc>
        <w:tc>
          <w:tcPr>
            <w:tcW w:w="7076" w:type="dxa"/>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3" w:hRule="atLeast"/>
        </w:trPr>
        <w:tc>
          <w:tcPr>
            <w:tcW w:w="2210" w:type="dxa"/>
            <w:vAlign w:val="center"/>
          </w:tcPr>
          <w:p>
            <w:pPr>
              <w:rPr>
                <w:rFonts w:hint="default" w:eastAsia="仿宋"/>
                <w:color w:val="auto"/>
                <w:sz w:val="24"/>
                <w:szCs w:val="22"/>
                <w:highlight w:val="none"/>
                <w:lang w:val="en-US" w:eastAsia="zh-CN"/>
              </w:rPr>
            </w:pPr>
            <w:r>
              <w:rPr>
                <w:rFonts w:hint="eastAsia" w:eastAsia="仿宋"/>
                <w:color w:val="auto"/>
                <w:sz w:val="24"/>
                <w:szCs w:val="22"/>
                <w:highlight w:val="none"/>
                <w:lang w:val="en-US" w:eastAsia="zh-CN"/>
              </w:rPr>
              <w:t>采购代理机构电话</w:t>
            </w:r>
          </w:p>
        </w:tc>
        <w:tc>
          <w:tcPr>
            <w:tcW w:w="7076" w:type="dxa"/>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3" w:hRule="atLeast"/>
        </w:trPr>
        <w:tc>
          <w:tcPr>
            <w:tcW w:w="2210" w:type="dxa"/>
            <w:vAlign w:val="center"/>
          </w:tcPr>
          <w:p>
            <w:pPr>
              <w:rPr>
                <w:rFonts w:hint="eastAsia" w:eastAsia="仿宋"/>
                <w:color w:val="auto"/>
                <w:sz w:val="24"/>
                <w:szCs w:val="22"/>
                <w:highlight w:val="none"/>
                <w:lang w:eastAsia="zh-CN"/>
              </w:rPr>
            </w:pPr>
            <w:r>
              <w:rPr>
                <w:rFonts w:hint="eastAsia" w:eastAsia="仿宋"/>
                <w:color w:val="auto"/>
                <w:sz w:val="24"/>
                <w:szCs w:val="22"/>
                <w:highlight w:val="none"/>
                <w:lang w:eastAsia="zh-CN"/>
              </w:rPr>
              <w:t>中标（</w:t>
            </w:r>
            <w:r>
              <w:rPr>
                <w:rFonts w:hint="eastAsia" w:eastAsia="仿宋"/>
                <w:color w:val="auto"/>
                <w:sz w:val="24"/>
                <w:szCs w:val="22"/>
                <w:highlight w:val="none"/>
                <w:lang w:val="en-US" w:eastAsia="zh-CN"/>
              </w:rPr>
              <w:t>成交</w:t>
            </w:r>
            <w:r>
              <w:rPr>
                <w:rFonts w:hint="eastAsia" w:eastAsia="仿宋"/>
                <w:color w:val="auto"/>
                <w:sz w:val="24"/>
                <w:szCs w:val="22"/>
                <w:highlight w:val="none"/>
                <w:lang w:eastAsia="zh-CN"/>
              </w:rPr>
              <w:t>）金额</w:t>
            </w:r>
          </w:p>
        </w:tc>
        <w:tc>
          <w:tcPr>
            <w:tcW w:w="7076" w:type="dxa"/>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3" w:hRule="atLeast"/>
        </w:trPr>
        <w:tc>
          <w:tcPr>
            <w:tcW w:w="2210" w:type="dxa"/>
            <w:vAlign w:val="center"/>
          </w:tcPr>
          <w:p>
            <w:pPr>
              <w:rPr>
                <w:rFonts w:hint="eastAsia" w:eastAsia="仿宋"/>
                <w:color w:val="auto"/>
                <w:sz w:val="24"/>
                <w:szCs w:val="22"/>
                <w:highlight w:val="none"/>
                <w:lang w:eastAsia="zh-CN"/>
              </w:rPr>
            </w:pPr>
            <w:r>
              <w:rPr>
                <w:rFonts w:hint="eastAsia" w:eastAsia="仿宋"/>
                <w:color w:val="auto"/>
                <w:sz w:val="24"/>
                <w:szCs w:val="22"/>
                <w:highlight w:val="none"/>
                <w:lang w:eastAsia="zh-CN"/>
              </w:rPr>
              <w:t>中标（</w:t>
            </w:r>
            <w:r>
              <w:rPr>
                <w:rFonts w:hint="eastAsia" w:eastAsia="仿宋"/>
                <w:color w:val="auto"/>
                <w:sz w:val="24"/>
                <w:szCs w:val="22"/>
                <w:highlight w:val="none"/>
                <w:lang w:val="en-US" w:eastAsia="zh-CN"/>
              </w:rPr>
              <w:t>成交</w:t>
            </w:r>
            <w:r>
              <w:rPr>
                <w:rFonts w:hint="eastAsia" w:eastAsia="仿宋"/>
                <w:color w:val="auto"/>
                <w:sz w:val="24"/>
                <w:szCs w:val="22"/>
                <w:highlight w:val="none"/>
                <w:lang w:eastAsia="zh-CN"/>
              </w:rPr>
              <w:t>）公告发布时间</w:t>
            </w:r>
          </w:p>
        </w:tc>
        <w:tc>
          <w:tcPr>
            <w:tcW w:w="7076" w:type="dxa"/>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2275" w:hRule="atLeast"/>
        </w:trPr>
        <w:tc>
          <w:tcPr>
            <w:tcW w:w="2210" w:type="dxa"/>
            <w:vAlign w:val="center"/>
          </w:tcPr>
          <w:p>
            <w:pPr>
              <w:rPr>
                <w:rFonts w:eastAsia="仿宋"/>
                <w:color w:val="auto"/>
                <w:sz w:val="24"/>
                <w:szCs w:val="22"/>
                <w:highlight w:val="none"/>
              </w:rPr>
            </w:pPr>
            <w:r>
              <w:rPr>
                <w:rFonts w:eastAsia="仿宋"/>
                <w:color w:val="auto"/>
                <w:sz w:val="24"/>
                <w:szCs w:val="22"/>
                <w:highlight w:val="none"/>
              </w:rPr>
              <w:t>项目描述</w:t>
            </w:r>
          </w:p>
        </w:tc>
        <w:tc>
          <w:tcPr>
            <w:tcW w:w="7076" w:type="dxa"/>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1365" w:hRule="atLeast"/>
        </w:trPr>
        <w:tc>
          <w:tcPr>
            <w:tcW w:w="2210" w:type="dxa"/>
            <w:vAlign w:val="center"/>
          </w:tcPr>
          <w:p>
            <w:pPr>
              <w:rPr>
                <w:rFonts w:eastAsia="仿宋"/>
                <w:color w:val="auto"/>
                <w:sz w:val="24"/>
                <w:szCs w:val="22"/>
                <w:highlight w:val="none"/>
              </w:rPr>
            </w:pPr>
            <w:r>
              <w:rPr>
                <w:rFonts w:eastAsia="仿宋"/>
                <w:color w:val="auto"/>
                <w:sz w:val="24"/>
                <w:szCs w:val="22"/>
                <w:highlight w:val="none"/>
              </w:rPr>
              <w:t>备注</w:t>
            </w:r>
          </w:p>
        </w:tc>
        <w:tc>
          <w:tcPr>
            <w:tcW w:w="7076" w:type="dxa"/>
            <w:vAlign w:val="center"/>
          </w:tcPr>
          <w:p>
            <w:pPr>
              <w:rPr>
                <w:rFonts w:eastAsia="仿宋"/>
                <w:color w:val="auto"/>
                <w:sz w:val="24"/>
                <w:szCs w:val="22"/>
                <w:highlight w:val="none"/>
              </w:rPr>
            </w:pPr>
          </w:p>
        </w:tc>
      </w:tr>
    </w:tbl>
    <w:p>
      <w:pPr>
        <w:rPr>
          <w:rFonts w:eastAsia="仿宋"/>
          <w:b/>
          <w:color w:val="auto"/>
          <w:sz w:val="24"/>
          <w:highlight w:val="none"/>
        </w:rPr>
      </w:pPr>
    </w:p>
    <w:p>
      <w:pPr>
        <w:rPr>
          <w:rFonts w:eastAsia="仿宋"/>
          <w:b/>
          <w:color w:val="auto"/>
          <w:sz w:val="24"/>
          <w:highlight w:val="none"/>
        </w:rPr>
      </w:pPr>
    </w:p>
    <w:p>
      <w:pPr>
        <w:spacing w:line="460" w:lineRule="exact"/>
        <w:ind w:left="690"/>
        <w:rPr>
          <w:rFonts w:eastAsia="仿宋"/>
          <w:color w:val="auto"/>
          <w:sz w:val="24"/>
          <w:highlight w:val="none"/>
        </w:rPr>
      </w:pPr>
      <w:bookmarkStart w:id="399" w:name="_Toc400631669"/>
      <w:bookmarkStart w:id="400" w:name="_Toc399344135"/>
      <w:bookmarkStart w:id="401" w:name="_Toc495403968"/>
      <w:bookmarkStart w:id="402" w:name="_Toc399344508"/>
      <w:r>
        <w:rPr>
          <w:rFonts w:eastAsia="仿宋"/>
          <w:color w:val="auto"/>
          <w:sz w:val="24"/>
          <w:highlight w:val="none"/>
        </w:rPr>
        <w:t>投标人名称： （加盖公章）</w:t>
      </w:r>
    </w:p>
    <w:p>
      <w:pPr>
        <w:spacing w:line="460" w:lineRule="exact"/>
        <w:ind w:left="690"/>
        <w:rPr>
          <w:rFonts w:eastAsia="仿宋"/>
          <w:color w:val="auto"/>
          <w:sz w:val="24"/>
          <w:highlight w:val="none"/>
        </w:rPr>
      </w:pPr>
      <w:r>
        <w:rPr>
          <w:rFonts w:eastAsia="仿宋"/>
          <w:color w:val="auto"/>
          <w:sz w:val="24"/>
          <w:highlight w:val="none"/>
        </w:rPr>
        <w:t>法定代表人（或授权代表）签字（或签章）：</w:t>
      </w:r>
    </w:p>
    <w:p>
      <w:pPr>
        <w:spacing w:line="460" w:lineRule="exact"/>
        <w:ind w:firstLine="720" w:firstLineChars="300"/>
        <w:jc w:val="left"/>
        <w:rPr>
          <w:rFonts w:eastAsia="仿宋"/>
          <w:color w:val="auto"/>
          <w:sz w:val="24"/>
          <w:highlight w:val="none"/>
        </w:rPr>
      </w:pPr>
      <w:r>
        <w:rPr>
          <w:rFonts w:eastAsia="仿宋"/>
          <w:color w:val="auto"/>
          <w:sz w:val="24"/>
          <w:highlight w:val="none"/>
        </w:rPr>
        <w:t>日期：</w:t>
      </w:r>
    </w:p>
    <w:p>
      <w:pPr>
        <w:rPr>
          <w:rFonts w:eastAsia="仿宋"/>
          <w:color w:val="auto"/>
          <w:sz w:val="28"/>
          <w:highlight w:val="none"/>
        </w:rPr>
      </w:pPr>
      <w:r>
        <w:rPr>
          <w:rFonts w:eastAsia="仿宋"/>
          <w:b/>
          <w:color w:val="auto"/>
          <w:sz w:val="24"/>
          <w:highlight w:val="none"/>
        </w:rPr>
        <w:br w:type="page"/>
      </w:r>
      <w:bookmarkEnd w:id="399"/>
      <w:bookmarkEnd w:id="400"/>
      <w:bookmarkEnd w:id="401"/>
      <w:bookmarkEnd w:id="402"/>
      <w:bookmarkStart w:id="403" w:name="_Toc495403969"/>
      <w:bookmarkStart w:id="404" w:name="_Toc399344509"/>
      <w:bookmarkStart w:id="405" w:name="_Toc399344136"/>
      <w:bookmarkStart w:id="406" w:name="_Toc400631670"/>
    </w:p>
    <w:p>
      <w:pPr>
        <w:rPr>
          <w:rFonts w:eastAsia="仿宋"/>
          <w:b/>
          <w:color w:val="auto"/>
          <w:sz w:val="24"/>
          <w:highlight w:val="none"/>
        </w:rPr>
      </w:pPr>
      <w:r>
        <w:rPr>
          <w:rFonts w:eastAsia="仿宋"/>
          <w:b/>
          <w:color w:val="auto"/>
          <w:sz w:val="24"/>
          <w:highlight w:val="none"/>
        </w:rPr>
        <w:t>（</w:t>
      </w:r>
      <w:r>
        <w:rPr>
          <w:rFonts w:hint="eastAsia" w:eastAsia="仿宋"/>
          <w:b/>
          <w:color w:val="auto"/>
          <w:sz w:val="24"/>
          <w:highlight w:val="none"/>
          <w:lang w:val="en-US" w:eastAsia="zh-CN"/>
        </w:rPr>
        <w:t>3</w:t>
      </w:r>
      <w:r>
        <w:rPr>
          <w:rFonts w:eastAsia="仿宋"/>
          <w:b/>
          <w:color w:val="auto"/>
          <w:sz w:val="24"/>
          <w:highlight w:val="none"/>
        </w:rPr>
        <w:t>）属于中小企业的有效证明材料</w:t>
      </w:r>
      <w:bookmarkEnd w:id="403"/>
    </w:p>
    <w:bookmarkEnd w:id="404"/>
    <w:bookmarkEnd w:id="405"/>
    <w:bookmarkEnd w:id="406"/>
    <w:p>
      <w:pPr>
        <w:rPr>
          <w:rFonts w:eastAsia="仿宋"/>
          <w:color w:val="auto"/>
          <w:highlight w:val="none"/>
        </w:rPr>
      </w:pPr>
    </w:p>
    <w:p>
      <w:pPr>
        <w:jc w:val="center"/>
        <w:rPr>
          <w:rFonts w:eastAsia="仿宋"/>
          <w:b/>
          <w:color w:val="auto"/>
          <w:sz w:val="24"/>
          <w:highlight w:val="none"/>
        </w:rPr>
      </w:pPr>
      <w:bookmarkStart w:id="407" w:name="_Toc495162090"/>
      <w:r>
        <w:rPr>
          <w:rFonts w:hint="eastAsia" w:eastAsia="仿宋"/>
          <w:b/>
          <w:color w:val="auto"/>
          <w:sz w:val="24"/>
          <w:highlight w:val="none"/>
          <w:lang w:eastAsia="zh-CN"/>
        </w:rPr>
        <w:t>（</w:t>
      </w:r>
      <w:r>
        <w:rPr>
          <w:rFonts w:hint="eastAsia" w:eastAsia="仿宋"/>
          <w:b/>
          <w:color w:val="auto"/>
          <w:sz w:val="24"/>
          <w:highlight w:val="none"/>
          <w:lang w:val="en-US" w:eastAsia="zh-CN"/>
        </w:rPr>
        <w:t>3</w:t>
      </w:r>
      <w:r>
        <w:rPr>
          <w:rFonts w:eastAsia="仿宋"/>
          <w:b/>
          <w:color w:val="auto"/>
          <w:sz w:val="24"/>
          <w:highlight w:val="none"/>
        </w:rPr>
        <w:t>-1</w:t>
      </w:r>
      <w:r>
        <w:rPr>
          <w:rFonts w:hint="eastAsia" w:eastAsia="仿宋"/>
          <w:b/>
          <w:color w:val="auto"/>
          <w:sz w:val="24"/>
          <w:highlight w:val="none"/>
          <w:lang w:eastAsia="zh-CN"/>
        </w:rPr>
        <w:t>）</w:t>
      </w:r>
      <w:r>
        <w:rPr>
          <w:rFonts w:eastAsia="仿宋"/>
          <w:b/>
          <w:color w:val="auto"/>
          <w:sz w:val="24"/>
          <w:highlight w:val="none"/>
        </w:rPr>
        <w:t>中小企业声明函</w:t>
      </w:r>
      <w:bookmarkEnd w:id="407"/>
    </w:p>
    <w:p>
      <w:pPr>
        <w:rPr>
          <w:rFonts w:eastAsia="仿宋"/>
          <w:b/>
          <w:color w:val="auto"/>
          <w:sz w:val="24"/>
          <w:highlight w:val="none"/>
        </w:rPr>
      </w:pPr>
    </w:p>
    <w:p>
      <w:pPr>
        <w:spacing w:line="588" w:lineRule="exact"/>
        <w:ind w:firstLine="504" w:firstLineChars="200"/>
        <w:rPr>
          <w:rFonts w:eastAsia="仿宋"/>
          <w:color w:val="auto"/>
          <w:spacing w:val="6"/>
          <w:sz w:val="24"/>
          <w:highlight w:val="none"/>
        </w:rPr>
      </w:pPr>
      <w:r>
        <w:rPr>
          <w:rFonts w:eastAsia="仿宋"/>
          <w:color w:val="auto"/>
          <w:spacing w:val="6"/>
          <w:sz w:val="24"/>
          <w:highlight w:val="none"/>
        </w:rPr>
        <w:t>本公司郑重声明，根据《政府采购促进中小企业发展管理办法》（财库[2020]46号）的规定，本公司为参加</w:t>
      </w:r>
      <w:r>
        <w:rPr>
          <w:rFonts w:eastAsia="仿宋"/>
          <w:color w:val="auto"/>
          <w:spacing w:val="6"/>
          <w:sz w:val="24"/>
          <w:highlight w:val="none"/>
          <w:u w:val="single"/>
        </w:rPr>
        <w:t>（单位名称）</w:t>
      </w:r>
      <w:r>
        <w:rPr>
          <w:rFonts w:eastAsia="仿宋"/>
          <w:color w:val="auto"/>
          <w:spacing w:val="6"/>
          <w:sz w:val="24"/>
          <w:highlight w:val="none"/>
        </w:rPr>
        <w:t>的</w:t>
      </w:r>
      <w:r>
        <w:rPr>
          <w:rFonts w:eastAsia="仿宋"/>
          <w:color w:val="auto"/>
          <w:spacing w:val="6"/>
          <w:sz w:val="24"/>
          <w:highlight w:val="none"/>
          <w:u w:val="single"/>
        </w:rPr>
        <w:t>（项目名称）</w:t>
      </w:r>
      <w:r>
        <w:rPr>
          <w:rFonts w:eastAsia="仿宋"/>
          <w:color w:val="auto"/>
          <w:spacing w:val="6"/>
          <w:sz w:val="24"/>
          <w:highlight w:val="none"/>
        </w:rPr>
        <w:t>采购活动，提供的货物全部由符合政策要求的中小企业制造。相关企业的具体情况如下：</w:t>
      </w:r>
    </w:p>
    <w:p>
      <w:pPr>
        <w:spacing w:line="588" w:lineRule="exact"/>
        <w:ind w:firstLine="504" w:firstLineChars="200"/>
        <w:rPr>
          <w:rFonts w:eastAsia="仿宋"/>
          <w:color w:val="auto"/>
          <w:spacing w:val="6"/>
          <w:sz w:val="24"/>
          <w:highlight w:val="none"/>
        </w:rPr>
      </w:pPr>
      <w:r>
        <w:rPr>
          <w:rFonts w:eastAsia="仿宋"/>
          <w:color w:val="auto"/>
          <w:spacing w:val="6"/>
          <w:sz w:val="24"/>
          <w:highlight w:val="none"/>
        </w:rPr>
        <w:t>1.</w:t>
      </w:r>
      <w:r>
        <w:rPr>
          <w:rFonts w:eastAsia="仿宋"/>
          <w:color w:val="auto"/>
          <w:spacing w:val="6"/>
          <w:sz w:val="24"/>
          <w:highlight w:val="none"/>
          <w:u w:val="single"/>
        </w:rPr>
        <w:t>（标的名称）</w:t>
      </w:r>
      <w:r>
        <w:rPr>
          <w:rFonts w:eastAsia="仿宋"/>
          <w:color w:val="auto"/>
          <w:spacing w:val="6"/>
          <w:sz w:val="24"/>
          <w:highlight w:val="none"/>
        </w:rPr>
        <w:t>，属于</w:t>
      </w:r>
      <w:r>
        <w:rPr>
          <w:rFonts w:eastAsia="仿宋"/>
          <w:color w:val="auto"/>
          <w:spacing w:val="6"/>
          <w:sz w:val="24"/>
          <w:highlight w:val="none"/>
          <w:u w:val="single"/>
        </w:rPr>
        <w:t>（采购文件中明确的所属行业）行业</w:t>
      </w:r>
      <w:r>
        <w:rPr>
          <w:rFonts w:eastAsia="仿宋"/>
          <w:color w:val="auto"/>
          <w:spacing w:val="6"/>
          <w:sz w:val="24"/>
          <w:highlight w:val="none"/>
        </w:rPr>
        <w:t>；制造商为</w:t>
      </w:r>
      <w:r>
        <w:rPr>
          <w:rFonts w:eastAsia="仿宋"/>
          <w:color w:val="auto"/>
          <w:spacing w:val="6"/>
          <w:sz w:val="24"/>
          <w:highlight w:val="none"/>
          <w:u w:val="single"/>
        </w:rPr>
        <w:t>（企业名称）</w:t>
      </w:r>
      <w:r>
        <w:rPr>
          <w:rFonts w:eastAsia="仿宋"/>
          <w:color w:val="auto"/>
          <w:spacing w:val="6"/>
          <w:sz w:val="24"/>
          <w:highlight w:val="none"/>
        </w:rPr>
        <w:t>，从业人员人，营业收入为万元，资产总额为万元，属于</w:t>
      </w:r>
      <w:r>
        <w:rPr>
          <w:rFonts w:eastAsia="仿宋"/>
          <w:color w:val="auto"/>
          <w:spacing w:val="6"/>
          <w:sz w:val="24"/>
          <w:highlight w:val="none"/>
          <w:u w:val="single"/>
        </w:rPr>
        <w:t>（中型企业、小型企业、微型企业）</w:t>
      </w:r>
      <w:r>
        <w:rPr>
          <w:rFonts w:eastAsia="仿宋"/>
          <w:color w:val="auto"/>
          <w:spacing w:val="6"/>
          <w:sz w:val="24"/>
          <w:highlight w:val="none"/>
        </w:rPr>
        <w:t>；</w:t>
      </w:r>
    </w:p>
    <w:p>
      <w:pPr>
        <w:spacing w:line="588" w:lineRule="exact"/>
        <w:ind w:firstLine="504" w:firstLineChars="200"/>
        <w:rPr>
          <w:rFonts w:eastAsia="仿宋"/>
          <w:color w:val="auto"/>
          <w:spacing w:val="6"/>
          <w:sz w:val="24"/>
          <w:highlight w:val="none"/>
        </w:rPr>
      </w:pPr>
      <w:r>
        <w:rPr>
          <w:rFonts w:eastAsia="仿宋"/>
          <w:color w:val="auto"/>
          <w:spacing w:val="6"/>
          <w:sz w:val="24"/>
          <w:highlight w:val="none"/>
        </w:rPr>
        <w:t>2.</w:t>
      </w:r>
      <w:r>
        <w:rPr>
          <w:rFonts w:eastAsia="仿宋"/>
          <w:color w:val="auto"/>
          <w:spacing w:val="6"/>
          <w:sz w:val="24"/>
          <w:highlight w:val="none"/>
          <w:u w:val="single"/>
        </w:rPr>
        <w:t xml:space="preserve"> （标的名称）</w:t>
      </w:r>
      <w:r>
        <w:rPr>
          <w:rFonts w:eastAsia="仿宋"/>
          <w:color w:val="auto"/>
          <w:spacing w:val="6"/>
          <w:sz w:val="24"/>
          <w:highlight w:val="none"/>
        </w:rPr>
        <w:t>，属于</w:t>
      </w:r>
      <w:r>
        <w:rPr>
          <w:rFonts w:eastAsia="仿宋"/>
          <w:color w:val="auto"/>
          <w:spacing w:val="6"/>
          <w:sz w:val="24"/>
          <w:highlight w:val="none"/>
          <w:u w:val="single"/>
        </w:rPr>
        <w:t>（采购文件中明确的所属行业）行业</w:t>
      </w:r>
      <w:r>
        <w:rPr>
          <w:rFonts w:eastAsia="仿宋"/>
          <w:color w:val="auto"/>
          <w:spacing w:val="6"/>
          <w:sz w:val="24"/>
          <w:highlight w:val="none"/>
        </w:rPr>
        <w:t>；制造商为</w:t>
      </w:r>
      <w:r>
        <w:rPr>
          <w:rFonts w:eastAsia="仿宋"/>
          <w:color w:val="auto"/>
          <w:spacing w:val="6"/>
          <w:sz w:val="24"/>
          <w:highlight w:val="none"/>
          <w:u w:val="single"/>
        </w:rPr>
        <w:t>（企业名称）</w:t>
      </w:r>
      <w:r>
        <w:rPr>
          <w:rFonts w:eastAsia="仿宋"/>
          <w:color w:val="auto"/>
          <w:spacing w:val="6"/>
          <w:sz w:val="24"/>
          <w:highlight w:val="none"/>
        </w:rPr>
        <w:t>，从业人员人，营业收入为万元，资产总额为万元，属于</w:t>
      </w:r>
      <w:r>
        <w:rPr>
          <w:rFonts w:eastAsia="仿宋"/>
          <w:color w:val="auto"/>
          <w:spacing w:val="6"/>
          <w:sz w:val="24"/>
          <w:highlight w:val="none"/>
          <w:u w:val="single"/>
        </w:rPr>
        <w:t>（中型企业、小型企业、微型企业）</w:t>
      </w:r>
      <w:r>
        <w:rPr>
          <w:rFonts w:eastAsia="仿宋"/>
          <w:color w:val="auto"/>
          <w:spacing w:val="6"/>
          <w:sz w:val="24"/>
          <w:highlight w:val="none"/>
        </w:rPr>
        <w:t>；</w:t>
      </w:r>
    </w:p>
    <w:p>
      <w:pPr>
        <w:spacing w:line="588" w:lineRule="exact"/>
        <w:ind w:firstLine="504" w:firstLineChars="200"/>
        <w:rPr>
          <w:rFonts w:eastAsia="仿宋"/>
          <w:color w:val="auto"/>
          <w:spacing w:val="6"/>
          <w:sz w:val="24"/>
          <w:highlight w:val="none"/>
        </w:rPr>
      </w:pPr>
    </w:p>
    <w:p>
      <w:pPr>
        <w:spacing w:line="588" w:lineRule="exact"/>
        <w:ind w:firstLine="504" w:firstLineChars="200"/>
        <w:rPr>
          <w:rFonts w:eastAsia="仿宋"/>
          <w:color w:val="auto"/>
          <w:spacing w:val="6"/>
          <w:sz w:val="24"/>
          <w:highlight w:val="none"/>
        </w:rPr>
      </w:pPr>
      <w:r>
        <w:rPr>
          <w:rFonts w:eastAsia="仿宋"/>
          <w:color w:val="auto"/>
          <w:spacing w:val="6"/>
          <w:sz w:val="24"/>
          <w:highlight w:val="none"/>
        </w:rPr>
        <w:t>……</w:t>
      </w:r>
    </w:p>
    <w:p>
      <w:pPr>
        <w:spacing w:line="588" w:lineRule="exact"/>
        <w:ind w:firstLine="504" w:firstLineChars="200"/>
        <w:rPr>
          <w:rFonts w:eastAsia="仿宋"/>
          <w:color w:val="auto"/>
          <w:spacing w:val="6"/>
          <w:sz w:val="24"/>
          <w:highlight w:val="none"/>
        </w:rPr>
      </w:pPr>
    </w:p>
    <w:p>
      <w:pPr>
        <w:spacing w:line="588" w:lineRule="exact"/>
        <w:ind w:firstLine="504" w:firstLineChars="200"/>
        <w:rPr>
          <w:rFonts w:eastAsia="仿宋"/>
          <w:color w:val="auto"/>
          <w:spacing w:val="6"/>
          <w:sz w:val="24"/>
          <w:highlight w:val="none"/>
        </w:rPr>
      </w:pPr>
      <w:r>
        <w:rPr>
          <w:rFonts w:eastAsia="仿宋"/>
          <w:color w:val="auto"/>
          <w:spacing w:val="6"/>
          <w:sz w:val="24"/>
          <w:highlight w:val="none"/>
        </w:rPr>
        <w:t>以上企业，不属于大企业的分支机构，不存在控股股东为大企业的情形，也不存在与大企业的负责人为同一人的情形。</w:t>
      </w:r>
    </w:p>
    <w:p>
      <w:pPr>
        <w:spacing w:line="588" w:lineRule="exact"/>
        <w:ind w:firstLine="504" w:firstLineChars="200"/>
        <w:rPr>
          <w:rFonts w:eastAsia="仿宋"/>
          <w:color w:val="auto"/>
          <w:spacing w:val="6"/>
          <w:sz w:val="24"/>
          <w:highlight w:val="none"/>
        </w:rPr>
      </w:pPr>
      <w:r>
        <w:rPr>
          <w:rFonts w:eastAsia="仿宋"/>
          <w:color w:val="auto"/>
          <w:spacing w:val="6"/>
          <w:sz w:val="24"/>
          <w:highlight w:val="none"/>
        </w:rPr>
        <w:t>本企业对上述声明内容的真实性负责。如有虚假，将依法承担相应责任。</w:t>
      </w:r>
    </w:p>
    <w:p>
      <w:pPr>
        <w:spacing w:line="588" w:lineRule="exact"/>
        <w:ind w:firstLine="504" w:firstLineChars="200"/>
        <w:rPr>
          <w:rFonts w:eastAsia="仿宋"/>
          <w:color w:val="auto"/>
          <w:spacing w:val="6"/>
          <w:sz w:val="24"/>
          <w:highlight w:val="none"/>
        </w:rPr>
      </w:pPr>
    </w:p>
    <w:p>
      <w:pPr>
        <w:spacing w:line="588" w:lineRule="exact"/>
        <w:ind w:firstLine="4961" w:firstLineChars="1969"/>
        <w:rPr>
          <w:rFonts w:eastAsia="仿宋"/>
          <w:color w:val="auto"/>
          <w:spacing w:val="6"/>
          <w:sz w:val="24"/>
          <w:highlight w:val="none"/>
        </w:rPr>
      </w:pPr>
      <w:r>
        <w:rPr>
          <w:rFonts w:eastAsia="仿宋"/>
          <w:color w:val="auto"/>
          <w:spacing w:val="6"/>
          <w:sz w:val="24"/>
          <w:highlight w:val="none"/>
        </w:rPr>
        <w:t>企业名称（盖章）：</w:t>
      </w:r>
    </w:p>
    <w:p>
      <w:pPr>
        <w:ind w:firstLine="4965" w:firstLineChars="2069"/>
        <w:rPr>
          <w:rFonts w:eastAsia="仿宋"/>
          <w:color w:val="auto"/>
          <w:kern w:val="0"/>
          <w:sz w:val="24"/>
          <w:highlight w:val="none"/>
        </w:rPr>
      </w:pPr>
      <w:r>
        <w:rPr>
          <w:rFonts w:eastAsia="仿宋"/>
          <w:color w:val="auto"/>
          <w:kern w:val="0"/>
          <w:sz w:val="24"/>
          <w:highlight w:val="none"/>
        </w:rPr>
        <w:t>日     期：</w:t>
      </w:r>
    </w:p>
    <w:p>
      <w:pPr>
        <w:rPr>
          <w:rFonts w:eastAsia="仿宋"/>
          <w:color w:val="auto"/>
          <w:kern w:val="0"/>
          <w:sz w:val="24"/>
          <w:highlight w:val="none"/>
        </w:rPr>
      </w:pPr>
      <w:bookmarkStart w:id="408" w:name="_Toc495162091"/>
      <w:bookmarkStart w:id="409" w:name="OLE_LINK13"/>
      <w:bookmarkStart w:id="410" w:name="OLE_LINK14"/>
    </w:p>
    <w:p>
      <w:pPr>
        <w:rPr>
          <w:rFonts w:eastAsia="仿宋"/>
          <w:color w:val="auto"/>
          <w:kern w:val="0"/>
          <w:sz w:val="24"/>
          <w:highlight w:val="none"/>
        </w:rPr>
      </w:pPr>
    </w:p>
    <w:p>
      <w:pPr>
        <w:pStyle w:val="36"/>
        <w:spacing w:before="0" w:beforeAutospacing="0" w:after="0" w:afterAutospacing="0" w:line="360" w:lineRule="exact"/>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注：以上从业人员、营业收入、资产总额填报上一年度数据，无上一年度数据的新成立企业可不填报。</w:t>
      </w:r>
      <w:r>
        <w:rPr>
          <w:rFonts w:ascii="Times New Roman" w:hAnsi="Times New Roman" w:eastAsia="仿宋" w:cs="Times New Roman"/>
          <w:color w:val="auto"/>
          <w:highlight w:val="none"/>
        </w:rPr>
        <w:br w:type="page"/>
      </w:r>
      <w:r>
        <w:rPr>
          <w:rFonts w:ascii="Times New Roman" w:hAnsi="Times New Roman" w:eastAsia="仿宋" w:cs="Times New Roman"/>
          <w:color w:val="auto"/>
          <w:highlight w:val="none"/>
        </w:rPr>
        <w:t xml:space="preserve">附表：  </w:t>
      </w:r>
    </w:p>
    <w:p>
      <w:pPr>
        <w:pStyle w:val="36"/>
        <w:spacing w:before="0" w:beforeAutospacing="0" w:after="0" w:afterAutospacing="0" w:line="360" w:lineRule="exact"/>
        <w:jc w:val="center"/>
        <w:rPr>
          <w:rFonts w:ascii="Times New Roman" w:hAnsi="Times New Roman" w:eastAsia="仿宋" w:cs="Times New Roman"/>
          <w:b/>
          <w:bCs/>
          <w:color w:val="auto"/>
          <w:highlight w:val="none"/>
        </w:rPr>
      </w:pPr>
      <w:r>
        <w:rPr>
          <w:rFonts w:ascii="Times New Roman" w:hAnsi="Times New Roman" w:eastAsia="仿宋" w:cs="Times New Roman"/>
          <w:b/>
          <w:bCs/>
          <w:color w:val="auto"/>
          <w:highlight w:val="none"/>
        </w:rPr>
        <w:t>中小企业划型标准规定</w:t>
      </w:r>
    </w:p>
    <w:p>
      <w:pPr>
        <w:pStyle w:val="36"/>
        <w:spacing w:before="0" w:beforeAutospacing="0" w:after="0" w:afterAutospacing="0" w:line="360" w:lineRule="exact"/>
        <w:jc w:val="center"/>
        <w:rPr>
          <w:rFonts w:ascii="Times New Roman" w:hAnsi="Times New Roman" w:eastAsia="仿宋" w:cs="Times New Roman"/>
          <w:b/>
          <w:bCs/>
          <w:color w:val="auto"/>
          <w:highlight w:val="none"/>
        </w:rPr>
      </w:pPr>
      <w:r>
        <w:rPr>
          <w:rFonts w:ascii="Times New Roman" w:hAnsi="Times New Roman" w:eastAsia="仿宋" w:cs="Times New Roman"/>
          <w:b/>
          <w:bCs/>
          <w:color w:val="auto"/>
          <w:highlight w:val="none"/>
        </w:rPr>
        <w:t>（</w:t>
      </w:r>
      <w:r>
        <w:rPr>
          <w:rFonts w:ascii="Times New Roman" w:hAnsi="Times New Roman" w:eastAsia="仿宋" w:cs="Times New Roman"/>
          <w:color w:val="auto"/>
          <w:highlight w:val="none"/>
        </w:rPr>
        <w:t>工信部联企业〔2011〕300号</w:t>
      </w:r>
      <w:r>
        <w:rPr>
          <w:rFonts w:ascii="Times New Roman" w:hAnsi="Times New Roman" w:eastAsia="仿宋" w:cs="Times New Roman"/>
          <w:b/>
          <w:bCs/>
          <w:color w:val="auto"/>
          <w:highlight w:val="none"/>
        </w:rPr>
        <w:t>）</w:t>
      </w:r>
    </w:p>
    <w:p>
      <w:pPr>
        <w:pStyle w:val="36"/>
        <w:spacing w:before="0" w:beforeAutospacing="0" w:after="0" w:afterAutospacing="0" w:line="360" w:lineRule="exact"/>
        <w:jc w:val="right"/>
        <w:rPr>
          <w:rFonts w:ascii="Times New Roman" w:hAnsi="Times New Roman" w:eastAsia="仿宋" w:cs="Times New Roman"/>
          <w:b/>
          <w:bCs/>
          <w:color w:val="auto"/>
          <w:highlight w:val="none"/>
        </w:rPr>
      </w:pPr>
      <w:r>
        <w:rPr>
          <w:rFonts w:ascii="Times New Roman" w:hAnsi="Times New Roman" w:eastAsia="仿宋" w:cs="Times New Roman"/>
          <w:b/>
          <w:bCs/>
          <w:color w:val="auto"/>
          <w:highlight w:val="none"/>
        </w:rPr>
        <w:t>---（摘要）</w:t>
      </w:r>
    </w:p>
    <w:p>
      <w:pPr>
        <w:pStyle w:val="36"/>
        <w:spacing w:before="0" w:beforeAutospacing="0" w:after="0" w:afterAutospacing="0" w:line="340" w:lineRule="exact"/>
        <w:rPr>
          <w:rFonts w:ascii="Times New Roman" w:hAnsi="Times New Roman" w:eastAsia="仿宋" w:cs="Times New Roman"/>
          <w:color w:val="auto"/>
          <w:highlight w:val="none"/>
        </w:rPr>
      </w:pPr>
      <w:r>
        <w:rPr>
          <w:rFonts w:ascii="Times New Roman" w:hAnsi="Times New Roman" w:eastAsia="仿宋" w:cs="Times New Roman"/>
          <w:color w:val="auto"/>
          <w:highlight w:val="none"/>
        </w:rPr>
        <w:t>一、本规定适用的行业包括：</w:t>
      </w:r>
    </w:p>
    <w:p>
      <w:pPr>
        <w:spacing w:line="340" w:lineRule="exact"/>
        <w:jc w:val="left"/>
        <w:rPr>
          <w:rFonts w:hint="eastAsia" w:eastAsia="仿宋"/>
          <w:color w:val="auto"/>
          <w:sz w:val="24"/>
          <w:highlight w:val="none"/>
          <w:lang w:eastAsia="zh-CN"/>
        </w:rPr>
      </w:pPr>
      <w:r>
        <w:rPr>
          <w:rFonts w:eastAsia="仿宋"/>
          <w:color w:val="auto"/>
          <w:sz w:val="24"/>
          <w:highlight w:val="none"/>
        </w:rPr>
        <w:t>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spacing w:line="340" w:lineRule="exact"/>
        <w:jc w:val="left"/>
        <w:rPr>
          <w:rFonts w:hint="eastAsia" w:eastAsia="仿宋"/>
          <w:color w:val="auto"/>
          <w:sz w:val="24"/>
          <w:highlight w:val="none"/>
          <w:lang w:eastAsia="zh-CN"/>
        </w:rPr>
      </w:pPr>
      <w:r>
        <w:rPr>
          <w:rFonts w:eastAsia="仿宋"/>
          <w:color w:val="auto"/>
          <w:sz w:val="24"/>
          <w:highlight w:val="none"/>
        </w:rPr>
        <w:t>二、各行业划型标准为：</w:t>
      </w:r>
    </w:p>
    <w:p>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（一）农、林、牧、渔业。</w:t>
      </w:r>
      <w:r>
        <w:rPr>
          <w:rFonts w:eastAsia="仿宋"/>
          <w:color w:val="auto"/>
          <w:sz w:val="24"/>
          <w:highlight w:val="none"/>
        </w:rPr>
        <w:t>营业收入20000万元以下的为中小微型企业。其中，营业收入500万元及以上的为中型企业，营业收入50万元及以上的为小型企业，营业收入50万元以下的为微型企业。</w:t>
      </w:r>
    </w:p>
    <w:p>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（二）工业。</w:t>
      </w:r>
      <w:r>
        <w:rPr>
          <w:rFonts w:eastAsia="仿宋"/>
          <w:color w:val="auto"/>
          <w:sz w:val="24"/>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（三）建筑业。</w:t>
      </w:r>
      <w:r>
        <w:rPr>
          <w:rFonts w:eastAsia="仿宋"/>
          <w:color w:val="auto"/>
          <w:sz w:val="24"/>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（四）批发业。</w:t>
      </w:r>
      <w:r>
        <w:rPr>
          <w:rFonts w:eastAsia="仿宋"/>
          <w:color w:val="auto"/>
          <w:sz w:val="24"/>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（五）零售业。</w:t>
      </w:r>
      <w:r>
        <w:rPr>
          <w:rFonts w:eastAsia="仿宋"/>
          <w:color w:val="auto"/>
          <w:sz w:val="24"/>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（六）交通运输业。</w:t>
      </w:r>
      <w:r>
        <w:rPr>
          <w:rFonts w:eastAsia="仿宋"/>
          <w:color w:val="auto"/>
          <w:sz w:val="24"/>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（七）仓储业。</w:t>
      </w:r>
      <w:r>
        <w:rPr>
          <w:rFonts w:eastAsia="仿宋"/>
          <w:color w:val="auto"/>
          <w:sz w:val="24"/>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（八）邮政业。</w:t>
      </w:r>
      <w:r>
        <w:rPr>
          <w:rFonts w:eastAsia="仿宋"/>
          <w:color w:val="auto"/>
          <w:sz w:val="24"/>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（九）住宿业。</w:t>
      </w:r>
      <w:r>
        <w:rPr>
          <w:rFonts w:eastAsia="仿宋"/>
          <w:color w:val="auto"/>
          <w:sz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（十）餐饮业。</w:t>
      </w:r>
      <w:r>
        <w:rPr>
          <w:rFonts w:eastAsia="仿宋"/>
          <w:color w:val="auto"/>
          <w:sz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（十一）信息传输业。</w:t>
      </w:r>
      <w:r>
        <w:rPr>
          <w:rFonts w:eastAsia="仿宋"/>
          <w:color w:val="auto"/>
          <w:sz w:val="24"/>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（十二）软件和信息技术服务业。</w:t>
      </w:r>
      <w:r>
        <w:rPr>
          <w:rFonts w:eastAsia="仿宋"/>
          <w:color w:val="auto"/>
          <w:sz w:val="24"/>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（十三）房地产开发经营。</w:t>
      </w:r>
      <w:r>
        <w:rPr>
          <w:rFonts w:eastAsia="仿宋"/>
          <w:color w:val="auto"/>
          <w:sz w:val="24"/>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（十四）物业管理。</w:t>
      </w:r>
      <w:r>
        <w:rPr>
          <w:rFonts w:eastAsia="仿宋"/>
          <w:color w:val="auto"/>
          <w:sz w:val="24"/>
          <w:highlight w:val="none"/>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（十五）租赁和商务服务业。</w:t>
      </w:r>
      <w:r>
        <w:rPr>
          <w:rFonts w:eastAsia="仿宋"/>
          <w:color w:val="auto"/>
          <w:sz w:val="24"/>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（十六）其他未列明行业。</w:t>
      </w:r>
      <w:r>
        <w:rPr>
          <w:rFonts w:eastAsia="仿宋"/>
          <w:color w:val="auto"/>
          <w:sz w:val="24"/>
          <w:highlight w:val="none"/>
        </w:rPr>
        <w:t>从业人员300人以下的为中小微型企业。其中，从业人员100人及以上的为中型企业；从业人员10人及以上的为小型企业；从业人员10人以下的为微型企业。</w:t>
      </w:r>
    </w:p>
    <w:p>
      <w:pPr>
        <w:spacing w:line="340" w:lineRule="exact"/>
        <w:ind w:firstLine="240" w:firstLineChars="100"/>
        <w:jc w:val="left"/>
        <w:rPr>
          <w:rFonts w:hint="eastAsia" w:eastAsia="仿宋"/>
          <w:color w:val="auto"/>
          <w:sz w:val="24"/>
          <w:highlight w:val="none"/>
          <w:lang w:eastAsia="zh-CN"/>
        </w:rPr>
      </w:pPr>
      <w:r>
        <w:rPr>
          <w:rFonts w:eastAsia="仿宋"/>
          <w:color w:val="auto"/>
          <w:sz w:val="24"/>
          <w:highlight w:val="none"/>
        </w:rPr>
        <w:t>三、本规定适用于在中华人民共和国境内依法设立的各类所有制和各种组织形式的企业。个体工商户和本规定以外的行业，参照本规定进行划型。</w:t>
      </w:r>
    </w:p>
    <w:p>
      <w:pPr>
        <w:spacing w:line="340" w:lineRule="exact"/>
        <w:ind w:firstLine="240" w:firstLineChars="100"/>
        <w:jc w:val="left"/>
        <w:rPr>
          <w:rFonts w:hint="eastAsia" w:eastAsia="仿宋"/>
          <w:color w:val="auto"/>
          <w:sz w:val="24"/>
          <w:highlight w:val="none"/>
          <w:lang w:eastAsia="zh-CN"/>
        </w:rPr>
      </w:pPr>
      <w:r>
        <w:rPr>
          <w:rFonts w:eastAsia="仿宋"/>
          <w:color w:val="auto"/>
          <w:sz w:val="24"/>
          <w:highlight w:val="none"/>
        </w:rPr>
        <w:t>四、本规定的中型企业标准上限即为大型企业标准的下限，国家统计部门据此制定大中小微型企业的统计分类。国务院有关部门据此进行相关数据分析，不得制定与本规定不一致的企业划型标准。</w:t>
      </w:r>
    </w:p>
    <w:p>
      <w:pPr>
        <w:spacing w:line="340" w:lineRule="exact"/>
        <w:jc w:val="left"/>
        <w:rPr>
          <w:rFonts w:hint="eastAsia" w:eastAsia="仿宋"/>
          <w:color w:val="auto"/>
          <w:sz w:val="24"/>
          <w:highlight w:val="none"/>
          <w:lang w:eastAsia="zh-CN"/>
        </w:rPr>
      </w:pPr>
    </w:p>
    <w:p>
      <w:pPr>
        <w:spacing w:line="360" w:lineRule="exact"/>
        <w:jc w:val="left"/>
        <w:rPr>
          <w:rFonts w:eastAsia="仿宋"/>
          <w:color w:val="auto"/>
          <w:sz w:val="30"/>
          <w:szCs w:val="30"/>
          <w:highlight w:val="none"/>
        </w:rPr>
      </w:pPr>
    </w:p>
    <w:p>
      <w:pPr>
        <w:spacing w:line="360" w:lineRule="exact"/>
        <w:jc w:val="left"/>
        <w:rPr>
          <w:rFonts w:eastAsia="仿宋"/>
          <w:color w:val="auto"/>
          <w:sz w:val="30"/>
          <w:szCs w:val="30"/>
          <w:highlight w:val="none"/>
        </w:rPr>
      </w:pPr>
    </w:p>
    <w:p>
      <w:pPr>
        <w:spacing w:line="360" w:lineRule="exact"/>
        <w:jc w:val="left"/>
        <w:rPr>
          <w:rFonts w:eastAsia="仿宋"/>
          <w:color w:val="auto"/>
          <w:sz w:val="30"/>
          <w:szCs w:val="30"/>
          <w:highlight w:val="none"/>
        </w:rPr>
      </w:pPr>
    </w:p>
    <w:p>
      <w:pPr>
        <w:jc w:val="center"/>
        <w:rPr>
          <w:rFonts w:eastAsia="仿宋"/>
          <w:b/>
          <w:color w:val="auto"/>
          <w:sz w:val="24"/>
          <w:highlight w:val="none"/>
        </w:rPr>
      </w:pPr>
      <w:r>
        <w:rPr>
          <w:rFonts w:hint="eastAsia" w:eastAsia="仿宋"/>
          <w:b/>
          <w:color w:val="auto"/>
          <w:sz w:val="24"/>
          <w:highlight w:val="none"/>
          <w:lang w:eastAsia="zh-CN"/>
        </w:rPr>
        <w:t>（</w:t>
      </w:r>
      <w:r>
        <w:rPr>
          <w:rFonts w:hint="eastAsia" w:eastAsia="仿宋"/>
          <w:b/>
          <w:color w:val="auto"/>
          <w:sz w:val="24"/>
          <w:highlight w:val="none"/>
          <w:lang w:val="en-US" w:eastAsia="zh-CN"/>
        </w:rPr>
        <w:t>3</w:t>
      </w:r>
      <w:r>
        <w:rPr>
          <w:rFonts w:eastAsia="仿宋"/>
          <w:b/>
          <w:color w:val="auto"/>
          <w:sz w:val="24"/>
          <w:highlight w:val="none"/>
        </w:rPr>
        <w:t>-2</w:t>
      </w:r>
      <w:r>
        <w:rPr>
          <w:rFonts w:hint="eastAsia" w:eastAsia="仿宋"/>
          <w:b/>
          <w:color w:val="auto"/>
          <w:sz w:val="24"/>
          <w:highlight w:val="none"/>
          <w:lang w:eastAsia="zh-CN"/>
        </w:rPr>
        <w:t>）</w:t>
      </w:r>
      <w:r>
        <w:rPr>
          <w:rFonts w:eastAsia="仿宋"/>
          <w:b/>
          <w:color w:val="auto"/>
          <w:sz w:val="24"/>
          <w:highlight w:val="none"/>
        </w:rPr>
        <w:t>残疾人福利性单位声明函</w:t>
      </w:r>
      <w:bookmarkEnd w:id="408"/>
    </w:p>
    <w:bookmarkEnd w:id="409"/>
    <w:bookmarkEnd w:id="410"/>
    <w:p>
      <w:pPr>
        <w:spacing w:line="588" w:lineRule="exact"/>
        <w:rPr>
          <w:rFonts w:eastAsia="仿宋"/>
          <w:b/>
          <w:color w:val="auto"/>
          <w:spacing w:val="6"/>
          <w:sz w:val="30"/>
          <w:szCs w:val="30"/>
          <w:highlight w:val="none"/>
        </w:rPr>
      </w:pPr>
    </w:p>
    <w:p>
      <w:pPr>
        <w:spacing w:line="588" w:lineRule="exact"/>
        <w:ind w:firstLine="504" w:firstLineChars="200"/>
        <w:rPr>
          <w:rFonts w:eastAsia="仿宋"/>
          <w:color w:val="auto"/>
          <w:spacing w:val="6"/>
          <w:sz w:val="24"/>
          <w:highlight w:val="none"/>
        </w:rPr>
      </w:pPr>
      <w:r>
        <w:rPr>
          <w:rFonts w:eastAsia="仿宋"/>
          <w:color w:val="auto"/>
          <w:spacing w:val="6"/>
          <w:sz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或者提供其他残疾人福利性单位制造的货物（不包括使用非残疾人福利性单位注册商标的货物）。</w:t>
      </w:r>
    </w:p>
    <w:p>
      <w:pPr>
        <w:spacing w:line="588" w:lineRule="exact"/>
        <w:ind w:firstLine="504" w:firstLineChars="200"/>
        <w:rPr>
          <w:rFonts w:eastAsia="仿宋"/>
          <w:color w:val="auto"/>
          <w:spacing w:val="6"/>
          <w:sz w:val="24"/>
          <w:highlight w:val="none"/>
        </w:rPr>
      </w:pPr>
      <w:r>
        <w:rPr>
          <w:rFonts w:eastAsia="仿宋"/>
          <w:color w:val="auto"/>
          <w:spacing w:val="6"/>
          <w:sz w:val="24"/>
          <w:highlight w:val="none"/>
        </w:rPr>
        <w:t>本单位对上述声明的真实性负责。如有虚假，将依法承担相应责任。</w:t>
      </w:r>
    </w:p>
    <w:p>
      <w:pPr>
        <w:spacing w:line="588" w:lineRule="exact"/>
        <w:ind w:firstLine="504" w:firstLineChars="200"/>
        <w:rPr>
          <w:rFonts w:eastAsia="仿宋"/>
          <w:color w:val="auto"/>
          <w:spacing w:val="6"/>
          <w:sz w:val="24"/>
          <w:highlight w:val="none"/>
        </w:rPr>
      </w:pPr>
    </w:p>
    <w:p>
      <w:pPr>
        <w:spacing w:line="588" w:lineRule="exact"/>
        <w:ind w:firstLine="504" w:firstLineChars="200"/>
        <w:rPr>
          <w:rFonts w:eastAsia="仿宋"/>
          <w:color w:val="auto"/>
          <w:spacing w:val="6"/>
          <w:sz w:val="24"/>
          <w:highlight w:val="none"/>
        </w:rPr>
      </w:pPr>
    </w:p>
    <w:p>
      <w:pPr>
        <w:tabs>
          <w:tab w:val="left" w:pos="4860"/>
        </w:tabs>
        <w:spacing w:line="588" w:lineRule="exact"/>
        <w:ind w:right="1560" w:firstLine="504" w:firstLineChars="200"/>
        <w:jc w:val="center"/>
        <w:rPr>
          <w:rFonts w:eastAsia="仿宋"/>
          <w:color w:val="auto"/>
          <w:spacing w:val="6"/>
          <w:sz w:val="24"/>
          <w:highlight w:val="none"/>
        </w:rPr>
      </w:pPr>
      <w:r>
        <w:rPr>
          <w:rFonts w:eastAsia="仿宋"/>
          <w:color w:val="auto"/>
          <w:spacing w:val="6"/>
          <w:sz w:val="24"/>
          <w:highlight w:val="none"/>
        </w:rPr>
        <w:t>单位名称（盖章）：</w:t>
      </w:r>
    </w:p>
    <w:p>
      <w:pPr>
        <w:tabs>
          <w:tab w:val="left" w:pos="4860"/>
        </w:tabs>
        <w:spacing w:line="588" w:lineRule="exact"/>
        <w:ind w:right="1560" w:firstLine="504" w:firstLineChars="200"/>
        <w:jc w:val="center"/>
        <w:rPr>
          <w:rFonts w:eastAsia="仿宋"/>
          <w:color w:val="auto"/>
          <w:spacing w:val="6"/>
          <w:sz w:val="24"/>
          <w:highlight w:val="none"/>
        </w:rPr>
      </w:pPr>
      <w:r>
        <w:rPr>
          <w:rFonts w:eastAsia="仿宋"/>
          <w:color w:val="auto"/>
          <w:spacing w:val="6"/>
          <w:sz w:val="24"/>
          <w:highlight w:val="none"/>
        </w:rPr>
        <w:t>日  期：</w:t>
      </w:r>
    </w:p>
    <w:p>
      <w:pPr>
        <w:tabs>
          <w:tab w:val="left" w:pos="4860"/>
        </w:tabs>
        <w:spacing w:line="588" w:lineRule="exact"/>
        <w:ind w:right="1560" w:firstLine="504" w:firstLineChars="200"/>
        <w:jc w:val="right"/>
        <w:rPr>
          <w:rFonts w:eastAsia="仿宋"/>
          <w:color w:val="auto"/>
          <w:spacing w:val="6"/>
          <w:sz w:val="24"/>
          <w:highlight w:val="none"/>
        </w:rPr>
      </w:pPr>
    </w:p>
    <w:p>
      <w:pPr>
        <w:jc w:val="center"/>
        <w:rPr>
          <w:rFonts w:eastAsia="仿宋"/>
          <w:b/>
          <w:color w:val="auto"/>
          <w:sz w:val="24"/>
          <w:highlight w:val="none"/>
        </w:rPr>
      </w:pPr>
      <w:bookmarkStart w:id="411" w:name="_Toc495162092"/>
      <w:r>
        <w:rPr>
          <w:rFonts w:eastAsia="仿宋"/>
          <w:color w:val="auto"/>
          <w:sz w:val="24"/>
          <w:highlight w:val="none"/>
        </w:rPr>
        <w:br w:type="page"/>
      </w:r>
      <w:r>
        <w:rPr>
          <w:rFonts w:hint="eastAsia" w:eastAsia="仿宋"/>
          <w:b/>
          <w:color w:val="auto"/>
          <w:sz w:val="24"/>
          <w:highlight w:val="none"/>
          <w:lang w:eastAsia="zh-CN"/>
        </w:rPr>
        <w:t>（</w:t>
      </w:r>
      <w:r>
        <w:rPr>
          <w:rFonts w:hint="eastAsia" w:eastAsia="仿宋"/>
          <w:b/>
          <w:color w:val="auto"/>
          <w:sz w:val="24"/>
          <w:highlight w:val="none"/>
          <w:lang w:val="en-US" w:eastAsia="zh-CN"/>
        </w:rPr>
        <w:t>3</w:t>
      </w:r>
      <w:r>
        <w:rPr>
          <w:rFonts w:eastAsia="仿宋"/>
          <w:b/>
          <w:color w:val="auto"/>
          <w:sz w:val="24"/>
          <w:highlight w:val="none"/>
        </w:rPr>
        <w:t>-3</w:t>
      </w:r>
      <w:r>
        <w:rPr>
          <w:rFonts w:hint="eastAsia" w:eastAsia="仿宋"/>
          <w:b/>
          <w:color w:val="auto"/>
          <w:sz w:val="24"/>
          <w:highlight w:val="none"/>
          <w:lang w:eastAsia="zh-CN"/>
        </w:rPr>
        <w:t>）</w:t>
      </w:r>
      <w:r>
        <w:rPr>
          <w:rFonts w:eastAsia="仿宋"/>
          <w:b/>
          <w:color w:val="auto"/>
          <w:sz w:val="24"/>
          <w:highlight w:val="none"/>
        </w:rPr>
        <w:t>属于监狱企业的证明文件</w:t>
      </w:r>
      <w:bookmarkEnd w:id="411"/>
    </w:p>
    <w:p>
      <w:pPr>
        <w:pStyle w:val="41"/>
        <w:ind w:firstLine="482"/>
        <w:rPr>
          <w:rFonts w:eastAsia="仿宋"/>
          <w:b/>
          <w:color w:val="auto"/>
          <w:sz w:val="24"/>
          <w:highlight w:val="none"/>
        </w:rPr>
      </w:pPr>
    </w:p>
    <w:p>
      <w:pPr>
        <w:pStyle w:val="41"/>
        <w:ind w:firstLine="482"/>
        <w:rPr>
          <w:rFonts w:eastAsia="仿宋"/>
          <w:b/>
          <w:color w:val="auto"/>
          <w:sz w:val="24"/>
          <w:highlight w:val="none"/>
        </w:rPr>
      </w:pPr>
    </w:p>
    <w:p>
      <w:pPr>
        <w:pStyle w:val="41"/>
        <w:ind w:firstLine="482"/>
        <w:rPr>
          <w:rFonts w:eastAsia="仿宋"/>
          <w:b/>
          <w:color w:val="auto"/>
          <w:sz w:val="24"/>
          <w:highlight w:val="none"/>
        </w:rPr>
      </w:pPr>
    </w:p>
    <w:p>
      <w:pPr>
        <w:jc w:val="center"/>
        <w:rPr>
          <w:rFonts w:eastAsia="仿宋"/>
          <w:color w:val="auto"/>
          <w:sz w:val="24"/>
          <w:highlight w:val="none"/>
        </w:rPr>
      </w:pPr>
      <w:bookmarkStart w:id="412" w:name="_Toc495162093"/>
    </w:p>
    <w:p>
      <w:pPr>
        <w:spacing w:line="500" w:lineRule="exact"/>
        <w:jc w:val="center"/>
        <w:rPr>
          <w:rFonts w:eastAsiaTheme="minorEastAsia"/>
          <w:b/>
          <w:color w:val="auto"/>
          <w:highlight w:val="none"/>
        </w:rPr>
      </w:pPr>
      <w:r>
        <w:rPr>
          <w:rFonts w:eastAsia="仿宋"/>
          <w:b/>
          <w:color w:val="auto"/>
          <w:sz w:val="24"/>
          <w:highlight w:val="none"/>
        </w:rPr>
        <w:t xml:space="preserve"> </w:t>
      </w:r>
      <w:r>
        <w:rPr>
          <w:rFonts w:hint="eastAsia" w:eastAsia="仿宋"/>
          <w:b/>
          <w:color w:val="auto"/>
          <w:sz w:val="24"/>
          <w:highlight w:val="none"/>
          <w:lang w:eastAsia="zh-CN"/>
        </w:rPr>
        <w:t>（</w:t>
      </w:r>
      <w:r>
        <w:rPr>
          <w:rFonts w:hint="eastAsia" w:eastAsia="仿宋"/>
          <w:b/>
          <w:color w:val="auto"/>
          <w:sz w:val="24"/>
          <w:highlight w:val="none"/>
          <w:lang w:val="en-US" w:eastAsia="zh-CN"/>
        </w:rPr>
        <w:t>4</w:t>
      </w:r>
      <w:r>
        <w:rPr>
          <w:rFonts w:hint="eastAsia" w:eastAsia="仿宋"/>
          <w:b/>
          <w:color w:val="auto"/>
          <w:sz w:val="24"/>
          <w:highlight w:val="none"/>
          <w:lang w:eastAsia="zh-CN"/>
        </w:rPr>
        <w:t>）</w:t>
      </w:r>
      <w:r>
        <w:rPr>
          <w:rFonts w:eastAsia="仿宋"/>
          <w:b/>
          <w:color w:val="auto"/>
          <w:sz w:val="24"/>
          <w:highlight w:val="none"/>
        </w:rPr>
        <w:t>节能、环保产品证明文件</w:t>
      </w:r>
      <w:bookmarkEnd w:id="412"/>
    </w:p>
    <w:p>
      <w:pPr>
        <w:pStyle w:val="3"/>
        <w:spacing w:before="240" w:after="240"/>
        <w:jc w:val="center"/>
        <w:rPr>
          <w:rFonts w:ascii="Times New Roman" w:eastAsia="仿宋"/>
          <w:b/>
          <w:color w:val="auto"/>
          <w:sz w:val="40"/>
          <w:highlight w:val="none"/>
        </w:rPr>
      </w:pPr>
      <w:r>
        <w:rPr>
          <w:rFonts w:ascii="Times New Roman" w:eastAsia="仿宋"/>
          <w:b/>
          <w:color w:val="auto"/>
          <w:sz w:val="40"/>
          <w:highlight w:val="none"/>
        </w:rPr>
        <w:br w:type="page"/>
      </w:r>
      <w:bookmarkStart w:id="413" w:name="_Toc25980"/>
      <w:bookmarkStart w:id="414" w:name="_Toc9047"/>
      <w:bookmarkStart w:id="415" w:name="_Toc31673"/>
      <w:bookmarkStart w:id="416" w:name="_Toc28141"/>
      <w:bookmarkStart w:id="417" w:name="_Toc19194"/>
      <w:bookmarkStart w:id="418" w:name="_Toc25214"/>
      <w:bookmarkStart w:id="419" w:name="_Toc16855"/>
      <w:bookmarkStart w:id="420" w:name="_Toc15467"/>
      <w:r>
        <w:rPr>
          <w:rFonts w:ascii="Times New Roman" w:eastAsia="仿宋"/>
          <w:b/>
          <w:color w:val="auto"/>
          <w:sz w:val="40"/>
          <w:highlight w:val="none"/>
        </w:rPr>
        <w:t>第五章　货物需求表及采购需求</w:t>
      </w:r>
      <w:bookmarkEnd w:id="413"/>
      <w:bookmarkEnd w:id="414"/>
      <w:bookmarkEnd w:id="415"/>
      <w:bookmarkEnd w:id="416"/>
      <w:bookmarkEnd w:id="417"/>
      <w:bookmarkEnd w:id="418"/>
      <w:bookmarkEnd w:id="419"/>
      <w:bookmarkEnd w:id="420"/>
    </w:p>
    <w:p>
      <w:pPr>
        <w:rPr>
          <w:color w:val="auto"/>
          <w:highlight w:val="none"/>
        </w:rPr>
      </w:pPr>
    </w:p>
    <w:p>
      <w:pPr>
        <w:pStyle w:val="2"/>
        <w:jc w:val="center"/>
        <w:rPr>
          <w:rFonts w:ascii="Times New Roman" w:hAnsi="Times New Roman" w:eastAsia="仿宋"/>
          <w:color w:val="auto"/>
          <w:highlight w:val="none"/>
        </w:rPr>
      </w:pPr>
      <w:bookmarkStart w:id="421" w:name="_Toc32336"/>
      <w:bookmarkStart w:id="422" w:name="_Toc24421"/>
      <w:bookmarkStart w:id="423" w:name="_Toc18116"/>
      <w:bookmarkStart w:id="424" w:name="_Toc21052"/>
      <w:bookmarkStart w:id="425" w:name="_Toc27443"/>
      <w:bookmarkStart w:id="426" w:name="_Toc5115"/>
      <w:bookmarkStart w:id="427" w:name="_Toc21057"/>
      <w:bookmarkStart w:id="428" w:name="_Toc13156"/>
      <w:r>
        <w:rPr>
          <w:rFonts w:ascii="Times New Roman" w:hAnsi="Times New Roman" w:eastAsia="仿宋"/>
          <w:color w:val="auto"/>
          <w:highlight w:val="none"/>
        </w:rPr>
        <w:t>一、货物需求表</w:t>
      </w:r>
      <w:bookmarkEnd w:id="421"/>
      <w:bookmarkEnd w:id="422"/>
      <w:bookmarkEnd w:id="423"/>
      <w:bookmarkEnd w:id="424"/>
      <w:bookmarkEnd w:id="425"/>
      <w:bookmarkEnd w:id="426"/>
      <w:bookmarkEnd w:id="427"/>
      <w:bookmarkEnd w:id="428"/>
    </w:p>
    <w:p>
      <w:pPr>
        <w:spacing w:line="500" w:lineRule="atLeast"/>
        <w:jc w:val="center"/>
        <w:rPr>
          <w:rFonts w:eastAsiaTheme="minorEastAsia"/>
          <w:color w:val="auto"/>
          <w:sz w:val="24"/>
          <w:szCs w:val="24"/>
          <w:highlight w:val="none"/>
        </w:rPr>
      </w:pPr>
    </w:p>
    <w:tbl>
      <w:tblPr>
        <w:tblStyle w:val="42"/>
        <w:tblpPr w:leftFromText="180" w:rightFromText="180" w:vertAnchor="text" w:tblpY="1"/>
        <w:tblOverlap w:val="never"/>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6"/>
        <w:gridCol w:w="62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2284" w:hRule="atLeast"/>
        </w:trPr>
        <w:tc>
          <w:tcPr>
            <w:tcW w:w="3046" w:type="dxa"/>
            <w:tcBorders>
              <w:top w:val="single" w:color="auto" w:sz="12" w:space="0"/>
              <w:left w:val="single" w:color="auto" w:sz="12" w:space="0"/>
              <w:tl2br w:val="single" w:color="auto" w:sz="4" w:space="0"/>
            </w:tcBorders>
          </w:tcPr>
          <w:p>
            <w:pPr>
              <w:spacing w:line="500" w:lineRule="atLeast"/>
              <w:rPr>
                <w:rFonts w:eastAsia="仿宋"/>
                <w:color w:val="auto"/>
                <w:sz w:val="24"/>
                <w:szCs w:val="22"/>
                <w:highlight w:val="none"/>
              </w:rPr>
            </w:pPr>
          </w:p>
          <w:p>
            <w:pPr>
              <w:spacing w:line="500" w:lineRule="atLeast"/>
              <w:ind w:firstLine="1200" w:firstLineChars="500"/>
              <w:rPr>
                <w:rFonts w:eastAsia="仿宋"/>
                <w:color w:val="auto"/>
                <w:sz w:val="24"/>
                <w:szCs w:val="22"/>
                <w:highlight w:val="none"/>
              </w:rPr>
            </w:pPr>
            <w:r>
              <w:rPr>
                <w:rFonts w:eastAsia="仿宋"/>
                <w:color w:val="auto"/>
                <w:sz w:val="24"/>
                <w:szCs w:val="22"/>
                <w:highlight w:val="none"/>
              </w:rPr>
              <w:t>采购条目名称</w:t>
            </w:r>
          </w:p>
          <w:p>
            <w:pPr>
              <w:spacing w:line="500" w:lineRule="atLeast"/>
              <w:rPr>
                <w:rFonts w:eastAsia="仿宋"/>
                <w:color w:val="auto"/>
                <w:sz w:val="24"/>
                <w:szCs w:val="22"/>
                <w:highlight w:val="none"/>
              </w:rPr>
            </w:pPr>
          </w:p>
          <w:p>
            <w:pPr>
              <w:spacing w:line="500" w:lineRule="atLeast"/>
              <w:rPr>
                <w:rFonts w:eastAsia="仿宋"/>
                <w:color w:val="auto"/>
                <w:sz w:val="24"/>
                <w:szCs w:val="24"/>
                <w:highlight w:val="none"/>
              </w:rPr>
            </w:pPr>
            <w:r>
              <w:rPr>
                <w:rFonts w:eastAsia="仿宋"/>
                <w:color w:val="auto"/>
                <w:sz w:val="24"/>
                <w:szCs w:val="22"/>
                <w:highlight w:val="none"/>
              </w:rPr>
              <w:t xml:space="preserve">    内容</w:t>
            </w:r>
          </w:p>
        </w:tc>
        <w:tc>
          <w:tcPr>
            <w:tcW w:w="6240" w:type="dxa"/>
            <w:tcBorders>
              <w:top w:val="single" w:color="auto" w:sz="12" w:space="0"/>
              <w:right w:val="single" w:color="auto" w:sz="12" w:space="0"/>
            </w:tcBorders>
            <w:vAlign w:val="center"/>
          </w:tcPr>
          <w:p>
            <w:pPr>
              <w:spacing w:line="500" w:lineRule="atLeast"/>
              <w:jc w:val="center"/>
              <w:rPr>
                <w:rFonts w:hint="eastAsia" w:eastAsia="仿宋"/>
                <w:color w:val="auto"/>
                <w:sz w:val="24"/>
                <w:szCs w:val="24"/>
                <w:highlight w:val="none"/>
                <w:lang w:eastAsia="zh-CN"/>
              </w:rPr>
            </w:pPr>
            <w:r>
              <w:rPr>
                <w:rFonts w:hint="eastAsia" w:eastAsia="仿宋"/>
                <w:color w:val="auto"/>
                <w:sz w:val="24"/>
                <w:szCs w:val="24"/>
                <w:highlight w:val="none"/>
                <w:lang w:eastAsia="zh-CN"/>
              </w:rPr>
              <w:t>江西省消防救援总队自然灾害应急能力提升工程装备配备项目（器材类）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0" w:hRule="atLeast"/>
        </w:trPr>
        <w:tc>
          <w:tcPr>
            <w:tcW w:w="3046" w:type="dxa"/>
            <w:tcBorders>
              <w:left w:val="single" w:color="auto" w:sz="12" w:space="0"/>
            </w:tcBorders>
            <w:vAlign w:val="center"/>
          </w:tcPr>
          <w:p>
            <w:pPr>
              <w:spacing w:line="500" w:lineRule="atLeast"/>
              <w:jc w:val="center"/>
              <w:rPr>
                <w:rFonts w:eastAsia="仿宋"/>
                <w:color w:val="auto"/>
                <w:sz w:val="24"/>
                <w:szCs w:val="24"/>
                <w:highlight w:val="none"/>
              </w:rPr>
            </w:pPr>
            <w:r>
              <w:rPr>
                <w:rFonts w:eastAsia="仿宋"/>
                <w:color w:val="auto"/>
                <w:sz w:val="24"/>
                <w:szCs w:val="24"/>
                <w:highlight w:val="none"/>
              </w:rPr>
              <w:t>数量</w:t>
            </w:r>
          </w:p>
        </w:tc>
        <w:tc>
          <w:tcPr>
            <w:tcW w:w="6240" w:type="dxa"/>
            <w:tcBorders>
              <w:right w:val="single" w:color="auto" w:sz="12" w:space="0"/>
            </w:tcBorders>
            <w:vAlign w:val="center"/>
          </w:tcPr>
          <w:p>
            <w:pPr>
              <w:spacing w:line="500" w:lineRule="atLeast"/>
              <w:jc w:val="center"/>
              <w:rPr>
                <w:rFonts w:eastAsia="仿宋"/>
                <w:color w:val="auto"/>
                <w:sz w:val="24"/>
                <w:szCs w:val="24"/>
                <w:highlight w:val="none"/>
              </w:rPr>
            </w:pPr>
            <w:r>
              <w:rPr>
                <w:rFonts w:eastAsia="仿宋"/>
                <w:color w:val="auto"/>
                <w:sz w:val="24"/>
                <w:szCs w:val="24"/>
                <w:highlight w:val="none"/>
              </w:rPr>
              <w:t>详见采购需求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0" w:hRule="atLeast"/>
        </w:trPr>
        <w:tc>
          <w:tcPr>
            <w:tcW w:w="3046" w:type="dxa"/>
            <w:tcBorders>
              <w:left w:val="single" w:color="auto" w:sz="12" w:space="0"/>
            </w:tcBorders>
            <w:vAlign w:val="center"/>
          </w:tcPr>
          <w:p>
            <w:pPr>
              <w:spacing w:line="500" w:lineRule="atLeast"/>
              <w:jc w:val="center"/>
              <w:rPr>
                <w:rFonts w:eastAsia="仿宋"/>
                <w:color w:val="auto"/>
                <w:sz w:val="24"/>
                <w:szCs w:val="24"/>
                <w:highlight w:val="none"/>
              </w:rPr>
            </w:pPr>
            <w:r>
              <w:rPr>
                <w:rFonts w:eastAsia="仿宋"/>
                <w:color w:val="auto"/>
                <w:sz w:val="24"/>
                <w:szCs w:val="24"/>
                <w:highlight w:val="none"/>
              </w:rPr>
              <w:t>交货</w:t>
            </w:r>
            <w:r>
              <w:rPr>
                <w:rFonts w:hint="eastAsia" w:eastAsia="仿宋"/>
                <w:color w:val="auto"/>
                <w:sz w:val="24"/>
                <w:szCs w:val="24"/>
                <w:highlight w:val="none"/>
                <w:lang w:eastAsia="zh-CN"/>
              </w:rPr>
              <w:t>地点与时限</w:t>
            </w:r>
          </w:p>
        </w:tc>
        <w:tc>
          <w:tcPr>
            <w:tcW w:w="6240" w:type="dxa"/>
            <w:tcBorders>
              <w:right w:val="single" w:color="auto" w:sz="12" w:space="0"/>
            </w:tcBorders>
            <w:vAlign w:val="center"/>
          </w:tcPr>
          <w:p>
            <w:pPr>
              <w:spacing w:line="500" w:lineRule="atLeast"/>
              <w:jc w:val="left"/>
              <w:rPr>
                <w:rFonts w:eastAsia="仿宋"/>
                <w:color w:val="auto"/>
                <w:sz w:val="24"/>
                <w:szCs w:val="24"/>
                <w:highlight w:val="none"/>
              </w:rPr>
            </w:pPr>
            <w:r>
              <w:rPr>
                <w:rFonts w:hint="eastAsia" w:ascii="仿宋" w:hAnsi="仿宋" w:eastAsia="仿宋" w:cs="仿宋"/>
                <w:color w:val="auto"/>
                <w:sz w:val="24"/>
                <w:highlight w:val="none"/>
              </w:rPr>
              <w:t>自合同签订生效之日起3个月内必须将所投产品送到</w:t>
            </w:r>
            <w:r>
              <w:rPr>
                <w:rFonts w:hint="eastAsia" w:ascii="仿宋" w:hAnsi="仿宋" w:eastAsia="仿宋" w:cs="仿宋"/>
                <w:color w:val="auto"/>
                <w:sz w:val="24"/>
                <w:highlight w:val="none"/>
                <w:lang w:eastAsia="zh-CN"/>
              </w:rPr>
              <w:t>江西省消防救援总队指定地点</w:t>
            </w:r>
            <w:r>
              <w:rPr>
                <w:rFonts w:hint="eastAsia" w:ascii="仿宋" w:hAnsi="仿宋" w:eastAsia="仿宋" w:cs="仿宋"/>
                <w:color w:val="auto"/>
                <w:sz w:val="24"/>
                <w:highlight w:val="none"/>
              </w:rPr>
              <w:t>（以采购人到货签收时间作为交货时间）</w:t>
            </w:r>
            <w:r>
              <w:rPr>
                <w:rFonts w:hint="eastAsia" w:ascii="仿宋" w:hAnsi="仿宋" w:eastAsia="仿宋" w:cs="仿宋"/>
                <w:color w:val="auto"/>
                <w:sz w:val="24"/>
                <w:highlight w:val="none"/>
                <w:lang w:eastAsia="zh-CN"/>
              </w:rPr>
              <w:t>，验收合格后由中标人配送至各消防救援支队或消防救援大队指定地点。</w:t>
            </w:r>
          </w:p>
        </w:tc>
      </w:tr>
    </w:tbl>
    <w:p>
      <w:pPr>
        <w:spacing w:line="500" w:lineRule="atLeast"/>
        <w:jc w:val="left"/>
        <w:rPr>
          <w:rFonts w:hint="eastAsia" w:ascii="仿宋" w:hAnsi="仿宋" w:eastAsia="仿宋" w:cs="仿宋"/>
          <w:color w:val="auto"/>
          <w:sz w:val="24"/>
          <w:highlight w:val="none"/>
          <w:lang w:eastAsia="zh-CN"/>
        </w:rPr>
      </w:pPr>
    </w:p>
    <w:p>
      <w:pPr>
        <w:adjustRightInd w:val="0"/>
        <w:spacing w:line="500" w:lineRule="atLeast"/>
        <w:rPr>
          <w:rFonts w:eastAsiaTheme="minorEastAsia"/>
          <w:b/>
          <w:color w:val="auto"/>
          <w:sz w:val="24"/>
          <w:szCs w:val="24"/>
          <w:highlight w:val="none"/>
        </w:rPr>
      </w:pPr>
    </w:p>
    <w:p>
      <w:pPr>
        <w:pStyle w:val="2"/>
        <w:spacing w:before="0" w:after="0" w:line="240" w:lineRule="auto"/>
        <w:jc w:val="center"/>
        <w:rPr>
          <w:rFonts w:ascii="Times New Roman" w:hAnsi="Times New Roman" w:eastAsia="仿宋"/>
          <w:color w:val="auto"/>
          <w:highlight w:val="none"/>
        </w:rPr>
      </w:pPr>
      <w:bookmarkStart w:id="429" w:name="_Toc20103"/>
      <w:bookmarkStart w:id="430" w:name="_Toc19437"/>
      <w:bookmarkStart w:id="431" w:name="_Toc27481"/>
    </w:p>
    <w:p>
      <w:pPr>
        <w:pStyle w:val="2"/>
        <w:spacing w:before="0" w:after="0" w:line="240" w:lineRule="auto"/>
        <w:jc w:val="both"/>
        <w:rPr>
          <w:rFonts w:ascii="Times New Roman" w:hAnsi="Times New Roman" w:eastAsia="仿宋"/>
          <w:color w:val="auto"/>
          <w:highlight w:val="none"/>
        </w:rPr>
      </w:pPr>
    </w:p>
    <w:p>
      <w:pPr>
        <w:pStyle w:val="2"/>
        <w:spacing w:before="0" w:after="0" w:line="240" w:lineRule="auto"/>
        <w:jc w:val="center"/>
        <w:rPr>
          <w:rFonts w:ascii="Times New Roman" w:hAnsi="Times New Roman" w:eastAsia="仿宋"/>
          <w:color w:val="auto"/>
          <w:highlight w:val="none"/>
        </w:rPr>
      </w:pPr>
    </w:p>
    <w:p>
      <w:pPr>
        <w:rPr>
          <w:rFonts w:ascii="Times New Roman" w:hAnsi="Times New Roman" w:eastAsia="仿宋"/>
          <w:color w:val="auto"/>
          <w:highlight w:val="none"/>
        </w:rPr>
      </w:pPr>
    </w:p>
    <w:p>
      <w:pPr>
        <w:pStyle w:val="40"/>
        <w:rPr>
          <w:rFonts w:ascii="Times New Roman" w:hAnsi="Times New Roman" w:eastAsia="仿宋"/>
          <w:color w:val="auto"/>
          <w:highlight w:val="none"/>
        </w:rPr>
      </w:pPr>
    </w:p>
    <w:p>
      <w:pPr>
        <w:pStyle w:val="41"/>
        <w:rPr>
          <w:rFonts w:hint="eastAsia" w:ascii="仿宋" w:hAnsi="仿宋" w:eastAsia="仿宋" w:cs="仿宋"/>
          <w:color w:val="auto"/>
          <w:kern w:val="2"/>
          <w:sz w:val="24"/>
          <w:highlight w:val="none"/>
          <w:lang w:val="en-US" w:eastAsia="zh-CN" w:bidi="ar-SA"/>
        </w:rPr>
      </w:pPr>
    </w:p>
    <w:p>
      <w:pPr>
        <w:pStyle w:val="2"/>
        <w:jc w:val="center"/>
        <w:rPr>
          <w:rFonts w:ascii="Times New Roman" w:hAnsi="Times New Roman" w:eastAsiaTheme="minorEastAsia"/>
          <w:color w:val="auto"/>
          <w:sz w:val="24"/>
          <w:szCs w:val="24"/>
          <w:highlight w:val="none"/>
        </w:rPr>
      </w:pPr>
      <w:bookmarkStart w:id="432" w:name="_Toc5528"/>
      <w:bookmarkStart w:id="433" w:name="_Toc14917"/>
      <w:bookmarkStart w:id="434" w:name="_Toc32393"/>
      <w:bookmarkStart w:id="435" w:name="_Toc2169"/>
      <w:bookmarkStart w:id="436" w:name="_Toc13180"/>
      <w:r>
        <w:rPr>
          <w:rFonts w:ascii="Times New Roman" w:hAnsi="Times New Roman" w:eastAsia="仿宋"/>
          <w:color w:val="auto"/>
          <w:highlight w:val="none"/>
        </w:rPr>
        <w:t>二、采购需求</w:t>
      </w:r>
      <w:bookmarkEnd w:id="429"/>
      <w:bookmarkEnd w:id="430"/>
      <w:bookmarkEnd w:id="431"/>
      <w:bookmarkEnd w:id="432"/>
      <w:bookmarkEnd w:id="433"/>
      <w:bookmarkEnd w:id="434"/>
      <w:bookmarkEnd w:id="435"/>
      <w:bookmarkEnd w:id="436"/>
    </w:p>
    <w:p>
      <w:pPr>
        <w:pStyle w:val="3"/>
        <w:rPr>
          <w:rFonts w:ascii="Times New Roman" w:eastAsia="仿宋"/>
          <w:b/>
          <w:color w:val="auto"/>
          <w:szCs w:val="24"/>
          <w:highlight w:val="none"/>
        </w:rPr>
      </w:pPr>
      <w:bookmarkStart w:id="437" w:name="_Toc26899"/>
      <w:bookmarkStart w:id="438" w:name="_Toc5562"/>
      <w:bookmarkStart w:id="439" w:name="_Toc30868"/>
      <w:bookmarkStart w:id="440" w:name="_Toc28731"/>
      <w:bookmarkStart w:id="441" w:name="_Toc2499"/>
      <w:bookmarkStart w:id="442" w:name="_Toc3556"/>
      <w:bookmarkStart w:id="443" w:name="_Toc7888"/>
      <w:bookmarkStart w:id="444" w:name="_Toc3104"/>
      <w:r>
        <w:rPr>
          <w:rFonts w:ascii="Times New Roman" w:eastAsia="仿宋"/>
          <w:b/>
          <w:bCs/>
          <w:color w:val="auto"/>
          <w:sz w:val="24"/>
          <w:szCs w:val="24"/>
          <w:highlight w:val="none"/>
        </w:rPr>
        <w:t>（一）技术要求</w:t>
      </w:r>
      <w:bookmarkEnd w:id="437"/>
      <w:bookmarkEnd w:id="438"/>
      <w:bookmarkEnd w:id="439"/>
      <w:bookmarkEnd w:id="440"/>
      <w:bookmarkEnd w:id="441"/>
      <w:bookmarkEnd w:id="442"/>
      <w:bookmarkEnd w:id="443"/>
      <w:bookmarkEnd w:id="444"/>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b/>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1"/>
        <w:rPr>
          <w:rFonts w:hint="eastAsia" w:ascii="仿宋" w:hAnsi="仿宋" w:eastAsia="仿宋" w:cs="仿宋"/>
          <w:b/>
          <w:bCs/>
          <w:color w:val="auto"/>
          <w:sz w:val="24"/>
          <w:szCs w:val="24"/>
          <w:highlight w:val="none"/>
          <w:lang w:val="en-US" w:eastAsia="zh-CN"/>
        </w:rPr>
      </w:pPr>
      <w:bookmarkStart w:id="445" w:name="_Toc23320"/>
      <w:bookmarkStart w:id="446" w:name="_Toc23118"/>
      <w:bookmarkStart w:id="447" w:name="_Toc10732"/>
      <w:bookmarkStart w:id="448" w:name="_Toc8093"/>
      <w:r>
        <w:rPr>
          <w:rFonts w:hint="eastAsia" w:ascii="仿宋" w:hAnsi="仿宋" w:eastAsia="仿宋" w:cs="仿宋"/>
          <w:b/>
          <w:bCs/>
          <w:color w:val="auto"/>
          <w:sz w:val="24"/>
          <w:szCs w:val="24"/>
          <w:highlight w:val="none"/>
          <w:lang w:val="en-US" w:eastAsia="zh-CN"/>
        </w:rPr>
        <w:t>02包：音频生命探测仪</w:t>
      </w:r>
      <w:bookmarkEnd w:id="445"/>
      <w:bookmarkEnd w:id="446"/>
      <w:bookmarkEnd w:id="447"/>
      <w:bookmarkEnd w:id="448"/>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一、货物名称：音频生命探测仪</w:t>
      </w: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二、产地：国产</w:t>
      </w: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三、主要技术规格、参数及要求</w:t>
      </w:r>
    </w:p>
    <w:p>
      <w:pPr>
        <w:pStyle w:val="13"/>
        <w:keepNext w:val="0"/>
        <w:keepLines w:val="0"/>
        <w:pageBreakBefore w:val="0"/>
        <w:kinsoku/>
        <w:wordWrap/>
        <w:overflowPunct/>
        <w:topLinePunct w:val="0"/>
        <w:bidi w:val="0"/>
        <w:spacing w:after="0" w:line="460" w:lineRule="exact"/>
        <w:rPr>
          <w:rFonts w:hint="eastAsia" w:eastAsia="仿宋"/>
          <w:color w:val="auto"/>
          <w:lang w:eastAsia="zh-CN"/>
        </w:rPr>
      </w:pP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3.2主机：触摸显示屏≥7英寸，按键和触摸屏2种方式操控；</w:t>
      </w: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3.3可通过主机录音，并将录音文件保存至SD卡；</w:t>
      </w: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▲3.4配置音频对讲探头：配置探测探头≥4个，可以进行双向通话，通信距离≥60m；配置专业降噪耳机，同时对2个以上音频微震探头进行监听，微震探头重量≤1200g；</w:t>
      </w: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3.5可通过主机触摸显示屏设置高频滤波和低频滤波，频率范围≥15-5000Hz；误报率≤20%；</w:t>
      </w: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3.6主机和音频微震探头通过无线网络连接后，可通过主机显示屏显示音频微震探头信号强度；</w:t>
      </w: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3.7主机和音频微震探头连续工作时间均≥6h；音频微震探头距硬质地面≥1m处跌落，音频微震探头应能正常工作，且无开裂和解体现象；仪器外壳防护等级≥IP66；</w:t>
      </w: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3.8其他要求：配置防水、防尘和防摔安全箱、隔音耳罩、备用电池2块等；</w:t>
      </w: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3.9提供中文使用说明书，含装备简介、使用注意事项及维护保养等内容。</w:t>
      </w:r>
    </w:p>
    <w:p>
      <w:pPr>
        <w:keepNext w:val="0"/>
        <w:keepLines w:val="0"/>
        <w:pageBreakBefore w:val="0"/>
        <w:kinsoku/>
        <w:wordWrap/>
        <w:overflowPunct/>
        <w:topLinePunct w:val="0"/>
        <w:bidi w:val="0"/>
        <w:spacing w:line="460" w:lineRule="exact"/>
        <w:outlineLvl w:val="9"/>
        <w:rPr>
          <w:rFonts w:hint="eastAsia" w:ascii="仿宋" w:hAnsi="仿宋" w:eastAsia="仿宋" w:cs="仿宋"/>
          <w:bCs/>
          <w:color w:val="auto"/>
          <w:sz w:val="24"/>
          <w:szCs w:val="24"/>
          <w:highlight w:val="none"/>
        </w:rPr>
      </w:pP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1"/>
        <w:rPr>
          <w:rFonts w:hint="eastAsia" w:ascii="仿宋" w:hAnsi="仿宋" w:eastAsia="仿宋" w:cs="仿宋"/>
          <w:b/>
          <w:bCs/>
          <w:color w:val="auto"/>
          <w:sz w:val="24"/>
          <w:szCs w:val="24"/>
          <w:highlight w:val="none"/>
          <w:lang w:val="en-US" w:eastAsia="zh-CN"/>
        </w:rPr>
      </w:pPr>
      <w:bookmarkStart w:id="449" w:name="_Toc22103"/>
      <w:bookmarkStart w:id="450" w:name="_Toc8976"/>
      <w:bookmarkStart w:id="451" w:name="_Toc30121"/>
      <w:bookmarkStart w:id="452" w:name="_Toc21589"/>
      <w:r>
        <w:rPr>
          <w:rFonts w:hint="eastAsia" w:ascii="仿宋" w:hAnsi="仿宋" w:eastAsia="仿宋" w:cs="仿宋"/>
          <w:b/>
          <w:bCs/>
          <w:color w:val="auto"/>
          <w:sz w:val="24"/>
          <w:szCs w:val="24"/>
          <w:highlight w:val="none"/>
          <w:lang w:val="en-US" w:eastAsia="zh-CN"/>
        </w:rPr>
        <w:t>10包：现场空气监测仪、测温仪【核心产品】、水质分析仪、电子气象仪</w:t>
      </w:r>
      <w:bookmarkEnd w:id="449"/>
      <w:bookmarkEnd w:id="450"/>
      <w:bookmarkEnd w:id="451"/>
      <w:bookmarkEnd w:id="452"/>
    </w:p>
    <w:p>
      <w:pPr>
        <w:keepNext w:val="0"/>
        <w:keepLines w:val="0"/>
        <w:pageBreakBefore w:val="0"/>
        <w:kinsoku/>
        <w:wordWrap/>
        <w:overflowPunct/>
        <w:topLinePunct w:val="0"/>
        <w:bidi w:val="0"/>
        <w:adjustRightInd w:val="0"/>
        <w:snapToGrid w:val="0"/>
        <w:spacing w:line="460" w:lineRule="exact"/>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10包-1、</w:t>
      </w:r>
      <w:r>
        <w:rPr>
          <w:rFonts w:hint="eastAsia" w:ascii="仿宋" w:hAnsi="仿宋" w:eastAsia="仿宋" w:cs="仿宋"/>
          <w:b/>
          <w:bCs/>
          <w:color w:val="auto"/>
          <w:sz w:val="24"/>
          <w:szCs w:val="24"/>
          <w:highlight w:val="none"/>
        </w:rPr>
        <w:t>现场空气监测仪</w:t>
      </w:r>
    </w:p>
    <w:p>
      <w:pPr>
        <w:keepNext w:val="0"/>
        <w:keepLines w:val="0"/>
        <w:pageBreakBefore w:val="0"/>
        <w:kinsoku/>
        <w:wordWrap/>
        <w:overflowPunct/>
        <w:topLinePunct w:val="0"/>
        <w:bidi w:val="0"/>
        <w:adjustRightInd w:val="0"/>
        <w:snapToGrid w:val="0"/>
        <w:spacing w:line="460" w:lineRule="exact"/>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一、货物名称：</w:t>
      </w:r>
      <w:r>
        <w:rPr>
          <w:rFonts w:hint="eastAsia" w:ascii="仿宋" w:hAnsi="仿宋" w:eastAsia="仿宋" w:cs="仿宋"/>
          <w:color w:val="auto"/>
          <w:sz w:val="24"/>
          <w:szCs w:val="24"/>
          <w:highlight w:val="none"/>
        </w:rPr>
        <w:t>现场空气监测仪</w:t>
      </w:r>
    </w:p>
    <w:p>
      <w:pPr>
        <w:keepNext w:val="0"/>
        <w:keepLines w:val="0"/>
        <w:pageBreakBefore w:val="0"/>
        <w:kinsoku/>
        <w:wordWrap/>
        <w:overflowPunct/>
        <w:topLinePunct w:val="0"/>
        <w:bidi w:val="0"/>
        <w:adjustRightInd w:val="0"/>
        <w:snapToGrid w:val="0"/>
        <w:spacing w:line="460" w:lineRule="exact"/>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二、产地：国产</w:t>
      </w:r>
    </w:p>
    <w:p>
      <w:pPr>
        <w:keepNext w:val="0"/>
        <w:keepLines w:val="0"/>
        <w:pageBreakBefore w:val="0"/>
        <w:kinsoku/>
        <w:wordWrap/>
        <w:overflowPunct/>
        <w:topLinePunct w:val="0"/>
        <w:bidi w:val="0"/>
        <w:adjustRightInd w:val="0"/>
        <w:snapToGrid w:val="0"/>
        <w:spacing w:line="460" w:lineRule="exact"/>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三、主要技术规格、参数及要求：</w:t>
      </w:r>
    </w:p>
    <w:p>
      <w:pPr>
        <w:pStyle w:val="13"/>
        <w:keepNext w:val="0"/>
        <w:keepLines w:val="0"/>
        <w:pageBreakBefore w:val="0"/>
        <w:kinsoku/>
        <w:wordWrap/>
        <w:overflowPunct/>
        <w:topLinePunct w:val="0"/>
        <w:bidi w:val="0"/>
        <w:spacing w:after="0" w:line="460" w:lineRule="exact"/>
        <w:rPr>
          <w:rFonts w:hint="eastAsia" w:eastAsia="仿宋"/>
          <w:b w:val="0"/>
          <w:bCs w:val="0"/>
          <w:color w:val="auto"/>
          <w:lang w:eastAsia="zh-CN"/>
        </w:rPr>
      </w:pPr>
      <w:r>
        <w:rPr>
          <w:rFonts w:hint="eastAsia" w:ascii="仿宋" w:hAnsi="仿宋" w:eastAsia="仿宋" w:cs="仿宋"/>
          <w:b w:val="0"/>
          <w:bCs w:val="0"/>
          <w:color w:val="auto"/>
          <w:sz w:val="24"/>
          <w:szCs w:val="24"/>
          <w:highlight w:val="none"/>
          <w:lang w:val="en-US" w:eastAsia="zh-CN"/>
        </w:rPr>
        <w:t>★3.1</w:t>
      </w:r>
      <w:r>
        <w:rPr>
          <w:rFonts w:hint="eastAsia" w:ascii="仿宋" w:hAnsi="仿宋" w:eastAsia="仿宋" w:cs="仿宋"/>
          <w:b w:val="0"/>
          <w:bCs w:val="0"/>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b w:val="0"/>
          <w:bCs w:val="0"/>
          <w:color w:val="auto"/>
          <w:sz w:val="24"/>
          <w:szCs w:val="24"/>
          <w:highlight w:val="none"/>
          <w:lang w:eastAsia="zh-CN"/>
        </w:rPr>
        <w:t>；</w:t>
      </w:r>
    </w:p>
    <w:p>
      <w:pPr>
        <w:keepNext w:val="0"/>
        <w:keepLines w:val="0"/>
        <w:pageBreakBefore w:val="0"/>
        <w:widowControl/>
        <w:kinsoku/>
        <w:wordWrap/>
        <w:overflowPunct/>
        <w:topLinePunct w:val="0"/>
        <w:bidi w:val="0"/>
        <w:spacing w:line="460" w:lineRule="exact"/>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3.2整套系统由现场空气监测仪主机、微型打印机、三脚架及其他配件组成，所有检测数据可通过屏幕直接读取，现场声光报警，也可通过微型打印机直接打印。</w:t>
      </w:r>
    </w:p>
    <w:p>
      <w:pPr>
        <w:pStyle w:val="13"/>
        <w:keepNext w:val="0"/>
        <w:keepLines w:val="0"/>
        <w:pageBreakBefore w:val="0"/>
        <w:kinsoku/>
        <w:wordWrap/>
        <w:overflowPunct/>
        <w:topLinePunct w:val="0"/>
        <w:bidi w:val="0"/>
        <w:spacing w:after="0" w:line="460" w:lineRule="exact"/>
        <w:ind w:left="0" w:leftChars="0" w:right="0" w:firstLine="0" w:firstLineChars="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3.3可对灾后现场危险气体、危化品以及救援现场的气象、环境、PM2.5和区域安全性进行监控。可检测类别：气体：LEL、CO、O</w:t>
      </w:r>
      <w:r>
        <w:rPr>
          <w:rFonts w:hint="eastAsia" w:ascii="仿宋" w:hAnsi="仿宋" w:eastAsia="仿宋" w:cs="仿宋"/>
          <w:color w:val="auto"/>
          <w:kern w:val="0"/>
          <w:sz w:val="24"/>
          <w:szCs w:val="24"/>
          <w:highlight w:val="none"/>
          <w:vertAlign w:val="subscript"/>
        </w:rPr>
        <w:t>2</w:t>
      </w:r>
      <w:r>
        <w:rPr>
          <w:rFonts w:hint="eastAsia" w:ascii="仿宋" w:hAnsi="仿宋" w:eastAsia="仿宋" w:cs="仿宋"/>
          <w:color w:val="auto"/>
          <w:kern w:val="0"/>
          <w:sz w:val="24"/>
          <w:szCs w:val="24"/>
          <w:highlight w:val="none"/>
        </w:rPr>
        <w:t>、SO</w:t>
      </w:r>
      <w:r>
        <w:rPr>
          <w:rFonts w:hint="eastAsia" w:ascii="仿宋" w:hAnsi="仿宋" w:eastAsia="仿宋" w:cs="仿宋"/>
          <w:color w:val="auto"/>
          <w:kern w:val="0"/>
          <w:sz w:val="24"/>
          <w:szCs w:val="24"/>
          <w:highlight w:val="none"/>
          <w:vertAlign w:val="subscript"/>
        </w:rPr>
        <w:t>2</w:t>
      </w:r>
      <w:r>
        <w:rPr>
          <w:rFonts w:hint="eastAsia" w:ascii="仿宋" w:hAnsi="仿宋" w:eastAsia="仿宋" w:cs="仿宋"/>
          <w:color w:val="auto"/>
          <w:kern w:val="0"/>
          <w:sz w:val="24"/>
          <w:szCs w:val="24"/>
          <w:highlight w:val="none"/>
        </w:rPr>
        <w:t>、H</w:t>
      </w:r>
      <w:r>
        <w:rPr>
          <w:rFonts w:hint="eastAsia" w:ascii="仿宋" w:hAnsi="仿宋" w:eastAsia="仿宋" w:cs="仿宋"/>
          <w:color w:val="auto"/>
          <w:kern w:val="0"/>
          <w:sz w:val="24"/>
          <w:szCs w:val="24"/>
          <w:highlight w:val="none"/>
          <w:vertAlign w:val="subscript"/>
        </w:rPr>
        <w:t>2</w:t>
      </w:r>
      <w:r>
        <w:rPr>
          <w:rFonts w:hint="eastAsia" w:ascii="仿宋" w:hAnsi="仿宋" w:eastAsia="仿宋" w:cs="仿宋"/>
          <w:color w:val="auto"/>
          <w:kern w:val="0"/>
          <w:sz w:val="24"/>
          <w:szCs w:val="24"/>
          <w:highlight w:val="none"/>
        </w:rPr>
        <w:t>S、粉尘、PM2.5等，如有危险立即报警。</w:t>
      </w:r>
    </w:p>
    <w:p>
      <w:pPr>
        <w:pStyle w:val="13"/>
        <w:keepNext w:val="0"/>
        <w:keepLines w:val="0"/>
        <w:pageBreakBefore w:val="0"/>
        <w:kinsoku/>
        <w:wordWrap/>
        <w:overflowPunct/>
        <w:topLinePunct w:val="0"/>
        <w:bidi w:val="0"/>
        <w:spacing w:after="0" w:line="460" w:lineRule="exact"/>
        <w:ind w:left="0" w:leftChars="0" w:right="0" w:firstLine="0" w:firstLineChars="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3.4主机内置进气泵，可调节气泵进气量，主机屏幕可实时显示气体浓度、可吸入颗粒浓度以及温度、湿度、时间等信息。</w:t>
      </w:r>
    </w:p>
    <w:p>
      <w:pPr>
        <w:keepNext w:val="0"/>
        <w:keepLines w:val="0"/>
        <w:pageBreakBefore w:val="0"/>
        <w:kinsoku/>
        <w:wordWrap/>
        <w:overflowPunct/>
        <w:topLinePunct w:val="0"/>
        <w:bidi w:val="0"/>
        <w:spacing w:line="460" w:lineRule="exact"/>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配备纸质版和电子版中文使用维护保养说明书，配备专用装备储运箱，防水、防尘、防撞击、采集端配备三脚架。</w:t>
      </w:r>
    </w:p>
    <w:p>
      <w:pPr>
        <w:keepNext w:val="0"/>
        <w:keepLines w:val="0"/>
        <w:pageBreakBefore w:val="0"/>
        <w:kinsoku/>
        <w:wordWrap/>
        <w:overflowPunct/>
        <w:topLinePunct w:val="0"/>
        <w:bidi w:val="0"/>
        <w:spacing w:line="460" w:lineRule="exact"/>
        <w:outlineLvl w:val="9"/>
        <w:rPr>
          <w:rFonts w:hint="eastAsia" w:ascii="仿宋" w:hAnsi="仿宋" w:eastAsia="仿宋" w:cs="仿宋"/>
          <w:color w:val="auto"/>
          <w:kern w:val="0"/>
          <w:sz w:val="24"/>
          <w:szCs w:val="24"/>
          <w:highlight w:val="none"/>
          <w:lang w:eastAsia="zh-CN"/>
        </w:rPr>
      </w:pPr>
    </w:p>
    <w:p>
      <w:pPr>
        <w:keepNext w:val="0"/>
        <w:keepLines w:val="0"/>
        <w:pageBreakBefore w:val="0"/>
        <w:kinsoku/>
        <w:wordWrap/>
        <w:overflowPunct/>
        <w:topLinePunct w:val="0"/>
        <w:bidi w:val="0"/>
        <w:adjustRightInd w:val="0"/>
        <w:snapToGrid w:val="0"/>
        <w:spacing w:line="460" w:lineRule="exact"/>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10包-2、</w:t>
      </w:r>
      <w:r>
        <w:rPr>
          <w:rFonts w:hint="eastAsia" w:ascii="仿宋" w:hAnsi="仿宋" w:eastAsia="仿宋" w:cs="仿宋"/>
          <w:b/>
          <w:bCs/>
          <w:color w:val="auto"/>
          <w:sz w:val="24"/>
          <w:szCs w:val="24"/>
          <w:highlight w:val="none"/>
        </w:rPr>
        <w:t>测温仪</w:t>
      </w:r>
    </w:p>
    <w:p>
      <w:pPr>
        <w:keepNext w:val="0"/>
        <w:keepLines w:val="0"/>
        <w:pageBreakBefore w:val="0"/>
        <w:kinsoku/>
        <w:wordWrap/>
        <w:overflowPunct/>
        <w:topLinePunct w:val="0"/>
        <w:bidi w:val="0"/>
        <w:spacing w:line="460" w:lineRule="exact"/>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一、货物名称：测温仪</w:t>
      </w:r>
    </w:p>
    <w:p>
      <w:pPr>
        <w:keepNext w:val="0"/>
        <w:keepLines w:val="0"/>
        <w:pageBreakBefore w:val="0"/>
        <w:kinsoku/>
        <w:wordWrap/>
        <w:overflowPunct/>
        <w:topLinePunct w:val="0"/>
        <w:bidi w:val="0"/>
        <w:spacing w:line="460" w:lineRule="exact"/>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二、产地：国产</w:t>
      </w:r>
    </w:p>
    <w:p>
      <w:pPr>
        <w:keepNext w:val="0"/>
        <w:keepLines w:val="0"/>
        <w:pageBreakBefore w:val="0"/>
        <w:kinsoku/>
        <w:wordWrap/>
        <w:overflowPunct/>
        <w:topLinePunct w:val="0"/>
        <w:bidi w:val="0"/>
        <w:spacing w:line="460" w:lineRule="exact"/>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三、主要技术规格、参数及要求</w:t>
      </w:r>
    </w:p>
    <w:p>
      <w:pPr>
        <w:pStyle w:val="13"/>
        <w:keepNext w:val="0"/>
        <w:keepLines w:val="0"/>
        <w:pageBreakBefore w:val="0"/>
        <w:kinsoku/>
        <w:wordWrap/>
        <w:overflowPunct/>
        <w:topLinePunct w:val="0"/>
        <w:bidi w:val="0"/>
        <w:spacing w:after="0" w:line="460" w:lineRule="exact"/>
        <w:rPr>
          <w:rFonts w:hint="eastAsia" w:eastAsia="仿宋"/>
          <w:color w:val="auto"/>
          <w:lang w:eastAsia="zh-CN"/>
        </w:rPr>
      </w:pP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widowControl/>
        <w:kinsoku/>
        <w:wordWrap/>
        <w:overflowPunct/>
        <w:topLinePunct w:val="0"/>
        <w:bidi w:val="0"/>
        <w:adjustRightInd w:val="0"/>
        <w:snapToGrid w:val="0"/>
        <w:spacing w:line="460" w:lineRule="exact"/>
        <w:textAlignment w:val="center"/>
        <w:outlineLvl w:val="9"/>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3.2</w:t>
      </w:r>
      <w:r>
        <w:rPr>
          <w:rFonts w:hint="eastAsia" w:ascii="仿宋" w:hAnsi="仿宋" w:eastAsia="仿宋" w:cs="仿宋"/>
          <w:color w:val="auto"/>
          <w:kern w:val="0"/>
          <w:sz w:val="24"/>
          <w:szCs w:val="24"/>
          <w:highlight w:val="none"/>
        </w:rPr>
        <w:t>可预设高、低温危险报警，带背光显示选择功能；</w:t>
      </w:r>
    </w:p>
    <w:p>
      <w:pPr>
        <w:keepNext w:val="0"/>
        <w:keepLines w:val="0"/>
        <w:pageBreakBefore w:val="0"/>
        <w:widowControl/>
        <w:kinsoku/>
        <w:wordWrap/>
        <w:overflowPunct/>
        <w:topLinePunct w:val="0"/>
        <w:autoSpaceDE/>
        <w:autoSpaceDN/>
        <w:bidi w:val="0"/>
        <w:adjustRightInd w:val="0"/>
        <w:snapToGrid w:val="0"/>
        <w:spacing w:line="460" w:lineRule="exact"/>
        <w:textAlignment w:val="center"/>
        <w:outlineLvl w:val="9"/>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3.3</w:t>
      </w:r>
      <w:r>
        <w:rPr>
          <w:rFonts w:hint="eastAsia" w:ascii="仿宋" w:hAnsi="仿宋" w:eastAsia="仿宋" w:cs="仿宋"/>
          <w:color w:val="auto"/>
          <w:kern w:val="0"/>
          <w:sz w:val="24"/>
          <w:szCs w:val="24"/>
          <w:highlight w:val="none"/>
        </w:rPr>
        <w:t>镭射目标测量位置，自动读值锁定及自动关机功能，具备数据储存功能；</w:t>
      </w:r>
    </w:p>
    <w:p>
      <w:pPr>
        <w:keepNext w:val="0"/>
        <w:keepLines w:val="0"/>
        <w:pageBreakBefore w:val="0"/>
        <w:widowControl/>
        <w:kinsoku/>
        <w:wordWrap/>
        <w:overflowPunct/>
        <w:topLinePunct w:val="0"/>
        <w:autoSpaceDE/>
        <w:autoSpaceDN/>
        <w:bidi w:val="0"/>
        <w:adjustRightInd w:val="0"/>
        <w:snapToGrid w:val="0"/>
        <w:spacing w:line="460" w:lineRule="exact"/>
        <w:textAlignment w:val="center"/>
        <w:outlineLvl w:val="9"/>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3.4</w:t>
      </w:r>
      <w:r>
        <w:rPr>
          <w:rFonts w:hint="eastAsia" w:ascii="仿宋" w:hAnsi="仿宋" w:eastAsia="仿宋" w:cs="仿宋"/>
          <w:color w:val="auto"/>
          <w:kern w:val="0"/>
          <w:sz w:val="24"/>
          <w:szCs w:val="24"/>
          <w:highlight w:val="none"/>
        </w:rPr>
        <w:t>能够摄氏/华氏温度单位转换；</w:t>
      </w:r>
    </w:p>
    <w:p>
      <w:pPr>
        <w:keepNext w:val="0"/>
        <w:keepLines w:val="0"/>
        <w:pageBreakBefore w:val="0"/>
        <w:kinsoku/>
        <w:wordWrap/>
        <w:overflowPunct/>
        <w:topLinePunct w:val="0"/>
        <w:autoSpaceDE/>
        <w:autoSpaceDN/>
        <w:bidi w:val="0"/>
        <w:spacing w:line="460" w:lineRule="exact"/>
        <w:outlineLvl w:val="9"/>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szCs w:val="24"/>
          <w:highlight w:val="none"/>
        </w:rPr>
        <w:t>3.5测温范围≥-50℃</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szCs w:val="24"/>
          <w:highlight w:val="none"/>
          <w:lang w:val="en-US" w:eastAsia="zh-CN"/>
        </w:rPr>
        <w:t>900</w:t>
      </w:r>
      <w:r>
        <w:rPr>
          <w:rFonts w:hint="eastAsia" w:ascii="仿宋" w:hAnsi="仿宋" w:eastAsia="仿宋" w:cs="仿宋"/>
          <w:color w:val="auto"/>
          <w:sz w:val="24"/>
          <w:szCs w:val="24"/>
          <w:highlight w:val="none"/>
        </w:rPr>
        <w:t>℃；</w:t>
      </w:r>
    </w:p>
    <w:p>
      <w:pPr>
        <w:keepNext w:val="0"/>
        <w:keepLines w:val="0"/>
        <w:pageBreakBefore w:val="0"/>
        <w:kinsoku/>
        <w:wordWrap/>
        <w:overflowPunct/>
        <w:topLinePunct w:val="0"/>
        <w:autoSpaceDE/>
        <w:autoSpaceDN/>
        <w:bidi w:val="0"/>
        <w:spacing w:line="460" w:lineRule="exact"/>
        <w:outlineLvl w:val="9"/>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szCs w:val="24"/>
          <w:highlight w:val="none"/>
        </w:rPr>
        <w:t>3.6测量距离≥100米；</w:t>
      </w:r>
    </w:p>
    <w:p>
      <w:pPr>
        <w:keepNext w:val="0"/>
        <w:keepLines w:val="0"/>
        <w:pageBreakBefore w:val="0"/>
        <w:widowControl/>
        <w:kinsoku/>
        <w:wordWrap/>
        <w:overflowPunct/>
        <w:topLinePunct w:val="0"/>
        <w:bidi w:val="0"/>
        <w:adjustRightInd w:val="0"/>
        <w:snapToGrid w:val="0"/>
        <w:spacing w:line="460" w:lineRule="exact"/>
        <w:textAlignment w:val="center"/>
        <w:outlineLvl w:val="9"/>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3.7</w:t>
      </w:r>
      <w:r>
        <w:rPr>
          <w:rFonts w:hint="eastAsia" w:ascii="仿宋" w:hAnsi="仿宋" w:eastAsia="仿宋" w:cs="仿宋"/>
          <w:color w:val="auto"/>
          <w:kern w:val="0"/>
          <w:sz w:val="24"/>
          <w:szCs w:val="24"/>
          <w:highlight w:val="none"/>
        </w:rPr>
        <w:t>电池使用时间≥12小时；可设置声音报警；</w:t>
      </w:r>
    </w:p>
    <w:p>
      <w:pPr>
        <w:keepNext w:val="0"/>
        <w:keepLines w:val="0"/>
        <w:pageBreakBefore w:val="0"/>
        <w:kinsoku/>
        <w:wordWrap/>
        <w:overflowPunct/>
        <w:topLinePunct w:val="0"/>
        <w:bidi w:val="0"/>
        <w:spacing w:line="460" w:lineRule="exact"/>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3.8整套仪器包含测温仪1个，望远镜1个（放大倍率≥30）</w:t>
      </w:r>
      <w:r>
        <w:rPr>
          <w:rFonts w:hint="eastAsia" w:ascii="仿宋" w:hAnsi="仿宋" w:eastAsia="仿宋" w:cs="仿宋"/>
          <w:color w:val="auto"/>
          <w:sz w:val="24"/>
          <w:szCs w:val="24"/>
          <w:highlight w:val="none"/>
          <w:lang w:eastAsia="zh-CN"/>
        </w:rPr>
        <w:t>；</w:t>
      </w:r>
    </w:p>
    <w:p>
      <w:pPr>
        <w:keepNext w:val="0"/>
        <w:keepLines w:val="0"/>
        <w:pageBreakBefore w:val="0"/>
        <w:kinsoku/>
        <w:wordWrap/>
        <w:overflowPunct/>
        <w:topLinePunct w:val="0"/>
        <w:bidi w:val="0"/>
        <w:spacing w:line="460" w:lineRule="exact"/>
        <w:outlineLvl w:val="9"/>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kern w:val="0"/>
          <w:sz w:val="24"/>
          <w:szCs w:val="24"/>
          <w:highlight w:val="none"/>
        </w:rPr>
        <w:t>提供中文使用说明书（含电子版），含装备简介、使用注意事项及维护保养等内容。</w:t>
      </w:r>
    </w:p>
    <w:p>
      <w:pPr>
        <w:keepNext w:val="0"/>
        <w:keepLines w:val="0"/>
        <w:pageBreakBefore w:val="0"/>
        <w:kinsoku/>
        <w:wordWrap/>
        <w:overflowPunct/>
        <w:topLinePunct w:val="0"/>
        <w:bidi w:val="0"/>
        <w:spacing w:line="460" w:lineRule="exact"/>
        <w:outlineLvl w:val="9"/>
        <w:rPr>
          <w:rFonts w:hint="eastAsia" w:ascii="仿宋" w:hAnsi="仿宋" w:eastAsia="仿宋" w:cs="仿宋"/>
          <w:color w:val="auto"/>
          <w:kern w:val="0"/>
          <w:sz w:val="24"/>
          <w:szCs w:val="24"/>
          <w:highlight w:val="none"/>
          <w:lang w:eastAsia="zh-CN"/>
        </w:rPr>
      </w:pPr>
    </w:p>
    <w:p>
      <w:pPr>
        <w:keepNext w:val="0"/>
        <w:keepLines w:val="0"/>
        <w:pageBreakBefore w:val="0"/>
        <w:kinsoku/>
        <w:wordWrap/>
        <w:overflowPunct/>
        <w:topLinePunct w:val="0"/>
        <w:bidi w:val="0"/>
        <w:adjustRightInd w:val="0"/>
        <w:snapToGrid w:val="0"/>
        <w:spacing w:line="460" w:lineRule="exact"/>
        <w:outlineLvl w:val="9"/>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lang w:val="en-US" w:eastAsia="zh-CN"/>
        </w:rPr>
        <w:t>10包-3、</w:t>
      </w:r>
      <w:r>
        <w:rPr>
          <w:rFonts w:hint="eastAsia" w:ascii="仿宋" w:hAnsi="仿宋" w:eastAsia="仿宋" w:cs="仿宋"/>
          <w:b/>
          <w:bCs/>
          <w:color w:val="auto"/>
          <w:kern w:val="0"/>
          <w:sz w:val="24"/>
          <w:szCs w:val="24"/>
          <w:highlight w:val="none"/>
        </w:rPr>
        <w:t>水质分析仪</w:t>
      </w:r>
    </w:p>
    <w:p>
      <w:pPr>
        <w:keepNext w:val="0"/>
        <w:keepLines w:val="0"/>
        <w:pageBreakBefore w:val="0"/>
        <w:kinsoku/>
        <w:wordWrap/>
        <w:overflowPunct/>
        <w:topLinePunct w:val="0"/>
        <w:bidi w:val="0"/>
        <w:adjustRightInd w:val="0"/>
        <w:snapToGrid w:val="0"/>
        <w:spacing w:line="460" w:lineRule="exact"/>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一、货物名称：水质分析仪</w:t>
      </w:r>
    </w:p>
    <w:p>
      <w:pPr>
        <w:keepNext w:val="0"/>
        <w:keepLines w:val="0"/>
        <w:pageBreakBefore w:val="0"/>
        <w:kinsoku/>
        <w:wordWrap/>
        <w:overflowPunct/>
        <w:topLinePunct w:val="0"/>
        <w:bidi w:val="0"/>
        <w:adjustRightInd w:val="0"/>
        <w:snapToGrid w:val="0"/>
        <w:spacing w:line="460" w:lineRule="exact"/>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二、产地：国产</w:t>
      </w:r>
    </w:p>
    <w:p>
      <w:pPr>
        <w:keepNext w:val="0"/>
        <w:keepLines w:val="0"/>
        <w:pageBreakBefore w:val="0"/>
        <w:kinsoku/>
        <w:wordWrap/>
        <w:overflowPunct/>
        <w:topLinePunct w:val="0"/>
        <w:bidi w:val="0"/>
        <w:adjustRightInd w:val="0"/>
        <w:snapToGrid w:val="0"/>
        <w:spacing w:line="460" w:lineRule="exact"/>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三、主要技术规格、参数及要求：</w:t>
      </w:r>
    </w:p>
    <w:p>
      <w:pPr>
        <w:keepNext w:val="0"/>
        <w:keepLines w:val="0"/>
        <w:pageBreakBefore w:val="0"/>
        <w:widowControl/>
        <w:kinsoku/>
        <w:wordWrap/>
        <w:overflowPunct/>
        <w:topLinePunct w:val="0"/>
        <w:bidi w:val="0"/>
        <w:spacing w:line="460" w:lineRule="exact"/>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w:t>
      </w:r>
      <w:r>
        <w:rPr>
          <w:rFonts w:hint="eastAsia" w:ascii="仿宋" w:hAnsi="仿宋" w:eastAsia="仿宋" w:cs="仿宋"/>
          <w:bCs/>
          <w:color w:val="auto"/>
          <w:sz w:val="24"/>
          <w:szCs w:val="24"/>
          <w:highlight w:val="none"/>
          <w:lang w:val="en-US" w:eastAsia="zh-CN"/>
        </w:rPr>
        <w:t>1</w:t>
      </w:r>
      <w:r>
        <w:rPr>
          <w:rFonts w:hint="eastAsia" w:ascii="仿宋" w:hAnsi="仿宋" w:eastAsia="仿宋" w:cs="仿宋"/>
          <w:bCs/>
          <w:color w:val="auto"/>
          <w:sz w:val="24"/>
          <w:szCs w:val="24"/>
          <w:highlight w:val="none"/>
        </w:rPr>
        <w:t>测定范围(超过量程稀释检测); 余氯</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0.00-10mg/L</w:t>
      </w:r>
      <w:r>
        <w:rPr>
          <w:rFonts w:hint="eastAsia" w:ascii="仿宋" w:hAnsi="仿宋" w:eastAsia="仿宋" w:cs="仿宋"/>
          <w:bCs/>
          <w:color w:val="auto"/>
          <w:sz w:val="24"/>
          <w:szCs w:val="24"/>
          <w:highlight w:val="none"/>
          <w:lang w:val="en-US" w:eastAsia="zh-CN"/>
        </w:rPr>
        <w:t>,</w:t>
      </w:r>
      <w:r>
        <w:rPr>
          <w:rFonts w:hint="eastAsia" w:ascii="仿宋" w:hAnsi="仿宋" w:eastAsia="仿宋" w:cs="仿宋"/>
          <w:bCs/>
          <w:color w:val="auto"/>
          <w:sz w:val="24"/>
          <w:szCs w:val="24"/>
          <w:highlight w:val="none"/>
        </w:rPr>
        <w:t xml:space="preserve"> 总氯</w:t>
      </w:r>
      <w:r>
        <w:rPr>
          <w:rFonts w:hint="eastAsia" w:ascii="仿宋" w:hAnsi="仿宋" w:eastAsia="仿宋" w:cs="仿宋"/>
          <w:bCs/>
          <w:color w:val="auto"/>
          <w:sz w:val="24"/>
          <w:szCs w:val="24"/>
          <w:highlight w:val="none"/>
          <w:lang w:val="en-US" w:eastAsia="zh-CN"/>
        </w:rPr>
        <w:t>:</w:t>
      </w:r>
      <w:r>
        <w:rPr>
          <w:rFonts w:hint="eastAsia" w:ascii="仿宋" w:hAnsi="仿宋" w:eastAsia="仿宋" w:cs="仿宋"/>
          <w:bCs/>
          <w:color w:val="auto"/>
          <w:sz w:val="24"/>
          <w:szCs w:val="24"/>
          <w:highlight w:val="none"/>
        </w:rPr>
        <w:t>0.00-10mg/L</w:t>
      </w:r>
      <w:r>
        <w:rPr>
          <w:rFonts w:hint="eastAsia" w:ascii="仿宋" w:hAnsi="仿宋" w:eastAsia="仿宋" w:cs="仿宋"/>
          <w:bCs/>
          <w:color w:val="auto"/>
          <w:sz w:val="24"/>
          <w:szCs w:val="24"/>
          <w:highlight w:val="none"/>
          <w:lang w:val="en-US" w:eastAsia="zh-CN"/>
        </w:rPr>
        <w:t>,</w:t>
      </w:r>
      <w:r>
        <w:rPr>
          <w:rFonts w:hint="eastAsia" w:ascii="仿宋" w:hAnsi="仿宋" w:eastAsia="仿宋" w:cs="仿宋"/>
          <w:bCs/>
          <w:color w:val="auto"/>
          <w:sz w:val="24"/>
          <w:szCs w:val="24"/>
          <w:highlight w:val="none"/>
        </w:rPr>
        <w:t>二氧化氯</w:t>
      </w:r>
      <w:r>
        <w:rPr>
          <w:rFonts w:hint="eastAsia" w:ascii="仿宋" w:hAnsi="仿宋" w:eastAsia="仿宋" w:cs="仿宋"/>
          <w:bCs/>
          <w:color w:val="auto"/>
          <w:sz w:val="24"/>
          <w:szCs w:val="24"/>
          <w:highlight w:val="none"/>
          <w:lang w:val="en-US" w:eastAsia="zh-CN"/>
        </w:rPr>
        <w:t>:</w:t>
      </w:r>
      <w:r>
        <w:rPr>
          <w:rFonts w:hint="eastAsia" w:ascii="仿宋" w:hAnsi="仿宋" w:eastAsia="仿宋" w:cs="仿宋"/>
          <w:bCs/>
          <w:color w:val="auto"/>
          <w:sz w:val="24"/>
          <w:szCs w:val="24"/>
          <w:highlight w:val="none"/>
        </w:rPr>
        <w:t>0.00-</w:t>
      </w:r>
      <w:r>
        <w:rPr>
          <w:rFonts w:hint="eastAsia" w:ascii="仿宋" w:hAnsi="仿宋" w:eastAsia="仿宋" w:cs="仿宋"/>
          <w:bCs/>
          <w:color w:val="auto"/>
          <w:sz w:val="24"/>
          <w:szCs w:val="24"/>
          <w:highlight w:val="none"/>
          <w:lang w:val="en-US" w:eastAsia="zh-CN"/>
        </w:rPr>
        <w:t>10</w:t>
      </w:r>
      <w:r>
        <w:rPr>
          <w:rFonts w:hint="eastAsia" w:ascii="仿宋" w:hAnsi="仿宋" w:eastAsia="仿宋" w:cs="仿宋"/>
          <w:bCs/>
          <w:color w:val="auto"/>
          <w:sz w:val="24"/>
          <w:szCs w:val="24"/>
          <w:highlight w:val="none"/>
        </w:rPr>
        <w:t>.00mg/L</w:t>
      </w:r>
    </w:p>
    <w:p>
      <w:pPr>
        <w:keepNext w:val="0"/>
        <w:keepLines w:val="0"/>
        <w:pageBreakBefore w:val="0"/>
        <w:widowControl/>
        <w:kinsoku/>
        <w:wordWrap/>
        <w:overflowPunct/>
        <w:topLinePunct w:val="0"/>
        <w:bidi w:val="0"/>
        <w:spacing w:line="460" w:lineRule="exact"/>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3.2测定精度：余氯≤-5%～5% 总氯≤-5%～5% 二氧化氯≤-5%～5%</w:t>
      </w:r>
    </w:p>
    <w:p>
      <w:pPr>
        <w:keepNext w:val="0"/>
        <w:keepLines w:val="0"/>
        <w:pageBreakBefore w:val="0"/>
        <w:kinsoku/>
        <w:wordWrap/>
        <w:overflowPunct/>
        <w:topLinePunct w:val="0"/>
        <w:bidi w:val="0"/>
        <w:adjustRightInd w:val="0"/>
        <w:snapToGrid w:val="0"/>
        <w:spacing w:line="460" w:lineRule="exact"/>
        <w:outlineLvl w:val="9"/>
        <w:rPr>
          <w:rFonts w:hint="eastAsia" w:ascii="仿宋" w:hAnsi="仿宋" w:eastAsia="仿宋" w:cs="仿宋"/>
          <w:bCs/>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3.3重复性 ：余氯≤-3%～3% 总氯≤-3%～3%  二氧化氯≤-3%～3% </w:t>
      </w:r>
    </w:p>
    <w:p>
      <w:pPr>
        <w:keepNext w:val="0"/>
        <w:keepLines w:val="0"/>
        <w:pageBreakBefore w:val="0"/>
        <w:kinsoku/>
        <w:wordWrap/>
        <w:overflowPunct/>
        <w:topLinePunct w:val="0"/>
        <w:bidi w:val="0"/>
        <w:adjustRightInd w:val="0"/>
        <w:snapToGrid w:val="0"/>
        <w:spacing w:line="460" w:lineRule="exact"/>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w:t>
      </w:r>
      <w:r>
        <w:rPr>
          <w:rFonts w:hint="eastAsia" w:ascii="仿宋" w:hAnsi="仿宋" w:eastAsia="仿宋" w:cs="仿宋"/>
          <w:bCs/>
          <w:color w:val="auto"/>
          <w:sz w:val="24"/>
          <w:szCs w:val="24"/>
          <w:highlight w:val="none"/>
          <w:lang w:val="en-US" w:eastAsia="zh-CN"/>
        </w:rPr>
        <w:t>4</w:t>
      </w:r>
      <w:r>
        <w:rPr>
          <w:rFonts w:hint="eastAsia" w:ascii="仿宋" w:hAnsi="仿宋" w:eastAsia="仿宋" w:cs="仿宋"/>
          <w:bCs/>
          <w:color w:val="auto"/>
          <w:sz w:val="24"/>
          <w:szCs w:val="24"/>
          <w:highlight w:val="none"/>
        </w:rPr>
        <w:t xml:space="preserve">分辨率 ：余氯0.001mg/L  总氯0.001mg/L  二氧化氯0.001mg/L </w:t>
      </w:r>
    </w:p>
    <w:p>
      <w:pPr>
        <w:keepNext w:val="0"/>
        <w:keepLines w:val="0"/>
        <w:pageBreakBefore w:val="0"/>
        <w:kinsoku/>
        <w:wordWrap/>
        <w:overflowPunct/>
        <w:topLinePunct w:val="0"/>
        <w:bidi w:val="0"/>
        <w:adjustRightInd w:val="0"/>
        <w:snapToGrid w:val="0"/>
        <w:spacing w:line="460" w:lineRule="exact"/>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w:t>
      </w:r>
      <w:r>
        <w:rPr>
          <w:rFonts w:hint="eastAsia" w:ascii="仿宋" w:hAnsi="仿宋" w:eastAsia="仿宋" w:cs="仿宋"/>
          <w:bCs/>
          <w:color w:val="auto"/>
          <w:sz w:val="24"/>
          <w:szCs w:val="24"/>
          <w:highlight w:val="none"/>
          <w:lang w:val="en-US" w:eastAsia="zh-CN"/>
        </w:rPr>
        <w:t>5</w:t>
      </w:r>
      <w:r>
        <w:rPr>
          <w:rFonts w:hint="eastAsia" w:ascii="仿宋" w:hAnsi="仿宋" w:eastAsia="仿宋" w:cs="仿宋"/>
          <w:bCs/>
          <w:color w:val="auto"/>
          <w:sz w:val="24"/>
          <w:szCs w:val="24"/>
          <w:highlight w:val="none"/>
        </w:rPr>
        <w:t xml:space="preserve">光源寿命：≥10万小时  </w:t>
      </w:r>
    </w:p>
    <w:p>
      <w:pPr>
        <w:keepNext w:val="0"/>
        <w:keepLines w:val="0"/>
        <w:pageBreakBefore w:val="0"/>
        <w:kinsoku/>
        <w:wordWrap/>
        <w:overflowPunct/>
        <w:topLinePunct w:val="0"/>
        <w:bidi w:val="0"/>
        <w:adjustRightInd w:val="0"/>
        <w:snapToGrid w:val="0"/>
        <w:spacing w:line="460" w:lineRule="exact"/>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w:t>
      </w:r>
      <w:r>
        <w:rPr>
          <w:rFonts w:hint="eastAsia" w:ascii="仿宋" w:hAnsi="仿宋" w:eastAsia="仿宋" w:cs="仿宋"/>
          <w:bCs/>
          <w:color w:val="auto"/>
          <w:sz w:val="24"/>
          <w:szCs w:val="24"/>
          <w:highlight w:val="none"/>
          <w:lang w:val="en-US" w:eastAsia="zh-CN"/>
        </w:rPr>
        <w:t>6</w:t>
      </w:r>
      <w:r>
        <w:rPr>
          <w:rFonts w:hint="eastAsia" w:ascii="仿宋" w:hAnsi="仿宋" w:eastAsia="仿宋" w:cs="仿宋"/>
          <w:bCs/>
          <w:color w:val="auto"/>
          <w:sz w:val="24"/>
          <w:szCs w:val="24"/>
          <w:highlight w:val="none"/>
        </w:rPr>
        <w:t xml:space="preserve">光学稳定性 ：≤0.001A/10分钟 </w:t>
      </w:r>
    </w:p>
    <w:p>
      <w:pPr>
        <w:keepNext w:val="0"/>
        <w:keepLines w:val="0"/>
        <w:pageBreakBefore w:val="0"/>
        <w:kinsoku/>
        <w:wordWrap/>
        <w:overflowPunct/>
        <w:topLinePunct w:val="0"/>
        <w:bidi w:val="0"/>
        <w:adjustRightInd w:val="0"/>
        <w:snapToGrid w:val="0"/>
        <w:spacing w:line="460" w:lineRule="exact"/>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w:t>
      </w:r>
      <w:r>
        <w:rPr>
          <w:rFonts w:hint="eastAsia" w:ascii="仿宋" w:hAnsi="仿宋" w:eastAsia="仿宋" w:cs="仿宋"/>
          <w:bCs/>
          <w:color w:val="auto"/>
          <w:sz w:val="24"/>
          <w:szCs w:val="24"/>
          <w:highlight w:val="none"/>
          <w:lang w:val="en-US" w:eastAsia="zh-CN"/>
        </w:rPr>
        <w:t>7</w:t>
      </w:r>
      <w:r>
        <w:rPr>
          <w:rFonts w:hint="eastAsia" w:ascii="仿宋" w:hAnsi="仿宋" w:eastAsia="仿宋" w:cs="仿宋"/>
          <w:bCs/>
          <w:color w:val="auto"/>
          <w:sz w:val="24"/>
          <w:szCs w:val="24"/>
          <w:highlight w:val="none"/>
        </w:rPr>
        <w:t xml:space="preserve">显示方式 ：液晶屏 </w:t>
      </w:r>
    </w:p>
    <w:p>
      <w:pPr>
        <w:keepNext w:val="0"/>
        <w:keepLines w:val="0"/>
        <w:pageBreakBefore w:val="0"/>
        <w:kinsoku/>
        <w:wordWrap/>
        <w:overflowPunct/>
        <w:topLinePunct w:val="0"/>
        <w:bidi w:val="0"/>
        <w:adjustRightInd w:val="0"/>
        <w:snapToGrid w:val="0"/>
        <w:spacing w:line="460" w:lineRule="exact"/>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w:t>
      </w:r>
      <w:r>
        <w:rPr>
          <w:rFonts w:hint="eastAsia" w:ascii="仿宋" w:hAnsi="仿宋" w:eastAsia="仿宋" w:cs="仿宋"/>
          <w:bCs/>
          <w:color w:val="auto"/>
          <w:sz w:val="24"/>
          <w:szCs w:val="24"/>
          <w:highlight w:val="none"/>
          <w:lang w:val="en-US" w:eastAsia="zh-CN"/>
        </w:rPr>
        <w:t>8</w:t>
      </w:r>
      <w:r>
        <w:rPr>
          <w:rFonts w:hint="eastAsia" w:ascii="仿宋" w:hAnsi="仿宋" w:eastAsia="仿宋" w:cs="仿宋"/>
          <w:bCs/>
          <w:color w:val="auto"/>
          <w:sz w:val="24"/>
          <w:szCs w:val="24"/>
          <w:highlight w:val="none"/>
        </w:rPr>
        <w:t>电源 ：可充电锂电池</w:t>
      </w:r>
    </w:p>
    <w:p>
      <w:pPr>
        <w:keepNext w:val="0"/>
        <w:keepLines w:val="0"/>
        <w:pageBreakBefore w:val="0"/>
        <w:kinsoku/>
        <w:wordWrap/>
        <w:overflowPunct/>
        <w:topLinePunct w:val="0"/>
        <w:bidi w:val="0"/>
        <w:adjustRightInd w:val="0"/>
        <w:snapToGrid w:val="0"/>
        <w:spacing w:line="460" w:lineRule="exact"/>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w:t>
      </w:r>
      <w:r>
        <w:rPr>
          <w:rFonts w:hint="eastAsia" w:ascii="仿宋" w:hAnsi="仿宋" w:eastAsia="仿宋" w:cs="仿宋"/>
          <w:bCs/>
          <w:color w:val="auto"/>
          <w:sz w:val="24"/>
          <w:szCs w:val="24"/>
          <w:highlight w:val="none"/>
          <w:lang w:val="en-US" w:eastAsia="zh-CN"/>
        </w:rPr>
        <w:t>9</w:t>
      </w:r>
      <w:r>
        <w:rPr>
          <w:rFonts w:hint="eastAsia" w:ascii="仿宋" w:hAnsi="仿宋" w:eastAsia="仿宋" w:cs="仿宋"/>
          <w:bCs/>
          <w:color w:val="auto"/>
          <w:sz w:val="24"/>
          <w:szCs w:val="24"/>
          <w:highlight w:val="none"/>
        </w:rPr>
        <w:t>重量 ：≤1.5kg</w:t>
      </w:r>
    </w:p>
    <w:p>
      <w:pPr>
        <w:keepNext w:val="0"/>
        <w:keepLines w:val="0"/>
        <w:pageBreakBefore w:val="0"/>
        <w:kinsoku/>
        <w:wordWrap/>
        <w:overflowPunct/>
        <w:topLinePunct w:val="0"/>
        <w:bidi w:val="0"/>
        <w:spacing w:line="460" w:lineRule="exact"/>
        <w:outlineLvl w:val="9"/>
        <w:rPr>
          <w:rFonts w:hint="eastAsia" w:ascii="仿宋" w:hAnsi="仿宋" w:eastAsia="仿宋" w:cs="仿宋"/>
          <w:bCs/>
          <w:color w:val="auto"/>
          <w:sz w:val="24"/>
          <w:szCs w:val="24"/>
          <w:highlight w:val="none"/>
        </w:rPr>
      </w:pPr>
    </w:p>
    <w:p>
      <w:pPr>
        <w:keepNext w:val="0"/>
        <w:keepLines w:val="0"/>
        <w:pageBreakBefore w:val="0"/>
        <w:kinsoku/>
        <w:wordWrap/>
        <w:overflowPunct/>
        <w:topLinePunct w:val="0"/>
        <w:bidi w:val="0"/>
        <w:adjustRightInd w:val="0"/>
        <w:snapToGrid w:val="0"/>
        <w:spacing w:line="460" w:lineRule="exact"/>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10包-4、</w:t>
      </w:r>
      <w:r>
        <w:rPr>
          <w:rFonts w:hint="eastAsia" w:ascii="仿宋" w:hAnsi="仿宋" w:eastAsia="仿宋" w:cs="仿宋"/>
          <w:b/>
          <w:bCs/>
          <w:color w:val="auto"/>
          <w:kern w:val="0"/>
          <w:sz w:val="24"/>
          <w:szCs w:val="24"/>
          <w:highlight w:val="none"/>
        </w:rPr>
        <w:t>电子气象仪</w:t>
      </w:r>
    </w:p>
    <w:p>
      <w:pPr>
        <w:keepNext w:val="0"/>
        <w:keepLines w:val="0"/>
        <w:pageBreakBefore w:val="0"/>
        <w:kinsoku/>
        <w:wordWrap/>
        <w:overflowPunct/>
        <w:topLinePunct w:val="0"/>
        <w:bidi w:val="0"/>
        <w:adjustRightInd w:val="0"/>
        <w:snapToGrid w:val="0"/>
        <w:spacing w:line="460" w:lineRule="exact"/>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一、货物名称：电子气象仪</w:t>
      </w:r>
    </w:p>
    <w:p>
      <w:pPr>
        <w:keepNext w:val="0"/>
        <w:keepLines w:val="0"/>
        <w:pageBreakBefore w:val="0"/>
        <w:kinsoku/>
        <w:wordWrap/>
        <w:overflowPunct/>
        <w:topLinePunct w:val="0"/>
        <w:bidi w:val="0"/>
        <w:adjustRightInd w:val="0"/>
        <w:snapToGrid w:val="0"/>
        <w:spacing w:line="460" w:lineRule="exact"/>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二、产地：国产</w:t>
      </w:r>
    </w:p>
    <w:p>
      <w:pPr>
        <w:keepNext w:val="0"/>
        <w:keepLines w:val="0"/>
        <w:pageBreakBefore w:val="0"/>
        <w:kinsoku/>
        <w:wordWrap/>
        <w:overflowPunct/>
        <w:topLinePunct w:val="0"/>
        <w:bidi w:val="0"/>
        <w:adjustRightInd w:val="0"/>
        <w:snapToGrid w:val="0"/>
        <w:spacing w:line="460" w:lineRule="exact"/>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三、主要技术规格、参数及要求：</w:t>
      </w:r>
    </w:p>
    <w:p>
      <w:pPr>
        <w:pStyle w:val="13"/>
        <w:keepNext w:val="0"/>
        <w:keepLines w:val="0"/>
        <w:pageBreakBefore w:val="0"/>
        <w:kinsoku/>
        <w:wordWrap/>
        <w:overflowPunct/>
        <w:topLinePunct w:val="0"/>
        <w:autoSpaceDE/>
        <w:autoSpaceDN/>
        <w:bidi w:val="0"/>
        <w:adjustRightInd/>
        <w:snapToGrid/>
        <w:spacing w:after="0" w:line="460" w:lineRule="exact"/>
        <w:textAlignment w:val="auto"/>
        <w:rPr>
          <w:rFonts w:hint="eastAsia" w:eastAsia="仿宋"/>
          <w:color w:val="auto"/>
          <w:lang w:eastAsia="zh-CN"/>
        </w:rPr>
      </w:pP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widowControl/>
        <w:kinsoku/>
        <w:wordWrap/>
        <w:overflowPunct/>
        <w:topLinePunct w:val="0"/>
        <w:autoSpaceDE/>
        <w:autoSpaceDN/>
        <w:bidi w:val="0"/>
        <w:adjustRightInd/>
        <w:snapToGrid/>
        <w:spacing w:line="460" w:lineRule="exac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3.2可测量气压、海拔高度、温度、湿度、风速、露点等；</w:t>
      </w:r>
    </w:p>
    <w:p>
      <w:pPr>
        <w:keepNext w:val="0"/>
        <w:keepLines w:val="0"/>
        <w:pageBreakBefore w:val="0"/>
        <w:widowControl/>
        <w:kinsoku/>
        <w:wordWrap/>
        <w:overflowPunct/>
        <w:topLinePunct w:val="0"/>
        <w:autoSpaceDE/>
        <w:autoSpaceDN/>
        <w:bidi w:val="0"/>
        <w:adjustRightInd/>
        <w:snapToGrid/>
        <w:spacing w:line="46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3.3图表模式显示，响应时间：≤1s；</w:t>
      </w:r>
    </w:p>
    <w:p>
      <w:pPr>
        <w:keepNext w:val="0"/>
        <w:keepLines w:val="0"/>
        <w:pageBreakBefore w:val="0"/>
        <w:widowControl/>
        <w:kinsoku/>
        <w:wordWrap/>
        <w:overflowPunct/>
        <w:topLinePunct w:val="0"/>
        <w:autoSpaceDE/>
        <w:autoSpaceDN/>
        <w:bidi w:val="0"/>
        <w:adjustRightInd/>
        <w:snapToGrid/>
        <w:spacing w:line="460" w:lineRule="exac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b w:val="0"/>
          <w:bCs w:val="0"/>
          <w:color w:val="auto"/>
          <w:sz w:val="24"/>
          <w:szCs w:val="24"/>
          <w:highlight w:val="none"/>
          <w:lang w:val="en-US" w:eastAsia="zh-CN"/>
        </w:rPr>
        <w:t>3.4风速量程：测量范围≥0～60m/s，测量精度：不低于±3% ；</w:t>
      </w:r>
    </w:p>
    <w:p>
      <w:pPr>
        <w:keepNext w:val="0"/>
        <w:keepLines w:val="0"/>
        <w:pageBreakBefore w:val="0"/>
        <w:widowControl/>
        <w:kinsoku/>
        <w:wordWrap/>
        <w:overflowPunct/>
        <w:topLinePunct w:val="0"/>
        <w:autoSpaceDE/>
        <w:autoSpaceDN/>
        <w:bidi w:val="0"/>
        <w:adjustRightInd/>
        <w:snapToGrid/>
        <w:spacing w:line="460" w:lineRule="exact"/>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kern w:val="0"/>
          <w:sz w:val="24"/>
          <w:szCs w:val="24"/>
          <w:highlight w:val="none"/>
        </w:rPr>
        <w:t>3.5</w:t>
      </w:r>
      <w:r>
        <w:rPr>
          <w:rFonts w:hint="eastAsia" w:ascii="仿宋" w:hAnsi="仿宋" w:eastAsia="仿宋" w:cs="仿宋"/>
          <w:color w:val="auto"/>
          <w:sz w:val="24"/>
          <w:szCs w:val="24"/>
          <w:highlight w:val="none"/>
        </w:rPr>
        <w:t xml:space="preserve">湿度测量：≥0%～95%RH； </w:t>
      </w:r>
    </w:p>
    <w:p>
      <w:pPr>
        <w:keepNext w:val="0"/>
        <w:keepLines w:val="0"/>
        <w:pageBreakBefore w:val="0"/>
        <w:widowControl/>
        <w:kinsoku/>
        <w:wordWrap/>
        <w:overflowPunct/>
        <w:topLinePunct w:val="0"/>
        <w:autoSpaceDE/>
        <w:autoSpaceDN/>
        <w:bidi w:val="0"/>
        <w:adjustRightInd/>
        <w:snapToGrid/>
        <w:spacing w:line="460" w:lineRule="exac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大气压力测量：≥</w:t>
      </w:r>
      <w:r>
        <w:rPr>
          <w:rFonts w:hint="eastAsia" w:ascii="仿宋" w:hAnsi="仿宋" w:eastAsia="仿宋" w:cs="仿宋"/>
          <w:color w:val="auto"/>
          <w:kern w:val="0"/>
          <w:sz w:val="24"/>
          <w:szCs w:val="24"/>
          <w:highlight w:val="none"/>
          <w:lang w:val="en-US" w:eastAsia="zh-CN"/>
        </w:rPr>
        <w:t>600</w:t>
      </w:r>
      <w:r>
        <w:rPr>
          <w:rFonts w:hint="eastAsia" w:ascii="仿宋" w:hAnsi="仿宋" w:eastAsia="仿宋" w:cs="仿宋"/>
          <w:color w:val="auto"/>
          <w:kern w:val="0"/>
          <w:sz w:val="24"/>
          <w:szCs w:val="24"/>
          <w:highlight w:val="none"/>
        </w:rPr>
        <w:t>～1100hPa；准确度±3hPa；</w:t>
      </w:r>
    </w:p>
    <w:p>
      <w:pPr>
        <w:keepNext w:val="0"/>
        <w:keepLines w:val="0"/>
        <w:pageBreakBefore w:val="0"/>
        <w:widowControl/>
        <w:kinsoku/>
        <w:wordWrap/>
        <w:overflowPunct/>
        <w:topLinePunct w:val="0"/>
        <w:autoSpaceDE/>
        <w:autoSpaceDN/>
        <w:bidi w:val="0"/>
        <w:adjustRightInd/>
        <w:snapToGrid/>
        <w:spacing w:line="46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en-US" w:eastAsia="zh-CN"/>
        </w:rPr>
        <w:t>7</w:t>
      </w:r>
      <w:r>
        <w:rPr>
          <w:rFonts w:hint="eastAsia" w:ascii="仿宋" w:hAnsi="仿宋" w:eastAsia="仿宋" w:cs="仿宋"/>
          <w:color w:val="auto"/>
          <w:sz w:val="24"/>
          <w:szCs w:val="24"/>
          <w:highlight w:val="none"/>
        </w:rPr>
        <w:t>工作环境温度：≥-20～50℃；</w:t>
      </w:r>
    </w:p>
    <w:p>
      <w:pPr>
        <w:keepNext w:val="0"/>
        <w:keepLines w:val="0"/>
        <w:pageBreakBefore w:val="0"/>
        <w:widowControl/>
        <w:kinsoku/>
        <w:wordWrap/>
        <w:overflowPunct/>
        <w:topLinePunct w:val="0"/>
        <w:autoSpaceDE/>
        <w:autoSpaceDN/>
        <w:bidi w:val="0"/>
        <w:adjustRightInd/>
        <w:snapToGrid/>
        <w:spacing w:line="46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en-US" w:eastAsia="zh-CN"/>
        </w:rPr>
        <w:t>8</w:t>
      </w:r>
      <w:r>
        <w:rPr>
          <w:rFonts w:hint="eastAsia" w:ascii="仿宋" w:hAnsi="仿宋" w:eastAsia="仿宋" w:cs="仿宋"/>
          <w:color w:val="auto"/>
          <w:kern w:val="0"/>
          <w:sz w:val="24"/>
          <w:szCs w:val="24"/>
          <w:highlight w:val="none"/>
        </w:rPr>
        <w:t>供货前，须主动对接使用单位，确保满足用户需求；</w:t>
      </w:r>
    </w:p>
    <w:p>
      <w:pPr>
        <w:keepNext w:val="0"/>
        <w:keepLines w:val="0"/>
        <w:pageBreakBefore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en-US" w:eastAsia="zh-CN"/>
        </w:rPr>
        <w:t>9</w:t>
      </w:r>
      <w:r>
        <w:rPr>
          <w:rFonts w:hint="eastAsia" w:ascii="仿宋" w:hAnsi="仿宋" w:eastAsia="仿宋" w:cs="仿宋"/>
          <w:color w:val="auto"/>
          <w:kern w:val="0"/>
          <w:sz w:val="24"/>
          <w:szCs w:val="24"/>
          <w:highlight w:val="none"/>
        </w:rPr>
        <w:t>提供中文使用说明书（含电子版），含装备简介、使用注意事项及维护保养等内容。</w:t>
      </w:r>
    </w:p>
    <w:p>
      <w:pPr>
        <w:keepNext w:val="0"/>
        <w:keepLines w:val="0"/>
        <w:pageBreakBefore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color w:val="auto"/>
          <w:kern w:val="0"/>
          <w:sz w:val="24"/>
          <w:szCs w:val="24"/>
          <w:highlight w:val="none"/>
          <w:lang w:val="en-US" w:eastAsia="zh-CN"/>
        </w:rPr>
      </w:pPr>
      <w:bookmarkStart w:id="453" w:name="_Toc29645"/>
      <w:bookmarkStart w:id="454" w:name="_Toc7439"/>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1"/>
        <w:rPr>
          <w:rFonts w:hint="eastAsia" w:ascii="仿宋" w:hAnsi="仿宋" w:eastAsia="仿宋" w:cs="仿宋"/>
          <w:b/>
          <w:bCs/>
          <w:color w:val="auto"/>
          <w:sz w:val="24"/>
          <w:szCs w:val="24"/>
          <w:highlight w:val="none"/>
          <w:lang w:val="en-US" w:eastAsia="zh-CN"/>
        </w:rPr>
      </w:pPr>
      <w:bookmarkStart w:id="455" w:name="_Toc27808"/>
      <w:bookmarkStart w:id="456" w:name="_Toc21072"/>
      <w:r>
        <w:rPr>
          <w:rFonts w:hint="eastAsia" w:ascii="仿宋" w:hAnsi="仿宋" w:eastAsia="仿宋" w:cs="仿宋"/>
          <w:b/>
          <w:bCs/>
          <w:color w:val="auto"/>
          <w:sz w:val="24"/>
          <w:szCs w:val="24"/>
          <w:highlight w:val="none"/>
          <w:lang w:val="en-US" w:eastAsia="zh-CN"/>
        </w:rPr>
        <w:t>12包：便携式流速仪【核心产品】、水深探测仪、水温仪</w:t>
      </w:r>
      <w:bookmarkEnd w:id="453"/>
      <w:bookmarkEnd w:id="454"/>
      <w:bookmarkEnd w:id="455"/>
      <w:bookmarkEnd w:id="456"/>
    </w:p>
    <w:p>
      <w:pPr>
        <w:keepNext w:val="0"/>
        <w:keepLines w:val="0"/>
        <w:pageBreakBefore w:val="0"/>
        <w:kinsoku/>
        <w:wordWrap/>
        <w:overflowPunct/>
        <w:topLinePunct w:val="0"/>
        <w:autoSpaceDE/>
        <w:autoSpaceDN/>
        <w:bidi w:val="0"/>
        <w:spacing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12包-1、</w:t>
      </w:r>
      <w:r>
        <w:rPr>
          <w:rFonts w:hint="eastAsia" w:ascii="仿宋" w:hAnsi="仿宋" w:eastAsia="仿宋" w:cs="仿宋"/>
          <w:b/>
          <w:bCs/>
          <w:color w:val="auto"/>
          <w:sz w:val="24"/>
          <w:szCs w:val="24"/>
          <w:highlight w:val="none"/>
          <w:lang w:val="en-US" w:eastAsia="zh-CN"/>
        </w:rPr>
        <w:t>便携式流速仪</w:t>
      </w:r>
    </w:p>
    <w:p>
      <w:pPr>
        <w:keepNext w:val="0"/>
        <w:keepLines w:val="0"/>
        <w:pageBreakBefore w:val="0"/>
        <w:widowControl w:val="0"/>
        <w:kinsoku/>
        <w:wordWrap/>
        <w:overflowPunct/>
        <w:topLinePunct w:val="0"/>
        <w:autoSpaceDE/>
        <w:autoSpaceDN/>
        <w:bidi w:val="0"/>
        <w:adjustRightInd/>
        <w:snapToGrid/>
        <w:spacing w:afterAutospacing="0"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一、货物名称：便携式流速仪</w:t>
      </w:r>
    </w:p>
    <w:p>
      <w:pPr>
        <w:keepNext w:val="0"/>
        <w:keepLines w:val="0"/>
        <w:pageBreakBefore w:val="0"/>
        <w:widowControl w:val="0"/>
        <w:kinsoku/>
        <w:wordWrap/>
        <w:overflowPunct/>
        <w:topLinePunct w:val="0"/>
        <w:autoSpaceDE/>
        <w:autoSpaceDN/>
        <w:bidi w:val="0"/>
        <w:adjustRightInd/>
        <w:snapToGrid/>
        <w:spacing w:afterAutospacing="0"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二、产地：国产</w:t>
      </w:r>
    </w:p>
    <w:p>
      <w:pPr>
        <w:keepNext w:val="0"/>
        <w:keepLines w:val="0"/>
        <w:pageBreakBefore w:val="0"/>
        <w:widowControl w:val="0"/>
        <w:kinsoku/>
        <w:wordWrap/>
        <w:overflowPunct/>
        <w:topLinePunct w:val="0"/>
        <w:autoSpaceDE/>
        <w:autoSpaceDN/>
        <w:bidi w:val="0"/>
        <w:adjustRightInd/>
        <w:snapToGrid/>
        <w:spacing w:afterAutospacing="0"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三、主要技术规格、参数及要求</w:t>
      </w:r>
    </w:p>
    <w:p>
      <w:pPr>
        <w:pStyle w:val="13"/>
        <w:keepNext w:val="0"/>
        <w:keepLines w:val="0"/>
        <w:pageBreakBefore w:val="0"/>
        <w:kinsoku/>
        <w:wordWrap/>
        <w:overflowPunct/>
        <w:topLinePunct w:val="0"/>
        <w:bidi w:val="0"/>
        <w:spacing w:after="0" w:line="46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
        </w:rPr>
        <w:t>★3.1产品符合《转子式流速仪》（GB/T11826-2019）标准的要求，</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60" w:lineRule="exact"/>
        <w:ind w:left="0" w:leftChars="0"/>
        <w:textAlignment w:val="auto"/>
        <w:outlineLvl w:val="9"/>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val="en-US" w:eastAsia="zh-CN" w:bidi="ar"/>
        </w:rPr>
        <w:t>▲3.2测速范围:≥</w:t>
      </w:r>
      <w:r>
        <w:rPr>
          <w:rFonts w:hint="eastAsia" w:ascii="仿宋" w:hAnsi="仿宋" w:eastAsia="仿宋" w:cs="仿宋"/>
          <w:color w:val="auto"/>
          <w:sz w:val="24"/>
          <w:szCs w:val="24"/>
          <w:highlight w:val="none"/>
          <w:lang w:bidi="ar"/>
        </w:rPr>
        <w:t>0.05-8m/s</w:t>
      </w:r>
      <w:r>
        <w:rPr>
          <w:rFonts w:hint="eastAsia" w:ascii="仿宋" w:hAnsi="仿宋" w:eastAsia="仿宋" w:cs="仿宋"/>
          <w:color w:val="auto"/>
          <w:kern w:val="2"/>
          <w:sz w:val="24"/>
          <w:szCs w:val="24"/>
          <w:highlight w:val="none"/>
          <w:lang w:val="en-US" w:eastAsia="zh-CN" w:bidi="ar"/>
        </w:rPr>
        <w:t>；测流误差:≤1.5%；采样时间1~999s任意设定或优于；测量方式:测杆定位测量或优于；温度范围:≥-20℃-50℃；</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60" w:lineRule="exact"/>
        <w:ind w:left="0" w:leftChars="0"/>
        <w:textAlignment w:val="auto"/>
        <w:outlineLvl w:val="9"/>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val="en-US" w:eastAsia="zh-CN" w:bidi="ar"/>
        </w:rPr>
        <w:t>▲3.3续航时间：≥12h；</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60" w:lineRule="exact"/>
        <w:ind w:left="0" w:leftChars="0"/>
        <w:textAlignment w:val="auto"/>
        <w:outlineLvl w:val="9"/>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val="en-US" w:eastAsia="zh-CN" w:bidi="ar"/>
        </w:rPr>
        <w:t>3.4供货前，须主动对接使用单位，确保满足用户需求。</w:t>
      </w:r>
    </w:p>
    <w:p>
      <w:pPr>
        <w:keepNext w:val="0"/>
        <w:keepLines w:val="0"/>
        <w:pageBreakBefore w:val="0"/>
        <w:kinsoku/>
        <w:wordWrap/>
        <w:overflowPunct/>
        <w:topLinePunct w:val="0"/>
        <w:bidi w:val="0"/>
        <w:spacing w:line="460" w:lineRule="exact"/>
        <w:outlineLvl w:val="9"/>
        <w:rPr>
          <w:rFonts w:hint="eastAsia" w:ascii="仿宋" w:hAnsi="仿宋" w:eastAsia="仿宋" w:cs="仿宋"/>
          <w:bCs/>
          <w:color w:val="auto"/>
          <w:sz w:val="24"/>
          <w:szCs w:val="24"/>
          <w:highlight w:val="none"/>
          <w:lang w:eastAsia="zh-CN"/>
        </w:rPr>
      </w:pPr>
    </w:p>
    <w:p>
      <w:pPr>
        <w:keepNext w:val="0"/>
        <w:keepLines w:val="0"/>
        <w:pageBreakBefore w:val="0"/>
        <w:kinsoku/>
        <w:wordWrap/>
        <w:overflowPunct/>
        <w:topLinePunct w:val="0"/>
        <w:bidi w:val="0"/>
        <w:spacing w:line="460" w:lineRule="exact"/>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12包-2、</w:t>
      </w:r>
      <w:r>
        <w:rPr>
          <w:rFonts w:hint="eastAsia" w:ascii="仿宋" w:hAnsi="仿宋" w:eastAsia="仿宋" w:cs="仿宋"/>
          <w:b/>
          <w:bCs/>
          <w:color w:val="auto"/>
          <w:sz w:val="24"/>
          <w:szCs w:val="24"/>
          <w:highlight w:val="none"/>
          <w:lang w:val="en-US" w:eastAsia="zh-CN"/>
        </w:rPr>
        <w:t>水深探测仪</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一、货物名称：水深探测仪</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二、产地：国产</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三、主要技术规格、参数及要求</w:t>
      </w:r>
    </w:p>
    <w:p>
      <w:pPr>
        <w:pStyle w:val="13"/>
        <w:keepNext w:val="0"/>
        <w:keepLines w:val="0"/>
        <w:pageBreakBefore w:val="0"/>
        <w:widowControl w:val="0"/>
        <w:kinsoku/>
        <w:wordWrap/>
        <w:overflowPunct/>
        <w:topLinePunct w:val="0"/>
        <w:autoSpaceDE/>
        <w:autoSpaceDN/>
        <w:bidi w:val="0"/>
        <w:adjustRightInd/>
        <w:snapToGrid/>
        <w:spacing w:after="0" w:line="460" w:lineRule="exact"/>
        <w:textAlignment w:val="auto"/>
        <w:rPr>
          <w:rFonts w:hint="eastAsia" w:eastAsia="仿宋"/>
          <w:color w:val="auto"/>
          <w:lang w:eastAsia="zh-CN"/>
        </w:rPr>
      </w:pPr>
      <w:r>
        <w:rPr>
          <w:rFonts w:hint="eastAsia" w:ascii="仿宋" w:hAnsi="仿宋" w:eastAsia="仿宋" w:cs="仿宋"/>
          <w:color w:val="auto"/>
          <w:kern w:val="2"/>
          <w:sz w:val="24"/>
          <w:szCs w:val="24"/>
          <w:highlight w:val="none"/>
          <w:lang w:val="en-US" w:eastAsia="zh-CN" w:bidi="ar"/>
        </w:rPr>
        <w:t>★3.1产品符合</w:t>
      </w:r>
      <w:r>
        <w:rPr>
          <w:rFonts w:hint="eastAsia" w:ascii="仿宋" w:hAnsi="仿宋" w:eastAsia="仿宋" w:cs="仿宋"/>
          <w:color w:val="auto"/>
          <w:sz w:val="24"/>
          <w:szCs w:val="24"/>
          <w:highlight w:val="none"/>
          <w:lang w:val="en-US" w:eastAsia="zh-CN"/>
        </w:rPr>
        <w:t>《水深测量仪器第3部分：超声波测深仪》（GB/T27992.3-2016）</w:t>
      </w:r>
      <w:r>
        <w:rPr>
          <w:rFonts w:hint="eastAsia" w:ascii="仿宋" w:hAnsi="仿宋" w:eastAsia="仿宋" w:cs="仿宋"/>
          <w:color w:val="auto"/>
          <w:kern w:val="2"/>
          <w:sz w:val="24"/>
          <w:szCs w:val="24"/>
          <w:highlight w:val="none"/>
          <w:lang w:val="en-US" w:eastAsia="zh-CN" w:bidi="ar"/>
        </w:rPr>
        <w:t>标准的要求，</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kern w:val="2"/>
          <w:sz w:val="24"/>
          <w:szCs w:val="24"/>
          <w:highlight w:val="none"/>
          <w:lang w:val="en-US" w:eastAsia="zh-CN" w:bidi="ar"/>
        </w:rPr>
        <w:t>▲</w:t>
      </w:r>
      <w:r>
        <w:rPr>
          <w:rFonts w:hint="eastAsia" w:ascii="仿宋" w:hAnsi="仿宋" w:eastAsia="仿宋" w:cs="仿宋"/>
          <w:b w:val="0"/>
          <w:bCs w:val="0"/>
          <w:color w:val="auto"/>
          <w:sz w:val="24"/>
          <w:szCs w:val="24"/>
          <w:highlight w:val="none"/>
          <w:lang w:val="en-US" w:eastAsia="zh-CN"/>
        </w:rPr>
        <w:t>3.2 水深测量范围≥0～80m，温度测量范围≥-10℃～50℃；</w:t>
      </w: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kern w:val="2"/>
          <w:sz w:val="24"/>
          <w:szCs w:val="24"/>
          <w:highlight w:val="none"/>
          <w:lang w:val="en-US" w:eastAsia="zh-CN" w:bidi="ar"/>
        </w:rPr>
        <w:t>▲</w:t>
      </w:r>
      <w:r>
        <w:rPr>
          <w:rFonts w:hint="eastAsia" w:ascii="仿宋" w:hAnsi="仿宋" w:eastAsia="仿宋" w:cs="仿宋"/>
          <w:b w:val="0"/>
          <w:bCs w:val="0"/>
          <w:color w:val="auto"/>
          <w:sz w:val="24"/>
          <w:szCs w:val="24"/>
          <w:highlight w:val="none"/>
          <w:lang w:val="en-US" w:eastAsia="zh-CN"/>
        </w:rPr>
        <w:t>3.3具有彩色显示屏可显示实时温度和深度；仪器使用时间≥10h；</w:t>
      </w: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3.4防水等级：IPX8；</w:t>
      </w: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3.5供货前，须主动对接使用单位，确保满足用户需求。</w:t>
      </w:r>
    </w:p>
    <w:p>
      <w:pPr>
        <w:keepNext w:val="0"/>
        <w:keepLines w:val="0"/>
        <w:pageBreakBefore w:val="0"/>
        <w:kinsoku/>
        <w:wordWrap/>
        <w:overflowPunct/>
        <w:topLinePunct w:val="0"/>
        <w:bidi w:val="0"/>
        <w:spacing w:line="460" w:lineRule="exact"/>
        <w:outlineLvl w:val="9"/>
        <w:rPr>
          <w:rFonts w:hint="eastAsia" w:ascii="仿宋" w:hAnsi="仿宋" w:eastAsia="仿宋" w:cs="仿宋"/>
          <w:bCs/>
          <w:color w:val="auto"/>
          <w:sz w:val="24"/>
          <w:szCs w:val="24"/>
          <w:highlight w:val="none"/>
          <w:lang w:eastAsia="zh-CN"/>
        </w:rPr>
      </w:pPr>
    </w:p>
    <w:p>
      <w:pPr>
        <w:keepNext w:val="0"/>
        <w:keepLines w:val="0"/>
        <w:pageBreakBefore w:val="0"/>
        <w:kinsoku/>
        <w:wordWrap/>
        <w:overflowPunct/>
        <w:topLinePunct w:val="0"/>
        <w:bidi w:val="0"/>
        <w:spacing w:line="460" w:lineRule="exact"/>
        <w:ind w:left="0"/>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12包-3、</w:t>
      </w:r>
      <w:r>
        <w:rPr>
          <w:rFonts w:hint="eastAsia" w:ascii="仿宋" w:hAnsi="仿宋" w:eastAsia="仿宋" w:cs="仿宋"/>
          <w:b/>
          <w:bCs/>
          <w:color w:val="auto"/>
          <w:sz w:val="24"/>
          <w:szCs w:val="24"/>
          <w:highlight w:val="none"/>
          <w:lang w:val="en-US" w:eastAsia="zh-CN"/>
        </w:rPr>
        <w:t>水温仪</w:t>
      </w:r>
    </w:p>
    <w:p>
      <w:pPr>
        <w:keepNext w:val="0"/>
        <w:keepLines w:val="0"/>
        <w:pageBreakBefore w:val="0"/>
        <w:numPr>
          <w:ilvl w:val="0"/>
          <w:numId w:val="0"/>
        </w:numPr>
        <w:kinsoku/>
        <w:wordWrap/>
        <w:overflowPunct/>
        <w:topLinePunct w:val="0"/>
        <w:bidi w:val="0"/>
        <w:spacing w:line="460" w:lineRule="exact"/>
        <w:ind w:left="0"/>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kern w:val="2"/>
          <w:sz w:val="24"/>
          <w:szCs w:val="24"/>
          <w:highlight w:val="none"/>
          <w:lang w:val="en-US" w:eastAsia="zh-CN" w:bidi="ar-SA"/>
        </w:rPr>
        <w:t>一、</w:t>
      </w:r>
      <w:r>
        <w:rPr>
          <w:rFonts w:hint="eastAsia" w:ascii="仿宋" w:hAnsi="仿宋" w:eastAsia="仿宋" w:cs="仿宋"/>
          <w:color w:val="auto"/>
          <w:sz w:val="24"/>
          <w:szCs w:val="24"/>
          <w:highlight w:val="none"/>
          <w:lang w:val="en-US" w:eastAsia="zh-CN"/>
        </w:rPr>
        <w:t>货物名称：</w:t>
      </w:r>
      <w:r>
        <w:rPr>
          <w:rFonts w:hint="eastAsia" w:ascii="仿宋" w:hAnsi="仿宋" w:eastAsia="仿宋" w:cs="仿宋"/>
          <w:b w:val="0"/>
          <w:bCs w:val="0"/>
          <w:color w:val="auto"/>
          <w:sz w:val="24"/>
          <w:szCs w:val="24"/>
          <w:highlight w:val="none"/>
          <w:lang w:val="en-US" w:eastAsia="zh-CN"/>
        </w:rPr>
        <w:t>水温仪</w:t>
      </w:r>
    </w:p>
    <w:p>
      <w:pPr>
        <w:keepNext w:val="0"/>
        <w:keepLines w:val="0"/>
        <w:pageBreakBefore w:val="0"/>
        <w:numPr>
          <w:ilvl w:val="0"/>
          <w:numId w:val="0"/>
        </w:numPr>
        <w:kinsoku/>
        <w:wordWrap/>
        <w:overflowPunct/>
        <w:topLinePunct w:val="0"/>
        <w:bidi w:val="0"/>
        <w:spacing w:line="460" w:lineRule="exac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二、产地：国产</w:t>
      </w:r>
    </w:p>
    <w:p>
      <w:pPr>
        <w:keepNext w:val="0"/>
        <w:keepLines w:val="0"/>
        <w:pageBreakBefore w:val="0"/>
        <w:numPr>
          <w:ilvl w:val="0"/>
          <w:numId w:val="0"/>
        </w:numPr>
        <w:kinsoku/>
        <w:wordWrap/>
        <w:overflowPunct/>
        <w:topLinePunct w:val="0"/>
        <w:bidi w:val="0"/>
        <w:spacing w:line="460" w:lineRule="exac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三、主要技术规格、参数及要求</w:t>
      </w:r>
    </w:p>
    <w:p>
      <w:pPr>
        <w:pStyle w:val="13"/>
        <w:keepNext w:val="0"/>
        <w:keepLines w:val="0"/>
        <w:pageBreakBefore w:val="0"/>
        <w:widowControl w:val="0"/>
        <w:kinsoku/>
        <w:wordWrap/>
        <w:overflowPunct/>
        <w:topLinePunct w:val="0"/>
        <w:autoSpaceDE/>
        <w:autoSpaceDN/>
        <w:bidi w:val="0"/>
        <w:adjustRightInd/>
        <w:snapToGrid/>
        <w:spacing w:after="0" w:line="460" w:lineRule="exact"/>
        <w:textAlignment w:val="auto"/>
        <w:rPr>
          <w:rFonts w:hint="eastAsia" w:eastAsia="仿宋"/>
          <w:color w:val="auto"/>
          <w:lang w:eastAsia="zh-CN"/>
        </w:rPr>
      </w:pPr>
      <w:r>
        <w:rPr>
          <w:rFonts w:hint="eastAsia" w:ascii="仿宋" w:hAnsi="仿宋" w:eastAsia="仿宋" w:cs="仿宋"/>
          <w:color w:val="auto"/>
          <w:kern w:val="2"/>
          <w:sz w:val="24"/>
          <w:szCs w:val="24"/>
          <w:highlight w:val="none"/>
          <w:lang w:val="en-US" w:eastAsia="zh-CN" w:bidi="ar"/>
        </w:rPr>
        <w:t>★3.1产品符合</w:t>
      </w:r>
      <w:r>
        <w:rPr>
          <w:rFonts w:hint="eastAsia" w:ascii="仿宋" w:hAnsi="仿宋" w:eastAsia="仿宋" w:cs="仿宋"/>
          <w:color w:val="auto"/>
          <w:sz w:val="24"/>
          <w:szCs w:val="24"/>
          <w:highlight w:val="none"/>
          <w:lang w:val="en-US" w:eastAsia="zh-CN"/>
        </w:rPr>
        <w:t>《水质 水温的测定 温度计或颠倒温度计测定法》（GB/T13195-1991）</w:t>
      </w:r>
      <w:r>
        <w:rPr>
          <w:rFonts w:hint="eastAsia" w:ascii="仿宋" w:hAnsi="仿宋" w:eastAsia="仿宋" w:cs="仿宋"/>
          <w:color w:val="auto"/>
          <w:kern w:val="2"/>
          <w:sz w:val="24"/>
          <w:szCs w:val="24"/>
          <w:highlight w:val="none"/>
          <w:lang w:val="en-US" w:eastAsia="zh-CN" w:bidi="ar"/>
        </w:rPr>
        <w:t>标准的要求</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3.2测量深度：≥0.5m-90m；</w:t>
      </w: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3.3防护等级：IP68</w:t>
      </w: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
        </w:rPr>
        <w:t>▲</w:t>
      </w:r>
      <w:r>
        <w:rPr>
          <w:rFonts w:hint="eastAsia" w:ascii="仿宋" w:hAnsi="仿宋" w:eastAsia="仿宋" w:cs="仿宋"/>
          <w:color w:val="auto"/>
          <w:sz w:val="24"/>
          <w:szCs w:val="24"/>
          <w:highlight w:val="none"/>
          <w:lang w:val="en-US" w:eastAsia="zh-CN"/>
        </w:rPr>
        <w:t>3.4测量温度:≥-30°C一70°C；</w:t>
      </w: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3.5工作湿度:其80%M无结露或优于;</w:t>
      </w: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3.6传感器发射频率:≥200kHz；传感器波束角度:≥30°；</w:t>
      </w: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3.7精度:量程的1/10深度精度≤0.1m，温度精度≤0.1℃</w:t>
      </w: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3.8磁性开关：可漂浮设计，48小时不下沉；</w:t>
      </w: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3.9内置充电电池供电，待机时间≥5小时；</w:t>
      </w: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3.10供货前，须主动对接使用单位，确保满足用户需求。</w:t>
      </w:r>
    </w:p>
    <w:p>
      <w:pPr>
        <w:pStyle w:val="13"/>
        <w:keepNext w:val="0"/>
        <w:keepLines w:val="0"/>
        <w:pageBreakBefore w:val="0"/>
        <w:widowControl w:val="0"/>
        <w:kinsoku/>
        <w:wordWrap/>
        <w:overflowPunct/>
        <w:topLinePunct w:val="0"/>
        <w:autoSpaceDE/>
        <w:autoSpaceDN/>
        <w:bidi w:val="0"/>
        <w:spacing w:after="0" w:afterAutospacing="0" w:line="460" w:lineRule="exact"/>
        <w:ind w:left="0"/>
        <w:outlineLvl w:val="9"/>
        <w:rPr>
          <w:rFonts w:hint="eastAsia" w:ascii="仿宋" w:hAnsi="仿宋" w:eastAsia="仿宋" w:cs="仿宋"/>
          <w:b/>
          <w:bCs/>
          <w:color w:val="auto"/>
          <w:sz w:val="24"/>
          <w:szCs w:val="24"/>
          <w:highlight w:val="none"/>
          <w:lang w:val="en-US" w:eastAsia="zh-CN"/>
        </w:rPr>
      </w:pPr>
      <w:bookmarkStart w:id="457" w:name="_Toc24502"/>
      <w:bookmarkStart w:id="458" w:name="_Toc9094"/>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1"/>
        <w:rPr>
          <w:rFonts w:hint="eastAsia" w:ascii="仿宋" w:hAnsi="仿宋" w:eastAsia="仿宋" w:cs="仿宋"/>
          <w:b/>
          <w:bCs/>
          <w:color w:val="auto"/>
          <w:sz w:val="24"/>
          <w:szCs w:val="24"/>
          <w:highlight w:val="none"/>
          <w:lang w:val="en-US" w:eastAsia="zh-CN"/>
        </w:rPr>
      </w:pPr>
      <w:bookmarkStart w:id="459" w:name="_Toc24037"/>
      <w:bookmarkStart w:id="460" w:name="_Toc1764"/>
      <w:r>
        <w:rPr>
          <w:rFonts w:hint="eastAsia" w:ascii="仿宋" w:hAnsi="仿宋" w:eastAsia="仿宋" w:cs="仿宋"/>
          <w:b/>
          <w:bCs/>
          <w:color w:val="auto"/>
          <w:sz w:val="24"/>
          <w:szCs w:val="24"/>
          <w:highlight w:val="none"/>
          <w:lang w:val="en-US" w:eastAsia="zh-CN"/>
        </w:rPr>
        <w:t>13包：机动链锯【核心产品】、电动链锯</w:t>
      </w:r>
      <w:bookmarkEnd w:id="457"/>
      <w:bookmarkEnd w:id="458"/>
      <w:bookmarkEnd w:id="459"/>
      <w:bookmarkEnd w:id="460"/>
    </w:p>
    <w:p>
      <w:pPr>
        <w:keepNext w:val="0"/>
        <w:keepLines w:val="0"/>
        <w:pageBreakBefore w:val="0"/>
        <w:widowControl w:val="0"/>
        <w:kinsoku/>
        <w:wordWrap/>
        <w:overflowPunct/>
        <w:topLinePunct w:val="0"/>
        <w:bidi w:val="0"/>
        <w:spacing w:line="460" w:lineRule="exact"/>
        <w:outlineLvl w:val="9"/>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kern w:val="0"/>
          <w:sz w:val="24"/>
          <w:szCs w:val="24"/>
          <w:highlight w:val="none"/>
          <w:lang w:val="en-US" w:eastAsia="zh-CN"/>
        </w:rPr>
        <w:t>13包-1、机动链锯</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一、货物名称：机动链锯</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二、产地：国产</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三、主要技术规格、参数及要求：</w:t>
      </w:r>
    </w:p>
    <w:p>
      <w:pPr>
        <w:pStyle w:val="13"/>
        <w:keepNext w:val="0"/>
        <w:keepLines w:val="0"/>
        <w:pageBreakBefore w:val="0"/>
        <w:kinsoku/>
        <w:wordWrap/>
        <w:overflowPunct/>
        <w:topLinePunct w:val="0"/>
        <w:bidi w:val="0"/>
        <w:spacing w:after="0" w:line="460" w:lineRule="exact"/>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val="en-US" w:eastAsia="zh-CN" w:bidi="ar"/>
        </w:rPr>
        <w:t>★3.1产品符合</w:t>
      </w:r>
      <w:r>
        <w:rPr>
          <w:rFonts w:hint="eastAsia" w:ascii="仿宋" w:hAnsi="仿宋" w:eastAsia="仿宋" w:cs="仿宋"/>
          <w:bCs/>
          <w:color w:val="auto"/>
          <w:sz w:val="24"/>
          <w:szCs w:val="24"/>
          <w:highlight w:val="none"/>
          <w:lang w:val="en-US" w:eastAsia="zh-CN"/>
        </w:rPr>
        <w:t>GB32460-2015《消防应急救援装备破拆机具通用技术条件》</w:t>
      </w:r>
      <w:r>
        <w:rPr>
          <w:rFonts w:hint="eastAsia" w:ascii="仿宋" w:hAnsi="仿宋" w:eastAsia="仿宋" w:cs="仿宋"/>
          <w:color w:val="auto"/>
          <w:kern w:val="2"/>
          <w:sz w:val="24"/>
          <w:szCs w:val="24"/>
          <w:highlight w:val="none"/>
          <w:lang w:val="en-US" w:eastAsia="zh-CN" w:bidi="ar"/>
        </w:rPr>
        <w:t>标准的要求，</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3.2可用于切割各类木质结构障碍物；切割速度≥500</w:t>
      </w:r>
      <w:r>
        <w:rPr>
          <w:rFonts w:hint="eastAsia" w:ascii="仿宋" w:hAnsi="仿宋" w:eastAsia="仿宋" w:cs="仿宋"/>
          <w:bCs/>
          <w:color w:val="auto"/>
          <w:kern w:val="2"/>
          <w:sz w:val="24"/>
          <w:szCs w:val="24"/>
          <w:highlight w:val="none"/>
          <w:lang w:val="en-US" w:eastAsia="zh-CN" w:bidi="ar-SA"/>
        </w:rPr>
        <w:t>cm</w:t>
      </w:r>
      <w:r>
        <w:rPr>
          <w:rFonts w:hint="eastAsia" w:ascii="仿宋" w:hAnsi="仿宋" w:eastAsia="仿宋" w:cs="仿宋"/>
          <w:bCs/>
          <w:color w:val="auto"/>
          <w:kern w:val="2"/>
          <w:sz w:val="24"/>
          <w:szCs w:val="24"/>
          <w:highlight w:val="none"/>
          <w:vertAlign w:val="superscript"/>
          <w:lang w:val="en-US" w:eastAsia="zh-CN" w:bidi="ar-SA"/>
        </w:rPr>
        <w:t>2</w:t>
      </w:r>
      <w:r>
        <w:rPr>
          <w:rFonts w:hint="eastAsia" w:ascii="仿宋" w:hAnsi="仿宋" w:eastAsia="仿宋" w:cs="仿宋"/>
          <w:bCs/>
          <w:color w:val="auto"/>
          <w:sz w:val="24"/>
          <w:szCs w:val="24"/>
          <w:highlight w:val="none"/>
          <w:lang w:val="en-US" w:eastAsia="zh-CN"/>
        </w:rPr>
        <w:t>/min；</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
        </w:rPr>
        <w:t>▲</w:t>
      </w:r>
      <w:r>
        <w:rPr>
          <w:rFonts w:hint="eastAsia" w:ascii="仿宋" w:hAnsi="仿宋" w:eastAsia="仿宋" w:cs="仿宋"/>
          <w:bCs/>
          <w:color w:val="auto"/>
          <w:sz w:val="24"/>
          <w:szCs w:val="24"/>
          <w:highlight w:val="none"/>
          <w:lang w:val="en-US" w:eastAsia="zh-CN"/>
        </w:rPr>
        <w:t>3.3功率：≥2.4KW；气缸排量≥50cc；</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
        </w:rPr>
        <w:t>▲</w:t>
      </w:r>
      <w:r>
        <w:rPr>
          <w:rFonts w:hint="eastAsia" w:ascii="仿宋" w:hAnsi="仿宋" w:eastAsia="仿宋" w:cs="仿宋"/>
          <w:bCs/>
          <w:color w:val="auto"/>
          <w:sz w:val="24"/>
          <w:szCs w:val="24"/>
          <w:highlight w:val="none"/>
          <w:lang w:val="en-US" w:eastAsia="zh-CN"/>
        </w:rPr>
        <w:t>3.4</w:t>
      </w:r>
      <w:r>
        <w:rPr>
          <w:rFonts w:hint="eastAsia" w:ascii="仿宋" w:hAnsi="仿宋" w:eastAsia="仿宋" w:cs="仿宋"/>
          <w:b w:val="0"/>
          <w:bCs/>
          <w:color w:val="auto"/>
          <w:sz w:val="24"/>
          <w:szCs w:val="24"/>
          <w:highlight w:val="none"/>
          <w:lang w:val="en-US" w:eastAsia="zh-CN"/>
        </w:rPr>
        <w:t>重量（不含导板、链条）≤5kg，</w:t>
      </w:r>
      <w:r>
        <w:rPr>
          <w:rFonts w:hint="eastAsia" w:ascii="仿宋" w:hAnsi="仿宋" w:eastAsia="仿宋" w:cs="仿宋"/>
          <w:bCs/>
          <w:color w:val="auto"/>
          <w:sz w:val="24"/>
          <w:szCs w:val="24"/>
          <w:highlight w:val="none"/>
          <w:lang w:val="en-US" w:eastAsia="zh-CN"/>
        </w:rPr>
        <w:t>导板长度≥40cm；</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3.5燃油箱容量≥0.4L； </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3.6在-25℃～-20℃环境中，启动时间≤30s；</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3.7机油润滑性能良好，链条润滑油具有优异的防磨损性能，保证链条在导板中运行畅通无阻；</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3.8导板端部带有导轮，保证链条在导板端部减少阻力和减少功率消耗；</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3.9提供一条备用原装链条；</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3.10提供中文使用说明书，含装备简介、使用注意事项及维护保养等内容。</w:t>
      </w:r>
    </w:p>
    <w:p>
      <w:pPr>
        <w:keepNext w:val="0"/>
        <w:keepLines w:val="0"/>
        <w:pageBreakBefore w:val="0"/>
        <w:widowControl w:val="0"/>
        <w:kinsoku/>
        <w:wordWrap/>
        <w:overflowPunct/>
        <w:topLinePunct w:val="0"/>
        <w:bidi w:val="0"/>
        <w:adjustRightInd w:val="0"/>
        <w:snapToGrid w:val="0"/>
        <w:spacing w:beforeAutospacing="0" w:afterAutospacing="0" w:line="460" w:lineRule="exact"/>
        <w:ind w:left="0"/>
        <w:outlineLvl w:val="9"/>
        <w:rPr>
          <w:rFonts w:hint="eastAsia" w:ascii="仿宋" w:hAnsi="仿宋" w:eastAsia="仿宋" w:cs="仿宋"/>
          <w:bCs/>
          <w:color w:val="auto"/>
          <w:sz w:val="24"/>
          <w:szCs w:val="24"/>
          <w:highlight w:val="none"/>
          <w:lang w:val="en-US" w:eastAsia="zh-CN"/>
        </w:rPr>
      </w:pPr>
    </w:p>
    <w:p>
      <w:pPr>
        <w:keepNext w:val="0"/>
        <w:keepLines w:val="0"/>
        <w:pageBreakBefore w:val="0"/>
        <w:widowControl w:val="0"/>
        <w:kinsoku/>
        <w:wordWrap/>
        <w:overflowPunct/>
        <w:topLinePunct w:val="0"/>
        <w:bidi w:val="0"/>
        <w:adjustRightInd w:val="0"/>
        <w:snapToGrid w:val="0"/>
        <w:spacing w:beforeAutospacing="0" w:afterAutospacing="0" w:line="460" w:lineRule="exact"/>
        <w:ind w:left="0"/>
        <w:outlineLvl w:val="9"/>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13包-2、</w:t>
      </w:r>
      <w:r>
        <w:rPr>
          <w:rFonts w:hint="eastAsia" w:ascii="仿宋" w:hAnsi="仿宋" w:eastAsia="仿宋" w:cs="仿宋"/>
          <w:b/>
          <w:bCs w:val="0"/>
          <w:color w:val="auto"/>
          <w:sz w:val="24"/>
          <w:szCs w:val="24"/>
          <w:highlight w:val="none"/>
          <w:lang w:val="en-US" w:eastAsia="zh-CN"/>
        </w:rPr>
        <w:t>电动链锯</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一、货物名称：电动链锯</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二、产地：国产</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三、主要技术规格、参数及要求：</w:t>
      </w:r>
    </w:p>
    <w:p>
      <w:pPr>
        <w:pStyle w:val="13"/>
        <w:keepNext w:val="0"/>
        <w:keepLines w:val="0"/>
        <w:pageBreakBefore w:val="0"/>
        <w:widowControl w:val="0"/>
        <w:kinsoku/>
        <w:wordWrap/>
        <w:overflowPunct/>
        <w:topLinePunct w:val="0"/>
        <w:autoSpaceDE/>
        <w:autoSpaceDN/>
        <w:bidi w:val="0"/>
        <w:spacing w:after="0" w:line="460" w:lineRule="exact"/>
        <w:textAlignment w:val="auto"/>
        <w:rPr>
          <w:rFonts w:hint="eastAsia" w:eastAsia="仿宋"/>
          <w:color w:val="auto"/>
          <w:lang w:eastAsia="zh-CN"/>
        </w:rPr>
      </w:pPr>
      <w:r>
        <w:rPr>
          <w:rFonts w:hint="eastAsia" w:ascii="仿宋" w:hAnsi="仿宋" w:eastAsia="仿宋" w:cs="仿宋"/>
          <w:color w:val="auto"/>
          <w:kern w:val="2"/>
          <w:sz w:val="24"/>
          <w:szCs w:val="24"/>
          <w:highlight w:val="none"/>
          <w:lang w:val="en-US" w:eastAsia="zh-CN" w:bidi="ar"/>
        </w:rPr>
        <w:t>★</w:t>
      </w: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3.2.电压：锂电池≥40V，无刷电机。</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3.3.导板长度：≥400mm。</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3.4充电时间：≤60min。</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
        </w:rPr>
        <w:t>▲</w:t>
      </w:r>
      <w:r>
        <w:rPr>
          <w:rFonts w:hint="eastAsia" w:ascii="仿宋" w:hAnsi="仿宋" w:eastAsia="仿宋" w:cs="仿宋"/>
          <w:bCs/>
          <w:color w:val="auto"/>
          <w:sz w:val="24"/>
          <w:szCs w:val="24"/>
          <w:highlight w:val="none"/>
          <w:lang w:val="en-US" w:eastAsia="zh-CN"/>
        </w:rPr>
        <w:t>3.5额定功率：≥1.2KW;</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3.6切割速度≥500</w:t>
      </w:r>
      <w:r>
        <w:rPr>
          <w:rFonts w:hint="eastAsia" w:ascii="仿宋" w:hAnsi="仿宋" w:eastAsia="仿宋" w:cs="仿宋"/>
          <w:bCs/>
          <w:color w:val="auto"/>
          <w:kern w:val="2"/>
          <w:sz w:val="24"/>
          <w:szCs w:val="24"/>
          <w:highlight w:val="none"/>
          <w:lang w:val="en-US" w:eastAsia="zh-CN" w:bidi="ar-SA"/>
        </w:rPr>
        <w:t>cm</w:t>
      </w:r>
      <w:r>
        <w:rPr>
          <w:rFonts w:hint="eastAsia" w:ascii="仿宋" w:hAnsi="仿宋" w:eastAsia="仿宋" w:cs="仿宋"/>
          <w:bCs/>
          <w:color w:val="auto"/>
          <w:kern w:val="2"/>
          <w:sz w:val="24"/>
          <w:szCs w:val="24"/>
          <w:highlight w:val="none"/>
          <w:vertAlign w:val="superscript"/>
          <w:lang w:val="en-US" w:eastAsia="zh-CN" w:bidi="ar-SA"/>
        </w:rPr>
        <w:t>2</w:t>
      </w:r>
      <w:r>
        <w:rPr>
          <w:rFonts w:hint="eastAsia" w:ascii="仿宋" w:hAnsi="仿宋" w:eastAsia="仿宋" w:cs="仿宋"/>
          <w:bCs/>
          <w:color w:val="auto"/>
          <w:sz w:val="24"/>
          <w:szCs w:val="24"/>
          <w:highlight w:val="none"/>
          <w:lang w:val="en-US" w:eastAsia="zh-CN"/>
        </w:rPr>
        <w:t>/min；</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
        </w:rPr>
        <w:t>▲</w:t>
      </w:r>
      <w:r>
        <w:rPr>
          <w:rFonts w:hint="eastAsia" w:ascii="仿宋" w:hAnsi="仿宋" w:eastAsia="仿宋" w:cs="仿宋"/>
          <w:bCs/>
          <w:color w:val="auto"/>
          <w:sz w:val="24"/>
          <w:szCs w:val="24"/>
          <w:highlight w:val="none"/>
          <w:lang w:val="en-US" w:eastAsia="zh-CN"/>
        </w:rPr>
        <w:t>3.7重量：≤10kg；</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3.8在-25℃～-20℃环境中，启动时间≤20s；</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3.9配置备用链条2条，电池组2组、充电器1套、专用工具1套；</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3.10提供中文使用说明书（含电子版），含装备简介、使用注意事项及维护保养等内容。</w:t>
      </w: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1"/>
        <w:rPr>
          <w:rFonts w:hint="eastAsia" w:ascii="仿宋" w:hAnsi="仿宋" w:eastAsia="仿宋" w:cs="仿宋"/>
          <w:b/>
          <w:bCs/>
          <w:color w:val="auto"/>
          <w:sz w:val="24"/>
          <w:szCs w:val="24"/>
          <w:highlight w:val="none"/>
          <w:lang w:val="en-US" w:eastAsia="zh-CN"/>
        </w:rPr>
      </w:pPr>
      <w:bookmarkStart w:id="461" w:name="_Toc26051"/>
      <w:bookmarkStart w:id="462" w:name="_Toc18725"/>
      <w:bookmarkStart w:id="463" w:name="_Toc26206"/>
      <w:bookmarkStart w:id="464" w:name="_Toc5325"/>
      <w:r>
        <w:rPr>
          <w:rFonts w:hint="eastAsia" w:ascii="仿宋" w:hAnsi="仿宋" w:eastAsia="仿宋" w:cs="仿宋"/>
          <w:b/>
          <w:bCs/>
          <w:color w:val="auto"/>
          <w:sz w:val="24"/>
          <w:szCs w:val="24"/>
          <w:highlight w:val="none"/>
          <w:lang w:val="en-US" w:eastAsia="zh-CN"/>
        </w:rPr>
        <w:t>17包：绳锯</w:t>
      </w:r>
      <w:bookmarkEnd w:id="461"/>
      <w:bookmarkEnd w:id="462"/>
      <w:bookmarkEnd w:id="463"/>
      <w:bookmarkEnd w:id="464"/>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一、货物名称：</w:t>
      </w:r>
      <w:r>
        <w:rPr>
          <w:rFonts w:hint="eastAsia" w:ascii="仿宋" w:hAnsi="仿宋" w:eastAsia="仿宋" w:cs="仿宋"/>
          <w:b w:val="0"/>
          <w:bCs w:val="0"/>
          <w:color w:val="auto"/>
          <w:sz w:val="24"/>
          <w:szCs w:val="24"/>
          <w:highlight w:val="none"/>
          <w:lang w:val="en-US" w:eastAsia="zh-CN"/>
        </w:rPr>
        <w:t>绳锯</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二、产地：国产</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三、主要技术规格、参数及要求：</w:t>
      </w:r>
    </w:p>
    <w:p>
      <w:pPr>
        <w:pStyle w:val="13"/>
        <w:keepNext w:val="0"/>
        <w:keepLines w:val="0"/>
        <w:pageBreakBefore w:val="0"/>
        <w:kinsoku/>
        <w:wordWrap/>
        <w:overflowPunct/>
        <w:topLinePunct w:val="0"/>
        <w:bidi w:val="0"/>
        <w:spacing w:after="0" w:line="460" w:lineRule="exact"/>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val="en-US" w:eastAsia="zh-CN" w:bidi="ar"/>
        </w:rPr>
        <w:t>★3.1产品符合</w:t>
      </w:r>
      <w:r>
        <w:rPr>
          <w:rFonts w:hint="eastAsia" w:ascii="仿宋" w:hAnsi="仿宋" w:eastAsia="仿宋" w:cs="仿宋"/>
          <w:bCs/>
          <w:color w:val="auto"/>
          <w:sz w:val="24"/>
          <w:szCs w:val="24"/>
          <w:highlight w:val="none"/>
          <w:lang w:val="en-US" w:eastAsia="zh-CN"/>
        </w:rPr>
        <w:t>GB/T30470-2013《超硬磨料制品金刚石绳锯》</w:t>
      </w:r>
      <w:r>
        <w:rPr>
          <w:rFonts w:hint="eastAsia" w:ascii="仿宋" w:hAnsi="仿宋" w:eastAsia="仿宋" w:cs="仿宋"/>
          <w:color w:val="auto"/>
          <w:kern w:val="2"/>
          <w:sz w:val="24"/>
          <w:szCs w:val="24"/>
          <w:highlight w:val="none"/>
          <w:lang w:val="en-US" w:eastAsia="zh-CN" w:bidi="ar"/>
        </w:rPr>
        <w:t>标准的要求，</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3.2由液压动力站、绳锯驱动、导向轮、绳锯链条等组成</w:t>
      </w:r>
      <w:r>
        <w:rPr>
          <w:rFonts w:hint="eastAsia" w:ascii="仿宋" w:hAnsi="仿宋" w:eastAsia="仿宋" w:cs="仿宋"/>
          <w:bCs/>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
        </w:rPr>
        <w:t>▲</w:t>
      </w:r>
      <w:r>
        <w:rPr>
          <w:rFonts w:hint="eastAsia" w:ascii="仿宋" w:hAnsi="仿宋" w:eastAsia="仿宋" w:cs="仿宋"/>
          <w:bCs/>
          <w:color w:val="auto"/>
          <w:sz w:val="24"/>
          <w:szCs w:val="24"/>
          <w:highlight w:val="none"/>
          <w:lang w:val="en-US" w:eastAsia="zh-CN"/>
        </w:rPr>
        <w:t>3.3</w:t>
      </w:r>
      <w:r>
        <w:rPr>
          <w:rFonts w:hint="eastAsia" w:ascii="仿宋" w:hAnsi="仿宋" w:eastAsia="仿宋" w:cs="仿宋"/>
          <w:b w:val="0"/>
          <w:bCs/>
          <w:color w:val="auto"/>
          <w:sz w:val="24"/>
          <w:szCs w:val="24"/>
          <w:highlight w:val="none"/>
          <w:lang w:val="en-US" w:eastAsia="zh-CN"/>
        </w:rPr>
        <w:t>液压泵功率≥15KW，液压系统压力≥12MPa；</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
        </w:rPr>
        <w:t>▲</w:t>
      </w:r>
      <w:r>
        <w:rPr>
          <w:rFonts w:hint="eastAsia" w:ascii="仿宋" w:hAnsi="仿宋" w:eastAsia="仿宋" w:cs="仿宋"/>
          <w:b w:val="0"/>
          <w:bCs w:val="0"/>
          <w:color w:val="auto"/>
          <w:sz w:val="24"/>
          <w:szCs w:val="24"/>
          <w:highlight w:val="none"/>
          <w:lang w:val="en-US" w:eastAsia="zh-CN"/>
        </w:rPr>
        <w:t>3.4串珠绳长度≥20m，串珠绳长度可接泊拓展；</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
        </w:rPr>
        <w:t>▲</w:t>
      </w:r>
      <w:r>
        <w:rPr>
          <w:rFonts w:hint="eastAsia" w:ascii="仿宋" w:hAnsi="仿宋" w:eastAsia="仿宋" w:cs="仿宋"/>
          <w:bCs/>
          <w:color w:val="auto"/>
          <w:sz w:val="24"/>
          <w:szCs w:val="24"/>
          <w:highlight w:val="none"/>
        </w:rPr>
        <w:t>3.5</w:t>
      </w:r>
      <w:r>
        <w:rPr>
          <w:rFonts w:hint="eastAsia" w:ascii="仿宋" w:hAnsi="仿宋" w:eastAsia="仿宋" w:cs="仿宋"/>
          <w:bCs/>
          <w:color w:val="auto"/>
          <w:sz w:val="24"/>
          <w:szCs w:val="24"/>
          <w:highlight w:val="none"/>
          <w:lang w:val="en-US" w:eastAsia="zh-CN"/>
        </w:rPr>
        <w:t>切割性能：切断400mm×400mm×400mm的花岗岩所需时间≤20min；切割过程中无需冷却液；</w:t>
      </w:r>
    </w:p>
    <w:p>
      <w:pPr>
        <w:pStyle w:val="14"/>
        <w:keepNext w:val="0"/>
        <w:keepLines w:val="0"/>
        <w:pageBreakBefore w:val="0"/>
        <w:widowControl w:val="0"/>
        <w:kinsoku/>
        <w:wordWrap/>
        <w:overflowPunct/>
        <w:topLinePunct w:val="0"/>
        <w:bidi w:val="0"/>
        <w:spacing w:beforeAutospacing="0" w:afterAutospacing="0" w:line="460" w:lineRule="exact"/>
        <w:ind w:left="0" w:leftChars="0" w:firstLine="0" w:firstLineChars="0"/>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3.6提供中文使用说明书，含装备简介、使用注意事项及维护保养等内容。</w:t>
      </w:r>
    </w:p>
    <w:p>
      <w:pPr>
        <w:keepNext w:val="0"/>
        <w:keepLines w:val="0"/>
        <w:pageBreakBefore w:val="0"/>
        <w:widowControl/>
        <w:kinsoku/>
        <w:wordWrap/>
        <w:overflowPunct/>
        <w:topLinePunct w:val="0"/>
        <w:bidi w:val="0"/>
        <w:spacing w:beforeAutospacing="0" w:afterAutospacing="0" w:line="460" w:lineRule="exact"/>
        <w:ind w:left="0"/>
        <w:outlineLvl w:val="9"/>
        <w:rPr>
          <w:rFonts w:hint="eastAsia" w:ascii="仿宋" w:hAnsi="仿宋" w:eastAsia="仿宋" w:cs="仿宋"/>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1"/>
        <w:rPr>
          <w:rFonts w:hint="eastAsia" w:ascii="仿宋" w:hAnsi="仿宋" w:eastAsia="仿宋" w:cs="仿宋"/>
          <w:b/>
          <w:bCs/>
          <w:color w:val="auto"/>
          <w:sz w:val="24"/>
          <w:szCs w:val="24"/>
          <w:highlight w:val="none"/>
          <w:lang w:val="en-US" w:eastAsia="zh-CN"/>
        </w:rPr>
      </w:pPr>
      <w:bookmarkStart w:id="465" w:name="_Toc30695"/>
      <w:bookmarkStart w:id="466" w:name="_Toc18626"/>
      <w:bookmarkStart w:id="467" w:name="_Toc4516"/>
      <w:bookmarkStart w:id="468" w:name="_Toc662"/>
      <w:r>
        <w:rPr>
          <w:rFonts w:hint="eastAsia" w:ascii="仿宋" w:hAnsi="仿宋" w:eastAsia="仿宋" w:cs="仿宋"/>
          <w:b/>
          <w:bCs/>
          <w:color w:val="auto"/>
          <w:sz w:val="24"/>
          <w:szCs w:val="24"/>
          <w:highlight w:val="none"/>
          <w:lang w:val="en-US" w:eastAsia="zh-CN"/>
        </w:rPr>
        <w:t>20包：电动液压剪扩组</w:t>
      </w:r>
      <w:bookmarkEnd w:id="465"/>
      <w:bookmarkEnd w:id="466"/>
      <w:bookmarkEnd w:id="467"/>
      <w:bookmarkEnd w:id="468"/>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一、货物名称：</w:t>
      </w:r>
      <w:r>
        <w:rPr>
          <w:rFonts w:hint="eastAsia" w:ascii="仿宋" w:hAnsi="仿宋" w:eastAsia="仿宋" w:cs="仿宋"/>
          <w:bCs/>
          <w:color w:val="auto"/>
          <w:sz w:val="24"/>
          <w:szCs w:val="24"/>
          <w:highlight w:val="none"/>
          <w:lang w:val="en-US" w:eastAsia="zh-CN"/>
        </w:rPr>
        <w:t>电动液压剪扩组</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二、产地：国产</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三、主要技术规格、参数及要求：</w:t>
      </w:r>
    </w:p>
    <w:p>
      <w:pPr>
        <w:pStyle w:val="13"/>
        <w:keepNext w:val="0"/>
        <w:keepLines w:val="0"/>
        <w:pageBreakBefore w:val="0"/>
        <w:widowControl w:val="0"/>
        <w:kinsoku/>
        <w:wordWrap/>
        <w:overflowPunct/>
        <w:topLinePunct w:val="0"/>
        <w:autoSpaceDE/>
        <w:autoSpaceDN/>
        <w:bidi w:val="0"/>
        <w:spacing w:after="0" w:line="460" w:lineRule="exact"/>
        <w:textAlignment w:val="auto"/>
        <w:rPr>
          <w:rFonts w:hint="eastAsia" w:eastAsia="宋体"/>
          <w:color w:val="auto"/>
          <w:lang w:eastAsia="zh-CN"/>
        </w:rPr>
      </w:pPr>
      <w:r>
        <w:rPr>
          <w:rFonts w:hint="eastAsia" w:ascii="仿宋" w:hAnsi="仿宋" w:eastAsia="仿宋" w:cs="仿宋"/>
          <w:color w:val="auto"/>
          <w:kern w:val="2"/>
          <w:sz w:val="24"/>
          <w:szCs w:val="24"/>
          <w:highlight w:val="none"/>
          <w:lang w:val="en-US" w:eastAsia="zh-CN" w:bidi="ar"/>
        </w:rPr>
        <w:t>★3.1产品符合</w:t>
      </w:r>
      <w:r>
        <w:rPr>
          <w:rFonts w:hint="eastAsia" w:ascii="仿宋" w:hAnsi="仿宋" w:eastAsia="仿宋" w:cs="仿宋"/>
          <w:bCs/>
          <w:i w:val="0"/>
          <w:iCs w:val="0"/>
          <w:caps w:val="0"/>
          <w:color w:val="auto"/>
          <w:spacing w:val="0"/>
          <w:sz w:val="24"/>
          <w:szCs w:val="24"/>
          <w:highlight w:val="none"/>
          <w:shd w:val="clear" w:color="auto" w:fill="auto"/>
        </w:rPr>
        <w:t>《消防应急装备液压破拆工具通用技术条件》（GBT17906-2021）</w:t>
      </w:r>
      <w:r>
        <w:rPr>
          <w:rFonts w:hint="eastAsia" w:ascii="仿宋" w:hAnsi="仿宋" w:eastAsia="仿宋" w:cs="仿宋"/>
          <w:color w:val="auto"/>
          <w:kern w:val="2"/>
          <w:sz w:val="24"/>
          <w:szCs w:val="24"/>
          <w:highlight w:val="none"/>
          <w:lang w:val="en-US" w:eastAsia="zh-CN" w:bidi="ar"/>
        </w:rPr>
        <w:t>标准的要求，</w:t>
      </w:r>
      <w:r>
        <w:rPr>
          <w:rFonts w:hint="eastAsia" w:ascii="仿宋" w:hAnsi="仿宋" w:eastAsia="仿宋" w:cs="仿宋"/>
          <w:color w:val="auto"/>
          <w:sz w:val="24"/>
          <w:szCs w:val="24"/>
          <w:highlight w:val="none"/>
        </w:rPr>
        <w:t>提供第三方检测机构出具的检测/检验/试验/测试报告（报告中的型号须与所投产</w:t>
      </w:r>
      <w:r>
        <w:rPr>
          <w:rFonts w:hint="eastAsia" w:ascii="仿宋" w:hAnsi="仿宋" w:eastAsia="仿宋" w:cs="仿宋"/>
          <w:bCs/>
          <w:color w:val="auto"/>
          <w:sz w:val="24"/>
          <w:szCs w:val="24"/>
          <w:highlight w:val="none"/>
          <w:shd w:val="clear" w:color="auto" w:fill="auto"/>
        </w:rPr>
        <w:t>品型号一致）复印件</w:t>
      </w:r>
      <w:r>
        <w:rPr>
          <w:rFonts w:hint="eastAsia" w:ascii="仿宋" w:hAnsi="仿宋" w:eastAsia="仿宋" w:cs="仿宋"/>
          <w:bCs/>
          <w:color w:val="auto"/>
          <w:sz w:val="24"/>
          <w:szCs w:val="24"/>
          <w:highlight w:val="none"/>
          <w:shd w:val="clear" w:color="auto" w:fill="auto"/>
          <w:lang w:eastAsia="zh-CN"/>
        </w:rPr>
        <w:t>；报告若为单独提供，则应分别提供电动扩张器、电动剪扩器、电动剪切器的报告。</w:t>
      </w:r>
    </w:p>
    <w:p>
      <w:pPr>
        <w:keepNext w:val="0"/>
        <w:keepLines w:val="0"/>
        <w:pageBreakBefore w:val="0"/>
        <w:widowControl w:val="0"/>
        <w:numPr>
          <w:ilvl w:val="0"/>
          <w:numId w:val="0"/>
        </w:numPr>
        <w:kinsoku/>
        <w:wordWrap/>
        <w:overflowPunct/>
        <w:topLinePunct w:val="0"/>
        <w:autoSpaceDE/>
        <w:autoSpaceDN/>
        <w:bidi w:val="0"/>
        <w:spacing w:line="460" w:lineRule="exact"/>
        <w:textAlignment w:val="auto"/>
        <w:outlineLvl w:val="9"/>
        <w:rPr>
          <w:rFonts w:hint="eastAsia" w:ascii="仿宋" w:hAnsi="仿宋" w:eastAsia="仿宋" w:cs="仿宋"/>
          <w:bCs/>
          <w:i w:val="0"/>
          <w:iCs w:val="0"/>
          <w:caps w:val="0"/>
          <w:color w:val="auto"/>
          <w:spacing w:val="0"/>
          <w:sz w:val="24"/>
          <w:szCs w:val="24"/>
          <w:highlight w:val="none"/>
          <w:shd w:val="clear" w:color="auto" w:fill="auto"/>
          <w:lang w:eastAsia="zh-CN"/>
        </w:rPr>
      </w:pPr>
      <w:r>
        <w:rPr>
          <w:rFonts w:hint="eastAsia" w:ascii="仿宋" w:hAnsi="仿宋" w:eastAsia="仿宋" w:cs="仿宋"/>
          <w:bCs/>
          <w:i w:val="0"/>
          <w:iCs w:val="0"/>
          <w:caps w:val="0"/>
          <w:color w:val="auto"/>
          <w:spacing w:val="0"/>
          <w:sz w:val="24"/>
          <w:szCs w:val="24"/>
          <w:highlight w:val="none"/>
          <w:shd w:val="clear" w:color="auto" w:fill="auto"/>
        </w:rPr>
        <w:t>3.</w:t>
      </w:r>
      <w:r>
        <w:rPr>
          <w:rFonts w:hint="eastAsia" w:ascii="仿宋" w:hAnsi="仿宋" w:eastAsia="仿宋" w:cs="仿宋"/>
          <w:bCs/>
          <w:i w:val="0"/>
          <w:iCs w:val="0"/>
          <w:caps w:val="0"/>
          <w:color w:val="auto"/>
          <w:spacing w:val="0"/>
          <w:sz w:val="24"/>
          <w:szCs w:val="24"/>
          <w:highlight w:val="none"/>
          <w:shd w:val="clear" w:color="auto" w:fill="auto"/>
          <w:lang w:val="en-US" w:eastAsia="zh-CN"/>
        </w:rPr>
        <w:t>2</w:t>
      </w:r>
      <w:r>
        <w:rPr>
          <w:rFonts w:hint="eastAsia" w:ascii="仿宋" w:hAnsi="仿宋" w:eastAsia="仿宋" w:cs="仿宋"/>
          <w:bCs/>
          <w:i w:val="0"/>
          <w:iCs w:val="0"/>
          <w:caps w:val="0"/>
          <w:color w:val="auto"/>
          <w:spacing w:val="0"/>
          <w:sz w:val="24"/>
          <w:szCs w:val="24"/>
          <w:highlight w:val="none"/>
          <w:shd w:val="clear" w:color="auto" w:fill="auto"/>
        </w:rPr>
        <w:t>一套3件，含电动扩张器、电动剪扩器、电动剪切器</w:t>
      </w:r>
    </w:p>
    <w:p>
      <w:pPr>
        <w:keepNext w:val="0"/>
        <w:keepLines w:val="0"/>
        <w:pageBreakBefore w:val="0"/>
        <w:widowControl w:val="0"/>
        <w:numPr>
          <w:ilvl w:val="0"/>
          <w:numId w:val="0"/>
        </w:numPr>
        <w:kinsoku/>
        <w:wordWrap/>
        <w:overflowPunct/>
        <w:topLinePunct w:val="0"/>
        <w:autoSpaceDE/>
        <w:autoSpaceDN/>
        <w:bidi w:val="0"/>
        <w:spacing w:line="460" w:lineRule="exact"/>
        <w:textAlignment w:val="auto"/>
        <w:outlineLvl w:val="9"/>
        <w:rPr>
          <w:rFonts w:hint="eastAsia" w:ascii="仿宋" w:hAnsi="仿宋" w:eastAsia="仿宋" w:cs="仿宋"/>
          <w:bCs/>
          <w:i w:val="0"/>
          <w:iCs w:val="0"/>
          <w:caps w:val="0"/>
          <w:color w:val="auto"/>
          <w:spacing w:val="0"/>
          <w:sz w:val="24"/>
          <w:szCs w:val="24"/>
          <w:highlight w:val="none"/>
          <w:shd w:val="clear" w:color="auto" w:fill="auto"/>
          <w:lang w:eastAsia="zh-CN"/>
        </w:rPr>
      </w:pPr>
      <w:r>
        <w:rPr>
          <w:rFonts w:hint="eastAsia" w:ascii="仿宋" w:hAnsi="仿宋" w:eastAsia="仿宋" w:cs="仿宋"/>
          <w:bCs/>
          <w:i w:val="0"/>
          <w:iCs w:val="0"/>
          <w:caps w:val="0"/>
          <w:color w:val="auto"/>
          <w:spacing w:val="0"/>
          <w:sz w:val="24"/>
          <w:szCs w:val="24"/>
          <w:highlight w:val="none"/>
          <w:shd w:val="clear" w:color="auto" w:fill="auto"/>
        </w:rPr>
        <w:t>3.</w:t>
      </w:r>
      <w:r>
        <w:rPr>
          <w:rFonts w:hint="eastAsia" w:ascii="仿宋" w:hAnsi="仿宋" w:eastAsia="仿宋" w:cs="仿宋"/>
          <w:bCs/>
          <w:i w:val="0"/>
          <w:iCs w:val="0"/>
          <w:caps w:val="0"/>
          <w:color w:val="auto"/>
          <w:spacing w:val="0"/>
          <w:sz w:val="24"/>
          <w:szCs w:val="24"/>
          <w:highlight w:val="none"/>
          <w:shd w:val="clear" w:color="auto" w:fill="auto"/>
          <w:lang w:val="en-US" w:eastAsia="zh-CN"/>
        </w:rPr>
        <w:t>3</w:t>
      </w:r>
      <w:r>
        <w:rPr>
          <w:rFonts w:hint="eastAsia" w:ascii="仿宋" w:hAnsi="仿宋" w:eastAsia="仿宋" w:cs="仿宋"/>
          <w:bCs/>
          <w:i w:val="0"/>
          <w:iCs w:val="0"/>
          <w:caps w:val="0"/>
          <w:color w:val="auto"/>
          <w:spacing w:val="0"/>
          <w:sz w:val="24"/>
          <w:szCs w:val="24"/>
          <w:highlight w:val="none"/>
          <w:shd w:val="clear" w:color="auto" w:fill="auto"/>
        </w:rPr>
        <w:t>电动扩张器：</w:t>
      </w:r>
    </w:p>
    <w:p>
      <w:pPr>
        <w:keepNext w:val="0"/>
        <w:keepLines w:val="0"/>
        <w:pageBreakBefore w:val="0"/>
        <w:widowControl w:val="0"/>
        <w:numPr>
          <w:ilvl w:val="0"/>
          <w:numId w:val="0"/>
        </w:numPr>
        <w:kinsoku/>
        <w:wordWrap/>
        <w:overflowPunct/>
        <w:topLinePunct w:val="0"/>
        <w:autoSpaceDE/>
        <w:autoSpaceDN/>
        <w:bidi w:val="0"/>
        <w:spacing w:line="460" w:lineRule="exact"/>
        <w:textAlignment w:val="auto"/>
        <w:outlineLvl w:val="9"/>
        <w:rPr>
          <w:rFonts w:hint="eastAsia" w:ascii="仿宋" w:hAnsi="仿宋" w:eastAsia="仿宋" w:cs="仿宋"/>
          <w:bCs/>
          <w:i w:val="0"/>
          <w:iCs w:val="0"/>
          <w:caps w:val="0"/>
          <w:color w:val="auto"/>
          <w:spacing w:val="0"/>
          <w:sz w:val="24"/>
          <w:szCs w:val="24"/>
          <w:highlight w:val="none"/>
          <w:shd w:val="clear" w:color="auto" w:fill="auto"/>
          <w:lang w:eastAsia="zh-CN"/>
        </w:rPr>
      </w:pPr>
      <w:r>
        <w:rPr>
          <w:rFonts w:hint="eastAsia" w:ascii="仿宋" w:hAnsi="仿宋" w:eastAsia="仿宋" w:cs="仿宋"/>
          <w:color w:val="auto"/>
          <w:kern w:val="2"/>
          <w:sz w:val="24"/>
          <w:szCs w:val="24"/>
          <w:highlight w:val="none"/>
          <w:lang w:val="en-US" w:eastAsia="zh-CN" w:bidi="ar"/>
        </w:rPr>
        <w:t>▲</w:t>
      </w:r>
      <w:r>
        <w:rPr>
          <w:rFonts w:hint="eastAsia" w:ascii="仿宋" w:hAnsi="仿宋" w:eastAsia="仿宋" w:cs="仿宋"/>
          <w:bCs/>
          <w:i w:val="0"/>
          <w:iCs w:val="0"/>
          <w:caps w:val="0"/>
          <w:color w:val="auto"/>
          <w:spacing w:val="0"/>
          <w:sz w:val="24"/>
          <w:szCs w:val="24"/>
          <w:highlight w:val="none"/>
          <w:shd w:val="clear" w:color="auto" w:fill="auto"/>
        </w:rPr>
        <w:t>3.</w:t>
      </w:r>
      <w:r>
        <w:rPr>
          <w:rFonts w:hint="eastAsia" w:ascii="仿宋" w:hAnsi="仿宋" w:eastAsia="仿宋" w:cs="仿宋"/>
          <w:bCs/>
          <w:i w:val="0"/>
          <w:iCs w:val="0"/>
          <w:caps w:val="0"/>
          <w:color w:val="auto"/>
          <w:spacing w:val="0"/>
          <w:sz w:val="24"/>
          <w:szCs w:val="24"/>
          <w:highlight w:val="none"/>
          <w:shd w:val="clear" w:color="auto" w:fill="auto"/>
          <w:lang w:val="en-US" w:eastAsia="zh-CN"/>
        </w:rPr>
        <w:t>3</w:t>
      </w:r>
      <w:r>
        <w:rPr>
          <w:rFonts w:hint="eastAsia" w:ascii="仿宋" w:hAnsi="仿宋" w:eastAsia="仿宋" w:cs="仿宋"/>
          <w:bCs/>
          <w:i w:val="0"/>
          <w:iCs w:val="0"/>
          <w:caps w:val="0"/>
          <w:color w:val="auto"/>
          <w:spacing w:val="0"/>
          <w:sz w:val="24"/>
          <w:szCs w:val="24"/>
          <w:highlight w:val="none"/>
          <w:shd w:val="clear" w:color="auto" w:fill="auto"/>
        </w:rPr>
        <w:t>.1额定压力≥72MPa</w:t>
      </w:r>
    </w:p>
    <w:p>
      <w:pPr>
        <w:keepNext w:val="0"/>
        <w:keepLines w:val="0"/>
        <w:pageBreakBefore w:val="0"/>
        <w:widowControl w:val="0"/>
        <w:numPr>
          <w:ilvl w:val="0"/>
          <w:numId w:val="0"/>
        </w:numPr>
        <w:kinsoku/>
        <w:wordWrap/>
        <w:overflowPunct/>
        <w:topLinePunct w:val="0"/>
        <w:autoSpaceDE/>
        <w:autoSpaceDN/>
        <w:bidi w:val="0"/>
        <w:spacing w:line="460" w:lineRule="exact"/>
        <w:textAlignment w:val="auto"/>
        <w:outlineLvl w:val="9"/>
        <w:rPr>
          <w:rFonts w:hint="eastAsia" w:ascii="仿宋" w:hAnsi="仿宋" w:eastAsia="仿宋" w:cs="仿宋"/>
          <w:bCs/>
          <w:i w:val="0"/>
          <w:iCs w:val="0"/>
          <w:caps w:val="0"/>
          <w:color w:val="auto"/>
          <w:spacing w:val="0"/>
          <w:sz w:val="24"/>
          <w:szCs w:val="24"/>
          <w:highlight w:val="none"/>
          <w:shd w:val="clear" w:color="auto" w:fill="auto"/>
          <w:lang w:eastAsia="zh-CN"/>
        </w:rPr>
      </w:pPr>
      <w:r>
        <w:rPr>
          <w:rFonts w:hint="eastAsia" w:ascii="仿宋" w:hAnsi="仿宋" w:eastAsia="仿宋" w:cs="仿宋"/>
          <w:bCs/>
          <w:i w:val="0"/>
          <w:iCs w:val="0"/>
          <w:caps w:val="0"/>
          <w:color w:val="auto"/>
          <w:spacing w:val="0"/>
          <w:sz w:val="24"/>
          <w:szCs w:val="24"/>
          <w:highlight w:val="none"/>
          <w:shd w:val="clear" w:color="auto" w:fill="auto"/>
        </w:rPr>
        <w:t>3.</w:t>
      </w:r>
      <w:r>
        <w:rPr>
          <w:rFonts w:hint="eastAsia" w:ascii="仿宋" w:hAnsi="仿宋" w:eastAsia="仿宋" w:cs="仿宋"/>
          <w:bCs/>
          <w:i w:val="0"/>
          <w:iCs w:val="0"/>
          <w:caps w:val="0"/>
          <w:color w:val="auto"/>
          <w:spacing w:val="0"/>
          <w:sz w:val="24"/>
          <w:szCs w:val="24"/>
          <w:highlight w:val="none"/>
          <w:shd w:val="clear" w:color="auto" w:fill="auto"/>
          <w:lang w:val="en-US" w:eastAsia="zh-CN"/>
        </w:rPr>
        <w:t>3</w:t>
      </w:r>
      <w:r>
        <w:rPr>
          <w:rFonts w:hint="eastAsia" w:ascii="仿宋" w:hAnsi="仿宋" w:eastAsia="仿宋" w:cs="仿宋"/>
          <w:bCs/>
          <w:i w:val="0"/>
          <w:iCs w:val="0"/>
          <w:caps w:val="0"/>
          <w:color w:val="auto"/>
          <w:spacing w:val="0"/>
          <w:sz w:val="24"/>
          <w:szCs w:val="24"/>
          <w:highlight w:val="none"/>
          <w:shd w:val="clear" w:color="auto" w:fill="auto"/>
        </w:rPr>
        <w:t>.2扩张距离≥720mm</w:t>
      </w:r>
    </w:p>
    <w:p>
      <w:pPr>
        <w:keepNext w:val="0"/>
        <w:keepLines w:val="0"/>
        <w:pageBreakBefore w:val="0"/>
        <w:widowControl w:val="0"/>
        <w:numPr>
          <w:ilvl w:val="0"/>
          <w:numId w:val="0"/>
        </w:numPr>
        <w:kinsoku/>
        <w:wordWrap/>
        <w:overflowPunct/>
        <w:topLinePunct w:val="0"/>
        <w:autoSpaceDE/>
        <w:autoSpaceDN/>
        <w:bidi w:val="0"/>
        <w:spacing w:line="460" w:lineRule="exact"/>
        <w:textAlignment w:val="auto"/>
        <w:outlineLvl w:val="9"/>
        <w:rPr>
          <w:rFonts w:hint="eastAsia" w:ascii="仿宋" w:hAnsi="仿宋" w:eastAsia="仿宋" w:cs="仿宋"/>
          <w:bCs/>
          <w:i w:val="0"/>
          <w:iCs w:val="0"/>
          <w:caps w:val="0"/>
          <w:color w:val="auto"/>
          <w:spacing w:val="0"/>
          <w:sz w:val="24"/>
          <w:szCs w:val="24"/>
          <w:highlight w:val="none"/>
          <w:shd w:val="clear" w:color="auto" w:fill="auto"/>
          <w:lang w:eastAsia="zh-CN"/>
        </w:rPr>
      </w:pPr>
      <w:r>
        <w:rPr>
          <w:rFonts w:hint="eastAsia" w:ascii="仿宋" w:hAnsi="仿宋" w:eastAsia="仿宋" w:cs="仿宋"/>
          <w:bCs/>
          <w:i w:val="0"/>
          <w:iCs w:val="0"/>
          <w:caps w:val="0"/>
          <w:color w:val="auto"/>
          <w:spacing w:val="0"/>
          <w:sz w:val="24"/>
          <w:szCs w:val="24"/>
          <w:highlight w:val="none"/>
          <w:shd w:val="clear" w:color="auto" w:fill="auto"/>
        </w:rPr>
        <w:t>3.</w:t>
      </w:r>
      <w:r>
        <w:rPr>
          <w:rFonts w:hint="eastAsia" w:ascii="仿宋" w:hAnsi="仿宋" w:eastAsia="仿宋" w:cs="仿宋"/>
          <w:bCs/>
          <w:i w:val="0"/>
          <w:iCs w:val="0"/>
          <w:caps w:val="0"/>
          <w:color w:val="auto"/>
          <w:spacing w:val="0"/>
          <w:sz w:val="24"/>
          <w:szCs w:val="24"/>
          <w:highlight w:val="none"/>
          <w:shd w:val="clear" w:color="auto" w:fill="auto"/>
          <w:lang w:val="en-US" w:eastAsia="zh-CN"/>
        </w:rPr>
        <w:t>3</w:t>
      </w:r>
      <w:r>
        <w:rPr>
          <w:rFonts w:hint="eastAsia" w:ascii="仿宋" w:hAnsi="仿宋" w:eastAsia="仿宋" w:cs="仿宋"/>
          <w:bCs/>
          <w:i w:val="0"/>
          <w:iCs w:val="0"/>
          <w:caps w:val="0"/>
          <w:color w:val="auto"/>
          <w:spacing w:val="0"/>
          <w:sz w:val="24"/>
          <w:szCs w:val="24"/>
          <w:highlight w:val="none"/>
          <w:shd w:val="clear" w:color="auto" w:fill="auto"/>
        </w:rPr>
        <w:t>.3最小扩张力≥38kN</w:t>
      </w:r>
    </w:p>
    <w:p>
      <w:pPr>
        <w:keepNext w:val="0"/>
        <w:keepLines w:val="0"/>
        <w:pageBreakBefore w:val="0"/>
        <w:widowControl w:val="0"/>
        <w:numPr>
          <w:ilvl w:val="0"/>
          <w:numId w:val="0"/>
        </w:numPr>
        <w:kinsoku/>
        <w:wordWrap/>
        <w:overflowPunct/>
        <w:topLinePunct w:val="0"/>
        <w:autoSpaceDE/>
        <w:autoSpaceDN/>
        <w:bidi w:val="0"/>
        <w:spacing w:line="460" w:lineRule="exact"/>
        <w:textAlignment w:val="auto"/>
        <w:outlineLvl w:val="9"/>
        <w:rPr>
          <w:rFonts w:hint="eastAsia" w:ascii="仿宋" w:hAnsi="仿宋" w:eastAsia="仿宋" w:cs="仿宋"/>
          <w:bCs/>
          <w:i w:val="0"/>
          <w:iCs w:val="0"/>
          <w:caps w:val="0"/>
          <w:color w:val="auto"/>
          <w:spacing w:val="0"/>
          <w:sz w:val="24"/>
          <w:szCs w:val="24"/>
          <w:highlight w:val="none"/>
          <w:shd w:val="clear" w:color="auto" w:fill="auto"/>
          <w:lang w:eastAsia="zh-CN"/>
        </w:rPr>
      </w:pPr>
      <w:r>
        <w:rPr>
          <w:rFonts w:hint="eastAsia" w:ascii="仿宋" w:hAnsi="仿宋" w:eastAsia="仿宋" w:cs="仿宋"/>
          <w:color w:val="auto"/>
          <w:kern w:val="2"/>
          <w:sz w:val="24"/>
          <w:szCs w:val="24"/>
          <w:highlight w:val="none"/>
          <w:lang w:val="en-US" w:eastAsia="zh-CN" w:bidi="ar"/>
        </w:rPr>
        <w:t>▲</w:t>
      </w:r>
      <w:r>
        <w:rPr>
          <w:rFonts w:hint="eastAsia" w:ascii="仿宋" w:hAnsi="仿宋" w:eastAsia="仿宋" w:cs="仿宋"/>
          <w:bCs/>
          <w:i w:val="0"/>
          <w:iCs w:val="0"/>
          <w:caps w:val="0"/>
          <w:color w:val="auto"/>
          <w:spacing w:val="0"/>
          <w:sz w:val="24"/>
          <w:szCs w:val="24"/>
          <w:highlight w:val="none"/>
          <w:shd w:val="clear" w:color="auto" w:fill="auto"/>
        </w:rPr>
        <w:t>3.</w:t>
      </w:r>
      <w:r>
        <w:rPr>
          <w:rFonts w:hint="eastAsia" w:ascii="仿宋" w:hAnsi="仿宋" w:eastAsia="仿宋" w:cs="仿宋"/>
          <w:bCs/>
          <w:i w:val="0"/>
          <w:iCs w:val="0"/>
          <w:caps w:val="0"/>
          <w:color w:val="auto"/>
          <w:spacing w:val="0"/>
          <w:sz w:val="24"/>
          <w:szCs w:val="24"/>
          <w:highlight w:val="none"/>
          <w:shd w:val="clear" w:color="auto" w:fill="auto"/>
          <w:lang w:val="en-US" w:eastAsia="zh-CN"/>
        </w:rPr>
        <w:t>3</w:t>
      </w:r>
      <w:r>
        <w:rPr>
          <w:rFonts w:hint="eastAsia" w:ascii="仿宋" w:hAnsi="仿宋" w:eastAsia="仿宋" w:cs="仿宋"/>
          <w:bCs/>
          <w:i w:val="0"/>
          <w:iCs w:val="0"/>
          <w:caps w:val="0"/>
          <w:color w:val="auto"/>
          <w:spacing w:val="0"/>
          <w:sz w:val="24"/>
          <w:szCs w:val="24"/>
          <w:highlight w:val="none"/>
          <w:shd w:val="clear" w:color="auto" w:fill="auto"/>
        </w:rPr>
        <w:t>.4最大扩张力≥280kN</w:t>
      </w:r>
    </w:p>
    <w:p>
      <w:pPr>
        <w:keepNext w:val="0"/>
        <w:keepLines w:val="0"/>
        <w:pageBreakBefore w:val="0"/>
        <w:widowControl w:val="0"/>
        <w:numPr>
          <w:ilvl w:val="0"/>
          <w:numId w:val="0"/>
        </w:numPr>
        <w:kinsoku/>
        <w:wordWrap/>
        <w:overflowPunct/>
        <w:topLinePunct w:val="0"/>
        <w:autoSpaceDE/>
        <w:autoSpaceDN/>
        <w:bidi w:val="0"/>
        <w:spacing w:line="460" w:lineRule="exact"/>
        <w:textAlignment w:val="auto"/>
        <w:outlineLvl w:val="9"/>
        <w:rPr>
          <w:rFonts w:hint="eastAsia" w:ascii="仿宋" w:hAnsi="仿宋" w:eastAsia="仿宋" w:cs="仿宋"/>
          <w:bCs/>
          <w:i w:val="0"/>
          <w:iCs w:val="0"/>
          <w:caps w:val="0"/>
          <w:color w:val="auto"/>
          <w:spacing w:val="0"/>
          <w:sz w:val="24"/>
          <w:szCs w:val="24"/>
          <w:highlight w:val="none"/>
          <w:shd w:val="clear" w:color="auto" w:fill="auto"/>
          <w:lang w:eastAsia="zh-CN"/>
        </w:rPr>
      </w:pPr>
      <w:r>
        <w:rPr>
          <w:rFonts w:hint="eastAsia" w:ascii="仿宋" w:hAnsi="仿宋" w:eastAsia="仿宋" w:cs="仿宋"/>
          <w:bCs/>
          <w:i w:val="0"/>
          <w:iCs w:val="0"/>
          <w:caps w:val="0"/>
          <w:color w:val="auto"/>
          <w:spacing w:val="0"/>
          <w:sz w:val="24"/>
          <w:szCs w:val="24"/>
          <w:highlight w:val="none"/>
          <w:shd w:val="clear" w:color="auto" w:fill="auto"/>
        </w:rPr>
        <w:t>3.</w:t>
      </w:r>
      <w:r>
        <w:rPr>
          <w:rFonts w:hint="eastAsia" w:ascii="仿宋" w:hAnsi="仿宋" w:eastAsia="仿宋" w:cs="仿宋"/>
          <w:bCs/>
          <w:i w:val="0"/>
          <w:iCs w:val="0"/>
          <w:caps w:val="0"/>
          <w:color w:val="auto"/>
          <w:spacing w:val="0"/>
          <w:sz w:val="24"/>
          <w:szCs w:val="24"/>
          <w:highlight w:val="none"/>
          <w:shd w:val="clear" w:color="auto" w:fill="auto"/>
          <w:lang w:val="en-US" w:eastAsia="zh-CN"/>
        </w:rPr>
        <w:t>3</w:t>
      </w:r>
      <w:r>
        <w:rPr>
          <w:rFonts w:hint="eastAsia" w:ascii="仿宋" w:hAnsi="仿宋" w:eastAsia="仿宋" w:cs="仿宋"/>
          <w:bCs/>
          <w:i w:val="0"/>
          <w:iCs w:val="0"/>
          <w:caps w:val="0"/>
          <w:color w:val="auto"/>
          <w:spacing w:val="0"/>
          <w:sz w:val="24"/>
          <w:szCs w:val="24"/>
          <w:highlight w:val="none"/>
          <w:shd w:val="clear" w:color="auto" w:fill="auto"/>
        </w:rPr>
        <w:t>.5重量≤22kg（不含电池）</w:t>
      </w:r>
    </w:p>
    <w:p>
      <w:pPr>
        <w:keepNext w:val="0"/>
        <w:keepLines w:val="0"/>
        <w:pageBreakBefore w:val="0"/>
        <w:widowControl w:val="0"/>
        <w:numPr>
          <w:ilvl w:val="0"/>
          <w:numId w:val="0"/>
        </w:numPr>
        <w:kinsoku/>
        <w:wordWrap/>
        <w:overflowPunct/>
        <w:topLinePunct w:val="0"/>
        <w:autoSpaceDE/>
        <w:autoSpaceDN/>
        <w:bidi w:val="0"/>
        <w:spacing w:line="460" w:lineRule="exact"/>
        <w:textAlignment w:val="auto"/>
        <w:outlineLvl w:val="9"/>
        <w:rPr>
          <w:rFonts w:hint="eastAsia" w:ascii="仿宋" w:hAnsi="仿宋" w:eastAsia="仿宋" w:cs="仿宋"/>
          <w:bCs/>
          <w:i w:val="0"/>
          <w:iCs w:val="0"/>
          <w:caps w:val="0"/>
          <w:color w:val="auto"/>
          <w:spacing w:val="0"/>
          <w:sz w:val="24"/>
          <w:szCs w:val="24"/>
          <w:highlight w:val="none"/>
          <w:shd w:val="clear" w:color="auto" w:fill="auto"/>
          <w:lang w:eastAsia="zh-CN"/>
        </w:rPr>
      </w:pPr>
      <w:r>
        <w:rPr>
          <w:rFonts w:hint="eastAsia" w:ascii="仿宋" w:hAnsi="仿宋" w:eastAsia="仿宋" w:cs="仿宋"/>
          <w:bCs/>
          <w:i w:val="0"/>
          <w:iCs w:val="0"/>
          <w:caps w:val="0"/>
          <w:color w:val="auto"/>
          <w:spacing w:val="0"/>
          <w:sz w:val="24"/>
          <w:szCs w:val="24"/>
          <w:highlight w:val="none"/>
          <w:shd w:val="clear" w:color="auto" w:fill="auto"/>
        </w:rPr>
        <w:t>3.</w:t>
      </w:r>
      <w:r>
        <w:rPr>
          <w:rFonts w:hint="eastAsia" w:ascii="仿宋" w:hAnsi="仿宋" w:eastAsia="仿宋" w:cs="仿宋"/>
          <w:bCs/>
          <w:i w:val="0"/>
          <w:iCs w:val="0"/>
          <w:caps w:val="0"/>
          <w:color w:val="auto"/>
          <w:spacing w:val="0"/>
          <w:sz w:val="24"/>
          <w:szCs w:val="24"/>
          <w:highlight w:val="none"/>
          <w:shd w:val="clear" w:color="auto" w:fill="auto"/>
          <w:lang w:val="en-US" w:eastAsia="zh-CN"/>
        </w:rPr>
        <w:t>3</w:t>
      </w:r>
      <w:r>
        <w:rPr>
          <w:rFonts w:hint="eastAsia" w:ascii="仿宋" w:hAnsi="仿宋" w:eastAsia="仿宋" w:cs="仿宋"/>
          <w:bCs/>
          <w:i w:val="0"/>
          <w:iCs w:val="0"/>
          <w:caps w:val="0"/>
          <w:color w:val="auto"/>
          <w:spacing w:val="0"/>
          <w:sz w:val="24"/>
          <w:szCs w:val="24"/>
          <w:highlight w:val="none"/>
          <w:shd w:val="clear" w:color="auto" w:fill="auto"/>
        </w:rPr>
        <w:t>.6外形尺寸≤1100*280*270mm</w:t>
      </w:r>
    </w:p>
    <w:p>
      <w:pPr>
        <w:keepNext w:val="0"/>
        <w:keepLines w:val="0"/>
        <w:pageBreakBefore w:val="0"/>
        <w:widowControl w:val="0"/>
        <w:numPr>
          <w:ilvl w:val="0"/>
          <w:numId w:val="0"/>
        </w:numPr>
        <w:kinsoku/>
        <w:wordWrap/>
        <w:overflowPunct/>
        <w:topLinePunct w:val="0"/>
        <w:autoSpaceDE/>
        <w:autoSpaceDN/>
        <w:bidi w:val="0"/>
        <w:spacing w:line="460" w:lineRule="exact"/>
        <w:textAlignment w:val="auto"/>
        <w:outlineLvl w:val="9"/>
        <w:rPr>
          <w:rFonts w:hint="eastAsia" w:ascii="仿宋" w:hAnsi="仿宋" w:eastAsia="仿宋" w:cs="仿宋"/>
          <w:bCs/>
          <w:i w:val="0"/>
          <w:iCs w:val="0"/>
          <w:caps w:val="0"/>
          <w:color w:val="auto"/>
          <w:spacing w:val="0"/>
          <w:sz w:val="24"/>
          <w:szCs w:val="24"/>
          <w:highlight w:val="none"/>
          <w:shd w:val="clear" w:color="auto" w:fill="auto"/>
          <w:lang w:eastAsia="zh-CN"/>
        </w:rPr>
      </w:pPr>
      <w:r>
        <w:rPr>
          <w:rFonts w:hint="eastAsia" w:ascii="仿宋" w:hAnsi="仿宋" w:eastAsia="仿宋" w:cs="仿宋"/>
          <w:bCs/>
          <w:i w:val="0"/>
          <w:iCs w:val="0"/>
          <w:caps w:val="0"/>
          <w:color w:val="auto"/>
          <w:spacing w:val="0"/>
          <w:sz w:val="24"/>
          <w:szCs w:val="24"/>
          <w:highlight w:val="none"/>
          <w:shd w:val="clear" w:color="auto" w:fill="auto"/>
        </w:rPr>
        <w:t>3.</w:t>
      </w:r>
      <w:r>
        <w:rPr>
          <w:rFonts w:hint="eastAsia" w:ascii="仿宋" w:hAnsi="仿宋" w:eastAsia="仿宋" w:cs="仿宋"/>
          <w:bCs/>
          <w:i w:val="0"/>
          <w:iCs w:val="0"/>
          <w:caps w:val="0"/>
          <w:color w:val="auto"/>
          <w:spacing w:val="0"/>
          <w:sz w:val="24"/>
          <w:szCs w:val="24"/>
          <w:highlight w:val="none"/>
          <w:shd w:val="clear" w:color="auto" w:fill="auto"/>
          <w:lang w:val="en-US" w:eastAsia="zh-CN"/>
        </w:rPr>
        <w:t>4</w:t>
      </w:r>
      <w:r>
        <w:rPr>
          <w:rFonts w:hint="eastAsia" w:ascii="仿宋" w:hAnsi="仿宋" w:eastAsia="仿宋" w:cs="仿宋"/>
          <w:bCs/>
          <w:i w:val="0"/>
          <w:iCs w:val="0"/>
          <w:caps w:val="0"/>
          <w:color w:val="auto"/>
          <w:spacing w:val="0"/>
          <w:sz w:val="24"/>
          <w:szCs w:val="24"/>
          <w:highlight w:val="none"/>
          <w:shd w:val="clear" w:color="auto" w:fill="auto"/>
        </w:rPr>
        <w:t>、电动剪扩器：</w:t>
      </w:r>
    </w:p>
    <w:p>
      <w:pPr>
        <w:keepNext w:val="0"/>
        <w:keepLines w:val="0"/>
        <w:pageBreakBefore w:val="0"/>
        <w:widowControl w:val="0"/>
        <w:numPr>
          <w:ilvl w:val="0"/>
          <w:numId w:val="0"/>
        </w:numPr>
        <w:kinsoku/>
        <w:wordWrap/>
        <w:overflowPunct/>
        <w:topLinePunct w:val="0"/>
        <w:autoSpaceDE/>
        <w:autoSpaceDN/>
        <w:bidi w:val="0"/>
        <w:spacing w:line="460" w:lineRule="exact"/>
        <w:textAlignment w:val="auto"/>
        <w:outlineLvl w:val="9"/>
        <w:rPr>
          <w:rFonts w:hint="eastAsia" w:ascii="仿宋" w:hAnsi="仿宋" w:eastAsia="仿宋" w:cs="仿宋"/>
          <w:bCs/>
          <w:i w:val="0"/>
          <w:iCs w:val="0"/>
          <w:caps w:val="0"/>
          <w:color w:val="auto"/>
          <w:spacing w:val="0"/>
          <w:sz w:val="24"/>
          <w:szCs w:val="24"/>
          <w:highlight w:val="none"/>
          <w:shd w:val="clear" w:color="auto" w:fill="auto"/>
          <w:lang w:eastAsia="zh-CN"/>
        </w:rPr>
      </w:pPr>
      <w:r>
        <w:rPr>
          <w:rFonts w:hint="eastAsia" w:ascii="仿宋" w:hAnsi="仿宋" w:eastAsia="仿宋" w:cs="仿宋"/>
          <w:bCs/>
          <w:i w:val="0"/>
          <w:iCs w:val="0"/>
          <w:caps w:val="0"/>
          <w:color w:val="auto"/>
          <w:spacing w:val="0"/>
          <w:sz w:val="24"/>
          <w:szCs w:val="24"/>
          <w:highlight w:val="none"/>
          <w:shd w:val="clear" w:color="auto" w:fill="auto"/>
        </w:rPr>
        <w:t>3.</w:t>
      </w:r>
      <w:r>
        <w:rPr>
          <w:rFonts w:hint="eastAsia" w:ascii="仿宋" w:hAnsi="仿宋" w:eastAsia="仿宋" w:cs="仿宋"/>
          <w:bCs/>
          <w:i w:val="0"/>
          <w:iCs w:val="0"/>
          <w:caps w:val="0"/>
          <w:color w:val="auto"/>
          <w:spacing w:val="0"/>
          <w:sz w:val="24"/>
          <w:szCs w:val="24"/>
          <w:highlight w:val="none"/>
          <w:shd w:val="clear" w:color="auto" w:fill="auto"/>
          <w:lang w:val="en-US" w:eastAsia="zh-CN"/>
        </w:rPr>
        <w:t>4</w:t>
      </w:r>
      <w:r>
        <w:rPr>
          <w:rFonts w:hint="eastAsia" w:ascii="仿宋" w:hAnsi="仿宋" w:eastAsia="仿宋" w:cs="仿宋"/>
          <w:bCs/>
          <w:i w:val="0"/>
          <w:iCs w:val="0"/>
          <w:caps w:val="0"/>
          <w:color w:val="auto"/>
          <w:spacing w:val="0"/>
          <w:sz w:val="24"/>
          <w:szCs w:val="24"/>
          <w:highlight w:val="none"/>
          <w:shd w:val="clear" w:color="auto" w:fill="auto"/>
        </w:rPr>
        <w:t>.1额定压力≥72MPa</w:t>
      </w:r>
    </w:p>
    <w:p>
      <w:pPr>
        <w:keepNext w:val="0"/>
        <w:keepLines w:val="0"/>
        <w:pageBreakBefore w:val="0"/>
        <w:widowControl w:val="0"/>
        <w:numPr>
          <w:ilvl w:val="0"/>
          <w:numId w:val="0"/>
        </w:numPr>
        <w:kinsoku/>
        <w:wordWrap/>
        <w:overflowPunct/>
        <w:topLinePunct w:val="0"/>
        <w:autoSpaceDE/>
        <w:autoSpaceDN/>
        <w:bidi w:val="0"/>
        <w:spacing w:line="460" w:lineRule="exact"/>
        <w:textAlignment w:val="auto"/>
        <w:outlineLvl w:val="9"/>
        <w:rPr>
          <w:rFonts w:hint="eastAsia" w:ascii="仿宋" w:hAnsi="仿宋" w:eastAsia="仿宋" w:cs="仿宋"/>
          <w:bCs/>
          <w:i w:val="0"/>
          <w:iCs w:val="0"/>
          <w:caps w:val="0"/>
          <w:color w:val="auto"/>
          <w:spacing w:val="0"/>
          <w:sz w:val="24"/>
          <w:szCs w:val="24"/>
          <w:highlight w:val="none"/>
          <w:shd w:val="clear" w:color="auto" w:fill="auto"/>
          <w:lang w:eastAsia="zh-CN"/>
        </w:rPr>
      </w:pPr>
      <w:r>
        <w:rPr>
          <w:rFonts w:hint="eastAsia" w:ascii="仿宋" w:hAnsi="仿宋" w:eastAsia="仿宋" w:cs="仿宋"/>
          <w:bCs/>
          <w:i w:val="0"/>
          <w:iCs w:val="0"/>
          <w:caps w:val="0"/>
          <w:color w:val="auto"/>
          <w:spacing w:val="0"/>
          <w:sz w:val="24"/>
          <w:szCs w:val="24"/>
          <w:highlight w:val="none"/>
          <w:shd w:val="clear" w:color="auto" w:fill="auto"/>
        </w:rPr>
        <w:t>3.</w:t>
      </w:r>
      <w:r>
        <w:rPr>
          <w:rFonts w:hint="eastAsia" w:ascii="仿宋" w:hAnsi="仿宋" w:eastAsia="仿宋" w:cs="仿宋"/>
          <w:bCs/>
          <w:i w:val="0"/>
          <w:iCs w:val="0"/>
          <w:caps w:val="0"/>
          <w:color w:val="auto"/>
          <w:spacing w:val="0"/>
          <w:sz w:val="24"/>
          <w:szCs w:val="24"/>
          <w:highlight w:val="none"/>
          <w:shd w:val="clear" w:color="auto" w:fill="auto"/>
          <w:lang w:val="en-US" w:eastAsia="zh-CN"/>
        </w:rPr>
        <w:t>4</w:t>
      </w:r>
      <w:r>
        <w:rPr>
          <w:rFonts w:hint="eastAsia" w:ascii="仿宋" w:hAnsi="仿宋" w:eastAsia="仿宋" w:cs="仿宋"/>
          <w:bCs/>
          <w:i w:val="0"/>
          <w:iCs w:val="0"/>
          <w:caps w:val="0"/>
          <w:color w:val="auto"/>
          <w:spacing w:val="0"/>
          <w:sz w:val="24"/>
          <w:szCs w:val="24"/>
          <w:highlight w:val="none"/>
          <w:shd w:val="clear" w:color="auto" w:fill="auto"/>
        </w:rPr>
        <w:t>.2最大扩张距离≥465mm</w:t>
      </w:r>
    </w:p>
    <w:p>
      <w:pPr>
        <w:keepNext w:val="0"/>
        <w:keepLines w:val="0"/>
        <w:pageBreakBefore w:val="0"/>
        <w:widowControl w:val="0"/>
        <w:numPr>
          <w:ilvl w:val="0"/>
          <w:numId w:val="0"/>
        </w:numPr>
        <w:kinsoku/>
        <w:wordWrap/>
        <w:overflowPunct/>
        <w:topLinePunct w:val="0"/>
        <w:autoSpaceDE/>
        <w:autoSpaceDN/>
        <w:bidi w:val="0"/>
        <w:spacing w:line="460" w:lineRule="exact"/>
        <w:textAlignment w:val="auto"/>
        <w:outlineLvl w:val="9"/>
        <w:rPr>
          <w:rFonts w:hint="eastAsia" w:ascii="仿宋" w:hAnsi="仿宋" w:eastAsia="仿宋" w:cs="仿宋"/>
          <w:bCs/>
          <w:i w:val="0"/>
          <w:iCs w:val="0"/>
          <w:caps w:val="0"/>
          <w:color w:val="auto"/>
          <w:spacing w:val="0"/>
          <w:sz w:val="24"/>
          <w:szCs w:val="24"/>
          <w:highlight w:val="none"/>
          <w:shd w:val="clear" w:color="auto" w:fill="auto"/>
          <w:lang w:eastAsia="zh-CN"/>
        </w:rPr>
      </w:pPr>
      <w:r>
        <w:rPr>
          <w:rFonts w:hint="eastAsia" w:ascii="仿宋" w:hAnsi="仿宋" w:eastAsia="仿宋" w:cs="仿宋"/>
          <w:bCs/>
          <w:i w:val="0"/>
          <w:iCs w:val="0"/>
          <w:caps w:val="0"/>
          <w:color w:val="auto"/>
          <w:spacing w:val="0"/>
          <w:sz w:val="24"/>
          <w:szCs w:val="24"/>
          <w:highlight w:val="none"/>
          <w:shd w:val="clear" w:color="auto" w:fill="auto"/>
        </w:rPr>
        <w:t>3.</w:t>
      </w:r>
      <w:r>
        <w:rPr>
          <w:rFonts w:hint="eastAsia" w:ascii="仿宋" w:hAnsi="仿宋" w:eastAsia="仿宋" w:cs="仿宋"/>
          <w:bCs/>
          <w:i w:val="0"/>
          <w:iCs w:val="0"/>
          <w:caps w:val="0"/>
          <w:color w:val="auto"/>
          <w:spacing w:val="0"/>
          <w:sz w:val="24"/>
          <w:szCs w:val="24"/>
          <w:highlight w:val="none"/>
          <w:shd w:val="clear" w:color="auto" w:fill="auto"/>
          <w:lang w:val="en-US" w:eastAsia="zh-CN"/>
        </w:rPr>
        <w:t>4</w:t>
      </w:r>
      <w:r>
        <w:rPr>
          <w:rFonts w:hint="eastAsia" w:ascii="仿宋" w:hAnsi="仿宋" w:eastAsia="仿宋" w:cs="仿宋"/>
          <w:bCs/>
          <w:i w:val="0"/>
          <w:iCs w:val="0"/>
          <w:caps w:val="0"/>
          <w:color w:val="auto"/>
          <w:spacing w:val="0"/>
          <w:sz w:val="24"/>
          <w:szCs w:val="24"/>
          <w:highlight w:val="none"/>
          <w:shd w:val="clear" w:color="auto" w:fill="auto"/>
        </w:rPr>
        <w:t>.3最大剪切开口≥275mm</w:t>
      </w:r>
    </w:p>
    <w:p>
      <w:pPr>
        <w:keepNext w:val="0"/>
        <w:keepLines w:val="0"/>
        <w:pageBreakBefore w:val="0"/>
        <w:widowControl w:val="0"/>
        <w:numPr>
          <w:ilvl w:val="0"/>
          <w:numId w:val="0"/>
        </w:numPr>
        <w:kinsoku/>
        <w:wordWrap/>
        <w:overflowPunct/>
        <w:topLinePunct w:val="0"/>
        <w:autoSpaceDE/>
        <w:autoSpaceDN/>
        <w:bidi w:val="0"/>
        <w:spacing w:line="460" w:lineRule="exact"/>
        <w:textAlignment w:val="auto"/>
        <w:outlineLvl w:val="9"/>
        <w:rPr>
          <w:rFonts w:hint="eastAsia" w:ascii="仿宋" w:hAnsi="仿宋" w:eastAsia="仿宋" w:cs="仿宋"/>
          <w:bCs/>
          <w:i w:val="0"/>
          <w:iCs w:val="0"/>
          <w:caps w:val="0"/>
          <w:color w:val="auto"/>
          <w:spacing w:val="0"/>
          <w:sz w:val="24"/>
          <w:szCs w:val="24"/>
          <w:highlight w:val="none"/>
          <w:shd w:val="clear" w:color="auto" w:fill="auto"/>
          <w:lang w:eastAsia="zh-CN"/>
        </w:rPr>
      </w:pPr>
      <w:r>
        <w:rPr>
          <w:rFonts w:hint="eastAsia" w:ascii="仿宋" w:hAnsi="仿宋" w:eastAsia="仿宋" w:cs="仿宋"/>
          <w:bCs/>
          <w:i w:val="0"/>
          <w:iCs w:val="0"/>
          <w:caps w:val="0"/>
          <w:color w:val="auto"/>
          <w:spacing w:val="0"/>
          <w:sz w:val="24"/>
          <w:szCs w:val="24"/>
          <w:highlight w:val="none"/>
          <w:shd w:val="clear" w:color="auto" w:fill="auto"/>
        </w:rPr>
        <w:t>3.</w:t>
      </w:r>
      <w:r>
        <w:rPr>
          <w:rFonts w:hint="eastAsia" w:ascii="仿宋" w:hAnsi="仿宋" w:eastAsia="仿宋" w:cs="仿宋"/>
          <w:bCs/>
          <w:i w:val="0"/>
          <w:iCs w:val="0"/>
          <w:caps w:val="0"/>
          <w:color w:val="auto"/>
          <w:spacing w:val="0"/>
          <w:sz w:val="24"/>
          <w:szCs w:val="24"/>
          <w:highlight w:val="none"/>
          <w:shd w:val="clear" w:color="auto" w:fill="auto"/>
          <w:lang w:val="en-US" w:eastAsia="zh-CN"/>
        </w:rPr>
        <w:t>4</w:t>
      </w:r>
      <w:r>
        <w:rPr>
          <w:rFonts w:hint="eastAsia" w:ascii="仿宋" w:hAnsi="仿宋" w:eastAsia="仿宋" w:cs="仿宋"/>
          <w:bCs/>
          <w:i w:val="0"/>
          <w:iCs w:val="0"/>
          <w:caps w:val="0"/>
          <w:color w:val="auto"/>
          <w:spacing w:val="0"/>
          <w:sz w:val="24"/>
          <w:szCs w:val="24"/>
          <w:highlight w:val="none"/>
          <w:shd w:val="clear" w:color="auto" w:fill="auto"/>
        </w:rPr>
        <w:t>.4剪切圆钢直径≥37mm</w:t>
      </w:r>
    </w:p>
    <w:p>
      <w:pPr>
        <w:keepNext w:val="0"/>
        <w:keepLines w:val="0"/>
        <w:pageBreakBefore w:val="0"/>
        <w:widowControl w:val="0"/>
        <w:numPr>
          <w:ilvl w:val="0"/>
          <w:numId w:val="0"/>
        </w:numPr>
        <w:kinsoku/>
        <w:wordWrap/>
        <w:overflowPunct/>
        <w:topLinePunct w:val="0"/>
        <w:autoSpaceDE/>
        <w:autoSpaceDN/>
        <w:bidi w:val="0"/>
        <w:spacing w:line="460" w:lineRule="exact"/>
        <w:textAlignment w:val="auto"/>
        <w:outlineLvl w:val="9"/>
        <w:rPr>
          <w:rFonts w:hint="eastAsia" w:ascii="仿宋" w:hAnsi="仿宋" w:eastAsia="仿宋" w:cs="仿宋"/>
          <w:bCs/>
          <w:i w:val="0"/>
          <w:iCs w:val="0"/>
          <w:caps w:val="0"/>
          <w:color w:val="auto"/>
          <w:spacing w:val="0"/>
          <w:sz w:val="24"/>
          <w:szCs w:val="24"/>
          <w:highlight w:val="none"/>
          <w:shd w:val="clear" w:color="auto" w:fill="auto"/>
          <w:lang w:eastAsia="zh-CN"/>
        </w:rPr>
      </w:pPr>
      <w:r>
        <w:rPr>
          <w:rFonts w:hint="eastAsia" w:ascii="仿宋" w:hAnsi="仿宋" w:eastAsia="仿宋" w:cs="仿宋"/>
          <w:color w:val="auto"/>
          <w:kern w:val="2"/>
          <w:sz w:val="24"/>
          <w:szCs w:val="24"/>
          <w:highlight w:val="none"/>
          <w:lang w:val="en-US" w:eastAsia="zh-CN" w:bidi="ar"/>
        </w:rPr>
        <w:t>▲</w:t>
      </w:r>
      <w:r>
        <w:rPr>
          <w:rFonts w:hint="eastAsia" w:ascii="仿宋" w:hAnsi="仿宋" w:eastAsia="仿宋" w:cs="仿宋"/>
          <w:bCs/>
          <w:i w:val="0"/>
          <w:iCs w:val="0"/>
          <w:caps w:val="0"/>
          <w:color w:val="auto"/>
          <w:spacing w:val="0"/>
          <w:sz w:val="24"/>
          <w:szCs w:val="24"/>
          <w:highlight w:val="none"/>
          <w:shd w:val="clear" w:color="auto" w:fill="auto"/>
        </w:rPr>
        <w:t>3.</w:t>
      </w:r>
      <w:r>
        <w:rPr>
          <w:rFonts w:hint="eastAsia" w:ascii="仿宋" w:hAnsi="仿宋" w:eastAsia="仿宋" w:cs="仿宋"/>
          <w:bCs/>
          <w:i w:val="0"/>
          <w:iCs w:val="0"/>
          <w:caps w:val="0"/>
          <w:color w:val="auto"/>
          <w:spacing w:val="0"/>
          <w:sz w:val="24"/>
          <w:szCs w:val="24"/>
          <w:highlight w:val="none"/>
          <w:shd w:val="clear" w:color="auto" w:fill="auto"/>
          <w:lang w:val="en-US" w:eastAsia="zh-CN"/>
        </w:rPr>
        <w:t>4</w:t>
      </w:r>
      <w:r>
        <w:rPr>
          <w:rFonts w:hint="eastAsia" w:ascii="仿宋" w:hAnsi="仿宋" w:eastAsia="仿宋" w:cs="仿宋"/>
          <w:bCs/>
          <w:i w:val="0"/>
          <w:iCs w:val="0"/>
          <w:caps w:val="0"/>
          <w:color w:val="auto"/>
          <w:spacing w:val="0"/>
          <w:sz w:val="24"/>
          <w:szCs w:val="24"/>
          <w:highlight w:val="none"/>
          <w:shd w:val="clear" w:color="auto" w:fill="auto"/>
        </w:rPr>
        <w:t>.5最大剪切力≥650kN</w:t>
      </w:r>
    </w:p>
    <w:p>
      <w:pPr>
        <w:keepNext w:val="0"/>
        <w:keepLines w:val="0"/>
        <w:pageBreakBefore w:val="0"/>
        <w:widowControl w:val="0"/>
        <w:numPr>
          <w:ilvl w:val="0"/>
          <w:numId w:val="0"/>
        </w:numPr>
        <w:kinsoku/>
        <w:wordWrap/>
        <w:overflowPunct/>
        <w:topLinePunct w:val="0"/>
        <w:autoSpaceDE/>
        <w:autoSpaceDN/>
        <w:bidi w:val="0"/>
        <w:spacing w:line="460" w:lineRule="exact"/>
        <w:textAlignment w:val="auto"/>
        <w:outlineLvl w:val="9"/>
        <w:rPr>
          <w:rFonts w:hint="eastAsia" w:ascii="仿宋" w:hAnsi="仿宋" w:eastAsia="仿宋" w:cs="仿宋"/>
          <w:bCs/>
          <w:i w:val="0"/>
          <w:iCs w:val="0"/>
          <w:caps w:val="0"/>
          <w:color w:val="auto"/>
          <w:spacing w:val="0"/>
          <w:sz w:val="24"/>
          <w:szCs w:val="24"/>
          <w:highlight w:val="none"/>
          <w:shd w:val="clear" w:color="auto" w:fill="auto"/>
          <w:lang w:eastAsia="zh-CN"/>
        </w:rPr>
      </w:pPr>
      <w:r>
        <w:rPr>
          <w:rFonts w:hint="eastAsia" w:ascii="仿宋" w:hAnsi="仿宋" w:eastAsia="仿宋" w:cs="仿宋"/>
          <w:color w:val="auto"/>
          <w:kern w:val="2"/>
          <w:sz w:val="24"/>
          <w:szCs w:val="24"/>
          <w:highlight w:val="none"/>
          <w:lang w:val="en-US" w:eastAsia="zh-CN" w:bidi="ar"/>
        </w:rPr>
        <w:t>▲</w:t>
      </w:r>
      <w:r>
        <w:rPr>
          <w:rFonts w:hint="eastAsia" w:ascii="仿宋" w:hAnsi="仿宋" w:eastAsia="仿宋" w:cs="仿宋"/>
          <w:bCs/>
          <w:i w:val="0"/>
          <w:iCs w:val="0"/>
          <w:caps w:val="0"/>
          <w:color w:val="auto"/>
          <w:spacing w:val="0"/>
          <w:sz w:val="24"/>
          <w:szCs w:val="24"/>
          <w:highlight w:val="none"/>
          <w:shd w:val="clear" w:color="auto" w:fill="auto"/>
        </w:rPr>
        <w:t>3.</w:t>
      </w:r>
      <w:r>
        <w:rPr>
          <w:rFonts w:hint="eastAsia" w:ascii="仿宋" w:hAnsi="仿宋" w:eastAsia="仿宋" w:cs="仿宋"/>
          <w:bCs/>
          <w:i w:val="0"/>
          <w:iCs w:val="0"/>
          <w:caps w:val="0"/>
          <w:color w:val="auto"/>
          <w:spacing w:val="0"/>
          <w:sz w:val="24"/>
          <w:szCs w:val="24"/>
          <w:highlight w:val="none"/>
          <w:shd w:val="clear" w:color="auto" w:fill="auto"/>
          <w:lang w:val="en-US" w:eastAsia="zh-CN"/>
        </w:rPr>
        <w:t>4</w:t>
      </w:r>
      <w:r>
        <w:rPr>
          <w:rFonts w:hint="eastAsia" w:ascii="仿宋" w:hAnsi="仿宋" w:eastAsia="仿宋" w:cs="仿宋"/>
          <w:bCs/>
          <w:i w:val="0"/>
          <w:iCs w:val="0"/>
          <w:caps w:val="0"/>
          <w:color w:val="auto"/>
          <w:spacing w:val="0"/>
          <w:sz w:val="24"/>
          <w:szCs w:val="24"/>
          <w:highlight w:val="none"/>
          <w:shd w:val="clear" w:color="auto" w:fill="auto"/>
        </w:rPr>
        <w:t>.6扩张力≥40KN</w:t>
      </w:r>
    </w:p>
    <w:p>
      <w:pPr>
        <w:keepNext w:val="0"/>
        <w:keepLines w:val="0"/>
        <w:pageBreakBefore w:val="0"/>
        <w:widowControl w:val="0"/>
        <w:numPr>
          <w:ilvl w:val="0"/>
          <w:numId w:val="0"/>
        </w:numPr>
        <w:kinsoku/>
        <w:wordWrap/>
        <w:overflowPunct/>
        <w:topLinePunct w:val="0"/>
        <w:autoSpaceDE/>
        <w:autoSpaceDN/>
        <w:bidi w:val="0"/>
        <w:spacing w:line="460" w:lineRule="exact"/>
        <w:textAlignment w:val="auto"/>
        <w:outlineLvl w:val="9"/>
        <w:rPr>
          <w:rFonts w:hint="eastAsia" w:ascii="仿宋" w:hAnsi="仿宋" w:eastAsia="仿宋" w:cs="仿宋"/>
          <w:bCs/>
          <w:i w:val="0"/>
          <w:iCs w:val="0"/>
          <w:caps w:val="0"/>
          <w:color w:val="auto"/>
          <w:spacing w:val="0"/>
          <w:sz w:val="24"/>
          <w:szCs w:val="24"/>
          <w:highlight w:val="none"/>
          <w:shd w:val="clear" w:color="auto" w:fill="auto"/>
          <w:lang w:eastAsia="zh-CN"/>
        </w:rPr>
      </w:pPr>
      <w:r>
        <w:rPr>
          <w:rFonts w:hint="eastAsia" w:ascii="仿宋" w:hAnsi="仿宋" w:eastAsia="仿宋" w:cs="仿宋"/>
          <w:bCs/>
          <w:i w:val="0"/>
          <w:iCs w:val="0"/>
          <w:caps w:val="0"/>
          <w:color w:val="auto"/>
          <w:spacing w:val="0"/>
          <w:sz w:val="24"/>
          <w:szCs w:val="24"/>
          <w:highlight w:val="none"/>
          <w:shd w:val="clear" w:color="auto" w:fill="auto"/>
        </w:rPr>
        <w:t>3.</w:t>
      </w:r>
      <w:r>
        <w:rPr>
          <w:rFonts w:hint="eastAsia" w:ascii="仿宋" w:hAnsi="仿宋" w:eastAsia="仿宋" w:cs="仿宋"/>
          <w:bCs/>
          <w:i w:val="0"/>
          <w:iCs w:val="0"/>
          <w:caps w:val="0"/>
          <w:color w:val="auto"/>
          <w:spacing w:val="0"/>
          <w:sz w:val="24"/>
          <w:szCs w:val="24"/>
          <w:highlight w:val="none"/>
          <w:shd w:val="clear" w:color="auto" w:fill="auto"/>
          <w:lang w:val="en-US" w:eastAsia="zh-CN"/>
        </w:rPr>
        <w:t>4</w:t>
      </w:r>
      <w:r>
        <w:rPr>
          <w:rFonts w:hint="eastAsia" w:ascii="仿宋" w:hAnsi="仿宋" w:eastAsia="仿宋" w:cs="仿宋"/>
          <w:bCs/>
          <w:i w:val="0"/>
          <w:iCs w:val="0"/>
          <w:caps w:val="0"/>
          <w:color w:val="auto"/>
          <w:spacing w:val="0"/>
          <w:sz w:val="24"/>
          <w:szCs w:val="24"/>
          <w:highlight w:val="none"/>
          <w:shd w:val="clear" w:color="auto" w:fill="auto"/>
        </w:rPr>
        <w:t>.</w:t>
      </w:r>
      <w:r>
        <w:rPr>
          <w:rFonts w:hint="eastAsia" w:ascii="仿宋" w:hAnsi="仿宋" w:eastAsia="仿宋" w:cs="仿宋"/>
          <w:bCs/>
          <w:i w:val="0"/>
          <w:iCs w:val="0"/>
          <w:caps w:val="0"/>
          <w:color w:val="auto"/>
          <w:spacing w:val="0"/>
          <w:sz w:val="24"/>
          <w:szCs w:val="24"/>
          <w:highlight w:val="none"/>
          <w:shd w:val="clear" w:color="auto" w:fill="auto"/>
          <w:lang w:eastAsia="zh-CN"/>
        </w:rPr>
        <w:t>7</w:t>
      </w:r>
      <w:r>
        <w:rPr>
          <w:rFonts w:hint="eastAsia" w:ascii="仿宋" w:hAnsi="仿宋" w:eastAsia="仿宋" w:cs="仿宋"/>
          <w:bCs/>
          <w:i w:val="0"/>
          <w:iCs w:val="0"/>
          <w:caps w:val="0"/>
          <w:color w:val="auto"/>
          <w:spacing w:val="0"/>
          <w:sz w:val="24"/>
          <w:szCs w:val="24"/>
          <w:highlight w:val="none"/>
          <w:shd w:val="clear" w:color="auto" w:fill="auto"/>
        </w:rPr>
        <w:t>重量≤22kg（不含电池）</w:t>
      </w:r>
    </w:p>
    <w:p>
      <w:pPr>
        <w:keepNext w:val="0"/>
        <w:keepLines w:val="0"/>
        <w:pageBreakBefore w:val="0"/>
        <w:widowControl w:val="0"/>
        <w:numPr>
          <w:ilvl w:val="0"/>
          <w:numId w:val="0"/>
        </w:numPr>
        <w:kinsoku/>
        <w:wordWrap/>
        <w:overflowPunct/>
        <w:topLinePunct w:val="0"/>
        <w:autoSpaceDE/>
        <w:autoSpaceDN/>
        <w:bidi w:val="0"/>
        <w:spacing w:line="460" w:lineRule="exact"/>
        <w:textAlignment w:val="auto"/>
        <w:outlineLvl w:val="9"/>
        <w:rPr>
          <w:rFonts w:hint="eastAsia" w:ascii="仿宋" w:hAnsi="仿宋" w:eastAsia="仿宋" w:cs="仿宋"/>
          <w:bCs/>
          <w:i w:val="0"/>
          <w:iCs w:val="0"/>
          <w:caps w:val="0"/>
          <w:color w:val="auto"/>
          <w:spacing w:val="0"/>
          <w:sz w:val="24"/>
          <w:szCs w:val="24"/>
          <w:highlight w:val="none"/>
          <w:shd w:val="clear" w:color="auto" w:fill="auto"/>
          <w:lang w:eastAsia="zh-CN"/>
        </w:rPr>
      </w:pPr>
      <w:r>
        <w:rPr>
          <w:rFonts w:hint="eastAsia" w:ascii="仿宋" w:hAnsi="仿宋" w:eastAsia="仿宋" w:cs="仿宋"/>
          <w:bCs/>
          <w:i w:val="0"/>
          <w:iCs w:val="0"/>
          <w:caps w:val="0"/>
          <w:color w:val="auto"/>
          <w:spacing w:val="0"/>
          <w:sz w:val="24"/>
          <w:szCs w:val="24"/>
          <w:highlight w:val="none"/>
          <w:shd w:val="clear" w:color="auto" w:fill="auto"/>
        </w:rPr>
        <w:t>3.</w:t>
      </w:r>
      <w:r>
        <w:rPr>
          <w:rFonts w:hint="eastAsia" w:ascii="仿宋" w:hAnsi="仿宋" w:eastAsia="仿宋" w:cs="仿宋"/>
          <w:bCs/>
          <w:i w:val="0"/>
          <w:iCs w:val="0"/>
          <w:caps w:val="0"/>
          <w:color w:val="auto"/>
          <w:spacing w:val="0"/>
          <w:sz w:val="24"/>
          <w:szCs w:val="24"/>
          <w:highlight w:val="none"/>
          <w:shd w:val="clear" w:color="auto" w:fill="auto"/>
          <w:lang w:val="en-US" w:eastAsia="zh-CN"/>
        </w:rPr>
        <w:t>4</w:t>
      </w:r>
      <w:r>
        <w:rPr>
          <w:rFonts w:hint="eastAsia" w:ascii="仿宋" w:hAnsi="仿宋" w:eastAsia="仿宋" w:cs="仿宋"/>
          <w:bCs/>
          <w:i w:val="0"/>
          <w:iCs w:val="0"/>
          <w:caps w:val="0"/>
          <w:color w:val="auto"/>
          <w:spacing w:val="0"/>
          <w:sz w:val="24"/>
          <w:szCs w:val="24"/>
          <w:highlight w:val="none"/>
          <w:shd w:val="clear" w:color="auto" w:fill="auto"/>
        </w:rPr>
        <w:t>.</w:t>
      </w:r>
      <w:r>
        <w:rPr>
          <w:rFonts w:hint="eastAsia" w:ascii="仿宋" w:hAnsi="仿宋" w:eastAsia="仿宋" w:cs="仿宋"/>
          <w:bCs/>
          <w:i w:val="0"/>
          <w:iCs w:val="0"/>
          <w:caps w:val="0"/>
          <w:color w:val="auto"/>
          <w:spacing w:val="0"/>
          <w:sz w:val="24"/>
          <w:szCs w:val="24"/>
          <w:highlight w:val="none"/>
          <w:shd w:val="clear" w:color="auto" w:fill="auto"/>
          <w:lang w:eastAsia="zh-CN"/>
        </w:rPr>
        <w:t>8</w:t>
      </w:r>
      <w:r>
        <w:rPr>
          <w:rFonts w:hint="eastAsia" w:ascii="仿宋" w:hAnsi="仿宋" w:eastAsia="仿宋" w:cs="仿宋"/>
          <w:bCs/>
          <w:i w:val="0"/>
          <w:iCs w:val="0"/>
          <w:caps w:val="0"/>
          <w:color w:val="auto"/>
          <w:spacing w:val="0"/>
          <w:sz w:val="24"/>
          <w:szCs w:val="24"/>
          <w:highlight w:val="none"/>
          <w:shd w:val="clear" w:color="auto" w:fill="auto"/>
        </w:rPr>
        <w:t>外形尺寸≤1100*270*265mm</w:t>
      </w:r>
    </w:p>
    <w:p>
      <w:pPr>
        <w:keepNext w:val="0"/>
        <w:keepLines w:val="0"/>
        <w:pageBreakBefore w:val="0"/>
        <w:widowControl w:val="0"/>
        <w:numPr>
          <w:ilvl w:val="0"/>
          <w:numId w:val="0"/>
        </w:numPr>
        <w:kinsoku/>
        <w:wordWrap/>
        <w:overflowPunct/>
        <w:topLinePunct w:val="0"/>
        <w:autoSpaceDE/>
        <w:autoSpaceDN/>
        <w:bidi w:val="0"/>
        <w:spacing w:line="460" w:lineRule="exact"/>
        <w:textAlignment w:val="auto"/>
        <w:outlineLvl w:val="9"/>
        <w:rPr>
          <w:rFonts w:hint="eastAsia" w:ascii="仿宋" w:hAnsi="仿宋" w:eastAsia="仿宋" w:cs="仿宋"/>
          <w:bCs/>
          <w:i w:val="0"/>
          <w:iCs w:val="0"/>
          <w:caps w:val="0"/>
          <w:color w:val="auto"/>
          <w:spacing w:val="0"/>
          <w:sz w:val="24"/>
          <w:szCs w:val="24"/>
          <w:highlight w:val="none"/>
          <w:shd w:val="clear" w:color="auto" w:fill="auto"/>
          <w:lang w:eastAsia="zh-CN"/>
        </w:rPr>
      </w:pPr>
      <w:r>
        <w:rPr>
          <w:rFonts w:hint="eastAsia" w:ascii="仿宋" w:hAnsi="仿宋" w:eastAsia="仿宋" w:cs="仿宋"/>
          <w:bCs/>
          <w:i w:val="0"/>
          <w:iCs w:val="0"/>
          <w:caps w:val="0"/>
          <w:color w:val="auto"/>
          <w:spacing w:val="0"/>
          <w:sz w:val="24"/>
          <w:szCs w:val="24"/>
          <w:highlight w:val="none"/>
          <w:shd w:val="clear" w:color="auto" w:fill="auto"/>
        </w:rPr>
        <w:t>3.</w:t>
      </w:r>
      <w:r>
        <w:rPr>
          <w:rFonts w:hint="eastAsia" w:ascii="仿宋" w:hAnsi="仿宋" w:eastAsia="仿宋" w:cs="仿宋"/>
          <w:bCs/>
          <w:i w:val="0"/>
          <w:iCs w:val="0"/>
          <w:caps w:val="0"/>
          <w:color w:val="auto"/>
          <w:spacing w:val="0"/>
          <w:sz w:val="24"/>
          <w:szCs w:val="24"/>
          <w:highlight w:val="none"/>
          <w:shd w:val="clear" w:color="auto" w:fill="auto"/>
          <w:lang w:val="en-US" w:eastAsia="zh-CN"/>
        </w:rPr>
        <w:t>5</w:t>
      </w:r>
      <w:r>
        <w:rPr>
          <w:rFonts w:hint="eastAsia" w:ascii="仿宋" w:hAnsi="仿宋" w:eastAsia="仿宋" w:cs="仿宋"/>
          <w:bCs/>
          <w:i w:val="0"/>
          <w:iCs w:val="0"/>
          <w:caps w:val="0"/>
          <w:color w:val="auto"/>
          <w:spacing w:val="0"/>
          <w:sz w:val="24"/>
          <w:szCs w:val="24"/>
          <w:highlight w:val="none"/>
          <w:shd w:val="clear" w:color="auto" w:fill="auto"/>
        </w:rPr>
        <w:t>电动剪切器：</w:t>
      </w:r>
    </w:p>
    <w:p>
      <w:pPr>
        <w:keepNext w:val="0"/>
        <w:keepLines w:val="0"/>
        <w:pageBreakBefore w:val="0"/>
        <w:widowControl w:val="0"/>
        <w:numPr>
          <w:ilvl w:val="0"/>
          <w:numId w:val="0"/>
        </w:numPr>
        <w:kinsoku/>
        <w:wordWrap/>
        <w:overflowPunct/>
        <w:topLinePunct w:val="0"/>
        <w:autoSpaceDE/>
        <w:autoSpaceDN/>
        <w:bidi w:val="0"/>
        <w:spacing w:line="460" w:lineRule="exact"/>
        <w:textAlignment w:val="auto"/>
        <w:outlineLvl w:val="9"/>
        <w:rPr>
          <w:rFonts w:hint="eastAsia" w:ascii="仿宋" w:hAnsi="仿宋" w:eastAsia="仿宋" w:cs="仿宋"/>
          <w:bCs/>
          <w:i w:val="0"/>
          <w:iCs w:val="0"/>
          <w:caps w:val="0"/>
          <w:color w:val="auto"/>
          <w:spacing w:val="0"/>
          <w:sz w:val="24"/>
          <w:szCs w:val="24"/>
          <w:highlight w:val="none"/>
          <w:shd w:val="clear" w:color="auto" w:fill="auto"/>
          <w:lang w:eastAsia="zh-CN"/>
        </w:rPr>
      </w:pPr>
      <w:r>
        <w:rPr>
          <w:rFonts w:hint="eastAsia" w:ascii="仿宋" w:hAnsi="仿宋" w:eastAsia="仿宋" w:cs="仿宋"/>
          <w:bCs/>
          <w:i w:val="0"/>
          <w:iCs w:val="0"/>
          <w:caps w:val="0"/>
          <w:color w:val="auto"/>
          <w:spacing w:val="0"/>
          <w:sz w:val="24"/>
          <w:szCs w:val="24"/>
          <w:highlight w:val="none"/>
          <w:shd w:val="clear" w:color="auto" w:fill="auto"/>
        </w:rPr>
        <w:t>3.</w:t>
      </w:r>
      <w:r>
        <w:rPr>
          <w:rFonts w:hint="eastAsia" w:ascii="仿宋" w:hAnsi="仿宋" w:eastAsia="仿宋" w:cs="仿宋"/>
          <w:bCs/>
          <w:i w:val="0"/>
          <w:iCs w:val="0"/>
          <w:caps w:val="0"/>
          <w:color w:val="auto"/>
          <w:spacing w:val="0"/>
          <w:sz w:val="24"/>
          <w:szCs w:val="24"/>
          <w:highlight w:val="none"/>
          <w:shd w:val="clear" w:color="auto" w:fill="auto"/>
          <w:lang w:val="en-US" w:eastAsia="zh-CN"/>
        </w:rPr>
        <w:t>5</w:t>
      </w:r>
      <w:r>
        <w:rPr>
          <w:rFonts w:hint="eastAsia" w:ascii="仿宋" w:hAnsi="仿宋" w:eastAsia="仿宋" w:cs="仿宋"/>
          <w:bCs/>
          <w:i w:val="0"/>
          <w:iCs w:val="0"/>
          <w:caps w:val="0"/>
          <w:color w:val="auto"/>
          <w:spacing w:val="0"/>
          <w:sz w:val="24"/>
          <w:szCs w:val="24"/>
          <w:highlight w:val="none"/>
          <w:shd w:val="clear" w:color="auto" w:fill="auto"/>
        </w:rPr>
        <w:t>.1额定压力≥72MPa</w:t>
      </w:r>
    </w:p>
    <w:p>
      <w:pPr>
        <w:keepNext w:val="0"/>
        <w:keepLines w:val="0"/>
        <w:pageBreakBefore w:val="0"/>
        <w:widowControl w:val="0"/>
        <w:numPr>
          <w:ilvl w:val="0"/>
          <w:numId w:val="0"/>
        </w:numPr>
        <w:kinsoku/>
        <w:wordWrap/>
        <w:overflowPunct/>
        <w:topLinePunct w:val="0"/>
        <w:autoSpaceDE/>
        <w:autoSpaceDN/>
        <w:bidi w:val="0"/>
        <w:spacing w:line="460" w:lineRule="exact"/>
        <w:textAlignment w:val="auto"/>
        <w:outlineLvl w:val="9"/>
        <w:rPr>
          <w:rFonts w:hint="eastAsia" w:ascii="仿宋" w:hAnsi="仿宋" w:eastAsia="仿宋" w:cs="仿宋"/>
          <w:bCs/>
          <w:i w:val="0"/>
          <w:iCs w:val="0"/>
          <w:caps w:val="0"/>
          <w:color w:val="auto"/>
          <w:spacing w:val="0"/>
          <w:sz w:val="24"/>
          <w:szCs w:val="24"/>
          <w:highlight w:val="none"/>
          <w:shd w:val="clear" w:color="auto" w:fill="auto"/>
          <w:lang w:eastAsia="zh-CN"/>
        </w:rPr>
      </w:pPr>
      <w:r>
        <w:rPr>
          <w:rFonts w:hint="eastAsia" w:ascii="仿宋" w:hAnsi="仿宋" w:eastAsia="仿宋" w:cs="仿宋"/>
          <w:bCs/>
          <w:i w:val="0"/>
          <w:iCs w:val="0"/>
          <w:caps w:val="0"/>
          <w:color w:val="auto"/>
          <w:spacing w:val="0"/>
          <w:sz w:val="24"/>
          <w:szCs w:val="24"/>
          <w:highlight w:val="none"/>
          <w:shd w:val="clear" w:color="auto" w:fill="auto"/>
        </w:rPr>
        <w:t>3.</w:t>
      </w:r>
      <w:r>
        <w:rPr>
          <w:rFonts w:hint="eastAsia" w:ascii="仿宋" w:hAnsi="仿宋" w:eastAsia="仿宋" w:cs="仿宋"/>
          <w:bCs/>
          <w:i w:val="0"/>
          <w:iCs w:val="0"/>
          <w:caps w:val="0"/>
          <w:color w:val="auto"/>
          <w:spacing w:val="0"/>
          <w:sz w:val="24"/>
          <w:szCs w:val="24"/>
          <w:highlight w:val="none"/>
          <w:shd w:val="clear" w:color="auto" w:fill="auto"/>
          <w:lang w:val="en-US" w:eastAsia="zh-CN"/>
        </w:rPr>
        <w:t>5</w:t>
      </w:r>
      <w:r>
        <w:rPr>
          <w:rFonts w:hint="eastAsia" w:ascii="仿宋" w:hAnsi="仿宋" w:eastAsia="仿宋" w:cs="仿宋"/>
          <w:bCs/>
          <w:i w:val="0"/>
          <w:iCs w:val="0"/>
          <w:caps w:val="0"/>
          <w:color w:val="auto"/>
          <w:spacing w:val="0"/>
          <w:sz w:val="24"/>
          <w:szCs w:val="24"/>
          <w:highlight w:val="none"/>
          <w:shd w:val="clear" w:color="auto" w:fill="auto"/>
        </w:rPr>
        <w:t>.2开口距离≥230mm</w:t>
      </w:r>
    </w:p>
    <w:p>
      <w:pPr>
        <w:keepNext w:val="0"/>
        <w:keepLines w:val="0"/>
        <w:pageBreakBefore w:val="0"/>
        <w:widowControl w:val="0"/>
        <w:numPr>
          <w:ilvl w:val="0"/>
          <w:numId w:val="0"/>
        </w:numPr>
        <w:kinsoku/>
        <w:wordWrap/>
        <w:overflowPunct/>
        <w:topLinePunct w:val="0"/>
        <w:autoSpaceDE/>
        <w:autoSpaceDN/>
        <w:bidi w:val="0"/>
        <w:spacing w:line="460" w:lineRule="exact"/>
        <w:textAlignment w:val="auto"/>
        <w:outlineLvl w:val="9"/>
        <w:rPr>
          <w:rFonts w:hint="eastAsia" w:ascii="仿宋" w:hAnsi="仿宋" w:eastAsia="仿宋" w:cs="仿宋"/>
          <w:bCs/>
          <w:i w:val="0"/>
          <w:iCs w:val="0"/>
          <w:caps w:val="0"/>
          <w:color w:val="auto"/>
          <w:spacing w:val="0"/>
          <w:sz w:val="24"/>
          <w:szCs w:val="24"/>
          <w:highlight w:val="none"/>
          <w:shd w:val="clear" w:color="auto" w:fill="auto"/>
          <w:lang w:eastAsia="zh-CN"/>
        </w:rPr>
      </w:pPr>
      <w:r>
        <w:rPr>
          <w:rFonts w:hint="eastAsia" w:ascii="仿宋" w:hAnsi="仿宋" w:eastAsia="仿宋" w:cs="仿宋"/>
          <w:bCs/>
          <w:i w:val="0"/>
          <w:iCs w:val="0"/>
          <w:caps w:val="0"/>
          <w:color w:val="auto"/>
          <w:spacing w:val="0"/>
          <w:sz w:val="24"/>
          <w:szCs w:val="24"/>
          <w:highlight w:val="none"/>
          <w:shd w:val="clear" w:color="auto" w:fill="auto"/>
        </w:rPr>
        <w:t>3.</w:t>
      </w:r>
      <w:r>
        <w:rPr>
          <w:rFonts w:hint="eastAsia" w:ascii="仿宋" w:hAnsi="仿宋" w:eastAsia="仿宋" w:cs="仿宋"/>
          <w:bCs/>
          <w:i w:val="0"/>
          <w:iCs w:val="0"/>
          <w:caps w:val="0"/>
          <w:color w:val="auto"/>
          <w:spacing w:val="0"/>
          <w:sz w:val="24"/>
          <w:szCs w:val="24"/>
          <w:highlight w:val="none"/>
          <w:shd w:val="clear" w:color="auto" w:fill="auto"/>
          <w:lang w:val="en-US" w:eastAsia="zh-CN"/>
        </w:rPr>
        <w:t>5</w:t>
      </w:r>
      <w:r>
        <w:rPr>
          <w:rFonts w:hint="eastAsia" w:ascii="仿宋" w:hAnsi="仿宋" w:eastAsia="仿宋" w:cs="仿宋"/>
          <w:bCs/>
          <w:i w:val="0"/>
          <w:iCs w:val="0"/>
          <w:caps w:val="0"/>
          <w:color w:val="auto"/>
          <w:spacing w:val="0"/>
          <w:sz w:val="24"/>
          <w:szCs w:val="24"/>
          <w:highlight w:val="none"/>
          <w:shd w:val="clear" w:color="auto" w:fill="auto"/>
        </w:rPr>
        <w:t>.3剪切圆钢直径≥35mm（圆钢）</w:t>
      </w:r>
    </w:p>
    <w:p>
      <w:pPr>
        <w:keepNext w:val="0"/>
        <w:keepLines w:val="0"/>
        <w:pageBreakBefore w:val="0"/>
        <w:widowControl w:val="0"/>
        <w:numPr>
          <w:ilvl w:val="0"/>
          <w:numId w:val="0"/>
        </w:numPr>
        <w:kinsoku/>
        <w:wordWrap/>
        <w:overflowPunct/>
        <w:topLinePunct w:val="0"/>
        <w:autoSpaceDE/>
        <w:autoSpaceDN/>
        <w:bidi w:val="0"/>
        <w:spacing w:line="460" w:lineRule="exact"/>
        <w:textAlignment w:val="auto"/>
        <w:outlineLvl w:val="9"/>
        <w:rPr>
          <w:rFonts w:hint="eastAsia" w:ascii="仿宋" w:hAnsi="仿宋" w:eastAsia="仿宋" w:cs="仿宋"/>
          <w:bCs/>
          <w:i w:val="0"/>
          <w:iCs w:val="0"/>
          <w:caps w:val="0"/>
          <w:color w:val="auto"/>
          <w:spacing w:val="0"/>
          <w:sz w:val="24"/>
          <w:szCs w:val="24"/>
          <w:highlight w:val="none"/>
          <w:shd w:val="clear" w:color="auto" w:fill="auto"/>
          <w:lang w:eastAsia="zh-CN"/>
        </w:rPr>
      </w:pPr>
      <w:r>
        <w:rPr>
          <w:rFonts w:hint="eastAsia" w:ascii="仿宋" w:hAnsi="仿宋" w:eastAsia="仿宋" w:cs="仿宋"/>
          <w:bCs/>
          <w:i w:val="0"/>
          <w:iCs w:val="0"/>
          <w:caps w:val="0"/>
          <w:color w:val="auto"/>
          <w:spacing w:val="0"/>
          <w:sz w:val="24"/>
          <w:szCs w:val="24"/>
          <w:highlight w:val="none"/>
          <w:shd w:val="clear" w:color="auto" w:fill="auto"/>
        </w:rPr>
        <w:t>3.</w:t>
      </w:r>
      <w:r>
        <w:rPr>
          <w:rFonts w:hint="eastAsia" w:ascii="仿宋" w:hAnsi="仿宋" w:eastAsia="仿宋" w:cs="仿宋"/>
          <w:bCs/>
          <w:i w:val="0"/>
          <w:iCs w:val="0"/>
          <w:caps w:val="0"/>
          <w:color w:val="auto"/>
          <w:spacing w:val="0"/>
          <w:sz w:val="24"/>
          <w:szCs w:val="24"/>
          <w:highlight w:val="none"/>
          <w:shd w:val="clear" w:color="auto" w:fill="auto"/>
          <w:lang w:val="en-US" w:eastAsia="zh-CN"/>
        </w:rPr>
        <w:t>5</w:t>
      </w:r>
      <w:r>
        <w:rPr>
          <w:rFonts w:hint="eastAsia" w:ascii="仿宋" w:hAnsi="仿宋" w:eastAsia="仿宋" w:cs="仿宋"/>
          <w:bCs/>
          <w:i w:val="0"/>
          <w:iCs w:val="0"/>
          <w:caps w:val="0"/>
          <w:color w:val="auto"/>
          <w:spacing w:val="0"/>
          <w:sz w:val="24"/>
          <w:szCs w:val="24"/>
          <w:highlight w:val="none"/>
          <w:shd w:val="clear" w:color="auto" w:fill="auto"/>
        </w:rPr>
        <w:t>.4剪切钢板厚度≥15mm</w:t>
      </w:r>
      <w:r>
        <w:rPr>
          <w:rFonts w:hint="eastAsia" w:ascii="仿宋" w:hAnsi="仿宋" w:eastAsia="仿宋" w:cs="仿宋"/>
          <w:bCs/>
          <w:i w:val="0"/>
          <w:iCs w:val="0"/>
          <w:caps w:val="0"/>
          <w:color w:val="auto"/>
          <w:spacing w:val="0"/>
          <w:sz w:val="24"/>
          <w:szCs w:val="24"/>
          <w:highlight w:val="none"/>
          <w:shd w:val="clear" w:color="auto" w:fill="auto"/>
          <w:lang w:val="en-US" w:eastAsia="zh-CN"/>
        </w:rPr>
        <w:t>（板材）</w:t>
      </w:r>
    </w:p>
    <w:p>
      <w:pPr>
        <w:keepNext w:val="0"/>
        <w:keepLines w:val="0"/>
        <w:pageBreakBefore w:val="0"/>
        <w:widowControl w:val="0"/>
        <w:numPr>
          <w:ilvl w:val="0"/>
          <w:numId w:val="0"/>
        </w:numPr>
        <w:kinsoku/>
        <w:wordWrap/>
        <w:overflowPunct/>
        <w:topLinePunct w:val="0"/>
        <w:autoSpaceDE/>
        <w:autoSpaceDN/>
        <w:bidi w:val="0"/>
        <w:spacing w:line="460" w:lineRule="exact"/>
        <w:textAlignment w:val="auto"/>
        <w:outlineLvl w:val="9"/>
        <w:rPr>
          <w:rFonts w:hint="eastAsia" w:ascii="仿宋" w:hAnsi="仿宋" w:eastAsia="仿宋" w:cs="仿宋"/>
          <w:bCs/>
          <w:i w:val="0"/>
          <w:iCs w:val="0"/>
          <w:caps w:val="0"/>
          <w:color w:val="auto"/>
          <w:spacing w:val="0"/>
          <w:sz w:val="24"/>
          <w:szCs w:val="24"/>
          <w:highlight w:val="none"/>
          <w:shd w:val="clear" w:color="auto" w:fill="auto"/>
          <w:lang w:eastAsia="zh-CN"/>
        </w:rPr>
      </w:pPr>
      <w:r>
        <w:rPr>
          <w:rFonts w:hint="eastAsia" w:ascii="仿宋" w:hAnsi="仿宋" w:eastAsia="仿宋" w:cs="仿宋"/>
          <w:bCs/>
          <w:i w:val="0"/>
          <w:iCs w:val="0"/>
          <w:caps w:val="0"/>
          <w:color w:val="auto"/>
          <w:spacing w:val="0"/>
          <w:sz w:val="24"/>
          <w:szCs w:val="24"/>
          <w:highlight w:val="none"/>
          <w:shd w:val="clear" w:color="auto" w:fill="auto"/>
        </w:rPr>
        <w:t>3.</w:t>
      </w:r>
      <w:r>
        <w:rPr>
          <w:rFonts w:hint="eastAsia" w:ascii="仿宋" w:hAnsi="仿宋" w:eastAsia="仿宋" w:cs="仿宋"/>
          <w:bCs/>
          <w:i w:val="0"/>
          <w:iCs w:val="0"/>
          <w:caps w:val="0"/>
          <w:color w:val="auto"/>
          <w:spacing w:val="0"/>
          <w:sz w:val="24"/>
          <w:szCs w:val="24"/>
          <w:highlight w:val="none"/>
          <w:shd w:val="clear" w:color="auto" w:fill="auto"/>
          <w:lang w:val="en-US" w:eastAsia="zh-CN"/>
        </w:rPr>
        <w:t>5</w:t>
      </w:r>
      <w:r>
        <w:rPr>
          <w:rFonts w:hint="eastAsia" w:ascii="仿宋" w:hAnsi="仿宋" w:eastAsia="仿宋" w:cs="仿宋"/>
          <w:bCs/>
          <w:i w:val="0"/>
          <w:iCs w:val="0"/>
          <w:caps w:val="0"/>
          <w:color w:val="auto"/>
          <w:spacing w:val="0"/>
          <w:sz w:val="24"/>
          <w:szCs w:val="24"/>
          <w:highlight w:val="none"/>
          <w:shd w:val="clear" w:color="auto" w:fill="auto"/>
        </w:rPr>
        <w:t>.5重量≤19kg（不含电池）</w:t>
      </w:r>
    </w:p>
    <w:p>
      <w:pPr>
        <w:keepNext w:val="0"/>
        <w:keepLines w:val="0"/>
        <w:pageBreakBefore w:val="0"/>
        <w:widowControl w:val="0"/>
        <w:numPr>
          <w:ilvl w:val="0"/>
          <w:numId w:val="0"/>
        </w:numPr>
        <w:kinsoku/>
        <w:wordWrap/>
        <w:overflowPunct/>
        <w:topLinePunct w:val="0"/>
        <w:autoSpaceDE/>
        <w:autoSpaceDN/>
        <w:bidi w:val="0"/>
        <w:spacing w:line="460" w:lineRule="exact"/>
        <w:textAlignment w:val="auto"/>
        <w:outlineLvl w:val="9"/>
        <w:rPr>
          <w:rFonts w:hint="eastAsia" w:ascii="仿宋" w:hAnsi="仿宋" w:eastAsia="仿宋" w:cs="仿宋"/>
          <w:bCs/>
          <w:i w:val="0"/>
          <w:iCs w:val="0"/>
          <w:caps w:val="0"/>
          <w:color w:val="auto"/>
          <w:spacing w:val="0"/>
          <w:sz w:val="24"/>
          <w:szCs w:val="24"/>
          <w:highlight w:val="none"/>
          <w:shd w:val="clear" w:color="auto" w:fill="auto"/>
          <w:lang w:eastAsia="zh-CN"/>
        </w:rPr>
      </w:pPr>
      <w:r>
        <w:rPr>
          <w:rFonts w:hint="eastAsia" w:ascii="仿宋" w:hAnsi="仿宋" w:eastAsia="仿宋" w:cs="仿宋"/>
          <w:bCs/>
          <w:i w:val="0"/>
          <w:iCs w:val="0"/>
          <w:caps w:val="0"/>
          <w:color w:val="auto"/>
          <w:spacing w:val="0"/>
          <w:sz w:val="24"/>
          <w:szCs w:val="24"/>
          <w:highlight w:val="none"/>
          <w:shd w:val="clear" w:color="auto" w:fill="auto"/>
        </w:rPr>
        <w:t>3.</w:t>
      </w:r>
      <w:r>
        <w:rPr>
          <w:rFonts w:hint="eastAsia" w:ascii="仿宋" w:hAnsi="仿宋" w:eastAsia="仿宋" w:cs="仿宋"/>
          <w:bCs/>
          <w:i w:val="0"/>
          <w:iCs w:val="0"/>
          <w:caps w:val="0"/>
          <w:color w:val="auto"/>
          <w:spacing w:val="0"/>
          <w:sz w:val="24"/>
          <w:szCs w:val="24"/>
          <w:highlight w:val="none"/>
          <w:shd w:val="clear" w:color="auto" w:fill="auto"/>
          <w:lang w:val="en-US" w:eastAsia="zh-CN"/>
        </w:rPr>
        <w:t>5</w:t>
      </w:r>
      <w:r>
        <w:rPr>
          <w:rFonts w:hint="eastAsia" w:ascii="仿宋" w:hAnsi="仿宋" w:eastAsia="仿宋" w:cs="仿宋"/>
          <w:bCs/>
          <w:i w:val="0"/>
          <w:iCs w:val="0"/>
          <w:caps w:val="0"/>
          <w:color w:val="auto"/>
          <w:spacing w:val="0"/>
          <w:sz w:val="24"/>
          <w:szCs w:val="24"/>
          <w:highlight w:val="none"/>
          <w:shd w:val="clear" w:color="auto" w:fill="auto"/>
        </w:rPr>
        <w:t>.6外形尺寸≤930*250*265mm</w:t>
      </w:r>
    </w:p>
    <w:p>
      <w:pPr>
        <w:keepNext w:val="0"/>
        <w:keepLines w:val="0"/>
        <w:pageBreakBefore w:val="0"/>
        <w:widowControl w:val="0"/>
        <w:numPr>
          <w:ilvl w:val="0"/>
          <w:numId w:val="0"/>
        </w:numPr>
        <w:kinsoku/>
        <w:wordWrap/>
        <w:overflowPunct/>
        <w:topLinePunct w:val="0"/>
        <w:autoSpaceDE/>
        <w:autoSpaceDN/>
        <w:bidi w:val="0"/>
        <w:spacing w:line="460" w:lineRule="exact"/>
        <w:textAlignment w:val="auto"/>
        <w:outlineLvl w:val="9"/>
        <w:rPr>
          <w:rFonts w:hint="eastAsia" w:ascii="仿宋" w:hAnsi="仿宋" w:eastAsia="仿宋" w:cs="仿宋"/>
          <w:bCs/>
          <w:i w:val="0"/>
          <w:iCs w:val="0"/>
          <w:caps w:val="0"/>
          <w:color w:val="auto"/>
          <w:spacing w:val="0"/>
          <w:sz w:val="24"/>
          <w:szCs w:val="24"/>
          <w:highlight w:val="none"/>
          <w:shd w:val="clear" w:color="auto" w:fill="auto"/>
          <w:lang w:eastAsia="zh-CN"/>
        </w:rPr>
      </w:pPr>
      <w:r>
        <w:rPr>
          <w:rFonts w:hint="eastAsia" w:ascii="仿宋" w:hAnsi="仿宋" w:eastAsia="仿宋" w:cs="仿宋"/>
          <w:bCs/>
          <w:i w:val="0"/>
          <w:iCs w:val="0"/>
          <w:caps w:val="0"/>
          <w:color w:val="auto"/>
          <w:spacing w:val="0"/>
          <w:sz w:val="24"/>
          <w:szCs w:val="24"/>
          <w:highlight w:val="none"/>
          <w:shd w:val="clear" w:color="auto" w:fill="auto"/>
        </w:rPr>
        <w:t>3.</w:t>
      </w:r>
      <w:r>
        <w:rPr>
          <w:rFonts w:hint="eastAsia" w:ascii="仿宋" w:hAnsi="仿宋" w:eastAsia="仿宋" w:cs="仿宋"/>
          <w:bCs/>
          <w:i w:val="0"/>
          <w:iCs w:val="0"/>
          <w:caps w:val="0"/>
          <w:color w:val="auto"/>
          <w:spacing w:val="0"/>
          <w:sz w:val="24"/>
          <w:szCs w:val="24"/>
          <w:highlight w:val="none"/>
          <w:shd w:val="clear" w:color="auto" w:fill="auto"/>
          <w:lang w:val="en-US" w:eastAsia="zh-CN"/>
        </w:rPr>
        <w:t>6</w:t>
      </w:r>
      <w:r>
        <w:rPr>
          <w:rFonts w:hint="eastAsia" w:ascii="仿宋" w:hAnsi="仿宋" w:eastAsia="仿宋" w:cs="仿宋"/>
          <w:bCs/>
          <w:color w:val="auto"/>
          <w:sz w:val="24"/>
          <w:szCs w:val="24"/>
          <w:highlight w:val="none"/>
          <w:shd w:val="clear" w:color="auto" w:fill="auto"/>
        </w:rPr>
        <w:t>配≥9块电池且可通用；单块电池充电时间：≤2h，可持续工作时间：≥1h；</w:t>
      </w:r>
    </w:p>
    <w:p>
      <w:pPr>
        <w:keepNext w:val="0"/>
        <w:keepLines w:val="0"/>
        <w:pageBreakBefore w:val="0"/>
        <w:widowControl w:val="0"/>
        <w:numPr>
          <w:ilvl w:val="0"/>
          <w:numId w:val="0"/>
        </w:numPr>
        <w:kinsoku/>
        <w:wordWrap/>
        <w:overflowPunct/>
        <w:topLinePunct w:val="0"/>
        <w:autoSpaceDE/>
        <w:autoSpaceDN/>
        <w:bidi w:val="0"/>
        <w:spacing w:line="460" w:lineRule="exact"/>
        <w:textAlignment w:val="auto"/>
        <w:outlineLvl w:val="9"/>
        <w:rPr>
          <w:rFonts w:hint="eastAsia" w:ascii="仿宋" w:hAnsi="仿宋" w:eastAsia="仿宋" w:cs="仿宋"/>
          <w:bCs/>
          <w:i w:val="0"/>
          <w:iCs w:val="0"/>
          <w:caps w:val="0"/>
          <w:color w:val="auto"/>
          <w:spacing w:val="0"/>
          <w:sz w:val="24"/>
          <w:szCs w:val="24"/>
          <w:highlight w:val="none"/>
          <w:shd w:val="clear" w:color="auto" w:fill="auto"/>
          <w:lang w:eastAsia="zh-CN"/>
        </w:rPr>
      </w:pPr>
      <w:r>
        <w:rPr>
          <w:rFonts w:hint="eastAsia" w:ascii="仿宋" w:hAnsi="仿宋" w:eastAsia="仿宋" w:cs="仿宋"/>
          <w:bCs/>
          <w:i w:val="0"/>
          <w:iCs w:val="0"/>
          <w:caps w:val="0"/>
          <w:color w:val="auto"/>
          <w:spacing w:val="0"/>
          <w:sz w:val="24"/>
          <w:szCs w:val="24"/>
          <w:highlight w:val="none"/>
          <w:shd w:val="clear" w:color="auto" w:fill="auto"/>
        </w:rPr>
        <w:t>3.</w:t>
      </w:r>
      <w:r>
        <w:rPr>
          <w:rFonts w:hint="eastAsia" w:ascii="仿宋" w:hAnsi="仿宋" w:eastAsia="仿宋" w:cs="仿宋"/>
          <w:bCs/>
          <w:i w:val="0"/>
          <w:iCs w:val="0"/>
          <w:caps w:val="0"/>
          <w:color w:val="auto"/>
          <w:spacing w:val="0"/>
          <w:sz w:val="24"/>
          <w:szCs w:val="24"/>
          <w:highlight w:val="none"/>
          <w:shd w:val="clear" w:color="auto" w:fill="auto"/>
          <w:lang w:val="en-US" w:eastAsia="zh-CN"/>
        </w:rPr>
        <w:t xml:space="preserve">7 </w:t>
      </w:r>
      <w:r>
        <w:rPr>
          <w:rFonts w:hint="eastAsia" w:ascii="仿宋" w:hAnsi="仿宋" w:eastAsia="仿宋" w:cs="仿宋"/>
          <w:bCs/>
          <w:color w:val="auto"/>
          <w:sz w:val="24"/>
          <w:szCs w:val="24"/>
          <w:highlight w:val="none"/>
          <w:shd w:val="clear" w:color="auto" w:fill="auto"/>
        </w:rPr>
        <w:t>LED指示灯即时显示剩余电池电量；</w:t>
      </w:r>
    </w:p>
    <w:p>
      <w:pPr>
        <w:keepNext w:val="0"/>
        <w:keepLines w:val="0"/>
        <w:pageBreakBefore w:val="0"/>
        <w:widowControl w:val="0"/>
        <w:numPr>
          <w:ilvl w:val="0"/>
          <w:numId w:val="0"/>
        </w:numPr>
        <w:kinsoku/>
        <w:wordWrap/>
        <w:overflowPunct/>
        <w:topLinePunct w:val="0"/>
        <w:autoSpaceDE/>
        <w:autoSpaceDN/>
        <w:bidi w:val="0"/>
        <w:spacing w:line="460" w:lineRule="exact"/>
        <w:textAlignment w:val="auto"/>
        <w:outlineLvl w:val="9"/>
        <w:rPr>
          <w:rFonts w:hint="eastAsia" w:ascii="仿宋" w:hAnsi="仿宋" w:eastAsia="仿宋" w:cs="仿宋"/>
          <w:bCs/>
          <w:i w:val="0"/>
          <w:iCs w:val="0"/>
          <w:caps w:val="0"/>
          <w:color w:val="auto"/>
          <w:spacing w:val="0"/>
          <w:sz w:val="24"/>
          <w:szCs w:val="24"/>
          <w:highlight w:val="none"/>
          <w:shd w:val="clear" w:color="auto" w:fill="auto"/>
          <w:lang w:eastAsia="zh-CN"/>
        </w:rPr>
      </w:pPr>
      <w:r>
        <w:rPr>
          <w:rFonts w:hint="eastAsia" w:ascii="仿宋" w:hAnsi="仿宋" w:eastAsia="仿宋" w:cs="仿宋"/>
          <w:bCs/>
          <w:i w:val="0"/>
          <w:iCs w:val="0"/>
          <w:caps w:val="0"/>
          <w:color w:val="auto"/>
          <w:spacing w:val="0"/>
          <w:sz w:val="24"/>
          <w:szCs w:val="24"/>
          <w:highlight w:val="none"/>
          <w:shd w:val="clear" w:color="auto" w:fill="auto"/>
        </w:rPr>
        <w:t>3.</w:t>
      </w:r>
      <w:r>
        <w:rPr>
          <w:rFonts w:hint="eastAsia" w:ascii="仿宋" w:hAnsi="仿宋" w:eastAsia="仿宋" w:cs="仿宋"/>
          <w:bCs/>
          <w:i w:val="0"/>
          <w:iCs w:val="0"/>
          <w:caps w:val="0"/>
          <w:color w:val="auto"/>
          <w:spacing w:val="0"/>
          <w:sz w:val="24"/>
          <w:szCs w:val="24"/>
          <w:highlight w:val="none"/>
          <w:shd w:val="clear" w:color="auto" w:fill="auto"/>
          <w:lang w:val="en-US" w:eastAsia="zh-CN"/>
        </w:rPr>
        <w:t>8</w:t>
      </w:r>
      <w:r>
        <w:rPr>
          <w:rFonts w:hint="eastAsia" w:ascii="仿宋" w:hAnsi="仿宋" w:eastAsia="仿宋" w:cs="仿宋"/>
          <w:bCs/>
          <w:i w:val="0"/>
          <w:iCs w:val="0"/>
          <w:caps w:val="0"/>
          <w:color w:val="auto"/>
          <w:spacing w:val="0"/>
          <w:sz w:val="24"/>
          <w:szCs w:val="24"/>
          <w:highlight w:val="none"/>
          <w:shd w:val="clear" w:color="auto" w:fill="auto"/>
        </w:rPr>
        <w:t>配有LED灯照明系统功能，便于夜间和狭小空间照明使用；</w:t>
      </w:r>
    </w:p>
    <w:p>
      <w:pPr>
        <w:keepNext w:val="0"/>
        <w:keepLines w:val="0"/>
        <w:pageBreakBefore w:val="0"/>
        <w:widowControl w:val="0"/>
        <w:numPr>
          <w:ilvl w:val="0"/>
          <w:numId w:val="0"/>
        </w:numPr>
        <w:kinsoku/>
        <w:wordWrap/>
        <w:overflowPunct/>
        <w:topLinePunct w:val="0"/>
        <w:autoSpaceDE/>
        <w:autoSpaceDN/>
        <w:bidi w:val="0"/>
        <w:spacing w:line="460" w:lineRule="exact"/>
        <w:textAlignment w:val="auto"/>
        <w:outlineLvl w:val="9"/>
        <w:rPr>
          <w:rFonts w:hint="eastAsia" w:ascii="仿宋" w:hAnsi="仿宋" w:eastAsia="仿宋" w:cs="仿宋"/>
          <w:bCs/>
          <w:i w:val="0"/>
          <w:iCs w:val="0"/>
          <w:caps w:val="0"/>
          <w:color w:val="auto"/>
          <w:spacing w:val="0"/>
          <w:sz w:val="24"/>
          <w:szCs w:val="24"/>
          <w:highlight w:val="none"/>
          <w:shd w:val="clear" w:color="auto" w:fill="auto"/>
          <w:lang w:eastAsia="zh-CN"/>
        </w:rPr>
      </w:pPr>
      <w:r>
        <w:rPr>
          <w:rFonts w:hint="eastAsia" w:ascii="仿宋" w:hAnsi="仿宋" w:eastAsia="仿宋" w:cs="仿宋"/>
          <w:bCs/>
          <w:i w:val="0"/>
          <w:iCs w:val="0"/>
          <w:caps w:val="0"/>
          <w:color w:val="auto"/>
          <w:spacing w:val="0"/>
          <w:sz w:val="24"/>
          <w:szCs w:val="24"/>
          <w:highlight w:val="none"/>
          <w:shd w:val="clear" w:color="auto" w:fill="auto"/>
        </w:rPr>
        <w:t>3.</w:t>
      </w:r>
      <w:r>
        <w:rPr>
          <w:rFonts w:hint="eastAsia" w:ascii="仿宋" w:hAnsi="仿宋" w:eastAsia="仿宋" w:cs="仿宋"/>
          <w:bCs/>
          <w:i w:val="0"/>
          <w:iCs w:val="0"/>
          <w:caps w:val="0"/>
          <w:color w:val="auto"/>
          <w:spacing w:val="0"/>
          <w:sz w:val="24"/>
          <w:szCs w:val="24"/>
          <w:highlight w:val="none"/>
          <w:shd w:val="clear" w:color="auto" w:fill="auto"/>
          <w:lang w:val="en-US" w:eastAsia="zh-CN"/>
        </w:rPr>
        <w:t>9</w:t>
      </w:r>
      <w:r>
        <w:rPr>
          <w:rFonts w:hint="eastAsia" w:ascii="仿宋" w:hAnsi="仿宋" w:eastAsia="仿宋" w:cs="仿宋"/>
          <w:bCs/>
          <w:i w:val="0"/>
          <w:iCs w:val="0"/>
          <w:caps w:val="0"/>
          <w:color w:val="auto"/>
          <w:spacing w:val="0"/>
          <w:sz w:val="24"/>
          <w:szCs w:val="24"/>
          <w:highlight w:val="none"/>
          <w:shd w:val="clear" w:color="auto" w:fill="auto"/>
        </w:rPr>
        <w:t>配</w:t>
      </w:r>
      <w:r>
        <w:rPr>
          <w:rFonts w:hint="eastAsia" w:ascii="仿宋" w:hAnsi="仿宋" w:eastAsia="仿宋" w:cs="仿宋"/>
          <w:bCs/>
          <w:i w:val="0"/>
          <w:iCs w:val="0"/>
          <w:caps w:val="0"/>
          <w:color w:val="auto"/>
          <w:spacing w:val="0"/>
          <w:sz w:val="24"/>
          <w:szCs w:val="24"/>
          <w:highlight w:val="none"/>
          <w:shd w:val="clear" w:color="auto" w:fill="auto"/>
          <w:lang w:eastAsia="zh-CN"/>
        </w:rPr>
        <w:t>备</w:t>
      </w:r>
      <w:r>
        <w:rPr>
          <w:rFonts w:hint="eastAsia" w:ascii="仿宋" w:hAnsi="仿宋" w:eastAsia="仿宋" w:cs="仿宋"/>
          <w:bCs/>
          <w:i w:val="0"/>
          <w:iCs w:val="0"/>
          <w:caps w:val="0"/>
          <w:color w:val="auto"/>
          <w:spacing w:val="0"/>
          <w:sz w:val="24"/>
          <w:szCs w:val="24"/>
          <w:highlight w:val="none"/>
          <w:shd w:val="clear" w:color="auto" w:fill="auto"/>
        </w:rPr>
        <w:t>包装箱</w:t>
      </w:r>
      <w:r>
        <w:rPr>
          <w:rFonts w:hint="eastAsia" w:ascii="仿宋" w:hAnsi="仿宋" w:eastAsia="仿宋" w:cs="仿宋"/>
          <w:bCs/>
          <w:i w:val="0"/>
          <w:iCs w:val="0"/>
          <w:caps w:val="0"/>
          <w:color w:val="auto"/>
          <w:spacing w:val="0"/>
          <w:sz w:val="24"/>
          <w:szCs w:val="24"/>
          <w:highlight w:val="none"/>
          <w:shd w:val="clear" w:color="auto" w:fill="auto"/>
          <w:lang w:eastAsia="zh-CN"/>
        </w:rPr>
        <w:t>、</w:t>
      </w:r>
      <w:r>
        <w:rPr>
          <w:rFonts w:hint="eastAsia" w:ascii="仿宋" w:hAnsi="仿宋" w:eastAsia="仿宋" w:cs="仿宋"/>
          <w:bCs/>
          <w:i w:val="0"/>
          <w:iCs w:val="0"/>
          <w:caps w:val="0"/>
          <w:color w:val="auto"/>
          <w:spacing w:val="0"/>
          <w:sz w:val="24"/>
          <w:szCs w:val="24"/>
          <w:highlight w:val="none"/>
          <w:shd w:val="clear" w:color="auto" w:fill="auto"/>
        </w:rPr>
        <w:t>充电器套装（满足≥2块电池同时充电）；</w:t>
      </w:r>
    </w:p>
    <w:p>
      <w:pPr>
        <w:keepNext w:val="0"/>
        <w:keepLines w:val="0"/>
        <w:pageBreakBefore w:val="0"/>
        <w:widowControl w:val="0"/>
        <w:numPr>
          <w:ilvl w:val="0"/>
          <w:numId w:val="0"/>
        </w:numPr>
        <w:kinsoku/>
        <w:wordWrap/>
        <w:overflowPunct/>
        <w:topLinePunct w:val="0"/>
        <w:autoSpaceDE/>
        <w:autoSpaceDN/>
        <w:bidi w:val="0"/>
        <w:spacing w:line="460" w:lineRule="exact"/>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i w:val="0"/>
          <w:iCs w:val="0"/>
          <w:caps w:val="0"/>
          <w:color w:val="auto"/>
          <w:spacing w:val="0"/>
          <w:sz w:val="24"/>
          <w:szCs w:val="24"/>
          <w:highlight w:val="none"/>
          <w:shd w:val="clear" w:color="auto" w:fill="auto"/>
        </w:rPr>
        <w:t>3.</w:t>
      </w:r>
      <w:r>
        <w:rPr>
          <w:rFonts w:hint="eastAsia" w:ascii="仿宋" w:hAnsi="仿宋" w:eastAsia="仿宋" w:cs="仿宋"/>
          <w:bCs/>
          <w:i w:val="0"/>
          <w:iCs w:val="0"/>
          <w:caps w:val="0"/>
          <w:color w:val="auto"/>
          <w:spacing w:val="0"/>
          <w:sz w:val="24"/>
          <w:szCs w:val="24"/>
          <w:highlight w:val="none"/>
          <w:shd w:val="clear" w:color="auto" w:fill="auto"/>
          <w:lang w:val="en-US" w:eastAsia="zh-CN"/>
        </w:rPr>
        <w:t>10</w:t>
      </w:r>
      <w:r>
        <w:rPr>
          <w:rFonts w:hint="eastAsia" w:ascii="仿宋" w:hAnsi="仿宋" w:eastAsia="仿宋" w:cs="仿宋"/>
          <w:bCs/>
          <w:i w:val="0"/>
          <w:iCs w:val="0"/>
          <w:caps w:val="0"/>
          <w:color w:val="auto"/>
          <w:spacing w:val="0"/>
          <w:sz w:val="24"/>
          <w:szCs w:val="24"/>
          <w:highlight w:val="none"/>
          <w:shd w:val="clear" w:color="auto" w:fill="auto"/>
        </w:rPr>
        <w:t>供货前与用户单位对接，提供中文使用说明书，含装备简介、使用注意事项及维护保养等内容。</w:t>
      </w:r>
    </w:p>
    <w:p>
      <w:pPr>
        <w:keepNext w:val="0"/>
        <w:keepLines w:val="0"/>
        <w:pageBreakBefore w:val="0"/>
        <w:kinsoku/>
        <w:wordWrap/>
        <w:overflowPunct/>
        <w:topLinePunct w:val="0"/>
        <w:autoSpaceDE/>
        <w:autoSpaceDN/>
        <w:bidi w:val="0"/>
        <w:adjustRightInd w:val="0"/>
        <w:snapToGrid w:val="0"/>
        <w:spacing w:line="460" w:lineRule="exact"/>
        <w:ind w:left="0" w:leftChars="0" w:right="0" w:rightChars="0" w:firstLine="0" w:firstLineChars="0"/>
        <w:jc w:val="both"/>
        <w:outlineLvl w:val="9"/>
        <w:rPr>
          <w:rFonts w:hint="eastAsia" w:ascii="仿宋" w:hAnsi="仿宋" w:eastAsia="仿宋" w:cs="仿宋"/>
          <w:b/>
          <w:bCs/>
          <w:color w:val="auto"/>
          <w:kern w:val="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1"/>
        <w:rPr>
          <w:rFonts w:hint="eastAsia" w:ascii="仿宋" w:hAnsi="仿宋" w:eastAsia="仿宋" w:cs="仿宋"/>
          <w:b/>
          <w:bCs/>
          <w:color w:val="auto"/>
          <w:sz w:val="24"/>
          <w:szCs w:val="24"/>
          <w:highlight w:val="none"/>
          <w:lang w:val="en-US" w:eastAsia="zh-CN"/>
        </w:rPr>
      </w:pPr>
      <w:bookmarkStart w:id="469" w:name="_Toc4967"/>
      <w:bookmarkStart w:id="470" w:name="_Toc26785"/>
      <w:bookmarkStart w:id="471" w:name="_Toc20751"/>
      <w:bookmarkStart w:id="472" w:name="_Toc25439"/>
      <w:r>
        <w:rPr>
          <w:rFonts w:hint="eastAsia" w:ascii="仿宋" w:hAnsi="仿宋" w:eastAsia="仿宋" w:cs="仿宋"/>
          <w:b/>
          <w:bCs/>
          <w:color w:val="auto"/>
          <w:sz w:val="24"/>
          <w:szCs w:val="24"/>
          <w:highlight w:val="none"/>
          <w:lang w:val="en-US" w:eastAsia="zh-CN"/>
        </w:rPr>
        <w:t>22包：等离子切割机【核心产品】、氧炔气焊切割设备</w:t>
      </w:r>
      <w:bookmarkEnd w:id="469"/>
      <w:bookmarkEnd w:id="470"/>
      <w:bookmarkEnd w:id="471"/>
      <w:bookmarkEnd w:id="472"/>
    </w:p>
    <w:p>
      <w:pPr>
        <w:keepNext w:val="0"/>
        <w:keepLines w:val="0"/>
        <w:pageBreakBefore w:val="0"/>
        <w:kinsoku/>
        <w:wordWrap/>
        <w:overflowPunct/>
        <w:topLinePunct w:val="0"/>
        <w:autoSpaceDE/>
        <w:autoSpaceDN/>
        <w:bidi w:val="0"/>
        <w:adjustRightInd w:val="0"/>
        <w:snapToGrid w:val="0"/>
        <w:spacing w:line="460" w:lineRule="exact"/>
        <w:ind w:left="0" w:leftChars="0" w:right="0" w:rightChars="0" w:firstLine="0" w:firstLineChars="0"/>
        <w:jc w:val="both"/>
        <w:outlineLvl w:val="9"/>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22包-1、</w:t>
      </w:r>
      <w:r>
        <w:rPr>
          <w:rFonts w:hint="eastAsia" w:ascii="仿宋" w:hAnsi="仿宋" w:eastAsia="仿宋" w:cs="仿宋"/>
          <w:b/>
          <w:bCs w:val="0"/>
          <w:color w:val="auto"/>
          <w:sz w:val="24"/>
          <w:szCs w:val="24"/>
          <w:highlight w:val="none"/>
          <w:lang w:val="en-US" w:eastAsia="zh-CN"/>
        </w:rPr>
        <w:t>等离子切割机</w:t>
      </w:r>
    </w:p>
    <w:p>
      <w:pPr>
        <w:keepNext w:val="0"/>
        <w:keepLines w:val="0"/>
        <w:pageBreakBefore w:val="0"/>
        <w:widowControl w:val="0"/>
        <w:numPr>
          <w:ilvl w:val="0"/>
          <w:numId w:val="0"/>
        </w:numPr>
        <w:kinsoku/>
        <w:wordWrap/>
        <w:overflowPunct/>
        <w:topLinePunct w:val="0"/>
        <w:autoSpaceDE/>
        <w:autoSpaceDN/>
        <w:bidi w:val="0"/>
        <w:adjustRightInd w:val="0"/>
        <w:snapToGrid w:val="0"/>
        <w:spacing w:line="460" w:lineRule="exact"/>
        <w:ind w:left="0" w:leftChars="0" w:right="0" w:rightChars="0" w:firstLine="0" w:firstLineChars="0"/>
        <w:jc w:val="both"/>
        <w:textAlignment w:val="auto"/>
        <w:outlineLvl w:val="9"/>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kern w:val="2"/>
          <w:sz w:val="24"/>
          <w:szCs w:val="24"/>
          <w:highlight w:val="none"/>
          <w:lang w:val="en-US" w:eastAsia="zh-CN" w:bidi="ar-SA"/>
        </w:rPr>
        <w:t>一、</w:t>
      </w:r>
      <w:r>
        <w:rPr>
          <w:rFonts w:hint="eastAsia" w:ascii="仿宋" w:hAnsi="仿宋" w:eastAsia="仿宋" w:cs="仿宋"/>
          <w:bCs/>
          <w:color w:val="auto"/>
          <w:sz w:val="24"/>
          <w:szCs w:val="24"/>
          <w:highlight w:val="none"/>
        </w:rPr>
        <w:t>货物名称</w:t>
      </w:r>
      <w:r>
        <w:rPr>
          <w:rFonts w:hint="eastAsia" w:ascii="仿宋" w:hAnsi="仿宋" w:eastAsia="仿宋" w:cs="仿宋"/>
          <w:bCs/>
          <w:color w:val="auto"/>
          <w:sz w:val="24"/>
          <w:szCs w:val="24"/>
          <w:highlight w:val="none"/>
          <w:lang w:val="en-US" w:eastAsia="zh-CN"/>
        </w:rPr>
        <w:t>：等离子切割机</w:t>
      </w:r>
    </w:p>
    <w:p>
      <w:pPr>
        <w:keepNext w:val="0"/>
        <w:keepLines w:val="0"/>
        <w:pageBreakBefore w:val="0"/>
        <w:widowControl w:val="0"/>
        <w:numPr>
          <w:ilvl w:val="0"/>
          <w:numId w:val="0"/>
        </w:numPr>
        <w:kinsoku/>
        <w:wordWrap/>
        <w:overflowPunct/>
        <w:topLinePunct w:val="0"/>
        <w:autoSpaceDE/>
        <w:autoSpaceDN/>
        <w:bidi w:val="0"/>
        <w:adjustRightInd w:val="0"/>
        <w:snapToGrid w:val="0"/>
        <w:spacing w:line="460" w:lineRule="exact"/>
        <w:ind w:left="0" w:leftChars="0" w:right="0" w:rightChars="0" w:firstLine="0" w:firstLineChars="0"/>
        <w:jc w:val="both"/>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kern w:val="2"/>
          <w:sz w:val="24"/>
          <w:szCs w:val="24"/>
          <w:highlight w:val="none"/>
          <w:lang w:val="en-US" w:eastAsia="zh-CN" w:bidi="ar-SA"/>
        </w:rPr>
        <w:t>二、</w:t>
      </w:r>
      <w:r>
        <w:rPr>
          <w:rFonts w:hint="eastAsia" w:ascii="仿宋" w:hAnsi="仿宋" w:eastAsia="仿宋" w:cs="仿宋"/>
          <w:bCs/>
          <w:color w:val="auto"/>
          <w:sz w:val="24"/>
          <w:szCs w:val="24"/>
          <w:highlight w:val="none"/>
        </w:rPr>
        <w:t>产地：国产</w:t>
      </w:r>
    </w:p>
    <w:p>
      <w:pPr>
        <w:keepNext w:val="0"/>
        <w:keepLines w:val="0"/>
        <w:pageBreakBefore w:val="0"/>
        <w:widowControl w:val="0"/>
        <w:kinsoku/>
        <w:wordWrap/>
        <w:overflowPunct/>
        <w:topLinePunct w:val="0"/>
        <w:autoSpaceDE/>
        <w:autoSpaceDN/>
        <w:bidi w:val="0"/>
        <w:adjustRightInd w:val="0"/>
        <w:snapToGrid w:val="0"/>
        <w:spacing w:line="460" w:lineRule="exact"/>
        <w:ind w:left="0" w:leftChars="0" w:right="0" w:rightChars="0" w:firstLine="0" w:firstLineChars="0"/>
        <w:jc w:val="both"/>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三、主要技术规格、参数及要求：</w:t>
      </w:r>
    </w:p>
    <w:p>
      <w:pPr>
        <w:pStyle w:val="13"/>
        <w:keepNext w:val="0"/>
        <w:keepLines w:val="0"/>
        <w:pageBreakBefore w:val="0"/>
        <w:kinsoku/>
        <w:wordWrap/>
        <w:overflowPunct/>
        <w:topLinePunct w:val="0"/>
        <w:bidi w:val="0"/>
        <w:spacing w:after="0" w:line="460" w:lineRule="exact"/>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val="en-US" w:eastAsia="zh-CN" w:bidi="ar"/>
        </w:rPr>
        <w:t>★3.1产品符合</w:t>
      </w:r>
      <w:r>
        <w:rPr>
          <w:rFonts w:hint="eastAsia" w:ascii="仿宋" w:hAnsi="仿宋" w:eastAsia="仿宋" w:cs="仿宋"/>
          <w:bCs/>
          <w:color w:val="auto"/>
          <w:sz w:val="24"/>
          <w:szCs w:val="24"/>
          <w:highlight w:val="none"/>
          <w:lang w:val="en-US" w:eastAsia="zh-CN"/>
        </w:rPr>
        <w:t>JB/T7438-2017《热切割设备空气等离子弧切割机》</w:t>
      </w:r>
      <w:r>
        <w:rPr>
          <w:rFonts w:hint="eastAsia" w:ascii="仿宋" w:hAnsi="仿宋" w:eastAsia="仿宋" w:cs="仿宋"/>
          <w:color w:val="auto"/>
          <w:kern w:val="2"/>
          <w:sz w:val="24"/>
          <w:szCs w:val="24"/>
          <w:highlight w:val="none"/>
          <w:lang w:val="en-US" w:eastAsia="zh-CN" w:bidi="ar"/>
        </w:rPr>
        <w:t>标准的要求，</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spacing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
        </w:rPr>
        <w:t>▲</w:t>
      </w:r>
      <w:r>
        <w:rPr>
          <w:rFonts w:hint="eastAsia" w:ascii="仿宋" w:hAnsi="仿宋" w:eastAsia="仿宋" w:cs="仿宋"/>
          <w:color w:val="auto"/>
          <w:sz w:val="24"/>
          <w:szCs w:val="24"/>
          <w:highlight w:val="none"/>
          <w:lang w:val="en-US" w:eastAsia="zh-CN"/>
        </w:rPr>
        <w:t>3.2重量：≤7kg；</w:t>
      </w:r>
    </w:p>
    <w:p>
      <w:pPr>
        <w:keepNext w:val="0"/>
        <w:keepLines w:val="0"/>
        <w:pageBreakBefore w:val="0"/>
        <w:widowControl w:val="0"/>
        <w:kinsoku/>
        <w:wordWrap/>
        <w:overflowPunct/>
        <w:topLinePunct w:val="0"/>
        <w:autoSpaceDE/>
        <w:autoSpaceDN/>
        <w:bidi w:val="0"/>
        <w:spacing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
        </w:rPr>
        <w:t>▲</w:t>
      </w:r>
      <w:r>
        <w:rPr>
          <w:rFonts w:hint="eastAsia" w:ascii="仿宋" w:hAnsi="仿宋" w:eastAsia="仿宋" w:cs="仿宋"/>
          <w:color w:val="auto"/>
          <w:sz w:val="24"/>
          <w:szCs w:val="24"/>
          <w:highlight w:val="none"/>
          <w:lang w:val="en-US" w:eastAsia="zh-CN"/>
        </w:rPr>
        <w:t>3.3连续工作时间：≥30min/1次加水；</w:t>
      </w:r>
    </w:p>
    <w:p>
      <w:pPr>
        <w:keepNext w:val="0"/>
        <w:keepLines w:val="0"/>
        <w:pageBreakBefore w:val="0"/>
        <w:widowControl w:val="0"/>
        <w:kinsoku/>
        <w:wordWrap/>
        <w:overflowPunct/>
        <w:topLinePunct w:val="0"/>
        <w:autoSpaceDE/>
        <w:autoSpaceDN/>
        <w:bidi w:val="0"/>
        <w:spacing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
        </w:rPr>
        <w:t>▲</w:t>
      </w:r>
      <w:r>
        <w:rPr>
          <w:rFonts w:hint="eastAsia" w:ascii="仿宋" w:hAnsi="仿宋" w:eastAsia="仿宋" w:cs="仿宋"/>
          <w:color w:val="auto"/>
          <w:sz w:val="24"/>
          <w:szCs w:val="24"/>
          <w:highlight w:val="none"/>
          <w:lang w:val="en-US" w:eastAsia="zh-CN"/>
        </w:rPr>
        <w:t>3.4钢板最大切割厚度：≥17毫米；</w:t>
      </w:r>
    </w:p>
    <w:p>
      <w:pPr>
        <w:keepNext w:val="0"/>
        <w:keepLines w:val="0"/>
        <w:pageBreakBefore w:val="0"/>
        <w:widowControl w:val="0"/>
        <w:kinsoku/>
        <w:wordWrap/>
        <w:overflowPunct/>
        <w:topLinePunct w:val="0"/>
        <w:autoSpaceDE/>
        <w:autoSpaceDN/>
        <w:bidi w:val="0"/>
        <w:adjustRightInd w:val="0"/>
        <w:snapToGrid w:val="0"/>
        <w:spacing w:line="460" w:lineRule="exact"/>
        <w:ind w:left="0" w:leftChars="0" w:right="0" w:rightChars="0" w:firstLine="0" w:firstLineChars="0"/>
        <w:jc w:val="both"/>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3.5可切割或焊接各种金属（例如碳钢、合金钢、铸铁、铜类、铝合金等），能实现异种金属的熔焊、钎焊及切割绝缘材料（例如石英玻璃、陶瓷、水泥、石块等不燃材料）</w:t>
      </w:r>
    </w:p>
    <w:p>
      <w:pPr>
        <w:keepNext w:val="0"/>
        <w:keepLines w:val="0"/>
        <w:pageBreakBefore w:val="0"/>
        <w:widowControl w:val="0"/>
        <w:kinsoku/>
        <w:wordWrap/>
        <w:overflowPunct/>
        <w:topLinePunct w:val="0"/>
        <w:autoSpaceDE/>
        <w:autoSpaceDN/>
        <w:bidi w:val="0"/>
        <w:adjustRightInd w:val="0"/>
        <w:snapToGrid w:val="0"/>
        <w:spacing w:line="460" w:lineRule="exact"/>
        <w:ind w:left="0" w:leftChars="0" w:right="0" w:rightChars="0" w:firstLine="0" w:firstLineChars="0"/>
        <w:jc w:val="both"/>
        <w:textAlignment w:val="auto"/>
        <w:outlineLvl w:val="9"/>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3.6工作火焰温度：≥8000℃。</w:t>
      </w:r>
    </w:p>
    <w:p>
      <w:pPr>
        <w:keepNext w:val="0"/>
        <w:keepLines w:val="0"/>
        <w:pageBreakBefore w:val="0"/>
        <w:widowControl w:val="0"/>
        <w:kinsoku/>
        <w:wordWrap/>
        <w:overflowPunct/>
        <w:topLinePunct w:val="0"/>
        <w:autoSpaceDE/>
        <w:autoSpaceDN/>
        <w:bidi w:val="0"/>
        <w:adjustRightInd w:val="0"/>
        <w:snapToGrid w:val="0"/>
        <w:spacing w:line="460" w:lineRule="exact"/>
        <w:ind w:left="0" w:leftChars="0" w:right="0" w:rightChars="0" w:firstLine="0" w:firstLineChars="0"/>
        <w:jc w:val="both"/>
        <w:textAlignment w:val="auto"/>
        <w:outlineLvl w:val="9"/>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bCs/>
          <w:color w:val="auto"/>
          <w:sz w:val="24"/>
          <w:szCs w:val="24"/>
          <w:highlight w:val="none"/>
          <w:lang w:val="en-US" w:eastAsia="zh-CN"/>
        </w:rPr>
        <w:t>3.7</w:t>
      </w:r>
      <w:r>
        <w:rPr>
          <w:rFonts w:hint="eastAsia" w:ascii="仿宋" w:hAnsi="仿宋" w:eastAsia="仿宋" w:cs="仿宋"/>
          <w:bCs/>
          <w:color w:val="auto"/>
          <w:sz w:val="24"/>
          <w:szCs w:val="24"/>
          <w:highlight w:val="none"/>
        </w:rPr>
        <w:t>提供中文使用说明书，含装备简介、使用注意事项及维护保养等内容。</w:t>
      </w:r>
    </w:p>
    <w:p>
      <w:pPr>
        <w:keepNext w:val="0"/>
        <w:keepLines w:val="0"/>
        <w:pageBreakBefore w:val="0"/>
        <w:kinsoku/>
        <w:wordWrap/>
        <w:overflowPunct/>
        <w:topLinePunct w:val="0"/>
        <w:autoSpaceDE/>
        <w:autoSpaceDN/>
        <w:bidi w:val="0"/>
        <w:adjustRightInd w:val="0"/>
        <w:snapToGrid w:val="0"/>
        <w:spacing w:line="460" w:lineRule="exact"/>
        <w:ind w:left="0" w:leftChars="0" w:right="0" w:rightChars="0" w:firstLine="0" w:firstLineChars="0"/>
        <w:jc w:val="both"/>
        <w:outlineLvl w:val="9"/>
        <w:rPr>
          <w:rFonts w:hint="eastAsia" w:ascii="仿宋" w:hAnsi="仿宋" w:eastAsia="仿宋" w:cs="仿宋"/>
          <w:b/>
          <w:bCs/>
          <w:color w:val="auto"/>
          <w:kern w:val="0"/>
          <w:sz w:val="24"/>
          <w:szCs w:val="24"/>
          <w:highlight w:val="none"/>
          <w:lang w:val="en-US" w:eastAsia="zh-CN"/>
        </w:rPr>
      </w:pPr>
    </w:p>
    <w:p>
      <w:pPr>
        <w:keepNext w:val="0"/>
        <w:keepLines w:val="0"/>
        <w:pageBreakBefore w:val="0"/>
        <w:kinsoku/>
        <w:wordWrap/>
        <w:overflowPunct/>
        <w:topLinePunct w:val="0"/>
        <w:autoSpaceDE/>
        <w:autoSpaceDN/>
        <w:bidi w:val="0"/>
        <w:adjustRightInd w:val="0"/>
        <w:snapToGrid w:val="0"/>
        <w:spacing w:line="460" w:lineRule="exact"/>
        <w:ind w:left="0" w:leftChars="0" w:right="0" w:rightChars="0" w:firstLine="0" w:firstLineChars="0"/>
        <w:jc w:val="both"/>
        <w:outlineLvl w:val="9"/>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22包-2、</w:t>
      </w:r>
      <w:r>
        <w:rPr>
          <w:rFonts w:hint="eastAsia" w:ascii="仿宋" w:hAnsi="仿宋" w:eastAsia="仿宋" w:cs="仿宋"/>
          <w:b/>
          <w:bCs w:val="0"/>
          <w:color w:val="auto"/>
          <w:sz w:val="24"/>
          <w:szCs w:val="24"/>
          <w:highlight w:val="none"/>
          <w:lang w:val="en-US" w:eastAsia="zh-CN"/>
        </w:rPr>
        <w:t>氧炔气焊切割设备</w:t>
      </w:r>
    </w:p>
    <w:p>
      <w:pPr>
        <w:keepNext w:val="0"/>
        <w:keepLines w:val="0"/>
        <w:pageBreakBefore w:val="0"/>
        <w:kinsoku/>
        <w:wordWrap/>
        <w:overflowPunct/>
        <w:topLinePunct w:val="0"/>
        <w:autoSpaceDE/>
        <w:autoSpaceDN/>
        <w:bidi w:val="0"/>
        <w:adjustRightInd w:val="0"/>
        <w:snapToGrid w:val="0"/>
        <w:spacing w:line="460" w:lineRule="exact"/>
        <w:ind w:left="0" w:leftChars="0" w:right="0" w:rightChars="0" w:firstLine="0" w:firstLineChars="0"/>
        <w:jc w:val="both"/>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一、</w:t>
      </w:r>
      <w:r>
        <w:rPr>
          <w:rFonts w:hint="eastAsia" w:ascii="仿宋" w:hAnsi="仿宋" w:eastAsia="仿宋" w:cs="仿宋"/>
          <w:color w:val="auto"/>
          <w:sz w:val="24"/>
          <w:szCs w:val="24"/>
          <w:highlight w:val="none"/>
        </w:rPr>
        <w:t>货物名称</w:t>
      </w:r>
      <w:r>
        <w:rPr>
          <w:rFonts w:hint="eastAsia" w:ascii="仿宋" w:hAnsi="仿宋" w:eastAsia="仿宋" w:cs="仿宋"/>
          <w:color w:val="auto"/>
          <w:sz w:val="24"/>
          <w:szCs w:val="24"/>
          <w:highlight w:val="none"/>
          <w:lang w:eastAsia="zh-CN"/>
        </w:rPr>
        <w:t>：</w:t>
      </w:r>
      <w:r>
        <w:rPr>
          <w:rFonts w:hint="eastAsia" w:ascii="仿宋" w:hAnsi="仿宋" w:eastAsia="仿宋" w:cs="仿宋"/>
          <w:bCs/>
          <w:color w:val="auto"/>
          <w:sz w:val="24"/>
          <w:szCs w:val="24"/>
          <w:highlight w:val="none"/>
          <w:lang w:val="en-US" w:eastAsia="zh-CN"/>
        </w:rPr>
        <w:t>氧炔气焊切割设备</w:t>
      </w:r>
    </w:p>
    <w:p>
      <w:pPr>
        <w:keepNext w:val="0"/>
        <w:keepLines w:val="0"/>
        <w:pageBreakBefore w:val="0"/>
        <w:numPr>
          <w:ilvl w:val="0"/>
          <w:numId w:val="0"/>
        </w:numPr>
        <w:kinsoku/>
        <w:wordWrap/>
        <w:overflowPunct/>
        <w:topLinePunct w:val="0"/>
        <w:autoSpaceDE/>
        <w:autoSpaceDN/>
        <w:bidi w:val="0"/>
        <w:adjustRightInd w:val="0"/>
        <w:snapToGrid w:val="0"/>
        <w:spacing w:line="460" w:lineRule="exact"/>
        <w:ind w:leftChars="0" w:right="0" w:rightChars="0"/>
        <w:jc w:val="both"/>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二、</w:t>
      </w:r>
      <w:r>
        <w:rPr>
          <w:rFonts w:hint="eastAsia" w:ascii="仿宋" w:hAnsi="仿宋" w:eastAsia="仿宋" w:cs="仿宋"/>
          <w:bCs/>
          <w:color w:val="auto"/>
          <w:sz w:val="24"/>
          <w:szCs w:val="24"/>
          <w:highlight w:val="none"/>
        </w:rPr>
        <w:t>产地：国产</w:t>
      </w:r>
    </w:p>
    <w:p>
      <w:pPr>
        <w:keepNext w:val="0"/>
        <w:keepLines w:val="0"/>
        <w:pageBreakBefore w:val="0"/>
        <w:kinsoku/>
        <w:wordWrap/>
        <w:overflowPunct/>
        <w:topLinePunct w:val="0"/>
        <w:autoSpaceDE/>
        <w:autoSpaceDN/>
        <w:bidi w:val="0"/>
        <w:adjustRightInd w:val="0"/>
        <w:snapToGrid w:val="0"/>
        <w:spacing w:line="460" w:lineRule="exact"/>
        <w:ind w:left="0" w:leftChars="0" w:right="0" w:rightChars="0" w:firstLine="0" w:firstLineChars="0"/>
        <w:jc w:val="both"/>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三、主要技术规格、参数及要求：</w:t>
      </w:r>
    </w:p>
    <w:p>
      <w:pPr>
        <w:pStyle w:val="13"/>
        <w:keepNext w:val="0"/>
        <w:keepLines w:val="0"/>
        <w:pageBreakBefore w:val="0"/>
        <w:kinsoku/>
        <w:wordWrap/>
        <w:overflowPunct/>
        <w:topLinePunct w:val="0"/>
        <w:bidi w:val="0"/>
        <w:spacing w:after="0" w:line="460" w:lineRule="exact"/>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val="en-US" w:eastAsia="zh-CN" w:bidi="ar"/>
        </w:rPr>
        <w:t>★3.1产品符合</w:t>
      </w:r>
      <w:r>
        <w:rPr>
          <w:rFonts w:hint="eastAsia" w:ascii="仿宋" w:hAnsi="仿宋" w:eastAsia="仿宋" w:cs="仿宋"/>
          <w:bCs/>
          <w:color w:val="auto"/>
          <w:sz w:val="24"/>
          <w:szCs w:val="24"/>
          <w:highlight w:val="none"/>
          <w:lang w:val="en-US" w:eastAsia="zh-CN"/>
        </w:rPr>
        <w:t>TSG23-2021《气瓶安全技术规程》、GB/T39389-2020《气体焊接、切割和类似作业用复合塑料软管》、GB/T40371-2021《气焊设备焊接、切割及相关工艺设备用材料》</w:t>
      </w:r>
      <w:r>
        <w:rPr>
          <w:rFonts w:hint="eastAsia" w:ascii="仿宋" w:hAnsi="仿宋" w:eastAsia="仿宋" w:cs="仿宋"/>
          <w:color w:val="auto"/>
          <w:kern w:val="2"/>
          <w:sz w:val="24"/>
          <w:szCs w:val="24"/>
          <w:highlight w:val="none"/>
          <w:lang w:val="en-US" w:eastAsia="zh-CN" w:bidi="ar"/>
        </w:rPr>
        <w:t>标准的要求，</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3.2氧气、乙炔高压储气瓶各1个，气瓶容积均≥40L；</w:t>
      </w:r>
    </w:p>
    <w:p>
      <w:pPr>
        <w:keepNext w:val="0"/>
        <w:keepLines w:val="0"/>
        <w:pageBreakBefore w:val="0"/>
        <w:widowControl w:val="0"/>
        <w:kinsoku/>
        <w:wordWrap/>
        <w:overflowPunct/>
        <w:topLinePunct w:val="0"/>
        <w:autoSpaceDE/>
        <w:autoSpaceDN/>
        <w:bidi w:val="0"/>
        <w:adjustRightInd/>
        <w:snapToGrid/>
        <w:spacing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3.3气管长度：≥30m；</w:t>
      </w:r>
    </w:p>
    <w:p>
      <w:pPr>
        <w:keepNext w:val="0"/>
        <w:keepLines w:val="0"/>
        <w:pageBreakBefore w:val="0"/>
        <w:widowControl w:val="0"/>
        <w:kinsoku/>
        <w:wordWrap/>
        <w:overflowPunct/>
        <w:topLinePunct w:val="0"/>
        <w:autoSpaceDE/>
        <w:autoSpaceDN/>
        <w:bidi w:val="0"/>
        <w:adjustRightInd/>
        <w:snapToGrid/>
        <w:spacing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3.4配备</w:t>
      </w:r>
      <w:r>
        <w:rPr>
          <w:rFonts w:hint="eastAsia" w:ascii="仿宋" w:hAnsi="仿宋" w:eastAsia="仿宋" w:cs="仿宋"/>
          <w:color w:val="auto"/>
          <w:sz w:val="24"/>
          <w:szCs w:val="24"/>
          <w:highlight w:val="none"/>
        </w:rPr>
        <w:t>可拆卸组合气瓶架运输（带静音轮）；</w:t>
      </w: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3.5</w:t>
      </w:r>
      <w:r>
        <w:rPr>
          <w:rFonts w:hint="eastAsia" w:ascii="仿宋" w:hAnsi="仿宋" w:eastAsia="仿宋" w:cs="仿宋"/>
          <w:bCs/>
          <w:color w:val="auto"/>
          <w:sz w:val="24"/>
          <w:szCs w:val="24"/>
          <w:highlight w:val="none"/>
        </w:rPr>
        <w:t>提供中文使用说明书，含装备简介、使用注意事项及维护保养等内容。</w:t>
      </w:r>
    </w:p>
    <w:p>
      <w:pPr>
        <w:pStyle w:val="13"/>
        <w:keepNext w:val="0"/>
        <w:keepLines w:val="0"/>
        <w:pageBreakBefore w:val="0"/>
        <w:widowControl w:val="0"/>
        <w:kinsoku/>
        <w:wordWrap/>
        <w:overflowPunct/>
        <w:topLinePunct w:val="0"/>
        <w:autoSpaceDE/>
        <w:autoSpaceDN/>
        <w:bidi w:val="0"/>
        <w:spacing w:after="0" w:afterAutospacing="0" w:line="460" w:lineRule="exact"/>
        <w:ind w:left="0"/>
        <w:outlineLvl w:val="9"/>
        <w:rPr>
          <w:rFonts w:hint="eastAsia" w:ascii="仿宋" w:hAnsi="仿宋" w:eastAsia="仿宋" w:cs="仿宋"/>
          <w:b/>
          <w:bCs/>
          <w:color w:val="auto"/>
          <w:sz w:val="24"/>
          <w:szCs w:val="24"/>
          <w:highlight w:val="none"/>
          <w:lang w:val="en-US" w:eastAsia="zh-CN"/>
        </w:rPr>
      </w:pPr>
      <w:bookmarkStart w:id="473" w:name="_Toc3693"/>
      <w:bookmarkStart w:id="474" w:name="_Toc19498"/>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1"/>
        <w:rPr>
          <w:rFonts w:hint="eastAsia" w:ascii="仿宋" w:hAnsi="仿宋" w:eastAsia="仿宋" w:cs="仿宋"/>
          <w:b/>
          <w:bCs/>
          <w:color w:val="auto"/>
          <w:sz w:val="24"/>
          <w:szCs w:val="24"/>
          <w:highlight w:val="none"/>
          <w:lang w:val="en-US" w:eastAsia="zh-CN"/>
        </w:rPr>
      </w:pPr>
      <w:bookmarkStart w:id="475" w:name="_Toc12415"/>
      <w:bookmarkStart w:id="476" w:name="_Toc12426"/>
      <w:r>
        <w:rPr>
          <w:rFonts w:hint="eastAsia" w:ascii="仿宋" w:hAnsi="仿宋" w:eastAsia="仿宋" w:cs="仿宋"/>
          <w:b/>
          <w:bCs/>
          <w:color w:val="auto"/>
          <w:sz w:val="24"/>
          <w:szCs w:val="24"/>
          <w:highlight w:val="none"/>
          <w:lang w:val="en-US" w:eastAsia="zh-CN"/>
        </w:rPr>
        <w:t>25包：牵拉器、木锯切割机、液压千斤顶、气动切割刀、毁锁器【核心产品】</w:t>
      </w:r>
      <w:bookmarkEnd w:id="473"/>
      <w:bookmarkEnd w:id="474"/>
      <w:bookmarkEnd w:id="475"/>
      <w:bookmarkEnd w:id="476"/>
    </w:p>
    <w:p>
      <w:pPr>
        <w:keepNext w:val="0"/>
        <w:keepLines w:val="0"/>
        <w:pageBreakBefore w:val="0"/>
        <w:kinsoku/>
        <w:wordWrap/>
        <w:overflowPunct/>
        <w:topLinePunct w:val="0"/>
        <w:bidi w:val="0"/>
        <w:adjustRightInd w:val="0"/>
        <w:snapToGrid w:val="0"/>
        <w:spacing w:line="460" w:lineRule="exact"/>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25包-1、</w:t>
      </w:r>
      <w:r>
        <w:rPr>
          <w:rFonts w:hint="eastAsia" w:ascii="仿宋" w:hAnsi="仿宋" w:eastAsia="仿宋" w:cs="仿宋"/>
          <w:b/>
          <w:bCs/>
          <w:color w:val="auto"/>
          <w:sz w:val="24"/>
          <w:szCs w:val="24"/>
          <w:highlight w:val="none"/>
          <w:lang w:val="en-US" w:eastAsia="zh-CN"/>
        </w:rPr>
        <w:t>牵拉器</w:t>
      </w:r>
    </w:p>
    <w:p>
      <w:pPr>
        <w:pStyle w:val="13"/>
        <w:keepNext w:val="0"/>
        <w:keepLines w:val="0"/>
        <w:pageBreakBefore w:val="0"/>
        <w:kinsoku/>
        <w:wordWrap/>
        <w:overflowPunct/>
        <w:topLinePunct w:val="0"/>
        <w:bidi w:val="0"/>
        <w:spacing w:beforeAutospacing="0" w:after="0" w:afterAutospacing="0" w:line="460" w:lineRule="exact"/>
        <w:ind w:left="0"/>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一、货物名称：</w:t>
      </w:r>
      <w:r>
        <w:rPr>
          <w:rFonts w:hint="eastAsia" w:ascii="仿宋" w:hAnsi="仿宋" w:eastAsia="仿宋" w:cs="仿宋"/>
          <w:color w:val="auto"/>
          <w:sz w:val="24"/>
          <w:szCs w:val="24"/>
          <w:highlight w:val="none"/>
          <w:lang w:val="en-US" w:eastAsia="zh-CN"/>
        </w:rPr>
        <w:t>牵拉器</w:t>
      </w:r>
    </w:p>
    <w:p>
      <w:pPr>
        <w:pStyle w:val="13"/>
        <w:keepNext w:val="0"/>
        <w:keepLines w:val="0"/>
        <w:pageBreakBefore w:val="0"/>
        <w:kinsoku/>
        <w:wordWrap/>
        <w:overflowPunct/>
        <w:topLinePunct w:val="0"/>
        <w:bidi w:val="0"/>
        <w:spacing w:beforeAutospacing="0" w:after="0" w:afterAutospacing="0" w:line="460" w:lineRule="exact"/>
        <w:ind w:left="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二、产地：国产</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三、主要技术规格、参数及要求：</w:t>
      </w:r>
    </w:p>
    <w:p>
      <w:pPr>
        <w:pStyle w:val="13"/>
        <w:keepNext w:val="0"/>
        <w:keepLines w:val="0"/>
        <w:pageBreakBefore w:val="0"/>
        <w:widowControl w:val="0"/>
        <w:kinsoku/>
        <w:wordWrap/>
        <w:overflowPunct/>
        <w:topLinePunct w:val="0"/>
        <w:autoSpaceDE/>
        <w:autoSpaceDN/>
        <w:bidi w:val="0"/>
        <w:spacing w:after="0" w:line="460" w:lineRule="exact"/>
        <w:textAlignment w:val="auto"/>
        <w:rPr>
          <w:rFonts w:hint="eastAsia" w:eastAsia="仿宋"/>
          <w:color w:val="auto"/>
          <w:lang w:eastAsia="zh-CN"/>
        </w:rPr>
      </w:pPr>
      <w:r>
        <w:rPr>
          <w:rFonts w:hint="eastAsia" w:ascii="仿宋" w:hAnsi="仿宋" w:eastAsia="仿宋" w:cs="仿宋"/>
          <w:color w:val="auto"/>
          <w:kern w:val="2"/>
          <w:sz w:val="24"/>
          <w:szCs w:val="24"/>
          <w:highlight w:val="none"/>
          <w:lang w:val="en-US" w:eastAsia="zh-CN" w:bidi="ar"/>
        </w:rPr>
        <w:t>★</w:t>
      </w: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w:t>
      </w:r>
      <w:r>
        <w:rPr>
          <w:rFonts w:hint="eastAsia" w:ascii="仿宋" w:hAnsi="仿宋" w:eastAsia="仿宋" w:cs="仿宋"/>
          <w:color w:val="auto"/>
          <w:sz w:val="24"/>
          <w:szCs w:val="24"/>
          <w:highlight w:val="none"/>
        </w:rPr>
        <w:t>重量：≤7kg（不含钢索）</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
        </w:rPr>
        <w:t>▲</w:t>
      </w:r>
      <w:r>
        <w:rPr>
          <w:rFonts w:hint="eastAsia" w:ascii="仿宋" w:hAnsi="仿宋" w:eastAsia="仿宋" w:cs="仿宋"/>
          <w:color w:val="auto"/>
          <w:kern w:val="2"/>
          <w:sz w:val="24"/>
          <w:szCs w:val="24"/>
          <w:highlight w:val="none"/>
          <w:lang w:val="en-US" w:eastAsia="zh-CN" w:bidi="ar-SA"/>
        </w:rPr>
        <w:t>3.3最大牵引力：≥4T；</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
        </w:rPr>
        <w:t>▲</w:t>
      </w:r>
      <w:r>
        <w:rPr>
          <w:rFonts w:hint="eastAsia" w:ascii="仿宋" w:hAnsi="仿宋" w:eastAsia="仿宋" w:cs="仿宋"/>
          <w:color w:val="auto"/>
          <w:kern w:val="2"/>
          <w:sz w:val="24"/>
          <w:szCs w:val="24"/>
          <w:highlight w:val="none"/>
          <w:lang w:val="en-US" w:eastAsia="zh-CN" w:bidi="ar-SA"/>
        </w:rPr>
        <w:t>3.4牵引有效行程：≥2.5m；</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3.5配加长钢索：≥6m；</w:t>
      </w:r>
    </w:p>
    <w:p>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3.6</w:t>
      </w:r>
      <w:r>
        <w:rPr>
          <w:rFonts w:hint="eastAsia" w:ascii="仿宋" w:hAnsi="仿宋" w:eastAsia="仿宋" w:cs="仿宋"/>
          <w:color w:val="auto"/>
          <w:sz w:val="24"/>
          <w:szCs w:val="24"/>
          <w:highlight w:val="none"/>
        </w:rPr>
        <w:t>提供中文使用说明书，含装备简介、使用注意事项及维护保养等内容。</w:t>
      </w:r>
    </w:p>
    <w:p>
      <w:pPr>
        <w:pStyle w:val="13"/>
        <w:keepNext w:val="0"/>
        <w:keepLines w:val="0"/>
        <w:pageBreakBefore w:val="0"/>
        <w:kinsoku/>
        <w:wordWrap/>
        <w:overflowPunct/>
        <w:topLinePunct w:val="0"/>
        <w:bidi w:val="0"/>
        <w:spacing w:beforeAutospacing="0" w:after="0" w:afterAutospacing="0" w:line="460" w:lineRule="exact"/>
        <w:ind w:left="0"/>
        <w:outlineLvl w:val="9"/>
        <w:rPr>
          <w:rFonts w:hint="eastAsia" w:ascii="仿宋" w:hAnsi="仿宋" w:eastAsia="仿宋" w:cs="仿宋"/>
          <w:b/>
          <w:bCs/>
          <w:color w:val="auto"/>
          <w:kern w:val="0"/>
          <w:sz w:val="24"/>
          <w:szCs w:val="24"/>
          <w:highlight w:val="none"/>
          <w:lang w:val="en-US" w:eastAsia="zh-CN"/>
        </w:rPr>
      </w:pPr>
    </w:p>
    <w:p>
      <w:pPr>
        <w:keepNext w:val="0"/>
        <w:keepLines w:val="0"/>
        <w:pageBreakBefore w:val="0"/>
        <w:kinsoku/>
        <w:wordWrap/>
        <w:overflowPunct/>
        <w:topLinePunct w:val="0"/>
        <w:bidi w:val="0"/>
        <w:adjustRightInd w:val="0"/>
        <w:snapToGrid w:val="0"/>
        <w:spacing w:line="460" w:lineRule="exact"/>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25包-2、</w:t>
      </w:r>
      <w:r>
        <w:rPr>
          <w:rFonts w:hint="eastAsia" w:ascii="仿宋" w:hAnsi="仿宋" w:eastAsia="仿宋" w:cs="仿宋"/>
          <w:b/>
          <w:bCs/>
          <w:color w:val="auto"/>
          <w:sz w:val="24"/>
          <w:szCs w:val="24"/>
          <w:highlight w:val="none"/>
          <w:lang w:val="en-US" w:eastAsia="zh-CN"/>
        </w:rPr>
        <w:t>木锯切割机</w:t>
      </w:r>
    </w:p>
    <w:p>
      <w:pPr>
        <w:keepNext w:val="0"/>
        <w:keepLines w:val="0"/>
        <w:pageBreakBefore w:val="0"/>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outlineLvl w:val="9"/>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一、货物名称：</w:t>
      </w:r>
      <w:r>
        <w:rPr>
          <w:rFonts w:hint="eastAsia" w:ascii="仿宋" w:hAnsi="仿宋" w:eastAsia="仿宋" w:cs="仿宋"/>
          <w:bCs/>
          <w:color w:val="auto"/>
          <w:sz w:val="24"/>
          <w:szCs w:val="24"/>
          <w:highlight w:val="none"/>
          <w:lang w:val="en-US" w:eastAsia="zh-CN"/>
        </w:rPr>
        <w:t>木锯切割机</w:t>
      </w:r>
    </w:p>
    <w:p>
      <w:pPr>
        <w:keepNext w:val="0"/>
        <w:keepLines w:val="0"/>
        <w:pageBreakBefore w:val="0"/>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二、产地：国产</w:t>
      </w:r>
    </w:p>
    <w:p>
      <w:pPr>
        <w:keepNext w:val="0"/>
        <w:keepLines w:val="0"/>
        <w:pageBreakBefore w:val="0"/>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三、主要技术规格、参数及要求：</w:t>
      </w:r>
    </w:p>
    <w:p>
      <w:pPr>
        <w:pStyle w:val="13"/>
        <w:keepNext w:val="0"/>
        <w:keepLines w:val="0"/>
        <w:pageBreakBefore w:val="0"/>
        <w:widowControl w:val="0"/>
        <w:kinsoku/>
        <w:wordWrap/>
        <w:overflowPunct/>
        <w:topLinePunct w:val="0"/>
        <w:autoSpaceDE/>
        <w:autoSpaceDN/>
        <w:bidi w:val="0"/>
        <w:spacing w:after="0" w:line="460" w:lineRule="exact"/>
        <w:textAlignment w:val="auto"/>
        <w:rPr>
          <w:rFonts w:hint="eastAsia" w:eastAsia="仿宋"/>
          <w:color w:val="auto"/>
          <w:lang w:eastAsia="zh-CN"/>
        </w:rPr>
      </w:pPr>
      <w:r>
        <w:rPr>
          <w:rFonts w:hint="eastAsia" w:ascii="仿宋" w:hAnsi="仿宋" w:eastAsia="仿宋" w:cs="仿宋"/>
          <w:color w:val="auto"/>
          <w:kern w:val="2"/>
          <w:sz w:val="24"/>
          <w:szCs w:val="24"/>
          <w:highlight w:val="none"/>
          <w:lang w:val="en-US" w:eastAsia="zh-CN" w:bidi="ar"/>
        </w:rPr>
        <w:t>★</w:t>
      </w: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3.2</w:t>
      </w:r>
      <w:r>
        <w:rPr>
          <w:rFonts w:hint="eastAsia" w:ascii="仿宋" w:hAnsi="仿宋" w:eastAsia="仿宋" w:cs="仿宋"/>
          <w:bCs/>
          <w:color w:val="auto"/>
          <w:sz w:val="24"/>
          <w:szCs w:val="24"/>
          <w:highlight w:val="none"/>
        </w:rPr>
        <w:t>重量</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w:t>
      </w:r>
      <w:r>
        <w:rPr>
          <w:rFonts w:hint="eastAsia" w:ascii="仿宋" w:hAnsi="仿宋" w:eastAsia="仿宋" w:cs="仿宋"/>
          <w:bCs/>
          <w:color w:val="auto"/>
          <w:sz w:val="24"/>
          <w:szCs w:val="24"/>
          <w:highlight w:val="none"/>
          <w:lang w:val="en-US" w:eastAsia="zh-CN"/>
        </w:rPr>
        <w:t>3</w:t>
      </w:r>
      <w:r>
        <w:rPr>
          <w:rFonts w:hint="eastAsia" w:ascii="仿宋" w:hAnsi="仿宋" w:eastAsia="仿宋" w:cs="仿宋"/>
          <w:bCs/>
          <w:color w:val="auto"/>
          <w:sz w:val="24"/>
          <w:szCs w:val="24"/>
          <w:highlight w:val="none"/>
        </w:rPr>
        <w:t>kg</w:t>
      </w:r>
      <w:r>
        <w:rPr>
          <w:rFonts w:hint="eastAsia" w:ascii="仿宋" w:hAnsi="仿宋" w:eastAsia="仿宋" w:cs="仿宋"/>
          <w:bCs/>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3.3</w:t>
      </w:r>
      <w:r>
        <w:rPr>
          <w:rFonts w:hint="eastAsia" w:ascii="仿宋" w:hAnsi="仿宋" w:eastAsia="仿宋" w:cs="仿宋"/>
          <w:bCs/>
          <w:color w:val="auto"/>
          <w:sz w:val="24"/>
          <w:szCs w:val="24"/>
          <w:highlight w:val="none"/>
        </w:rPr>
        <w:t>供电方式：充电式</w:t>
      </w:r>
      <w:r>
        <w:rPr>
          <w:rFonts w:hint="eastAsia" w:ascii="仿宋" w:hAnsi="仿宋" w:eastAsia="仿宋" w:cs="仿宋"/>
          <w:bCs/>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3.4最大锯深：90度时≥40mm、45度时≥30mm；</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val="en-US" w:eastAsia="zh-CN"/>
        </w:rPr>
        <w:t>3.5</w:t>
      </w:r>
      <w:r>
        <w:rPr>
          <w:rFonts w:hint="eastAsia" w:ascii="仿宋" w:hAnsi="仿宋" w:eastAsia="仿宋" w:cs="仿宋"/>
          <w:bCs/>
          <w:color w:val="auto"/>
          <w:sz w:val="24"/>
          <w:szCs w:val="24"/>
          <w:highlight w:val="none"/>
        </w:rPr>
        <w:t>其他要求：配备锯片、备用电池、充电器</w:t>
      </w:r>
      <w:r>
        <w:rPr>
          <w:rFonts w:hint="eastAsia" w:ascii="仿宋" w:hAnsi="仿宋" w:eastAsia="仿宋" w:cs="仿宋"/>
          <w:bCs/>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3.6</w:t>
      </w:r>
      <w:r>
        <w:rPr>
          <w:rFonts w:hint="eastAsia" w:ascii="仿宋" w:hAnsi="仿宋" w:eastAsia="仿宋" w:cs="仿宋"/>
          <w:bCs/>
          <w:color w:val="auto"/>
          <w:sz w:val="24"/>
          <w:szCs w:val="24"/>
          <w:highlight w:val="none"/>
        </w:rPr>
        <w:t>提供中文使用说明书，含装备简介、使用注意事项及维护保养等内容。</w:t>
      </w: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bCs/>
          <w:color w:val="auto"/>
          <w:sz w:val="24"/>
          <w:szCs w:val="24"/>
          <w:highlight w:val="none"/>
        </w:rPr>
      </w:pPr>
    </w:p>
    <w:p>
      <w:pPr>
        <w:keepNext w:val="0"/>
        <w:keepLines w:val="0"/>
        <w:pageBreakBefore w:val="0"/>
        <w:kinsoku/>
        <w:wordWrap/>
        <w:overflowPunct/>
        <w:topLinePunct w:val="0"/>
        <w:bidi w:val="0"/>
        <w:adjustRightInd w:val="0"/>
        <w:snapToGrid w:val="0"/>
        <w:spacing w:line="460" w:lineRule="exact"/>
        <w:outlineLvl w:val="9"/>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25包-3、</w:t>
      </w:r>
      <w:r>
        <w:rPr>
          <w:rFonts w:hint="eastAsia" w:ascii="仿宋" w:hAnsi="仿宋" w:eastAsia="仿宋" w:cs="仿宋"/>
          <w:b/>
          <w:bCs w:val="0"/>
          <w:color w:val="auto"/>
          <w:kern w:val="0"/>
          <w:sz w:val="24"/>
          <w:szCs w:val="24"/>
          <w:highlight w:val="none"/>
          <w:lang w:val="en-US" w:eastAsia="zh-CN"/>
        </w:rPr>
        <w:t>液压千斤顶</w:t>
      </w:r>
    </w:p>
    <w:p>
      <w:pPr>
        <w:keepNext w:val="0"/>
        <w:keepLines w:val="0"/>
        <w:pageBreakBefore w:val="0"/>
        <w:kinsoku/>
        <w:wordWrap/>
        <w:overflowPunct/>
        <w:topLinePunct w:val="0"/>
        <w:bidi w:val="0"/>
        <w:adjustRightInd w:val="0"/>
        <w:snapToGrid w:val="0"/>
        <w:spacing w:line="460" w:lineRule="exact"/>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一、货物名称：液压千斤顶</w:t>
      </w:r>
    </w:p>
    <w:p>
      <w:pPr>
        <w:keepNext w:val="0"/>
        <w:keepLines w:val="0"/>
        <w:pageBreakBefore w:val="0"/>
        <w:kinsoku/>
        <w:wordWrap/>
        <w:overflowPunct/>
        <w:topLinePunct w:val="0"/>
        <w:bidi w:val="0"/>
        <w:adjustRightInd w:val="0"/>
        <w:snapToGrid w:val="0"/>
        <w:spacing w:line="460" w:lineRule="exact"/>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二、产地：国产</w:t>
      </w:r>
    </w:p>
    <w:p>
      <w:pPr>
        <w:keepNext w:val="0"/>
        <w:keepLines w:val="0"/>
        <w:pageBreakBefore w:val="0"/>
        <w:kinsoku/>
        <w:wordWrap/>
        <w:overflowPunct/>
        <w:topLinePunct w:val="0"/>
        <w:bidi w:val="0"/>
        <w:adjustRightInd w:val="0"/>
        <w:snapToGrid w:val="0"/>
        <w:spacing w:line="460" w:lineRule="exact"/>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三、主要技术规格、参数及要求：</w:t>
      </w:r>
    </w:p>
    <w:p>
      <w:pPr>
        <w:pStyle w:val="13"/>
        <w:keepNext w:val="0"/>
        <w:keepLines w:val="0"/>
        <w:pageBreakBefore w:val="0"/>
        <w:kinsoku/>
        <w:wordWrap/>
        <w:overflowPunct/>
        <w:topLinePunct w:val="0"/>
        <w:bidi w:val="0"/>
        <w:spacing w:after="0" w:line="460" w:lineRule="exact"/>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val="en-US" w:eastAsia="zh-CN" w:bidi="ar"/>
        </w:rPr>
        <w:t>★3.1产品符合</w:t>
      </w:r>
      <w:r>
        <w:rPr>
          <w:rFonts w:hint="eastAsia" w:ascii="仿宋" w:hAnsi="仿宋" w:eastAsia="仿宋" w:cs="仿宋"/>
          <w:bCs/>
          <w:color w:val="auto"/>
          <w:sz w:val="24"/>
          <w:szCs w:val="24"/>
          <w:highlight w:val="none"/>
          <w:lang w:val="en-US" w:eastAsia="zh-CN"/>
        </w:rPr>
        <w:t>《立式油压千斤顶》（GB/T27697-2011）</w:t>
      </w:r>
      <w:r>
        <w:rPr>
          <w:rFonts w:hint="eastAsia" w:ascii="仿宋" w:hAnsi="仿宋" w:eastAsia="仿宋" w:cs="仿宋"/>
          <w:color w:val="auto"/>
          <w:kern w:val="2"/>
          <w:sz w:val="24"/>
          <w:szCs w:val="24"/>
          <w:highlight w:val="none"/>
          <w:lang w:val="en-US" w:eastAsia="zh-CN" w:bidi="ar"/>
        </w:rPr>
        <w:t>标准的要求，</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3.2具有防止超载的安全阀，具备限位装置；</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3.3配备手动液压杆或手动液压泵；</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
        </w:rPr>
        <w:t>▲</w:t>
      </w:r>
      <w:r>
        <w:rPr>
          <w:rFonts w:hint="eastAsia" w:ascii="仿宋" w:hAnsi="仿宋" w:eastAsia="仿宋" w:cs="仿宋"/>
          <w:bCs/>
          <w:color w:val="auto"/>
          <w:sz w:val="24"/>
          <w:szCs w:val="24"/>
          <w:highlight w:val="none"/>
          <w:lang w:val="en-US" w:eastAsia="zh-CN"/>
        </w:rPr>
        <w:t>3.4使用手柄起升额定重量时，手柄操作力≤400N，</w:t>
      </w:r>
      <w:r>
        <w:rPr>
          <w:rFonts w:hint="eastAsia" w:ascii="仿宋" w:hAnsi="仿宋" w:eastAsia="仿宋" w:cs="仿宋"/>
          <w:b w:val="0"/>
          <w:bCs/>
          <w:color w:val="auto"/>
          <w:sz w:val="24"/>
          <w:szCs w:val="24"/>
          <w:highlight w:val="none"/>
          <w:lang w:val="en-US" w:eastAsia="zh-CN"/>
        </w:rPr>
        <w:t>起重重量≥20吨；</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kern w:val="2"/>
          <w:sz w:val="24"/>
          <w:szCs w:val="24"/>
          <w:highlight w:val="none"/>
          <w:lang w:val="en-US" w:eastAsia="zh-CN" w:bidi="ar"/>
        </w:rPr>
        <w:t>▲</w:t>
      </w:r>
      <w:r>
        <w:rPr>
          <w:rFonts w:hint="eastAsia" w:ascii="仿宋" w:hAnsi="仿宋" w:eastAsia="仿宋" w:cs="仿宋"/>
          <w:b w:val="0"/>
          <w:bCs/>
          <w:color w:val="auto"/>
          <w:sz w:val="24"/>
          <w:szCs w:val="24"/>
          <w:highlight w:val="none"/>
          <w:lang w:val="en-US" w:eastAsia="zh-CN"/>
        </w:rPr>
        <w:t>3.5起重高度:≥140mm，工作压力:≥63MPa；</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3.6净重:≤18kg；</w:t>
      </w:r>
    </w:p>
    <w:p>
      <w:pPr>
        <w:keepNext w:val="0"/>
        <w:keepLines w:val="0"/>
        <w:pageBreakBefore w:val="0"/>
        <w:widowControl w:val="0"/>
        <w:kinsoku/>
        <w:wordWrap/>
        <w:overflowPunct/>
        <w:topLinePunct w:val="0"/>
        <w:autoSpaceDE/>
        <w:autoSpaceDN/>
        <w:bidi w:val="0"/>
        <w:adjustRightInd w:val="0"/>
        <w:snapToGrid w:val="0"/>
        <w:spacing w:line="460" w:lineRule="exact"/>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3.7其他要求：千斤顶承载面应采用防滑结构；</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textAlignment w:val="auto"/>
        <w:outlineLvl w:val="9"/>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Cs/>
          <w:color w:val="auto"/>
          <w:sz w:val="24"/>
          <w:szCs w:val="24"/>
          <w:highlight w:val="none"/>
        </w:rPr>
        <w:t>3.</w:t>
      </w:r>
      <w:r>
        <w:rPr>
          <w:rFonts w:hint="eastAsia" w:ascii="仿宋" w:hAnsi="仿宋" w:eastAsia="仿宋" w:cs="仿宋"/>
          <w:bCs/>
          <w:color w:val="auto"/>
          <w:sz w:val="24"/>
          <w:szCs w:val="24"/>
          <w:highlight w:val="none"/>
          <w:lang w:val="en-US" w:eastAsia="zh-CN"/>
        </w:rPr>
        <w:t>8</w:t>
      </w:r>
      <w:r>
        <w:rPr>
          <w:rFonts w:hint="eastAsia" w:ascii="仿宋" w:hAnsi="仿宋" w:eastAsia="仿宋" w:cs="仿宋"/>
          <w:bCs/>
          <w:color w:val="auto"/>
          <w:sz w:val="24"/>
          <w:szCs w:val="24"/>
          <w:highlight w:val="none"/>
        </w:rPr>
        <w:t>提供中文使用说明书，含装备简介、使用注意事项及维护保养等内容。</w:t>
      </w:r>
    </w:p>
    <w:p>
      <w:pPr>
        <w:keepNext w:val="0"/>
        <w:keepLines w:val="0"/>
        <w:pageBreakBefore w:val="0"/>
        <w:kinsoku/>
        <w:wordWrap/>
        <w:overflowPunct/>
        <w:topLinePunct w:val="0"/>
        <w:bidi w:val="0"/>
        <w:adjustRightInd w:val="0"/>
        <w:snapToGrid w:val="0"/>
        <w:spacing w:beforeAutospacing="0" w:afterAutospacing="0" w:line="460" w:lineRule="exact"/>
        <w:ind w:left="0"/>
        <w:outlineLvl w:val="9"/>
        <w:rPr>
          <w:rFonts w:hint="eastAsia" w:ascii="仿宋" w:hAnsi="仿宋" w:eastAsia="仿宋" w:cs="仿宋"/>
          <w:b/>
          <w:bCs/>
          <w:color w:val="auto"/>
          <w:kern w:val="0"/>
          <w:sz w:val="24"/>
          <w:szCs w:val="24"/>
          <w:highlight w:val="none"/>
          <w:lang w:val="en-US" w:eastAsia="zh-CN"/>
        </w:rPr>
      </w:pPr>
    </w:p>
    <w:p>
      <w:pPr>
        <w:keepNext w:val="0"/>
        <w:keepLines w:val="0"/>
        <w:pageBreakBefore w:val="0"/>
        <w:kinsoku/>
        <w:wordWrap/>
        <w:overflowPunct/>
        <w:topLinePunct w:val="0"/>
        <w:bidi w:val="0"/>
        <w:adjustRightInd w:val="0"/>
        <w:snapToGrid w:val="0"/>
        <w:spacing w:line="460" w:lineRule="exact"/>
        <w:outlineLvl w:val="9"/>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25包-4、</w:t>
      </w:r>
      <w:r>
        <w:rPr>
          <w:rFonts w:hint="eastAsia" w:ascii="仿宋" w:hAnsi="仿宋" w:eastAsia="仿宋" w:cs="仿宋"/>
          <w:b/>
          <w:bCs w:val="0"/>
          <w:color w:val="auto"/>
          <w:kern w:val="0"/>
          <w:sz w:val="24"/>
          <w:szCs w:val="24"/>
          <w:highlight w:val="none"/>
          <w:lang w:val="en-US" w:eastAsia="zh-CN"/>
        </w:rPr>
        <w:t>气动切割刀</w:t>
      </w:r>
    </w:p>
    <w:p>
      <w:pPr>
        <w:keepNext w:val="0"/>
        <w:keepLines w:val="0"/>
        <w:pageBreakBefore w:val="0"/>
        <w:numPr>
          <w:ilvl w:val="0"/>
          <w:numId w:val="17"/>
        </w:numPr>
        <w:kinsoku/>
        <w:wordWrap/>
        <w:overflowPunct/>
        <w:topLinePunct w:val="0"/>
        <w:bidi w:val="0"/>
        <w:adjustRightInd w:val="0"/>
        <w:snapToGrid w:val="0"/>
        <w:spacing w:beforeAutospacing="0" w:afterAutospacing="0" w:line="460" w:lineRule="exact"/>
        <w:ind w:left="0"/>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货物名称：气动切割刀</w:t>
      </w:r>
    </w:p>
    <w:p>
      <w:pPr>
        <w:keepNext w:val="0"/>
        <w:keepLines w:val="0"/>
        <w:pageBreakBefore w:val="0"/>
        <w:numPr>
          <w:ilvl w:val="0"/>
          <w:numId w:val="17"/>
        </w:numPr>
        <w:kinsoku/>
        <w:wordWrap/>
        <w:overflowPunct/>
        <w:topLinePunct w:val="0"/>
        <w:bidi w:val="0"/>
        <w:adjustRightInd w:val="0"/>
        <w:snapToGrid w:val="0"/>
        <w:spacing w:beforeAutospacing="0" w:afterAutospacing="0" w:line="460" w:lineRule="exact"/>
        <w:ind w:left="0"/>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产地：国产</w:t>
      </w:r>
    </w:p>
    <w:p>
      <w:pPr>
        <w:keepNext w:val="0"/>
        <w:keepLines w:val="0"/>
        <w:pageBreakBefore w:val="0"/>
        <w:kinsoku/>
        <w:wordWrap/>
        <w:overflowPunct/>
        <w:topLinePunct w:val="0"/>
        <w:bidi w:val="0"/>
        <w:adjustRightInd w:val="0"/>
        <w:snapToGrid w:val="0"/>
        <w:spacing w:beforeAutospacing="0" w:afterAutospacing="0" w:line="460" w:lineRule="exact"/>
        <w:ind w:left="0"/>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三、主要技术规格、参数及要求：</w:t>
      </w:r>
    </w:p>
    <w:p>
      <w:pPr>
        <w:pStyle w:val="13"/>
        <w:keepNext w:val="0"/>
        <w:keepLines w:val="0"/>
        <w:pageBreakBefore w:val="0"/>
        <w:widowControl w:val="0"/>
        <w:kinsoku/>
        <w:wordWrap/>
        <w:overflowPunct/>
        <w:topLinePunct w:val="0"/>
        <w:autoSpaceDE/>
        <w:autoSpaceDN/>
        <w:bidi w:val="0"/>
        <w:spacing w:after="0" w:line="460" w:lineRule="exact"/>
        <w:textAlignment w:val="auto"/>
        <w:rPr>
          <w:rFonts w:hint="eastAsia" w:eastAsia="仿宋"/>
          <w:color w:val="auto"/>
          <w:lang w:eastAsia="zh-CN"/>
        </w:rPr>
      </w:pPr>
      <w:r>
        <w:rPr>
          <w:rFonts w:hint="eastAsia" w:ascii="仿宋" w:hAnsi="仿宋" w:eastAsia="仿宋" w:cs="仿宋"/>
          <w:color w:val="auto"/>
          <w:kern w:val="2"/>
          <w:sz w:val="24"/>
          <w:szCs w:val="24"/>
          <w:highlight w:val="none"/>
          <w:lang w:val="en-US" w:eastAsia="zh-CN" w:bidi="ar"/>
        </w:rPr>
        <w:t>★</w:t>
      </w: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pStyle w:val="13"/>
        <w:keepNext w:val="0"/>
        <w:keepLines w:val="0"/>
        <w:pageBreakBefore w:val="0"/>
        <w:widowControl w:val="0"/>
        <w:kinsoku/>
        <w:wordWrap/>
        <w:overflowPunct/>
        <w:topLinePunct w:val="0"/>
        <w:autoSpaceDE/>
        <w:autoSpaceDN/>
        <w:bidi w:val="0"/>
        <w:spacing w:beforeAutospacing="0" w:after="0" w:afterAutospacing="0" w:line="460" w:lineRule="exact"/>
        <w:ind w:left="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3.2用于切割薄壁、车辆金属和玻璃等，配有金属、非金属切割刀片</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气动切割工具，能切割金属及其它复合材料，击碎砖墙和混凝土楼板；</w:t>
      </w:r>
    </w:p>
    <w:p>
      <w:pPr>
        <w:pStyle w:val="13"/>
        <w:keepNext w:val="0"/>
        <w:keepLines w:val="0"/>
        <w:pageBreakBefore w:val="0"/>
        <w:widowControl w:val="0"/>
        <w:kinsoku/>
        <w:wordWrap/>
        <w:overflowPunct/>
        <w:topLinePunct w:val="0"/>
        <w:autoSpaceDE/>
        <w:autoSpaceDN/>
        <w:bidi w:val="0"/>
        <w:spacing w:beforeAutospacing="0" w:after="0" w:afterAutospacing="0" w:line="460" w:lineRule="exact"/>
        <w:ind w:left="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3.3配备有破拆刀头数量≥</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个，长度≥</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米气管1根，减压阀1个，破拆枪1</w:t>
      </w:r>
      <w:r>
        <w:rPr>
          <w:rFonts w:hint="eastAsia" w:ascii="仿宋" w:hAnsi="仿宋" w:eastAsia="仿宋" w:cs="仿宋"/>
          <w:color w:val="auto"/>
          <w:sz w:val="24"/>
          <w:szCs w:val="24"/>
          <w:highlight w:val="none"/>
          <w:lang w:eastAsia="zh-CN"/>
        </w:rPr>
        <w:t>个</w:t>
      </w:r>
      <w:r>
        <w:rPr>
          <w:rFonts w:hint="eastAsia" w:ascii="仿宋" w:hAnsi="仿宋" w:eastAsia="仿宋" w:cs="仿宋"/>
          <w:color w:val="auto"/>
          <w:sz w:val="24"/>
          <w:szCs w:val="24"/>
          <w:highlight w:val="none"/>
        </w:rPr>
        <w:t>；</w:t>
      </w:r>
    </w:p>
    <w:p>
      <w:pPr>
        <w:pStyle w:val="13"/>
        <w:keepNext w:val="0"/>
        <w:keepLines w:val="0"/>
        <w:pageBreakBefore w:val="0"/>
        <w:widowControl w:val="0"/>
        <w:kinsoku/>
        <w:wordWrap/>
        <w:overflowPunct/>
        <w:topLinePunct w:val="0"/>
        <w:autoSpaceDE/>
        <w:autoSpaceDN/>
        <w:bidi w:val="0"/>
        <w:spacing w:beforeAutospacing="0" w:after="0" w:afterAutospacing="0" w:line="460" w:lineRule="exact"/>
        <w:ind w:left="0" w:hanging="240" w:hangingChars="1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3.4冲击距离：≥</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cm；</w:t>
      </w:r>
    </w:p>
    <w:p>
      <w:pPr>
        <w:pStyle w:val="13"/>
        <w:keepNext w:val="0"/>
        <w:keepLines w:val="0"/>
        <w:pageBreakBefore w:val="0"/>
        <w:widowControl w:val="0"/>
        <w:kinsoku/>
        <w:wordWrap/>
        <w:overflowPunct/>
        <w:topLinePunct w:val="0"/>
        <w:autoSpaceDE/>
        <w:autoSpaceDN/>
        <w:bidi w:val="0"/>
        <w:spacing w:beforeAutospacing="0" w:after="0" w:afterAutospacing="0" w:line="460" w:lineRule="exact"/>
        <w:ind w:left="0" w:hanging="240" w:hangingChars="1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3.5内径</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1cm；</w:t>
      </w:r>
    </w:p>
    <w:p>
      <w:pPr>
        <w:pStyle w:val="13"/>
        <w:keepNext w:val="0"/>
        <w:keepLines w:val="0"/>
        <w:pageBreakBefore w:val="0"/>
        <w:widowControl w:val="0"/>
        <w:kinsoku/>
        <w:wordWrap/>
        <w:overflowPunct/>
        <w:topLinePunct w:val="0"/>
        <w:autoSpaceDE/>
        <w:autoSpaceDN/>
        <w:bidi w:val="0"/>
        <w:spacing w:beforeAutospacing="0" w:after="0" w:afterAutospacing="0" w:line="460" w:lineRule="exact"/>
        <w:ind w:left="0" w:hanging="240" w:hangingChars="1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3.6破拆枪全长</w:t>
      </w:r>
      <w:r>
        <w:rPr>
          <w:rFonts w:hint="eastAsia" w:ascii="仿宋" w:hAnsi="仿宋" w:eastAsia="仿宋" w:cs="仿宋"/>
          <w:bCs/>
          <w:color w:val="auto"/>
          <w:sz w:val="24"/>
          <w:szCs w:val="24"/>
          <w:highlight w:val="none"/>
        </w:rPr>
        <w:t>≤</w:t>
      </w:r>
      <w:r>
        <w:rPr>
          <w:rFonts w:hint="eastAsia" w:ascii="仿宋" w:hAnsi="仿宋" w:eastAsia="仿宋" w:cs="仿宋"/>
          <w:color w:val="auto"/>
          <w:sz w:val="24"/>
          <w:szCs w:val="24"/>
          <w:highlight w:val="none"/>
          <w:lang w:val="en-US" w:eastAsia="zh-CN"/>
        </w:rPr>
        <w:t>260mm；</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en-US" w:eastAsia="zh-CN"/>
        </w:rPr>
        <w:t>7</w:t>
      </w:r>
      <w:r>
        <w:rPr>
          <w:rFonts w:hint="eastAsia" w:ascii="仿宋" w:hAnsi="仿宋" w:eastAsia="仿宋" w:cs="仿宋"/>
          <w:color w:val="auto"/>
          <w:kern w:val="0"/>
          <w:sz w:val="24"/>
          <w:szCs w:val="24"/>
          <w:highlight w:val="none"/>
        </w:rPr>
        <w:t>提供中文使用说明书，含装备简介、使用注意事</w:t>
      </w:r>
      <w:r>
        <w:rPr>
          <w:rFonts w:hint="eastAsia" w:ascii="仿宋" w:hAnsi="仿宋" w:eastAsia="仿宋" w:cs="仿宋"/>
          <w:bCs/>
          <w:color w:val="auto"/>
          <w:sz w:val="24"/>
          <w:szCs w:val="24"/>
          <w:highlight w:val="none"/>
        </w:rPr>
        <w:t>项及维护保养等内容</w:t>
      </w:r>
      <w:r>
        <w:rPr>
          <w:rFonts w:hint="eastAsia" w:ascii="仿宋" w:hAnsi="仿宋" w:eastAsia="仿宋" w:cs="仿宋"/>
          <w:color w:val="auto"/>
          <w:sz w:val="24"/>
          <w:szCs w:val="24"/>
          <w:highlight w:val="none"/>
        </w:rPr>
        <w:t>。</w:t>
      </w:r>
    </w:p>
    <w:p>
      <w:pPr>
        <w:pStyle w:val="13"/>
        <w:keepNext w:val="0"/>
        <w:keepLines w:val="0"/>
        <w:pageBreakBefore w:val="0"/>
        <w:widowControl w:val="0"/>
        <w:kinsoku/>
        <w:wordWrap/>
        <w:overflowPunct/>
        <w:topLinePunct w:val="0"/>
        <w:autoSpaceDE/>
        <w:autoSpaceDN/>
        <w:bidi w:val="0"/>
        <w:spacing w:after="0" w:afterAutospacing="0" w:line="460" w:lineRule="exact"/>
        <w:ind w:left="0"/>
        <w:outlineLvl w:val="9"/>
        <w:rPr>
          <w:rFonts w:hint="eastAsia" w:ascii="仿宋" w:hAnsi="仿宋" w:eastAsia="仿宋" w:cs="仿宋"/>
          <w:b/>
          <w:bCs/>
          <w:color w:val="auto"/>
          <w:kern w:val="0"/>
          <w:sz w:val="24"/>
          <w:szCs w:val="24"/>
          <w:highlight w:val="none"/>
          <w:lang w:val="en-US" w:eastAsia="zh-CN"/>
        </w:rPr>
      </w:pPr>
    </w:p>
    <w:p>
      <w:pPr>
        <w:keepNext w:val="0"/>
        <w:keepLines w:val="0"/>
        <w:pageBreakBefore w:val="0"/>
        <w:kinsoku/>
        <w:wordWrap/>
        <w:overflowPunct/>
        <w:topLinePunct w:val="0"/>
        <w:bidi w:val="0"/>
        <w:adjustRightInd w:val="0"/>
        <w:snapToGrid w:val="0"/>
        <w:spacing w:line="460" w:lineRule="exact"/>
        <w:outlineLvl w:val="9"/>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25包-5、</w:t>
      </w:r>
      <w:r>
        <w:rPr>
          <w:rFonts w:hint="eastAsia" w:ascii="仿宋" w:hAnsi="仿宋" w:eastAsia="仿宋" w:cs="仿宋"/>
          <w:b/>
          <w:bCs w:val="0"/>
          <w:color w:val="auto"/>
          <w:sz w:val="24"/>
          <w:szCs w:val="24"/>
          <w:highlight w:val="none"/>
        </w:rPr>
        <w:t>毁锁器</w:t>
      </w:r>
    </w:p>
    <w:p>
      <w:pPr>
        <w:keepNext w:val="0"/>
        <w:keepLines w:val="0"/>
        <w:pageBreakBefore w:val="0"/>
        <w:widowControl w:val="0"/>
        <w:kinsoku/>
        <w:wordWrap/>
        <w:overflowPunct/>
        <w:topLinePunct w:val="0"/>
        <w:autoSpaceDE/>
        <w:autoSpaceDN/>
        <w:bidi w:val="0"/>
        <w:adjustRightInd w:val="0"/>
        <w:snapToGrid w:val="0"/>
        <w:spacing w:afterAutospacing="0" w:line="460" w:lineRule="exact"/>
        <w:ind w:left="0"/>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一、货物名称：毁锁器</w:t>
      </w:r>
    </w:p>
    <w:p>
      <w:pPr>
        <w:keepNext w:val="0"/>
        <w:keepLines w:val="0"/>
        <w:pageBreakBefore w:val="0"/>
        <w:widowControl w:val="0"/>
        <w:kinsoku/>
        <w:wordWrap/>
        <w:overflowPunct/>
        <w:topLinePunct w:val="0"/>
        <w:autoSpaceDE/>
        <w:autoSpaceDN/>
        <w:bidi w:val="0"/>
        <w:adjustRightInd w:val="0"/>
        <w:snapToGrid w:val="0"/>
        <w:spacing w:afterAutospacing="0" w:line="460" w:lineRule="exact"/>
        <w:ind w:left="0"/>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二、产地：国产</w:t>
      </w:r>
    </w:p>
    <w:p>
      <w:pPr>
        <w:keepNext w:val="0"/>
        <w:keepLines w:val="0"/>
        <w:pageBreakBefore w:val="0"/>
        <w:widowControl w:val="0"/>
        <w:kinsoku/>
        <w:wordWrap/>
        <w:overflowPunct/>
        <w:topLinePunct w:val="0"/>
        <w:autoSpaceDE/>
        <w:autoSpaceDN/>
        <w:bidi w:val="0"/>
        <w:spacing w:afterAutospacing="0" w:line="460" w:lineRule="exact"/>
        <w:ind w:left="0"/>
        <w:outlineLvl w:val="9"/>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三、主要技术规格、参数及要求：</w:t>
      </w:r>
    </w:p>
    <w:p>
      <w:pPr>
        <w:pStyle w:val="13"/>
        <w:keepNext w:val="0"/>
        <w:keepLines w:val="0"/>
        <w:pageBreakBefore w:val="0"/>
        <w:widowControl w:val="0"/>
        <w:kinsoku/>
        <w:wordWrap/>
        <w:overflowPunct/>
        <w:topLinePunct w:val="0"/>
        <w:autoSpaceDE/>
        <w:autoSpaceDN/>
        <w:bidi w:val="0"/>
        <w:adjustRightInd/>
        <w:snapToGrid/>
        <w:spacing w:after="0" w:line="460" w:lineRule="exact"/>
        <w:textAlignment w:val="auto"/>
        <w:rPr>
          <w:rFonts w:hint="eastAsia" w:eastAsia="仿宋"/>
          <w:color w:val="auto"/>
          <w:lang w:eastAsia="zh-CN"/>
        </w:rPr>
      </w:pPr>
      <w:r>
        <w:rPr>
          <w:rFonts w:hint="eastAsia" w:ascii="仿宋" w:hAnsi="仿宋" w:eastAsia="仿宋" w:cs="仿宋"/>
          <w:color w:val="auto"/>
          <w:kern w:val="2"/>
          <w:sz w:val="24"/>
          <w:szCs w:val="24"/>
          <w:highlight w:val="none"/>
          <w:lang w:val="en-US" w:eastAsia="zh-CN" w:bidi="ar"/>
        </w:rPr>
        <w:t>★</w:t>
      </w: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widowControl w:val="0"/>
        <w:shd w:val="clear" w:color="auto" w:fill="auto"/>
        <w:kinsoku/>
        <w:wordWrap/>
        <w:overflowPunct/>
        <w:topLinePunct w:val="0"/>
        <w:autoSpaceDE/>
        <w:autoSpaceDN/>
        <w:bidi w:val="0"/>
        <w:adjustRightInd/>
        <w:snapToGrid/>
        <w:spacing w:line="460" w:lineRule="exact"/>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3.2</w:t>
      </w:r>
      <w:r>
        <w:rPr>
          <w:rFonts w:hint="eastAsia" w:ascii="仿宋" w:hAnsi="仿宋" w:eastAsia="仿宋" w:cs="仿宋"/>
          <w:bCs/>
          <w:color w:val="auto"/>
          <w:sz w:val="24"/>
          <w:szCs w:val="24"/>
          <w:highlight w:val="none"/>
          <w:lang w:val="en-US" w:eastAsia="zh-CN"/>
        </w:rPr>
        <w:t>构成：由毁锁枪主体、冲击头、弹夹、射钉弹等组成；</w:t>
      </w:r>
    </w:p>
    <w:p>
      <w:pPr>
        <w:keepNext w:val="0"/>
        <w:keepLines w:val="0"/>
        <w:pageBreakBefore w:val="0"/>
        <w:widowControl w:val="0"/>
        <w:shd w:val="clear" w:color="auto" w:fill="auto"/>
        <w:kinsoku/>
        <w:wordWrap/>
        <w:overflowPunct/>
        <w:topLinePunct w:val="0"/>
        <w:autoSpaceDE/>
        <w:autoSpaceDN/>
        <w:bidi w:val="0"/>
        <w:adjustRightInd/>
        <w:snapToGrid/>
        <w:spacing w:line="460" w:lineRule="exact"/>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3.3圆柱冲击头种类：≥3，圆柱冲击头可击穿≥3mm钢板，</w:t>
      </w:r>
      <w:r>
        <w:rPr>
          <w:rFonts w:hint="eastAsia" w:ascii="仿宋" w:hAnsi="仿宋" w:eastAsia="仿宋" w:cs="仿宋"/>
          <w:bCs/>
          <w:color w:val="auto"/>
          <w:sz w:val="24"/>
          <w:szCs w:val="24"/>
          <w:highlight w:val="none"/>
        </w:rPr>
        <w:t>扁铲冲击头：可击穿≥3mm厚钢板，击断≥14mm钢筋，击断≥10mm圆股钢丝</w:t>
      </w:r>
      <w:r>
        <w:rPr>
          <w:rFonts w:hint="eastAsia" w:ascii="仿宋" w:hAnsi="仿宋" w:eastAsia="仿宋" w:cs="仿宋"/>
          <w:bCs/>
          <w:color w:val="auto"/>
          <w:sz w:val="24"/>
          <w:szCs w:val="24"/>
          <w:highlight w:val="none"/>
          <w:lang w:val="en-US" w:eastAsia="zh-CN"/>
        </w:rPr>
        <w:t>；</w:t>
      </w:r>
    </w:p>
    <w:p>
      <w:pPr>
        <w:keepNext w:val="0"/>
        <w:keepLines w:val="0"/>
        <w:pageBreakBefore w:val="0"/>
        <w:widowControl w:val="0"/>
        <w:shd w:val="clear" w:color="auto" w:fill="auto"/>
        <w:kinsoku/>
        <w:wordWrap/>
        <w:overflowPunct/>
        <w:topLinePunct w:val="0"/>
        <w:autoSpaceDE/>
        <w:autoSpaceDN/>
        <w:bidi w:val="0"/>
        <w:adjustRightInd/>
        <w:snapToGrid/>
        <w:spacing w:line="460" w:lineRule="exact"/>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3.4</w:t>
      </w:r>
      <w:r>
        <w:rPr>
          <w:rFonts w:hint="eastAsia" w:ascii="仿宋" w:hAnsi="仿宋" w:eastAsia="仿宋" w:cs="仿宋"/>
          <w:bCs/>
          <w:color w:val="auto"/>
          <w:sz w:val="24"/>
          <w:szCs w:val="24"/>
          <w:highlight w:val="none"/>
        </w:rPr>
        <w:t>配备≥50枚射钉弹，毁锁器连续击发30次后，可正常使用</w:t>
      </w:r>
      <w:r>
        <w:rPr>
          <w:rFonts w:hint="eastAsia" w:ascii="仿宋" w:hAnsi="仿宋" w:eastAsia="仿宋" w:cs="仿宋"/>
          <w:bCs/>
          <w:color w:val="auto"/>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提供中文使用说明书，含装备简介、使用注意事项及维护保养等内容。</w:t>
      </w:r>
    </w:p>
    <w:p>
      <w:pPr>
        <w:pStyle w:val="13"/>
        <w:keepNext w:val="0"/>
        <w:keepLines w:val="0"/>
        <w:pageBreakBefore w:val="0"/>
        <w:widowControl w:val="0"/>
        <w:kinsoku/>
        <w:wordWrap/>
        <w:overflowPunct/>
        <w:topLinePunct w:val="0"/>
        <w:autoSpaceDE/>
        <w:autoSpaceDN/>
        <w:bidi w:val="0"/>
        <w:spacing w:after="0" w:afterAutospacing="0" w:line="460" w:lineRule="exact"/>
        <w:ind w:left="0"/>
        <w:outlineLvl w:val="9"/>
        <w:rPr>
          <w:rFonts w:hint="eastAsia"/>
          <w:color w:val="auto"/>
          <w:lang w:val="en-US" w:eastAsia="zh-CN"/>
        </w:rPr>
      </w:pPr>
      <w:bookmarkStart w:id="477" w:name="_Toc15010"/>
      <w:bookmarkStart w:id="478" w:name="_Toc14486"/>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1"/>
        <w:rPr>
          <w:rFonts w:hint="eastAsia" w:ascii="仿宋" w:hAnsi="仿宋" w:eastAsia="仿宋" w:cs="仿宋"/>
          <w:b/>
          <w:bCs/>
          <w:color w:val="auto"/>
          <w:sz w:val="24"/>
          <w:szCs w:val="24"/>
          <w:highlight w:val="none"/>
          <w:lang w:val="en-US" w:eastAsia="zh-CN"/>
        </w:rPr>
      </w:pPr>
      <w:bookmarkStart w:id="479" w:name="_Toc16358"/>
      <w:bookmarkStart w:id="480" w:name="_Toc28835"/>
      <w:r>
        <w:rPr>
          <w:rFonts w:hint="eastAsia" w:ascii="仿宋" w:hAnsi="仿宋" w:eastAsia="仿宋" w:cs="仿宋"/>
          <w:b/>
          <w:bCs/>
          <w:color w:val="auto"/>
          <w:sz w:val="24"/>
          <w:szCs w:val="24"/>
          <w:highlight w:val="none"/>
          <w:lang w:val="en-US" w:eastAsia="zh-CN"/>
        </w:rPr>
        <w:t>28包：狭小空间排烟机、强制送风呼吸器、坑道小型空气输送机、水驱动排烟机【核心产品】</w:t>
      </w:r>
      <w:bookmarkEnd w:id="477"/>
      <w:bookmarkEnd w:id="478"/>
      <w:bookmarkEnd w:id="479"/>
      <w:bookmarkEnd w:id="480"/>
    </w:p>
    <w:p>
      <w:pPr>
        <w:keepNext w:val="0"/>
        <w:keepLines w:val="0"/>
        <w:pageBreakBefore w:val="0"/>
        <w:kinsoku/>
        <w:wordWrap/>
        <w:overflowPunct/>
        <w:topLinePunct w:val="0"/>
        <w:bidi w:val="0"/>
        <w:adjustRightInd w:val="0"/>
        <w:snapToGrid w:val="0"/>
        <w:spacing w:line="460" w:lineRule="exact"/>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
          <w:bCs/>
          <w:color w:val="auto"/>
          <w:kern w:val="2"/>
          <w:sz w:val="24"/>
          <w:szCs w:val="24"/>
          <w:highlight w:val="none"/>
          <w:lang w:val="en-US" w:eastAsia="zh-CN" w:bidi="ar-SA"/>
        </w:rPr>
        <w:t>28包-1、狭小空间排烟机</w:t>
      </w:r>
    </w:p>
    <w:p>
      <w:pPr>
        <w:pStyle w:val="13"/>
        <w:keepNext w:val="0"/>
        <w:keepLines w:val="0"/>
        <w:pageBreakBefore w:val="0"/>
        <w:widowControl w:val="0"/>
        <w:kinsoku/>
        <w:wordWrap/>
        <w:overflowPunct/>
        <w:topLinePunct w:val="0"/>
        <w:autoSpaceDE/>
        <w:autoSpaceDN/>
        <w:bidi w:val="0"/>
        <w:adjustRightInd/>
        <w:snapToGrid/>
        <w:spacing w:beforeAutospacing="0" w:after="0" w:afterAutospacing="0" w:line="460" w:lineRule="exact"/>
        <w:ind w:left="0" w:leftChars="0" w:right="0" w:rightChars="0" w:firstLine="0" w:firstLineChars="0"/>
        <w:jc w:val="both"/>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一、货物名称：</w:t>
      </w:r>
      <w:r>
        <w:rPr>
          <w:rFonts w:hint="eastAsia" w:ascii="仿宋" w:hAnsi="仿宋" w:eastAsia="仿宋" w:cs="仿宋"/>
          <w:color w:val="auto"/>
          <w:sz w:val="24"/>
          <w:szCs w:val="24"/>
          <w:highlight w:val="none"/>
          <w:lang w:val="en-US" w:eastAsia="zh-CN"/>
        </w:rPr>
        <w:t>狭小空间排烟机</w:t>
      </w:r>
    </w:p>
    <w:p>
      <w:pPr>
        <w:pStyle w:val="13"/>
        <w:keepNext w:val="0"/>
        <w:keepLines w:val="0"/>
        <w:pageBreakBefore w:val="0"/>
        <w:widowControl w:val="0"/>
        <w:kinsoku/>
        <w:wordWrap/>
        <w:overflowPunct/>
        <w:topLinePunct w:val="0"/>
        <w:autoSpaceDE/>
        <w:autoSpaceDN/>
        <w:bidi w:val="0"/>
        <w:adjustRightInd/>
        <w:snapToGrid/>
        <w:spacing w:beforeAutospacing="0" w:after="0" w:afterAutospacing="0" w:line="460" w:lineRule="exact"/>
        <w:ind w:left="0" w:leftChars="0" w:right="0" w:rightChars="0" w:firstLine="0" w:firstLineChars="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二、产地：国产</w:t>
      </w:r>
    </w:p>
    <w:p>
      <w:pPr>
        <w:pStyle w:val="13"/>
        <w:keepNext w:val="0"/>
        <w:keepLines w:val="0"/>
        <w:pageBreakBefore w:val="0"/>
        <w:widowControl w:val="0"/>
        <w:kinsoku/>
        <w:wordWrap/>
        <w:overflowPunct/>
        <w:topLinePunct w:val="0"/>
        <w:autoSpaceDE/>
        <w:autoSpaceDN/>
        <w:bidi w:val="0"/>
        <w:adjustRightInd/>
        <w:snapToGrid/>
        <w:spacing w:beforeAutospacing="0" w:after="0" w:afterAutospacing="0" w:line="460" w:lineRule="exact"/>
        <w:ind w:left="0" w:leftChars="0" w:right="0" w:rightChars="0" w:firstLine="0" w:firstLineChars="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三、主要技术规格、参数及要求：</w:t>
      </w:r>
    </w:p>
    <w:p>
      <w:pPr>
        <w:pStyle w:val="13"/>
        <w:keepNext w:val="0"/>
        <w:keepLines w:val="0"/>
        <w:pageBreakBefore w:val="0"/>
        <w:kinsoku/>
        <w:wordWrap/>
        <w:overflowPunct/>
        <w:topLinePunct w:val="0"/>
        <w:bidi w:val="0"/>
        <w:spacing w:line="460" w:lineRule="exact"/>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val="en-US" w:eastAsia="zh-CN" w:bidi="ar"/>
        </w:rPr>
        <w:t>★3.1产品符合</w:t>
      </w:r>
      <w:r>
        <w:rPr>
          <w:rFonts w:hint="eastAsia" w:ascii="仿宋" w:hAnsi="仿宋" w:eastAsia="仿宋" w:cs="仿宋"/>
          <w:color w:val="auto"/>
          <w:sz w:val="24"/>
          <w:szCs w:val="24"/>
          <w:highlight w:val="none"/>
          <w:lang w:val="en-US" w:eastAsia="zh-CN"/>
        </w:rPr>
        <w:t>《移动式消防排烟机》（GB27901-2011）</w:t>
      </w:r>
      <w:r>
        <w:rPr>
          <w:rFonts w:hint="eastAsia" w:ascii="仿宋" w:hAnsi="仿宋" w:eastAsia="仿宋" w:cs="仿宋"/>
          <w:color w:val="auto"/>
          <w:kern w:val="2"/>
          <w:sz w:val="24"/>
          <w:szCs w:val="24"/>
          <w:highlight w:val="none"/>
          <w:lang w:val="en-US" w:eastAsia="zh-CN" w:bidi="ar"/>
        </w:rPr>
        <w:t>标准的要求，</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pStyle w:val="13"/>
        <w:keepNext w:val="0"/>
        <w:keepLines w:val="0"/>
        <w:pageBreakBefore w:val="0"/>
        <w:widowControl w:val="0"/>
        <w:kinsoku/>
        <w:wordWrap/>
        <w:overflowPunct/>
        <w:topLinePunct w:val="0"/>
        <w:autoSpaceDE/>
        <w:autoSpaceDN/>
        <w:bidi w:val="0"/>
        <w:adjustRightInd/>
        <w:snapToGrid/>
        <w:spacing w:beforeAutospacing="0" w:after="0" w:afterAutospacing="0" w:line="460" w:lineRule="exact"/>
        <w:ind w:left="0" w:leftChars="0" w:right="0" w:rightChars="0" w:firstLine="0" w:firstLineChars="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3.2由钢制导风管、铝铸叶轮、电机以及塑料开关组成；可快速转换风筒及内衬风管，可迅速分开转换。</w:t>
      </w:r>
    </w:p>
    <w:p>
      <w:pPr>
        <w:pStyle w:val="13"/>
        <w:keepNext w:val="0"/>
        <w:keepLines w:val="0"/>
        <w:pageBreakBefore w:val="0"/>
        <w:widowControl w:val="0"/>
        <w:kinsoku/>
        <w:wordWrap/>
        <w:overflowPunct/>
        <w:topLinePunct w:val="0"/>
        <w:autoSpaceDE/>
        <w:autoSpaceDN/>
        <w:bidi w:val="0"/>
        <w:adjustRightInd/>
        <w:snapToGrid/>
        <w:spacing w:beforeAutospacing="0" w:after="0" w:afterAutospacing="0" w:line="460" w:lineRule="exact"/>
        <w:ind w:left="0" w:leftChars="0" w:right="0" w:rightChars="0" w:firstLine="0" w:firstLineChars="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3.3电源：220V</w:t>
      </w:r>
      <w:r>
        <w:rPr>
          <w:rFonts w:hint="eastAsia" w:ascii="仿宋" w:hAnsi="仿宋" w:eastAsia="仿宋" w:cs="仿宋"/>
          <w:color w:val="auto"/>
          <w:sz w:val="24"/>
          <w:szCs w:val="24"/>
          <w:highlight w:val="none"/>
          <w:lang w:val="en-US" w:eastAsia="zh-CN"/>
        </w:rPr>
        <w:t>/50Hz</w:t>
      </w:r>
      <w:r>
        <w:rPr>
          <w:rFonts w:hint="eastAsia" w:ascii="仿宋" w:hAnsi="仿宋" w:eastAsia="仿宋" w:cs="仿宋"/>
          <w:color w:val="auto"/>
          <w:sz w:val="24"/>
          <w:szCs w:val="24"/>
          <w:highlight w:val="none"/>
        </w:rPr>
        <w:t>AC；</w:t>
      </w:r>
    </w:p>
    <w:p>
      <w:pPr>
        <w:pStyle w:val="13"/>
        <w:keepNext w:val="0"/>
        <w:keepLines w:val="0"/>
        <w:pageBreakBefore w:val="0"/>
        <w:widowControl w:val="0"/>
        <w:kinsoku/>
        <w:wordWrap/>
        <w:overflowPunct/>
        <w:topLinePunct w:val="0"/>
        <w:autoSpaceDE/>
        <w:autoSpaceDN/>
        <w:bidi w:val="0"/>
        <w:adjustRightInd/>
        <w:snapToGrid/>
        <w:spacing w:beforeAutospacing="0" w:after="0" w:afterAutospacing="0" w:line="460" w:lineRule="exact"/>
        <w:ind w:left="0" w:leftChars="0" w:right="0" w:rightChars="0" w:firstLine="0" w:firstLineChars="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
        </w:rPr>
        <w:t>▲</w:t>
      </w:r>
      <w:r>
        <w:rPr>
          <w:rFonts w:hint="eastAsia" w:ascii="仿宋" w:hAnsi="仿宋" w:eastAsia="仿宋" w:cs="仿宋"/>
          <w:color w:val="auto"/>
          <w:sz w:val="24"/>
          <w:szCs w:val="24"/>
          <w:highlight w:val="none"/>
        </w:rPr>
        <w:t>3.4风量：≥3</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m³/min；</w:t>
      </w:r>
    </w:p>
    <w:p>
      <w:pPr>
        <w:pStyle w:val="13"/>
        <w:keepNext w:val="0"/>
        <w:keepLines w:val="0"/>
        <w:pageBreakBefore w:val="0"/>
        <w:widowControl w:val="0"/>
        <w:kinsoku/>
        <w:wordWrap/>
        <w:overflowPunct/>
        <w:topLinePunct w:val="0"/>
        <w:autoSpaceDE/>
        <w:autoSpaceDN/>
        <w:bidi w:val="0"/>
        <w:adjustRightInd/>
        <w:snapToGrid/>
        <w:spacing w:beforeAutospacing="0" w:after="0" w:afterAutospacing="0" w:line="460" w:lineRule="exact"/>
        <w:ind w:left="0" w:leftChars="0" w:right="0" w:rightChars="0" w:firstLine="0" w:firstLineChars="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3.5风管</w:t>
      </w:r>
      <w:r>
        <w:rPr>
          <w:rFonts w:hint="eastAsia" w:ascii="仿宋" w:hAnsi="仿宋" w:eastAsia="仿宋" w:cs="仿宋"/>
          <w:color w:val="auto"/>
          <w:sz w:val="24"/>
          <w:szCs w:val="24"/>
          <w:highlight w:val="none"/>
          <w:lang w:eastAsia="zh-CN"/>
        </w:rPr>
        <w:t>长度</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m；</w:t>
      </w:r>
    </w:p>
    <w:p>
      <w:pPr>
        <w:pStyle w:val="13"/>
        <w:keepNext w:val="0"/>
        <w:keepLines w:val="0"/>
        <w:pageBreakBefore w:val="0"/>
        <w:widowControl w:val="0"/>
        <w:kinsoku/>
        <w:wordWrap/>
        <w:overflowPunct/>
        <w:topLinePunct w:val="0"/>
        <w:autoSpaceDE/>
        <w:autoSpaceDN/>
        <w:bidi w:val="0"/>
        <w:adjustRightInd/>
        <w:snapToGrid/>
        <w:spacing w:beforeAutospacing="0" w:after="0" w:afterAutospacing="0" w:line="460" w:lineRule="exact"/>
        <w:ind w:left="0" w:leftChars="0" w:right="0" w:rightChars="0" w:firstLine="0" w:firstLineChars="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
        </w:rPr>
        <w:t>▲</w:t>
      </w:r>
      <w:r>
        <w:rPr>
          <w:rFonts w:hint="eastAsia" w:ascii="仿宋" w:hAnsi="仿宋" w:eastAsia="仿宋" w:cs="仿宋"/>
          <w:color w:val="auto"/>
          <w:sz w:val="24"/>
          <w:szCs w:val="24"/>
          <w:highlight w:val="none"/>
        </w:rPr>
        <w:t>3.6功率：≥</w:t>
      </w:r>
      <w:r>
        <w:rPr>
          <w:rFonts w:hint="eastAsia" w:ascii="仿宋" w:hAnsi="仿宋" w:eastAsia="仿宋" w:cs="仿宋"/>
          <w:color w:val="auto"/>
          <w:sz w:val="24"/>
          <w:szCs w:val="24"/>
          <w:highlight w:val="none"/>
          <w:lang w:val="en-US" w:eastAsia="zh-CN"/>
        </w:rPr>
        <w:t>40</w:t>
      </w:r>
      <w:r>
        <w:rPr>
          <w:rFonts w:hint="eastAsia" w:ascii="仿宋" w:hAnsi="仿宋" w:eastAsia="仿宋" w:cs="仿宋"/>
          <w:color w:val="auto"/>
          <w:sz w:val="24"/>
          <w:szCs w:val="24"/>
          <w:highlight w:val="none"/>
        </w:rPr>
        <w:t>0W；</w:t>
      </w:r>
    </w:p>
    <w:p>
      <w:pPr>
        <w:pStyle w:val="13"/>
        <w:keepNext w:val="0"/>
        <w:keepLines w:val="0"/>
        <w:pageBreakBefore w:val="0"/>
        <w:widowControl w:val="0"/>
        <w:kinsoku/>
        <w:wordWrap/>
        <w:overflowPunct/>
        <w:topLinePunct w:val="0"/>
        <w:autoSpaceDE/>
        <w:autoSpaceDN/>
        <w:bidi w:val="0"/>
        <w:adjustRightInd/>
        <w:snapToGrid/>
        <w:spacing w:beforeAutospacing="0" w:after="0" w:afterAutospacing="0" w:line="460" w:lineRule="exact"/>
        <w:ind w:left="0" w:leftChars="0" w:right="0" w:rightChars="0" w:firstLine="0" w:firstLineChars="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重量：≤1</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kg；</w:t>
      </w:r>
    </w:p>
    <w:p>
      <w:pPr>
        <w:pStyle w:val="13"/>
        <w:keepNext w:val="0"/>
        <w:keepLines w:val="0"/>
        <w:pageBreakBefore w:val="0"/>
        <w:widowControl w:val="0"/>
        <w:kinsoku/>
        <w:wordWrap/>
        <w:overflowPunct/>
        <w:topLinePunct w:val="0"/>
        <w:autoSpaceDE/>
        <w:autoSpaceDN/>
        <w:bidi w:val="0"/>
        <w:adjustRightInd/>
        <w:snapToGrid/>
        <w:spacing w:beforeAutospacing="0" w:after="0" w:afterAutospacing="0" w:line="460" w:lineRule="exact"/>
        <w:ind w:left="0" w:leftChars="0" w:right="0" w:rightChars="0" w:firstLine="0" w:firstLineChars="0"/>
        <w:jc w:val="both"/>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提供中文使用说明书，含装备简介、使用注意事项及维护保养等内容。</w:t>
      </w:r>
    </w:p>
    <w:p>
      <w:pPr>
        <w:keepNext w:val="0"/>
        <w:keepLines w:val="0"/>
        <w:pageBreakBefore w:val="0"/>
        <w:kinsoku/>
        <w:wordWrap/>
        <w:overflowPunct/>
        <w:topLinePunct w:val="0"/>
        <w:bidi w:val="0"/>
        <w:spacing w:line="460" w:lineRule="exact"/>
        <w:jc w:val="left"/>
        <w:outlineLvl w:val="9"/>
        <w:rPr>
          <w:rFonts w:hint="eastAsia" w:ascii="仿宋" w:hAnsi="仿宋" w:eastAsia="仿宋" w:cs="仿宋"/>
          <w:color w:val="auto"/>
          <w:sz w:val="24"/>
          <w:szCs w:val="24"/>
          <w:highlight w:val="none"/>
          <w:lang w:eastAsia="zh-CN"/>
        </w:rPr>
      </w:pPr>
    </w:p>
    <w:p>
      <w:pPr>
        <w:keepNext w:val="0"/>
        <w:keepLines w:val="0"/>
        <w:pageBreakBefore w:val="0"/>
        <w:kinsoku/>
        <w:wordWrap/>
        <w:overflowPunct/>
        <w:topLinePunct w:val="0"/>
        <w:bidi w:val="0"/>
        <w:adjustRightInd w:val="0"/>
        <w:snapToGrid w:val="0"/>
        <w:spacing w:line="460" w:lineRule="exact"/>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
          <w:bCs/>
          <w:color w:val="auto"/>
          <w:kern w:val="2"/>
          <w:sz w:val="24"/>
          <w:szCs w:val="24"/>
          <w:highlight w:val="none"/>
          <w:lang w:val="en-US" w:eastAsia="zh-CN" w:bidi="ar-SA"/>
        </w:rPr>
        <w:t>28包-2、</w:t>
      </w:r>
      <w:r>
        <w:rPr>
          <w:rFonts w:hint="eastAsia" w:ascii="仿宋" w:hAnsi="仿宋" w:eastAsia="仿宋" w:cs="仿宋"/>
          <w:b/>
          <w:bCs/>
          <w:color w:val="auto"/>
          <w:sz w:val="24"/>
          <w:szCs w:val="24"/>
          <w:highlight w:val="none"/>
          <w:lang w:val="en-US" w:eastAsia="zh-CN"/>
        </w:rPr>
        <w:t>强制送风呼吸器</w:t>
      </w:r>
    </w:p>
    <w:p>
      <w:pPr>
        <w:keepNext w:val="0"/>
        <w:keepLines w:val="0"/>
        <w:pageBreakBefore w:val="0"/>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一、货物名称：强制送风呼吸器</w:t>
      </w:r>
    </w:p>
    <w:p>
      <w:pPr>
        <w:keepNext w:val="0"/>
        <w:keepLines w:val="0"/>
        <w:pageBreakBefore w:val="0"/>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二、产地：国产</w:t>
      </w:r>
    </w:p>
    <w:p>
      <w:pPr>
        <w:keepNext w:val="0"/>
        <w:keepLines w:val="0"/>
        <w:pageBreakBefore w:val="0"/>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三、主要技术规格、参数及要求：</w:t>
      </w:r>
    </w:p>
    <w:p>
      <w:pPr>
        <w:pStyle w:val="13"/>
        <w:keepNext w:val="0"/>
        <w:keepLines w:val="0"/>
        <w:pageBreakBefore w:val="0"/>
        <w:kinsoku/>
        <w:wordWrap/>
        <w:overflowPunct/>
        <w:topLinePunct w:val="0"/>
        <w:bidi w:val="0"/>
        <w:spacing w:after="0" w:line="460" w:lineRule="exact"/>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val="en-US" w:eastAsia="zh-CN" w:bidi="ar"/>
        </w:rPr>
        <w:t>★3.1产品符合</w:t>
      </w:r>
      <w:r>
        <w:rPr>
          <w:rFonts w:hint="eastAsia" w:ascii="仿宋" w:hAnsi="仿宋" w:eastAsia="仿宋" w:cs="仿宋"/>
          <w:bCs/>
          <w:color w:val="auto"/>
          <w:sz w:val="24"/>
          <w:szCs w:val="24"/>
          <w:highlight w:val="none"/>
          <w:lang w:val="en-US" w:eastAsia="zh-CN"/>
        </w:rPr>
        <w:t>GB30864-2014《呼吸防护动力送风过滤式呼吸器》</w:t>
      </w:r>
      <w:r>
        <w:rPr>
          <w:rFonts w:hint="eastAsia" w:ascii="仿宋" w:hAnsi="仿宋" w:eastAsia="仿宋" w:cs="仿宋"/>
          <w:color w:val="auto"/>
          <w:kern w:val="2"/>
          <w:sz w:val="24"/>
          <w:szCs w:val="24"/>
          <w:highlight w:val="none"/>
          <w:lang w:val="en-US" w:eastAsia="zh-CN" w:bidi="ar"/>
        </w:rPr>
        <w:t>标准的要求，</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3.2部件构成：导气管、正压式全面罩、过滤装置、送风机等组成；</w:t>
      </w:r>
    </w:p>
    <w:p>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2"/>
          <w:sz w:val="24"/>
          <w:szCs w:val="24"/>
          <w:highlight w:val="none"/>
          <w:lang w:val="en-US" w:eastAsia="zh-CN" w:bidi="ar"/>
        </w:rPr>
        <w:t>▲</w:t>
      </w:r>
      <w:r>
        <w:rPr>
          <w:rFonts w:hint="eastAsia" w:ascii="仿宋" w:hAnsi="仿宋" w:eastAsia="仿宋" w:cs="仿宋"/>
          <w:color w:val="auto"/>
          <w:kern w:val="0"/>
          <w:sz w:val="24"/>
          <w:szCs w:val="24"/>
          <w:highlight w:val="none"/>
          <w:lang w:val="en-US" w:eastAsia="zh-CN"/>
        </w:rPr>
        <w:t>3.3送风量：≥95L/min；</w:t>
      </w:r>
      <w:r>
        <w:rPr>
          <w:rFonts w:hint="eastAsia" w:ascii="仿宋" w:hAnsi="仿宋" w:eastAsia="仿宋" w:cs="仿宋"/>
          <w:color w:val="auto"/>
          <w:kern w:val="0"/>
          <w:sz w:val="24"/>
          <w:szCs w:val="24"/>
          <w:highlight w:val="none"/>
          <w:lang w:val="en-US" w:eastAsia="zh-CN"/>
        </w:rPr>
        <w:tab/>
      </w:r>
    </w:p>
    <w:p>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2"/>
          <w:sz w:val="24"/>
          <w:szCs w:val="24"/>
          <w:highlight w:val="none"/>
          <w:lang w:val="en-US" w:eastAsia="zh-CN" w:bidi="ar"/>
        </w:rPr>
        <w:t>▲</w:t>
      </w:r>
      <w:r>
        <w:rPr>
          <w:rFonts w:hint="eastAsia" w:ascii="仿宋" w:hAnsi="仿宋" w:eastAsia="仿宋" w:cs="仿宋"/>
          <w:color w:val="auto"/>
          <w:kern w:val="0"/>
          <w:sz w:val="24"/>
          <w:szCs w:val="24"/>
          <w:highlight w:val="none"/>
          <w:lang w:val="en-US" w:eastAsia="zh-CN"/>
        </w:rPr>
        <w:t>3.4全面罩总视野：≥70%；</w:t>
      </w:r>
    </w:p>
    <w:p>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w:t>
      </w:r>
      <w:r>
        <w:rPr>
          <w:rFonts w:hint="eastAsia" w:ascii="仿宋" w:hAnsi="仿宋" w:eastAsia="仿宋" w:cs="仿宋"/>
          <w:bCs/>
          <w:color w:val="auto"/>
          <w:sz w:val="24"/>
          <w:szCs w:val="24"/>
          <w:highlight w:val="none"/>
          <w:lang w:val="en-US" w:eastAsia="zh-CN"/>
        </w:rPr>
        <w:t>电池工作时间：≥240min，充电时间:≤12h。具有电量显示和报警功能，可外接电源；</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3.6关机状态下吸气阻力≤1100Pa，开机状态下吸气阻力≤350Pa；</w:t>
      </w:r>
    </w:p>
    <w:p>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2"/>
          <w:sz w:val="24"/>
          <w:szCs w:val="24"/>
          <w:highlight w:val="none"/>
          <w:lang w:val="en-US" w:eastAsia="zh-CN" w:bidi="ar"/>
        </w:rPr>
        <w:t>▲</w:t>
      </w:r>
      <w:r>
        <w:rPr>
          <w:rFonts w:hint="eastAsia" w:ascii="仿宋" w:hAnsi="仿宋" w:eastAsia="仿宋" w:cs="仿宋"/>
          <w:color w:val="auto"/>
          <w:kern w:val="0"/>
          <w:sz w:val="24"/>
          <w:szCs w:val="24"/>
          <w:highlight w:val="none"/>
          <w:lang w:val="en-US" w:eastAsia="zh-CN"/>
        </w:rPr>
        <w:t>3.7</w:t>
      </w:r>
      <w:r>
        <w:rPr>
          <w:rFonts w:hint="eastAsia" w:ascii="仿宋" w:hAnsi="仿宋" w:eastAsia="仿宋" w:cs="仿宋"/>
          <w:b w:val="0"/>
          <w:bCs w:val="0"/>
          <w:color w:val="auto"/>
          <w:kern w:val="0"/>
          <w:sz w:val="24"/>
          <w:szCs w:val="24"/>
          <w:highlight w:val="none"/>
          <w:lang w:val="en-US" w:eastAsia="zh-CN"/>
        </w:rPr>
        <w:t>综合防护过滤元件过滤效率≥95%；关机状态</w:t>
      </w:r>
      <w:r>
        <w:rPr>
          <w:rFonts w:hint="eastAsia" w:ascii="仿宋" w:hAnsi="仿宋" w:eastAsia="仿宋" w:cs="仿宋"/>
          <w:color w:val="auto"/>
          <w:kern w:val="0"/>
          <w:sz w:val="24"/>
          <w:szCs w:val="24"/>
          <w:highlight w:val="none"/>
          <w:lang w:val="en-US" w:eastAsia="zh-CN"/>
        </w:rPr>
        <w:t>下泄露率≤0.05%，开机状态下泄露率≤0.01%；</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3.8供货前，须主动对接使用单位，确保满足用户需求。</w:t>
      </w:r>
    </w:p>
    <w:p>
      <w:pPr>
        <w:keepNext w:val="0"/>
        <w:keepLines w:val="0"/>
        <w:pageBreakBefore w:val="0"/>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outlineLvl w:val="9"/>
        <w:rPr>
          <w:rFonts w:hint="eastAsia" w:ascii="仿宋" w:hAnsi="仿宋" w:eastAsia="仿宋" w:cs="仿宋"/>
          <w:bCs/>
          <w:color w:val="auto"/>
          <w:sz w:val="24"/>
          <w:szCs w:val="24"/>
          <w:highlight w:val="none"/>
          <w:lang w:val="en-US" w:eastAsia="zh-CN"/>
        </w:rPr>
      </w:pPr>
    </w:p>
    <w:p>
      <w:pPr>
        <w:pStyle w:val="13"/>
        <w:keepNext w:val="0"/>
        <w:keepLines w:val="0"/>
        <w:pageBreakBefore w:val="0"/>
        <w:kinsoku/>
        <w:wordWrap/>
        <w:overflowPunct/>
        <w:topLinePunct w:val="0"/>
        <w:autoSpaceDE/>
        <w:autoSpaceDN/>
        <w:bidi w:val="0"/>
        <w:spacing w:after="0" w:afterAutospacing="0" w:line="460" w:lineRule="exact"/>
        <w:ind w:left="0"/>
        <w:outlineLvl w:val="9"/>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t>28包-3、</w:t>
      </w:r>
      <w:r>
        <w:rPr>
          <w:rFonts w:hint="eastAsia" w:ascii="仿宋" w:hAnsi="仿宋" w:eastAsia="仿宋" w:cs="仿宋"/>
          <w:b/>
          <w:bCs w:val="0"/>
          <w:color w:val="auto"/>
          <w:sz w:val="24"/>
          <w:szCs w:val="24"/>
          <w:highlight w:val="none"/>
        </w:rPr>
        <w:t>坑道小型空气输送机</w:t>
      </w:r>
    </w:p>
    <w:p>
      <w:pPr>
        <w:pStyle w:val="13"/>
        <w:keepNext w:val="0"/>
        <w:keepLines w:val="0"/>
        <w:pageBreakBefore w:val="0"/>
        <w:kinsoku/>
        <w:wordWrap/>
        <w:overflowPunct/>
        <w:topLinePunct w:val="0"/>
        <w:autoSpaceDE/>
        <w:autoSpaceDN/>
        <w:bidi w:val="0"/>
        <w:spacing w:after="0" w:afterAutospacing="0" w:line="460" w:lineRule="exact"/>
        <w:ind w:left="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一、货物名称：坑道小型空气输送机</w:t>
      </w:r>
    </w:p>
    <w:p>
      <w:pPr>
        <w:pStyle w:val="13"/>
        <w:keepNext w:val="0"/>
        <w:keepLines w:val="0"/>
        <w:pageBreakBefore w:val="0"/>
        <w:kinsoku/>
        <w:wordWrap/>
        <w:overflowPunct/>
        <w:topLinePunct w:val="0"/>
        <w:autoSpaceDE/>
        <w:autoSpaceDN/>
        <w:bidi w:val="0"/>
        <w:spacing w:after="0" w:afterAutospacing="0" w:line="460" w:lineRule="exact"/>
        <w:ind w:left="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二、产地：国产</w:t>
      </w:r>
    </w:p>
    <w:p>
      <w:pPr>
        <w:pStyle w:val="13"/>
        <w:keepNext w:val="0"/>
        <w:keepLines w:val="0"/>
        <w:pageBreakBefore w:val="0"/>
        <w:kinsoku/>
        <w:wordWrap/>
        <w:overflowPunct/>
        <w:topLinePunct w:val="0"/>
        <w:autoSpaceDE/>
        <w:autoSpaceDN/>
        <w:bidi w:val="0"/>
        <w:spacing w:after="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三、主</w:t>
      </w:r>
      <w:r>
        <w:rPr>
          <w:rFonts w:hint="eastAsia" w:ascii="仿宋" w:hAnsi="仿宋" w:eastAsia="仿宋" w:cs="仿宋"/>
          <w:color w:val="auto"/>
          <w:sz w:val="24"/>
          <w:szCs w:val="24"/>
          <w:highlight w:val="none"/>
          <w:lang w:val="en-US" w:eastAsia="zh-CN"/>
        </w:rPr>
        <w:t>要技术规格、参数及要求：</w:t>
      </w:r>
    </w:p>
    <w:p>
      <w:pPr>
        <w:pStyle w:val="13"/>
        <w:keepNext w:val="0"/>
        <w:keepLines w:val="0"/>
        <w:pageBreakBefore w:val="0"/>
        <w:kinsoku/>
        <w:wordWrap/>
        <w:overflowPunct/>
        <w:topLinePunct w:val="0"/>
        <w:bidi w:val="0"/>
        <w:spacing w:after="0" w:line="460" w:lineRule="exact"/>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val="en-US" w:eastAsia="zh-CN" w:bidi="ar"/>
        </w:rPr>
        <w:t>★3.1产品符合</w:t>
      </w:r>
      <w:r>
        <w:rPr>
          <w:rFonts w:hint="eastAsia" w:ascii="仿宋" w:hAnsi="仿宋" w:eastAsia="仿宋" w:cs="仿宋"/>
          <w:color w:val="auto"/>
          <w:sz w:val="24"/>
          <w:szCs w:val="24"/>
          <w:highlight w:val="none"/>
          <w:lang w:val="en-US" w:eastAsia="zh-CN"/>
        </w:rPr>
        <w:t>《移动式消防排烟机》（GB27901-2011）</w:t>
      </w:r>
      <w:r>
        <w:rPr>
          <w:rFonts w:hint="eastAsia" w:ascii="仿宋" w:hAnsi="仿宋" w:eastAsia="仿宋" w:cs="仿宋"/>
          <w:color w:val="auto"/>
          <w:kern w:val="2"/>
          <w:sz w:val="24"/>
          <w:szCs w:val="24"/>
          <w:highlight w:val="none"/>
          <w:lang w:val="en-US" w:eastAsia="zh-CN" w:bidi="ar"/>
        </w:rPr>
        <w:t>标准的要求，</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pStyle w:val="13"/>
        <w:keepNext w:val="0"/>
        <w:keepLines w:val="0"/>
        <w:pageBreakBefore w:val="0"/>
        <w:widowControl w:val="0"/>
        <w:kinsoku/>
        <w:wordWrap/>
        <w:overflowPunct/>
        <w:topLinePunct w:val="0"/>
        <w:autoSpaceDE/>
        <w:autoSpaceDN/>
        <w:bidi w:val="0"/>
        <w:adjustRightInd/>
        <w:snapToGrid/>
        <w:spacing w:after="0" w:afterAutospacing="0"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3.2狭小空间排气送风，可快速实现正负压模式转换，有配套风管；</w:t>
      </w:r>
    </w:p>
    <w:p>
      <w:pPr>
        <w:pStyle w:val="13"/>
        <w:keepNext w:val="0"/>
        <w:keepLines w:val="0"/>
        <w:pageBreakBefore w:val="0"/>
        <w:widowControl w:val="0"/>
        <w:kinsoku/>
        <w:wordWrap/>
        <w:overflowPunct/>
        <w:topLinePunct w:val="0"/>
        <w:autoSpaceDE/>
        <w:autoSpaceDN/>
        <w:bidi w:val="0"/>
        <w:adjustRightInd/>
        <w:snapToGrid/>
        <w:spacing w:after="0" w:afterAutospacing="0"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3.3由导风管、铝铸叶轮、电机以及开关组成；</w:t>
      </w:r>
    </w:p>
    <w:p>
      <w:pPr>
        <w:pStyle w:val="13"/>
        <w:keepNext w:val="0"/>
        <w:keepLines w:val="0"/>
        <w:pageBreakBefore w:val="0"/>
        <w:widowControl w:val="0"/>
        <w:kinsoku/>
        <w:wordWrap/>
        <w:overflowPunct/>
        <w:topLinePunct w:val="0"/>
        <w:autoSpaceDE/>
        <w:autoSpaceDN/>
        <w:bidi w:val="0"/>
        <w:adjustRightInd/>
        <w:snapToGrid/>
        <w:spacing w:after="0" w:afterAutospacing="0"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3.4单相电源：220V/50Hz；级数：≥2级；</w:t>
      </w:r>
    </w:p>
    <w:p>
      <w:pPr>
        <w:pStyle w:val="13"/>
        <w:keepNext w:val="0"/>
        <w:keepLines w:val="0"/>
        <w:pageBreakBefore w:val="0"/>
        <w:widowControl w:val="0"/>
        <w:kinsoku/>
        <w:wordWrap/>
        <w:overflowPunct/>
        <w:topLinePunct w:val="0"/>
        <w:autoSpaceDE/>
        <w:autoSpaceDN/>
        <w:bidi w:val="0"/>
        <w:adjustRightInd/>
        <w:snapToGrid/>
        <w:spacing w:after="0" w:afterAutospacing="0"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
        </w:rPr>
        <w:t>▲</w:t>
      </w:r>
      <w:r>
        <w:rPr>
          <w:rFonts w:hint="eastAsia" w:ascii="仿宋" w:hAnsi="仿宋" w:eastAsia="仿宋" w:cs="仿宋"/>
          <w:color w:val="auto"/>
          <w:sz w:val="24"/>
          <w:szCs w:val="24"/>
          <w:highlight w:val="none"/>
          <w:lang w:val="en-US" w:eastAsia="zh-CN"/>
        </w:rPr>
        <w:t>3.5</w:t>
      </w:r>
      <w:r>
        <w:rPr>
          <w:rFonts w:hint="eastAsia" w:ascii="仿宋" w:hAnsi="仿宋" w:eastAsia="仿宋" w:cs="仿宋"/>
          <w:color w:val="auto"/>
          <w:sz w:val="24"/>
          <w:szCs w:val="24"/>
          <w:highlight w:val="none"/>
        </w:rPr>
        <w:t>风量：≥2800</w:t>
      </w:r>
      <w:r>
        <w:rPr>
          <w:rFonts w:hint="eastAsia" w:ascii="仿宋" w:hAnsi="仿宋" w:eastAsia="仿宋" w:cs="仿宋"/>
          <w:color w:val="auto"/>
          <w:sz w:val="24"/>
          <w:szCs w:val="24"/>
          <w:highlight w:val="none"/>
          <w:lang w:val="en-US" w:eastAsia="zh-CN"/>
        </w:rPr>
        <w:t>m³</w:t>
      </w:r>
      <w:r>
        <w:rPr>
          <w:rFonts w:hint="eastAsia" w:ascii="仿宋" w:hAnsi="仿宋" w:eastAsia="仿宋" w:cs="仿宋"/>
          <w:color w:val="auto"/>
          <w:sz w:val="24"/>
          <w:szCs w:val="24"/>
          <w:highlight w:val="none"/>
        </w:rPr>
        <w:t>/h</w:t>
      </w:r>
      <w:r>
        <w:rPr>
          <w:rFonts w:hint="eastAsia" w:ascii="仿宋" w:hAnsi="仿宋" w:eastAsia="仿宋" w:cs="仿宋"/>
          <w:color w:val="auto"/>
          <w:sz w:val="24"/>
          <w:szCs w:val="24"/>
          <w:highlight w:val="none"/>
          <w:lang w:val="en-US" w:eastAsia="zh-CN"/>
        </w:rPr>
        <w:t>；</w:t>
      </w:r>
    </w:p>
    <w:p>
      <w:pPr>
        <w:pStyle w:val="13"/>
        <w:keepNext w:val="0"/>
        <w:keepLines w:val="0"/>
        <w:pageBreakBefore w:val="0"/>
        <w:widowControl w:val="0"/>
        <w:kinsoku/>
        <w:wordWrap/>
        <w:overflowPunct/>
        <w:topLinePunct w:val="0"/>
        <w:autoSpaceDE/>
        <w:autoSpaceDN/>
        <w:bidi w:val="0"/>
        <w:adjustRightInd/>
        <w:snapToGrid/>
        <w:spacing w:after="0" w:afterAutospacing="0"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3.6通风风管：≥5m；</w:t>
      </w:r>
    </w:p>
    <w:p>
      <w:pPr>
        <w:pStyle w:val="13"/>
        <w:keepNext w:val="0"/>
        <w:keepLines w:val="0"/>
        <w:pageBreakBefore w:val="0"/>
        <w:widowControl w:val="0"/>
        <w:kinsoku/>
        <w:wordWrap/>
        <w:overflowPunct/>
        <w:topLinePunct w:val="0"/>
        <w:autoSpaceDE/>
        <w:autoSpaceDN/>
        <w:bidi w:val="0"/>
        <w:adjustRightInd/>
        <w:snapToGrid/>
        <w:spacing w:after="0" w:afterAutospacing="0"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
        </w:rPr>
        <w:t>▲</w:t>
      </w:r>
      <w:r>
        <w:rPr>
          <w:rFonts w:hint="eastAsia" w:ascii="仿宋" w:hAnsi="仿宋" w:eastAsia="仿宋" w:cs="仿宋"/>
          <w:color w:val="auto"/>
          <w:sz w:val="24"/>
          <w:szCs w:val="24"/>
          <w:highlight w:val="none"/>
          <w:lang w:val="en-US" w:eastAsia="zh-CN"/>
        </w:rPr>
        <w:t>3.7功率：≥400W；</w:t>
      </w:r>
    </w:p>
    <w:p>
      <w:pPr>
        <w:pStyle w:val="13"/>
        <w:keepNext w:val="0"/>
        <w:keepLines w:val="0"/>
        <w:pageBreakBefore w:val="0"/>
        <w:widowControl w:val="0"/>
        <w:kinsoku/>
        <w:wordWrap/>
        <w:overflowPunct/>
        <w:topLinePunct w:val="0"/>
        <w:autoSpaceDE/>
        <w:autoSpaceDN/>
        <w:bidi w:val="0"/>
        <w:adjustRightInd/>
        <w:snapToGrid/>
        <w:spacing w:after="0" w:afterAutospacing="0"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3.8风压：≥350pa；</w:t>
      </w:r>
    </w:p>
    <w:p>
      <w:pPr>
        <w:pStyle w:val="13"/>
        <w:keepNext w:val="0"/>
        <w:keepLines w:val="0"/>
        <w:pageBreakBefore w:val="0"/>
        <w:widowControl w:val="0"/>
        <w:kinsoku/>
        <w:wordWrap/>
        <w:overflowPunct/>
        <w:topLinePunct w:val="0"/>
        <w:autoSpaceDE/>
        <w:autoSpaceDN/>
        <w:bidi w:val="0"/>
        <w:adjustRightInd/>
        <w:snapToGrid/>
        <w:spacing w:after="0" w:afterAutospacing="0"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
        </w:rPr>
        <w:t>▲</w:t>
      </w:r>
      <w:r>
        <w:rPr>
          <w:rFonts w:hint="eastAsia" w:ascii="仿宋" w:hAnsi="仿宋" w:eastAsia="仿宋" w:cs="仿宋"/>
          <w:color w:val="auto"/>
          <w:sz w:val="24"/>
          <w:szCs w:val="24"/>
          <w:highlight w:val="none"/>
          <w:lang w:val="en-US" w:eastAsia="zh-CN"/>
        </w:rPr>
        <w:t>3.9重量：≤18kg；</w:t>
      </w:r>
    </w:p>
    <w:p>
      <w:pPr>
        <w:pStyle w:val="13"/>
        <w:keepNext w:val="0"/>
        <w:keepLines w:val="0"/>
        <w:pageBreakBefore w:val="0"/>
        <w:widowControl w:val="0"/>
        <w:kinsoku/>
        <w:wordWrap/>
        <w:overflowPunct/>
        <w:topLinePunct w:val="0"/>
        <w:autoSpaceDE/>
        <w:autoSpaceDN/>
        <w:bidi w:val="0"/>
        <w:adjustRightInd/>
        <w:snapToGrid/>
        <w:spacing w:after="0" w:afterAutospacing="0"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3.10提供中文使用说明书，含装备简介、使用注意事项及维护保养等内容。</w:t>
      </w:r>
    </w:p>
    <w:p>
      <w:pPr>
        <w:keepNext w:val="0"/>
        <w:keepLines w:val="0"/>
        <w:pageBreakBefore w:val="0"/>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outlineLvl w:val="9"/>
        <w:rPr>
          <w:rFonts w:hint="eastAsia" w:ascii="仿宋" w:hAnsi="仿宋" w:eastAsia="仿宋" w:cs="仿宋"/>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spacing w:line="460" w:lineRule="exact"/>
        <w:ind w:left="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28包-4、水驱动排烟机</w:t>
      </w:r>
    </w:p>
    <w:p>
      <w:pPr>
        <w:keepNext w:val="0"/>
        <w:keepLines w:val="0"/>
        <w:pageBreakBefore w:val="0"/>
        <w:widowControl w:val="0"/>
        <w:kinsoku/>
        <w:wordWrap/>
        <w:overflowPunct/>
        <w:topLinePunct w:val="0"/>
        <w:autoSpaceDE/>
        <w:autoSpaceDN/>
        <w:bidi w:val="0"/>
        <w:spacing w:line="460" w:lineRule="exact"/>
        <w:ind w:left="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一、货物名称：</w:t>
      </w:r>
      <w:r>
        <w:rPr>
          <w:rFonts w:hint="eastAsia" w:ascii="仿宋" w:hAnsi="仿宋" w:eastAsia="仿宋" w:cs="仿宋"/>
          <w:color w:val="auto"/>
          <w:sz w:val="24"/>
          <w:szCs w:val="24"/>
          <w:highlight w:val="none"/>
          <w:lang w:val="en-US" w:eastAsia="zh-CN"/>
        </w:rPr>
        <w:t>水驱动排烟机</w:t>
      </w:r>
    </w:p>
    <w:p>
      <w:pPr>
        <w:keepNext w:val="0"/>
        <w:keepLines w:val="0"/>
        <w:pageBreakBefore w:val="0"/>
        <w:widowControl w:val="0"/>
        <w:kinsoku/>
        <w:wordWrap/>
        <w:overflowPunct/>
        <w:topLinePunct w:val="0"/>
        <w:autoSpaceDE/>
        <w:autoSpaceDN/>
        <w:bidi w:val="0"/>
        <w:spacing w:line="460" w:lineRule="exact"/>
        <w:ind w:left="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二、产地：国产</w:t>
      </w:r>
    </w:p>
    <w:p>
      <w:pPr>
        <w:keepNext w:val="0"/>
        <w:keepLines w:val="0"/>
        <w:pageBreakBefore w:val="0"/>
        <w:widowControl w:val="0"/>
        <w:kinsoku/>
        <w:wordWrap/>
        <w:overflowPunct/>
        <w:topLinePunct w:val="0"/>
        <w:autoSpaceDE/>
        <w:autoSpaceDN/>
        <w:bidi w:val="0"/>
        <w:spacing w:line="460" w:lineRule="exact"/>
        <w:ind w:left="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三、主要技术规格、参数及要求：</w:t>
      </w:r>
    </w:p>
    <w:p>
      <w:pPr>
        <w:pStyle w:val="13"/>
        <w:keepNext w:val="0"/>
        <w:keepLines w:val="0"/>
        <w:pageBreakBefore w:val="0"/>
        <w:kinsoku/>
        <w:wordWrap/>
        <w:overflowPunct/>
        <w:topLinePunct w:val="0"/>
        <w:bidi w:val="0"/>
        <w:spacing w:after="0" w:line="460" w:lineRule="exact"/>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val="en-US" w:eastAsia="zh-CN" w:bidi="ar"/>
        </w:rPr>
        <w:t>★3.1产品符合</w:t>
      </w:r>
      <w:r>
        <w:rPr>
          <w:rFonts w:hint="eastAsia" w:ascii="仿宋" w:hAnsi="仿宋" w:eastAsia="仿宋" w:cs="仿宋"/>
          <w:color w:val="auto"/>
          <w:sz w:val="24"/>
          <w:szCs w:val="24"/>
          <w:highlight w:val="none"/>
        </w:rPr>
        <w:t>GB27901-2011《移动式消防排烟机》</w:t>
      </w:r>
      <w:r>
        <w:rPr>
          <w:rFonts w:hint="eastAsia" w:ascii="仿宋" w:hAnsi="仿宋" w:eastAsia="仿宋" w:cs="仿宋"/>
          <w:color w:val="auto"/>
          <w:kern w:val="2"/>
          <w:sz w:val="24"/>
          <w:szCs w:val="24"/>
          <w:highlight w:val="none"/>
          <w:lang w:val="en-US" w:eastAsia="zh-CN" w:bidi="ar"/>
        </w:rPr>
        <w:t>标准的要求，</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60" w:lineRule="exact"/>
        <w:ind w:left="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3.2额定工作压力：≥0.8MPa；</w:t>
      </w:r>
    </w:p>
    <w:p>
      <w:pPr>
        <w:keepNext w:val="0"/>
        <w:keepLines w:val="0"/>
        <w:pageBreakBefore w:val="0"/>
        <w:widowControl w:val="0"/>
        <w:kinsoku/>
        <w:wordWrap/>
        <w:overflowPunct/>
        <w:topLinePunct w:val="0"/>
        <w:autoSpaceDE/>
        <w:autoSpaceDN/>
        <w:bidi w:val="0"/>
        <w:adjustRightInd/>
        <w:snapToGrid/>
        <w:spacing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
        </w:rPr>
        <w:t>▲</w:t>
      </w: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额定风量：≥</w:t>
      </w:r>
      <w:r>
        <w:rPr>
          <w:rFonts w:hint="eastAsia" w:ascii="仿宋" w:hAnsi="仿宋" w:eastAsia="仿宋" w:cs="仿宋"/>
          <w:color w:val="auto"/>
          <w:sz w:val="24"/>
          <w:szCs w:val="24"/>
          <w:highlight w:val="none"/>
          <w:lang w:val="en-US" w:eastAsia="zh-CN"/>
        </w:rPr>
        <w:t>42</w:t>
      </w:r>
      <w:r>
        <w:rPr>
          <w:rFonts w:hint="eastAsia" w:ascii="仿宋" w:hAnsi="仿宋" w:eastAsia="仿宋" w:cs="仿宋"/>
          <w:color w:val="auto"/>
          <w:sz w:val="24"/>
          <w:szCs w:val="24"/>
          <w:highlight w:val="none"/>
        </w:rPr>
        <w:t>000</w:t>
      </w:r>
      <w:r>
        <w:rPr>
          <w:rFonts w:hint="eastAsia" w:ascii="仿宋" w:hAnsi="仿宋" w:eastAsia="仿宋" w:cs="仿宋"/>
          <w:color w:val="auto"/>
          <w:sz w:val="24"/>
          <w:szCs w:val="24"/>
          <w:highlight w:val="none"/>
          <w:lang w:val="en-US" w:eastAsia="zh-CN"/>
        </w:rPr>
        <w:t>m³</w:t>
      </w:r>
      <w:r>
        <w:rPr>
          <w:rFonts w:hint="eastAsia" w:ascii="仿宋" w:hAnsi="仿宋" w:eastAsia="仿宋" w:cs="仿宋"/>
          <w:color w:val="auto"/>
          <w:sz w:val="24"/>
          <w:szCs w:val="24"/>
          <w:highlight w:val="none"/>
        </w:rPr>
        <w:t>/h；</w:t>
      </w:r>
    </w:p>
    <w:p>
      <w:pPr>
        <w:keepNext w:val="0"/>
        <w:keepLines w:val="0"/>
        <w:pageBreakBefore w:val="0"/>
        <w:widowControl w:val="0"/>
        <w:kinsoku/>
        <w:wordWrap/>
        <w:overflowPunct/>
        <w:topLinePunct w:val="0"/>
        <w:autoSpaceDE/>
        <w:autoSpaceDN/>
        <w:bidi w:val="0"/>
        <w:adjustRightInd/>
        <w:snapToGrid/>
        <w:spacing w:line="460" w:lineRule="exact"/>
        <w:ind w:left="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噪音：≤1</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0dB(A)；</w:t>
      </w:r>
    </w:p>
    <w:p>
      <w:pPr>
        <w:keepNext w:val="0"/>
        <w:keepLines w:val="0"/>
        <w:pageBreakBefore w:val="0"/>
        <w:widowControl w:val="0"/>
        <w:kinsoku/>
        <w:wordWrap/>
        <w:overflowPunct/>
        <w:topLinePunct w:val="0"/>
        <w:autoSpaceDE/>
        <w:autoSpaceDN/>
        <w:bidi w:val="0"/>
        <w:adjustRightInd/>
        <w:snapToGrid/>
        <w:spacing w:line="460" w:lineRule="exact"/>
        <w:ind w:left="0"/>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kern w:val="2"/>
          <w:sz w:val="24"/>
          <w:szCs w:val="24"/>
          <w:highlight w:val="none"/>
          <w:lang w:val="en-US" w:eastAsia="zh-CN" w:bidi="ar"/>
        </w:rPr>
        <w:t>▲</w:t>
      </w: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质量：≤</w:t>
      </w:r>
      <w:r>
        <w:rPr>
          <w:rFonts w:hint="eastAsia" w:ascii="仿宋" w:hAnsi="仿宋" w:eastAsia="仿宋" w:cs="仿宋"/>
          <w:color w:val="auto"/>
          <w:sz w:val="24"/>
          <w:szCs w:val="24"/>
          <w:highlight w:val="none"/>
          <w:lang w:val="en-US" w:eastAsia="zh-CN"/>
        </w:rPr>
        <w:t>55</w:t>
      </w:r>
      <w:r>
        <w:rPr>
          <w:rFonts w:hint="eastAsia" w:ascii="仿宋" w:hAnsi="仿宋" w:eastAsia="仿宋" w:cs="仿宋"/>
          <w:color w:val="auto"/>
          <w:sz w:val="24"/>
          <w:szCs w:val="24"/>
          <w:highlight w:val="none"/>
        </w:rPr>
        <w:t>kg</w:t>
      </w: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提供中文使用说明书，含装备简介、使用注意事项及维护保养等内容。</w:t>
      </w:r>
    </w:p>
    <w:p>
      <w:pPr>
        <w:keepNext w:val="0"/>
        <w:keepLines w:val="0"/>
        <w:pageBreakBefore w:val="0"/>
        <w:kinsoku/>
        <w:wordWrap/>
        <w:overflowPunct/>
        <w:topLinePunct w:val="0"/>
        <w:bidi w:val="0"/>
        <w:spacing w:line="460" w:lineRule="exact"/>
        <w:outlineLvl w:val="9"/>
        <w:rPr>
          <w:rFonts w:hint="eastAsia" w:ascii="仿宋" w:hAnsi="仿宋" w:eastAsia="仿宋" w:cs="仿宋"/>
          <w:color w:val="auto"/>
          <w:sz w:val="24"/>
          <w:szCs w:val="24"/>
          <w:highlight w:val="none"/>
        </w:rPr>
      </w:pP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1"/>
        <w:rPr>
          <w:rFonts w:hint="eastAsia" w:ascii="仿宋" w:hAnsi="仿宋" w:eastAsia="仿宋" w:cs="仿宋"/>
          <w:b/>
          <w:bCs/>
          <w:color w:val="auto"/>
          <w:sz w:val="24"/>
          <w:szCs w:val="24"/>
          <w:highlight w:val="none"/>
          <w:lang w:val="en-US" w:eastAsia="zh-CN"/>
        </w:rPr>
      </w:pPr>
      <w:bookmarkStart w:id="481" w:name="_Toc1063"/>
      <w:bookmarkStart w:id="482" w:name="_Toc18560"/>
      <w:bookmarkStart w:id="483" w:name="_Toc32063"/>
      <w:bookmarkStart w:id="484" w:name="_Toc5885"/>
      <w:r>
        <w:rPr>
          <w:rFonts w:hint="eastAsia" w:ascii="仿宋" w:hAnsi="仿宋" w:eastAsia="仿宋" w:cs="仿宋"/>
          <w:b/>
          <w:bCs/>
          <w:color w:val="auto"/>
          <w:sz w:val="24"/>
          <w:szCs w:val="24"/>
          <w:highlight w:val="none"/>
          <w:lang w:val="en-US" w:eastAsia="zh-CN"/>
        </w:rPr>
        <w:t>33包：救生抛投器【核心产品】、救援三角架</w:t>
      </w:r>
      <w:bookmarkEnd w:id="481"/>
      <w:bookmarkEnd w:id="482"/>
      <w:bookmarkEnd w:id="483"/>
      <w:bookmarkEnd w:id="484"/>
    </w:p>
    <w:p>
      <w:pPr>
        <w:keepNext w:val="0"/>
        <w:keepLines w:val="0"/>
        <w:pageBreakBefore w:val="0"/>
        <w:widowControl w:val="0"/>
        <w:kinsoku/>
        <w:wordWrap/>
        <w:overflowPunct/>
        <w:topLinePunct w:val="0"/>
        <w:autoSpaceDE/>
        <w:autoSpaceDN/>
        <w:bidi w:val="0"/>
        <w:spacing w:line="460" w:lineRule="exact"/>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33包-1</w:t>
      </w:r>
      <w:r>
        <w:rPr>
          <w:rFonts w:hint="eastAsia" w:ascii="仿宋" w:hAnsi="仿宋" w:eastAsia="仿宋" w:cs="仿宋"/>
          <w:b/>
          <w:bCs/>
          <w:color w:val="auto"/>
          <w:kern w:val="0"/>
          <w:sz w:val="24"/>
          <w:szCs w:val="24"/>
          <w:highlight w:val="none"/>
        </w:rPr>
        <w:t>：</w:t>
      </w:r>
      <w:r>
        <w:rPr>
          <w:rFonts w:hint="eastAsia" w:ascii="仿宋" w:hAnsi="仿宋" w:eastAsia="仿宋" w:cs="仿宋"/>
          <w:b/>
          <w:bCs/>
          <w:color w:val="auto"/>
          <w:kern w:val="0"/>
          <w:sz w:val="24"/>
          <w:szCs w:val="24"/>
          <w:highlight w:val="none"/>
          <w:lang w:val="en-US" w:eastAsia="zh-CN" w:bidi="ar-SA"/>
        </w:rPr>
        <w:t>救生抛投器</w:t>
      </w:r>
    </w:p>
    <w:p>
      <w:pPr>
        <w:pStyle w:val="13"/>
        <w:keepNext w:val="0"/>
        <w:keepLines w:val="0"/>
        <w:pageBreakBefore w:val="0"/>
        <w:widowControl w:val="0"/>
        <w:kinsoku/>
        <w:wordWrap/>
        <w:overflowPunct/>
        <w:topLinePunct w:val="0"/>
        <w:bidi w:val="0"/>
        <w:spacing w:after="0" w:line="460" w:lineRule="exact"/>
        <w:ind w:left="0"/>
        <w:outlineLvl w:val="9"/>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kern w:val="2"/>
          <w:sz w:val="24"/>
          <w:szCs w:val="24"/>
          <w:highlight w:val="none"/>
          <w:lang w:val="en-US" w:eastAsia="zh-CN" w:bidi="ar-SA"/>
        </w:rPr>
        <w:t>一、货物名称：救生抛投器</w:t>
      </w:r>
    </w:p>
    <w:p>
      <w:pPr>
        <w:pStyle w:val="13"/>
        <w:keepNext w:val="0"/>
        <w:keepLines w:val="0"/>
        <w:pageBreakBefore w:val="0"/>
        <w:widowControl w:val="0"/>
        <w:kinsoku/>
        <w:wordWrap/>
        <w:overflowPunct/>
        <w:topLinePunct w:val="0"/>
        <w:bidi w:val="0"/>
        <w:spacing w:after="0" w:line="460" w:lineRule="exact"/>
        <w:ind w:left="0"/>
        <w:outlineLvl w:val="9"/>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kern w:val="2"/>
          <w:sz w:val="24"/>
          <w:szCs w:val="24"/>
          <w:highlight w:val="none"/>
          <w:lang w:val="en-US" w:eastAsia="zh-CN" w:bidi="ar-SA"/>
        </w:rPr>
        <w:t>二、产地：国产</w:t>
      </w:r>
    </w:p>
    <w:p>
      <w:pPr>
        <w:pStyle w:val="13"/>
        <w:keepNext w:val="0"/>
        <w:keepLines w:val="0"/>
        <w:pageBreakBefore w:val="0"/>
        <w:widowControl w:val="0"/>
        <w:kinsoku/>
        <w:wordWrap/>
        <w:overflowPunct/>
        <w:topLinePunct w:val="0"/>
        <w:bidi w:val="0"/>
        <w:spacing w:after="0" w:line="460" w:lineRule="exact"/>
        <w:ind w:left="0"/>
        <w:outlineLvl w:val="9"/>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kern w:val="2"/>
          <w:sz w:val="24"/>
          <w:szCs w:val="24"/>
          <w:highlight w:val="none"/>
          <w:lang w:val="en-US" w:eastAsia="zh-CN" w:bidi="ar-SA"/>
        </w:rPr>
        <w:t>三、主要技术规格、参数及要求：</w:t>
      </w:r>
    </w:p>
    <w:p>
      <w:pPr>
        <w:pStyle w:val="13"/>
        <w:keepNext w:val="0"/>
        <w:keepLines w:val="0"/>
        <w:pageBreakBefore w:val="0"/>
        <w:kinsoku/>
        <w:wordWrap/>
        <w:overflowPunct/>
        <w:topLinePunct w:val="0"/>
        <w:bidi w:val="0"/>
        <w:spacing w:after="0" w:line="4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
        </w:rPr>
        <w:t>★3.1产品符合</w:t>
      </w:r>
      <w:r>
        <w:rPr>
          <w:rFonts w:hint="eastAsia" w:ascii="仿宋" w:hAnsi="仿宋" w:eastAsia="仿宋" w:cs="仿宋"/>
          <w:b w:val="0"/>
          <w:bCs/>
          <w:color w:val="auto"/>
          <w:kern w:val="2"/>
          <w:sz w:val="24"/>
          <w:szCs w:val="24"/>
          <w:highlight w:val="none"/>
          <w:lang w:val="en-US" w:eastAsia="zh-CN" w:bidi="ar-SA"/>
        </w:rPr>
        <w:t>GB/T27906-2011《救生抛投器》</w:t>
      </w:r>
      <w:r>
        <w:rPr>
          <w:rFonts w:hint="eastAsia" w:ascii="仿宋" w:hAnsi="仿宋" w:eastAsia="仿宋" w:cs="仿宋"/>
          <w:color w:val="auto"/>
          <w:kern w:val="2"/>
          <w:sz w:val="24"/>
          <w:szCs w:val="24"/>
          <w:highlight w:val="none"/>
          <w:lang w:val="en-US" w:eastAsia="zh-CN" w:bidi="ar"/>
        </w:rPr>
        <w:t>标准的要求，</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widowControl w:val="0"/>
        <w:numPr>
          <w:ilvl w:val="0"/>
          <w:numId w:val="0"/>
        </w:numPr>
        <w:kinsoku/>
        <w:wordWrap/>
        <w:overflowPunct/>
        <w:topLinePunct w:val="0"/>
        <w:autoSpaceDE/>
        <w:autoSpaceDN/>
        <w:bidi w:val="0"/>
        <w:spacing w:line="460" w:lineRule="exact"/>
        <w:ind w:left="0"/>
        <w:textAlignment w:val="auto"/>
        <w:outlineLvl w:val="9"/>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
        </w:rPr>
        <w:t>▲</w:t>
      </w:r>
      <w:r>
        <w:rPr>
          <w:rFonts w:hint="eastAsia" w:ascii="仿宋" w:hAnsi="仿宋" w:eastAsia="仿宋" w:cs="仿宋"/>
          <w:b w:val="0"/>
          <w:bCs w:val="0"/>
          <w:color w:val="auto"/>
          <w:kern w:val="2"/>
          <w:sz w:val="24"/>
          <w:szCs w:val="24"/>
          <w:highlight w:val="none"/>
          <w:lang w:val="en-US" w:eastAsia="zh-CN" w:bidi="ar-SA"/>
        </w:rPr>
        <w:t>3.2最大工作压力:≥6MPa；压力采用压力表显示，可调节；</w:t>
      </w:r>
    </w:p>
    <w:p>
      <w:pPr>
        <w:pStyle w:val="13"/>
        <w:keepNext w:val="0"/>
        <w:keepLines w:val="0"/>
        <w:pageBreakBefore w:val="0"/>
        <w:widowControl w:val="0"/>
        <w:kinsoku/>
        <w:wordWrap/>
        <w:overflowPunct/>
        <w:topLinePunct w:val="0"/>
        <w:autoSpaceDE/>
        <w:autoSpaceDN/>
        <w:bidi w:val="0"/>
        <w:spacing w:after="0" w:line="460" w:lineRule="exact"/>
        <w:ind w:left="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
        </w:rPr>
        <w:t>▲</w:t>
      </w:r>
      <w:r>
        <w:rPr>
          <w:rFonts w:hint="eastAsia" w:ascii="仿宋" w:hAnsi="仿宋" w:eastAsia="仿宋" w:cs="仿宋"/>
          <w:b w:val="0"/>
          <w:bCs w:val="0"/>
          <w:color w:val="auto"/>
          <w:kern w:val="2"/>
          <w:sz w:val="24"/>
          <w:szCs w:val="24"/>
          <w:highlight w:val="none"/>
          <w:lang w:val="en-US" w:eastAsia="zh-CN" w:bidi="ar-SA"/>
        </w:rPr>
        <w:t>3.3水用时抛射自动充气救生圈距离≥210米，陆用时抛射距离≥230米。使</w:t>
      </w:r>
      <w:r>
        <w:rPr>
          <w:rFonts w:hint="eastAsia" w:ascii="仿宋" w:hAnsi="仿宋" w:eastAsia="仿宋" w:cs="仿宋"/>
          <w:bCs/>
          <w:color w:val="auto"/>
          <w:kern w:val="2"/>
          <w:sz w:val="24"/>
          <w:szCs w:val="24"/>
          <w:highlight w:val="none"/>
          <w:lang w:val="en-US" w:eastAsia="zh-CN" w:bidi="ar-SA"/>
        </w:rPr>
        <w:t>用压缩空气，重量≤8KG（净重），抛射质量≥1.6KG；</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textAlignment w:val="auto"/>
        <w:outlineLvl w:val="9"/>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kern w:val="2"/>
          <w:sz w:val="24"/>
          <w:szCs w:val="24"/>
          <w:highlight w:val="none"/>
          <w:lang w:val="en-US" w:eastAsia="zh-CN" w:bidi="ar-SA"/>
        </w:rPr>
        <w:t>3.4抛绳规格：陆用抛绳拉力≥2000N，水用≥5000N，救援弹、救援绳及水用保护套可反复使用；</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textAlignment w:val="auto"/>
        <w:outlineLvl w:val="9"/>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kern w:val="2"/>
          <w:sz w:val="24"/>
          <w:szCs w:val="24"/>
          <w:highlight w:val="none"/>
          <w:lang w:val="en-US" w:eastAsia="zh-CN" w:bidi="ar-SA"/>
        </w:rPr>
        <w:t>3.5水用救援弹里的水用浮具入水5秒内自动充气成为救生圈，产生≥8公斤浮力；</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textAlignment w:val="auto"/>
        <w:outlineLvl w:val="9"/>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kern w:val="2"/>
          <w:sz w:val="24"/>
          <w:szCs w:val="24"/>
          <w:highlight w:val="none"/>
          <w:lang w:val="en-US" w:eastAsia="zh-CN" w:bidi="ar-SA"/>
        </w:rPr>
        <w:t>3.6产品带有保险开关，配备发射角度指示器；</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3.7内置1.5升碳纤维气瓶的发射枪体1个、陆用抛绳救援弹2个、水用救援弹2个、训练弹1个、训练绳包1个、吹绳枪1个、二氧化碳压缩气瓶10个、触发剂10个、水用保护套2个、空绳包2个、多功能底座1个；</w:t>
      </w:r>
    </w:p>
    <w:p>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textAlignment w:val="auto"/>
        <w:outlineLvl w:val="9"/>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kern w:val="2"/>
          <w:sz w:val="24"/>
          <w:szCs w:val="24"/>
          <w:highlight w:val="none"/>
          <w:lang w:val="en-US" w:eastAsia="zh-CN" w:bidi="ar-SA"/>
        </w:rPr>
        <w:t>3.8提供中文使用说明书，含装备简介、使用注意事项及维护保养等内容。</w:t>
      </w:r>
    </w:p>
    <w:p>
      <w:pPr>
        <w:keepNext w:val="0"/>
        <w:keepLines w:val="0"/>
        <w:pageBreakBefore w:val="0"/>
        <w:widowControl w:val="0"/>
        <w:kinsoku/>
        <w:wordWrap/>
        <w:overflowPunct/>
        <w:topLinePunct w:val="0"/>
        <w:autoSpaceDE/>
        <w:autoSpaceDN/>
        <w:bidi w:val="0"/>
        <w:spacing w:line="460" w:lineRule="exact"/>
        <w:textAlignment w:val="auto"/>
        <w:outlineLvl w:val="9"/>
        <w:rPr>
          <w:rFonts w:hint="eastAsia" w:ascii="仿宋" w:hAnsi="仿宋" w:eastAsia="仿宋" w:cs="仿宋"/>
          <w:b/>
          <w:bCs/>
          <w:color w:val="auto"/>
          <w:kern w:val="0"/>
          <w:sz w:val="24"/>
          <w:szCs w:val="24"/>
          <w:highlight w:val="none"/>
          <w:lang w:val="en-US" w:eastAsia="zh-CN"/>
        </w:rPr>
      </w:pPr>
    </w:p>
    <w:p>
      <w:pPr>
        <w:keepNext w:val="0"/>
        <w:keepLines w:val="0"/>
        <w:pageBreakBefore w:val="0"/>
        <w:widowControl w:val="0"/>
        <w:kinsoku/>
        <w:wordWrap/>
        <w:overflowPunct/>
        <w:topLinePunct w:val="0"/>
        <w:autoSpaceDE/>
        <w:autoSpaceDN/>
        <w:bidi w:val="0"/>
        <w:spacing w:line="460" w:lineRule="exact"/>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33包-2</w:t>
      </w:r>
      <w:r>
        <w:rPr>
          <w:rFonts w:hint="eastAsia" w:ascii="仿宋" w:hAnsi="仿宋" w:eastAsia="仿宋" w:cs="仿宋"/>
          <w:b/>
          <w:bCs/>
          <w:color w:val="auto"/>
          <w:kern w:val="0"/>
          <w:sz w:val="24"/>
          <w:szCs w:val="24"/>
          <w:highlight w:val="none"/>
        </w:rPr>
        <w:t>：</w:t>
      </w:r>
      <w:r>
        <w:rPr>
          <w:rFonts w:hint="eastAsia" w:ascii="仿宋" w:hAnsi="仿宋" w:eastAsia="仿宋" w:cs="仿宋"/>
          <w:b/>
          <w:bCs/>
          <w:color w:val="auto"/>
          <w:sz w:val="24"/>
          <w:szCs w:val="24"/>
          <w:highlight w:val="none"/>
          <w:lang w:val="en-US" w:eastAsia="zh-CN"/>
        </w:rPr>
        <w:t>救援三角架</w:t>
      </w:r>
    </w:p>
    <w:p>
      <w:pPr>
        <w:keepNext w:val="0"/>
        <w:keepLines w:val="0"/>
        <w:pageBreakBefore w:val="0"/>
        <w:widowControl w:val="0"/>
        <w:kinsoku/>
        <w:wordWrap/>
        <w:overflowPunct/>
        <w:topLinePunct w:val="0"/>
        <w:autoSpaceDE/>
        <w:autoSpaceDN/>
        <w:bidi w:val="0"/>
        <w:spacing w:line="460" w:lineRule="exact"/>
        <w:ind w:left="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一、货物名称：救援</w:t>
      </w:r>
      <w:r>
        <w:rPr>
          <w:rFonts w:hint="eastAsia" w:ascii="仿宋" w:hAnsi="仿宋" w:eastAsia="仿宋" w:cs="仿宋"/>
          <w:b w:val="0"/>
          <w:bCs w:val="0"/>
          <w:color w:val="auto"/>
          <w:sz w:val="24"/>
          <w:szCs w:val="24"/>
          <w:highlight w:val="none"/>
          <w:lang w:val="en-US" w:eastAsia="zh-CN"/>
        </w:rPr>
        <w:t>三角架</w:t>
      </w:r>
    </w:p>
    <w:p>
      <w:pPr>
        <w:keepNext w:val="0"/>
        <w:keepLines w:val="0"/>
        <w:pageBreakBefore w:val="0"/>
        <w:widowControl w:val="0"/>
        <w:kinsoku/>
        <w:wordWrap/>
        <w:overflowPunct/>
        <w:topLinePunct w:val="0"/>
        <w:autoSpaceDE/>
        <w:autoSpaceDN/>
        <w:bidi w:val="0"/>
        <w:spacing w:line="460" w:lineRule="exact"/>
        <w:ind w:left="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二、产地：国产</w:t>
      </w:r>
    </w:p>
    <w:p>
      <w:pPr>
        <w:keepNext w:val="0"/>
        <w:keepLines w:val="0"/>
        <w:pageBreakBefore w:val="0"/>
        <w:widowControl w:val="0"/>
        <w:kinsoku/>
        <w:wordWrap/>
        <w:overflowPunct/>
        <w:topLinePunct w:val="0"/>
        <w:autoSpaceDE/>
        <w:autoSpaceDN/>
        <w:bidi w:val="0"/>
        <w:spacing w:line="460" w:lineRule="exact"/>
        <w:ind w:left="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三、主要技术规格、参数及要求：</w:t>
      </w:r>
    </w:p>
    <w:p>
      <w:pPr>
        <w:pStyle w:val="13"/>
        <w:keepNext w:val="0"/>
        <w:keepLines w:val="0"/>
        <w:pageBreakBefore w:val="0"/>
        <w:kinsoku/>
        <w:wordWrap/>
        <w:overflowPunct/>
        <w:topLinePunct w:val="0"/>
        <w:bidi w:val="0"/>
        <w:spacing w:after="0" w:line="4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
        </w:rPr>
        <w:t>★3.1产品符合</w:t>
      </w:r>
      <w:r>
        <w:rPr>
          <w:rFonts w:hint="eastAsia" w:ascii="仿宋" w:hAnsi="仿宋" w:eastAsia="仿宋" w:cs="仿宋"/>
          <w:color w:val="auto"/>
          <w:sz w:val="24"/>
          <w:szCs w:val="24"/>
          <w:highlight w:val="none"/>
          <w:lang w:val="en-US" w:eastAsia="zh-CN"/>
        </w:rPr>
        <w:t>XF3009-2020《救援三角架》</w:t>
      </w:r>
      <w:r>
        <w:rPr>
          <w:rFonts w:hint="eastAsia" w:ascii="仿宋" w:hAnsi="仿宋" w:eastAsia="仿宋" w:cs="仿宋"/>
          <w:color w:val="auto"/>
          <w:kern w:val="2"/>
          <w:sz w:val="24"/>
          <w:szCs w:val="24"/>
          <w:highlight w:val="none"/>
          <w:lang w:val="en-US" w:eastAsia="zh-CN" w:bidi="ar"/>
        </w:rPr>
        <w:t>标准的要求，</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60" w:lineRule="exact"/>
        <w:ind w:left="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3.2高强度铝合金材质，配有手摇式绞盘，绳索长度≥30</w:t>
      </w:r>
      <w:r>
        <w:rPr>
          <w:rFonts w:hint="eastAsia" w:ascii="仿宋" w:hAnsi="仿宋" w:eastAsia="仿宋" w:cs="仿宋"/>
          <w:color w:val="auto"/>
          <w:sz w:val="24"/>
          <w:szCs w:val="24"/>
          <w:highlight w:val="none"/>
          <w:lang w:val="en-US" w:eastAsia="zh-CN"/>
        </w:rPr>
        <w:t>m</w:t>
      </w:r>
      <w:r>
        <w:rPr>
          <w:rFonts w:hint="eastAsia" w:ascii="仿宋" w:hAnsi="仿宋" w:eastAsia="仿宋" w:cs="仿宋"/>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3.3三角架顶端装有环形挂钩，最大有效垂直空间≥2m；绞架支撑高度≥2m；</w:t>
      </w:r>
    </w:p>
    <w:p>
      <w:pPr>
        <w:keepNext w:val="0"/>
        <w:keepLines w:val="0"/>
        <w:pageBreakBefore w:val="0"/>
        <w:widowControl w:val="0"/>
        <w:kinsoku/>
        <w:wordWrap/>
        <w:overflowPunct/>
        <w:topLinePunct w:val="0"/>
        <w:autoSpaceDE/>
        <w:autoSpaceDN/>
        <w:bidi w:val="0"/>
        <w:adjustRightInd/>
        <w:snapToGrid/>
        <w:spacing w:line="460" w:lineRule="exact"/>
        <w:ind w:left="0"/>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color w:val="auto"/>
          <w:kern w:val="2"/>
          <w:sz w:val="24"/>
          <w:szCs w:val="24"/>
          <w:highlight w:val="none"/>
          <w:lang w:val="en-US" w:eastAsia="zh-CN" w:bidi="ar"/>
        </w:rPr>
        <w:t>▲</w:t>
      </w:r>
      <w:r>
        <w:rPr>
          <w:rFonts w:hint="eastAsia" w:ascii="仿宋" w:hAnsi="仿宋" w:eastAsia="仿宋" w:cs="仿宋"/>
          <w:color w:val="auto"/>
          <w:sz w:val="24"/>
          <w:szCs w:val="24"/>
          <w:highlight w:val="none"/>
          <w:lang w:val="en-US" w:eastAsia="zh-CN"/>
        </w:rPr>
        <w:t>3.4</w:t>
      </w:r>
      <w:r>
        <w:rPr>
          <w:rFonts w:hint="eastAsia" w:ascii="仿宋" w:hAnsi="仿宋" w:eastAsia="仿宋" w:cs="仿宋"/>
          <w:color w:val="auto"/>
          <w:sz w:val="24"/>
          <w:szCs w:val="24"/>
          <w:highlight w:val="none"/>
        </w:rPr>
        <w:t>整体自重≤70kg，</w:t>
      </w:r>
      <w:r>
        <w:rPr>
          <w:rFonts w:hint="eastAsia" w:ascii="仿宋" w:hAnsi="仿宋" w:eastAsia="仿宋" w:cs="仿宋"/>
          <w:b w:val="0"/>
          <w:bCs w:val="0"/>
          <w:color w:val="auto"/>
          <w:sz w:val="24"/>
          <w:szCs w:val="24"/>
          <w:highlight w:val="none"/>
        </w:rPr>
        <w:t>最大载重≥</w:t>
      </w:r>
      <w:r>
        <w:rPr>
          <w:rFonts w:hint="eastAsia" w:ascii="仿宋" w:hAnsi="仿宋" w:eastAsia="仿宋" w:cs="仿宋"/>
          <w:b w:val="0"/>
          <w:bCs w:val="0"/>
          <w:color w:val="auto"/>
          <w:sz w:val="24"/>
          <w:szCs w:val="24"/>
          <w:highlight w:val="none"/>
          <w:lang w:val="en-US" w:eastAsia="zh-CN"/>
        </w:rPr>
        <w:t>150</w:t>
      </w:r>
      <w:r>
        <w:rPr>
          <w:rFonts w:hint="eastAsia" w:ascii="仿宋" w:hAnsi="仿宋" w:eastAsia="仿宋" w:cs="仿宋"/>
          <w:b w:val="0"/>
          <w:bCs w:val="0"/>
          <w:color w:val="auto"/>
          <w:sz w:val="24"/>
          <w:szCs w:val="24"/>
          <w:highlight w:val="none"/>
        </w:rPr>
        <w:t>kg；</w:t>
      </w:r>
    </w:p>
    <w:p>
      <w:pPr>
        <w:keepNext w:val="0"/>
        <w:keepLines w:val="0"/>
        <w:pageBreakBefore w:val="0"/>
        <w:widowControl w:val="0"/>
        <w:kinsoku/>
        <w:wordWrap/>
        <w:overflowPunct/>
        <w:topLinePunct w:val="0"/>
        <w:autoSpaceDE/>
        <w:autoSpaceDN/>
        <w:bidi w:val="0"/>
        <w:adjustRightInd/>
        <w:snapToGrid/>
        <w:spacing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3.5卷扬机</w:t>
      </w:r>
    </w:p>
    <w:p>
      <w:pPr>
        <w:keepNext w:val="0"/>
        <w:keepLines w:val="0"/>
        <w:pageBreakBefore w:val="0"/>
        <w:widowControl w:val="0"/>
        <w:kinsoku/>
        <w:wordWrap/>
        <w:overflowPunct/>
        <w:topLinePunct w:val="0"/>
        <w:autoSpaceDE/>
        <w:autoSpaceDN/>
        <w:bidi w:val="0"/>
        <w:adjustRightInd/>
        <w:snapToGrid/>
        <w:spacing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3.5.1用于人员和货物的升降；</w:t>
      </w:r>
    </w:p>
    <w:p>
      <w:pPr>
        <w:keepNext w:val="0"/>
        <w:keepLines w:val="0"/>
        <w:pageBreakBefore w:val="0"/>
        <w:widowControl w:val="0"/>
        <w:kinsoku/>
        <w:wordWrap/>
        <w:overflowPunct/>
        <w:topLinePunct w:val="0"/>
        <w:autoSpaceDE/>
        <w:autoSpaceDN/>
        <w:bidi w:val="0"/>
        <w:adjustRightInd/>
        <w:snapToGrid/>
        <w:spacing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3.5.2具有自动锁止功能，安全载重情况下，电动上升时速度：≥ 0.2m/s；</w:t>
      </w:r>
    </w:p>
    <w:p>
      <w:pPr>
        <w:keepNext w:val="0"/>
        <w:keepLines w:val="0"/>
        <w:pageBreakBefore w:val="0"/>
        <w:widowControl w:val="0"/>
        <w:kinsoku/>
        <w:wordWrap/>
        <w:overflowPunct/>
        <w:topLinePunct w:val="0"/>
        <w:autoSpaceDE/>
        <w:autoSpaceDN/>
        <w:bidi w:val="0"/>
        <w:adjustRightInd/>
        <w:snapToGrid/>
        <w:spacing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3.5.3绳索：直径</w:t>
      </w:r>
      <w:r>
        <w:rPr>
          <w:rFonts w:hint="eastAsia" w:ascii="仿宋" w:hAnsi="仿宋" w:eastAsia="仿宋" w:cs="仿宋"/>
          <w:color w:val="auto"/>
          <w:sz w:val="24"/>
          <w:szCs w:val="24"/>
          <w:highlight w:val="none"/>
        </w:rPr>
        <w:t>≥4mm</w:t>
      </w:r>
      <w:r>
        <w:rPr>
          <w:rFonts w:hint="eastAsia" w:ascii="仿宋" w:hAnsi="仿宋" w:eastAsia="仿宋" w:cs="仿宋"/>
          <w:color w:val="auto"/>
          <w:sz w:val="24"/>
          <w:szCs w:val="24"/>
          <w:highlight w:val="none"/>
          <w:lang w:val="en-US" w:eastAsia="zh-CN"/>
        </w:rPr>
        <w:t>,断裂强力：≥20KN；最大载荷：≥150kg；</w:t>
      </w:r>
    </w:p>
    <w:p>
      <w:pPr>
        <w:keepNext w:val="0"/>
        <w:keepLines w:val="0"/>
        <w:pageBreakBefore w:val="0"/>
        <w:widowControl w:val="0"/>
        <w:kinsoku/>
        <w:wordWrap/>
        <w:overflowPunct/>
        <w:topLinePunct w:val="0"/>
        <w:autoSpaceDE/>
        <w:autoSpaceDN/>
        <w:bidi w:val="0"/>
        <w:adjustRightInd/>
        <w:snapToGrid/>
        <w:spacing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3.5.4绞盘的安全自锁装置可保证在提升和下降时，摇扳可停留在任何位置而不会滑脱；</w:t>
      </w:r>
    </w:p>
    <w:p>
      <w:pPr>
        <w:keepNext w:val="0"/>
        <w:keepLines w:val="0"/>
        <w:pageBreakBefore w:val="0"/>
        <w:widowControl w:val="0"/>
        <w:kinsoku/>
        <w:wordWrap/>
        <w:overflowPunct/>
        <w:topLinePunct w:val="0"/>
        <w:autoSpaceDE/>
        <w:autoSpaceDN/>
        <w:bidi w:val="0"/>
        <w:adjustRightInd/>
        <w:snapToGrid/>
        <w:spacing w:line="460" w:lineRule="exact"/>
        <w:ind w:left="0"/>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3.6</w:t>
      </w:r>
      <w:r>
        <w:rPr>
          <w:rFonts w:hint="eastAsia" w:ascii="仿宋" w:hAnsi="仿宋" w:eastAsia="仿宋" w:cs="仿宋"/>
          <w:color w:val="auto"/>
          <w:sz w:val="24"/>
          <w:szCs w:val="24"/>
          <w:highlight w:val="none"/>
        </w:rPr>
        <w:t>整套含铁链附件1套、组装工具1套及包装便携箱1个</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60" w:lineRule="exact"/>
        <w:ind w:left="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提供中文使用说明书，含装备简介、使用注意事项及维护保养等内容。</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highlight w:val="none"/>
          <w:lang w:val="en-US" w:eastAsia="zh-CN"/>
        </w:rPr>
      </w:pPr>
    </w:p>
    <w:p>
      <w:pPr>
        <w:keepNext w:val="0"/>
        <w:keepLines w:val="0"/>
        <w:pageBreakBefore w:val="0"/>
        <w:widowControl w:val="0"/>
        <w:kinsoku/>
        <w:wordWrap/>
        <w:overflowPunct/>
        <w:topLinePunct w:val="0"/>
        <w:bidi w:val="0"/>
        <w:spacing w:line="460" w:lineRule="exact"/>
        <w:outlineLvl w:val="1"/>
        <w:rPr>
          <w:rFonts w:hint="eastAsia" w:ascii="仿宋" w:hAnsi="仿宋" w:eastAsia="仿宋" w:cs="仿宋"/>
          <w:b/>
          <w:color w:val="auto"/>
          <w:sz w:val="24"/>
          <w:szCs w:val="24"/>
          <w:lang w:val="en-US" w:eastAsia="zh-CN"/>
        </w:rPr>
      </w:pPr>
      <w:bookmarkStart w:id="485" w:name="_Toc25718"/>
      <w:bookmarkStart w:id="486" w:name="_Toc11029"/>
      <w:bookmarkStart w:id="487" w:name="_Toc10765"/>
      <w:bookmarkStart w:id="488" w:name="_Toc25553"/>
      <w:bookmarkStart w:id="489" w:name="_Toc6060"/>
      <w:r>
        <w:rPr>
          <w:rFonts w:hint="eastAsia" w:ascii="仿宋" w:hAnsi="仿宋" w:eastAsia="仿宋" w:cs="仿宋"/>
          <w:b/>
          <w:color w:val="auto"/>
          <w:sz w:val="24"/>
          <w:szCs w:val="24"/>
          <w:lang w:val="en-US" w:eastAsia="zh-CN"/>
        </w:rPr>
        <w:t>34包：消防艇</w:t>
      </w:r>
      <w:bookmarkEnd w:id="485"/>
      <w:bookmarkEnd w:id="486"/>
      <w:bookmarkEnd w:id="487"/>
      <w:bookmarkEnd w:id="488"/>
      <w:bookmarkEnd w:id="489"/>
    </w:p>
    <w:p>
      <w:pPr>
        <w:keepNext w:val="0"/>
        <w:keepLines w:val="0"/>
        <w:pageBreakBefore w:val="0"/>
        <w:kinsoku/>
        <w:wordWrap/>
        <w:overflowPunct/>
        <w:topLinePunct w:val="0"/>
        <w:bidi w:val="0"/>
        <w:spacing w:line="460" w:lineRule="exact"/>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一、货物名称：消防艇</w:t>
      </w:r>
    </w:p>
    <w:p>
      <w:pPr>
        <w:keepNext w:val="0"/>
        <w:keepLines w:val="0"/>
        <w:pageBreakBefore w:val="0"/>
        <w:kinsoku/>
        <w:wordWrap/>
        <w:overflowPunct/>
        <w:topLinePunct w:val="0"/>
        <w:bidi w:val="0"/>
        <w:spacing w:line="460" w:lineRule="exact"/>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二、产地：国产</w:t>
      </w:r>
    </w:p>
    <w:p>
      <w:pPr>
        <w:keepNext w:val="0"/>
        <w:keepLines w:val="0"/>
        <w:pageBreakBefore w:val="0"/>
        <w:kinsoku/>
        <w:wordWrap/>
        <w:overflowPunct/>
        <w:topLinePunct w:val="0"/>
        <w:bidi w:val="0"/>
        <w:spacing w:line="460" w:lineRule="exact"/>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三、主要技术规格、参数及要求：</w:t>
      </w:r>
    </w:p>
    <w:p>
      <w:pPr>
        <w:keepNext w:val="0"/>
        <w:keepLines w:val="0"/>
        <w:pageBreakBefore w:val="0"/>
        <w:kinsoku/>
        <w:wordWrap/>
        <w:overflowPunct/>
        <w:topLinePunct w:val="0"/>
        <w:bidi w:val="0"/>
        <w:spacing w:line="460" w:lineRule="exact"/>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3.1 产品设计应符合中华人民共和国海事局《公务船技术规则》、《内河船舶法定检验技术规则》、《中国船级社内河高速船建造规范》,设计图纸需要准检机构审批合格，产品交付时必须提供船舶检测机构出具的船艇检验证书（船艇、图纸、证书必须一致）；</w:t>
      </w:r>
    </w:p>
    <w:p>
      <w:pPr>
        <w:keepNext w:val="0"/>
        <w:keepLines w:val="0"/>
        <w:pageBreakBefore w:val="0"/>
        <w:kinsoku/>
        <w:wordWrap/>
        <w:overflowPunct/>
        <w:topLinePunct w:val="0"/>
        <w:bidi w:val="0"/>
        <w:spacing w:line="460" w:lineRule="exact"/>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3.2应适应</w:t>
      </w:r>
      <w:r>
        <w:rPr>
          <w:rFonts w:hint="eastAsia" w:ascii="仿宋" w:hAnsi="仿宋" w:eastAsia="仿宋" w:cs="仿宋"/>
          <w:color w:val="auto"/>
          <w:sz w:val="24"/>
          <w:szCs w:val="24"/>
          <w:lang w:val="en-US" w:eastAsia="zh-CN"/>
        </w:rPr>
        <w:t>B级</w:t>
      </w:r>
      <w:r>
        <w:rPr>
          <w:rFonts w:hint="eastAsia" w:ascii="仿宋" w:hAnsi="仿宋" w:eastAsia="仿宋" w:cs="仿宋"/>
          <w:color w:val="auto"/>
          <w:sz w:val="24"/>
          <w:szCs w:val="24"/>
          <w:lang w:eastAsia="zh-CN"/>
        </w:rPr>
        <w:t>航区，具备夜航、雾航功能；</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3.3主船体（含上层建筑）为铝合金材质。</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b w:val="0"/>
          <w:bCs/>
          <w:color w:val="auto"/>
          <w:sz w:val="24"/>
          <w:szCs w:val="24"/>
          <w:lang w:val="en-US"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3.4 18000mm≤最大船长≤20000mm，船宽≥4000mm,型深≥1500mm,</w:t>
      </w:r>
      <w:r>
        <w:rPr>
          <w:rFonts w:hint="eastAsia" w:ascii="仿宋" w:hAnsi="仿宋" w:eastAsia="仿宋" w:cs="仿宋"/>
          <w:b w:val="0"/>
          <w:bCs/>
          <w:color w:val="auto"/>
          <w:sz w:val="24"/>
          <w:szCs w:val="24"/>
          <w:lang w:val="en-US" w:eastAsia="zh-CN"/>
        </w:rPr>
        <w:t>航速≥23KM;</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3.5承员数≥16人</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b w:val="0"/>
          <w:bCs/>
          <w:color w:val="auto"/>
          <w:sz w:val="24"/>
          <w:szCs w:val="24"/>
          <w:lang w:val="en-US"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3.6</w:t>
      </w:r>
      <w:r>
        <w:rPr>
          <w:rFonts w:hint="eastAsia" w:ascii="仿宋" w:hAnsi="仿宋" w:eastAsia="仿宋" w:cs="仿宋"/>
          <w:color w:val="auto"/>
          <w:sz w:val="24"/>
          <w:szCs w:val="24"/>
          <w:lang w:eastAsia="zh-CN"/>
        </w:rPr>
        <w:t>艇身动力配置：</w:t>
      </w:r>
      <w:r>
        <w:rPr>
          <w:rFonts w:hint="eastAsia" w:ascii="仿宋" w:hAnsi="仿宋" w:eastAsia="仿宋" w:cs="仿宋"/>
          <w:color w:val="auto"/>
          <w:sz w:val="24"/>
          <w:szCs w:val="24"/>
          <w:lang w:val="en-US" w:eastAsia="zh-CN"/>
        </w:rPr>
        <w:t>柴油机×2 台，</w:t>
      </w:r>
      <w:r>
        <w:rPr>
          <w:rFonts w:hint="eastAsia" w:ascii="仿宋" w:hAnsi="仿宋" w:eastAsia="仿宋" w:cs="仿宋"/>
          <w:b w:val="0"/>
          <w:bCs/>
          <w:color w:val="auto"/>
          <w:sz w:val="24"/>
          <w:szCs w:val="24"/>
          <w:lang w:val="en-US" w:eastAsia="zh-CN"/>
        </w:rPr>
        <w:t>每台</w:t>
      </w:r>
      <w:r>
        <w:rPr>
          <w:rFonts w:hint="eastAsia" w:ascii="仿宋" w:hAnsi="仿宋" w:eastAsia="仿宋" w:cs="仿宋"/>
          <w:b w:val="0"/>
          <w:bCs/>
          <w:color w:val="auto"/>
          <w:sz w:val="24"/>
          <w:szCs w:val="24"/>
          <w:lang w:eastAsia="zh-CN"/>
        </w:rPr>
        <w:t>发动机额定输出功率≥</w:t>
      </w:r>
      <w:r>
        <w:rPr>
          <w:rFonts w:hint="eastAsia" w:ascii="仿宋" w:hAnsi="仿宋" w:eastAsia="仿宋" w:cs="仿宋"/>
          <w:b w:val="0"/>
          <w:bCs/>
          <w:color w:val="auto"/>
          <w:sz w:val="24"/>
          <w:szCs w:val="24"/>
          <w:lang w:val="en-US" w:eastAsia="zh-CN"/>
        </w:rPr>
        <w:t>275HP，续航力≥6h；</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3.7总体布置；</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3.7.1驾驶室部分。上甲板首部设置驾驶室，驾驶室内设有驾控台，配备可升降旋转式驾驶椅1张，驾驶室后部配2张沙发；驾驶室前壁设3个挡风玻璃，配3个雨刮器，两侧设铝合金移窗。驾驶室地板需采取防滑处理；</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3.7.2甲板室部分。设置平台甲板，甲板活动区域需加装防滑处理；在首尾露天甲板上均设置栏杆；平台甲板上依次布置卫生间、配餐间，乘员舱。卫生间、配餐和乘员舱的地板需采取防滑处理。乘员舱顶棚两侧均设置安全扶手，保护人员安全；栏杆和扶手均为铝合金。船舷两侧和尾部设有栏杆用以确保乘员安全，配置≥16个减震座椅。设置船员舱，设2个床铺；</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3.7.3生活污水收集柜。消防艇需设生活污水收集柜，装有标准排放接头，确保生活污水能有效的排放至岸上接收装置；</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3.7.4垃圾回收系统。在适当位置设置“垃圾收集箱”2个；</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bookmarkStart w:id="490" w:name="_Toc467327548"/>
      <w:r>
        <w:rPr>
          <w:rFonts w:hint="eastAsia" w:ascii="仿宋" w:hAnsi="仿宋" w:eastAsia="仿宋" w:cs="仿宋"/>
          <w:color w:val="auto"/>
          <w:sz w:val="24"/>
          <w:szCs w:val="24"/>
          <w:lang w:val="en-US" w:eastAsia="zh-CN"/>
        </w:rPr>
        <w:t>3.8电气技术</w:t>
      </w:r>
      <w:bookmarkEnd w:id="490"/>
      <w:r>
        <w:rPr>
          <w:rFonts w:hint="eastAsia" w:ascii="仿宋" w:hAnsi="仿宋" w:eastAsia="仿宋" w:cs="仿宋"/>
          <w:color w:val="auto"/>
          <w:sz w:val="24"/>
          <w:szCs w:val="24"/>
          <w:lang w:val="en-US" w:eastAsia="zh-CN"/>
        </w:rPr>
        <w:t>要求。电气设计满足中国船级社（CCS）《内河高速船入级与建造规范》、中华人民共和国海事局《内河船舶法定检验技术规则》和有关船舶电气设计依据；</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3.8.1整船配备1台15kW单相交流发电机组。额定功率:≥15kW,额定电压：≥220V，作为空调系统、机舱风机、充电机、航行信号设备和甚高频无线电话等设备的电源；</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3.8.2整船配≥2组DC24V 195Ah蓄电池组作为主机启动电源，当主机起动完成正常运转后，可自行对蓄电池组进行充电；</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3.9 电力设备；</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3.9.1空调。驾驶室、乘员舱各配备1.5P空调各1台，由主配电板直接供电，驾控台和艉甲板设有紧急切断按钮；</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3.9.2机舱风机。机舱设有2台机舱风机,对机舱强制通风，由主配电板直接供电,在机舱设有机舱风机控制箱, 驾控台和艉甲板设有紧急切断按钮；</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3.9.3厨电设备。消防艇配餐间设有电冰箱、电磁炉等厨电设备；</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3.9.4电源插座。消防艇乘员舱、驾控台均设有暗式插座，艏舱、机舱和舵机舱设有水密开关带插座；</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3.10照明系统</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3.10.1乘员舱设置LED筒灯≥6盏、LED射灯≥10盏；船员舱设置LED筒灯≥1盏；配餐间和卫生间各设置LED 筒灯≥1盏；驾驶室设置LED 筒灯≥4盏、驾控台检修灯≥2盏；上甲板室外设置舱顶灯≥4盏；</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3.10.2机舱和舵机舱共设置≥6盏荧光舱顶灯、≥6盏舱顶灯；</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3.10.3信号灯。消防艇设置信号灯≥10只，顶蓬甲板桅杆上设置桅灯≥1盏、锚灯≥1盏、闪光灯≥1盏、环灯≥3盏。顶蓬甲板左（右）舷各设置舷灯≥1盏、闪光灯≥1盏，船艉设置艉灯≥1盏；</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3.11整船配备1套消防水炮，扬程≥30M；</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3.12整船配备1套显示器≥9英寸的声纳探测系统；</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3.13整船配备1套用公共广播系统，1套雷达系统，1套北斗系统，1套AIS系统（船载自动识别系统），1套测深系统，探照灯1套，功率≥1000W；</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eastAsia="zh-CN"/>
        </w:rPr>
        <w:t>3.1</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eastAsia="zh-CN"/>
        </w:rPr>
        <w:t>整船配备火灾监测报警系统</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lang w:eastAsia="zh-CN"/>
        </w:rPr>
        <w:t>套，监控系统</w:t>
      </w:r>
      <w:r>
        <w:rPr>
          <w:rFonts w:hint="eastAsia" w:ascii="仿宋" w:hAnsi="仿宋" w:eastAsia="仿宋" w:cs="仿宋"/>
          <w:color w:val="auto"/>
          <w:sz w:val="24"/>
          <w:szCs w:val="24"/>
          <w:lang w:val="en-US" w:eastAsia="zh-CN"/>
        </w:rPr>
        <w:t>1套，</w:t>
      </w:r>
      <w:r>
        <w:rPr>
          <w:rFonts w:hint="eastAsia" w:ascii="仿宋" w:hAnsi="仿宋" w:eastAsia="仿宋" w:cs="仿宋"/>
          <w:color w:val="auto"/>
          <w:sz w:val="24"/>
          <w:szCs w:val="24"/>
          <w:lang w:eastAsia="zh-CN"/>
        </w:rPr>
        <w:t>甚高频电话</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lang w:eastAsia="zh-CN"/>
        </w:rPr>
        <w:t>台，避雷系统</w:t>
      </w:r>
      <w:r>
        <w:rPr>
          <w:rFonts w:hint="eastAsia" w:ascii="仿宋" w:hAnsi="仿宋" w:eastAsia="仿宋" w:cs="仿宋"/>
          <w:color w:val="auto"/>
          <w:sz w:val="24"/>
          <w:szCs w:val="24"/>
          <w:lang w:val="en-US" w:eastAsia="zh-CN"/>
        </w:rPr>
        <w:t>1套；</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eastAsia="zh-CN"/>
        </w:rPr>
        <w:t>3.1</w:t>
      </w:r>
      <w:r>
        <w:rPr>
          <w:rFonts w:hint="eastAsia" w:ascii="仿宋" w:hAnsi="仿宋" w:eastAsia="仿宋" w:cs="仿宋"/>
          <w:color w:val="auto"/>
          <w:sz w:val="24"/>
          <w:szCs w:val="24"/>
          <w:lang w:val="en-US" w:eastAsia="zh-CN"/>
        </w:rPr>
        <w:t>5整船必须按照法律规定配备消防救生锚泊信号航行系统；</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3.16整船外观标识、警灯警报需满足消防救援队伍船艇外观标识要求。</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3.17供货前，须主动对接使用单位，确保满足用户需求。生产前设计图纸及方案必须经采购单位同意后方可生产。</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p>
    <w:p>
      <w:pPr>
        <w:keepNext w:val="0"/>
        <w:keepLines w:val="0"/>
        <w:pageBreakBefore w:val="0"/>
        <w:widowControl w:val="0"/>
        <w:kinsoku/>
        <w:wordWrap/>
        <w:overflowPunct/>
        <w:topLinePunct w:val="0"/>
        <w:bidi w:val="0"/>
        <w:spacing w:line="460" w:lineRule="exact"/>
        <w:outlineLvl w:val="1"/>
        <w:rPr>
          <w:rFonts w:hint="eastAsia" w:ascii="仿宋" w:hAnsi="仿宋" w:eastAsia="仿宋" w:cs="仿宋"/>
          <w:b/>
          <w:color w:val="auto"/>
          <w:sz w:val="24"/>
          <w:szCs w:val="24"/>
          <w:lang w:val="en-US" w:eastAsia="zh-CN"/>
        </w:rPr>
      </w:pPr>
      <w:bookmarkStart w:id="491" w:name="_Toc25834"/>
      <w:bookmarkStart w:id="492" w:name="_Toc11048"/>
      <w:bookmarkStart w:id="493" w:name="_Toc5947"/>
      <w:bookmarkStart w:id="494" w:name="_Toc27453"/>
      <w:bookmarkStart w:id="495" w:name="_Toc857"/>
      <w:r>
        <w:rPr>
          <w:rFonts w:hint="eastAsia" w:ascii="仿宋" w:hAnsi="仿宋" w:eastAsia="仿宋" w:cs="仿宋"/>
          <w:b/>
          <w:color w:val="auto"/>
          <w:sz w:val="24"/>
          <w:szCs w:val="24"/>
          <w:lang w:val="en-US" w:eastAsia="zh-CN"/>
        </w:rPr>
        <w:t>35包：</w:t>
      </w:r>
      <w:bookmarkEnd w:id="491"/>
      <w:bookmarkEnd w:id="492"/>
      <w:bookmarkEnd w:id="493"/>
      <w:r>
        <w:rPr>
          <w:rFonts w:hint="eastAsia" w:ascii="仿宋" w:hAnsi="仿宋" w:eastAsia="仿宋" w:cs="仿宋"/>
          <w:b/>
          <w:color w:val="auto"/>
          <w:sz w:val="24"/>
          <w:szCs w:val="24"/>
          <w:lang w:val="en-US" w:eastAsia="zh-CN"/>
        </w:rPr>
        <w:t>充气救援艇（配舷外机）（核心产品：橡皮艇)</w:t>
      </w:r>
      <w:bookmarkEnd w:id="494"/>
      <w:bookmarkEnd w:id="495"/>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Hans"/>
        </w:rPr>
      </w:pPr>
      <w:r>
        <w:rPr>
          <w:rFonts w:hint="eastAsia" w:ascii="仿宋" w:hAnsi="仿宋" w:eastAsia="仿宋" w:cs="仿宋"/>
          <w:color w:val="auto"/>
          <w:sz w:val="24"/>
          <w:szCs w:val="24"/>
          <w:lang w:val="en-US" w:eastAsia="zh-CN"/>
        </w:rPr>
        <w:t>一、货物名称：</w:t>
      </w:r>
      <w:r>
        <w:rPr>
          <w:rFonts w:hint="eastAsia" w:ascii="仿宋" w:hAnsi="仿宋" w:eastAsia="仿宋" w:cs="仿宋"/>
          <w:color w:val="auto"/>
          <w:sz w:val="24"/>
          <w:szCs w:val="24"/>
          <w:lang w:val="en-US" w:eastAsia="zh-Hans"/>
        </w:rPr>
        <w:t>充气救援艇（</w:t>
      </w:r>
      <w:r>
        <w:rPr>
          <w:rFonts w:hint="eastAsia" w:ascii="仿宋" w:hAnsi="仿宋" w:eastAsia="仿宋" w:cs="仿宋"/>
          <w:color w:val="auto"/>
          <w:sz w:val="24"/>
          <w:szCs w:val="24"/>
          <w:lang w:val="en-US" w:eastAsia="zh-CN"/>
        </w:rPr>
        <w:t>配</w:t>
      </w:r>
      <w:r>
        <w:rPr>
          <w:rFonts w:hint="eastAsia" w:ascii="仿宋" w:hAnsi="仿宋" w:eastAsia="仿宋" w:cs="仿宋"/>
          <w:color w:val="auto"/>
          <w:sz w:val="24"/>
          <w:szCs w:val="24"/>
          <w:lang w:val="en-US" w:eastAsia="zh-Hans"/>
        </w:rPr>
        <w:t>舷外机）</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二、产地：国产</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Hans"/>
        </w:rPr>
        <w:t>三</w:t>
      </w:r>
      <w:r>
        <w:rPr>
          <w:rFonts w:hint="eastAsia" w:ascii="仿宋" w:hAnsi="仿宋" w:eastAsia="仿宋" w:cs="仿宋"/>
          <w:color w:val="auto"/>
          <w:sz w:val="24"/>
          <w:szCs w:val="24"/>
          <w:lang w:val="en-US" w:eastAsia="zh-CN"/>
        </w:rPr>
        <w:t>、主要技术规格、参数及要求:</w:t>
      </w:r>
    </w:p>
    <w:p>
      <w:pPr>
        <w:pStyle w:val="13"/>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3.1</w:t>
      </w:r>
      <w:r>
        <w:rPr>
          <w:rFonts w:hint="eastAsia" w:ascii="仿宋" w:hAnsi="仿宋" w:eastAsia="仿宋" w:cs="仿宋"/>
          <w:color w:val="auto"/>
          <w:sz w:val="24"/>
          <w:szCs w:val="24"/>
        </w:rPr>
        <w:t>提供第三方检测机构出具的检测/检验/试验/测试报告（报告中的型号须与所投产品型号一致）复印件</w:t>
      </w:r>
      <w:r>
        <w:rPr>
          <w:rFonts w:hint="eastAsia" w:ascii="仿宋" w:hAnsi="仿宋" w:eastAsia="仿宋" w:cs="仿宋"/>
          <w:color w:val="auto"/>
          <w:sz w:val="24"/>
          <w:szCs w:val="24"/>
          <w:lang w:eastAsia="zh-CN"/>
        </w:rPr>
        <w:t>；检测报告中需含橡皮艇、舷外机主要技术参数，或单独提供橡皮艇、舷外机检测报告；</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 xml:space="preserve">3.2 </w:t>
      </w:r>
      <w:r>
        <w:rPr>
          <w:rFonts w:hint="eastAsia" w:ascii="仿宋" w:hAnsi="仿宋" w:eastAsia="仿宋" w:cs="仿宋"/>
          <w:b/>
          <w:bCs/>
          <w:color w:val="auto"/>
          <w:sz w:val="24"/>
          <w:szCs w:val="24"/>
          <w:lang w:val="en-US" w:eastAsia="zh-Hans"/>
        </w:rPr>
        <w:t>橡皮艇</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3.2.1材质：气室材料经向抗拉强度≥3200N/5cm，纬向抗拉强度≥3200N/5cm；经向撕破强力≥360N，纬向撕破强力≥360N；</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3.2.2规格：总长≥4.2m；总宽：≥1.8m，气室数量：≥3+1；结构为M型或V型船底，底板为M型充气拉丝底板或预制铰链式底板；配备30HP舷外机；</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3.2.3承载人数：≥7人；</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3.2.4最大载重量：≥500kg；</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3.2.5抗浪等级：≥1m、抗风等级：≥3级；</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3.2.6最大行驶速度≥40km/h；</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3.2.7船体重量：≤100kg（不含舷外机）；</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3.2.8最大气室缺气情况下，艇不下沉，且能正常行驶；</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3.2.9配备电动充气泵；</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3.2.10提供使用说明书（含电子版），含装备简介、使用注意事项及维护保养等内容。</w:t>
      </w:r>
    </w:p>
    <w:p>
      <w:pPr>
        <w:keepNext w:val="0"/>
        <w:keepLines w:val="0"/>
        <w:pageBreakBefore w:val="0"/>
        <w:widowControl w:val="0"/>
        <w:kinsoku/>
        <w:wordWrap/>
        <w:overflowPunct/>
        <w:topLinePunct w:val="0"/>
        <w:bidi w:val="0"/>
        <w:spacing w:line="460" w:lineRule="exact"/>
        <w:rPr>
          <w:rFonts w:hint="eastAsia" w:ascii="仿宋" w:hAnsi="仿宋" w:eastAsia="仿宋" w:cs="仿宋"/>
          <w:b/>
          <w:color w:val="auto"/>
          <w:sz w:val="24"/>
          <w:szCs w:val="24"/>
          <w:lang w:val="en-US" w:eastAsia="zh-Hans"/>
        </w:rPr>
      </w:pPr>
      <w:r>
        <w:rPr>
          <w:rFonts w:hint="eastAsia" w:ascii="仿宋" w:hAnsi="仿宋" w:eastAsia="仿宋" w:cs="仿宋"/>
          <w:b/>
          <w:color w:val="auto"/>
          <w:sz w:val="24"/>
          <w:szCs w:val="24"/>
          <w:lang w:val="en-US" w:eastAsia="zh-CN"/>
        </w:rPr>
        <w:t xml:space="preserve">3.3  </w:t>
      </w:r>
      <w:r>
        <w:rPr>
          <w:rFonts w:hint="eastAsia" w:ascii="仿宋" w:hAnsi="仿宋" w:eastAsia="仿宋" w:cs="仿宋"/>
          <w:b/>
          <w:color w:val="auto"/>
          <w:sz w:val="24"/>
          <w:szCs w:val="24"/>
          <w:lang w:val="en-US" w:eastAsia="zh-Hans"/>
        </w:rPr>
        <w:t>舷外机</w:t>
      </w:r>
    </w:p>
    <w:p>
      <w:pPr>
        <w:keepNext w:val="0"/>
        <w:keepLines w:val="0"/>
        <w:pageBreakBefore w:val="0"/>
        <w:widowControl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3.3.1发动机类型：2缸2冲程；</w:t>
      </w:r>
    </w:p>
    <w:p>
      <w:pPr>
        <w:keepNext w:val="0"/>
        <w:keepLines w:val="0"/>
        <w:pageBreakBefore w:val="0"/>
        <w:widowControl w:val="0"/>
        <w:kinsoku/>
        <w:wordWrap/>
        <w:overflowPunct/>
        <w:topLinePunct w:val="0"/>
        <w:bidi w:val="0"/>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3.3.2最大功率：≥20Kw；</w:t>
      </w:r>
      <w:r>
        <w:rPr>
          <w:rFonts w:hint="eastAsia" w:ascii="仿宋" w:hAnsi="仿宋" w:eastAsia="仿宋" w:cs="仿宋"/>
          <w:color w:val="auto"/>
          <w:sz w:val="24"/>
          <w:szCs w:val="24"/>
        </w:rPr>
        <w:tab/>
      </w:r>
    </w:p>
    <w:p>
      <w:pPr>
        <w:keepNext w:val="0"/>
        <w:keepLines w:val="0"/>
        <w:pageBreakBefore w:val="0"/>
        <w:widowControl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3.3.3额定转速：4500-5500r/min；</w:t>
      </w:r>
    </w:p>
    <w:p>
      <w:pPr>
        <w:keepNext w:val="0"/>
        <w:keepLines w:val="0"/>
        <w:pageBreakBefore w:val="0"/>
        <w:widowControl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3.3.4排气量：≥490cc；</w:t>
      </w:r>
    </w:p>
    <w:p>
      <w:pPr>
        <w:keepNext w:val="0"/>
        <w:keepLines w:val="0"/>
        <w:pageBreakBefore w:val="0"/>
        <w:widowControl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3.3.5润滑系统：汽油&amp;机油；</w:t>
      </w:r>
    </w:p>
    <w:p>
      <w:pPr>
        <w:keepNext w:val="0"/>
        <w:keepLines w:val="0"/>
        <w:pageBreakBefore w:val="0"/>
        <w:widowControl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3.3.6启动系统:手动/电动；</w:t>
      </w:r>
    </w:p>
    <w:p>
      <w:pPr>
        <w:keepNext w:val="0"/>
        <w:keepLines w:val="0"/>
        <w:pageBreakBefore w:val="0"/>
        <w:widowControl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3.3.7操作系统：操舵/遥控；</w:t>
      </w:r>
    </w:p>
    <w:p>
      <w:pPr>
        <w:keepNext w:val="0"/>
        <w:keepLines w:val="0"/>
        <w:pageBreakBefore w:val="0"/>
        <w:widowControl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3.3.8燃油容量：≥20L；</w:t>
      </w:r>
    </w:p>
    <w:p>
      <w:pPr>
        <w:keepNext w:val="0"/>
        <w:keepLines w:val="0"/>
        <w:pageBreakBefore w:val="0"/>
        <w:widowControl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3.3.9重量：≤60kg；</w:t>
      </w:r>
    </w:p>
    <w:p>
      <w:pPr>
        <w:keepNext w:val="0"/>
        <w:keepLines w:val="0"/>
        <w:pageBreakBefore w:val="0"/>
        <w:widowControl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3.3.10其他：配置：油箱+油管1个，简易维修工具1套，保险钥匙1个，螺旋桨防护罩，材质为不锈钢，配备可显示油量、保养时间、确定救援位置装置；</w:t>
      </w:r>
    </w:p>
    <w:p>
      <w:pPr>
        <w:keepNext w:val="0"/>
        <w:keepLines w:val="0"/>
        <w:pageBreakBefore w:val="0"/>
        <w:widowControl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3.3.11供货前，须主动对接使用单位，确保满足用户需求；</w:t>
      </w:r>
    </w:p>
    <w:p>
      <w:pPr>
        <w:keepNext w:val="0"/>
        <w:keepLines w:val="0"/>
        <w:pageBreakBefore w:val="0"/>
        <w:widowControl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3.3.12提供中文使用说明书（含电子版），含装备简介、使用注意事项及维护保养等内容。</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rPr>
      </w:pPr>
    </w:p>
    <w:p>
      <w:pPr>
        <w:keepNext w:val="0"/>
        <w:keepLines w:val="0"/>
        <w:pageBreakBefore w:val="0"/>
        <w:widowControl w:val="0"/>
        <w:kinsoku/>
        <w:wordWrap/>
        <w:overflowPunct/>
        <w:topLinePunct w:val="0"/>
        <w:bidi w:val="0"/>
        <w:spacing w:line="460" w:lineRule="exact"/>
        <w:outlineLvl w:val="1"/>
        <w:rPr>
          <w:rFonts w:hint="eastAsia" w:ascii="仿宋" w:hAnsi="仿宋" w:eastAsia="仿宋" w:cs="仿宋"/>
          <w:b/>
          <w:color w:val="auto"/>
          <w:sz w:val="24"/>
          <w:szCs w:val="24"/>
          <w:lang w:val="en-US" w:eastAsia="zh-Hans"/>
        </w:rPr>
      </w:pPr>
      <w:bookmarkStart w:id="496" w:name="_Toc13760"/>
      <w:bookmarkStart w:id="497" w:name="_Toc10586"/>
      <w:bookmarkStart w:id="498" w:name="_Toc11715"/>
      <w:bookmarkStart w:id="499" w:name="_Toc4880"/>
      <w:bookmarkStart w:id="500" w:name="_Toc23642"/>
      <w:r>
        <w:rPr>
          <w:rFonts w:hint="eastAsia" w:ascii="仿宋" w:hAnsi="仿宋" w:eastAsia="仿宋" w:cs="仿宋"/>
          <w:b/>
          <w:color w:val="auto"/>
          <w:sz w:val="24"/>
          <w:szCs w:val="24"/>
          <w:lang w:val="en-US" w:eastAsia="zh-CN"/>
        </w:rPr>
        <w:t>36包：</w:t>
      </w:r>
      <w:r>
        <w:rPr>
          <w:rFonts w:hint="eastAsia" w:ascii="仿宋" w:hAnsi="仿宋" w:eastAsia="仿宋" w:cs="仿宋"/>
          <w:b/>
          <w:color w:val="auto"/>
          <w:sz w:val="24"/>
          <w:szCs w:val="24"/>
          <w:lang w:val="en-US" w:eastAsia="zh-Hans"/>
        </w:rPr>
        <w:t>冲锋舟（</w:t>
      </w:r>
      <w:r>
        <w:rPr>
          <w:rFonts w:hint="eastAsia" w:ascii="仿宋" w:hAnsi="仿宋" w:eastAsia="仿宋" w:cs="仿宋"/>
          <w:b/>
          <w:color w:val="auto"/>
          <w:sz w:val="24"/>
          <w:szCs w:val="24"/>
          <w:lang w:val="en-US" w:eastAsia="zh-CN"/>
        </w:rPr>
        <w:t>配</w:t>
      </w:r>
      <w:r>
        <w:rPr>
          <w:rFonts w:hint="eastAsia" w:ascii="仿宋" w:hAnsi="仿宋" w:eastAsia="仿宋" w:cs="仿宋"/>
          <w:b/>
          <w:color w:val="auto"/>
          <w:sz w:val="24"/>
          <w:szCs w:val="24"/>
          <w:lang w:val="en-US" w:eastAsia="zh-Hans"/>
        </w:rPr>
        <w:t>舷外机）</w:t>
      </w:r>
      <w:bookmarkEnd w:id="496"/>
      <w:bookmarkEnd w:id="497"/>
      <w:r>
        <w:rPr>
          <w:rFonts w:hint="eastAsia" w:ascii="仿宋" w:hAnsi="仿宋" w:eastAsia="仿宋" w:cs="仿宋"/>
          <w:b/>
          <w:color w:val="auto"/>
          <w:sz w:val="24"/>
          <w:szCs w:val="24"/>
          <w:lang w:val="en-US" w:eastAsia="zh-CN"/>
        </w:rPr>
        <w:t>（核心产品：</w:t>
      </w:r>
      <w:r>
        <w:rPr>
          <w:rFonts w:hint="eastAsia" w:ascii="仿宋" w:hAnsi="仿宋" w:eastAsia="仿宋" w:cs="仿宋"/>
          <w:b/>
          <w:bCs/>
          <w:color w:val="auto"/>
          <w:sz w:val="24"/>
          <w:szCs w:val="24"/>
          <w:lang w:val="en-US" w:eastAsia="zh-Hans"/>
        </w:rPr>
        <w:t>冲锋舟</w:t>
      </w:r>
      <w:r>
        <w:rPr>
          <w:rFonts w:hint="eastAsia" w:ascii="仿宋" w:hAnsi="仿宋" w:eastAsia="仿宋" w:cs="仿宋"/>
          <w:b/>
          <w:color w:val="auto"/>
          <w:sz w:val="24"/>
          <w:szCs w:val="24"/>
          <w:lang w:val="en-US" w:eastAsia="zh-CN"/>
        </w:rPr>
        <w:t>)</w:t>
      </w:r>
      <w:bookmarkEnd w:id="498"/>
      <w:r>
        <w:rPr>
          <w:rFonts w:hint="eastAsia" w:ascii="仿宋" w:hAnsi="仿宋" w:eastAsia="仿宋" w:cs="仿宋"/>
          <w:b/>
          <w:color w:val="auto"/>
          <w:sz w:val="24"/>
          <w:szCs w:val="24"/>
          <w:lang w:val="en-US" w:eastAsia="zh-CN"/>
        </w:rPr>
        <w:t>、舷外机</w:t>
      </w:r>
      <w:bookmarkEnd w:id="499"/>
      <w:bookmarkEnd w:id="500"/>
    </w:p>
    <w:p>
      <w:pPr>
        <w:keepNext w:val="0"/>
        <w:keepLines w:val="0"/>
        <w:pageBreakBefore w:val="0"/>
        <w:numPr>
          <w:ilvl w:val="0"/>
          <w:numId w:val="0"/>
        </w:numPr>
        <w:kinsoku/>
        <w:wordWrap/>
        <w:overflowPunct/>
        <w:topLinePunct w:val="0"/>
        <w:bidi w:val="0"/>
        <w:spacing w:line="460" w:lineRule="exact"/>
        <w:rPr>
          <w:rFonts w:hint="default" w:ascii="仿宋" w:hAnsi="仿宋" w:eastAsia="仿宋" w:cs="仿宋"/>
          <w:color w:val="auto"/>
          <w:sz w:val="24"/>
          <w:szCs w:val="24"/>
          <w:lang w:val="en-US" w:eastAsia="zh-CN"/>
        </w:rPr>
      </w:pPr>
      <w:r>
        <w:rPr>
          <w:rFonts w:hint="eastAsia" w:ascii="仿宋" w:hAnsi="仿宋" w:eastAsia="仿宋" w:cs="仿宋"/>
          <w:b/>
          <w:bCs/>
          <w:color w:val="auto"/>
          <w:kern w:val="0"/>
          <w:sz w:val="24"/>
          <w:szCs w:val="24"/>
          <w:highlight w:val="none"/>
          <w:lang w:val="en-US" w:eastAsia="zh-CN"/>
        </w:rPr>
        <w:t>36包-1</w:t>
      </w:r>
      <w:r>
        <w:rPr>
          <w:rFonts w:hint="eastAsia" w:ascii="仿宋" w:hAnsi="仿宋" w:eastAsia="仿宋" w:cs="仿宋"/>
          <w:b/>
          <w:bCs/>
          <w:color w:val="auto"/>
          <w:kern w:val="0"/>
          <w:sz w:val="24"/>
          <w:szCs w:val="24"/>
          <w:highlight w:val="none"/>
        </w:rPr>
        <w:t>：</w:t>
      </w:r>
      <w:r>
        <w:rPr>
          <w:rFonts w:hint="eastAsia" w:ascii="仿宋" w:hAnsi="仿宋" w:eastAsia="仿宋" w:cs="仿宋"/>
          <w:b/>
          <w:bCs/>
          <w:color w:val="auto"/>
          <w:kern w:val="0"/>
          <w:sz w:val="24"/>
          <w:szCs w:val="24"/>
          <w:highlight w:val="none"/>
          <w:lang w:val="en-US" w:eastAsia="zh-Hans"/>
        </w:rPr>
        <w:t>冲锋舟（</w:t>
      </w:r>
      <w:r>
        <w:rPr>
          <w:rFonts w:hint="eastAsia" w:ascii="仿宋" w:hAnsi="仿宋" w:eastAsia="仿宋" w:cs="仿宋"/>
          <w:b/>
          <w:bCs/>
          <w:color w:val="auto"/>
          <w:kern w:val="0"/>
          <w:sz w:val="24"/>
          <w:szCs w:val="24"/>
          <w:highlight w:val="none"/>
          <w:lang w:val="en-US" w:eastAsia="zh-CN"/>
        </w:rPr>
        <w:t>配</w:t>
      </w:r>
      <w:r>
        <w:rPr>
          <w:rFonts w:hint="eastAsia" w:ascii="仿宋" w:hAnsi="仿宋" w:eastAsia="仿宋" w:cs="仿宋"/>
          <w:b/>
          <w:bCs/>
          <w:color w:val="auto"/>
          <w:kern w:val="0"/>
          <w:sz w:val="24"/>
          <w:szCs w:val="24"/>
          <w:highlight w:val="none"/>
          <w:lang w:val="en-US" w:eastAsia="zh-Hans"/>
        </w:rPr>
        <w:t>舷外机）</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一、货物名称：冲锋舟</w:t>
      </w:r>
      <w:r>
        <w:rPr>
          <w:rFonts w:hint="eastAsia" w:ascii="仿宋" w:hAnsi="仿宋" w:eastAsia="仿宋" w:cs="仿宋"/>
          <w:color w:val="auto"/>
          <w:sz w:val="24"/>
          <w:szCs w:val="24"/>
          <w:lang w:val="en-US" w:eastAsia="zh-Hans"/>
        </w:rPr>
        <w:t>（</w:t>
      </w:r>
      <w:r>
        <w:rPr>
          <w:rFonts w:hint="eastAsia" w:ascii="仿宋" w:hAnsi="仿宋" w:eastAsia="仿宋" w:cs="仿宋"/>
          <w:color w:val="auto"/>
          <w:sz w:val="24"/>
          <w:szCs w:val="24"/>
          <w:lang w:val="en-US" w:eastAsia="zh-CN"/>
        </w:rPr>
        <w:t>配</w:t>
      </w:r>
      <w:r>
        <w:rPr>
          <w:rFonts w:hint="eastAsia" w:ascii="仿宋" w:hAnsi="仿宋" w:eastAsia="仿宋" w:cs="仿宋"/>
          <w:color w:val="auto"/>
          <w:sz w:val="24"/>
          <w:szCs w:val="24"/>
          <w:lang w:val="en-US" w:eastAsia="zh-Hans"/>
        </w:rPr>
        <w:t>舷外机）</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二、产地：国产</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Hans"/>
        </w:rPr>
        <w:t>三</w:t>
      </w:r>
      <w:r>
        <w:rPr>
          <w:rFonts w:hint="eastAsia" w:ascii="仿宋" w:hAnsi="仿宋" w:eastAsia="仿宋" w:cs="仿宋"/>
          <w:color w:val="auto"/>
          <w:sz w:val="24"/>
          <w:szCs w:val="24"/>
          <w:lang w:val="en-US" w:eastAsia="zh-CN"/>
        </w:rPr>
        <w:t>、主要技术规格、参数及要求:</w:t>
      </w:r>
    </w:p>
    <w:p>
      <w:pPr>
        <w:pStyle w:val="13"/>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3.1</w:t>
      </w:r>
      <w:r>
        <w:rPr>
          <w:rFonts w:hint="eastAsia" w:ascii="仿宋" w:hAnsi="仿宋" w:eastAsia="仿宋" w:cs="仿宋"/>
          <w:color w:val="auto"/>
          <w:sz w:val="24"/>
          <w:szCs w:val="24"/>
        </w:rPr>
        <w:t>提供第三方检测机构出具的检测/检验/试验/测试报告（报告中的型号须与所投产品型号一致）复印件</w:t>
      </w:r>
      <w:r>
        <w:rPr>
          <w:rFonts w:hint="eastAsia" w:ascii="仿宋" w:hAnsi="仿宋" w:eastAsia="仿宋" w:cs="仿宋"/>
          <w:color w:val="auto"/>
          <w:sz w:val="24"/>
          <w:szCs w:val="24"/>
          <w:lang w:eastAsia="zh-CN"/>
        </w:rPr>
        <w:t>；检测报告中需含冲锋舟、</w:t>
      </w:r>
      <w:r>
        <w:rPr>
          <w:rFonts w:hint="eastAsia" w:ascii="仿宋" w:hAnsi="仿宋" w:eastAsia="仿宋" w:cs="仿宋"/>
          <w:color w:val="auto"/>
          <w:sz w:val="24"/>
          <w:szCs w:val="24"/>
          <w:lang w:val="en-US" w:eastAsia="zh-CN"/>
        </w:rPr>
        <w:t>舟艇</w:t>
      </w:r>
      <w:r>
        <w:rPr>
          <w:rFonts w:hint="eastAsia" w:ascii="仿宋" w:hAnsi="仿宋" w:eastAsia="仿宋" w:cs="仿宋"/>
          <w:color w:val="auto"/>
          <w:sz w:val="24"/>
          <w:szCs w:val="24"/>
          <w:lang w:eastAsia="zh-CN"/>
        </w:rPr>
        <w:t>舷外机主要技术参数，或单独提供冲锋舟、舷外机检测报告；</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3.2</w:t>
      </w:r>
      <w:r>
        <w:rPr>
          <w:rFonts w:hint="eastAsia" w:ascii="仿宋" w:hAnsi="仿宋" w:eastAsia="仿宋" w:cs="仿宋"/>
          <w:b/>
          <w:bCs/>
          <w:color w:val="auto"/>
          <w:sz w:val="24"/>
          <w:szCs w:val="24"/>
          <w:lang w:val="en-US" w:eastAsia="zh-Hans"/>
        </w:rPr>
        <w:t>冲锋舟</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3.2.1采用玻璃钢材质或铝合金，质轻，高强，坚固耐用，不用组装，使用方便；</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3.2.2总长:≥6m,总宽:≥2m,型深:≥0.4m，总重量≤350kg（不含舷外机）；</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3.2.3承载人数:≥10人；</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3.2.4最大载重量：≥1000kg；</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3.2.5抗浪等级：≥1m、抗风等级：≥3级；</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3.2.6最大行驶速度≥50km/h；</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3.2.7供货前，须主动对接使用单位，确保满足用户需求；</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Hans"/>
        </w:rPr>
      </w:pPr>
      <w:r>
        <w:rPr>
          <w:rFonts w:hint="eastAsia" w:ascii="仿宋" w:hAnsi="仿宋" w:eastAsia="仿宋" w:cs="仿宋"/>
          <w:color w:val="auto"/>
          <w:sz w:val="24"/>
          <w:szCs w:val="24"/>
          <w:lang w:val="en-US" w:eastAsia="zh-CN"/>
        </w:rPr>
        <w:t>3.2.8提供中文使用说明书（含电子版），含装备简介、使用注意事项及维护保养等内容。</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3.3  舟艇舷外机</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3.3.1发动机类型：3缸2冲程；</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3.3.2额定功率：≥40kw；</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3.3.3 额定转速：4500-5500r/min；</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3.3.4排气量：≥840cc；</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3.3.5润滑系统：汽油&amp;机油；</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3.3.6启动系统：手动、电动；</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3.3.7操控系统：操舵；</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3.3.8燃油容量：≥20L；</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3.3.9 重量：≤110kg；</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3.3.10 其他：配备原装螺旋桨防护罩，备用螺旋桨防护罩各1个，材质为不锈钢，配备可显示油量、保养时间、确定救援位置装置；</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3.3.11供货前，须主动对接使用单位，确保满足用户需求；</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3.3.12提供中文使用说明书(含电子版)，含装备简介、使用注意事项及维护保养等内容。</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bookmarkStart w:id="501" w:name="_Toc560"/>
      <w:bookmarkStart w:id="502" w:name="_Toc13887"/>
      <w:bookmarkStart w:id="503" w:name="_Toc24568"/>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36包-2：舷外机</w:t>
      </w:r>
      <w:bookmarkEnd w:id="501"/>
      <w:bookmarkEnd w:id="502"/>
      <w:bookmarkEnd w:id="503"/>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一、货物名称：舷外机</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二、产地：国产</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三、主要技术规格、参数及要求</w:t>
      </w:r>
    </w:p>
    <w:p>
      <w:pPr>
        <w:pStyle w:val="13"/>
        <w:keepNext w:val="0"/>
        <w:keepLines w:val="0"/>
        <w:pageBreakBefore w:val="0"/>
        <w:kinsoku/>
        <w:wordWrap/>
        <w:overflowPunct/>
        <w:topLinePunct w:val="0"/>
        <w:bidi w:val="0"/>
        <w:spacing w:line="460" w:lineRule="exact"/>
        <w:rPr>
          <w:rFonts w:hint="eastAsia" w:eastAsia="仿宋"/>
          <w:color w:val="auto"/>
          <w:sz w:val="21"/>
          <w:szCs w:val="24"/>
          <w:lang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3.1</w:t>
      </w:r>
      <w:r>
        <w:rPr>
          <w:rFonts w:hint="eastAsia" w:ascii="仿宋" w:hAnsi="仿宋" w:eastAsia="仿宋" w:cs="仿宋"/>
          <w:color w:val="auto"/>
          <w:sz w:val="24"/>
          <w:szCs w:val="24"/>
        </w:rPr>
        <w:t>提供第三方检测机构出具的检测/检验/试验/测试报告（报告中的型号须与所投产品型号一致）复印件</w:t>
      </w:r>
      <w:r>
        <w:rPr>
          <w:rFonts w:hint="eastAsia" w:ascii="仿宋" w:hAnsi="仿宋" w:eastAsia="仿宋" w:cs="仿宋"/>
          <w:color w:val="auto"/>
          <w:sz w:val="24"/>
          <w:szCs w:val="24"/>
          <w:lang w:eastAsia="zh-CN"/>
        </w:rPr>
        <w:t>；</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3.2发动机类型：2缸2冲程；</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3.3最大功率：≥29kw；</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3.4额定转速：4500-5500r/min；</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3.5排气量：≥700cc；</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3.6润滑系统：汽油&amp;机油;</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3.7启动系统：手动/电动;</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3.8操作方式：操舵/遥控;</w:t>
      </w:r>
    </w:p>
    <w:p>
      <w:pPr>
        <w:keepNext w:val="0"/>
        <w:keepLines w:val="0"/>
        <w:pageBreakBefore w:val="0"/>
        <w:widowControl w:val="0"/>
        <w:kinsoku/>
        <w:wordWrap/>
        <w:overflowPunct/>
        <w:topLinePunct w:val="0"/>
        <w:bidi w:val="0"/>
        <w:spacing w:line="4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3.9燃油容量:≥20L;</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3.10质量：≤80kg；</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3.11其他：叶轮防护罩2个，船外机放置架1个，船外机固定绳1根，原装叶轮2个，化油器2个，进气滤芯2个，走动拉盘1个，火花塞10个，限位杆3个，发动机维修工具箱1套（火花塞套筒、钳子、十字起、一字起），钥匙不少于2把，油箱防护罩1个；</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3.12供货前,须主动对接使用单位,确保满足用户需求;</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3.13提供中文使用说明书(含电子版),含装备简介、使用注意事项及维护保养等内容。</w:t>
      </w:r>
    </w:p>
    <w:p>
      <w:pPr>
        <w:keepNext w:val="0"/>
        <w:keepLines w:val="0"/>
        <w:pageBreakBefore w:val="0"/>
        <w:kinsoku/>
        <w:wordWrap/>
        <w:overflowPunct/>
        <w:topLinePunct w:val="0"/>
        <w:bidi w:val="0"/>
        <w:spacing w:line="460" w:lineRule="exact"/>
        <w:rPr>
          <w:rFonts w:hint="eastAsia" w:ascii="仿宋" w:hAnsi="仿宋" w:eastAsia="仿宋" w:cs="仿宋"/>
          <w:b/>
          <w:color w:val="auto"/>
          <w:kern w:val="0"/>
          <w:sz w:val="24"/>
          <w:szCs w:val="24"/>
        </w:rPr>
      </w:pPr>
    </w:p>
    <w:p>
      <w:pPr>
        <w:keepNext w:val="0"/>
        <w:keepLines w:val="0"/>
        <w:pageBreakBefore w:val="0"/>
        <w:widowControl w:val="0"/>
        <w:kinsoku/>
        <w:wordWrap/>
        <w:overflowPunct/>
        <w:topLinePunct w:val="0"/>
        <w:bidi w:val="0"/>
        <w:spacing w:line="460" w:lineRule="exact"/>
        <w:outlineLvl w:val="1"/>
        <w:rPr>
          <w:rFonts w:hint="eastAsia" w:ascii="仿宋" w:hAnsi="仿宋" w:eastAsia="仿宋" w:cs="仿宋"/>
          <w:b/>
          <w:color w:val="auto"/>
          <w:sz w:val="24"/>
          <w:szCs w:val="24"/>
          <w:lang w:val="en-US" w:eastAsia="zh-CN"/>
        </w:rPr>
      </w:pPr>
      <w:bookmarkStart w:id="504" w:name="_Toc4661"/>
      <w:bookmarkStart w:id="505" w:name="_Toc12770"/>
      <w:bookmarkStart w:id="506" w:name="_Toc12934"/>
      <w:bookmarkStart w:id="507" w:name="_Toc21201"/>
      <w:bookmarkStart w:id="508" w:name="_Toc3498"/>
      <w:r>
        <w:rPr>
          <w:rFonts w:hint="eastAsia" w:ascii="仿宋" w:hAnsi="仿宋" w:eastAsia="仿宋" w:cs="仿宋"/>
          <w:b/>
          <w:color w:val="auto"/>
          <w:sz w:val="24"/>
          <w:szCs w:val="24"/>
          <w:lang w:val="en-US" w:eastAsia="zh-CN"/>
        </w:rPr>
        <w:t>39包：摩托艇</w:t>
      </w:r>
      <w:bookmarkEnd w:id="504"/>
      <w:bookmarkEnd w:id="505"/>
      <w:bookmarkEnd w:id="506"/>
      <w:bookmarkEnd w:id="507"/>
      <w:bookmarkEnd w:id="508"/>
    </w:p>
    <w:p>
      <w:pPr>
        <w:keepNext w:val="0"/>
        <w:keepLines w:val="0"/>
        <w:pageBreakBefore w:val="0"/>
        <w:widowControl w:val="0"/>
        <w:numPr>
          <w:ilvl w:val="0"/>
          <w:numId w:val="0"/>
        </w:numPr>
        <w:kinsoku/>
        <w:wordWrap/>
        <w:overflowPunct/>
        <w:topLinePunct w:val="0"/>
        <w:bidi w:val="0"/>
        <w:spacing w:line="460" w:lineRule="exact"/>
        <w:rPr>
          <w:rFonts w:hint="eastAsia" w:ascii="仿宋" w:hAnsi="仿宋" w:eastAsia="仿宋" w:cs="仿宋"/>
          <w:b/>
          <w:color w:val="auto"/>
          <w:sz w:val="24"/>
          <w:szCs w:val="24"/>
          <w:lang w:val="en-US" w:eastAsia="zh-CN"/>
        </w:rPr>
      </w:pPr>
      <w:r>
        <w:rPr>
          <w:rFonts w:hint="eastAsia" w:ascii="仿宋" w:hAnsi="仿宋" w:eastAsia="仿宋" w:cs="仿宋"/>
          <w:color w:val="auto"/>
          <w:sz w:val="24"/>
          <w:szCs w:val="24"/>
          <w:lang w:val="en-US" w:eastAsia="zh-CN" w:bidi="ar-SA"/>
        </w:rPr>
        <w:t>一、</w:t>
      </w:r>
      <w:r>
        <w:rPr>
          <w:rFonts w:hint="eastAsia" w:ascii="仿宋" w:hAnsi="仿宋" w:eastAsia="仿宋" w:cs="仿宋"/>
          <w:color w:val="auto"/>
          <w:sz w:val="24"/>
          <w:szCs w:val="24"/>
          <w:lang w:val="en-US" w:eastAsia="zh-CN"/>
        </w:rPr>
        <w:t>货物名称：摩托艇</w:t>
      </w:r>
    </w:p>
    <w:p>
      <w:pPr>
        <w:keepNext w:val="0"/>
        <w:keepLines w:val="0"/>
        <w:pageBreakBefore w:val="0"/>
        <w:widowControl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bidi="ar-SA"/>
        </w:rPr>
        <w:t>二、</w:t>
      </w:r>
      <w:r>
        <w:rPr>
          <w:rFonts w:hint="eastAsia" w:ascii="仿宋" w:hAnsi="仿宋" w:eastAsia="仿宋" w:cs="仿宋"/>
          <w:color w:val="auto"/>
          <w:sz w:val="24"/>
          <w:szCs w:val="24"/>
          <w:lang w:val="en-US" w:eastAsia="zh-CN"/>
        </w:rPr>
        <w:t>产地：国产</w:t>
      </w:r>
    </w:p>
    <w:p>
      <w:pPr>
        <w:keepNext w:val="0"/>
        <w:keepLines w:val="0"/>
        <w:pageBreakBefore w:val="0"/>
        <w:widowControl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三、主要技术规格、参数及要求</w:t>
      </w:r>
    </w:p>
    <w:p>
      <w:pPr>
        <w:pStyle w:val="13"/>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bidi="ar"/>
        </w:rPr>
        <w:t>3.1产品符合</w:t>
      </w:r>
      <w:r>
        <w:rPr>
          <w:rFonts w:hint="eastAsia" w:ascii="仿宋" w:hAnsi="仿宋" w:eastAsia="仿宋" w:cs="仿宋"/>
          <w:color w:val="auto"/>
          <w:sz w:val="24"/>
          <w:szCs w:val="24"/>
          <w:lang w:val="en-US" w:eastAsia="zh-CN"/>
        </w:rPr>
        <w:t>《坐式摩托艇通用技术条件》（GB/T33198-2016）</w:t>
      </w:r>
      <w:r>
        <w:rPr>
          <w:rFonts w:hint="eastAsia" w:ascii="仿宋" w:hAnsi="仿宋" w:eastAsia="仿宋" w:cs="仿宋"/>
          <w:color w:val="auto"/>
          <w:sz w:val="24"/>
          <w:szCs w:val="24"/>
          <w:lang w:val="en-US" w:eastAsia="zh-CN" w:bidi="ar"/>
        </w:rPr>
        <w:t>标准的要求，</w:t>
      </w:r>
      <w:r>
        <w:rPr>
          <w:rFonts w:hint="eastAsia" w:ascii="仿宋" w:hAnsi="仿宋" w:eastAsia="仿宋" w:cs="仿宋"/>
          <w:color w:val="auto"/>
          <w:sz w:val="24"/>
          <w:szCs w:val="24"/>
        </w:rPr>
        <w:t>提供第三方检测机构出具的检测/检验/试验/测试报告（报告中的型号须与所投产品型号一致）复印件</w:t>
      </w:r>
      <w:r>
        <w:rPr>
          <w:rFonts w:hint="eastAsia" w:ascii="仿宋" w:hAnsi="仿宋" w:eastAsia="仿宋" w:cs="仿宋"/>
          <w:color w:val="auto"/>
          <w:sz w:val="24"/>
          <w:szCs w:val="24"/>
          <w:lang w:eastAsia="zh-CN"/>
        </w:rPr>
        <w:t>；</w:t>
      </w:r>
    </w:p>
    <w:p>
      <w:pPr>
        <w:keepNext w:val="0"/>
        <w:keepLines w:val="0"/>
        <w:pageBreakBefore w:val="0"/>
        <w:numPr>
          <w:ilvl w:val="0"/>
          <w:numId w:val="0"/>
        </w:numPr>
        <w:kinsoku/>
        <w:wordWrap/>
        <w:overflowPunct/>
        <w:topLinePunct w:val="0"/>
        <w:bidi w:val="0"/>
        <w:spacing w:line="460" w:lineRule="exact"/>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3.2用于水域救援现场快速救援；</w:t>
      </w:r>
    </w:p>
    <w:p>
      <w:pPr>
        <w:keepNext w:val="0"/>
        <w:keepLines w:val="0"/>
        <w:pageBreakBefore w:val="0"/>
        <w:numPr>
          <w:ilvl w:val="0"/>
          <w:numId w:val="0"/>
        </w:numPr>
        <w:kinsoku/>
        <w:wordWrap/>
        <w:overflowPunct/>
        <w:topLinePunct w:val="0"/>
        <w:bidi w:val="0"/>
        <w:spacing w:line="460" w:lineRule="exact"/>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3.3尺寸:长×宽×高≥3.3m×1.2m×1.2m；</w:t>
      </w:r>
    </w:p>
    <w:p>
      <w:pPr>
        <w:keepNext w:val="0"/>
        <w:keepLines w:val="0"/>
        <w:pageBreakBefore w:val="0"/>
        <w:widowControl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3.4功率：≥120Kw；</w:t>
      </w:r>
    </w:p>
    <w:p>
      <w:pPr>
        <w:keepNext w:val="0"/>
        <w:keepLines w:val="0"/>
        <w:pageBreakBefore w:val="0"/>
        <w:widowControl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3.5载人数量：1-3人；</w:t>
      </w:r>
    </w:p>
    <w:p>
      <w:pPr>
        <w:keepNext w:val="0"/>
        <w:keepLines w:val="0"/>
        <w:pageBreakBefore w:val="0"/>
        <w:widowControl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3.6油箱容量：≥50L；</w:t>
      </w:r>
    </w:p>
    <w:p>
      <w:pPr>
        <w:keepNext w:val="0"/>
        <w:keepLines w:val="0"/>
        <w:pageBreakBefore w:val="0"/>
        <w:widowControl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3.7航速：≥80km/h；</w:t>
      </w:r>
    </w:p>
    <w:p>
      <w:pPr>
        <w:keepNext w:val="0"/>
        <w:keepLines w:val="0"/>
        <w:pageBreakBefore w:val="0"/>
        <w:widowControl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3.8最大载重：≥240kg；</w:t>
      </w:r>
    </w:p>
    <w:p>
      <w:pPr>
        <w:keepNext w:val="0"/>
        <w:keepLines w:val="0"/>
        <w:pageBreakBefore w:val="0"/>
        <w:widowControl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3.9其他要求：安装导航和只支持单北斗定位系统（单北斗定位系统能接入消防综合定位平台）、警灯、警报，带喊话、照明功能；根据用户要求进行涂装；</w:t>
      </w:r>
    </w:p>
    <w:p>
      <w:pPr>
        <w:keepNext w:val="0"/>
        <w:keepLines w:val="0"/>
        <w:pageBreakBefore w:val="0"/>
        <w:widowControl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3.10供货前，须主动对接使用单位，确保满足用户需求。</w:t>
      </w:r>
    </w:p>
    <w:p>
      <w:pPr>
        <w:keepNext w:val="0"/>
        <w:keepLines w:val="0"/>
        <w:pageBreakBefore w:val="0"/>
        <w:kinsoku/>
        <w:wordWrap/>
        <w:overflowPunct/>
        <w:topLinePunct w:val="0"/>
        <w:bidi w:val="0"/>
        <w:spacing w:line="460" w:lineRule="exact"/>
        <w:rPr>
          <w:rFonts w:hint="eastAsia" w:ascii="仿宋" w:hAnsi="仿宋" w:eastAsia="仿宋" w:cs="仿宋"/>
          <w:b/>
          <w:color w:val="auto"/>
          <w:kern w:val="0"/>
          <w:sz w:val="24"/>
          <w:szCs w:val="24"/>
        </w:rPr>
      </w:pPr>
    </w:p>
    <w:p>
      <w:pPr>
        <w:keepNext w:val="0"/>
        <w:keepLines w:val="0"/>
        <w:pageBreakBefore w:val="0"/>
        <w:widowControl w:val="0"/>
        <w:kinsoku/>
        <w:wordWrap/>
        <w:overflowPunct/>
        <w:topLinePunct w:val="0"/>
        <w:bidi w:val="0"/>
        <w:spacing w:line="460" w:lineRule="exact"/>
        <w:outlineLvl w:val="1"/>
        <w:rPr>
          <w:rFonts w:hint="eastAsia" w:ascii="仿宋" w:hAnsi="仿宋" w:eastAsia="仿宋" w:cs="仿宋"/>
          <w:b/>
          <w:color w:val="auto"/>
          <w:sz w:val="24"/>
          <w:szCs w:val="24"/>
          <w:lang w:val="en-US" w:eastAsia="zh-CN"/>
        </w:rPr>
      </w:pPr>
      <w:bookmarkStart w:id="509" w:name="_Toc21415"/>
      <w:bookmarkStart w:id="510" w:name="_Toc29228"/>
      <w:bookmarkStart w:id="511" w:name="_Toc1112"/>
      <w:bookmarkStart w:id="512" w:name="_Toc27343"/>
      <w:bookmarkStart w:id="513" w:name="_Toc21358"/>
      <w:r>
        <w:rPr>
          <w:rFonts w:hint="eastAsia" w:ascii="仿宋" w:hAnsi="仿宋" w:eastAsia="仿宋" w:cs="仿宋"/>
          <w:b/>
          <w:color w:val="auto"/>
          <w:sz w:val="24"/>
          <w:szCs w:val="24"/>
          <w:lang w:val="en-US" w:eastAsia="zh-CN"/>
        </w:rPr>
        <w:t>40包：定位浮标、充气救生筏【核心产品】、可漂浮救生担架（漂浮担架）</w:t>
      </w:r>
      <w:bookmarkEnd w:id="509"/>
      <w:bookmarkEnd w:id="510"/>
      <w:bookmarkEnd w:id="511"/>
      <w:bookmarkEnd w:id="512"/>
      <w:bookmarkEnd w:id="513"/>
    </w:p>
    <w:p>
      <w:pPr>
        <w:keepNext w:val="0"/>
        <w:keepLines w:val="0"/>
        <w:pageBreakBefore w:val="0"/>
        <w:kinsoku/>
        <w:wordWrap/>
        <w:overflowPunct/>
        <w:topLinePunct w:val="0"/>
        <w:bidi w:val="0"/>
        <w:spacing w:line="460" w:lineRule="exact"/>
        <w:rPr>
          <w:rFonts w:hint="eastAsia" w:ascii="仿宋" w:hAnsi="仿宋" w:eastAsia="仿宋" w:cs="仿宋"/>
          <w:b/>
          <w:color w:val="auto"/>
          <w:kern w:val="0"/>
          <w:sz w:val="24"/>
          <w:szCs w:val="24"/>
        </w:rPr>
      </w:pPr>
      <w:r>
        <w:rPr>
          <w:rFonts w:hint="eastAsia" w:ascii="仿宋" w:hAnsi="仿宋" w:eastAsia="仿宋" w:cs="仿宋"/>
          <w:b/>
          <w:color w:val="auto"/>
          <w:kern w:val="0"/>
          <w:sz w:val="24"/>
          <w:szCs w:val="24"/>
          <w:lang w:val="en-US" w:eastAsia="zh-CN"/>
        </w:rPr>
        <w:t>40包-1</w:t>
      </w:r>
      <w:r>
        <w:rPr>
          <w:rFonts w:hint="eastAsia" w:ascii="仿宋" w:hAnsi="仿宋" w:eastAsia="仿宋" w:cs="仿宋"/>
          <w:b/>
          <w:color w:val="auto"/>
          <w:kern w:val="0"/>
          <w:sz w:val="24"/>
          <w:szCs w:val="24"/>
        </w:rPr>
        <w:t>：定位浮标</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一、货物名称：定位浮标</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二、产地：国产</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三、主要技术规格、参数及要求</w:t>
      </w:r>
    </w:p>
    <w:p>
      <w:pPr>
        <w:pStyle w:val="13"/>
        <w:keepNext w:val="0"/>
        <w:keepLines w:val="0"/>
        <w:pageBreakBefore w:val="0"/>
        <w:kinsoku/>
        <w:wordWrap/>
        <w:overflowPunct/>
        <w:topLinePunct w:val="0"/>
        <w:bidi w:val="0"/>
        <w:spacing w:line="460" w:lineRule="exact"/>
        <w:rPr>
          <w:rFonts w:hint="eastAsia" w:eastAsia="仿宋"/>
          <w:color w:val="auto"/>
          <w:sz w:val="21"/>
          <w:szCs w:val="24"/>
          <w:lang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3.1</w:t>
      </w:r>
      <w:r>
        <w:rPr>
          <w:rFonts w:hint="eastAsia" w:ascii="仿宋" w:hAnsi="仿宋" w:eastAsia="仿宋" w:cs="仿宋"/>
          <w:color w:val="auto"/>
          <w:sz w:val="24"/>
          <w:szCs w:val="24"/>
        </w:rPr>
        <w:t>提供第三方检测机构出具的检测/检验/试验/测试报告（报告中的型号须与所投产品型号一致）复印件</w:t>
      </w:r>
      <w:r>
        <w:rPr>
          <w:rFonts w:hint="eastAsia" w:ascii="仿宋" w:hAnsi="仿宋" w:eastAsia="仿宋" w:cs="仿宋"/>
          <w:color w:val="auto"/>
          <w:sz w:val="24"/>
          <w:szCs w:val="24"/>
          <w:lang w:eastAsia="zh-CN"/>
        </w:rPr>
        <w:t>；</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3.2尺寸：外径*高度≤80*25cm，线长：≥40m，重量≤2kg；</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3.3具有反光和醒目功能，带频闪灯，持续照亮时间：≥7天；</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3.4底部装有≥5kg铅块；</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3.5漂浮性能：投入常温水中24h后检查不下沉；</w:t>
      </w:r>
    </w:p>
    <w:p>
      <w:pPr>
        <w:keepNext w:val="0"/>
        <w:keepLines w:val="0"/>
        <w:pageBreakBefore w:val="0"/>
        <w:widowControl w:val="0"/>
        <w:kinsoku/>
        <w:wordWrap/>
        <w:overflowPunct/>
        <w:topLinePunct w:val="0"/>
        <w:bidi w:val="0"/>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3.6供货前，须主动对接使用单位，确保满足用户需求。</w:t>
      </w:r>
    </w:p>
    <w:p>
      <w:pPr>
        <w:keepNext w:val="0"/>
        <w:keepLines w:val="0"/>
        <w:pageBreakBefore w:val="0"/>
        <w:widowControl w:val="0"/>
        <w:kinsoku/>
        <w:wordWrap/>
        <w:overflowPunct/>
        <w:topLinePunct w:val="0"/>
        <w:bidi w:val="0"/>
        <w:spacing w:line="460" w:lineRule="exact"/>
        <w:rPr>
          <w:rFonts w:hint="eastAsia" w:ascii="仿宋" w:hAnsi="仿宋" w:eastAsia="仿宋" w:cs="仿宋"/>
          <w:color w:val="auto"/>
          <w:sz w:val="24"/>
          <w:szCs w:val="24"/>
        </w:rPr>
      </w:pPr>
    </w:p>
    <w:p>
      <w:pPr>
        <w:keepNext w:val="0"/>
        <w:keepLines w:val="0"/>
        <w:pageBreakBefore w:val="0"/>
        <w:widowControl w:val="0"/>
        <w:kinsoku/>
        <w:wordWrap/>
        <w:overflowPunct/>
        <w:topLinePunct w:val="0"/>
        <w:bidi w:val="0"/>
        <w:spacing w:line="460" w:lineRule="exact"/>
        <w:rPr>
          <w:rFonts w:hint="eastAsia" w:ascii="仿宋" w:hAnsi="仿宋" w:eastAsia="仿宋" w:cs="仿宋"/>
          <w:b/>
          <w:color w:val="auto"/>
          <w:sz w:val="24"/>
          <w:szCs w:val="24"/>
          <w:lang w:val="en-US" w:eastAsia="zh-CN"/>
        </w:rPr>
      </w:pPr>
      <w:r>
        <w:rPr>
          <w:rFonts w:hint="eastAsia" w:ascii="仿宋" w:hAnsi="仿宋" w:eastAsia="仿宋" w:cs="仿宋"/>
          <w:b/>
          <w:color w:val="auto"/>
          <w:kern w:val="0"/>
          <w:sz w:val="24"/>
          <w:szCs w:val="24"/>
          <w:lang w:val="en-US" w:eastAsia="zh-CN"/>
        </w:rPr>
        <w:t>40包-2</w:t>
      </w:r>
      <w:r>
        <w:rPr>
          <w:rFonts w:hint="eastAsia" w:ascii="仿宋" w:hAnsi="仿宋" w:eastAsia="仿宋" w:cs="仿宋"/>
          <w:b/>
          <w:color w:val="auto"/>
          <w:kern w:val="0"/>
          <w:sz w:val="24"/>
          <w:szCs w:val="24"/>
        </w:rPr>
        <w:t>：</w:t>
      </w:r>
      <w:r>
        <w:rPr>
          <w:rFonts w:hint="eastAsia" w:ascii="仿宋" w:hAnsi="仿宋" w:eastAsia="仿宋" w:cs="仿宋"/>
          <w:b/>
          <w:color w:val="auto"/>
          <w:sz w:val="24"/>
          <w:szCs w:val="24"/>
          <w:lang w:val="en-US" w:eastAsia="zh-CN"/>
        </w:rPr>
        <w:t>充气救生筏</w:t>
      </w:r>
    </w:p>
    <w:p>
      <w:pPr>
        <w:keepNext w:val="0"/>
        <w:keepLines w:val="0"/>
        <w:pageBreakBefore w:val="0"/>
        <w:widowControl w:val="0"/>
        <w:kinsoku/>
        <w:wordWrap/>
        <w:overflowPunct/>
        <w:topLinePunct w:val="0"/>
        <w:bidi w:val="0"/>
        <w:adjustRightInd w:val="0"/>
        <w:snapToGrid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一、货物名称：充气救生筏</w:t>
      </w:r>
    </w:p>
    <w:p>
      <w:pPr>
        <w:keepNext w:val="0"/>
        <w:keepLines w:val="0"/>
        <w:pageBreakBefore w:val="0"/>
        <w:widowControl w:val="0"/>
        <w:kinsoku/>
        <w:wordWrap/>
        <w:overflowPunct/>
        <w:topLinePunct w:val="0"/>
        <w:bidi w:val="0"/>
        <w:adjustRightInd w:val="0"/>
        <w:snapToGrid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二、产地：国产</w:t>
      </w:r>
    </w:p>
    <w:p>
      <w:pPr>
        <w:keepNext w:val="0"/>
        <w:keepLines w:val="0"/>
        <w:pageBreakBefore w:val="0"/>
        <w:widowControl w:val="0"/>
        <w:kinsoku/>
        <w:wordWrap/>
        <w:overflowPunct/>
        <w:topLinePunct w:val="0"/>
        <w:bidi w:val="0"/>
        <w:adjustRightInd w:val="0"/>
        <w:snapToGrid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三、主要技术规格、参数及要求：</w:t>
      </w:r>
    </w:p>
    <w:p>
      <w:pPr>
        <w:pStyle w:val="13"/>
        <w:keepNext w:val="0"/>
        <w:keepLines w:val="0"/>
        <w:pageBreakBefore w:val="0"/>
        <w:widowControl w:val="0"/>
        <w:kinsoku/>
        <w:wordWrap/>
        <w:overflowPunct/>
        <w:topLinePunct w:val="0"/>
        <w:bidi w:val="0"/>
        <w:adjustRightInd w:val="0"/>
        <w:snapToGrid w:val="0"/>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3.1产品符合《CB3593-1994气胀救生筏技术条件》标准的要求，</w:t>
      </w:r>
      <w:r>
        <w:rPr>
          <w:rFonts w:hint="eastAsia" w:ascii="仿宋" w:hAnsi="仿宋" w:eastAsia="仿宋" w:cs="仿宋"/>
          <w:color w:val="auto"/>
          <w:sz w:val="24"/>
          <w:szCs w:val="24"/>
        </w:rPr>
        <w:t>提供第三方检测机构出具的检测/检验/试验/测试报告（报告中的型号须与所投产品型号一致）复印件</w:t>
      </w:r>
      <w:r>
        <w:rPr>
          <w:rFonts w:hint="eastAsia" w:ascii="仿宋" w:hAnsi="仿宋" w:eastAsia="仿宋" w:cs="仿宋"/>
          <w:color w:val="auto"/>
          <w:sz w:val="24"/>
          <w:szCs w:val="24"/>
          <w:lang w:eastAsia="zh-CN"/>
        </w:rPr>
        <w:t>；</w:t>
      </w:r>
    </w:p>
    <w:p>
      <w:pPr>
        <w:keepNext w:val="0"/>
        <w:keepLines w:val="0"/>
        <w:pageBreakBefore w:val="0"/>
        <w:widowControl w:val="0"/>
        <w:kinsoku/>
        <w:wordWrap/>
        <w:overflowPunct/>
        <w:topLinePunct w:val="0"/>
        <w:bidi w:val="0"/>
        <w:adjustRightInd w:val="0"/>
        <w:snapToGrid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3.2整体为充气结构，可折叠；双面镂空，可越过被救人员头部进行施救；</w:t>
      </w:r>
    </w:p>
    <w:p>
      <w:pPr>
        <w:keepNext w:val="0"/>
        <w:keepLines w:val="0"/>
        <w:pageBreakBefore w:val="0"/>
        <w:widowControl w:val="0"/>
        <w:kinsoku/>
        <w:wordWrap/>
        <w:overflowPunct/>
        <w:topLinePunct w:val="0"/>
        <w:bidi w:val="0"/>
        <w:adjustRightInd w:val="0"/>
        <w:snapToGrid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3.3船体材料采用PVC或TP或海帕龙材质或优于此材质制成，撕破强力≥75N；</w:t>
      </w:r>
    </w:p>
    <w:p>
      <w:pPr>
        <w:keepNext w:val="0"/>
        <w:keepLines w:val="0"/>
        <w:pageBreakBefore w:val="0"/>
        <w:widowControl w:val="0"/>
        <w:kinsoku/>
        <w:wordWrap/>
        <w:overflowPunct/>
        <w:topLinePunct w:val="0"/>
        <w:bidi w:val="0"/>
        <w:adjustRightInd w:val="0"/>
        <w:snapToGrid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3.4配有船用冰刀，装配后可破薄冰，并可在冰面上急速拖行；</w:t>
      </w:r>
    </w:p>
    <w:p>
      <w:pPr>
        <w:keepNext w:val="0"/>
        <w:keepLines w:val="0"/>
        <w:pageBreakBefore w:val="0"/>
        <w:widowControl w:val="0"/>
        <w:kinsoku/>
        <w:wordWrap/>
        <w:overflowPunct/>
        <w:topLinePunct w:val="0"/>
        <w:bidi w:val="0"/>
        <w:adjustRightInd w:val="0"/>
        <w:snapToGrid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3.5船身充气阀≥5个，具备自动泄压功能；</w:t>
      </w:r>
    </w:p>
    <w:p>
      <w:pPr>
        <w:keepNext w:val="0"/>
        <w:keepLines w:val="0"/>
        <w:pageBreakBefore w:val="0"/>
        <w:widowControl w:val="0"/>
        <w:kinsoku/>
        <w:wordWrap/>
        <w:overflowPunct/>
        <w:topLinePunct w:val="0"/>
        <w:bidi w:val="0"/>
        <w:adjustRightInd w:val="0"/>
        <w:snapToGrid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3.6船体表面把手数量≥8个，设置拉环等形式的挂点；底板为充气拉丝底板或预制铰链式底板，底板设有多个脚踏发力点；</w:t>
      </w:r>
    </w:p>
    <w:p>
      <w:pPr>
        <w:keepNext w:val="0"/>
        <w:keepLines w:val="0"/>
        <w:pageBreakBefore w:val="0"/>
        <w:widowControl w:val="0"/>
        <w:kinsoku/>
        <w:wordWrap/>
        <w:overflowPunct/>
        <w:topLinePunct w:val="0"/>
        <w:bidi w:val="0"/>
        <w:adjustRightInd w:val="0"/>
        <w:snapToGrid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3.7气室数量≥5个，最大气室破裂后能满足最大载荷要求；</w:t>
      </w:r>
    </w:p>
    <w:p>
      <w:pPr>
        <w:keepNext w:val="0"/>
        <w:keepLines w:val="0"/>
        <w:pageBreakBefore w:val="0"/>
        <w:widowControl w:val="0"/>
        <w:kinsoku/>
        <w:wordWrap/>
        <w:overflowPunct/>
        <w:topLinePunct w:val="0"/>
        <w:bidi w:val="0"/>
        <w:adjustRightInd w:val="0"/>
        <w:snapToGrid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3.8整体尺寸：长≥6m，宽≥1.5m，高≥0.8m；</w:t>
      </w:r>
    </w:p>
    <w:p>
      <w:pPr>
        <w:keepNext w:val="0"/>
        <w:keepLines w:val="0"/>
        <w:pageBreakBefore w:val="0"/>
        <w:widowControl w:val="0"/>
        <w:kinsoku/>
        <w:wordWrap/>
        <w:overflowPunct/>
        <w:topLinePunct w:val="0"/>
        <w:bidi w:val="0"/>
        <w:adjustRightInd w:val="0"/>
        <w:snapToGrid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3.9船底尺寸：长≥4m，宽≥0.8m，厚≥0.2m；</w:t>
      </w:r>
    </w:p>
    <w:p>
      <w:pPr>
        <w:keepNext w:val="0"/>
        <w:keepLines w:val="0"/>
        <w:pageBreakBefore w:val="0"/>
        <w:widowControl w:val="0"/>
        <w:kinsoku/>
        <w:wordWrap/>
        <w:overflowPunct/>
        <w:topLinePunct w:val="0"/>
        <w:bidi w:val="0"/>
        <w:adjustRightInd w:val="0"/>
        <w:snapToGrid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3.10主体颜色：红色；</w:t>
      </w:r>
    </w:p>
    <w:p>
      <w:pPr>
        <w:keepNext w:val="0"/>
        <w:keepLines w:val="0"/>
        <w:pageBreakBefore w:val="0"/>
        <w:widowControl w:val="0"/>
        <w:kinsoku/>
        <w:wordWrap/>
        <w:overflowPunct/>
        <w:topLinePunct w:val="0"/>
        <w:bidi w:val="0"/>
        <w:adjustRightInd w:val="0"/>
        <w:snapToGrid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3.11主浮筒直径：≥300mm；</w:t>
      </w:r>
    </w:p>
    <w:p>
      <w:pPr>
        <w:keepNext w:val="0"/>
        <w:keepLines w:val="0"/>
        <w:pageBreakBefore w:val="0"/>
        <w:widowControl w:val="0"/>
        <w:kinsoku/>
        <w:wordWrap/>
        <w:overflowPunct/>
        <w:topLinePunct w:val="0"/>
        <w:bidi w:val="0"/>
        <w:adjustRightInd w:val="0"/>
        <w:snapToGrid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3.12浮力:≥16000N；</w:t>
      </w:r>
    </w:p>
    <w:p>
      <w:pPr>
        <w:keepNext w:val="0"/>
        <w:keepLines w:val="0"/>
        <w:pageBreakBefore w:val="0"/>
        <w:widowControl w:val="0"/>
        <w:kinsoku/>
        <w:wordWrap/>
        <w:overflowPunct/>
        <w:topLinePunct w:val="0"/>
        <w:bidi w:val="0"/>
        <w:adjustRightInd w:val="0"/>
        <w:snapToGrid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3.13额定载重：≥8人；</w:t>
      </w:r>
    </w:p>
    <w:p>
      <w:pPr>
        <w:keepNext w:val="0"/>
        <w:keepLines w:val="0"/>
        <w:pageBreakBefore w:val="0"/>
        <w:widowControl w:val="0"/>
        <w:kinsoku/>
        <w:wordWrap/>
        <w:overflowPunct/>
        <w:topLinePunct w:val="0"/>
        <w:bidi w:val="0"/>
        <w:adjustRightInd w:val="0"/>
        <w:snapToGrid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3.14工作压力：安全适用范围0.25-0.5bar；</w:t>
      </w:r>
    </w:p>
    <w:p>
      <w:pPr>
        <w:keepNext w:val="0"/>
        <w:keepLines w:val="0"/>
        <w:pageBreakBefore w:val="0"/>
        <w:widowControl w:val="0"/>
        <w:kinsoku/>
        <w:wordWrap/>
        <w:overflowPunct/>
        <w:topLinePunct w:val="0"/>
        <w:bidi w:val="0"/>
        <w:adjustRightInd w:val="0"/>
        <w:snapToGrid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3.15重量：≤65kg；</w:t>
      </w:r>
    </w:p>
    <w:p>
      <w:pPr>
        <w:keepNext w:val="0"/>
        <w:keepLines w:val="0"/>
        <w:pageBreakBefore w:val="0"/>
        <w:widowControl w:val="0"/>
        <w:kinsoku/>
        <w:wordWrap/>
        <w:overflowPunct/>
        <w:topLinePunct w:val="0"/>
        <w:bidi w:val="0"/>
        <w:adjustRightInd w:val="0"/>
        <w:snapToGrid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3.16充气时间：≤2min；</w:t>
      </w:r>
    </w:p>
    <w:p>
      <w:pPr>
        <w:keepNext w:val="0"/>
        <w:keepLines w:val="0"/>
        <w:pageBreakBefore w:val="0"/>
        <w:widowControl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3.17配置：2只船桨，1根安全绳，1根锚绳，1个电动充气泵、1个脚踏打气筒，1个便携包，1个修理桶等。</w:t>
      </w:r>
    </w:p>
    <w:p>
      <w:pPr>
        <w:keepNext w:val="0"/>
        <w:keepLines w:val="0"/>
        <w:pageBreakBefore w:val="0"/>
        <w:widowControl w:val="0"/>
        <w:numPr>
          <w:ilvl w:val="0"/>
          <w:numId w:val="0"/>
        </w:numPr>
        <w:kinsoku/>
        <w:wordWrap/>
        <w:overflowPunct/>
        <w:topLinePunct w:val="0"/>
        <w:bidi w:val="0"/>
        <w:spacing w:line="460" w:lineRule="exact"/>
        <w:rPr>
          <w:rFonts w:hint="eastAsia" w:ascii="仿宋" w:hAnsi="仿宋" w:eastAsia="仿宋" w:cs="仿宋"/>
          <w:b/>
          <w:color w:val="auto"/>
          <w:kern w:val="0"/>
          <w:sz w:val="24"/>
          <w:szCs w:val="24"/>
          <w:lang w:val="en-US" w:eastAsia="zh-CN"/>
        </w:rPr>
      </w:pPr>
    </w:p>
    <w:p>
      <w:pPr>
        <w:keepNext w:val="0"/>
        <w:keepLines w:val="0"/>
        <w:pageBreakBefore w:val="0"/>
        <w:widowControl w:val="0"/>
        <w:numPr>
          <w:ilvl w:val="0"/>
          <w:numId w:val="0"/>
        </w:numPr>
        <w:kinsoku/>
        <w:wordWrap/>
        <w:overflowPunct/>
        <w:topLinePunct w:val="0"/>
        <w:bidi w:val="0"/>
        <w:spacing w:line="460" w:lineRule="exact"/>
        <w:rPr>
          <w:rFonts w:hint="eastAsia" w:ascii="仿宋" w:hAnsi="仿宋" w:eastAsia="仿宋" w:cs="仿宋"/>
          <w:b/>
          <w:color w:val="auto"/>
          <w:kern w:val="0"/>
          <w:sz w:val="24"/>
          <w:szCs w:val="24"/>
          <w:lang w:val="en-US" w:eastAsia="zh-CN"/>
        </w:rPr>
      </w:pPr>
      <w:r>
        <w:rPr>
          <w:rFonts w:hint="eastAsia" w:ascii="仿宋" w:hAnsi="仿宋" w:eastAsia="仿宋" w:cs="仿宋"/>
          <w:b/>
          <w:color w:val="auto"/>
          <w:kern w:val="0"/>
          <w:sz w:val="24"/>
          <w:szCs w:val="24"/>
          <w:lang w:val="en-US" w:eastAsia="zh-CN"/>
        </w:rPr>
        <w:t>40包-3</w:t>
      </w:r>
      <w:r>
        <w:rPr>
          <w:rFonts w:hint="eastAsia" w:ascii="仿宋" w:hAnsi="仿宋" w:eastAsia="仿宋" w:cs="仿宋"/>
          <w:b/>
          <w:color w:val="auto"/>
          <w:kern w:val="0"/>
          <w:sz w:val="24"/>
          <w:szCs w:val="24"/>
        </w:rPr>
        <w:t>：可漂浮救生担架</w:t>
      </w:r>
      <w:r>
        <w:rPr>
          <w:rFonts w:hint="eastAsia" w:ascii="仿宋" w:hAnsi="仿宋" w:eastAsia="仿宋" w:cs="仿宋"/>
          <w:b/>
          <w:color w:val="auto"/>
          <w:kern w:val="0"/>
          <w:sz w:val="24"/>
          <w:szCs w:val="24"/>
          <w:lang w:val="en-US" w:eastAsia="zh-CN"/>
        </w:rPr>
        <w:t>（漂浮担架）</w:t>
      </w:r>
    </w:p>
    <w:p>
      <w:pPr>
        <w:keepNext w:val="0"/>
        <w:keepLines w:val="0"/>
        <w:pageBreakBefore w:val="0"/>
        <w:widowControl w:val="0"/>
        <w:numPr>
          <w:ilvl w:val="0"/>
          <w:numId w:val="0"/>
        </w:numPr>
        <w:kinsoku/>
        <w:wordWrap/>
        <w:overflowPunct/>
        <w:topLinePunct w:val="0"/>
        <w:bidi w:val="0"/>
        <w:spacing w:line="460" w:lineRule="exac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bidi="ar-SA"/>
        </w:rPr>
        <w:t>一、</w:t>
      </w:r>
      <w:r>
        <w:rPr>
          <w:rFonts w:hint="eastAsia" w:ascii="仿宋" w:hAnsi="仿宋" w:eastAsia="仿宋" w:cs="仿宋"/>
          <w:color w:val="auto"/>
          <w:kern w:val="0"/>
          <w:sz w:val="24"/>
          <w:szCs w:val="24"/>
          <w:lang w:val="en-US" w:eastAsia="zh-CN"/>
        </w:rPr>
        <w:t>货物名称：可漂浮救生担架（漂浮担架）</w:t>
      </w:r>
    </w:p>
    <w:p>
      <w:pPr>
        <w:keepNext w:val="0"/>
        <w:keepLines w:val="0"/>
        <w:pageBreakBefore w:val="0"/>
        <w:widowControl w:val="0"/>
        <w:numPr>
          <w:ilvl w:val="0"/>
          <w:numId w:val="0"/>
        </w:numPr>
        <w:kinsoku/>
        <w:wordWrap/>
        <w:overflowPunct/>
        <w:topLinePunct w:val="0"/>
        <w:bidi w:val="0"/>
        <w:spacing w:line="460" w:lineRule="exac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二、产地：国产</w:t>
      </w:r>
    </w:p>
    <w:p>
      <w:pPr>
        <w:keepNext w:val="0"/>
        <w:keepLines w:val="0"/>
        <w:pageBreakBefore w:val="0"/>
        <w:widowControl w:val="0"/>
        <w:numPr>
          <w:ilvl w:val="0"/>
          <w:numId w:val="0"/>
        </w:numPr>
        <w:kinsoku/>
        <w:wordWrap/>
        <w:overflowPunct/>
        <w:topLinePunct w:val="0"/>
        <w:bidi w:val="0"/>
        <w:spacing w:line="460" w:lineRule="exac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三、主要技术规格、参数及要求：</w:t>
      </w:r>
    </w:p>
    <w:p>
      <w:pPr>
        <w:pStyle w:val="13"/>
        <w:keepNext w:val="0"/>
        <w:keepLines w:val="0"/>
        <w:pageBreakBefore w:val="0"/>
        <w:kinsoku/>
        <w:wordWrap/>
        <w:overflowPunct/>
        <w:topLinePunct w:val="0"/>
        <w:bidi w:val="0"/>
        <w:spacing w:line="460" w:lineRule="exact"/>
        <w:rPr>
          <w:rFonts w:hint="eastAsia" w:eastAsia="仿宋"/>
          <w:color w:val="auto"/>
          <w:sz w:val="21"/>
          <w:szCs w:val="24"/>
          <w:lang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3.1</w:t>
      </w:r>
      <w:r>
        <w:rPr>
          <w:rFonts w:hint="eastAsia" w:ascii="仿宋" w:hAnsi="仿宋" w:eastAsia="仿宋" w:cs="仿宋"/>
          <w:color w:val="auto"/>
          <w:sz w:val="24"/>
          <w:szCs w:val="24"/>
        </w:rPr>
        <w:t>提供第三方检测机构出具的检测/检验/试验/测试报告（报告中的型号须与所投产品型号一致）复印件</w:t>
      </w:r>
      <w:r>
        <w:rPr>
          <w:rFonts w:hint="eastAsia" w:ascii="仿宋" w:hAnsi="仿宋" w:eastAsia="仿宋" w:cs="仿宋"/>
          <w:color w:val="auto"/>
          <w:sz w:val="24"/>
          <w:szCs w:val="24"/>
          <w:lang w:eastAsia="zh-CN"/>
        </w:rPr>
        <w:t>；</w:t>
      </w:r>
    </w:p>
    <w:p>
      <w:pPr>
        <w:keepNext w:val="0"/>
        <w:keepLines w:val="0"/>
        <w:pageBreakBefore w:val="0"/>
        <w:widowControl w:val="0"/>
        <w:kinsoku/>
        <w:wordWrap/>
        <w:overflowPunct/>
        <w:topLinePunct w:val="0"/>
        <w:bidi w:val="0"/>
        <w:spacing w:line="460" w:lineRule="exac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3.2主要功能：能使救援人员在冰面、水面、沼泽地面或其它不稳定的地面上快速有效地进行搜索、救援等工作；</w:t>
      </w:r>
    </w:p>
    <w:p>
      <w:pPr>
        <w:keepNext w:val="0"/>
        <w:keepLines w:val="0"/>
        <w:pageBreakBefore w:val="0"/>
        <w:widowControl w:val="0"/>
        <w:kinsoku/>
        <w:wordWrap/>
        <w:overflowPunct/>
        <w:topLinePunct w:val="0"/>
        <w:bidi w:val="0"/>
        <w:spacing w:line="460" w:lineRule="exac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3.3展开尺寸≥185×45×5cm、承重≥100KG、净重≤8KG、每付担架配有安全带，配备脚踏泵和电动充气泵进行充气；</w:t>
      </w:r>
    </w:p>
    <w:p>
      <w:pPr>
        <w:keepNext w:val="0"/>
        <w:keepLines w:val="0"/>
        <w:pageBreakBefore w:val="0"/>
        <w:widowControl w:val="0"/>
        <w:kinsoku/>
        <w:wordWrap/>
        <w:overflowPunct/>
        <w:topLinePunct w:val="0"/>
        <w:bidi w:val="0"/>
        <w:spacing w:line="460" w:lineRule="exac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3.4充气阀≥1个，带有自动泄压功能，充气时间≤2min</w:t>
      </w:r>
      <w:r>
        <w:rPr>
          <w:rFonts w:hint="eastAsia" w:ascii="仿宋" w:hAnsi="仿宋" w:eastAsia="仿宋" w:cs="仿宋"/>
          <w:color w:val="auto"/>
          <w:sz w:val="24"/>
          <w:szCs w:val="24"/>
          <w:lang w:val="en-US" w:eastAsia="zh-CN"/>
        </w:rPr>
        <w:t>；</w:t>
      </w:r>
    </w:p>
    <w:p>
      <w:pPr>
        <w:keepNext w:val="0"/>
        <w:keepLines w:val="0"/>
        <w:pageBreakBefore w:val="0"/>
        <w:widowControl w:val="0"/>
        <w:kinsoku/>
        <w:wordWrap/>
        <w:overflowPunct/>
        <w:topLinePunct w:val="0"/>
        <w:bidi w:val="0"/>
        <w:spacing w:line="460" w:lineRule="exac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3.5用于水域急救受伤者，可以固定伤者的头部和肢体，由脊髓板头部固定器绑带组成，配有充气装置；</w:t>
      </w:r>
    </w:p>
    <w:p>
      <w:pPr>
        <w:keepNext w:val="0"/>
        <w:keepLines w:val="0"/>
        <w:pageBreakBefore w:val="0"/>
        <w:widowControl w:val="0"/>
        <w:kinsoku/>
        <w:wordWrap/>
        <w:overflowPunct/>
        <w:topLinePunct w:val="0"/>
        <w:bidi w:val="0"/>
        <w:spacing w:line="460" w:lineRule="exac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3.6周边均匀开提手口，可供多人同时提、扛、抬；便于在转运过程中，继续进行CPR和心脏按压抢救；</w:t>
      </w:r>
    </w:p>
    <w:p>
      <w:pPr>
        <w:keepNext w:val="0"/>
        <w:keepLines w:val="0"/>
        <w:pageBreakBefore w:val="0"/>
        <w:widowControl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w:t>
      </w:r>
      <w:r>
        <w:rPr>
          <w:rFonts w:hint="eastAsia" w:ascii="仿宋" w:hAnsi="仿宋" w:eastAsia="仿宋" w:cs="仿宋"/>
          <w:color w:val="auto"/>
          <w:kern w:val="0"/>
          <w:sz w:val="24"/>
          <w:szCs w:val="24"/>
          <w:lang w:val="en-US" w:eastAsia="zh-CN"/>
        </w:rPr>
        <w:t>3.7</w:t>
      </w:r>
      <w:r>
        <w:rPr>
          <w:rFonts w:hint="eastAsia" w:ascii="仿宋" w:hAnsi="仿宋" w:eastAsia="仿宋" w:cs="仿宋"/>
          <w:color w:val="auto"/>
          <w:sz w:val="24"/>
          <w:szCs w:val="24"/>
          <w:lang w:val="en-US" w:eastAsia="zh-CN"/>
        </w:rPr>
        <w:t>充气后浮力：≥1600N；</w:t>
      </w:r>
    </w:p>
    <w:p>
      <w:pPr>
        <w:keepNext w:val="0"/>
        <w:keepLines w:val="0"/>
        <w:pageBreakBefore w:val="0"/>
        <w:widowControl w:val="0"/>
        <w:kinsoku/>
        <w:wordWrap/>
        <w:overflowPunct/>
        <w:topLinePunct w:val="0"/>
        <w:bidi w:val="0"/>
        <w:spacing w:line="460" w:lineRule="exac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3.8使用工作环境：</w:t>
      </w:r>
      <w:r>
        <w:rPr>
          <w:rFonts w:hint="eastAsia" w:ascii="仿宋" w:hAnsi="仿宋" w:eastAsia="仿宋" w:cs="仿宋"/>
          <w:color w:val="auto"/>
          <w:sz w:val="24"/>
          <w:szCs w:val="24"/>
          <w:lang w:val="en-US" w:eastAsia="zh-CN"/>
        </w:rPr>
        <w:t>≥</w:t>
      </w:r>
      <w:r>
        <w:rPr>
          <w:rFonts w:hint="eastAsia" w:ascii="仿宋" w:hAnsi="仿宋" w:eastAsia="仿宋" w:cs="仿宋"/>
          <w:color w:val="auto"/>
          <w:kern w:val="0"/>
          <w:sz w:val="24"/>
          <w:szCs w:val="24"/>
          <w:lang w:val="en-US" w:eastAsia="zh-CN"/>
        </w:rPr>
        <w:t>-30℃～+50℃；</w:t>
      </w:r>
    </w:p>
    <w:p>
      <w:pPr>
        <w:keepNext w:val="0"/>
        <w:keepLines w:val="0"/>
        <w:pageBreakBefore w:val="0"/>
        <w:widowControl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w:t>
      </w:r>
      <w:r>
        <w:rPr>
          <w:rFonts w:hint="eastAsia" w:ascii="仿宋" w:hAnsi="仿宋" w:eastAsia="仿宋" w:cs="仿宋"/>
          <w:color w:val="auto"/>
          <w:kern w:val="0"/>
          <w:sz w:val="24"/>
          <w:szCs w:val="24"/>
          <w:lang w:val="en-US" w:eastAsia="zh-CN"/>
        </w:rPr>
        <w:t>3.9</w:t>
      </w:r>
      <w:r>
        <w:rPr>
          <w:rFonts w:hint="eastAsia" w:ascii="仿宋" w:hAnsi="仿宋" w:eastAsia="仿宋" w:cs="仿宋"/>
          <w:b w:val="0"/>
          <w:bCs/>
          <w:color w:val="auto"/>
          <w:sz w:val="24"/>
          <w:szCs w:val="24"/>
          <w:lang w:val="en-US" w:eastAsia="zh-CN"/>
        </w:rPr>
        <w:t>织带抗拉强力≥5000N，</w:t>
      </w:r>
      <w:r>
        <w:rPr>
          <w:rFonts w:hint="eastAsia" w:ascii="仿宋" w:hAnsi="仿宋" w:eastAsia="仿宋" w:cs="仿宋"/>
          <w:color w:val="auto"/>
          <w:sz w:val="24"/>
          <w:szCs w:val="24"/>
          <w:lang w:val="en-US" w:eastAsia="zh-CN"/>
        </w:rPr>
        <w:t>提手抗拉强力≥3000N，气囊工作气压：≥15KPa；</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rPr>
        <w:t>3.10提供中文使用说明书，含装备简介、使用注意事项及维护保养等内容。</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rPr>
      </w:pPr>
    </w:p>
    <w:p>
      <w:pPr>
        <w:keepNext w:val="0"/>
        <w:keepLines w:val="0"/>
        <w:pageBreakBefore w:val="0"/>
        <w:widowControl w:val="0"/>
        <w:kinsoku/>
        <w:wordWrap/>
        <w:overflowPunct/>
        <w:topLinePunct w:val="0"/>
        <w:bidi w:val="0"/>
        <w:spacing w:line="460" w:lineRule="exact"/>
        <w:outlineLvl w:val="1"/>
        <w:rPr>
          <w:rFonts w:hint="eastAsia" w:ascii="仿宋" w:hAnsi="仿宋" w:eastAsia="仿宋" w:cs="仿宋"/>
          <w:b/>
          <w:color w:val="auto"/>
          <w:sz w:val="24"/>
          <w:szCs w:val="24"/>
          <w:lang w:val="en-US" w:eastAsia="zh-CN"/>
        </w:rPr>
      </w:pPr>
      <w:bookmarkStart w:id="514" w:name="_Toc14515"/>
      <w:bookmarkStart w:id="515" w:name="_Toc2987"/>
      <w:bookmarkStart w:id="516" w:name="_Toc28198"/>
      <w:bookmarkStart w:id="517" w:name="_Toc26180"/>
      <w:bookmarkStart w:id="518" w:name="_Toc2293"/>
      <w:r>
        <w:rPr>
          <w:rFonts w:hint="eastAsia" w:ascii="仿宋" w:hAnsi="仿宋" w:eastAsia="仿宋" w:cs="仿宋"/>
          <w:b/>
          <w:color w:val="auto"/>
          <w:sz w:val="24"/>
          <w:szCs w:val="24"/>
          <w:lang w:val="en-US" w:eastAsia="zh-CN"/>
        </w:rPr>
        <w:t>46包：高压气瓶、正压式空气呼吸器碳纤维气瓶【核心产品】</w:t>
      </w:r>
      <w:bookmarkEnd w:id="514"/>
      <w:bookmarkEnd w:id="515"/>
      <w:bookmarkEnd w:id="516"/>
      <w:bookmarkEnd w:id="517"/>
      <w:bookmarkEnd w:id="518"/>
    </w:p>
    <w:p>
      <w:pPr>
        <w:keepNext w:val="0"/>
        <w:keepLines w:val="0"/>
        <w:pageBreakBefore w:val="0"/>
        <w:widowControl w:val="0"/>
        <w:kinsoku/>
        <w:wordWrap/>
        <w:overflowPunct/>
        <w:topLinePunct w:val="0"/>
        <w:bidi w:val="0"/>
        <w:spacing w:line="460" w:lineRule="exact"/>
        <w:rPr>
          <w:rFonts w:hint="eastAsia" w:ascii="仿宋" w:hAnsi="仿宋" w:eastAsia="仿宋" w:cs="仿宋"/>
          <w:b/>
          <w:color w:val="auto"/>
          <w:sz w:val="24"/>
          <w:szCs w:val="24"/>
          <w:lang w:val="en-US" w:eastAsia="zh-CN"/>
        </w:rPr>
      </w:pPr>
      <w:r>
        <w:rPr>
          <w:rFonts w:hint="eastAsia" w:ascii="仿宋" w:hAnsi="仿宋" w:eastAsia="仿宋" w:cs="仿宋"/>
          <w:b/>
          <w:color w:val="auto"/>
          <w:kern w:val="0"/>
          <w:sz w:val="24"/>
          <w:szCs w:val="24"/>
          <w:lang w:val="en-US" w:eastAsia="zh-CN"/>
        </w:rPr>
        <w:t>46包-1</w:t>
      </w:r>
      <w:r>
        <w:rPr>
          <w:rFonts w:hint="eastAsia" w:ascii="仿宋" w:hAnsi="仿宋" w:eastAsia="仿宋" w:cs="仿宋"/>
          <w:b/>
          <w:color w:val="auto"/>
          <w:kern w:val="0"/>
          <w:sz w:val="24"/>
          <w:szCs w:val="24"/>
        </w:rPr>
        <w:t>：</w:t>
      </w:r>
      <w:r>
        <w:rPr>
          <w:rFonts w:hint="eastAsia" w:ascii="仿宋" w:hAnsi="仿宋" w:eastAsia="仿宋" w:cs="仿宋"/>
          <w:b/>
          <w:color w:val="auto"/>
          <w:sz w:val="24"/>
          <w:szCs w:val="24"/>
          <w:lang w:val="en-US" w:eastAsia="zh-CN"/>
        </w:rPr>
        <w:t>高压气瓶</w:t>
      </w:r>
    </w:p>
    <w:p>
      <w:pPr>
        <w:keepNext w:val="0"/>
        <w:keepLines w:val="0"/>
        <w:pageBreakBefore w:val="0"/>
        <w:widowControl w:val="0"/>
        <w:kinsoku/>
        <w:wordWrap/>
        <w:overflowPunct/>
        <w:topLinePunct w:val="0"/>
        <w:bidi w:val="0"/>
        <w:adjustRightInd w:val="0"/>
        <w:snapToGrid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一、货物名称：高压气瓶</w:t>
      </w:r>
    </w:p>
    <w:p>
      <w:pPr>
        <w:keepNext w:val="0"/>
        <w:keepLines w:val="0"/>
        <w:pageBreakBefore w:val="0"/>
        <w:widowControl w:val="0"/>
        <w:kinsoku/>
        <w:wordWrap/>
        <w:overflowPunct/>
        <w:topLinePunct w:val="0"/>
        <w:bidi w:val="0"/>
        <w:adjustRightInd w:val="0"/>
        <w:snapToGrid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二、产地：国产</w:t>
      </w:r>
    </w:p>
    <w:p>
      <w:pPr>
        <w:keepNext w:val="0"/>
        <w:keepLines w:val="0"/>
        <w:pageBreakBefore w:val="0"/>
        <w:widowControl w:val="0"/>
        <w:kinsoku/>
        <w:wordWrap/>
        <w:overflowPunct/>
        <w:topLinePunct w:val="0"/>
        <w:bidi w:val="0"/>
        <w:adjustRightInd w:val="0"/>
        <w:snapToGrid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三、主要技术规格、参数及要求：</w:t>
      </w:r>
    </w:p>
    <w:p>
      <w:pPr>
        <w:pStyle w:val="13"/>
        <w:keepNext w:val="0"/>
        <w:keepLines w:val="0"/>
        <w:pageBreakBefore w:val="0"/>
        <w:widowControl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3.1</w:t>
      </w:r>
      <w:r>
        <w:rPr>
          <w:rFonts w:hint="eastAsia" w:ascii="仿宋" w:hAnsi="仿宋" w:eastAsia="仿宋" w:cs="仿宋"/>
          <w:color w:val="auto"/>
          <w:sz w:val="24"/>
          <w:szCs w:val="24"/>
          <w:lang w:eastAsia="zh-CN" w:bidi="ar-SA"/>
        </w:rPr>
        <w:t>符合《气瓶型式试验规则》要求，依据GB/T5099.1-2017《钢制无缝气瓶 第1部分：淬火后回火处理的抗拉强度小于1100MPa的钢瓶》，</w:t>
      </w:r>
      <w:r>
        <w:rPr>
          <w:rFonts w:hint="eastAsia" w:ascii="仿宋" w:hAnsi="仿宋" w:eastAsia="仿宋" w:cs="仿宋"/>
          <w:color w:val="auto"/>
          <w:sz w:val="24"/>
          <w:szCs w:val="24"/>
        </w:rPr>
        <w:t>提供第三方检测机构出具的检测/检验/试验/测试报告（报告中的型号须与所投产品型号一致）复印件</w:t>
      </w:r>
      <w:r>
        <w:rPr>
          <w:rFonts w:hint="eastAsia" w:ascii="仿宋" w:hAnsi="仿宋" w:eastAsia="仿宋" w:cs="仿宋"/>
          <w:color w:val="auto"/>
          <w:sz w:val="24"/>
          <w:szCs w:val="24"/>
          <w:lang w:eastAsia="zh-CN"/>
        </w:rPr>
        <w:t>；</w:t>
      </w:r>
    </w:p>
    <w:p>
      <w:pPr>
        <w:keepNext w:val="0"/>
        <w:keepLines w:val="0"/>
        <w:pageBreakBefore w:val="0"/>
        <w:widowControl w:val="0"/>
        <w:kinsoku/>
        <w:wordWrap/>
        <w:overflowPunct/>
        <w:topLinePunct w:val="0"/>
        <w:bidi w:val="0"/>
        <w:adjustRightInd w:val="0"/>
        <w:snapToGrid w:val="0"/>
        <w:spacing w:line="460" w:lineRule="exact"/>
        <w:rPr>
          <w:rFonts w:hint="eastAsia" w:ascii="仿宋" w:hAnsi="仿宋" w:eastAsia="仿宋" w:cs="仿宋"/>
          <w:b/>
          <w:color w:val="auto"/>
          <w:kern w:val="0"/>
          <w:sz w:val="24"/>
          <w:szCs w:val="24"/>
          <w:lang w:val="en-US" w:eastAsia="zh-CN"/>
        </w:rPr>
      </w:pPr>
      <w:r>
        <w:rPr>
          <w:rFonts w:hint="eastAsia" w:ascii="仿宋" w:hAnsi="仿宋" w:eastAsia="仿宋" w:cs="仿宋"/>
          <w:color w:val="auto"/>
          <w:sz w:val="24"/>
          <w:szCs w:val="24"/>
          <w:lang w:val="en-US" w:eastAsia="zh-CN"/>
        </w:rPr>
        <w:t>3.2 容积≥40L，重量≤50Kg，壁厚≤6mm，高度≤150cm，额定充装压力≥15MPa。3.3配有推车和氧气瓶用氧气吸入器、供气管、面罩、呼吸袋等供氧设备和配件。</w:t>
      </w:r>
    </w:p>
    <w:p>
      <w:pPr>
        <w:keepNext w:val="0"/>
        <w:keepLines w:val="0"/>
        <w:pageBreakBefore w:val="0"/>
        <w:widowControl w:val="0"/>
        <w:numPr>
          <w:ilvl w:val="0"/>
          <w:numId w:val="0"/>
        </w:numPr>
        <w:kinsoku/>
        <w:wordWrap/>
        <w:overflowPunct/>
        <w:topLinePunct w:val="0"/>
        <w:bidi w:val="0"/>
        <w:spacing w:line="460" w:lineRule="exact"/>
        <w:rPr>
          <w:rFonts w:hint="eastAsia" w:ascii="仿宋" w:hAnsi="仿宋" w:eastAsia="仿宋" w:cs="仿宋"/>
          <w:b/>
          <w:color w:val="auto"/>
          <w:kern w:val="0"/>
          <w:sz w:val="24"/>
          <w:szCs w:val="24"/>
          <w:lang w:val="en-US" w:eastAsia="zh-CN"/>
        </w:rPr>
      </w:pPr>
    </w:p>
    <w:p>
      <w:pPr>
        <w:keepNext w:val="0"/>
        <w:keepLines w:val="0"/>
        <w:pageBreakBefore w:val="0"/>
        <w:widowControl w:val="0"/>
        <w:numPr>
          <w:ilvl w:val="0"/>
          <w:numId w:val="0"/>
        </w:numPr>
        <w:kinsoku/>
        <w:wordWrap/>
        <w:overflowPunct/>
        <w:topLinePunct w:val="0"/>
        <w:bidi w:val="0"/>
        <w:spacing w:line="460" w:lineRule="exact"/>
        <w:rPr>
          <w:rFonts w:hint="eastAsia" w:ascii="仿宋" w:hAnsi="仿宋" w:eastAsia="仿宋" w:cs="仿宋"/>
          <w:color w:val="auto"/>
          <w:sz w:val="24"/>
          <w:szCs w:val="24"/>
          <w:lang w:eastAsia="zh-CN"/>
        </w:rPr>
      </w:pPr>
      <w:r>
        <w:rPr>
          <w:rFonts w:hint="eastAsia" w:ascii="仿宋" w:hAnsi="仿宋" w:eastAsia="仿宋" w:cs="仿宋"/>
          <w:b/>
          <w:color w:val="auto"/>
          <w:kern w:val="0"/>
          <w:sz w:val="24"/>
          <w:szCs w:val="24"/>
          <w:lang w:val="en-US" w:eastAsia="zh-CN"/>
        </w:rPr>
        <w:t>46包-2</w:t>
      </w:r>
      <w:r>
        <w:rPr>
          <w:rFonts w:hint="eastAsia" w:ascii="仿宋" w:hAnsi="仿宋" w:eastAsia="仿宋" w:cs="仿宋"/>
          <w:b/>
          <w:color w:val="auto"/>
          <w:kern w:val="0"/>
          <w:sz w:val="24"/>
          <w:szCs w:val="24"/>
        </w:rPr>
        <w:t>：</w:t>
      </w:r>
      <w:r>
        <w:rPr>
          <w:rFonts w:hint="eastAsia" w:ascii="仿宋" w:hAnsi="仿宋" w:eastAsia="仿宋" w:cs="仿宋"/>
          <w:b/>
          <w:color w:val="auto"/>
          <w:sz w:val="24"/>
          <w:szCs w:val="24"/>
          <w:lang w:eastAsia="zh-CN"/>
        </w:rPr>
        <w:t>正压式空气呼吸器碳纤维气瓶</w:t>
      </w:r>
    </w:p>
    <w:p>
      <w:pPr>
        <w:keepNext w:val="0"/>
        <w:keepLines w:val="0"/>
        <w:pageBreakBefore w:val="0"/>
        <w:widowControl w:val="0"/>
        <w:numPr>
          <w:ilvl w:val="0"/>
          <w:numId w:val="0"/>
        </w:numPr>
        <w:kinsoku/>
        <w:wordWrap/>
        <w:overflowPunct/>
        <w:topLinePunct w:val="0"/>
        <w:bidi w:val="0"/>
        <w:spacing w:line="4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一、货物名称：</w:t>
      </w:r>
      <w:r>
        <w:rPr>
          <w:rFonts w:hint="eastAsia" w:ascii="仿宋" w:hAnsi="仿宋" w:eastAsia="仿宋" w:cs="仿宋"/>
          <w:color w:val="auto"/>
          <w:sz w:val="24"/>
          <w:szCs w:val="24"/>
          <w:lang w:eastAsia="zh-CN"/>
        </w:rPr>
        <w:t>正压式空气呼吸器碳纤维气瓶</w:t>
      </w:r>
    </w:p>
    <w:p>
      <w:pPr>
        <w:keepNext w:val="0"/>
        <w:keepLines w:val="0"/>
        <w:pageBreakBefore w:val="0"/>
        <w:widowControl w:val="0"/>
        <w:numPr>
          <w:ilvl w:val="0"/>
          <w:numId w:val="0"/>
        </w:numPr>
        <w:kinsoku/>
        <w:wordWrap/>
        <w:overflowPunct/>
        <w:topLinePunct w:val="0"/>
        <w:bidi w:val="0"/>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二、产地：国产</w:t>
      </w:r>
    </w:p>
    <w:p>
      <w:pPr>
        <w:keepNext w:val="0"/>
        <w:keepLines w:val="0"/>
        <w:pageBreakBefore w:val="0"/>
        <w:widowControl w:val="0"/>
        <w:numPr>
          <w:ilvl w:val="0"/>
          <w:numId w:val="0"/>
        </w:numPr>
        <w:kinsoku/>
        <w:wordWrap/>
        <w:overflowPunct/>
        <w:topLinePunct w:val="0"/>
        <w:bidi w:val="0"/>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三、主要技术规格、参数及要求：</w:t>
      </w:r>
    </w:p>
    <w:p>
      <w:pPr>
        <w:pStyle w:val="13"/>
        <w:keepNext w:val="0"/>
        <w:keepLines w:val="0"/>
        <w:pageBreakBefore w:val="0"/>
        <w:widowControl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bidi="ar"/>
        </w:rPr>
        <w:t>3.1产品符合</w:t>
      </w:r>
      <w:r>
        <w:rPr>
          <w:rFonts w:hint="eastAsia" w:ascii="仿宋" w:hAnsi="仿宋" w:eastAsia="仿宋" w:cs="仿宋"/>
          <w:color w:val="auto"/>
          <w:sz w:val="24"/>
          <w:szCs w:val="24"/>
          <w:lang w:val="en-US" w:eastAsia="zh-CN" w:bidi="ar"/>
        </w:rPr>
        <w:fldChar w:fldCharType="begin"/>
      </w:r>
      <w:r>
        <w:rPr>
          <w:rFonts w:hint="eastAsia" w:ascii="仿宋" w:hAnsi="仿宋" w:eastAsia="仿宋" w:cs="仿宋"/>
          <w:color w:val="auto"/>
          <w:sz w:val="24"/>
          <w:szCs w:val="24"/>
          <w:lang w:val="en-US" w:eastAsia="zh-CN" w:bidi="ar"/>
        </w:rPr>
        <w:instrText xml:space="preserve"> HYPERLINK "javascript:void(0)" </w:instrText>
      </w:r>
      <w:r>
        <w:rPr>
          <w:rFonts w:hint="eastAsia" w:ascii="仿宋" w:hAnsi="仿宋" w:eastAsia="仿宋" w:cs="仿宋"/>
          <w:color w:val="auto"/>
          <w:sz w:val="24"/>
          <w:szCs w:val="24"/>
          <w:lang w:val="en-US" w:eastAsia="zh-CN" w:bidi="ar"/>
        </w:rPr>
        <w:fldChar w:fldCharType="separate"/>
      </w:r>
      <w:r>
        <w:rPr>
          <w:rFonts w:hint="eastAsia" w:ascii="仿宋" w:hAnsi="仿宋" w:eastAsia="仿宋" w:cs="仿宋"/>
          <w:color w:val="auto"/>
          <w:sz w:val="24"/>
          <w:szCs w:val="24"/>
          <w:lang w:val="en-US" w:eastAsia="zh-CN" w:bidi="ar"/>
        </w:rPr>
        <w:t>GB/T 28053-2023</w:t>
      </w:r>
      <w:r>
        <w:rPr>
          <w:rFonts w:hint="eastAsia" w:ascii="仿宋" w:hAnsi="仿宋" w:eastAsia="仿宋" w:cs="仿宋"/>
          <w:color w:val="auto"/>
          <w:sz w:val="24"/>
          <w:szCs w:val="24"/>
          <w:lang w:val="en-US" w:eastAsia="zh-CN" w:bidi="ar"/>
        </w:rPr>
        <w:fldChar w:fldCharType="end"/>
      </w:r>
      <w:r>
        <w:rPr>
          <w:rFonts w:hint="eastAsia" w:ascii="仿宋" w:hAnsi="仿宋" w:eastAsia="仿宋" w:cs="仿宋"/>
          <w:color w:val="auto"/>
          <w:sz w:val="24"/>
          <w:szCs w:val="24"/>
          <w:lang w:val="en-US" w:eastAsia="zh-CN" w:bidi="ar"/>
        </w:rPr>
        <w:t>《</w:t>
      </w:r>
      <w:r>
        <w:rPr>
          <w:rFonts w:hint="eastAsia" w:ascii="仿宋" w:hAnsi="仿宋" w:eastAsia="仿宋" w:cs="仿宋"/>
          <w:color w:val="auto"/>
          <w:sz w:val="24"/>
          <w:szCs w:val="24"/>
          <w:lang w:val="en-US" w:eastAsia="zh-CN" w:bidi="ar"/>
        </w:rPr>
        <w:fldChar w:fldCharType="begin"/>
      </w:r>
      <w:r>
        <w:rPr>
          <w:rFonts w:hint="eastAsia" w:ascii="仿宋" w:hAnsi="仿宋" w:eastAsia="仿宋" w:cs="仿宋"/>
          <w:color w:val="auto"/>
          <w:sz w:val="24"/>
          <w:szCs w:val="24"/>
          <w:lang w:val="en-US" w:eastAsia="zh-CN" w:bidi="ar"/>
        </w:rPr>
        <w:instrText xml:space="preserve"> HYPERLINK "javascript:void(0)" </w:instrText>
      </w:r>
      <w:r>
        <w:rPr>
          <w:rFonts w:hint="eastAsia" w:ascii="仿宋" w:hAnsi="仿宋" w:eastAsia="仿宋" w:cs="仿宋"/>
          <w:color w:val="auto"/>
          <w:sz w:val="24"/>
          <w:szCs w:val="24"/>
          <w:lang w:val="en-US" w:eastAsia="zh-CN" w:bidi="ar"/>
        </w:rPr>
        <w:fldChar w:fldCharType="separate"/>
      </w:r>
      <w:r>
        <w:rPr>
          <w:rFonts w:hint="eastAsia" w:ascii="仿宋" w:hAnsi="仿宋" w:eastAsia="仿宋" w:cs="仿宋"/>
          <w:color w:val="auto"/>
          <w:sz w:val="24"/>
          <w:szCs w:val="24"/>
          <w:lang w:val="en-US" w:eastAsia="zh-CN" w:bidi="ar"/>
        </w:rPr>
        <w:t>铝合金内胆碳纤维全缠绕气瓶</w:t>
      </w:r>
      <w:r>
        <w:rPr>
          <w:rFonts w:hint="eastAsia" w:ascii="仿宋" w:hAnsi="仿宋" w:eastAsia="仿宋" w:cs="仿宋"/>
          <w:color w:val="auto"/>
          <w:sz w:val="24"/>
          <w:szCs w:val="24"/>
          <w:lang w:val="en-US" w:eastAsia="zh-CN" w:bidi="ar"/>
        </w:rPr>
        <w:fldChar w:fldCharType="end"/>
      </w:r>
      <w:r>
        <w:rPr>
          <w:rFonts w:hint="eastAsia" w:ascii="仿宋" w:hAnsi="仿宋" w:eastAsia="仿宋" w:cs="仿宋"/>
          <w:color w:val="auto"/>
          <w:sz w:val="24"/>
          <w:szCs w:val="24"/>
          <w:lang w:val="en-US" w:eastAsia="zh-CN" w:bidi="ar"/>
        </w:rPr>
        <w:t>》标准的要求，</w:t>
      </w:r>
      <w:r>
        <w:rPr>
          <w:rFonts w:hint="eastAsia" w:ascii="仿宋" w:hAnsi="仿宋" w:eastAsia="仿宋" w:cs="仿宋"/>
          <w:color w:val="auto"/>
          <w:sz w:val="24"/>
          <w:szCs w:val="24"/>
        </w:rPr>
        <w:t>提供第三方检测机构出具的检测/检验/试验/测试报告（报告中的型号须与所投产品型号一致）复印件</w:t>
      </w:r>
      <w:r>
        <w:rPr>
          <w:rFonts w:hint="eastAsia" w:ascii="仿宋" w:hAnsi="仿宋" w:eastAsia="仿宋" w:cs="仿宋"/>
          <w:color w:val="auto"/>
          <w:sz w:val="24"/>
          <w:szCs w:val="24"/>
          <w:lang w:eastAsia="zh-CN"/>
        </w:rPr>
        <w:t>；</w:t>
      </w:r>
    </w:p>
    <w:p>
      <w:pPr>
        <w:keepNext w:val="0"/>
        <w:keepLines w:val="0"/>
        <w:pageBreakBefore w:val="0"/>
        <w:widowControl w:val="0"/>
        <w:numPr>
          <w:ilvl w:val="0"/>
          <w:numId w:val="0"/>
        </w:numPr>
        <w:kinsoku/>
        <w:wordWrap/>
        <w:overflowPunct/>
        <w:topLinePunct w:val="0"/>
        <w:bidi w:val="0"/>
        <w:spacing w:line="460" w:lineRule="exact"/>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2气瓶应配备瓶头阀，瓶阀螺纹规格应符合XF124-2013《正压式消防空气呼吸器》相关要求</w:t>
      </w:r>
      <w:r>
        <w:rPr>
          <w:rFonts w:hint="eastAsia" w:ascii="仿宋" w:hAnsi="仿宋" w:eastAsia="仿宋" w:cs="仿宋"/>
          <w:color w:val="auto"/>
          <w:sz w:val="24"/>
          <w:szCs w:val="24"/>
          <w:lang w:eastAsia="zh-CN"/>
        </w:rPr>
        <w:t>；</w:t>
      </w:r>
    </w:p>
    <w:p>
      <w:pPr>
        <w:keepNext w:val="0"/>
        <w:keepLines w:val="0"/>
        <w:pageBreakBefore w:val="0"/>
        <w:widowControl w:val="0"/>
        <w:numPr>
          <w:ilvl w:val="0"/>
          <w:numId w:val="0"/>
        </w:numPr>
        <w:kinsoku/>
        <w:wordWrap/>
        <w:overflowPunct/>
        <w:topLinePunct w:val="0"/>
        <w:bidi w:val="0"/>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气瓶容量6.8L，</w:t>
      </w:r>
      <w:r>
        <w:rPr>
          <w:rFonts w:hint="eastAsia" w:ascii="仿宋" w:hAnsi="仿宋" w:eastAsia="仿宋" w:cs="仿宋"/>
          <w:color w:val="auto"/>
          <w:sz w:val="24"/>
          <w:szCs w:val="24"/>
          <w:lang w:val="en-US" w:eastAsia="zh-CN"/>
        </w:rPr>
        <w:t>最大充装</w:t>
      </w:r>
      <w:r>
        <w:rPr>
          <w:rFonts w:hint="eastAsia" w:ascii="仿宋" w:hAnsi="仿宋" w:eastAsia="仿宋" w:cs="仿宋"/>
          <w:color w:val="auto"/>
          <w:sz w:val="24"/>
          <w:szCs w:val="24"/>
        </w:rPr>
        <w:t>压力≥30MPa</w:t>
      </w:r>
      <w:r>
        <w:rPr>
          <w:rFonts w:hint="eastAsia" w:ascii="仿宋" w:hAnsi="仿宋" w:eastAsia="仿宋" w:cs="仿宋"/>
          <w:color w:val="auto"/>
          <w:sz w:val="24"/>
          <w:szCs w:val="24"/>
          <w:lang w:eastAsia="zh-CN"/>
        </w:rPr>
        <w:t>；</w:t>
      </w:r>
    </w:p>
    <w:p>
      <w:pPr>
        <w:keepNext w:val="0"/>
        <w:keepLines w:val="0"/>
        <w:pageBreakBefore w:val="0"/>
        <w:widowControl w:val="0"/>
        <w:numPr>
          <w:ilvl w:val="0"/>
          <w:numId w:val="0"/>
        </w:numPr>
        <w:kinsoku/>
        <w:wordWrap/>
        <w:overflowPunct/>
        <w:topLinePunct w:val="0"/>
        <w:bidi w:val="0"/>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使用年限为≥15年，使用环境温度≥-30℃～+60℃；</w:t>
      </w:r>
    </w:p>
    <w:p>
      <w:pPr>
        <w:keepNext w:val="0"/>
        <w:keepLines w:val="0"/>
        <w:pageBreakBefore w:val="0"/>
        <w:widowControl w:val="0"/>
        <w:kinsoku/>
        <w:wordWrap/>
        <w:overflowPunct/>
        <w:topLinePunct w:val="0"/>
        <w:bidi w:val="0"/>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公称</w:t>
      </w:r>
      <w:r>
        <w:rPr>
          <w:rFonts w:hint="eastAsia" w:ascii="仿宋" w:hAnsi="仿宋" w:eastAsia="仿宋" w:cs="仿宋"/>
          <w:color w:val="auto"/>
          <w:sz w:val="24"/>
          <w:szCs w:val="24"/>
          <w:lang w:eastAsia="zh-CN"/>
        </w:rPr>
        <w:t>质量</w:t>
      </w:r>
      <w:r>
        <w:rPr>
          <w:rFonts w:hint="eastAsia" w:ascii="仿宋" w:hAnsi="仿宋" w:eastAsia="仿宋" w:cs="仿宋"/>
          <w:color w:val="auto"/>
          <w:sz w:val="24"/>
          <w:szCs w:val="24"/>
        </w:rPr>
        <w:t>：≤4kg，试验压力50Mpa</w:t>
      </w:r>
      <w:r>
        <w:rPr>
          <w:rFonts w:hint="eastAsia" w:ascii="仿宋" w:hAnsi="仿宋" w:eastAsia="仿宋" w:cs="仿宋"/>
          <w:color w:val="auto"/>
          <w:sz w:val="24"/>
          <w:szCs w:val="24"/>
          <w:lang w:eastAsia="zh-CN"/>
        </w:rPr>
        <w:t>。</w:t>
      </w:r>
    </w:p>
    <w:p>
      <w:pPr>
        <w:keepNext w:val="0"/>
        <w:keepLines w:val="0"/>
        <w:pageBreakBefore w:val="0"/>
        <w:widowControl w:val="0"/>
        <w:kinsoku/>
        <w:wordWrap/>
        <w:overflowPunct/>
        <w:topLinePunct w:val="0"/>
        <w:bidi w:val="0"/>
        <w:spacing w:line="460" w:lineRule="exact"/>
        <w:rPr>
          <w:rFonts w:hint="eastAsia" w:ascii="仿宋" w:hAnsi="仿宋" w:eastAsia="仿宋" w:cs="仿宋"/>
          <w:color w:val="auto"/>
          <w:sz w:val="24"/>
          <w:szCs w:val="24"/>
          <w:lang w:val="en-US" w:eastAsia="zh-CN"/>
        </w:rPr>
      </w:pPr>
      <w:bookmarkStart w:id="519" w:name="_Toc3792"/>
      <w:bookmarkStart w:id="520" w:name="_Toc721"/>
      <w:bookmarkStart w:id="521" w:name="_Toc31918"/>
    </w:p>
    <w:p>
      <w:pPr>
        <w:keepNext w:val="0"/>
        <w:keepLines w:val="0"/>
        <w:pageBreakBefore w:val="0"/>
        <w:widowControl w:val="0"/>
        <w:kinsoku/>
        <w:wordWrap/>
        <w:overflowPunct/>
        <w:topLinePunct w:val="0"/>
        <w:bidi w:val="0"/>
        <w:spacing w:line="460" w:lineRule="exact"/>
        <w:outlineLvl w:val="1"/>
        <w:rPr>
          <w:rFonts w:hint="eastAsia" w:ascii="仿宋" w:hAnsi="仿宋" w:eastAsia="仿宋" w:cs="仿宋"/>
          <w:b/>
          <w:color w:val="auto"/>
          <w:sz w:val="24"/>
          <w:szCs w:val="24"/>
          <w:lang w:val="en-US" w:eastAsia="zh-CN"/>
        </w:rPr>
      </w:pPr>
      <w:bookmarkStart w:id="522" w:name="_Toc3595"/>
      <w:bookmarkStart w:id="523" w:name="_Toc22551"/>
      <w:r>
        <w:rPr>
          <w:rFonts w:hint="eastAsia" w:ascii="仿宋" w:hAnsi="仿宋" w:eastAsia="仿宋" w:cs="仿宋"/>
          <w:b/>
          <w:color w:val="auto"/>
          <w:sz w:val="24"/>
          <w:szCs w:val="24"/>
          <w:lang w:val="en-US" w:eastAsia="zh-CN"/>
        </w:rPr>
        <w:t>47包：卷扬机、消防梯15米【核心产品】、移动水带收卷机</w:t>
      </w:r>
      <w:bookmarkEnd w:id="519"/>
      <w:bookmarkEnd w:id="520"/>
      <w:bookmarkEnd w:id="521"/>
      <w:bookmarkEnd w:id="522"/>
      <w:bookmarkEnd w:id="523"/>
    </w:p>
    <w:p>
      <w:pPr>
        <w:keepNext w:val="0"/>
        <w:keepLines w:val="0"/>
        <w:pageBreakBefore w:val="0"/>
        <w:kinsoku/>
        <w:wordWrap/>
        <w:overflowPunct/>
        <w:topLinePunct w:val="0"/>
        <w:bidi w:val="0"/>
        <w:spacing w:line="460" w:lineRule="exact"/>
        <w:rPr>
          <w:rFonts w:hint="eastAsia" w:ascii="仿宋" w:hAnsi="仿宋" w:eastAsia="仿宋" w:cs="仿宋"/>
          <w:b/>
          <w:color w:val="auto"/>
          <w:kern w:val="0"/>
          <w:sz w:val="24"/>
          <w:szCs w:val="24"/>
          <w:lang w:val="en-US" w:eastAsia="zh-CN"/>
        </w:rPr>
      </w:pPr>
      <w:r>
        <w:rPr>
          <w:rFonts w:hint="eastAsia" w:ascii="仿宋" w:hAnsi="仿宋" w:eastAsia="仿宋" w:cs="仿宋"/>
          <w:b/>
          <w:color w:val="auto"/>
          <w:kern w:val="0"/>
          <w:sz w:val="24"/>
          <w:szCs w:val="24"/>
          <w:lang w:val="en-US" w:eastAsia="zh-CN"/>
        </w:rPr>
        <w:t>47包-1</w:t>
      </w:r>
      <w:r>
        <w:rPr>
          <w:rFonts w:hint="eastAsia" w:ascii="仿宋" w:hAnsi="仿宋" w:eastAsia="仿宋" w:cs="仿宋"/>
          <w:b/>
          <w:color w:val="auto"/>
          <w:kern w:val="0"/>
          <w:sz w:val="24"/>
          <w:szCs w:val="24"/>
        </w:rPr>
        <w:t>：</w:t>
      </w:r>
      <w:r>
        <w:rPr>
          <w:rFonts w:hint="eastAsia" w:ascii="仿宋" w:hAnsi="仿宋" w:eastAsia="仿宋" w:cs="仿宋"/>
          <w:b/>
          <w:color w:val="auto"/>
          <w:kern w:val="0"/>
          <w:sz w:val="24"/>
          <w:szCs w:val="24"/>
          <w:lang w:val="en-US" w:eastAsia="zh-CN"/>
        </w:rPr>
        <w:t>卷扬机</w:t>
      </w:r>
    </w:p>
    <w:p>
      <w:pPr>
        <w:keepNext w:val="0"/>
        <w:keepLines w:val="0"/>
        <w:pageBreakBefore w:val="0"/>
        <w:numPr>
          <w:ilvl w:val="0"/>
          <w:numId w:val="0"/>
        </w:numPr>
        <w:tabs>
          <w:tab w:val="left" w:pos="0"/>
          <w:tab w:val="center" w:pos="4513"/>
        </w:tabs>
        <w:kinsoku/>
        <w:wordWrap/>
        <w:overflowPunct/>
        <w:topLinePunct w:val="0"/>
        <w:bidi w:val="0"/>
        <w:adjustRightInd w:val="0"/>
        <w:snapToGrid w:val="0"/>
        <w:spacing w:line="46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一、货物名称：卷扬机</w:t>
      </w:r>
    </w:p>
    <w:p>
      <w:pPr>
        <w:keepNext w:val="0"/>
        <w:keepLines w:val="0"/>
        <w:pageBreakBefore w:val="0"/>
        <w:numPr>
          <w:ilvl w:val="0"/>
          <w:numId w:val="0"/>
        </w:numPr>
        <w:tabs>
          <w:tab w:val="left" w:pos="0"/>
          <w:tab w:val="center" w:pos="4513"/>
        </w:tabs>
        <w:kinsoku/>
        <w:wordWrap/>
        <w:overflowPunct/>
        <w:topLinePunct w:val="0"/>
        <w:bidi w:val="0"/>
        <w:adjustRightInd w:val="0"/>
        <w:snapToGrid w:val="0"/>
        <w:spacing w:line="46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二、产地：国产</w:t>
      </w:r>
    </w:p>
    <w:p>
      <w:pPr>
        <w:keepNext w:val="0"/>
        <w:keepLines w:val="0"/>
        <w:pageBreakBefore w:val="0"/>
        <w:numPr>
          <w:ilvl w:val="0"/>
          <w:numId w:val="0"/>
        </w:numPr>
        <w:tabs>
          <w:tab w:val="left" w:pos="0"/>
          <w:tab w:val="center" w:pos="4513"/>
        </w:tabs>
        <w:kinsoku/>
        <w:wordWrap/>
        <w:overflowPunct/>
        <w:topLinePunct w:val="0"/>
        <w:bidi w:val="0"/>
        <w:adjustRightInd w:val="0"/>
        <w:snapToGrid w:val="0"/>
        <w:spacing w:line="46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三、主要技术规格、参数及要求：</w:t>
      </w:r>
    </w:p>
    <w:p>
      <w:pPr>
        <w:pStyle w:val="13"/>
        <w:keepNext w:val="0"/>
        <w:keepLines w:val="0"/>
        <w:pageBreakBefore w:val="0"/>
        <w:kinsoku/>
        <w:wordWrap/>
        <w:overflowPunct/>
        <w:topLinePunct w:val="0"/>
        <w:bidi w:val="0"/>
        <w:spacing w:line="460" w:lineRule="exact"/>
        <w:rPr>
          <w:rFonts w:hint="eastAsia" w:eastAsia="仿宋"/>
          <w:color w:val="auto"/>
          <w:sz w:val="21"/>
          <w:szCs w:val="24"/>
          <w:lang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3.1</w:t>
      </w:r>
      <w:r>
        <w:rPr>
          <w:rFonts w:hint="eastAsia" w:ascii="仿宋" w:hAnsi="仿宋" w:eastAsia="仿宋" w:cs="仿宋"/>
          <w:color w:val="auto"/>
          <w:sz w:val="24"/>
          <w:szCs w:val="24"/>
        </w:rPr>
        <w:t>提供第三方检测机构出具的检测/检验/试验/测试报告（报告中的型号须与所投产品型号一致）复印件</w:t>
      </w:r>
      <w:r>
        <w:rPr>
          <w:rFonts w:hint="eastAsia" w:ascii="仿宋" w:hAnsi="仿宋" w:eastAsia="仿宋" w:cs="仿宋"/>
          <w:color w:val="auto"/>
          <w:sz w:val="24"/>
          <w:szCs w:val="24"/>
          <w:lang w:eastAsia="zh-CN"/>
        </w:rPr>
        <w:t>；</w:t>
      </w:r>
    </w:p>
    <w:p>
      <w:pPr>
        <w:keepNext w:val="0"/>
        <w:keepLines w:val="0"/>
        <w:pageBreakBefore w:val="0"/>
        <w:kinsoku/>
        <w:wordWrap/>
        <w:overflowPunct/>
        <w:topLinePunct w:val="0"/>
        <w:bidi w:val="0"/>
        <w:spacing w:line="460" w:lineRule="exac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w:t>
      </w:r>
      <w:r>
        <w:rPr>
          <w:rFonts w:hint="eastAsia" w:ascii="仿宋" w:hAnsi="仿宋" w:eastAsia="仿宋" w:cs="仿宋"/>
          <w:color w:val="auto"/>
          <w:kern w:val="0"/>
          <w:sz w:val="24"/>
          <w:szCs w:val="24"/>
        </w:rPr>
        <w:t>2主要功能：用于人员和货物的升降功能，在无需拆卸换向的前提下具备单绳往复横渡、斜渡、升降功能</w:t>
      </w:r>
      <w:r>
        <w:rPr>
          <w:rFonts w:hint="eastAsia" w:ascii="仿宋" w:hAnsi="仿宋" w:eastAsia="仿宋" w:cs="仿宋"/>
          <w:color w:val="auto"/>
          <w:kern w:val="0"/>
          <w:sz w:val="24"/>
          <w:szCs w:val="24"/>
          <w:lang w:val="en-US" w:eastAsia="zh-CN"/>
        </w:rPr>
        <w:t>；</w:t>
      </w:r>
    </w:p>
    <w:p>
      <w:pPr>
        <w:keepNext w:val="0"/>
        <w:keepLines w:val="0"/>
        <w:pageBreakBefore w:val="0"/>
        <w:kinsoku/>
        <w:wordWrap/>
        <w:overflowPunct/>
        <w:topLinePunct w:val="0"/>
        <w:bidi w:val="0"/>
        <w:spacing w:line="460" w:lineRule="exact"/>
        <w:rPr>
          <w:rFonts w:hint="eastAsia" w:ascii="仿宋" w:hAnsi="仿宋" w:eastAsia="仿宋" w:cs="仿宋"/>
          <w:b w:val="0"/>
          <w:bCs/>
          <w:color w:val="auto"/>
          <w:kern w:val="0"/>
          <w:sz w:val="24"/>
          <w:szCs w:val="24"/>
          <w:lang w:val="en-US" w:eastAsia="zh-CN" w:bidi="ar-SA"/>
        </w:rPr>
      </w:pPr>
      <w:r>
        <w:rPr>
          <w:rFonts w:hint="eastAsia" w:ascii="仿宋" w:hAnsi="仿宋" w:eastAsia="仿宋" w:cs="仿宋"/>
          <w:color w:val="auto"/>
          <w:sz w:val="24"/>
          <w:szCs w:val="24"/>
        </w:rPr>
        <w:t>▲</w:t>
      </w:r>
      <w:r>
        <w:rPr>
          <w:rFonts w:hint="eastAsia" w:ascii="仿宋" w:hAnsi="仿宋" w:eastAsia="仿宋" w:cs="仿宋"/>
          <w:color w:val="auto"/>
          <w:kern w:val="0"/>
          <w:sz w:val="24"/>
          <w:szCs w:val="24"/>
        </w:rPr>
        <w:t>3.</w:t>
      </w:r>
      <w:r>
        <w:rPr>
          <w:rFonts w:hint="eastAsia" w:ascii="仿宋" w:hAnsi="仿宋" w:eastAsia="仿宋" w:cs="仿宋"/>
          <w:color w:val="auto"/>
          <w:kern w:val="0"/>
          <w:sz w:val="24"/>
          <w:szCs w:val="24"/>
          <w:lang w:val="en-US" w:eastAsia="zh-CN"/>
        </w:rPr>
        <w:t>3</w:t>
      </w:r>
      <w:r>
        <w:rPr>
          <w:rFonts w:hint="eastAsia" w:ascii="仿宋" w:hAnsi="仿宋" w:eastAsia="仿宋" w:cs="仿宋"/>
          <w:color w:val="auto"/>
          <w:kern w:val="0"/>
          <w:sz w:val="24"/>
          <w:szCs w:val="24"/>
        </w:rPr>
        <w:t>绳索：</w:t>
      </w:r>
      <w:r>
        <w:rPr>
          <w:rFonts w:hint="eastAsia" w:ascii="仿宋" w:hAnsi="仿宋" w:eastAsia="仿宋" w:cs="仿宋"/>
          <w:color w:val="auto"/>
          <w:kern w:val="0"/>
          <w:sz w:val="24"/>
          <w:szCs w:val="24"/>
          <w:lang w:val="en-US" w:eastAsia="zh-CN" w:bidi="ar-SA"/>
        </w:rPr>
        <w:t>直径为10.5mm-11mm的专用绳索</w:t>
      </w:r>
      <w:r>
        <w:rPr>
          <w:rFonts w:hint="eastAsia" w:ascii="仿宋" w:hAnsi="仿宋" w:eastAsia="仿宋" w:cs="仿宋"/>
          <w:color w:val="auto"/>
          <w:kern w:val="0"/>
          <w:sz w:val="24"/>
          <w:szCs w:val="24"/>
        </w:rPr>
        <w:t>,</w:t>
      </w:r>
      <w:r>
        <w:rPr>
          <w:rFonts w:hint="eastAsia" w:ascii="仿宋" w:hAnsi="仿宋" w:eastAsia="仿宋" w:cs="仿宋"/>
          <w:color w:val="auto"/>
          <w:kern w:val="0"/>
          <w:sz w:val="24"/>
          <w:szCs w:val="24"/>
          <w:lang w:val="en-US" w:eastAsia="zh-CN" w:bidi="ar-SA"/>
        </w:rPr>
        <w:t>断裂强力：≥30KN；</w:t>
      </w:r>
      <w:r>
        <w:rPr>
          <w:rFonts w:hint="eastAsia" w:ascii="仿宋" w:hAnsi="仿宋" w:eastAsia="仿宋" w:cs="仿宋"/>
          <w:b w:val="0"/>
          <w:bCs/>
          <w:color w:val="auto"/>
          <w:kern w:val="0"/>
          <w:sz w:val="24"/>
          <w:szCs w:val="24"/>
          <w:lang w:val="en-US" w:eastAsia="zh-CN" w:bidi="ar-SA"/>
        </w:rPr>
        <w:t>最大载荷：≥200kg；</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3.4</w:t>
      </w:r>
      <w:r>
        <w:rPr>
          <w:rFonts w:hint="eastAsia" w:ascii="仿宋" w:hAnsi="仿宋" w:eastAsia="仿宋" w:cs="仿宋"/>
          <w:color w:val="auto"/>
          <w:kern w:val="0"/>
          <w:sz w:val="24"/>
          <w:szCs w:val="24"/>
          <w:lang w:val="en-US" w:eastAsia="zh-CN"/>
        </w:rPr>
        <w:t>、</w:t>
      </w:r>
      <w:r>
        <w:rPr>
          <w:rFonts w:hint="eastAsia" w:ascii="仿宋" w:hAnsi="仿宋" w:eastAsia="仿宋" w:cs="仿宋"/>
          <w:color w:val="auto"/>
          <w:kern w:val="0"/>
          <w:sz w:val="24"/>
          <w:szCs w:val="24"/>
        </w:rPr>
        <w:t>其他要求：</w:t>
      </w:r>
      <w:r>
        <w:rPr>
          <w:rFonts w:hint="eastAsia" w:ascii="仿宋" w:hAnsi="仿宋" w:eastAsia="仿宋" w:cs="仿宋"/>
          <w:color w:val="auto"/>
          <w:kern w:val="0"/>
          <w:sz w:val="24"/>
          <w:szCs w:val="24"/>
          <w:lang w:eastAsia="zh-CN"/>
        </w:rPr>
        <w:t>电动，</w:t>
      </w:r>
      <w:r>
        <w:rPr>
          <w:rFonts w:hint="eastAsia" w:ascii="仿宋" w:hAnsi="仿宋" w:eastAsia="仿宋" w:cs="仿宋"/>
          <w:color w:val="auto"/>
          <w:kern w:val="0"/>
          <w:sz w:val="24"/>
          <w:szCs w:val="24"/>
        </w:rPr>
        <w:t>使用温度范围：</w:t>
      </w:r>
      <w:r>
        <w:rPr>
          <w:rFonts w:hint="eastAsia" w:ascii="仿宋" w:hAnsi="仿宋" w:eastAsia="仿宋" w:cs="仿宋"/>
          <w:color w:val="auto"/>
          <w:kern w:val="0"/>
          <w:sz w:val="24"/>
          <w:szCs w:val="24"/>
          <w:lang w:val="en-US" w:eastAsia="zh-CN" w:bidi="ar-SA"/>
        </w:rPr>
        <w:t>≥-30°C至+60°C；</w:t>
      </w:r>
      <w:r>
        <w:rPr>
          <w:rFonts w:hint="eastAsia" w:ascii="仿宋" w:hAnsi="仿宋" w:eastAsia="仿宋" w:cs="仿宋"/>
          <w:color w:val="auto"/>
          <w:kern w:val="0"/>
          <w:sz w:val="24"/>
          <w:szCs w:val="24"/>
        </w:rPr>
        <w:t>防护等级：</w:t>
      </w:r>
      <w:r>
        <w:rPr>
          <w:rFonts w:hint="eastAsia" w:ascii="仿宋" w:hAnsi="仿宋" w:eastAsia="仿宋" w:cs="仿宋"/>
          <w:color w:val="auto"/>
          <w:kern w:val="0"/>
          <w:sz w:val="24"/>
          <w:szCs w:val="24"/>
          <w:lang w:val="en-US" w:eastAsia="zh-CN" w:bidi="ar-SA"/>
        </w:rPr>
        <w:t>≥IP56</w:t>
      </w:r>
      <w:r>
        <w:rPr>
          <w:rFonts w:hint="eastAsia" w:ascii="仿宋" w:hAnsi="仿宋" w:eastAsia="仿宋" w:cs="仿宋"/>
          <w:color w:val="auto"/>
          <w:kern w:val="0"/>
          <w:sz w:val="24"/>
          <w:szCs w:val="24"/>
          <w:lang w:eastAsia="zh-CN"/>
        </w:rPr>
        <w:t>。</w:t>
      </w:r>
    </w:p>
    <w:p>
      <w:pPr>
        <w:keepNext w:val="0"/>
        <w:keepLines w:val="0"/>
        <w:pageBreakBefore w:val="0"/>
        <w:numPr>
          <w:ilvl w:val="0"/>
          <w:numId w:val="0"/>
        </w:numPr>
        <w:tabs>
          <w:tab w:val="left" w:pos="0"/>
          <w:tab w:val="center" w:pos="4513"/>
        </w:tabs>
        <w:kinsoku/>
        <w:wordWrap/>
        <w:overflowPunct/>
        <w:topLinePunct w:val="0"/>
        <w:bidi w:val="0"/>
        <w:adjustRightInd w:val="0"/>
        <w:snapToGrid w:val="0"/>
        <w:spacing w:line="460" w:lineRule="exact"/>
        <w:rPr>
          <w:rFonts w:hint="eastAsia" w:ascii="仿宋" w:hAnsi="仿宋" w:eastAsia="仿宋" w:cs="仿宋"/>
          <w:b/>
          <w:color w:val="auto"/>
          <w:kern w:val="0"/>
          <w:sz w:val="24"/>
          <w:szCs w:val="24"/>
          <w:lang w:val="en-US" w:eastAsia="zh-CN"/>
        </w:rPr>
      </w:pPr>
    </w:p>
    <w:p>
      <w:pPr>
        <w:keepNext w:val="0"/>
        <w:keepLines w:val="0"/>
        <w:pageBreakBefore w:val="0"/>
        <w:numPr>
          <w:ilvl w:val="0"/>
          <w:numId w:val="0"/>
        </w:numPr>
        <w:tabs>
          <w:tab w:val="left" w:pos="0"/>
          <w:tab w:val="center" w:pos="4513"/>
        </w:tabs>
        <w:kinsoku/>
        <w:wordWrap/>
        <w:overflowPunct/>
        <w:topLinePunct w:val="0"/>
        <w:bidi w:val="0"/>
        <w:adjustRightInd w:val="0"/>
        <w:snapToGrid w:val="0"/>
        <w:spacing w:line="460" w:lineRule="exact"/>
        <w:rPr>
          <w:rFonts w:hint="eastAsia" w:ascii="仿宋" w:hAnsi="仿宋" w:eastAsia="仿宋" w:cs="仿宋"/>
          <w:b/>
          <w:color w:val="auto"/>
          <w:sz w:val="24"/>
          <w:szCs w:val="24"/>
          <w:lang w:val="en-US" w:eastAsia="zh-CN"/>
        </w:rPr>
      </w:pPr>
      <w:r>
        <w:rPr>
          <w:rFonts w:hint="eastAsia" w:ascii="仿宋" w:hAnsi="仿宋" w:eastAsia="仿宋" w:cs="仿宋"/>
          <w:b/>
          <w:color w:val="auto"/>
          <w:kern w:val="0"/>
          <w:sz w:val="24"/>
          <w:szCs w:val="24"/>
          <w:lang w:val="en-US" w:eastAsia="zh-CN"/>
        </w:rPr>
        <w:t>47包-2</w:t>
      </w:r>
      <w:r>
        <w:rPr>
          <w:rFonts w:hint="eastAsia" w:ascii="仿宋" w:hAnsi="仿宋" w:eastAsia="仿宋" w:cs="仿宋"/>
          <w:b/>
          <w:color w:val="auto"/>
          <w:kern w:val="0"/>
          <w:sz w:val="24"/>
          <w:szCs w:val="24"/>
        </w:rPr>
        <w:t>：</w:t>
      </w:r>
      <w:r>
        <w:rPr>
          <w:rFonts w:hint="eastAsia" w:ascii="仿宋" w:hAnsi="仿宋" w:eastAsia="仿宋" w:cs="仿宋"/>
          <w:b/>
          <w:color w:val="auto"/>
          <w:sz w:val="24"/>
          <w:szCs w:val="24"/>
          <w:lang w:val="en-US" w:eastAsia="zh-CN"/>
        </w:rPr>
        <w:t>消防梯15米</w:t>
      </w:r>
    </w:p>
    <w:p>
      <w:pPr>
        <w:keepNext w:val="0"/>
        <w:keepLines w:val="0"/>
        <w:pageBreakBefore w:val="0"/>
        <w:numPr>
          <w:ilvl w:val="0"/>
          <w:numId w:val="0"/>
        </w:numPr>
        <w:tabs>
          <w:tab w:val="left" w:pos="0"/>
          <w:tab w:val="center" w:pos="4513"/>
        </w:tabs>
        <w:kinsoku/>
        <w:wordWrap/>
        <w:overflowPunct/>
        <w:topLinePunct w:val="0"/>
        <w:bidi w:val="0"/>
        <w:adjustRightInd w:val="0"/>
        <w:snapToGrid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bidi="ar-SA"/>
        </w:rPr>
        <w:t>一、</w:t>
      </w:r>
      <w:r>
        <w:rPr>
          <w:rFonts w:hint="eastAsia" w:ascii="仿宋" w:hAnsi="仿宋" w:eastAsia="仿宋" w:cs="仿宋"/>
          <w:color w:val="auto"/>
          <w:sz w:val="24"/>
          <w:szCs w:val="24"/>
          <w:lang w:eastAsia="zh-CN"/>
        </w:rPr>
        <w:t>货物名称：</w:t>
      </w:r>
      <w:r>
        <w:rPr>
          <w:rFonts w:hint="eastAsia" w:ascii="仿宋" w:hAnsi="仿宋" w:eastAsia="仿宋" w:cs="仿宋"/>
          <w:color w:val="auto"/>
          <w:sz w:val="24"/>
          <w:szCs w:val="24"/>
          <w:lang w:val="en-US" w:eastAsia="zh-CN"/>
        </w:rPr>
        <w:t>消防梯15米</w:t>
      </w:r>
    </w:p>
    <w:p>
      <w:pPr>
        <w:keepNext w:val="0"/>
        <w:keepLines w:val="0"/>
        <w:pageBreakBefore w:val="0"/>
        <w:numPr>
          <w:ilvl w:val="0"/>
          <w:numId w:val="0"/>
        </w:numPr>
        <w:tabs>
          <w:tab w:val="left" w:pos="0"/>
          <w:tab w:val="center" w:pos="4513"/>
        </w:tabs>
        <w:kinsoku/>
        <w:wordWrap/>
        <w:overflowPunct/>
        <w:topLinePunct w:val="0"/>
        <w:bidi w:val="0"/>
        <w:adjustRightInd w:val="0"/>
        <w:snapToGrid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二、产地：国产</w:t>
      </w:r>
    </w:p>
    <w:p>
      <w:pPr>
        <w:keepNext w:val="0"/>
        <w:keepLines w:val="0"/>
        <w:pageBreakBefore w:val="0"/>
        <w:numPr>
          <w:ilvl w:val="0"/>
          <w:numId w:val="0"/>
        </w:numPr>
        <w:tabs>
          <w:tab w:val="left" w:pos="0"/>
          <w:tab w:val="center" w:pos="4513"/>
        </w:tabs>
        <w:kinsoku/>
        <w:wordWrap/>
        <w:overflowPunct/>
        <w:topLinePunct w:val="0"/>
        <w:bidi w:val="0"/>
        <w:adjustRightInd w:val="0"/>
        <w:snapToGrid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三、主要技术规格、参数及要求：</w:t>
      </w:r>
    </w:p>
    <w:p>
      <w:pPr>
        <w:pStyle w:val="13"/>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bidi="ar"/>
        </w:rPr>
        <w:t>3.1产品符合</w:t>
      </w:r>
      <w:r>
        <w:rPr>
          <w:rFonts w:hint="eastAsia" w:ascii="仿宋" w:hAnsi="仿宋" w:eastAsia="仿宋" w:cs="仿宋"/>
          <w:color w:val="auto"/>
          <w:sz w:val="24"/>
          <w:szCs w:val="24"/>
          <w:lang w:val="en-US" w:eastAsia="zh-CN"/>
        </w:rPr>
        <w:t>XF137-2007《消防梯》</w:t>
      </w:r>
      <w:r>
        <w:rPr>
          <w:rFonts w:hint="eastAsia" w:ascii="仿宋" w:hAnsi="仿宋" w:eastAsia="仿宋" w:cs="仿宋"/>
          <w:color w:val="auto"/>
          <w:sz w:val="24"/>
          <w:szCs w:val="24"/>
          <w:lang w:val="en-US" w:eastAsia="zh-CN" w:bidi="ar"/>
        </w:rPr>
        <w:t>标准的要求，</w:t>
      </w:r>
      <w:r>
        <w:rPr>
          <w:rFonts w:hint="eastAsia" w:ascii="仿宋" w:hAnsi="仿宋" w:eastAsia="仿宋" w:cs="仿宋"/>
          <w:color w:val="auto"/>
          <w:sz w:val="24"/>
          <w:szCs w:val="24"/>
        </w:rPr>
        <w:t>提供第三方检测机构出具的检测/检验/试验/测试报告（报告中的型号须与所投产品型号一致）复印件</w:t>
      </w:r>
      <w:r>
        <w:rPr>
          <w:rFonts w:hint="eastAsia" w:ascii="仿宋" w:hAnsi="仿宋" w:eastAsia="仿宋" w:cs="仿宋"/>
          <w:color w:val="auto"/>
          <w:sz w:val="24"/>
          <w:szCs w:val="24"/>
          <w:lang w:eastAsia="zh-CN"/>
        </w:rPr>
        <w:t>；</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3.2技术参数：工作高度：15±0.3m；最小梯宽：350±4mm；梯蹬间距：340±2mm；</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3.3质量：≤70kg；</w:t>
      </w:r>
    </w:p>
    <w:p>
      <w:pPr>
        <w:keepNext w:val="0"/>
        <w:keepLines w:val="0"/>
        <w:pageBreakBefore w:val="0"/>
        <w:tabs>
          <w:tab w:val="left" w:pos="0"/>
          <w:tab w:val="center" w:pos="4513"/>
        </w:tabs>
        <w:kinsoku/>
        <w:wordWrap/>
        <w:overflowPunct/>
        <w:topLinePunct w:val="0"/>
        <w:bidi w:val="0"/>
        <w:adjustRightInd w:val="0"/>
        <w:snapToGrid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3.4梯蹬剪切强度：梯蹬与侧板的连接处和梯蹬本身无任何断裂现象；</w:t>
      </w:r>
    </w:p>
    <w:p>
      <w:pPr>
        <w:keepNext w:val="0"/>
        <w:keepLines w:val="0"/>
        <w:pageBreakBefore w:val="0"/>
        <w:tabs>
          <w:tab w:val="left" w:pos="0"/>
          <w:tab w:val="center" w:pos="4513"/>
        </w:tabs>
        <w:kinsoku/>
        <w:wordWrap/>
        <w:overflowPunct/>
        <w:topLinePunct w:val="0"/>
        <w:bidi w:val="0"/>
        <w:adjustRightInd w:val="0"/>
        <w:snapToGrid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3.5进行单撑脚载荷试验后，撑脚及联接件没有松动、损伤及变形；</w:t>
      </w:r>
    </w:p>
    <w:p>
      <w:pPr>
        <w:keepNext w:val="0"/>
        <w:keepLines w:val="0"/>
        <w:pageBreakBefore w:val="0"/>
        <w:tabs>
          <w:tab w:val="left" w:pos="0"/>
          <w:tab w:val="center" w:pos="4513"/>
        </w:tabs>
        <w:kinsoku/>
        <w:wordWrap/>
        <w:overflowPunct/>
        <w:topLinePunct w:val="0"/>
        <w:bidi w:val="0"/>
        <w:adjustRightInd w:val="0"/>
        <w:snapToGrid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3.6梯蹬与侧板紧密吻合，无松动和加楔；</w:t>
      </w:r>
    </w:p>
    <w:p>
      <w:pPr>
        <w:keepNext w:val="0"/>
        <w:keepLines w:val="0"/>
        <w:pageBreakBefore w:val="0"/>
        <w:tabs>
          <w:tab w:val="left" w:pos="0"/>
          <w:tab w:val="center" w:pos="4513"/>
        </w:tabs>
        <w:kinsoku/>
        <w:wordWrap/>
        <w:overflowPunct/>
        <w:topLinePunct w:val="0"/>
        <w:bidi w:val="0"/>
        <w:adjustRightInd w:val="0"/>
        <w:snapToGrid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3.7撑脚安全性试验：三节拉梯的两侧撑脚能同时可靠的将第二节、第三节支撑在工作高度及以下的任何一级梯蹬上；在撑脚安全性能试验时，无向梯蹬外侧面移动的现象；</w:t>
      </w:r>
    </w:p>
    <w:p>
      <w:pPr>
        <w:keepNext w:val="0"/>
        <w:keepLines w:val="0"/>
        <w:pageBreakBefore w:val="0"/>
        <w:tabs>
          <w:tab w:val="left" w:pos="0"/>
          <w:tab w:val="center" w:pos="4513"/>
        </w:tabs>
        <w:kinsoku/>
        <w:wordWrap/>
        <w:overflowPunct/>
        <w:topLinePunct w:val="0"/>
        <w:bidi w:val="0"/>
        <w:adjustRightInd w:val="0"/>
        <w:snapToGrid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3.8供货前，须主动对接使用单位，提供中文使用说明书，含装备简介、使用注意事项及维护保养等内容，确保满足用户需求。</w:t>
      </w:r>
    </w:p>
    <w:p>
      <w:pPr>
        <w:keepNext w:val="0"/>
        <w:keepLines w:val="0"/>
        <w:pageBreakBefore w:val="0"/>
        <w:kinsoku/>
        <w:wordWrap/>
        <w:overflowPunct/>
        <w:topLinePunct w:val="0"/>
        <w:bidi w:val="0"/>
        <w:spacing w:line="460" w:lineRule="exact"/>
        <w:rPr>
          <w:rFonts w:hint="eastAsia" w:ascii="仿宋" w:hAnsi="仿宋" w:eastAsia="仿宋" w:cs="仿宋"/>
          <w:b/>
          <w:color w:val="auto"/>
          <w:kern w:val="0"/>
          <w:sz w:val="24"/>
          <w:szCs w:val="24"/>
          <w:lang w:val="en-US" w:eastAsia="zh-CN"/>
        </w:rPr>
      </w:pPr>
    </w:p>
    <w:p>
      <w:pPr>
        <w:keepNext w:val="0"/>
        <w:keepLines w:val="0"/>
        <w:pageBreakBefore w:val="0"/>
        <w:kinsoku/>
        <w:wordWrap/>
        <w:overflowPunct/>
        <w:topLinePunct w:val="0"/>
        <w:bidi w:val="0"/>
        <w:spacing w:line="460" w:lineRule="exact"/>
        <w:rPr>
          <w:rFonts w:hint="eastAsia" w:ascii="仿宋" w:hAnsi="仿宋" w:eastAsia="仿宋" w:cs="仿宋"/>
          <w:b/>
          <w:color w:val="auto"/>
          <w:sz w:val="24"/>
          <w:szCs w:val="24"/>
          <w:lang w:val="en-US" w:eastAsia="zh-CN"/>
        </w:rPr>
      </w:pPr>
      <w:r>
        <w:rPr>
          <w:rFonts w:hint="eastAsia" w:ascii="仿宋" w:hAnsi="仿宋" w:eastAsia="仿宋" w:cs="仿宋"/>
          <w:b/>
          <w:color w:val="auto"/>
          <w:kern w:val="0"/>
          <w:sz w:val="24"/>
          <w:szCs w:val="24"/>
          <w:lang w:val="en-US" w:eastAsia="zh-CN"/>
        </w:rPr>
        <w:t>47包-3</w:t>
      </w:r>
      <w:r>
        <w:rPr>
          <w:rFonts w:hint="eastAsia" w:ascii="仿宋" w:hAnsi="仿宋" w:eastAsia="仿宋" w:cs="仿宋"/>
          <w:b/>
          <w:color w:val="auto"/>
          <w:kern w:val="0"/>
          <w:sz w:val="24"/>
          <w:szCs w:val="24"/>
        </w:rPr>
        <w:t>：</w:t>
      </w:r>
      <w:r>
        <w:rPr>
          <w:rFonts w:hint="eastAsia" w:ascii="仿宋" w:hAnsi="仿宋" w:eastAsia="仿宋" w:cs="仿宋"/>
          <w:b/>
          <w:color w:val="auto"/>
          <w:sz w:val="24"/>
          <w:szCs w:val="24"/>
          <w:lang w:val="en-US" w:eastAsia="zh-CN"/>
        </w:rPr>
        <w:t>移动水带收卷机</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一、货物名称：移动水带收卷机</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二、产地：国产</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三、主要技术规格、参数及要求</w:t>
      </w:r>
    </w:p>
    <w:p>
      <w:pPr>
        <w:pStyle w:val="13"/>
        <w:keepNext w:val="0"/>
        <w:keepLines w:val="0"/>
        <w:pageBreakBefore w:val="0"/>
        <w:kinsoku/>
        <w:wordWrap/>
        <w:overflowPunct/>
        <w:topLinePunct w:val="0"/>
        <w:bidi w:val="0"/>
        <w:spacing w:line="460" w:lineRule="exact"/>
        <w:rPr>
          <w:rFonts w:hint="eastAsia" w:eastAsia="仿宋"/>
          <w:color w:val="auto"/>
          <w:sz w:val="21"/>
          <w:szCs w:val="24"/>
          <w:lang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3.1</w:t>
      </w:r>
      <w:r>
        <w:rPr>
          <w:rFonts w:hint="eastAsia" w:ascii="仿宋" w:hAnsi="仿宋" w:eastAsia="仿宋" w:cs="仿宋"/>
          <w:color w:val="auto"/>
          <w:sz w:val="24"/>
          <w:szCs w:val="24"/>
        </w:rPr>
        <w:t>提供第三方检测机构出具的检测/检验/试验/测试报告（报告中的型号须与所投产品型号一致）复印件</w:t>
      </w:r>
      <w:r>
        <w:rPr>
          <w:rFonts w:hint="eastAsia" w:ascii="仿宋" w:hAnsi="仿宋" w:eastAsia="仿宋" w:cs="仿宋"/>
          <w:color w:val="auto"/>
          <w:sz w:val="24"/>
          <w:szCs w:val="24"/>
          <w:lang w:eastAsia="zh-CN"/>
        </w:rPr>
        <w:t>；</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3.2体积小、轻便，可随车携带；</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3.3自带24V电源，电量显示，不会卡死、损坏水带，可收卷65型和80型水带；</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3.4持续工作时间≥1.5小时；</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3.5防水性能≥IPX5；</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3.6供货前，须主动对接使用单位，确保满足用户需求。</w:t>
      </w:r>
    </w:p>
    <w:p>
      <w:pPr>
        <w:keepNext w:val="0"/>
        <w:keepLines w:val="0"/>
        <w:pageBreakBefore w:val="0"/>
        <w:widowControl w:val="0"/>
        <w:kinsoku/>
        <w:wordWrap/>
        <w:overflowPunct/>
        <w:topLinePunct w:val="0"/>
        <w:bidi w:val="0"/>
        <w:spacing w:line="460" w:lineRule="exact"/>
        <w:rPr>
          <w:rFonts w:hint="eastAsia" w:ascii="仿宋" w:hAnsi="仿宋" w:eastAsia="仿宋" w:cs="仿宋"/>
          <w:b/>
          <w:color w:val="auto"/>
          <w:kern w:val="0"/>
          <w:sz w:val="24"/>
          <w:szCs w:val="24"/>
          <w:lang w:val="en-US" w:eastAsia="zh-CN"/>
        </w:rPr>
      </w:pPr>
    </w:p>
    <w:p>
      <w:pPr>
        <w:keepNext w:val="0"/>
        <w:keepLines w:val="0"/>
        <w:pageBreakBefore w:val="0"/>
        <w:widowControl w:val="0"/>
        <w:kinsoku/>
        <w:wordWrap/>
        <w:overflowPunct/>
        <w:topLinePunct w:val="0"/>
        <w:bidi w:val="0"/>
        <w:spacing w:line="460" w:lineRule="exact"/>
        <w:outlineLvl w:val="1"/>
        <w:rPr>
          <w:rFonts w:hint="eastAsia" w:ascii="仿宋" w:hAnsi="仿宋" w:eastAsia="仿宋" w:cs="仿宋"/>
          <w:b/>
          <w:color w:val="auto"/>
          <w:sz w:val="24"/>
          <w:szCs w:val="24"/>
          <w:lang w:val="en-US" w:eastAsia="zh-CN"/>
        </w:rPr>
      </w:pPr>
      <w:bookmarkStart w:id="524" w:name="_Toc17043"/>
      <w:bookmarkStart w:id="525" w:name="_Toc32126"/>
      <w:bookmarkStart w:id="526" w:name="_Toc17655"/>
      <w:bookmarkStart w:id="527" w:name="_Toc23286"/>
      <w:bookmarkStart w:id="528" w:name="_Toc20224"/>
      <w:r>
        <w:rPr>
          <w:rFonts w:hint="eastAsia" w:ascii="仿宋" w:hAnsi="仿宋" w:eastAsia="仿宋" w:cs="仿宋"/>
          <w:b/>
          <w:color w:val="auto"/>
          <w:sz w:val="24"/>
          <w:szCs w:val="24"/>
          <w:lang w:val="en-US" w:eastAsia="zh-CN"/>
        </w:rPr>
        <w:t>53包：滑轮套装、挂钩套装、绳索救援套装【核心产品】</w:t>
      </w:r>
      <w:bookmarkEnd w:id="524"/>
      <w:bookmarkEnd w:id="525"/>
      <w:bookmarkEnd w:id="526"/>
      <w:bookmarkEnd w:id="527"/>
      <w:bookmarkEnd w:id="528"/>
    </w:p>
    <w:p>
      <w:pPr>
        <w:keepNext w:val="0"/>
        <w:keepLines w:val="0"/>
        <w:pageBreakBefore w:val="0"/>
        <w:widowControl w:val="0"/>
        <w:kinsoku/>
        <w:wordWrap/>
        <w:overflowPunct/>
        <w:topLinePunct w:val="0"/>
        <w:bidi w:val="0"/>
        <w:spacing w:line="460" w:lineRule="exact"/>
        <w:rPr>
          <w:rFonts w:hint="eastAsia" w:ascii="仿宋" w:hAnsi="仿宋" w:eastAsia="仿宋" w:cs="仿宋"/>
          <w:b/>
          <w:color w:val="auto"/>
          <w:sz w:val="24"/>
          <w:szCs w:val="24"/>
          <w:lang w:val="en-US" w:eastAsia="zh-CN"/>
        </w:rPr>
      </w:pPr>
      <w:r>
        <w:rPr>
          <w:rFonts w:hint="eastAsia" w:ascii="仿宋" w:hAnsi="仿宋" w:eastAsia="仿宋" w:cs="仿宋"/>
          <w:b/>
          <w:color w:val="auto"/>
          <w:kern w:val="0"/>
          <w:sz w:val="24"/>
          <w:szCs w:val="24"/>
          <w:lang w:val="en-US" w:eastAsia="zh-CN"/>
        </w:rPr>
        <w:t>53包-1</w:t>
      </w:r>
      <w:r>
        <w:rPr>
          <w:rFonts w:hint="eastAsia" w:ascii="仿宋" w:hAnsi="仿宋" w:eastAsia="仿宋" w:cs="仿宋"/>
          <w:b/>
          <w:color w:val="auto"/>
          <w:kern w:val="0"/>
          <w:sz w:val="24"/>
          <w:szCs w:val="24"/>
        </w:rPr>
        <w:t>：</w:t>
      </w:r>
      <w:r>
        <w:rPr>
          <w:rFonts w:hint="eastAsia" w:ascii="仿宋" w:hAnsi="仿宋" w:eastAsia="仿宋" w:cs="仿宋"/>
          <w:b/>
          <w:color w:val="auto"/>
          <w:kern w:val="0"/>
          <w:sz w:val="24"/>
          <w:szCs w:val="24"/>
          <w:lang w:val="en-US" w:eastAsia="zh-CN"/>
        </w:rPr>
        <w:t>滑轮套装</w:t>
      </w:r>
    </w:p>
    <w:p>
      <w:pPr>
        <w:keepNext w:val="0"/>
        <w:keepLines w:val="0"/>
        <w:pageBreakBefore w:val="0"/>
        <w:kinsoku/>
        <w:wordWrap/>
        <w:overflowPunct/>
        <w:topLinePunct w:val="0"/>
        <w:bidi w:val="0"/>
        <w:spacing w:line="460" w:lineRule="exac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一、货物名称：滑轮套装</w:t>
      </w:r>
    </w:p>
    <w:p>
      <w:pPr>
        <w:keepNext w:val="0"/>
        <w:keepLines w:val="0"/>
        <w:pageBreakBefore w:val="0"/>
        <w:kinsoku/>
        <w:wordWrap/>
        <w:overflowPunct/>
        <w:topLinePunct w:val="0"/>
        <w:bidi w:val="0"/>
        <w:spacing w:line="460" w:lineRule="exac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二、产地：国产</w:t>
      </w:r>
    </w:p>
    <w:p>
      <w:pPr>
        <w:keepNext w:val="0"/>
        <w:keepLines w:val="0"/>
        <w:pageBreakBefore w:val="0"/>
        <w:kinsoku/>
        <w:wordWrap/>
        <w:overflowPunct/>
        <w:topLinePunct w:val="0"/>
        <w:bidi w:val="0"/>
        <w:spacing w:line="460" w:lineRule="exac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三、主要技术规格、参数及要求：</w:t>
      </w:r>
    </w:p>
    <w:p>
      <w:pPr>
        <w:pStyle w:val="13"/>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kern w:val="0"/>
          <w:sz w:val="24"/>
          <w:szCs w:val="24"/>
          <w:lang w:val="en-US"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bidi="ar"/>
        </w:rPr>
        <w:t>3.1产品符合</w:t>
      </w:r>
      <w:r>
        <w:rPr>
          <w:rFonts w:hint="eastAsia" w:ascii="仿宋" w:hAnsi="仿宋" w:eastAsia="仿宋" w:cs="仿宋"/>
          <w:color w:val="auto"/>
          <w:sz w:val="24"/>
          <w:szCs w:val="24"/>
          <w:lang w:val="en-US" w:eastAsia="zh-CN"/>
        </w:rPr>
        <w:t>XF494-2023《消防用防坠落装备》</w:t>
      </w:r>
      <w:r>
        <w:rPr>
          <w:rFonts w:hint="eastAsia" w:ascii="仿宋" w:hAnsi="仿宋" w:eastAsia="仿宋" w:cs="仿宋"/>
          <w:color w:val="auto"/>
          <w:sz w:val="24"/>
          <w:szCs w:val="24"/>
          <w:lang w:val="en-US" w:eastAsia="zh-CN" w:bidi="ar"/>
        </w:rPr>
        <w:t>标准的要求，</w:t>
      </w:r>
      <w:r>
        <w:rPr>
          <w:rFonts w:hint="eastAsia" w:ascii="仿宋" w:hAnsi="仿宋" w:eastAsia="仿宋" w:cs="仿宋"/>
          <w:color w:val="auto"/>
          <w:sz w:val="24"/>
          <w:szCs w:val="24"/>
        </w:rPr>
        <w:t>提供第三方检测机构出具的检测/检验/试验/测试报告（报告中的型号须与所投产品型号一致）复印件</w:t>
      </w:r>
      <w:r>
        <w:rPr>
          <w:rFonts w:hint="eastAsia" w:ascii="仿宋" w:hAnsi="仿宋" w:eastAsia="仿宋" w:cs="仿宋"/>
          <w:color w:val="auto"/>
          <w:sz w:val="24"/>
          <w:szCs w:val="24"/>
          <w:lang w:eastAsia="zh-CN"/>
        </w:rPr>
        <w:t>；</w:t>
      </w:r>
      <w:r>
        <w:rPr>
          <w:rFonts w:hint="eastAsia" w:ascii="仿宋" w:hAnsi="仿宋" w:eastAsia="仿宋" w:cs="仿宋"/>
          <w:color w:val="auto"/>
          <w:kern w:val="0"/>
          <w:sz w:val="24"/>
          <w:szCs w:val="24"/>
          <w:lang w:val="en-US" w:eastAsia="zh-CN"/>
        </w:rPr>
        <w:t>报告中至少含有单滑轮、双滑轮、单向滑轮的参数检测结果；若各部件单独提供报告，则至少需分别提供单滑轮、双滑轮、单向滑轮的检测报告；</w:t>
      </w:r>
    </w:p>
    <w:p>
      <w:pPr>
        <w:keepNext w:val="0"/>
        <w:keepLines w:val="0"/>
        <w:pageBreakBefore w:val="0"/>
        <w:kinsoku/>
        <w:wordWrap/>
        <w:overflowPunct/>
        <w:topLinePunct w:val="0"/>
        <w:bidi w:val="0"/>
        <w:spacing w:line="460" w:lineRule="exac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3.2滑轮套装包含小滑轮1个、单滑轮1个、双滑轮1个、单向滑轮1个；</w:t>
      </w:r>
    </w:p>
    <w:p>
      <w:pPr>
        <w:keepNext w:val="0"/>
        <w:keepLines w:val="0"/>
        <w:pageBreakBefore w:val="0"/>
        <w:kinsoku/>
        <w:wordWrap/>
        <w:overflowPunct/>
        <w:topLinePunct w:val="0"/>
        <w:bidi w:val="0"/>
        <w:spacing w:line="460" w:lineRule="exact"/>
        <w:rPr>
          <w:rFonts w:hint="eastAsia" w:ascii="仿宋" w:hAnsi="仿宋" w:eastAsia="仿宋" w:cs="仿宋"/>
          <w:b/>
          <w:color w:val="auto"/>
          <w:kern w:val="0"/>
          <w:sz w:val="24"/>
          <w:szCs w:val="24"/>
          <w:lang w:val="en-US" w:eastAsia="zh-CN"/>
        </w:rPr>
      </w:pPr>
      <w:r>
        <w:rPr>
          <w:rFonts w:hint="eastAsia" w:ascii="仿宋" w:hAnsi="仿宋" w:eastAsia="仿宋" w:cs="仿宋"/>
          <w:b/>
          <w:color w:val="auto"/>
          <w:kern w:val="0"/>
          <w:sz w:val="24"/>
          <w:szCs w:val="24"/>
          <w:lang w:val="en-US" w:eastAsia="zh-CN"/>
        </w:rPr>
        <w:t>3.3小滑轮</w:t>
      </w:r>
    </w:p>
    <w:p>
      <w:pPr>
        <w:keepNext w:val="0"/>
        <w:keepLines w:val="0"/>
        <w:pageBreakBefore w:val="0"/>
        <w:kinsoku/>
        <w:wordWrap/>
        <w:overflowPunct/>
        <w:topLinePunct w:val="0"/>
        <w:bidi w:val="0"/>
        <w:spacing w:line="460" w:lineRule="exac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3.3.1用于架设横渡系统或倍力系统，活动侧板方便在绳索上任意安装或拆卸，适合各种方向、方式连接，随时可以在动滑轮或静滑轮之间切换转变；</w:t>
      </w:r>
    </w:p>
    <w:p>
      <w:pPr>
        <w:keepNext w:val="0"/>
        <w:keepLines w:val="0"/>
        <w:pageBreakBefore w:val="0"/>
        <w:kinsoku/>
        <w:wordWrap/>
        <w:overflowPunct/>
        <w:topLinePunct w:val="0"/>
        <w:bidi w:val="0"/>
        <w:spacing w:line="460" w:lineRule="exac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3.3.2组成部分：由轮体、轴、支架和轴承四部分组成；</w:t>
      </w:r>
    </w:p>
    <w:p>
      <w:pPr>
        <w:keepNext w:val="0"/>
        <w:keepLines w:val="0"/>
        <w:pageBreakBefore w:val="0"/>
        <w:kinsoku/>
        <w:wordWrap/>
        <w:overflowPunct/>
        <w:topLinePunct w:val="0"/>
        <w:bidi w:val="0"/>
        <w:spacing w:line="460" w:lineRule="exact"/>
        <w:rPr>
          <w:rFonts w:hint="eastAsia" w:ascii="仿宋" w:hAnsi="仿宋" w:eastAsia="仿宋" w:cs="仿宋"/>
          <w:b/>
          <w:color w:val="auto"/>
          <w:kern w:val="0"/>
          <w:sz w:val="24"/>
          <w:szCs w:val="24"/>
          <w:lang w:val="en-US"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3.3.3重量≤160g；材质：铝合金；适合绳径：8-13mm；工作负荷：≥20kN；极限负荷：≥36kN；</w:t>
      </w:r>
    </w:p>
    <w:p>
      <w:pPr>
        <w:keepNext w:val="0"/>
        <w:keepLines w:val="0"/>
        <w:pageBreakBefore w:val="0"/>
        <w:kinsoku/>
        <w:wordWrap/>
        <w:overflowPunct/>
        <w:topLinePunct w:val="0"/>
        <w:bidi w:val="0"/>
        <w:spacing w:line="460" w:lineRule="exact"/>
        <w:rPr>
          <w:rFonts w:hint="eastAsia" w:ascii="仿宋" w:hAnsi="仿宋" w:eastAsia="仿宋" w:cs="仿宋"/>
          <w:b/>
          <w:color w:val="auto"/>
          <w:kern w:val="0"/>
          <w:sz w:val="24"/>
          <w:szCs w:val="24"/>
          <w:lang w:val="en-US" w:eastAsia="zh-CN"/>
        </w:rPr>
      </w:pPr>
      <w:r>
        <w:rPr>
          <w:rFonts w:hint="eastAsia" w:ascii="仿宋" w:hAnsi="仿宋" w:eastAsia="仿宋" w:cs="仿宋"/>
          <w:b/>
          <w:color w:val="auto"/>
          <w:kern w:val="0"/>
          <w:sz w:val="24"/>
          <w:szCs w:val="24"/>
          <w:lang w:val="en-US" w:eastAsia="zh-CN"/>
        </w:rPr>
        <w:t>3.4单滑轮</w:t>
      </w:r>
    </w:p>
    <w:p>
      <w:pPr>
        <w:keepNext w:val="0"/>
        <w:keepLines w:val="0"/>
        <w:pageBreakBefore w:val="0"/>
        <w:kinsoku/>
        <w:wordWrap/>
        <w:overflowPunct/>
        <w:topLinePunct w:val="0"/>
        <w:bidi w:val="0"/>
        <w:spacing w:line="460" w:lineRule="exac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3.4.1主要功能：单滑轮是与安全绳、安全吊带和安全腰带配套使用的承载部件，可完成救援人员的上升、下降、空中意外坠落保护及空中悬停；</w:t>
      </w:r>
    </w:p>
    <w:p>
      <w:pPr>
        <w:keepNext w:val="0"/>
        <w:keepLines w:val="0"/>
        <w:pageBreakBefore w:val="0"/>
        <w:kinsoku/>
        <w:wordWrap/>
        <w:overflowPunct/>
        <w:topLinePunct w:val="0"/>
        <w:bidi w:val="0"/>
        <w:spacing w:line="460" w:lineRule="exac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3.4.2组成部分：由轮体、轴、支架和轴承四部分组成；</w:t>
      </w:r>
    </w:p>
    <w:p>
      <w:pPr>
        <w:keepNext w:val="0"/>
        <w:keepLines w:val="0"/>
        <w:pageBreakBefore w:val="0"/>
        <w:widowControl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3.4.3重量：≤270g；材质：铝合金；适合绳径：8-13mm；工作负荷：≥22kN；极限负荷：≥36kN；滑轮效率：滑轮配有轴承；</w:t>
      </w:r>
    </w:p>
    <w:p>
      <w:pPr>
        <w:keepNext w:val="0"/>
        <w:keepLines w:val="0"/>
        <w:pageBreakBefore w:val="0"/>
        <w:kinsoku/>
        <w:wordWrap/>
        <w:overflowPunct/>
        <w:topLinePunct w:val="0"/>
        <w:bidi w:val="0"/>
        <w:spacing w:line="460" w:lineRule="exact"/>
        <w:rPr>
          <w:rFonts w:hint="eastAsia" w:ascii="仿宋" w:hAnsi="仿宋" w:eastAsia="仿宋" w:cs="仿宋"/>
          <w:b/>
          <w:color w:val="auto"/>
          <w:kern w:val="0"/>
          <w:sz w:val="24"/>
          <w:szCs w:val="24"/>
          <w:lang w:val="en-US" w:eastAsia="zh-CN"/>
        </w:rPr>
      </w:pPr>
      <w:r>
        <w:rPr>
          <w:rFonts w:hint="eastAsia" w:ascii="仿宋" w:hAnsi="仿宋" w:eastAsia="仿宋" w:cs="仿宋"/>
          <w:b/>
          <w:color w:val="auto"/>
          <w:kern w:val="0"/>
          <w:sz w:val="24"/>
          <w:szCs w:val="24"/>
          <w:lang w:val="en-US" w:eastAsia="zh-CN"/>
        </w:rPr>
        <w:t>3.5双滑轮</w:t>
      </w:r>
    </w:p>
    <w:p>
      <w:pPr>
        <w:keepNext w:val="0"/>
        <w:keepLines w:val="0"/>
        <w:pageBreakBefore w:val="0"/>
        <w:kinsoku/>
        <w:wordWrap/>
        <w:overflowPunct/>
        <w:topLinePunct w:val="0"/>
        <w:bidi w:val="0"/>
        <w:spacing w:line="460" w:lineRule="exac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3.5.1用于架设横渡系统或倍力系统，活动侧板方便在绳索上任意安装或拆卸，中心平衡片的连接环和同轴安装的双滑轮可以轻松组成各种形式的提升及救援系统；</w:t>
      </w:r>
    </w:p>
    <w:p>
      <w:pPr>
        <w:keepNext w:val="0"/>
        <w:keepLines w:val="0"/>
        <w:pageBreakBefore w:val="0"/>
        <w:kinsoku/>
        <w:wordWrap/>
        <w:overflowPunct/>
        <w:topLinePunct w:val="0"/>
        <w:bidi w:val="0"/>
        <w:spacing w:line="460" w:lineRule="exac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3.5.2组成部分：由轮体、轴、支架和轴承四部分组成；</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3.5.3重量：≤450g；材质：铝合金；适用绳径：单绳8-13mm；工作负荷：≥22KN；破断负荷：≥36kN；</w:t>
      </w:r>
    </w:p>
    <w:p>
      <w:pPr>
        <w:keepNext w:val="0"/>
        <w:keepLines w:val="0"/>
        <w:pageBreakBefore w:val="0"/>
        <w:kinsoku/>
        <w:wordWrap/>
        <w:overflowPunct/>
        <w:topLinePunct w:val="0"/>
        <w:bidi w:val="0"/>
        <w:spacing w:line="460" w:lineRule="exact"/>
        <w:rPr>
          <w:rFonts w:hint="eastAsia" w:ascii="仿宋" w:hAnsi="仿宋" w:eastAsia="仿宋" w:cs="仿宋"/>
          <w:b/>
          <w:color w:val="auto"/>
          <w:kern w:val="0"/>
          <w:sz w:val="24"/>
          <w:szCs w:val="24"/>
          <w:lang w:val="en-US" w:eastAsia="zh-CN"/>
        </w:rPr>
      </w:pPr>
      <w:r>
        <w:rPr>
          <w:rFonts w:hint="eastAsia" w:ascii="仿宋" w:hAnsi="仿宋" w:eastAsia="仿宋" w:cs="仿宋"/>
          <w:b/>
          <w:color w:val="auto"/>
          <w:kern w:val="0"/>
          <w:sz w:val="24"/>
          <w:szCs w:val="24"/>
          <w:lang w:val="en-US" w:eastAsia="zh-CN"/>
        </w:rPr>
        <w:t>3.6单向滑轮</w:t>
      </w:r>
    </w:p>
    <w:p>
      <w:pPr>
        <w:keepNext w:val="0"/>
        <w:keepLines w:val="0"/>
        <w:pageBreakBefore w:val="0"/>
        <w:kinsoku/>
        <w:wordWrap/>
        <w:overflowPunct/>
        <w:topLinePunct w:val="0"/>
        <w:bidi w:val="0"/>
        <w:spacing w:line="460" w:lineRule="exac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3.6.1</w:t>
      </w:r>
      <w:r>
        <w:rPr>
          <w:rFonts w:hint="eastAsia" w:ascii="仿宋" w:hAnsi="仿宋" w:eastAsia="仿宋" w:cs="仿宋"/>
          <w:color w:val="auto"/>
          <w:kern w:val="0"/>
          <w:sz w:val="24"/>
          <w:szCs w:val="24"/>
        </w:rPr>
        <w:t>用于绳索上升时救援和自救等情况，移动侧板用于安装绳索；可以提拉轻物体；</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3.6.2单体重量≤150g；最大负荷：向上≥20KN；使用绳索直径：8-13mm，扁带宽度：10-16mm。</w:t>
      </w:r>
    </w:p>
    <w:p>
      <w:pPr>
        <w:keepNext w:val="0"/>
        <w:keepLines w:val="0"/>
        <w:pageBreakBefore w:val="0"/>
        <w:kinsoku/>
        <w:wordWrap/>
        <w:overflowPunct/>
        <w:topLinePunct w:val="0"/>
        <w:bidi w:val="0"/>
        <w:spacing w:line="460" w:lineRule="exact"/>
        <w:rPr>
          <w:rFonts w:hint="eastAsia" w:ascii="仿宋" w:hAnsi="仿宋" w:eastAsia="仿宋" w:cs="仿宋"/>
          <w:b/>
          <w:color w:val="auto"/>
          <w:kern w:val="0"/>
          <w:sz w:val="24"/>
          <w:szCs w:val="24"/>
          <w:lang w:val="en-US" w:eastAsia="zh-CN"/>
        </w:rPr>
      </w:pPr>
    </w:p>
    <w:p>
      <w:pPr>
        <w:keepNext w:val="0"/>
        <w:keepLines w:val="0"/>
        <w:pageBreakBefore w:val="0"/>
        <w:kinsoku/>
        <w:wordWrap/>
        <w:overflowPunct/>
        <w:topLinePunct w:val="0"/>
        <w:bidi w:val="0"/>
        <w:spacing w:line="460" w:lineRule="exact"/>
        <w:rPr>
          <w:rFonts w:hint="eastAsia" w:ascii="仿宋" w:hAnsi="仿宋" w:eastAsia="仿宋" w:cs="仿宋"/>
          <w:b/>
          <w:color w:val="auto"/>
          <w:sz w:val="24"/>
          <w:szCs w:val="24"/>
          <w:lang w:val="en-US" w:eastAsia="zh-CN"/>
        </w:rPr>
      </w:pPr>
      <w:r>
        <w:rPr>
          <w:rFonts w:hint="eastAsia" w:ascii="仿宋" w:hAnsi="仿宋" w:eastAsia="仿宋" w:cs="仿宋"/>
          <w:b/>
          <w:color w:val="auto"/>
          <w:kern w:val="0"/>
          <w:sz w:val="24"/>
          <w:szCs w:val="24"/>
          <w:lang w:val="en-US" w:eastAsia="zh-CN"/>
        </w:rPr>
        <w:t>53包-2</w:t>
      </w:r>
      <w:r>
        <w:rPr>
          <w:rFonts w:hint="eastAsia" w:ascii="仿宋" w:hAnsi="仿宋" w:eastAsia="仿宋" w:cs="仿宋"/>
          <w:b/>
          <w:color w:val="auto"/>
          <w:kern w:val="0"/>
          <w:sz w:val="24"/>
          <w:szCs w:val="24"/>
        </w:rPr>
        <w:t>：</w:t>
      </w:r>
      <w:r>
        <w:rPr>
          <w:rFonts w:hint="eastAsia" w:ascii="仿宋" w:hAnsi="仿宋" w:eastAsia="仿宋" w:cs="仿宋"/>
          <w:b/>
          <w:color w:val="auto"/>
          <w:sz w:val="24"/>
          <w:szCs w:val="24"/>
          <w:lang w:val="en-US" w:eastAsia="zh-CN"/>
        </w:rPr>
        <w:t>挂钩套装</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一、货物名称：挂钩套装</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二、产地：国产</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三、主要技术规格、参数及要求</w:t>
      </w:r>
    </w:p>
    <w:p>
      <w:pPr>
        <w:pStyle w:val="13"/>
        <w:keepNext w:val="0"/>
        <w:keepLines w:val="0"/>
        <w:pageBreakBefore w:val="0"/>
        <w:kinsoku/>
        <w:wordWrap/>
        <w:overflowPunct/>
        <w:topLinePunct w:val="0"/>
        <w:bidi w:val="0"/>
        <w:spacing w:line="460" w:lineRule="exact"/>
        <w:rPr>
          <w:rFonts w:hint="eastAsia" w:ascii="仿宋" w:hAnsi="仿宋" w:eastAsia="宋体" w:cs="仿宋"/>
          <w:color w:val="auto"/>
          <w:sz w:val="24"/>
          <w:szCs w:val="24"/>
          <w:lang w:val="en-US"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bidi="ar"/>
        </w:rPr>
        <w:t>3.1产品符合</w:t>
      </w:r>
      <w:r>
        <w:rPr>
          <w:rFonts w:hint="eastAsia" w:ascii="仿宋" w:hAnsi="仿宋" w:eastAsia="仿宋" w:cs="仿宋"/>
          <w:color w:val="auto"/>
          <w:sz w:val="24"/>
          <w:szCs w:val="24"/>
          <w:lang w:val="en-US" w:eastAsia="zh-CN"/>
        </w:rPr>
        <w:t>XF494-2023《消防用防坠落装备》</w:t>
      </w:r>
      <w:r>
        <w:rPr>
          <w:rFonts w:hint="eastAsia" w:ascii="仿宋" w:hAnsi="仿宋" w:eastAsia="仿宋" w:cs="仿宋"/>
          <w:color w:val="auto"/>
          <w:sz w:val="24"/>
          <w:szCs w:val="24"/>
          <w:lang w:val="en-US" w:eastAsia="zh-CN" w:bidi="ar"/>
        </w:rPr>
        <w:t>标准的要求，</w:t>
      </w:r>
      <w:r>
        <w:rPr>
          <w:rFonts w:hint="eastAsia" w:ascii="仿宋" w:hAnsi="仿宋" w:eastAsia="仿宋" w:cs="仿宋"/>
          <w:color w:val="auto"/>
          <w:sz w:val="24"/>
          <w:szCs w:val="24"/>
        </w:rPr>
        <w:t>提供第三方检测机构出具的检测/检验/试验/测试报告（报告中的型号须与所投产品型号一致）复印件</w:t>
      </w:r>
      <w:r>
        <w:rPr>
          <w:rFonts w:hint="eastAsia" w:ascii="仿宋" w:hAnsi="仿宋" w:eastAsia="仿宋" w:cs="仿宋"/>
          <w:color w:val="auto"/>
          <w:sz w:val="24"/>
          <w:szCs w:val="24"/>
          <w:lang w:eastAsia="zh-CN" w:bidi="ar"/>
        </w:rPr>
        <w:t>；若单独提供检查报告，则应提供</w:t>
      </w:r>
      <w:r>
        <w:rPr>
          <w:rFonts w:hint="eastAsia" w:ascii="仿宋" w:hAnsi="仿宋" w:eastAsia="仿宋" w:cs="仿宋"/>
          <w:color w:val="auto"/>
          <w:sz w:val="24"/>
          <w:szCs w:val="24"/>
          <w:lang w:val="en-US" w:eastAsia="zh-CN" w:bidi="ar"/>
        </w:rPr>
        <w:t>0型钩、D型钩、梨形</w:t>
      </w:r>
      <w:r>
        <w:rPr>
          <w:rFonts w:hint="eastAsia" w:ascii="仿宋" w:hAnsi="仿宋" w:eastAsia="仿宋" w:cs="仿宋"/>
          <w:color w:val="auto"/>
          <w:sz w:val="24"/>
          <w:szCs w:val="24"/>
          <w:lang w:val="en-US" w:eastAsia="zh-CN"/>
        </w:rPr>
        <w:t>钩的检测报告。</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3.2套装包含0型钩2个，D型钩2个，梨形钩2个，其中O型钩规格为通用型安全钩，D型钩、梨形钩规格为轻型安全钩；</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3.3在开口闭合状态时，轻型安全钩长轴的破断强度应≥22kN；通用型安全钩长轴的破断强度应≥40kN；</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3.4轻型安全钩短轴的破断强度应≥7kN；通用型安全钩短轴的破断强度应≥11kN；</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3.5提供中文使用说明书，含装备简介、使用注意事项及维护保养等内容；</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3.6供货前，须主动对接使用单位，确保满足用户需求。</w:t>
      </w:r>
    </w:p>
    <w:p>
      <w:pPr>
        <w:keepNext w:val="0"/>
        <w:keepLines w:val="0"/>
        <w:pageBreakBefore w:val="0"/>
        <w:kinsoku/>
        <w:wordWrap/>
        <w:overflowPunct/>
        <w:topLinePunct w:val="0"/>
        <w:bidi w:val="0"/>
        <w:spacing w:line="460" w:lineRule="exact"/>
        <w:rPr>
          <w:rFonts w:hint="eastAsia" w:ascii="仿宋" w:hAnsi="仿宋" w:eastAsia="仿宋" w:cs="仿宋"/>
          <w:b/>
          <w:color w:val="auto"/>
          <w:kern w:val="0"/>
          <w:sz w:val="24"/>
          <w:szCs w:val="24"/>
          <w:lang w:val="en-US" w:eastAsia="zh-CN"/>
        </w:rPr>
      </w:pPr>
    </w:p>
    <w:p>
      <w:pPr>
        <w:keepNext w:val="0"/>
        <w:keepLines w:val="0"/>
        <w:pageBreakBefore w:val="0"/>
        <w:kinsoku/>
        <w:wordWrap/>
        <w:overflowPunct/>
        <w:topLinePunct w:val="0"/>
        <w:bidi w:val="0"/>
        <w:spacing w:line="460" w:lineRule="exact"/>
        <w:rPr>
          <w:rFonts w:hint="eastAsia" w:ascii="仿宋" w:hAnsi="仿宋" w:eastAsia="仿宋" w:cs="仿宋"/>
          <w:b/>
          <w:color w:val="auto"/>
          <w:kern w:val="0"/>
          <w:sz w:val="24"/>
          <w:szCs w:val="24"/>
          <w:lang w:val="en-US" w:eastAsia="zh-CN"/>
        </w:rPr>
      </w:pPr>
      <w:r>
        <w:rPr>
          <w:rFonts w:hint="eastAsia" w:ascii="仿宋" w:hAnsi="仿宋" w:eastAsia="仿宋" w:cs="仿宋"/>
          <w:b/>
          <w:color w:val="auto"/>
          <w:kern w:val="0"/>
          <w:sz w:val="24"/>
          <w:szCs w:val="24"/>
          <w:lang w:val="en-US" w:eastAsia="zh-CN"/>
        </w:rPr>
        <w:t>53包-3</w:t>
      </w:r>
      <w:r>
        <w:rPr>
          <w:rFonts w:hint="eastAsia" w:ascii="仿宋" w:hAnsi="仿宋" w:eastAsia="仿宋" w:cs="仿宋"/>
          <w:b/>
          <w:color w:val="auto"/>
          <w:kern w:val="0"/>
          <w:sz w:val="24"/>
          <w:szCs w:val="24"/>
        </w:rPr>
        <w:t>：</w:t>
      </w:r>
      <w:r>
        <w:rPr>
          <w:rFonts w:hint="eastAsia" w:ascii="仿宋" w:hAnsi="仿宋" w:eastAsia="仿宋" w:cs="仿宋"/>
          <w:b/>
          <w:color w:val="auto"/>
          <w:kern w:val="0"/>
          <w:sz w:val="24"/>
          <w:szCs w:val="24"/>
          <w:lang w:val="en-US" w:eastAsia="zh-CN"/>
        </w:rPr>
        <w:t>绳索救援套装</w:t>
      </w:r>
    </w:p>
    <w:p>
      <w:pPr>
        <w:keepNext w:val="0"/>
        <w:keepLines w:val="0"/>
        <w:pageBreakBefore w:val="0"/>
        <w:kinsoku/>
        <w:wordWrap/>
        <w:overflowPunct/>
        <w:topLinePunct w:val="0"/>
        <w:bidi w:val="0"/>
        <w:adjustRightInd w:val="0"/>
        <w:snapToGrid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一、货物名称：绳索救援套装</w:t>
      </w:r>
    </w:p>
    <w:p>
      <w:pPr>
        <w:keepNext w:val="0"/>
        <w:keepLines w:val="0"/>
        <w:pageBreakBefore w:val="0"/>
        <w:kinsoku/>
        <w:wordWrap/>
        <w:overflowPunct/>
        <w:topLinePunct w:val="0"/>
        <w:bidi w:val="0"/>
        <w:adjustRightInd w:val="0"/>
        <w:snapToGrid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二、产地：国产</w:t>
      </w:r>
    </w:p>
    <w:p>
      <w:pPr>
        <w:keepNext w:val="0"/>
        <w:keepLines w:val="0"/>
        <w:pageBreakBefore w:val="0"/>
        <w:kinsoku/>
        <w:wordWrap/>
        <w:overflowPunct/>
        <w:topLinePunct w:val="0"/>
        <w:bidi w:val="0"/>
        <w:adjustRightInd w:val="0"/>
        <w:snapToGrid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三、主要技术规格、参数及要求</w:t>
      </w:r>
    </w:p>
    <w:p>
      <w:pPr>
        <w:pStyle w:val="13"/>
        <w:keepNext w:val="0"/>
        <w:keepLines w:val="0"/>
        <w:pageBreakBefore w:val="0"/>
        <w:kinsoku/>
        <w:wordWrap/>
        <w:overflowPunct/>
        <w:topLinePunct w:val="0"/>
        <w:bidi w:val="0"/>
        <w:spacing w:line="460" w:lineRule="exact"/>
        <w:rPr>
          <w:rFonts w:hint="eastAsia" w:eastAsia="仿宋"/>
          <w:color w:val="auto"/>
          <w:sz w:val="21"/>
          <w:szCs w:val="24"/>
          <w:highlight w:val="none"/>
          <w:lang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3.1</w:t>
      </w:r>
      <w:r>
        <w:rPr>
          <w:rFonts w:hint="eastAsia" w:ascii="仿宋" w:hAnsi="仿宋" w:eastAsia="仿宋" w:cs="仿宋"/>
          <w:color w:val="auto"/>
          <w:sz w:val="24"/>
          <w:szCs w:val="24"/>
        </w:rPr>
        <w:t>提供第三方检测机构出具的检测/检验/试验/测试报告（报告中的型号须与所投产品型号一致）复印件</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highlight w:val="none"/>
          <w:lang w:val="en-US" w:eastAsia="zh-CN"/>
        </w:rPr>
        <w:t>若各部件单独提供报告，则至少需分别提供全身式安全吊带、下降器、上升器、双滑轮、单滑轮的检测报告；</w:t>
      </w:r>
    </w:p>
    <w:p>
      <w:pPr>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3.2静力绳：绳索数量2根、包芯绳结构、绳索直径：10.5mm±0.5mm、单根绳索长度：≥100m、绳索两端的显著位置有标注品牌、长度、直径等信息；</w:t>
      </w:r>
    </w:p>
    <w:p>
      <w:pPr>
        <w:keepNext w:val="0"/>
        <w:keepLines w:val="0"/>
        <w:pageBreakBefore w:val="0"/>
        <w:widowControl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3.3器材包：能容纳下全部装备、防水、有外部扩展挂点，可外挂头盔等物品；</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3.4绳包：材质为防水材质，可容纳200米静力绳；</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3.5绳索保护套：材质为800D以上耐磨材质、长度50±2cm、可容纳2根10.5mm绳索；</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3.6全身式安全吊带：数量2件、带有五挂点分别位于胸前、腹部和后背、可倒置使用、内置一体式胸式上升器，腹部连接点可打开，方便连接挽索、上升器等；</w:t>
      </w:r>
    </w:p>
    <w:p>
      <w:pPr>
        <w:keepNext w:val="0"/>
        <w:keepLines w:val="0"/>
        <w:pageBreakBefore w:val="0"/>
        <w:kinsoku/>
        <w:wordWrap/>
        <w:overflowPunct/>
        <w:topLinePunct w:val="0"/>
        <w:bidi w:val="0"/>
        <w:spacing w:line="46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3.7 下降器：使用绳索直径：9-12mm，可承重：≥200kg、</w:t>
      </w:r>
      <w:r>
        <w:rPr>
          <w:rFonts w:hint="eastAsia" w:ascii="仿宋" w:hAnsi="仿宋" w:eastAsia="仿宋" w:cs="仿宋"/>
          <w:b w:val="0"/>
          <w:bCs/>
          <w:color w:val="auto"/>
          <w:sz w:val="24"/>
          <w:szCs w:val="24"/>
          <w:highlight w:val="none"/>
          <w:lang w:val="en-US" w:eastAsia="zh-CN"/>
        </w:rPr>
        <w:t>极限负荷≥13kN;</w:t>
      </w:r>
    </w:p>
    <w:p>
      <w:pPr>
        <w:keepNext w:val="0"/>
        <w:keepLines w:val="0"/>
        <w:pageBreakBefore w:val="0"/>
        <w:kinsoku/>
        <w:wordWrap/>
        <w:overflowPunct/>
        <w:topLinePunct w:val="0"/>
        <w:bidi w:val="0"/>
        <w:spacing w:line="460" w:lineRule="exact"/>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3.8上升器：数量2个、使用绳索直径：9-12mm；</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3.9游动止坠器：数量1个，绳索使用范围：9-12mm，工作负荷≥200kg、含专用势能吸收包；</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3.10 O形环：数量4个、纵向拉力≥26kN、横向拉力≥8kN；</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3.11抓绳器：适用绳索直径单绳(9-12mm)，工作负荷：≥11kN、开口式、可方便安放于绳索中部；</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3.12双滑轮：数量1个，最大工作负荷：≥12kN、适合绳索直径：9-12mm；</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3.13单滑轮：数量1个，最大工作负荷：≥8kN、适合绳索直径：9-12mm；</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3.14 5孔分力板：数量2块、最小破断强度≥40kN；</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3.15铝制D型环：数量4个、最小断裂强度≥24kN、开口尺寸≥20mm、内径≥87mm、重量≤80g；</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3.16铝制D型环：数量4个、最小断裂强度≥45kN，开口尺寸≥50mm，内径≥160mm，重≤270g；</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3.17铝制锚分配器：数量1个、有四个小孔一个大孔、四个小孔直径≥22mm、一个大孔直径≥50mm、最小断裂强度≥40kN、重量≤210g；</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3.18救援滑轮：数量2个、</w:t>
      </w:r>
      <w:r>
        <w:rPr>
          <w:rFonts w:hint="eastAsia" w:ascii="仿宋" w:hAnsi="仿宋" w:eastAsia="仿宋" w:cs="仿宋"/>
          <w:b w:val="0"/>
          <w:bCs/>
          <w:color w:val="auto"/>
          <w:sz w:val="24"/>
          <w:szCs w:val="24"/>
          <w:lang w:val="en-US" w:eastAsia="zh-CN"/>
        </w:rPr>
        <w:t>最小断裂强度≥55kN、</w:t>
      </w:r>
      <w:r>
        <w:rPr>
          <w:rFonts w:hint="eastAsia" w:ascii="仿宋" w:hAnsi="仿宋" w:eastAsia="仿宋" w:cs="仿宋"/>
          <w:color w:val="auto"/>
          <w:sz w:val="24"/>
          <w:szCs w:val="24"/>
          <w:lang w:val="en-US" w:eastAsia="zh-CN"/>
        </w:rPr>
        <w:t>重量≤165g；</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3.19单滑轮：数量1个、带360度可旋转挂点、滑轮可在任意角度旋转、侧板可打开直接嵌入绳索、无需解开绳索挂点、最小断裂强度：≥40kN；</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3.20过绳结滑轮：最小断裂强度≥42kN，重量≤710g；</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3.21鸡爪绳：数量4条、直径8mm、最小断裂强度≥18kN、重量≤65g；</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3.22锚点固定带：数量1条、长度可调范围：80-130cm、两段设有金属环、最小断裂强度≥20kN；</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3.23救援扁带：数量4条、最小断裂强度≥15kN；</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3.24短连接：使用缝合扁带连接、扁带长≥10cm、强度≥20kN、两段各配有1把丝扣O形锁、其中一端锁有可靠限位措施；</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3.25伤员救助吊带：数量1条、强度按I类吊带设计、腰部和腿部有快速连接口；</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3.26头盔：数量4个、悬浮扁带系统、头盔有≥10个可开关的通风孔、带有4个固定头灯的附件、重量≤450g、适合头围51-62cm；</w:t>
      </w:r>
    </w:p>
    <w:p>
      <w:pPr>
        <w:keepNext w:val="0"/>
        <w:keepLines w:val="0"/>
        <w:pageBreakBefore w:val="0"/>
        <w:widowControl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3.27牛皮手套：数量4双；</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3.28水上救生绳：绳索直径：10.5-11.5mm、绳索长度：≥30m，水面漂浮时间≥48h；</w:t>
      </w:r>
    </w:p>
    <w:p>
      <w:pPr>
        <w:keepNext w:val="0"/>
        <w:keepLines w:val="0"/>
        <w:pageBreakBefore w:val="0"/>
        <w:kinsoku/>
        <w:wordWrap/>
        <w:overflowPunct/>
        <w:topLinePunct w:val="0"/>
        <w:bidi w:val="0"/>
        <w:adjustRightInd w:val="0"/>
        <w:snapToGrid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3.29抛绳包：长度15-20m；</w:t>
      </w:r>
    </w:p>
    <w:p>
      <w:pPr>
        <w:keepNext w:val="0"/>
        <w:keepLines w:val="0"/>
        <w:pageBreakBefore w:val="0"/>
        <w:kinsoku/>
        <w:wordWrap/>
        <w:overflowPunct/>
        <w:topLinePunct w:val="0"/>
        <w:bidi w:val="0"/>
        <w:adjustRightInd w:val="0"/>
        <w:snapToGrid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3.30救援人员随身腰包：便于收纳绳索附件、不易脱落；</w:t>
      </w:r>
    </w:p>
    <w:p>
      <w:pPr>
        <w:keepNext w:val="0"/>
        <w:keepLines w:val="0"/>
        <w:pageBreakBefore w:val="0"/>
        <w:kinsoku/>
        <w:wordWrap/>
        <w:overflowPunct/>
        <w:topLinePunct w:val="0"/>
        <w:bidi w:val="0"/>
        <w:adjustRightInd w:val="0"/>
        <w:snapToGrid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3.31套圈：数量2个；</w:t>
      </w:r>
    </w:p>
    <w:p>
      <w:pPr>
        <w:keepNext w:val="0"/>
        <w:keepLines w:val="0"/>
        <w:pageBreakBefore w:val="0"/>
        <w:kinsoku/>
        <w:wordWrap/>
        <w:overflowPunct/>
        <w:topLinePunct w:val="0"/>
        <w:bidi w:val="0"/>
        <w:adjustRightInd w:val="0"/>
        <w:snapToGrid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3.32字环：数量2个、带耳8字环；</w:t>
      </w:r>
    </w:p>
    <w:p>
      <w:pPr>
        <w:keepNext w:val="0"/>
        <w:keepLines w:val="0"/>
        <w:pageBreakBefore w:val="0"/>
        <w:kinsoku/>
        <w:wordWrap/>
        <w:overflowPunct/>
        <w:topLinePunct w:val="0"/>
        <w:bidi w:val="0"/>
        <w:adjustRightInd w:val="0"/>
        <w:snapToGrid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3.33脚蹬绳：可调节长度：35-150cm、重量≤60g；</w:t>
      </w:r>
    </w:p>
    <w:p>
      <w:pPr>
        <w:keepNext w:val="0"/>
        <w:keepLines w:val="0"/>
        <w:pageBreakBefore w:val="0"/>
        <w:kinsoku/>
        <w:wordWrap/>
        <w:overflowPunct/>
        <w:topLinePunct w:val="0"/>
        <w:bidi w:val="0"/>
        <w:adjustRightInd w:val="0"/>
        <w:snapToGrid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3.34供货前，须主动对接使用单位，确保满足用户需求。</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rPr>
      </w:pPr>
    </w:p>
    <w:p>
      <w:pPr>
        <w:keepNext w:val="0"/>
        <w:keepLines w:val="0"/>
        <w:pageBreakBefore w:val="0"/>
        <w:widowControl w:val="0"/>
        <w:kinsoku/>
        <w:wordWrap/>
        <w:overflowPunct/>
        <w:topLinePunct w:val="0"/>
        <w:bidi w:val="0"/>
        <w:spacing w:line="460" w:lineRule="exact"/>
        <w:outlineLvl w:val="1"/>
        <w:rPr>
          <w:rFonts w:hint="eastAsia" w:ascii="仿宋" w:hAnsi="仿宋" w:eastAsia="仿宋" w:cs="仿宋"/>
          <w:b/>
          <w:color w:val="auto"/>
          <w:sz w:val="24"/>
          <w:szCs w:val="24"/>
          <w:lang w:val="en-US" w:eastAsia="zh-CN"/>
        </w:rPr>
      </w:pPr>
      <w:bookmarkStart w:id="529" w:name="_Toc428"/>
      <w:bookmarkStart w:id="530" w:name="_Toc4905"/>
      <w:bookmarkStart w:id="531" w:name="_Toc12128"/>
      <w:bookmarkStart w:id="532" w:name="_Toc6734"/>
      <w:bookmarkStart w:id="533" w:name="_Toc25355"/>
      <w:r>
        <w:rPr>
          <w:rFonts w:hint="eastAsia" w:ascii="仿宋" w:hAnsi="仿宋" w:eastAsia="仿宋" w:cs="仿宋"/>
          <w:b/>
          <w:color w:val="auto"/>
          <w:sz w:val="24"/>
          <w:szCs w:val="24"/>
          <w:lang w:val="en-US" w:eastAsia="zh-CN"/>
        </w:rPr>
        <w:t>55包：抢险救援服装</w:t>
      </w:r>
      <w:bookmarkEnd w:id="529"/>
      <w:bookmarkEnd w:id="530"/>
      <w:r>
        <w:rPr>
          <w:rFonts w:hint="eastAsia" w:ascii="仿宋" w:hAnsi="仿宋" w:eastAsia="仿宋" w:cs="仿宋"/>
          <w:b/>
          <w:color w:val="auto"/>
          <w:sz w:val="24"/>
          <w:szCs w:val="24"/>
          <w:lang w:val="en-US" w:eastAsia="zh-CN"/>
        </w:rPr>
        <w:t>（核心产品：冬款消防员抢险救援防护服（消防员款）)</w:t>
      </w:r>
      <w:bookmarkEnd w:id="531"/>
      <w:bookmarkEnd w:id="532"/>
      <w:bookmarkEnd w:id="533"/>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一、货物名称：</w:t>
      </w:r>
      <w:r>
        <w:rPr>
          <w:rFonts w:hint="eastAsia" w:ascii="仿宋" w:hAnsi="仿宋" w:eastAsia="仿宋" w:cs="仿宋"/>
          <w:color w:val="auto"/>
          <w:kern w:val="0"/>
          <w:sz w:val="24"/>
          <w:szCs w:val="24"/>
          <w:lang w:val="en-US" w:eastAsia="zh-CN"/>
        </w:rPr>
        <w:t>抢险救援服装</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二、产地：国产</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三、主要技术规格、参数及要求：</w:t>
      </w:r>
    </w:p>
    <w:p>
      <w:pPr>
        <w:keepNext w:val="0"/>
        <w:keepLines w:val="0"/>
        <w:pageBreakBefore w:val="0"/>
        <w:kinsoku/>
        <w:wordWrap/>
        <w:overflowPunct/>
        <w:topLinePunct w:val="0"/>
        <w:bidi w:val="0"/>
        <w:spacing w:line="460" w:lineRule="exact"/>
        <w:rPr>
          <w:rFonts w:hint="eastAsia" w:ascii="仿宋" w:hAnsi="仿宋" w:eastAsia="仿宋" w:cs="仿宋"/>
          <w:b/>
          <w:color w:val="auto"/>
          <w:kern w:val="0"/>
          <w:sz w:val="24"/>
          <w:szCs w:val="24"/>
          <w:lang w:val="en-US" w:eastAsia="zh-CN"/>
        </w:rPr>
      </w:pPr>
      <w:r>
        <w:rPr>
          <w:rFonts w:hint="eastAsia" w:ascii="仿宋" w:hAnsi="仿宋" w:eastAsia="仿宋" w:cs="仿宋"/>
          <w:b/>
          <w:color w:val="auto"/>
          <w:kern w:val="0"/>
          <w:sz w:val="24"/>
          <w:szCs w:val="24"/>
          <w:lang w:val="en-US" w:eastAsia="zh-CN"/>
        </w:rPr>
        <w:t>3.1夏款消防员抢险救援防护服（消防员款）</w:t>
      </w:r>
    </w:p>
    <w:p>
      <w:pPr>
        <w:pStyle w:val="13"/>
        <w:keepNext w:val="0"/>
        <w:keepLines w:val="0"/>
        <w:pageBreakBefore w:val="0"/>
        <w:numPr>
          <w:ilvl w:val="0"/>
          <w:numId w:val="0"/>
        </w:numPr>
        <w:kinsoku/>
        <w:wordWrap/>
        <w:overflowPunct/>
        <w:topLinePunct w:val="0"/>
        <w:bidi w:val="0"/>
        <w:spacing w:line="460" w:lineRule="exact"/>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bidi="ar"/>
        </w:rPr>
        <w:t>3.1.1产品符合</w:t>
      </w:r>
      <w:r>
        <w:rPr>
          <w:rFonts w:hint="eastAsia" w:ascii="仿宋" w:hAnsi="仿宋" w:eastAsia="仿宋" w:cs="仿宋"/>
          <w:color w:val="auto"/>
          <w:sz w:val="24"/>
          <w:szCs w:val="24"/>
          <w:lang w:val="en-US" w:eastAsia="zh-CN"/>
        </w:rPr>
        <w:t>XF633-2006《消防员抢险救援防护服装》</w:t>
      </w:r>
      <w:r>
        <w:rPr>
          <w:rFonts w:hint="eastAsia" w:ascii="仿宋" w:hAnsi="仿宋" w:eastAsia="仿宋" w:cs="仿宋"/>
          <w:color w:val="auto"/>
          <w:sz w:val="24"/>
          <w:szCs w:val="24"/>
          <w:lang w:val="en-US" w:eastAsia="zh-CN" w:bidi="ar"/>
        </w:rPr>
        <w:t>标准的要求，</w:t>
      </w:r>
      <w:r>
        <w:rPr>
          <w:rFonts w:hint="eastAsia" w:ascii="仿宋" w:hAnsi="仿宋" w:eastAsia="仿宋" w:cs="仿宋"/>
          <w:color w:val="auto"/>
          <w:sz w:val="24"/>
          <w:szCs w:val="24"/>
        </w:rPr>
        <w:t>提供第三方检测机构出具的检测/检验/试验/测试报告（报告中的型号须与所投产品型号一致）复印件</w:t>
      </w:r>
      <w:r>
        <w:rPr>
          <w:rFonts w:hint="eastAsia" w:ascii="仿宋" w:hAnsi="仿宋" w:eastAsia="仿宋" w:cs="仿宋"/>
          <w:color w:val="auto"/>
          <w:sz w:val="24"/>
          <w:szCs w:val="24"/>
          <w:lang w:eastAsia="zh-CN"/>
        </w:rPr>
        <w:t>；</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3.1.2服装面料：</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3.1.2.1采用单层织物，为原液染色芳纶、氨纶、阻燃粘胶纤维等交织而成的双重组织；具备防静电、阻燃、耐磨、轻便、柔软、弹性，外层拒水防油、内层吸湿等性能，单位面积质量（200±10）g/㎡。</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3.1.2.2阻燃性能：防护层面料与肩部、膝部、臀部、肘部等部位的加强材料，经过25次洗涤后进行阻燃性能试验，损毁长度≤100mm，续燃时间≤2s且无熔融、滴落现象。</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3.1.2.3断裂强力：面料经向干态断裂强力≥650N、纬向干态断裂强力≥650N。</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3.1.2.4撕破强力：面料经向撕破强力≥100N、纬向撕破强力≥100N。</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3.1.2.5热稳定性能：经（180±5）℃热稳定性能试验后，防护层面料与肩部、膝部、臀部、肘部等部位的加强材料沿经、纬方向尺寸变化率≤5%，且试样表面无明显变化。</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3.1.2.6色牢度：防护层面料的耐水摩擦色牢度、耐洗沾色牢度、耐光色牢度≥四级。</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3.1.2.7色差：前领与前身、袖与前身、袋与前身、左右前身及其它表面部位的色差≥四级。</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3.1.2.8外层表面抗湿性能：防护层面料洗涤五次后，沾水等级≥三级。</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3.1.2.9内层表面吸湿性、速干性：按照GB/T 21655.1-2023《纺织品 吸湿速干性的评定》检测，洗涤五次后，内层面料吸水率≥100%，滴水扩散时间≤20s，芯吸高度≥90mm，蒸发速率≥0.18g/h，透湿量≥8000g/(㎡.d)。</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3.1.2.10拉伸弹性：按照FZ/T 01034-2008《纺织品 机织物拉伸弹性试验方法》，在定力为30N的条件下进行检测，定力伸长率（纬向）≥12%，弹性回复率（纬向）≥80%。</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3.1.3.缩水率：经过五次洗涤后，沿经、纬向缩水率≤5%。</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3.1.4.起毛起球性能：按照GB/T 4802.1-2008《纺织品 织物起毛起球性能的测定》检测，不低于3级。</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3.1.5.针距密度：各部位明暗线每3cm≥12针，包缝线每3cm≥9针。</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3.1.6.接缝断裂强力：面料接缝断裂强力≥650N。</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3.1.7.衣领内部采用亲肤舒适层。</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3.1.8.防静电性能：上衣、裤子的带电量每件均≤0.6μC。</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3.1.9.所有硬质附件表面均须光滑，无毛刺和锋利的边缘，五金件还须经过防腐蚀处理，经（180±5）℃热稳定性能试验后，保持原有功能。</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3.1.10.缝纫线热稳定性能：经（180±5）℃热稳定性能试验后，缝纫线无熔融现象。</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3.1.11.反光标志带性能：逆反射系数、热稳定性能、耐洗涤性能、高低温性能满足XF 633《消防员抢险救援防护服装》标准要求，反光标志带经过25次洗涤后进行阻燃性能试验，损毁长度≤100mm，续燃时间≤2s，无熔融、滴落现象，且反光标志带反面基布具有生产厂家印制的防伪标识。</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3.1.12.拉链：上衣前门襟和裤子前襟处采用不小于8号的树脂拉链，颜色与外层面料相匹配。</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3.1.13.腰带：插扣式腰带，颜色与救援服一致，表面光滑无毛刺和锋利的边缘，五金件须经过防腐蚀处理，佩戴舒适。</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3.1.14.服装质量：总质量≤1.5kg（不含腰带和行军帽）。</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3.1.15.衣服应有永久性的标志，其主要内容包括：产品执行的标准、型号、规格、生产厂的名称或商标、生产日期、检验合格标记、禁用场所。</w:t>
      </w:r>
    </w:p>
    <w:p>
      <w:pPr>
        <w:keepNext w:val="0"/>
        <w:keepLines w:val="0"/>
        <w:pageBreakBefore w:val="0"/>
        <w:kinsoku/>
        <w:wordWrap/>
        <w:overflowPunct/>
        <w:topLinePunct w:val="0"/>
        <w:bidi w:val="0"/>
        <w:spacing w:line="460" w:lineRule="exact"/>
        <w:ind w:left="8192" w:hanging="8192" w:hangingChars="3400"/>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3.2冬款消防员抢险救援防护服（消防员款）</w:t>
      </w:r>
    </w:p>
    <w:p>
      <w:pPr>
        <w:pStyle w:val="13"/>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3.2.1</w:t>
      </w:r>
      <w:r>
        <w:rPr>
          <w:rFonts w:hint="eastAsia" w:ascii="仿宋" w:hAnsi="仿宋" w:eastAsia="仿宋" w:cs="仿宋"/>
          <w:color w:val="auto"/>
          <w:sz w:val="24"/>
          <w:szCs w:val="24"/>
          <w:lang w:val="en-US" w:eastAsia="zh-CN" w:bidi="ar"/>
        </w:rPr>
        <w:t>产品符合</w:t>
      </w:r>
      <w:r>
        <w:rPr>
          <w:rFonts w:hint="eastAsia" w:ascii="仿宋" w:hAnsi="仿宋" w:eastAsia="仿宋" w:cs="仿宋"/>
          <w:color w:val="auto"/>
          <w:sz w:val="24"/>
          <w:szCs w:val="24"/>
          <w:lang w:val="en-US" w:eastAsia="zh-CN"/>
        </w:rPr>
        <w:t>XF633-2006《消防员抢险救援防护服装》</w:t>
      </w:r>
      <w:r>
        <w:rPr>
          <w:rFonts w:hint="eastAsia" w:ascii="仿宋" w:hAnsi="仿宋" w:eastAsia="仿宋" w:cs="仿宋"/>
          <w:color w:val="auto"/>
          <w:sz w:val="24"/>
          <w:szCs w:val="24"/>
          <w:lang w:val="en-US" w:eastAsia="zh-CN" w:bidi="ar"/>
        </w:rPr>
        <w:t>标准的要求，</w:t>
      </w:r>
      <w:r>
        <w:rPr>
          <w:rFonts w:hint="eastAsia" w:ascii="仿宋" w:hAnsi="仿宋" w:eastAsia="仿宋" w:cs="仿宋"/>
          <w:color w:val="auto"/>
          <w:sz w:val="24"/>
          <w:szCs w:val="24"/>
        </w:rPr>
        <w:t>提供第三方检测机构出具的检测/检验/试验/测试报告（报告中的型号须与所投产品型号一致）复印件</w:t>
      </w:r>
      <w:r>
        <w:rPr>
          <w:rFonts w:hint="eastAsia" w:ascii="仿宋" w:hAnsi="仿宋" w:eastAsia="仿宋" w:cs="仿宋"/>
          <w:color w:val="auto"/>
          <w:sz w:val="24"/>
          <w:szCs w:val="24"/>
          <w:lang w:eastAsia="zh-CN"/>
        </w:rPr>
        <w:t>；</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3.2.2服装结构由防护层、防水透气和舒适层三层结构组成。</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3.2.3服装防护层</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3.2.3.1防护层材料：原液染色芳纶纤维，具有防静电、阻燃、耐磨、轻便等性能，单位面积质量（200±10）g/㎡。</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3.2.3.2阻燃性能：防护层面料与肩部、膝部、臀部、肘部等部位的加强材料，经过25次洗涤后进行阻燃性能试验，损毁长度≤100mm，续燃时间≤2s且无熔融、滴落现象。</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3.2.3.3断裂强力：经向干态断裂强度</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650N，纬向干态断裂强度</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650N。</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3.2.3.4撕破强力：经向撕破强力</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100N，纬向撕破强力</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100N。</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3.2.3.5接缝断裂强力：面料接缝断裂强力</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650N。</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3.2.3.6热稳定性能：经（180±5）℃热稳定性能试验后，防护层面料与肩部、膝部、臀部、肘部等部位的加强材料沿经、纬方向尺寸变化率≤5%，且试样表面无明显变化。</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3.2.3.7色牢度：防护层面料的耐水摩擦色牢度、耐洗沾色牢度、耐光色牢度≥四级。</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3.2.3.8色差：前领与前身、袖与前身、袋与前身、左右前身及其它表面部位的色差≥四级。</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3.2.3.9表面抗湿性能：洗涤五次后，沾水等级≥三级。</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3.2.3.10缩水率：经过五次洗涤后，沿经、纬向缩水率≤5%。</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3.2.3.11起毛起球性能：按照GB/T 4802.1-2008《纺织品 织物起毛起球性能的测定》检测，不低于3级。</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3.2.4.防水透气层</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3.2.4.1防水透气层材料：芳纶水刺无纺布覆PTFE膜。</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3.2.4.2耐静水压性能：洗涤25次后，耐静水压≥50kPa。</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3.2.4.3透湿率性能：≥5000g/(㎡·24h)。</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3.2.4.4拒油性能：洗涤25次后，拒油性能≥3级。</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3.2.4.5热稳定性能：经（180±5）℃热稳定性能试验后，沿经、纬向尺寸变化率≤10%，且试样表面应无明显变化。</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3.2.4.6缩水率：经过五次洗涤后，沿经、纬向缩水率≤5%。</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3.2.5.舒适层</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3.2.5.1舒适层材料：芳纶与阻燃粘胶混纺材料；颜色：灰色。</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3.2.5.2热稳定性能：经（180±5）℃热稳定性能试验后，沿经、纬向尺寸变化率≤10%，且试样表面应无明显变化。</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3.2.5.3阻燃性能：经25次洗涤后进行阻燃性能试验，且无熔融，滴落现象。</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3.2.5.4断裂强力：经、纬向干态断裂强度≥300N。</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3.2.5.5缩水率：经过五次洗涤后，沿经、纬向缩水率≤5%。</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3.2.6.衣领内部采用亲肤舒适层。</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3.2.7.上衣、裤子的带电量每件均≤0.6μC。</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3.2.8.反光标志带性能：逆反射系数、热稳定性能、耐洗涤性能、高低温性能满足XF 633《消防员抢险救援防护服装》标准要求，反光标志带经过25次洗涤后进行阻燃性能试验，损毁长度≤100mm，续燃时间≤2s，无熔融、滴落现象，且反光标志带反面基布具有生产厂家印制的防伪标识。</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3.2.9.辅料要求</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3.2.9.1针距密度：各部位明暗线每3cm≥12针，包缝线每3cm≥9针。</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3.2.9.2所有硬质附件表面均须光滑，无毛刺和锋利的边缘，五金件还须经过防腐蚀处理，经（180±5）℃热稳定性能试验后，保持原有功能。</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3.2.9.3缝纫线热稳定性能：经（180±5）℃热稳定性能试验后，缝纫线无熔融现象。</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3.2.9.4拉链：上衣前门襟和裤子前襟处采用不小于8号的树脂拉链，颜色与外层面料相匹配。</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3.2.10.腰带：插扣式腰带，颜色与救援服一致，表面光滑无毛刺和锋利的边缘，五金件须经过防腐蚀处理，佩戴舒适。</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3.2.11.服装质量：总质量≤3kg（不含腰带和行军帽）。</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3.2.12.衣服应有永久性的标志，其主要内容包括：产品执行的标准、型号、规格、生产厂的名称或商标、生产日期、检验合格标记、禁用场所。</w:t>
      </w:r>
    </w:p>
    <w:p>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1"/>
        <w:rPr>
          <w:rFonts w:hint="eastAsia" w:ascii="仿宋" w:hAnsi="仿宋" w:eastAsia="仿宋" w:cs="仿宋"/>
          <w:b/>
          <w:bCs/>
          <w:color w:val="auto"/>
          <w:sz w:val="24"/>
          <w:szCs w:val="24"/>
          <w:highlight w:val="none"/>
          <w:lang w:val="en-US" w:eastAsia="zh-CN"/>
        </w:rPr>
      </w:pPr>
      <w:bookmarkStart w:id="534" w:name="_Toc23804"/>
      <w:bookmarkStart w:id="535" w:name="_Toc28644"/>
      <w:bookmarkStart w:id="536" w:name="_Toc28539"/>
      <w:bookmarkStart w:id="537" w:name="_Toc10445"/>
      <w:bookmarkStart w:id="538" w:name="_Toc2948"/>
      <w:r>
        <w:rPr>
          <w:rFonts w:hint="eastAsia" w:ascii="仿宋" w:hAnsi="仿宋" w:eastAsia="仿宋" w:cs="仿宋"/>
          <w:b/>
          <w:bCs/>
          <w:color w:val="auto"/>
          <w:sz w:val="24"/>
          <w:szCs w:val="24"/>
          <w:highlight w:val="none"/>
          <w:lang w:val="en-US" w:eastAsia="zh-CN"/>
        </w:rPr>
        <w:t>61包：充气式上浮系统、救援桨板、救生拉杆【核心产品】、滚钩、充气式救生浮板、水下起吊工具组</w:t>
      </w:r>
      <w:bookmarkEnd w:id="534"/>
      <w:bookmarkEnd w:id="535"/>
      <w:bookmarkEnd w:id="536"/>
      <w:bookmarkEnd w:id="537"/>
      <w:bookmarkEnd w:id="538"/>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61包-1、</w:t>
      </w:r>
      <w:r>
        <w:rPr>
          <w:rFonts w:hint="eastAsia" w:ascii="仿宋" w:hAnsi="仿宋" w:eastAsia="仿宋" w:cs="仿宋"/>
          <w:b/>
          <w:bCs/>
          <w:color w:val="auto"/>
          <w:sz w:val="24"/>
          <w:szCs w:val="24"/>
          <w:highlight w:val="none"/>
          <w:lang w:val="en-US" w:eastAsia="zh-CN"/>
        </w:rPr>
        <w:t>充气式上浮系统</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一、货物名称：充气式上浮系统</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二、产地：国产</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三、主要技术规格、参数及要求</w:t>
      </w:r>
    </w:p>
    <w:p>
      <w:pPr>
        <w:pStyle w:val="13"/>
        <w:keepNext w:val="0"/>
        <w:keepLines w:val="0"/>
        <w:pageBreakBefore w:val="0"/>
        <w:kinsoku/>
        <w:wordWrap/>
        <w:overflowPunct/>
        <w:topLinePunct w:val="0"/>
        <w:bidi w:val="0"/>
        <w:spacing w:line="460" w:lineRule="exact"/>
        <w:rPr>
          <w:rFonts w:hint="eastAsia" w:eastAsia="仿宋"/>
          <w:color w:val="auto"/>
          <w:lang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3.2浮袋主体材料强度≥5000N/5CM，</w:t>
      </w:r>
      <w:r>
        <w:rPr>
          <w:rFonts w:hint="eastAsia" w:ascii="仿宋" w:hAnsi="仿宋" w:eastAsia="仿宋" w:cs="仿宋"/>
          <w:b w:val="0"/>
          <w:bCs w:val="0"/>
          <w:color w:val="auto"/>
          <w:sz w:val="24"/>
          <w:szCs w:val="24"/>
          <w:highlight w:val="none"/>
          <w:lang w:val="en-US" w:eastAsia="zh-CN"/>
        </w:rPr>
        <w:t>提升力≥30kN；</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3.3工作环境：可用于海水、淡水；</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3.4浮袋为单吊点，吊带、卸扣、吊环等都具有工作强度标示、顶部有翻倒绳附着点，配有手拉排气阀，可从浮袋下面手动操作打开，水下工作深度≥15m，可利用气瓶快接充气；</w:t>
      </w:r>
    </w:p>
    <w:p>
      <w:pPr>
        <w:pStyle w:val="14"/>
        <w:keepNext w:val="0"/>
        <w:keepLines w:val="0"/>
        <w:pageBreakBefore w:val="0"/>
        <w:kinsoku/>
        <w:wordWrap/>
        <w:overflowPunct/>
        <w:topLinePunct w:val="0"/>
        <w:bidi w:val="0"/>
        <w:spacing w:line="460" w:lineRule="exact"/>
        <w:ind w:left="0" w:leftChars="0" w:firstLine="0" w:firstLineChars="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3.5供货前，须主动对接使用单位，确保满足用户需求。</w:t>
      </w:r>
    </w:p>
    <w:p>
      <w:pPr>
        <w:pStyle w:val="14"/>
        <w:keepNext w:val="0"/>
        <w:keepLines w:val="0"/>
        <w:pageBreakBefore w:val="0"/>
        <w:kinsoku/>
        <w:wordWrap/>
        <w:overflowPunct/>
        <w:topLinePunct w:val="0"/>
        <w:bidi w:val="0"/>
        <w:spacing w:line="460" w:lineRule="exact"/>
        <w:ind w:left="0" w:leftChars="0" w:firstLine="0" w:firstLineChars="0"/>
        <w:outlineLvl w:val="9"/>
        <w:rPr>
          <w:rFonts w:hint="eastAsia" w:ascii="仿宋" w:hAnsi="仿宋" w:eastAsia="仿宋" w:cs="仿宋"/>
          <w:b/>
          <w:bCs/>
          <w:color w:val="auto"/>
          <w:kern w:val="0"/>
          <w:sz w:val="24"/>
          <w:szCs w:val="24"/>
          <w:highlight w:val="none"/>
          <w:lang w:val="en-US" w:eastAsia="zh-CN"/>
        </w:rPr>
      </w:pPr>
    </w:p>
    <w:p>
      <w:pPr>
        <w:pStyle w:val="14"/>
        <w:keepNext w:val="0"/>
        <w:keepLines w:val="0"/>
        <w:pageBreakBefore w:val="0"/>
        <w:kinsoku/>
        <w:wordWrap/>
        <w:overflowPunct/>
        <w:topLinePunct w:val="0"/>
        <w:bidi w:val="0"/>
        <w:spacing w:line="460" w:lineRule="exact"/>
        <w:ind w:left="0" w:leftChars="0" w:firstLine="0" w:firstLineChars="0"/>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61包-2、</w:t>
      </w:r>
      <w:r>
        <w:rPr>
          <w:rFonts w:hint="eastAsia" w:ascii="仿宋" w:hAnsi="仿宋" w:eastAsia="仿宋" w:cs="仿宋"/>
          <w:b/>
          <w:bCs/>
          <w:color w:val="auto"/>
          <w:sz w:val="24"/>
          <w:szCs w:val="24"/>
          <w:highlight w:val="none"/>
          <w:lang w:val="en-US" w:eastAsia="zh-CN"/>
        </w:rPr>
        <w:t>救援桨板</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一、货物名称：救援桨板</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二、产地：国产</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三、主要技术规格、参数及要求</w:t>
      </w:r>
    </w:p>
    <w:p>
      <w:pPr>
        <w:pStyle w:val="13"/>
        <w:keepNext w:val="0"/>
        <w:keepLines w:val="0"/>
        <w:pageBreakBefore w:val="0"/>
        <w:kinsoku/>
        <w:wordWrap/>
        <w:overflowPunct/>
        <w:topLinePunct w:val="0"/>
        <w:bidi w:val="0"/>
        <w:spacing w:line="460" w:lineRule="exact"/>
        <w:rPr>
          <w:rFonts w:hint="eastAsia" w:eastAsia="仿宋"/>
          <w:color w:val="auto"/>
          <w:lang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3.2净重≤20kg，200*90*15cm≤尺寸≤320*100*20cm，材质：PVC或优于；</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3.3浮板承重：≥110KG；</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3.4浆板四周设有用于抓握和固定绳索的装置≥4处；</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3.5其他要求：鱼鳍、背包1个、安全脚绳1条、气门调节器1个、充放一体打气筒1个、可调节划桨1副、维修筒1套；</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3.6供货前，须主动对接使用单位，确保满足用户需求。</w:t>
      </w:r>
    </w:p>
    <w:p>
      <w:pPr>
        <w:keepNext w:val="0"/>
        <w:keepLines w:val="0"/>
        <w:pageBreakBefore w:val="0"/>
        <w:kinsoku/>
        <w:wordWrap/>
        <w:overflowPunct/>
        <w:topLinePunct w:val="0"/>
        <w:bidi w:val="0"/>
        <w:spacing w:line="460" w:lineRule="exact"/>
        <w:outlineLvl w:val="9"/>
        <w:rPr>
          <w:rFonts w:hint="eastAsia" w:ascii="仿宋" w:hAnsi="仿宋" w:eastAsia="仿宋" w:cs="仿宋"/>
          <w:b/>
          <w:bCs/>
          <w:color w:val="auto"/>
          <w:kern w:val="0"/>
          <w:sz w:val="24"/>
          <w:szCs w:val="24"/>
          <w:highlight w:val="none"/>
          <w:lang w:val="en-US" w:eastAsia="zh-CN"/>
        </w:rPr>
      </w:pPr>
    </w:p>
    <w:p>
      <w:pPr>
        <w:keepNext w:val="0"/>
        <w:keepLines w:val="0"/>
        <w:pageBreakBefore w:val="0"/>
        <w:kinsoku/>
        <w:wordWrap/>
        <w:overflowPunct/>
        <w:topLinePunct w:val="0"/>
        <w:bidi w:val="0"/>
        <w:spacing w:line="460" w:lineRule="exact"/>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61包-3、</w:t>
      </w:r>
      <w:r>
        <w:rPr>
          <w:rFonts w:hint="eastAsia" w:ascii="仿宋" w:hAnsi="仿宋" w:eastAsia="仿宋" w:cs="仿宋"/>
          <w:b/>
          <w:bCs/>
          <w:color w:val="auto"/>
          <w:sz w:val="24"/>
          <w:szCs w:val="24"/>
          <w:highlight w:val="none"/>
          <w:lang w:val="en-US" w:eastAsia="zh-CN"/>
        </w:rPr>
        <w:t>救生拉杆</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一、货物名称：救生拉杆</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二、产地：国产</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三、主要技术规格、参数及要求</w:t>
      </w:r>
    </w:p>
    <w:p>
      <w:pPr>
        <w:pStyle w:val="13"/>
        <w:keepNext w:val="0"/>
        <w:keepLines w:val="0"/>
        <w:pageBreakBefore w:val="0"/>
        <w:kinsoku/>
        <w:wordWrap/>
        <w:overflowPunct/>
        <w:topLinePunct w:val="0"/>
        <w:bidi w:val="0"/>
        <w:spacing w:line="460" w:lineRule="exact"/>
        <w:rPr>
          <w:rFonts w:hint="eastAsia" w:eastAsia="仿宋"/>
          <w:color w:val="auto"/>
          <w:lang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3.2碳纤维材质,可漂浮,可收缩；</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3.3折叠后长度：≤3米，展开长度：≥15米，重量：≤7公斤；</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3.4救援工具头：≥4个，配有浮球、浮力圈、挂钩等；</w:t>
      </w:r>
      <w:r>
        <w:rPr>
          <w:rFonts w:hint="eastAsia" w:ascii="仿宋" w:hAnsi="仿宋" w:eastAsia="仿宋" w:cs="仿宋"/>
          <w:b w:val="0"/>
          <w:bCs w:val="0"/>
          <w:color w:val="auto"/>
          <w:sz w:val="24"/>
          <w:szCs w:val="24"/>
          <w:highlight w:val="none"/>
          <w:lang w:val="en-US" w:eastAsia="zh-CN"/>
        </w:rPr>
        <w:t>浮球浮力：≥5公斤，浮力圈浮力：≥3.5公斤；</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3.5供货前，须主动对接使用单位，确保满足用户需求。</w:t>
      </w:r>
    </w:p>
    <w:p>
      <w:pPr>
        <w:keepNext w:val="0"/>
        <w:keepLines w:val="0"/>
        <w:pageBreakBefore w:val="0"/>
        <w:kinsoku/>
        <w:wordWrap/>
        <w:overflowPunct/>
        <w:topLinePunct w:val="0"/>
        <w:bidi w:val="0"/>
        <w:spacing w:line="460" w:lineRule="exact"/>
        <w:outlineLvl w:val="9"/>
        <w:rPr>
          <w:rFonts w:hint="eastAsia" w:ascii="仿宋" w:hAnsi="仿宋" w:eastAsia="仿宋" w:cs="仿宋"/>
          <w:b/>
          <w:bCs/>
          <w:color w:val="auto"/>
          <w:kern w:val="0"/>
          <w:sz w:val="24"/>
          <w:szCs w:val="24"/>
          <w:highlight w:val="none"/>
          <w:lang w:val="en-US" w:eastAsia="zh-CN"/>
        </w:rPr>
      </w:pPr>
    </w:p>
    <w:p>
      <w:pPr>
        <w:keepNext w:val="0"/>
        <w:keepLines w:val="0"/>
        <w:pageBreakBefore w:val="0"/>
        <w:kinsoku/>
        <w:wordWrap/>
        <w:overflowPunct/>
        <w:topLinePunct w:val="0"/>
        <w:bidi w:val="0"/>
        <w:spacing w:line="460" w:lineRule="exact"/>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61包-4、</w:t>
      </w:r>
      <w:r>
        <w:rPr>
          <w:rFonts w:hint="eastAsia" w:ascii="仿宋" w:hAnsi="仿宋" w:eastAsia="仿宋" w:cs="仿宋"/>
          <w:b/>
          <w:bCs/>
          <w:color w:val="auto"/>
          <w:sz w:val="24"/>
          <w:szCs w:val="24"/>
          <w:highlight w:val="none"/>
          <w:lang w:val="en-US" w:eastAsia="zh-CN"/>
        </w:rPr>
        <w:t>滚钩</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一、货物名称：滚钩</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二、产地：国产</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三、主要技术规格、参数及要求</w:t>
      </w:r>
    </w:p>
    <w:p>
      <w:pPr>
        <w:pStyle w:val="13"/>
        <w:keepNext w:val="0"/>
        <w:keepLines w:val="0"/>
        <w:pageBreakBefore w:val="0"/>
        <w:kinsoku/>
        <w:wordWrap/>
        <w:overflowPunct/>
        <w:topLinePunct w:val="0"/>
        <w:bidi w:val="0"/>
        <w:spacing w:line="460" w:lineRule="exact"/>
        <w:rPr>
          <w:rFonts w:hint="eastAsia" w:eastAsia="仿宋"/>
          <w:color w:val="auto"/>
          <w:lang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3.2整套装备由三角拉杆、60cm短绳、三爪锚钩、搭扣连接器、≥20m双层尼龙编织绳组成，可通过组合式拖拽的方式使用，可循环使用；</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3.3材质为不锈钢，具有保护装置，防止倒钩刺伤使用者；</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3.4三角拉杆长度≥100cm,间隔20公分设置一处挂点，挂点可承受拉力≥2.5KN；</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3.5编织类绳索撕裂强度≥22KN；</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 60cm短绳10根，短绳撕裂强度≤2.5kN；</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3.7在200kg重量进行静载荷试验，并保持1分钟，试样无破损；</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3.8三爪锚钩为不锈钢材质≥20个，每个钩子配备保护套，单钩强度≥2.5KN；</w:t>
      </w:r>
    </w:p>
    <w:p>
      <w:pPr>
        <w:keepNext w:val="0"/>
        <w:keepLines w:val="0"/>
        <w:pageBreakBefore w:val="0"/>
        <w:widowControl w:val="0"/>
        <w:kinsoku/>
        <w:wordWrap/>
        <w:overflowPunct/>
        <w:topLinePunct w:val="0"/>
        <w:autoSpaceDE/>
        <w:autoSpaceDN/>
        <w:bidi w:val="0"/>
        <w:adjustRightInd/>
        <w:snapToGrid/>
        <w:spacing w:line="460" w:lineRule="exact"/>
        <w:ind w:firstLine="0" w:firstLineChars="0"/>
        <w:jc w:val="left"/>
        <w:textAlignment w:val="auto"/>
        <w:outlineLvl w:val="9"/>
        <w:rPr>
          <w:rFonts w:hint="eastAsia" w:ascii="仿宋" w:hAnsi="仿宋" w:eastAsia="仿宋" w:cs="仿宋"/>
          <w:b/>
          <w:bCs w:val="0"/>
          <w:color w:val="auto"/>
          <w:sz w:val="24"/>
          <w:szCs w:val="24"/>
          <w:highlight w:val="none"/>
          <w:lang w:val="en-US" w:eastAsia="zh-CN"/>
        </w:rPr>
      </w:pPr>
      <w:r>
        <w:rPr>
          <w:rFonts w:hint="eastAsia" w:ascii="仿宋" w:hAnsi="仿宋" w:eastAsia="仿宋" w:cs="仿宋"/>
          <w:color w:val="auto"/>
          <w:sz w:val="24"/>
          <w:szCs w:val="24"/>
          <w:highlight w:val="none"/>
          <w:lang w:val="en-US" w:eastAsia="zh-CN"/>
        </w:rPr>
        <w:t>3.9供货前，须主动对接使用单位，确保满足用户需求。</w:t>
      </w:r>
    </w:p>
    <w:p>
      <w:pPr>
        <w:keepNext w:val="0"/>
        <w:keepLines w:val="0"/>
        <w:pageBreakBefore w:val="0"/>
        <w:widowControl w:val="0"/>
        <w:kinsoku/>
        <w:wordWrap/>
        <w:overflowPunct/>
        <w:topLinePunct w:val="0"/>
        <w:autoSpaceDE/>
        <w:autoSpaceDN/>
        <w:bidi w:val="0"/>
        <w:adjustRightInd/>
        <w:snapToGrid/>
        <w:spacing w:line="460" w:lineRule="exact"/>
        <w:ind w:firstLine="0" w:firstLineChars="0"/>
        <w:jc w:val="left"/>
        <w:textAlignment w:val="auto"/>
        <w:outlineLvl w:val="9"/>
        <w:rPr>
          <w:rFonts w:hint="eastAsia" w:ascii="仿宋" w:hAnsi="仿宋" w:eastAsia="仿宋" w:cs="仿宋"/>
          <w:b/>
          <w:bCs w:val="0"/>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60" w:lineRule="exact"/>
        <w:ind w:firstLine="0" w:firstLineChars="0"/>
        <w:jc w:val="left"/>
        <w:textAlignment w:val="auto"/>
        <w:outlineLvl w:val="9"/>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61包-5、充气式救生浮板</w:t>
      </w:r>
    </w:p>
    <w:p>
      <w:pPr>
        <w:keepNext w:val="0"/>
        <w:keepLines w:val="0"/>
        <w:pageBreakBefore w:val="0"/>
        <w:widowControl w:val="0"/>
        <w:kinsoku/>
        <w:wordWrap/>
        <w:overflowPunct/>
        <w:topLinePunct w:val="0"/>
        <w:autoSpaceDE/>
        <w:autoSpaceDN/>
        <w:bidi w:val="0"/>
        <w:adjustRightInd/>
        <w:snapToGrid/>
        <w:spacing w:line="460" w:lineRule="exact"/>
        <w:ind w:firstLine="0" w:firstLineChars="0"/>
        <w:jc w:val="left"/>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一、货物名称：充气式救生浮板</w:t>
      </w:r>
    </w:p>
    <w:p>
      <w:pPr>
        <w:keepNext w:val="0"/>
        <w:keepLines w:val="0"/>
        <w:pageBreakBefore w:val="0"/>
        <w:widowControl w:val="0"/>
        <w:kinsoku/>
        <w:wordWrap/>
        <w:overflowPunct/>
        <w:topLinePunct w:val="0"/>
        <w:autoSpaceDE/>
        <w:autoSpaceDN/>
        <w:bidi w:val="0"/>
        <w:adjustRightInd/>
        <w:snapToGrid/>
        <w:spacing w:line="460" w:lineRule="exact"/>
        <w:ind w:firstLine="0" w:firstLineChars="0"/>
        <w:jc w:val="left"/>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二、产地：国产</w:t>
      </w:r>
    </w:p>
    <w:p>
      <w:pPr>
        <w:keepNext w:val="0"/>
        <w:keepLines w:val="0"/>
        <w:pageBreakBefore w:val="0"/>
        <w:widowControl w:val="0"/>
        <w:kinsoku/>
        <w:wordWrap/>
        <w:overflowPunct/>
        <w:topLinePunct w:val="0"/>
        <w:autoSpaceDE/>
        <w:autoSpaceDN/>
        <w:bidi w:val="0"/>
        <w:adjustRightInd/>
        <w:snapToGrid/>
        <w:spacing w:line="460" w:lineRule="exact"/>
        <w:ind w:firstLine="0" w:firstLineChars="0"/>
        <w:jc w:val="left"/>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三、主要技术规格、参数及要求：</w:t>
      </w:r>
    </w:p>
    <w:p>
      <w:pPr>
        <w:pStyle w:val="13"/>
        <w:keepNext w:val="0"/>
        <w:keepLines w:val="0"/>
        <w:pageBreakBefore w:val="0"/>
        <w:kinsoku/>
        <w:wordWrap/>
        <w:overflowPunct/>
        <w:topLinePunct w:val="0"/>
        <w:bidi w:val="0"/>
        <w:spacing w:line="460" w:lineRule="exact"/>
        <w:rPr>
          <w:rFonts w:hint="eastAsia" w:eastAsia="仿宋"/>
          <w:color w:val="auto"/>
          <w:lang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60" w:lineRule="exact"/>
        <w:ind w:firstLine="0" w:firstLineChars="0"/>
        <w:jc w:val="left"/>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3.2消防员水面救援时使用；</w:t>
      </w:r>
    </w:p>
    <w:p>
      <w:pPr>
        <w:keepNext w:val="0"/>
        <w:keepLines w:val="0"/>
        <w:pageBreakBefore w:val="0"/>
        <w:kinsoku/>
        <w:wordWrap/>
        <w:overflowPunct/>
        <w:topLinePunct w:val="0"/>
        <w:bidi w:val="0"/>
        <w:spacing w:before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3.3主体采用加强型PVC合成材质或更优材质；气囊两端翘起设计，每个气囊均有充气阀门和自动泄压阀门，气囊内侧、外侧均有把手，救援气垫两端安装金属环；</w:t>
      </w:r>
    </w:p>
    <w:p>
      <w:pPr>
        <w:keepNext w:val="0"/>
        <w:keepLines w:val="0"/>
        <w:pageBreakBefore w:val="0"/>
        <w:kinsoku/>
        <w:wordWrap/>
        <w:overflowPunct/>
        <w:topLinePunct w:val="0"/>
        <w:bidi w:val="0"/>
        <w:spacing w:before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3.4漂浮板尺寸：≥200cm*80cm*15cm；</w:t>
      </w:r>
    </w:p>
    <w:p>
      <w:pPr>
        <w:keepNext w:val="0"/>
        <w:keepLines w:val="0"/>
        <w:pageBreakBefore w:val="0"/>
        <w:kinsoku/>
        <w:wordWrap/>
        <w:overflowPunct/>
        <w:topLinePunct w:val="0"/>
        <w:bidi w:val="0"/>
        <w:spacing w:before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3.5漂浮板设置≥12个舒适把手；</w:t>
      </w:r>
    </w:p>
    <w:p>
      <w:pPr>
        <w:keepNext w:val="0"/>
        <w:keepLines w:val="0"/>
        <w:pageBreakBefore w:val="0"/>
        <w:widowControl w:val="0"/>
        <w:kinsoku/>
        <w:wordWrap/>
        <w:overflowPunct/>
        <w:topLinePunct w:val="0"/>
        <w:autoSpaceDE/>
        <w:autoSpaceDN/>
        <w:bidi w:val="0"/>
        <w:adjustRightInd/>
        <w:snapToGrid/>
        <w:spacing w:line="460" w:lineRule="exact"/>
        <w:ind w:firstLine="0" w:firstLineChars="0"/>
        <w:jc w:val="left"/>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b w:val="0"/>
          <w:bCs/>
          <w:color w:val="auto"/>
          <w:sz w:val="24"/>
          <w:szCs w:val="24"/>
          <w:highlight w:val="none"/>
          <w:lang w:val="en-US" w:eastAsia="zh-CN"/>
        </w:rPr>
        <w:t>3.6浮力≥1KN；</w:t>
      </w:r>
    </w:p>
    <w:p>
      <w:pPr>
        <w:keepNext w:val="0"/>
        <w:keepLines w:val="0"/>
        <w:pageBreakBefore w:val="0"/>
        <w:widowControl w:val="0"/>
        <w:kinsoku/>
        <w:wordWrap/>
        <w:overflowPunct/>
        <w:topLinePunct w:val="0"/>
        <w:autoSpaceDE/>
        <w:autoSpaceDN/>
        <w:bidi w:val="0"/>
        <w:adjustRightInd/>
        <w:snapToGrid/>
        <w:spacing w:line="460" w:lineRule="exact"/>
        <w:ind w:firstLine="0" w:firstLineChars="0"/>
        <w:jc w:val="left"/>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3.7供货前，须主动对接使用单位，提供中文使用说明书，含装备简介、使用注意事项及维护保养等内容，确保满足用户需求。</w:t>
      </w:r>
    </w:p>
    <w:p>
      <w:pPr>
        <w:keepNext w:val="0"/>
        <w:keepLines w:val="0"/>
        <w:pageBreakBefore w:val="0"/>
        <w:widowControl w:val="0"/>
        <w:kinsoku/>
        <w:wordWrap/>
        <w:overflowPunct/>
        <w:topLinePunct w:val="0"/>
        <w:autoSpaceDE/>
        <w:autoSpaceDN/>
        <w:bidi w:val="0"/>
        <w:adjustRightInd/>
        <w:snapToGrid/>
        <w:spacing w:line="460" w:lineRule="exact"/>
        <w:ind w:firstLine="0" w:firstLineChars="0"/>
        <w:jc w:val="left"/>
        <w:textAlignment w:val="auto"/>
        <w:outlineLvl w:val="9"/>
        <w:rPr>
          <w:rFonts w:hint="eastAsia" w:ascii="仿宋" w:hAnsi="仿宋" w:eastAsia="仿宋" w:cs="仿宋"/>
          <w:b w:val="0"/>
          <w:bCs/>
          <w:color w:val="auto"/>
          <w:sz w:val="24"/>
          <w:szCs w:val="24"/>
          <w:highlight w:val="none"/>
          <w:lang w:val="en-US" w:eastAsia="zh-CN"/>
        </w:rPr>
      </w:pP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61包-6、</w:t>
      </w:r>
      <w:r>
        <w:rPr>
          <w:rFonts w:hint="eastAsia" w:ascii="仿宋" w:hAnsi="仿宋" w:eastAsia="仿宋" w:cs="仿宋"/>
          <w:b/>
          <w:bCs/>
          <w:color w:val="auto"/>
          <w:sz w:val="24"/>
          <w:szCs w:val="24"/>
          <w:highlight w:val="none"/>
          <w:lang w:val="en-US" w:eastAsia="zh-CN"/>
        </w:rPr>
        <w:t>水下起吊工具组</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一、货物名称：水下起吊工具组</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二、产地：国产</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三、主要技术规格、参数及要求</w:t>
      </w:r>
    </w:p>
    <w:p>
      <w:pPr>
        <w:pStyle w:val="13"/>
        <w:keepNext w:val="0"/>
        <w:keepLines w:val="0"/>
        <w:pageBreakBefore w:val="0"/>
        <w:kinsoku/>
        <w:wordWrap/>
        <w:overflowPunct/>
        <w:topLinePunct w:val="0"/>
        <w:bidi w:val="0"/>
        <w:spacing w:line="460" w:lineRule="exact"/>
        <w:rPr>
          <w:rFonts w:hint="eastAsia" w:eastAsia="仿宋"/>
          <w:color w:val="auto"/>
          <w:lang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3.2由浮力袋、安全排气阀、潜水气瓶、两路充气接头、泄气阀、承重带、固定链条、携带手提包等组成；用于水下打捞、水面助浮；</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3.3工具组起浮总能力≥1.5T，材质为高强TPU材质或更优质材料；</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3.4浮力袋的吊带、卸扣、吊环等必须有工作强度标志；</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3.5安全阀可自动或者手动排气；</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3.6浮力袋应在显著位置标明工作载荷、序列号、生产日期、制造商信息；</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3.7整套设备配备1个≥12L气瓶和1条气瓶用快插管（长度≥20米），满足各个型号浮袋充气使用。水上充气装置1套、水下充气装置1套、数字潜水联表2套；</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3.8浮袋浮力≥0.5T：数量≥1个；浮袋浮力≥1T：数量≥1个；</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3.9水下使用深度≥30m；</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3.10供货前，须主动对接使用单位，确保满足用户需求。</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b/>
          <w:bCs/>
          <w:color w:val="auto"/>
          <w:kern w:val="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1"/>
        <w:rPr>
          <w:rFonts w:hint="eastAsia" w:ascii="仿宋" w:hAnsi="仿宋" w:eastAsia="仿宋" w:cs="仿宋"/>
          <w:b/>
          <w:bCs/>
          <w:color w:val="auto"/>
          <w:sz w:val="24"/>
          <w:szCs w:val="24"/>
          <w:highlight w:val="none"/>
          <w:lang w:val="en-US" w:eastAsia="zh-CN"/>
        </w:rPr>
      </w:pPr>
      <w:bookmarkStart w:id="539" w:name="_Toc8181"/>
      <w:bookmarkStart w:id="540" w:name="_Toc17005"/>
      <w:bookmarkStart w:id="541" w:name="_Toc3516"/>
      <w:bookmarkStart w:id="542" w:name="_Toc21253"/>
      <w:bookmarkStart w:id="543" w:name="_Toc14201"/>
      <w:r>
        <w:rPr>
          <w:rFonts w:hint="eastAsia" w:ascii="仿宋" w:hAnsi="仿宋" w:eastAsia="仿宋" w:cs="仿宋"/>
          <w:b/>
          <w:bCs/>
          <w:color w:val="auto"/>
          <w:sz w:val="24"/>
          <w:szCs w:val="24"/>
          <w:highlight w:val="none"/>
          <w:lang w:val="en-US" w:eastAsia="zh-CN"/>
        </w:rPr>
        <w:t>64包：水下推进器、水下红外夜视仪【核心产品】、水下金属探测仪</w:t>
      </w:r>
      <w:bookmarkEnd w:id="539"/>
      <w:bookmarkEnd w:id="540"/>
      <w:bookmarkEnd w:id="541"/>
      <w:bookmarkEnd w:id="542"/>
      <w:bookmarkEnd w:id="543"/>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64包-1、水下推进器</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60" w:lineRule="exact"/>
        <w:ind w:left="0" w:firstLine="0" w:firstLineChars="0"/>
        <w:jc w:val="left"/>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kern w:val="2"/>
          <w:sz w:val="24"/>
          <w:szCs w:val="24"/>
          <w:highlight w:val="none"/>
          <w:lang w:val="en-US" w:eastAsia="zh-CN" w:bidi="ar-SA"/>
        </w:rPr>
        <w:t>一、</w:t>
      </w:r>
      <w:r>
        <w:rPr>
          <w:rFonts w:hint="eastAsia" w:ascii="仿宋" w:hAnsi="仿宋" w:eastAsia="仿宋" w:cs="仿宋"/>
          <w:b w:val="0"/>
          <w:bCs/>
          <w:color w:val="auto"/>
          <w:sz w:val="24"/>
          <w:szCs w:val="24"/>
          <w:highlight w:val="none"/>
          <w:lang w:val="en-US" w:eastAsia="zh-CN"/>
        </w:rPr>
        <w:t>货物名称：水下推进器</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60" w:lineRule="exact"/>
        <w:ind w:left="0" w:firstLine="0" w:firstLineChars="0"/>
        <w:jc w:val="left"/>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二、产地：国产</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60" w:lineRule="exact"/>
        <w:ind w:left="0" w:firstLine="0" w:firstLineChars="0"/>
        <w:jc w:val="left"/>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三、主要技术规格、参数及要求：</w:t>
      </w:r>
    </w:p>
    <w:p>
      <w:pPr>
        <w:pStyle w:val="13"/>
        <w:keepNext w:val="0"/>
        <w:keepLines w:val="0"/>
        <w:pageBreakBefore w:val="0"/>
        <w:kinsoku/>
        <w:wordWrap/>
        <w:overflowPunct/>
        <w:topLinePunct w:val="0"/>
        <w:bidi w:val="0"/>
        <w:spacing w:line="460" w:lineRule="exact"/>
        <w:rPr>
          <w:rFonts w:hint="eastAsia" w:eastAsia="仿宋"/>
          <w:color w:val="auto"/>
          <w:lang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0" w:firstLineChars="0"/>
        <w:jc w:val="left"/>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3.2适用于为潜水员在水下提供额外动力，节省潜水员体力；</w:t>
      </w:r>
    </w:p>
    <w:p>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0" w:firstLineChars="0"/>
        <w:jc w:val="left"/>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b w:val="0"/>
          <w:bCs/>
          <w:color w:val="auto"/>
          <w:sz w:val="24"/>
          <w:szCs w:val="24"/>
          <w:highlight w:val="none"/>
          <w:lang w:val="en-US" w:eastAsia="zh-CN"/>
        </w:rPr>
        <w:t>3.3使用时间≥60分钟，有多档位调速档；</w:t>
      </w:r>
    </w:p>
    <w:p>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0" w:firstLineChars="0"/>
        <w:jc w:val="left"/>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3.4机身材料：铝合金，</w:t>
      </w:r>
      <w:r>
        <w:rPr>
          <w:rFonts w:hint="eastAsia" w:ascii="仿宋" w:hAnsi="仿宋" w:eastAsia="仿宋" w:cs="仿宋"/>
          <w:color w:val="auto"/>
          <w:sz w:val="24"/>
          <w:szCs w:val="24"/>
          <w:highlight w:val="none"/>
          <w:lang w:val="en-US" w:eastAsia="zh-CN"/>
        </w:rPr>
        <w:t>直径：≥380mm，桶身直径：≥200mm、长度：≥600mm，</w:t>
      </w:r>
      <w:r>
        <w:rPr>
          <w:rFonts w:hint="eastAsia" w:ascii="仿宋" w:hAnsi="仿宋" w:eastAsia="仿宋" w:cs="仿宋"/>
          <w:b w:val="0"/>
          <w:bCs/>
          <w:color w:val="auto"/>
          <w:sz w:val="24"/>
          <w:szCs w:val="24"/>
          <w:highlight w:val="none"/>
          <w:lang w:val="en-US" w:eastAsia="zh-CN"/>
        </w:rPr>
        <w:t>重量(淡水不含电池)≤20KG，适用温度：-20℃~-40℃；</w:t>
      </w:r>
    </w:p>
    <w:p>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0" w:firstLineChars="0"/>
        <w:jc w:val="left"/>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3.5具备调速开关；</w:t>
      </w:r>
    </w:p>
    <w:p>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0" w:firstLineChars="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3.6推力：≥200N；</w:t>
      </w:r>
    </w:p>
    <w:p>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0" w:firstLineChars="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3.7最大速度：≥4Km/h；</w:t>
      </w:r>
    </w:p>
    <w:p>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0" w:firstLineChars="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3.8最大深度：≥40米；</w:t>
      </w:r>
    </w:p>
    <w:p>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0" w:firstLineChars="0"/>
        <w:jc w:val="left"/>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3.9具备负压密闭检测；</w:t>
      </w:r>
    </w:p>
    <w:p>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0" w:firstLineChars="0"/>
        <w:jc w:val="left"/>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3.10具备钩挂潜水员BCD系统；</w:t>
      </w:r>
    </w:p>
    <w:p>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0" w:firstLineChars="0"/>
        <w:jc w:val="left"/>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3.11具备可拆分电池并便携运输；</w:t>
      </w:r>
    </w:p>
    <w:p>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0" w:firstLineChars="0"/>
        <w:jc w:val="left"/>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3.12供货前，须主动对接使用单位，提供中文使用说明书，含装备简介、使用注意事项及维护保养等内容，确保满足用户需求。</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60" w:lineRule="exact"/>
        <w:ind w:left="0" w:firstLine="0" w:firstLineChars="0"/>
        <w:jc w:val="left"/>
        <w:textAlignment w:val="auto"/>
        <w:outlineLvl w:val="9"/>
        <w:rPr>
          <w:rFonts w:hint="eastAsia" w:ascii="仿宋" w:hAnsi="仿宋" w:eastAsia="仿宋" w:cs="仿宋"/>
          <w:b/>
          <w:bCs/>
          <w:color w:val="auto"/>
          <w:kern w:val="0"/>
          <w:sz w:val="24"/>
          <w:szCs w:val="24"/>
          <w:highlight w:val="none"/>
          <w:lang w:val="en-US" w:eastAsia="zh-CN"/>
        </w:rPr>
      </w:pP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64包-2、水下红外夜视仪</w:t>
      </w:r>
    </w:p>
    <w:p>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0" w:firstLineChars="0"/>
        <w:jc w:val="left"/>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一、货物名称：水下红外夜视仪</w:t>
      </w:r>
    </w:p>
    <w:p>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0" w:firstLineChars="0"/>
        <w:jc w:val="left"/>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二、产地：国产</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60" w:lineRule="exact"/>
        <w:ind w:left="0" w:firstLine="0" w:firstLineChars="0"/>
        <w:jc w:val="left"/>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三、主要技术规格、参数及要求</w:t>
      </w:r>
    </w:p>
    <w:p>
      <w:pPr>
        <w:pStyle w:val="13"/>
        <w:keepNext w:val="0"/>
        <w:keepLines w:val="0"/>
        <w:pageBreakBefore w:val="0"/>
        <w:kinsoku/>
        <w:wordWrap/>
        <w:overflowPunct/>
        <w:topLinePunct w:val="0"/>
        <w:bidi w:val="0"/>
        <w:spacing w:line="460" w:lineRule="exact"/>
        <w:rPr>
          <w:rFonts w:hint="eastAsia" w:eastAsia="仿宋"/>
          <w:color w:val="auto"/>
          <w:lang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0" w:firstLineChars="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3.2.采用水下视觉增强系统技术，通过使用红外光穿透混浊和黑暗的水域，从而在显示器上形成可实时显示的高分辨率视频图像；</w:t>
      </w:r>
    </w:p>
    <w:p>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0" w:firstLineChars="0"/>
        <w:jc w:val="left"/>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3.3.</w:t>
      </w:r>
      <w:r>
        <w:rPr>
          <w:rFonts w:hint="eastAsia" w:ascii="仿宋" w:hAnsi="仿宋" w:eastAsia="仿宋" w:cs="仿宋"/>
          <w:bCs/>
          <w:color w:val="auto"/>
          <w:sz w:val="24"/>
          <w:szCs w:val="24"/>
          <w:highlight w:val="none"/>
        </w:rPr>
        <w:t>夜视仪直接安装在潜水员潜水头盔上可直接获取图像</w:t>
      </w:r>
      <w:r>
        <w:rPr>
          <w:rFonts w:hint="eastAsia" w:ascii="仿宋" w:hAnsi="仿宋" w:eastAsia="仿宋" w:cs="仿宋"/>
          <w:b w:val="0"/>
          <w:bCs/>
          <w:color w:val="auto"/>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0" w:firstLineChars="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3.4.最大水下工作深度≥60m；</w:t>
      </w:r>
    </w:p>
    <w:p>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0" w:firstLineChars="0"/>
        <w:jc w:val="left"/>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3.5.电池:密闭式可充电锂电池，电池重量≤1.5kg，电池使用时间≥24h，充电时间≤5h；</w:t>
      </w:r>
    </w:p>
    <w:p>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0" w:firstLineChars="0"/>
        <w:jc w:val="left"/>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3.6.尺寸≤110x130x100mm,重量≤5kg(空气中)、≤3kg(水下)；</w:t>
      </w:r>
    </w:p>
    <w:p>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0" w:firstLineChars="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3.7.</w:t>
      </w:r>
      <w:r>
        <w:rPr>
          <w:rFonts w:hint="eastAsia" w:ascii="仿宋" w:hAnsi="仿宋" w:eastAsia="仿宋" w:cs="仿宋"/>
          <w:bCs/>
          <w:color w:val="auto"/>
          <w:sz w:val="24"/>
          <w:szCs w:val="24"/>
          <w:highlight w:val="none"/>
        </w:rPr>
        <w:t>配置:夜视仪主机，近红外照明灯，电池，电池充电器，电源线，头盔支架器材箱；</w:t>
      </w:r>
    </w:p>
    <w:p>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0" w:firstLineChars="0"/>
        <w:jc w:val="left"/>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3.8.报警功能：当电池电量低时，有指示灯闪烁提示报警；</w:t>
      </w:r>
    </w:p>
    <w:p>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0" w:firstLineChars="0"/>
        <w:jc w:val="left"/>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3.9.工作温度：≥-30℃~50℃；</w:t>
      </w:r>
    </w:p>
    <w:p>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0" w:firstLineChars="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3.10.放大倍率：≥1.0x；</w:t>
      </w:r>
    </w:p>
    <w:p>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0" w:firstLineChars="0"/>
        <w:jc w:val="left"/>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3.11.对该产品必须中文名牌标注，提供中文使用说明书、操作演示光盘；</w:t>
      </w:r>
    </w:p>
    <w:p>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0" w:firstLineChars="0"/>
        <w:jc w:val="left"/>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3.12提供中文使用说明书，含装备简介、使用注意事项及维护保养等内容。</w:t>
      </w:r>
    </w:p>
    <w:p>
      <w:pPr>
        <w:keepNext w:val="0"/>
        <w:keepLines w:val="0"/>
        <w:pageBreakBefore w:val="0"/>
        <w:kinsoku/>
        <w:wordWrap/>
        <w:overflowPunct/>
        <w:topLinePunct w:val="0"/>
        <w:bidi w:val="0"/>
        <w:spacing w:line="460" w:lineRule="exact"/>
        <w:outlineLvl w:val="9"/>
        <w:rPr>
          <w:rFonts w:hint="eastAsia" w:ascii="仿宋" w:hAnsi="仿宋" w:eastAsia="仿宋" w:cs="仿宋"/>
          <w:b/>
          <w:bCs/>
          <w:color w:val="auto"/>
          <w:kern w:val="0"/>
          <w:sz w:val="24"/>
          <w:szCs w:val="24"/>
          <w:highlight w:val="none"/>
          <w:lang w:val="en-US" w:eastAsia="zh-CN"/>
        </w:rPr>
      </w:pP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64包-3、</w:t>
      </w:r>
      <w:r>
        <w:rPr>
          <w:rFonts w:hint="eastAsia" w:ascii="仿宋" w:hAnsi="仿宋" w:eastAsia="仿宋" w:cs="仿宋"/>
          <w:b/>
          <w:bCs w:val="0"/>
          <w:color w:val="auto"/>
          <w:sz w:val="24"/>
          <w:szCs w:val="24"/>
          <w:highlight w:val="none"/>
          <w:lang w:val="en-US" w:eastAsia="zh-CN"/>
        </w:rPr>
        <w:t>水下金属探测仪</w:t>
      </w:r>
    </w:p>
    <w:p>
      <w:pPr>
        <w:keepNext w:val="0"/>
        <w:keepLines w:val="0"/>
        <w:pageBreakBefore w:val="0"/>
        <w:widowControl w:val="0"/>
        <w:kinsoku/>
        <w:wordWrap/>
        <w:overflowPunct/>
        <w:topLinePunct w:val="0"/>
        <w:autoSpaceDE/>
        <w:autoSpaceDN/>
        <w:bidi w:val="0"/>
        <w:adjustRightInd/>
        <w:snapToGrid/>
        <w:spacing w:line="460" w:lineRule="exact"/>
        <w:ind w:firstLine="0" w:firstLineChars="0"/>
        <w:jc w:val="left"/>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一、货物名称：水下金属探测仪</w:t>
      </w:r>
    </w:p>
    <w:p>
      <w:pPr>
        <w:keepNext w:val="0"/>
        <w:keepLines w:val="0"/>
        <w:pageBreakBefore w:val="0"/>
        <w:widowControl w:val="0"/>
        <w:kinsoku/>
        <w:wordWrap/>
        <w:overflowPunct/>
        <w:topLinePunct w:val="0"/>
        <w:autoSpaceDE/>
        <w:autoSpaceDN/>
        <w:bidi w:val="0"/>
        <w:adjustRightInd/>
        <w:snapToGrid/>
        <w:spacing w:line="460" w:lineRule="exact"/>
        <w:ind w:firstLine="0" w:firstLineChars="0"/>
        <w:jc w:val="left"/>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二、产地：国产</w:t>
      </w:r>
    </w:p>
    <w:p>
      <w:pPr>
        <w:keepNext w:val="0"/>
        <w:keepLines w:val="0"/>
        <w:pageBreakBefore w:val="0"/>
        <w:widowControl w:val="0"/>
        <w:kinsoku/>
        <w:wordWrap/>
        <w:overflowPunct/>
        <w:topLinePunct w:val="0"/>
        <w:autoSpaceDE/>
        <w:autoSpaceDN/>
        <w:bidi w:val="0"/>
        <w:adjustRightInd/>
        <w:snapToGrid/>
        <w:spacing w:line="460" w:lineRule="exact"/>
        <w:ind w:firstLine="0" w:firstLineChars="0"/>
        <w:jc w:val="left"/>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三、主要技术规格、参数及要求</w:t>
      </w:r>
    </w:p>
    <w:p>
      <w:pPr>
        <w:pStyle w:val="13"/>
        <w:keepNext w:val="0"/>
        <w:keepLines w:val="0"/>
        <w:pageBreakBefore w:val="0"/>
        <w:kinsoku/>
        <w:wordWrap/>
        <w:overflowPunct/>
        <w:topLinePunct w:val="0"/>
        <w:bidi w:val="0"/>
        <w:spacing w:line="460" w:lineRule="exact"/>
        <w:rPr>
          <w:rFonts w:hint="eastAsia" w:eastAsia="仿宋"/>
          <w:color w:val="auto"/>
          <w:lang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60" w:lineRule="exact"/>
        <w:ind w:firstLine="0" w:firstLineChars="0"/>
        <w:jc w:val="left"/>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3.2用于探测水下金属物体，电池供电、耐压防⽔⾦属探测器，适合⽔下和陆地使⽤。它由⼀个带接头的搜索头组成，该搜索头连接到包含探测器电⼦设备和电池盒的探测器⼿柄。控制装置包括开关和灵敏度调节器；</w:t>
      </w:r>
    </w:p>
    <w:p>
      <w:pPr>
        <w:keepNext w:val="0"/>
        <w:keepLines w:val="0"/>
        <w:pageBreakBefore w:val="0"/>
        <w:widowControl w:val="0"/>
        <w:kinsoku/>
        <w:wordWrap/>
        <w:overflowPunct/>
        <w:topLinePunct w:val="0"/>
        <w:autoSpaceDE/>
        <w:autoSpaceDN/>
        <w:bidi w:val="0"/>
        <w:adjustRightInd/>
        <w:snapToGrid/>
        <w:spacing w:line="460" w:lineRule="exact"/>
        <w:ind w:firstLine="0" w:firstLineChars="0"/>
        <w:jc w:val="left"/>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b w:val="0"/>
          <w:bCs/>
          <w:color w:val="auto"/>
          <w:sz w:val="24"/>
          <w:szCs w:val="24"/>
          <w:highlight w:val="none"/>
          <w:lang w:val="en-US" w:eastAsia="zh-CN"/>
        </w:rPr>
        <w:t>3.3同心圆形开放式搜索线圈直径≥20cm，最大工作深度≥60m，探测范围≥1m；</w:t>
      </w:r>
    </w:p>
    <w:p>
      <w:pPr>
        <w:keepNext w:val="0"/>
        <w:keepLines w:val="0"/>
        <w:pageBreakBefore w:val="0"/>
        <w:widowControl w:val="0"/>
        <w:kinsoku/>
        <w:wordWrap/>
        <w:overflowPunct/>
        <w:topLinePunct w:val="0"/>
        <w:autoSpaceDE/>
        <w:autoSpaceDN/>
        <w:bidi w:val="0"/>
        <w:adjustRightInd/>
        <w:snapToGrid/>
        <w:spacing w:line="460" w:lineRule="exact"/>
        <w:ind w:firstLine="0" w:firstLineChars="0"/>
        <w:jc w:val="left"/>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b w:val="0"/>
          <w:bCs/>
          <w:color w:val="auto"/>
          <w:sz w:val="24"/>
          <w:szCs w:val="24"/>
          <w:highlight w:val="none"/>
          <w:lang w:val="en-US" w:eastAsia="zh-CN"/>
        </w:rPr>
        <w:t>3.4其他要求：完全可折叠杆组件，可拆卸安装皮带，重量≤5kg；</w:t>
      </w:r>
    </w:p>
    <w:p>
      <w:pPr>
        <w:keepNext w:val="0"/>
        <w:keepLines w:val="0"/>
        <w:pageBreakBefore w:val="0"/>
        <w:widowControl w:val="0"/>
        <w:kinsoku/>
        <w:wordWrap/>
        <w:overflowPunct/>
        <w:topLinePunct w:val="0"/>
        <w:autoSpaceDE/>
        <w:autoSpaceDN/>
        <w:bidi w:val="0"/>
        <w:adjustRightInd/>
        <w:snapToGrid/>
        <w:spacing w:line="460" w:lineRule="exact"/>
        <w:ind w:firstLine="0" w:firstLineChars="0"/>
        <w:jc w:val="left"/>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3.5总长尺寸：≥1100mm，探索头尺寸≥200mm，电子杆尺寸≥500mm±5mm，延长杆：尺寸≥580mm；</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3.6供货前，须主动对接使用单位，提供中文使用说明书，含装备简介、使用注意事项及维护保养等内容，确保满足用户需求。</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b/>
          <w:bCs/>
          <w:color w:val="auto"/>
          <w:kern w:val="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1"/>
        <w:rPr>
          <w:rFonts w:hint="eastAsia" w:ascii="仿宋" w:hAnsi="仿宋" w:eastAsia="仿宋" w:cs="仿宋"/>
          <w:b/>
          <w:bCs/>
          <w:color w:val="auto"/>
          <w:sz w:val="24"/>
          <w:szCs w:val="24"/>
          <w:highlight w:val="none"/>
          <w:lang w:val="en-US" w:eastAsia="zh-CN"/>
        </w:rPr>
      </w:pPr>
      <w:bookmarkStart w:id="544" w:name="_Toc31201"/>
      <w:bookmarkStart w:id="545" w:name="_Toc30359"/>
      <w:bookmarkStart w:id="546" w:name="_Toc21837"/>
      <w:bookmarkStart w:id="547" w:name="_Toc29915"/>
      <w:bookmarkStart w:id="548" w:name="_Toc2542"/>
      <w:r>
        <w:rPr>
          <w:rFonts w:hint="eastAsia" w:ascii="仿宋" w:hAnsi="仿宋" w:eastAsia="仿宋" w:cs="仿宋"/>
          <w:b/>
          <w:bCs/>
          <w:color w:val="auto"/>
          <w:sz w:val="24"/>
          <w:szCs w:val="24"/>
          <w:highlight w:val="none"/>
          <w:lang w:val="en-US" w:eastAsia="zh-CN"/>
        </w:rPr>
        <w:t>65包：无电切割刀【核心产品】、金属弧水陆切割器、水下电焊切割机</w:t>
      </w:r>
      <w:bookmarkEnd w:id="544"/>
      <w:bookmarkEnd w:id="545"/>
      <w:bookmarkEnd w:id="546"/>
      <w:bookmarkEnd w:id="547"/>
      <w:bookmarkEnd w:id="548"/>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65包-1、</w:t>
      </w:r>
      <w:r>
        <w:rPr>
          <w:rFonts w:hint="eastAsia" w:ascii="仿宋" w:hAnsi="仿宋" w:eastAsia="仿宋" w:cs="仿宋"/>
          <w:b/>
          <w:bCs/>
          <w:color w:val="auto"/>
          <w:sz w:val="24"/>
          <w:szCs w:val="24"/>
          <w:highlight w:val="none"/>
          <w:lang w:val="en-US" w:eastAsia="zh-CN"/>
        </w:rPr>
        <w:t>无电切割刀</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一、货物名称：无电切割刀</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二、产地：国产</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三、主要技术规格、参数及要求</w:t>
      </w:r>
    </w:p>
    <w:p>
      <w:pPr>
        <w:pStyle w:val="13"/>
        <w:keepNext w:val="0"/>
        <w:keepLines w:val="0"/>
        <w:pageBreakBefore w:val="0"/>
        <w:kinsoku/>
        <w:wordWrap/>
        <w:overflowPunct/>
        <w:topLinePunct w:val="0"/>
        <w:bidi w:val="0"/>
        <w:spacing w:line="460" w:lineRule="exact"/>
        <w:rPr>
          <w:rFonts w:hint="eastAsia" w:eastAsia="仿宋"/>
          <w:color w:val="auto"/>
          <w:lang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3.2产品由药筒、控制器两部分组成，药筒中装有特制化学药剂，可迅速熔化钢材、铝材、铜材等常见金属障碍物；</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3.3重量要求：药筒重量≤320克，激发手柄重量≤400克；</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3.4破拆金属类障碍物要求：切断直径22mm 圆钢时间≤50秒，切断直径19mm*0.3mm 不锈钢圆管≤3秒，切断25mm*25mm*0.4mm不锈钢方管≤5秒；在1mm厚钢板上切割不低于300mm长的缺口≤60秒，在3mm厚铝合金板上切割不低于300mm长的缺口≤45秒；</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3.5破拆玻璃类障碍物要求：破拆厚度8mm平面钢化玻璃≤50秒；</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3.6药筒更换时间：≤3s；</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3.7工作温度：</w:t>
      </w:r>
      <w:r>
        <w:rPr>
          <w:rFonts w:hint="eastAsia" w:ascii="仿宋" w:hAnsi="仿宋" w:eastAsia="仿宋" w:cs="仿宋"/>
          <w:b w:val="0"/>
          <w:bCs/>
          <w:color w:val="auto"/>
          <w:sz w:val="24"/>
          <w:szCs w:val="24"/>
          <w:highlight w:val="none"/>
          <w:lang w:val="en-US" w:eastAsia="zh-CN"/>
        </w:rPr>
        <w:t>≥</w:t>
      </w:r>
      <w:r>
        <w:rPr>
          <w:rFonts w:hint="eastAsia" w:ascii="仿宋" w:hAnsi="仿宋" w:eastAsia="仿宋" w:cs="仿宋"/>
          <w:color w:val="auto"/>
          <w:sz w:val="24"/>
          <w:szCs w:val="24"/>
          <w:highlight w:val="none"/>
          <w:lang w:val="en-US" w:eastAsia="zh-CN"/>
        </w:rPr>
        <w:t>-20摄氏度-70摄氏度</w:t>
      </w:r>
      <w:r>
        <w:rPr>
          <w:rFonts w:hint="eastAsia" w:ascii="仿宋" w:hAnsi="仿宋" w:eastAsia="仿宋" w:cs="仿宋"/>
          <w:color w:val="auto"/>
          <w:sz w:val="24"/>
          <w:szCs w:val="24"/>
          <w:highlight w:val="none"/>
          <w:lang w:eastAsia="zh-CN"/>
        </w:rPr>
        <w:t>；</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3.8配置要求：药筒10支，激发手柄1个，护目镜1副，电池1个、防护手套1副，充电器一个，说明书一本，手提箱一个</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3.9供货前，须主动对接使用单位，确保满足用户需求。</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b/>
          <w:bCs/>
          <w:color w:val="auto"/>
          <w:kern w:val="0"/>
          <w:sz w:val="24"/>
          <w:szCs w:val="24"/>
          <w:highlight w:val="none"/>
          <w:lang w:val="en-US" w:eastAsia="zh-CN"/>
        </w:rPr>
      </w:pP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65包-2、金属弧水陆切割器</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一、货物名称：金属弧水陆切割器</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二、产地：国产</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三、主要技术规格、参数及要求：</w:t>
      </w:r>
    </w:p>
    <w:p>
      <w:pPr>
        <w:pStyle w:val="13"/>
        <w:keepNext w:val="0"/>
        <w:keepLines w:val="0"/>
        <w:pageBreakBefore w:val="0"/>
        <w:kinsoku/>
        <w:wordWrap/>
        <w:overflowPunct/>
        <w:topLinePunct w:val="0"/>
        <w:bidi w:val="0"/>
        <w:spacing w:line="460" w:lineRule="exact"/>
        <w:rPr>
          <w:rFonts w:hint="eastAsia" w:eastAsia="仿宋"/>
          <w:color w:val="auto"/>
          <w:lang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3.2用于在陆地及水下快速切割多种金属材料，产生高温金属弧≥6000℃，20mm×100mm钢板水下切断时间≤1min，直径25mm钢筋水下切断时间≤6s；</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3.3构件：由外携箱，背托，切割枪，锂电池（含充电器），点火棒，护目镜，电源线，氧气瓶，气体减压阀总成，防护手套，金属弧燃烧长棒，短棒等组成；</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3.4外型尺寸≤620mm*400mm*220mm；</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3.5碳纤维氧气瓶容积：≥6.8升；</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3.6可持续使用≥10根金属弧燃烧棒（直径≥8mm）；单根燃烧时间≥60s；</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3.7点火方式：锂电池；</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3.8整机重量：≤16kg；</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3.9水下作业深度≥60m；</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3.10供货前，须主动对接使用单位，提供中文使用说明书，含装备简介、使用注意事项及维护保养等内容，确保满足用户需求。</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65包-3、</w:t>
      </w:r>
      <w:r>
        <w:rPr>
          <w:rFonts w:hint="eastAsia" w:ascii="仿宋" w:hAnsi="仿宋" w:eastAsia="仿宋" w:cs="仿宋"/>
          <w:b/>
          <w:bCs/>
          <w:color w:val="auto"/>
          <w:sz w:val="24"/>
          <w:szCs w:val="24"/>
          <w:highlight w:val="none"/>
          <w:lang w:val="en-US" w:eastAsia="zh-CN"/>
        </w:rPr>
        <w:t>水下电焊切割机</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一、货物名称：水下电焊切割机</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二、产地：国产</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三、主要技术规格、参数及要求</w:t>
      </w:r>
    </w:p>
    <w:p>
      <w:pPr>
        <w:pStyle w:val="13"/>
        <w:keepNext w:val="0"/>
        <w:keepLines w:val="0"/>
        <w:pageBreakBefore w:val="0"/>
        <w:kinsoku/>
        <w:wordWrap/>
        <w:overflowPunct/>
        <w:topLinePunct w:val="0"/>
        <w:bidi w:val="0"/>
        <w:spacing w:line="460" w:lineRule="exact"/>
        <w:rPr>
          <w:rFonts w:hint="eastAsia" w:eastAsia="仿宋"/>
          <w:color w:val="auto"/>
          <w:lang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3.2产品含切割枪、浮力桶、便携箱；</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3.3高温金属弧≥6000°C，可实现在陆地以及水下快速切割多种金属材料；</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3.4下潜作业≥30米水深；</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3.5氧气瓶容积≥6.8L；</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3.6氧气连续使用时间≥30分钟；</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3.7点火模块：</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3.7.1燃烧棒内置燃烧芯数量：≥6；</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3.7.2点火时间：≤2s；</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3.7.3单根燃烧棒使用时间：≥60s；</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3.7.4单根燃烧棒最大切割深度（Q235A）：≥350mm；</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3.7.5燃烧棒数量：≥20根；</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3.8供货前，须主动对接使用单位，确保满足用户需求。</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bookmarkStart w:id="549" w:name="_Toc11474"/>
      <w:bookmarkStart w:id="550" w:name="_Toc6754"/>
      <w:bookmarkStart w:id="551" w:name="_Toc2557"/>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1"/>
        <w:rPr>
          <w:rFonts w:hint="eastAsia" w:ascii="仿宋" w:hAnsi="仿宋" w:eastAsia="仿宋" w:cs="仿宋"/>
          <w:b/>
          <w:bCs/>
          <w:color w:val="auto"/>
          <w:sz w:val="24"/>
          <w:szCs w:val="24"/>
          <w:highlight w:val="none"/>
          <w:lang w:val="en-US" w:eastAsia="zh-CN"/>
        </w:rPr>
      </w:pPr>
      <w:bookmarkStart w:id="552" w:name="_Toc12515"/>
      <w:bookmarkStart w:id="553" w:name="_Toc31812"/>
      <w:r>
        <w:rPr>
          <w:rFonts w:hint="eastAsia" w:ascii="仿宋" w:hAnsi="仿宋" w:eastAsia="仿宋" w:cs="仿宋"/>
          <w:b/>
          <w:bCs/>
          <w:color w:val="auto"/>
          <w:sz w:val="24"/>
          <w:szCs w:val="24"/>
          <w:highlight w:val="none"/>
          <w:lang w:val="en-US" w:eastAsia="zh-CN"/>
        </w:rPr>
        <w:t>68包：排水机器人【核心产品】、移动水囊</w:t>
      </w:r>
      <w:bookmarkEnd w:id="549"/>
      <w:bookmarkEnd w:id="550"/>
      <w:bookmarkEnd w:id="551"/>
      <w:bookmarkEnd w:id="552"/>
      <w:bookmarkEnd w:id="553"/>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68</w:t>
      </w:r>
      <w:r>
        <w:rPr>
          <w:rFonts w:hint="eastAsia" w:ascii="仿宋" w:hAnsi="仿宋" w:eastAsia="仿宋" w:cs="仿宋"/>
          <w:b/>
          <w:bCs/>
          <w:color w:val="auto"/>
          <w:kern w:val="0"/>
          <w:sz w:val="24"/>
          <w:szCs w:val="24"/>
          <w:highlight w:val="none"/>
          <w:lang w:val="en-US" w:eastAsia="zh-CN"/>
        </w:rPr>
        <w:t>包-1、</w:t>
      </w:r>
      <w:r>
        <w:rPr>
          <w:rFonts w:hint="eastAsia" w:ascii="仿宋" w:hAnsi="仿宋" w:eastAsia="仿宋" w:cs="仿宋"/>
          <w:b/>
          <w:bCs/>
          <w:color w:val="auto"/>
          <w:sz w:val="24"/>
          <w:szCs w:val="24"/>
          <w:highlight w:val="none"/>
          <w:lang w:val="en-US" w:eastAsia="zh-CN"/>
        </w:rPr>
        <w:t>排水机器人</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一、货物名称：排水机器人</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二、产地：国产</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三、主要技术规格、参数及要求</w:t>
      </w:r>
    </w:p>
    <w:p>
      <w:pPr>
        <w:pStyle w:val="13"/>
        <w:keepNext w:val="0"/>
        <w:keepLines w:val="0"/>
        <w:pageBreakBefore w:val="0"/>
        <w:kinsoku/>
        <w:wordWrap/>
        <w:overflowPunct/>
        <w:topLinePunct w:val="0"/>
        <w:bidi w:val="0"/>
        <w:spacing w:line="460" w:lineRule="exact"/>
        <w:rPr>
          <w:rFonts w:hint="eastAsia" w:eastAsia="仿宋"/>
          <w:color w:val="auto"/>
          <w:lang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3.2用于城市内涝排水，也可作为供水模块给远程供水系统供水；</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3.3扬程≥10m；</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3.4排水量≥700m³/h，最大允许通过颗粒度≥50mm；</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3.5 发动机功率≥80KW；</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3.6最大排水距离≥350m；</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3.7主体材质：不锈钢、铝合金或其它高强度材料；</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3.8涉水深度≥0.5m；</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3.9配备大口径水带自动收卷推车；</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3.10最大行驶速度≥5Km/小时，直行跑偏量≤5%；</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3.11爬坡≥30°；</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3.12越障能力≥200mm；</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3.13最大工作角度≥25°；</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3.14具备遥控功能，空旷地区遥控距离≥200m；</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3.15单油箱连续工作时间≥5h；</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3.16电气设备防护等级≥IP65；</w:t>
      </w:r>
    </w:p>
    <w:p>
      <w:pPr>
        <w:keepNext w:val="0"/>
        <w:keepLines w:val="0"/>
        <w:pageBreakBefore w:val="0"/>
        <w:kinsoku/>
        <w:wordWrap/>
        <w:overflowPunct/>
        <w:topLinePunct w:val="0"/>
        <w:bidi w:val="0"/>
        <w:spacing w:line="460" w:lineRule="exact"/>
        <w:outlineLvl w:val="9"/>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color w:val="auto"/>
          <w:sz w:val="24"/>
          <w:szCs w:val="24"/>
          <w:highlight w:val="none"/>
          <w:lang w:val="en-US" w:eastAsia="zh-CN"/>
        </w:rPr>
        <w:t>3.17供货前，须主动对接使用单位，确保满足用户需求。</w:t>
      </w:r>
    </w:p>
    <w:p>
      <w:pPr>
        <w:keepNext w:val="0"/>
        <w:keepLines w:val="0"/>
        <w:pageBreakBefore w:val="0"/>
        <w:kinsoku/>
        <w:wordWrap/>
        <w:overflowPunct/>
        <w:topLinePunct w:val="0"/>
        <w:bidi w:val="0"/>
        <w:spacing w:line="460" w:lineRule="exact"/>
        <w:outlineLvl w:val="9"/>
        <w:rPr>
          <w:rFonts w:hint="eastAsia" w:ascii="仿宋" w:hAnsi="仿宋" w:eastAsia="仿宋" w:cs="仿宋"/>
          <w:b/>
          <w:bCs/>
          <w:color w:val="auto"/>
          <w:kern w:val="0"/>
          <w:sz w:val="24"/>
          <w:szCs w:val="24"/>
          <w:highlight w:val="none"/>
          <w:lang w:val="en-US" w:eastAsia="zh-CN"/>
        </w:rPr>
      </w:pPr>
    </w:p>
    <w:p>
      <w:pPr>
        <w:keepNext w:val="0"/>
        <w:keepLines w:val="0"/>
        <w:pageBreakBefore w:val="0"/>
        <w:kinsoku/>
        <w:wordWrap/>
        <w:overflowPunct/>
        <w:topLinePunct w:val="0"/>
        <w:bidi w:val="0"/>
        <w:spacing w:line="460" w:lineRule="exact"/>
        <w:ind w:left="0"/>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68</w:t>
      </w:r>
      <w:r>
        <w:rPr>
          <w:rFonts w:hint="eastAsia" w:ascii="仿宋" w:hAnsi="仿宋" w:eastAsia="仿宋" w:cs="仿宋"/>
          <w:b/>
          <w:bCs/>
          <w:color w:val="auto"/>
          <w:kern w:val="0"/>
          <w:sz w:val="24"/>
          <w:szCs w:val="24"/>
          <w:highlight w:val="none"/>
          <w:lang w:val="en-US" w:eastAsia="zh-CN"/>
        </w:rPr>
        <w:t>包-2、</w:t>
      </w:r>
      <w:r>
        <w:rPr>
          <w:rFonts w:hint="eastAsia" w:ascii="仿宋" w:hAnsi="仿宋" w:eastAsia="仿宋" w:cs="仿宋"/>
          <w:b/>
          <w:bCs/>
          <w:color w:val="auto"/>
          <w:sz w:val="24"/>
          <w:szCs w:val="24"/>
          <w:highlight w:val="none"/>
          <w:lang w:val="en-US" w:eastAsia="zh-CN"/>
        </w:rPr>
        <w:t>移动水囊</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一、货物名称：</w:t>
      </w:r>
      <w:r>
        <w:rPr>
          <w:rFonts w:hint="eastAsia" w:ascii="仿宋" w:hAnsi="仿宋" w:eastAsia="仿宋" w:cs="仿宋"/>
          <w:b w:val="0"/>
          <w:bCs w:val="0"/>
          <w:color w:val="auto"/>
          <w:sz w:val="24"/>
          <w:szCs w:val="24"/>
          <w:highlight w:val="none"/>
          <w:lang w:val="en-US" w:eastAsia="zh-CN"/>
        </w:rPr>
        <w:t>移动水囊</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二、产地：国产</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三、主要技术规格、参数及要求</w:t>
      </w:r>
    </w:p>
    <w:p>
      <w:pPr>
        <w:pStyle w:val="13"/>
        <w:keepNext w:val="0"/>
        <w:keepLines w:val="0"/>
        <w:pageBreakBefore w:val="0"/>
        <w:kinsoku/>
        <w:wordWrap/>
        <w:overflowPunct/>
        <w:topLinePunct w:val="0"/>
        <w:bidi w:val="0"/>
        <w:spacing w:line="460" w:lineRule="exact"/>
        <w:rPr>
          <w:rFonts w:hint="eastAsia" w:eastAsia="仿宋"/>
          <w:color w:val="auto"/>
          <w:lang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3.2产品采用优质双层复合PVC布料，并结合先进的压胶工艺精制而成，底部设置有放余水开关；操作简便，易于折叠，耐磨损，抗温，抗腐蚀；</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3.3容量≥30T；</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3.4环境适应温度：-65~+80℃；</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3.5应设置连续荧光或反光标志；</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3.6应配备注、出水口的40mm、65mm、80mm快速转换接口；</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3.7整体穿刺性能≥150N;</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3.8供货前，须主动对接使用单位，确保满足用户需求。</w:t>
      </w:r>
    </w:p>
    <w:p>
      <w:pPr>
        <w:keepNext w:val="0"/>
        <w:keepLines w:val="0"/>
        <w:pageBreakBefore w:val="0"/>
        <w:kinsoku/>
        <w:wordWrap/>
        <w:overflowPunct/>
        <w:topLinePunct w:val="0"/>
        <w:bidi w:val="0"/>
        <w:spacing w:line="460" w:lineRule="exact"/>
        <w:outlineLvl w:val="9"/>
        <w:rPr>
          <w:rFonts w:hint="eastAsia" w:ascii="仿宋" w:hAnsi="仿宋" w:eastAsia="仿宋" w:cs="仿宋"/>
          <w:color w:val="auto"/>
          <w:sz w:val="24"/>
          <w:szCs w:val="24"/>
          <w:highlight w:val="none"/>
        </w:rPr>
      </w:pP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1"/>
        <w:rPr>
          <w:rFonts w:hint="eastAsia" w:ascii="仿宋" w:hAnsi="仿宋" w:eastAsia="仿宋" w:cs="仿宋"/>
          <w:b/>
          <w:bCs/>
          <w:color w:val="auto"/>
          <w:sz w:val="24"/>
          <w:szCs w:val="24"/>
          <w:highlight w:val="none"/>
          <w:lang w:val="en-US" w:eastAsia="zh-CN"/>
        </w:rPr>
      </w:pPr>
      <w:bookmarkStart w:id="554" w:name="_Toc29889"/>
      <w:bookmarkStart w:id="555" w:name="_Toc9526"/>
      <w:bookmarkStart w:id="556" w:name="_Toc13521"/>
      <w:bookmarkStart w:id="557" w:name="_Toc29942"/>
      <w:bookmarkStart w:id="558" w:name="_Toc25104"/>
      <w:r>
        <w:rPr>
          <w:rFonts w:hint="eastAsia" w:ascii="仿宋" w:hAnsi="仿宋" w:eastAsia="仿宋" w:cs="仿宋"/>
          <w:b/>
          <w:bCs/>
          <w:color w:val="auto"/>
          <w:sz w:val="24"/>
          <w:szCs w:val="24"/>
          <w:highlight w:val="none"/>
          <w:lang w:val="en-US" w:eastAsia="zh-CN"/>
        </w:rPr>
        <w:t>70包：冰面行动辅助套装、冰面救援滑板、冰面救援服【核心产品】</w:t>
      </w:r>
      <w:bookmarkEnd w:id="554"/>
      <w:bookmarkEnd w:id="555"/>
      <w:bookmarkEnd w:id="556"/>
      <w:bookmarkEnd w:id="557"/>
      <w:bookmarkEnd w:id="558"/>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70</w:t>
      </w:r>
      <w:r>
        <w:rPr>
          <w:rFonts w:hint="eastAsia" w:ascii="仿宋" w:hAnsi="仿宋" w:eastAsia="仿宋" w:cs="仿宋"/>
          <w:b/>
          <w:bCs/>
          <w:color w:val="auto"/>
          <w:kern w:val="0"/>
          <w:sz w:val="24"/>
          <w:szCs w:val="24"/>
          <w:highlight w:val="none"/>
          <w:lang w:val="en-US" w:eastAsia="zh-CN"/>
        </w:rPr>
        <w:t>包-1、</w:t>
      </w:r>
      <w:r>
        <w:rPr>
          <w:rFonts w:hint="eastAsia" w:ascii="仿宋" w:hAnsi="仿宋" w:eastAsia="仿宋" w:cs="仿宋"/>
          <w:b/>
          <w:bCs/>
          <w:color w:val="auto"/>
          <w:sz w:val="24"/>
          <w:szCs w:val="24"/>
          <w:highlight w:val="none"/>
          <w:lang w:eastAsia="zh-CN"/>
        </w:rPr>
        <w:t>冰面行动辅助套装</w:t>
      </w:r>
    </w:p>
    <w:p>
      <w:pPr>
        <w:keepNext w:val="0"/>
        <w:keepLines w:val="0"/>
        <w:pageBreakBefore w:val="0"/>
        <w:numPr>
          <w:ilvl w:val="0"/>
          <w:numId w:val="18"/>
        </w:numPr>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货物名称：</w:t>
      </w:r>
      <w:r>
        <w:rPr>
          <w:rFonts w:hint="eastAsia" w:ascii="仿宋" w:hAnsi="仿宋" w:eastAsia="仿宋" w:cs="仿宋"/>
          <w:color w:val="auto"/>
          <w:sz w:val="24"/>
          <w:szCs w:val="24"/>
          <w:highlight w:val="none"/>
          <w:lang w:eastAsia="zh-CN"/>
        </w:rPr>
        <w:t>冰面行动辅助套装</w:t>
      </w:r>
    </w:p>
    <w:p>
      <w:pPr>
        <w:keepNext w:val="0"/>
        <w:keepLines w:val="0"/>
        <w:pageBreakBefore w:val="0"/>
        <w:numPr>
          <w:ilvl w:val="0"/>
          <w:numId w:val="0"/>
        </w:numPr>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二、产地：国产</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三、主要技术规格、参数及要求：</w:t>
      </w:r>
    </w:p>
    <w:p>
      <w:pPr>
        <w:pStyle w:val="13"/>
        <w:keepNext w:val="0"/>
        <w:keepLines w:val="0"/>
        <w:pageBreakBefore w:val="0"/>
        <w:kinsoku/>
        <w:wordWrap/>
        <w:overflowPunct/>
        <w:topLinePunct w:val="0"/>
        <w:bidi w:val="0"/>
        <w:spacing w:line="460" w:lineRule="exact"/>
        <w:rPr>
          <w:rFonts w:hint="eastAsia" w:eastAsia="仿宋"/>
          <w:color w:val="auto"/>
          <w:lang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widowControl/>
        <w:suppressLineNumbers w:val="0"/>
        <w:kinsoku/>
        <w:wordWrap/>
        <w:overflowPunct/>
        <w:topLinePunct w:val="0"/>
        <w:bidi w:val="0"/>
        <w:spacing w:beforeAutospacing="0" w:afterAutospacing="0" w:line="460" w:lineRule="exact"/>
        <w:ind w:left="0"/>
        <w:jc w:val="both"/>
        <w:textAlignment w:val="center"/>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3.2配置不少于冰爪1副、爬行辅助器（冰锥）1对、冰镐1把、冰锚1副；</w:t>
      </w:r>
    </w:p>
    <w:p>
      <w:pPr>
        <w:keepNext w:val="0"/>
        <w:keepLines w:val="0"/>
        <w:pageBreakBefore w:val="0"/>
        <w:widowControl/>
        <w:suppressLineNumbers w:val="0"/>
        <w:kinsoku/>
        <w:wordWrap/>
        <w:overflowPunct/>
        <w:topLinePunct w:val="0"/>
        <w:bidi w:val="0"/>
        <w:spacing w:beforeAutospacing="0" w:afterAutospacing="0" w:line="460" w:lineRule="exact"/>
        <w:ind w:left="0"/>
        <w:jc w:val="both"/>
        <w:textAlignment w:val="center"/>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3.3冰爪前齿可拆卸、可调节，中央金属片可调节，跟部塑料件可微调，可配合不同型号的专业靴使用，带阻雪板；</w:t>
      </w:r>
    </w:p>
    <w:p>
      <w:pPr>
        <w:keepNext w:val="0"/>
        <w:keepLines w:val="0"/>
        <w:pageBreakBefore w:val="0"/>
        <w:widowControl/>
        <w:suppressLineNumbers w:val="0"/>
        <w:kinsoku/>
        <w:wordWrap/>
        <w:overflowPunct/>
        <w:topLinePunct w:val="0"/>
        <w:bidi w:val="0"/>
        <w:spacing w:beforeAutospacing="0" w:afterAutospacing="0" w:line="460" w:lineRule="exact"/>
        <w:ind w:left="0"/>
        <w:jc w:val="both"/>
        <w:textAlignment w:val="center"/>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3.4爬行辅助器（冰锥）内含冰锥，把手长度≥100mm，把手间用反光固定绳连接；</w:t>
      </w:r>
    </w:p>
    <w:p>
      <w:pPr>
        <w:keepNext w:val="0"/>
        <w:keepLines w:val="0"/>
        <w:pageBreakBefore w:val="0"/>
        <w:widowControl/>
        <w:suppressLineNumbers w:val="0"/>
        <w:kinsoku/>
        <w:wordWrap/>
        <w:overflowPunct/>
        <w:topLinePunct w:val="0"/>
        <w:bidi w:val="0"/>
        <w:spacing w:beforeAutospacing="0" w:afterAutospacing="0" w:line="460" w:lineRule="exact"/>
        <w:ind w:left="0"/>
        <w:jc w:val="both"/>
        <w:textAlignment w:val="center"/>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0"/>
          <w:sz w:val="24"/>
          <w:szCs w:val="24"/>
          <w:highlight w:val="none"/>
          <w:lang w:val="en-US" w:eastAsia="zh-CN"/>
        </w:rPr>
        <w:t>3.5</w:t>
      </w:r>
      <w:r>
        <w:rPr>
          <w:rFonts w:hint="eastAsia" w:ascii="仿宋" w:hAnsi="仿宋" w:eastAsia="仿宋" w:cs="仿宋"/>
          <w:color w:val="auto"/>
          <w:sz w:val="24"/>
          <w:szCs w:val="24"/>
          <w:highlight w:val="none"/>
          <w:lang w:val="en-US" w:eastAsia="zh-CN"/>
        </w:rPr>
        <w:t>冰镐镐身采用铝镁合金材质制作，镐尖采用不锈钢材质制作，长度≥65cm，宽度≥23cm，镐柄带有仿脱手卡位器；</w:t>
      </w:r>
    </w:p>
    <w:p>
      <w:pPr>
        <w:keepNext w:val="0"/>
        <w:keepLines w:val="0"/>
        <w:pageBreakBefore w:val="0"/>
        <w:widowControl/>
        <w:suppressLineNumbers w:val="0"/>
        <w:kinsoku/>
        <w:wordWrap/>
        <w:overflowPunct/>
        <w:topLinePunct w:val="0"/>
        <w:bidi w:val="0"/>
        <w:spacing w:beforeAutospacing="0" w:afterAutospacing="0" w:line="460" w:lineRule="exact"/>
        <w:ind w:left="0"/>
        <w:jc w:val="both"/>
        <w:textAlignment w:val="center"/>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3.6冰锚采用不锈钢材质制作，自身带有孔洞，可以连接绳索或钢缆使用，长度≥250mm；</w:t>
      </w:r>
    </w:p>
    <w:p>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提供中文使用说明书，含装备简介、使用注意事项及维护保养等内容。</w:t>
      </w:r>
    </w:p>
    <w:p>
      <w:pPr>
        <w:keepNext w:val="0"/>
        <w:keepLines w:val="0"/>
        <w:pageBreakBefore w:val="0"/>
        <w:kinsoku/>
        <w:wordWrap/>
        <w:overflowPunct/>
        <w:topLinePunct w:val="0"/>
        <w:bidi w:val="0"/>
        <w:adjustRightInd w:val="0"/>
        <w:snapToGrid w:val="0"/>
        <w:spacing w:beforeAutospacing="0" w:afterAutospacing="0" w:line="460" w:lineRule="exact"/>
        <w:ind w:left="0"/>
        <w:outlineLvl w:val="9"/>
        <w:rPr>
          <w:rFonts w:hint="eastAsia" w:ascii="仿宋" w:hAnsi="仿宋" w:eastAsia="仿宋" w:cs="仿宋"/>
          <w:b/>
          <w:bCs/>
          <w:color w:val="auto"/>
          <w:kern w:val="0"/>
          <w:sz w:val="24"/>
          <w:szCs w:val="24"/>
          <w:highlight w:val="none"/>
          <w:lang w:val="en-US" w:eastAsia="zh-CN"/>
        </w:rPr>
      </w:pP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70</w:t>
      </w:r>
      <w:r>
        <w:rPr>
          <w:rFonts w:hint="eastAsia" w:ascii="仿宋" w:hAnsi="仿宋" w:eastAsia="仿宋" w:cs="仿宋"/>
          <w:b/>
          <w:bCs/>
          <w:color w:val="auto"/>
          <w:kern w:val="0"/>
          <w:sz w:val="24"/>
          <w:szCs w:val="24"/>
          <w:highlight w:val="none"/>
          <w:lang w:val="en-US" w:eastAsia="zh-CN"/>
        </w:rPr>
        <w:t>包-2、</w:t>
      </w:r>
      <w:r>
        <w:rPr>
          <w:rFonts w:hint="eastAsia" w:ascii="仿宋" w:hAnsi="仿宋" w:eastAsia="仿宋" w:cs="仿宋"/>
          <w:b/>
          <w:bCs/>
          <w:color w:val="auto"/>
          <w:sz w:val="24"/>
          <w:szCs w:val="24"/>
          <w:highlight w:val="none"/>
          <w:lang w:eastAsia="zh-CN"/>
        </w:rPr>
        <w:t>冰</w:t>
      </w:r>
      <w:r>
        <w:rPr>
          <w:rFonts w:hint="eastAsia" w:ascii="仿宋" w:hAnsi="仿宋" w:eastAsia="仿宋" w:cs="仿宋"/>
          <w:b/>
          <w:bCs/>
          <w:color w:val="auto"/>
          <w:sz w:val="24"/>
          <w:szCs w:val="24"/>
          <w:highlight w:val="none"/>
          <w:lang w:val="en-US" w:eastAsia="zh-CN"/>
        </w:rPr>
        <w:t>面</w:t>
      </w:r>
      <w:r>
        <w:rPr>
          <w:rFonts w:hint="eastAsia" w:ascii="仿宋" w:hAnsi="仿宋" w:eastAsia="仿宋" w:cs="仿宋"/>
          <w:b/>
          <w:bCs/>
          <w:color w:val="auto"/>
          <w:sz w:val="24"/>
          <w:szCs w:val="24"/>
          <w:highlight w:val="none"/>
          <w:lang w:eastAsia="zh-CN"/>
        </w:rPr>
        <w:t>救援滑板</w:t>
      </w:r>
    </w:p>
    <w:p>
      <w:pPr>
        <w:keepNext w:val="0"/>
        <w:keepLines w:val="0"/>
        <w:pageBreakBefore w:val="0"/>
        <w:numPr>
          <w:ilvl w:val="0"/>
          <w:numId w:val="0"/>
        </w:numPr>
        <w:kinsoku/>
        <w:wordWrap/>
        <w:overflowPunct/>
        <w:topLinePunct w:val="0"/>
        <w:bidi w:val="0"/>
        <w:spacing w:line="460" w:lineRule="exact"/>
        <w:ind w:left="0"/>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kern w:val="2"/>
          <w:sz w:val="24"/>
          <w:szCs w:val="24"/>
          <w:highlight w:val="none"/>
          <w:lang w:val="en-US" w:eastAsia="zh-CN" w:bidi="ar-SA"/>
        </w:rPr>
        <w:t>一、</w:t>
      </w:r>
      <w:r>
        <w:rPr>
          <w:rFonts w:hint="eastAsia" w:ascii="仿宋" w:hAnsi="仿宋" w:eastAsia="仿宋" w:cs="仿宋"/>
          <w:color w:val="auto"/>
          <w:sz w:val="24"/>
          <w:szCs w:val="24"/>
          <w:highlight w:val="none"/>
        </w:rPr>
        <w:t>货物名称：</w:t>
      </w:r>
      <w:r>
        <w:rPr>
          <w:rFonts w:hint="eastAsia" w:ascii="仿宋" w:hAnsi="仿宋" w:eastAsia="仿宋" w:cs="仿宋"/>
          <w:color w:val="auto"/>
          <w:sz w:val="24"/>
          <w:szCs w:val="24"/>
          <w:highlight w:val="none"/>
          <w:lang w:eastAsia="zh-CN"/>
        </w:rPr>
        <w:t>冰</w:t>
      </w:r>
      <w:r>
        <w:rPr>
          <w:rFonts w:hint="eastAsia" w:ascii="仿宋" w:hAnsi="仿宋" w:eastAsia="仿宋" w:cs="仿宋"/>
          <w:color w:val="auto"/>
          <w:sz w:val="24"/>
          <w:szCs w:val="24"/>
          <w:highlight w:val="none"/>
          <w:lang w:val="en-US" w:eastAsia="zh-CN"/>
        </w:rPr>
        <w:t>面</w:t>
      </w:r>
      <w:r>
        <w:rPr>
          <w:rFonts w:hint="eastAsia" w:ascii="仿宋" w:hAnsi="仿宋" w:eastAsia="仿宋" w:cs="仿宋"/>
          <w:color w:val="auto"/>
          <w:sz w:val="24"/>
          <w:szCs w:val="24"/>
          <w:highlight w:val="none"/>
          <w:lang w:eastAsia="zh-CN"/>
        </w:rPr>
        <w:t>救援滑板</w:t>
      </w:r>
    </w:p>
    <w:p>
      <w:pPr>
        <w:keepNext w:val="0"/>
        <w:keepLines w:val="0"/>
        <w:pageBreakBefore w:val="0"/>
        <w:numPr>
          <w:ilvl w:val="0"/>
          <w:numId w:val="0"/>
        </w:numPr>
        <w:kinsoku/>
        <w:wordWrap/>
        <w:overflowPunct/>
        <w:topLinePunct w:val="0"/>
        <w:bidi w:val="0"/>
        <w:spacing w:line="460" w:lineRule="exact"/>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二、产地：国产</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三、主要技术规格、参数及要求：</w:t>
      </w:r>
    </w:p>
    <w:p>
      <w:pPr>
        <w:pStyle w:val="13"/>
        <w:keepNext w:val="0"/>
        <w:keepLines w:val="0"/>
        <w:pageBreakBefore w:val="0"/>
        <w:kinsoku/>
        <w:wordWrap/>
        <w:overflowPunct/>
        <w:topLinePunct w:val="0"/>
        <w:bidi w:val="0"/>
        <w:spacing w:line="460" w:lineRule="exact"/>
        <w:rPr>
          <w:rFonts w:hint="eastAsia" w:eastAsia="仿宋"/>
          <w:color w:val="auto"/>
          <w:lang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tabs>
          <w:tab w:val="left" w:pos="540"/>
        </w:tabs>
        <w:kinsoku/>
        <w:wordWrap/>
        <w:overflowPunct/>
        <w:topLinePunct w:val="0"/>
        <w:bidi w:val="0"/>
        <w:spacing w:line="460" w:lineRule="exact"/>
        <w:ind w:left="0"/>
        <w:outlineLvl w:val="9"/>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kern w:val="2"/>
          <w:sz w:val="24"/>
          <w:szCs w:val="24"/>
          <w:highlight w:val="none"/>
          <w:lang w:val="en-US" w:eastAsia="zh-CN" w:bidi="ar"/>
        </w:rPr>
        <w:t>一体成型，耐低温，颜色为高亮色；</w:t>
      </w:r>
    </w:p>
    <w:p>
      <w:pPr>
        <w:keepNext w:val="0"/>
        <w:keepLines w:val="0"/>
        <w:pageBreakBefore w:val="0"/>
        <w:tabs>
          <w:tab w:val="left" w:pos="540"/>
        </w:tabs>
        <w:kinsoku/>
        <w:wordWrap/>
        <w:overflowPunct/>
        <w:topLinePunct w:val="0"/>
        <w:bidi w:val="0"/>
        <w:spacing w:line="460" w:lineRule="exact"/>
        <w:ind w:left="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kern w:val="2"/>
          <w:sz w:val="24"/>
          <w:szCs w:val="24"/>
          <w:highlight w:val="none"/>
          <w:lang w:val="en-US" w:eastAsia="zh-CN" w:bidi="ar"/>
        </w:rPr>
        <w:t>带有把手≥10个，单把手长度≥25cm</w:t>
      </w:r>
      <w:r>
        <w:rPr>
          <w:rFonts w:hint="eastAsia" w:ascii="仿宋" w:hAnsi="仿宋" w:eastAsia="仿宋" w:cs="仿宋"/>
          <w:color w:val="auto"/>
          <w:sz w:val="24"/>
          <w:szCs w:val="24"/>
          <w:highlight w:val="none"/>
        </w:rPr>
        <w:t>；</w:t>
      </w:r>
    </w:p>
    <w:p>
      <w:pPr>
        <w:keepNext w:val="0"/>
        <w:keepLines w:val="0"/>
        <w:pageBreakBefore w:val="0"/>
        <w:kinsoku/>
        <w:wordWrap/>
        <w:overflowPunct/>
        <w:topLinePunct w:val="0"/>
        <w:bidi w:val="0"/>
        <w:adjustRightInd w:val="0"/>
        <w:snapToGrid w:val="0"/>
        <w:spacing w:line="460" w:lineRule="exact"/>
        <w:ind w:left="0"/>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w:t>
      </w:r>
      <w:r>
        <w:rPr>
          <w:rFonts w:hint="eastAsia" w:ascii="仿宋" w:hAnsi="仿宋" w:eastAsia="仿宋" w:cs="仿宋"/>
          <w:bCs/>
          <w:color w:val="auto"/>
          <w:sz w:val="24"/>
          <w:szCs w:val="24"/>
          <w:highlight w:val="none"/>
          <w:lang w:val="en-US" w:eastAsia="zh-CN"/>
        </w:rPr>
        <w:t>4</w:t>
      </w:r>
      <w:r>
        <w:rPr>
          <w:rFonts w:hint="eastAsia" w:ascii="仿宋" w:hAnsi="仿宋" w:eastAsia="仿宋" w:cs="仿宋"/>
          <w:color w:val="auto"/>
          <w:kern w:val="2"/>
          <w:sz w:val="24"/>
          <w:szCs w:val="24"/>
          <w:highlight w:val="none"/>
          <w:lang w:val="en-US" w:eastAsia="zh-CN" w:bidi="ar"/>
        </w:rPr>
        <w:t>正面带有≥2个导流槽；</w:t>
      </w:r>
    </w:p>
    <w:p>
      <w:pPr>
        <w:keepNext w:val="0"/>
        <w:keepLines w:val="0"/>
        <w:pageBreakBefore w:val="0"/>
        <w:kinsoku/>
        <w:wordWrap/>
        <w:overflowPunct/>
        <w:topLinePunct w:val="0"/>
        <w:bidi w:val="0"/>
        <w:adjustRightInd w:val="0"/>
        <w:snapToGrid w:val="0"/>
        <w:spacing w:line="460" w:lineRule="exact"/>
        <w:ind w:left="0"/>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w:t>
      </w:r>
      <w:r>
        <w:rPr>
          <w:rFonts w:hint="eastAsia" w:ascii="仿宋" w:hAnsi="仿宋" w:eastAsia="仿宋" w:cs="仿宋"/>
          <w:bCs/>
          <w:color w:val="auto"/>
          <w:sz w:val="24"/>
          <w:szCs w:val="24"/>
          <w:highlight w:val="none"/>
          <w:lang w:val="en-US" w:eastAsia="zh-CN"/>
        </w:rPr>
        <w:t>5</w:t>
      </w:r>
      <w:r>
        <w:rPr>
          <w:rFonts w:hint="eastAsia" w:ascii="仿宋" w:hAnsi="仿宋" w:eastAsia="仿宋" w:cs="仿宋"/>
          <w:color w:val="auto"/>
          <w:kern w:val="2"/>
          <w:sz w:val="24"/>
          <w:szCs w:val="24"/>
          <w:highlight w:val="none"/>
          <w:lang w:val="en-US" w:eastAsia="zh-CN" w:bidi="ar"/>
        </w:rPr>
        <w:t>长度≥160cm，宽度≥95cm</w:t>
      </w:r>
      <w:r>
        <w:rPr>
          <w:rFonts w:hint="eastAsia" w:ascii="仿宋" w:hAnsi="仿宋" w:eastAsia="仿宋" w:cs="仿宋"/>
          <w:bCs/>
          <w:color w:val="auto"/>
          <w:sz w:val="24"/>
          <w:szCs w:val="24"/>
          <w:highlight w:val="none"/>
        </w:rPr>
        <w:t>；</w:t>
      </w:r>
    </w:p>
    <w:p>
      <w:pPr>
        <w:keepNext w:val="0"/>
        <w:keepLines w:val="0"/>
        <w:pageBreakBefore w:val="0"/>
        <w:kinsoku/>
        <w:wordWrap/>
        <w:overflowPunct/>
        <w:topLinePunct w:val="0"/>
        <w:bidi w:val="0"/>
        <w:adjustRightInd w:val="0"/>
        <w:snapToGrid w:val="0"/>
        <w:spacing w:line="460" w:lineRule="exact"/>
        <w:ind w:left="0"/>
        <w:outlineLvl w:val="9"/>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kern w:val="2"/>
          <w:sz w:val="24"/>
          <w:szCs w:val="24"/>
          <w:highlight w:val="none"/>
          <w:lang w:val="en-US" w:eastAsia="zh-CN" w:bidi="ar"/>
        </w:rPr>
        <w:t>3.6水上漂浮载重≥100KG；</w:t>
      </w:r>
    </w:p>
    <w:p>
      <w:pPr>
        <w:keepNext w:val="0"/>
        <w:keepLines w:val="0"/>
        <w:pageBreakBefore w:val="0"/>
        <w:tabs>
          <w:tab w:val="left" w:pos="540"/>
        </w:tabs>
        <w:kinsoku/>
        <w:wordWrap/>
        <w:overflowPunct/>
        <w:topLinePunct w:val="0"/>
        <w:bidi w:val="0"/>
        <w:spacing w:line="460" w:lineRule="exact"/>
        <w:ind w:left="0"/>
        <w:outlineLvl w:val="9"/>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val="en-US" w:eastAsia="zh-CN" w:bidi="ar"/>
        </w:rPr>
        <w:t>3.7配有划桨一支，安全绳一条，装备包一个，修补材料一份，电动打气泵一个；</w:t>
      </w:r>
    </w:p>
    <w:p>
      <w:pPr>
        <w:keepNext w:val="0"/>
        <w:keepLines w:val="0"/>
        <w:pageBreakBefore w:val="0"/>
        <w:widowControl w:val="0"/>
        <w:numPr>
          <w:ilvl w:val="0"/>
          <w:numId w:val="0"/>
        </w:numPr>
        <w:kinsoku/>
        <w:wordWrap/>
        <w:overflowPunct/>
        <w:topLinePunct w:val="0"/>
        <w:bidi w:val="0"/>
        <w:spacing w:line="460" w:lineRule="exact"/>
        <w:jc w:val="both"/>
        <w:outlineLvl w:val="9"/>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提供中文使用说明书，含装备简介、使用注意事项及维护保养等内容。</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b/>
          <w:bCs/>
          <w:color w:val="auto"/>
          <w:kern w:val="0"/>
          <w:sz w:val="24"/>
          <w:szCs w:val="24"/>
          <w:highlight w:val="none"/>
          <w:lang w:val="en-US" w:eastAsia="zh-CN"/>
        </w:rPr>
      </w:pP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70</w:t>
      </w:r>
      <w:r>
        <w:rPr>
          <w:rFonts w:hint="eastAsia" w:ascii="仿宋" w:hAnsi="仿宋" w:eastAsia="仿宋" w:cs="仿宋"/>
          <w:b/>
          <w:bCs/>
          <w:color w:val="auto"/>
          <w:kern w:val="0"/>
          <w:sz w:val="24"/>
          <w:szCs w:val="24"/>
          <w:highlight w:val="none"/>
          <w:lang w:val="en-US" w:eastAsia="zh-CN"/>
        </w:rPr>
        <w:t>包-3、</w:t>
      </w:r>
      <w:r>
        <w:rPr>
          <w:rFonts w:hint="eastAsia" w:ascii="仿宋" w:hAnsi="仿宋" w:eastAsia="仿宋" w:cs="仿宋"/>
          <w:b/>
          <w:bCs/>
          <w:color w:val="auto"/>
          <w:sz w:val="24"/>
          <w:szCs w:val="24"/>
          <w:highlight w:val="none"/>
          <w:lang w:eastAsia="zh-CN"/>
        </w:rPr>
        <w:t>冰面救援服</w:t>
      </w:r>
    </w:p>
    <w:p>
      <w:pPr>
        <w:keepNext w:val="0"/>
        <w:keepLines w:val="0"/>
        <w:pageBreakBefore w:val="0"/>
        <w:widowControl w:val="0"/>
        <w:numPr>
          <w:ilvl w:val="0"/>
          <w:numId w:val="0"/>
        </w:numPr>
        <w:kinsoku/>
        <w:wordWrap/>
        <w:overflowPunct/>
        <w:topLinePunct w:val="0"/>
        <w:autoSpaceDE/>
        <w:autoSpaceDN/>
        <w:bidi w:val="0"/>
        <w:spacing w:beforeAutospacing="0" w:afterAutospacing="0" w:line="460" w:lineRule="exact"/>
        <w:ind w:left="0" w:leftChars="0"/>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kern w:val="2"/>
          <w:sz w:val="24"/>
          <w:szCs w:val="24"/>
          <w:highlight w:val="none"/>
          <w:lang w:val="en-US" w:eastAsia="zh-CN" w:bidi="ar-SA"/>
        </w:rPr>
        <w:t>一、</w:t>
      </w:r>
      <w:r>
        <w:rPr>
          <w:rFonts w:hint="eastAsia" w:ascii="仿宋" w:hAnsi="仿宋" w:eastAsia="仿宋" w:cs="仿宋"/>
          <w:color w:val="auto"/>
          <w:sz w:val="24"/>
          <w:szCs w:val="24"/>
          <w:highlight w:val="none"/>
        </w:rPr>
        <w:t>货物名称：</w:t>
      </w:r>
      <w:r>
        <w:rPr>
          <w:rFonts w:hint="eastAsia" w:ascii="仿宋" w:hAnsi="仿宋" w:eastAsia="仿宋" w:cs="仿宋"/>
          <w:color w:val="auto"/>
          <w:sz w:val="24"/>
          <w:szCs w:val="24"/>
          <w:highlight w:val="none"/>
          <w:lang w:eastAsia="zh-CN"/>
        </w:rPr>
        <w:t>冰面救援服</w:t>
      </w:r>
    </w:p>
    <w:p>
      <w:pPr>
        <w:keepNext w:val="0"/>
        <w:keepLines w:val="0"/>
        <w:pageBreakBefore w:val="0"/>
        <w:widowControl w:val="0"/>
        <w:numPr>
          <w:ilvl w:val="0"/>
          <w:numId w:val="0"/>
        </w:numPr>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二、产地：国产</w:t>
      </w:r>
    </w:p>
    <w:p>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三、主要技术规格、参数及要求：</w:t>
      </w:r>
    </w:p>
    <w:p>
      <w:pPr>
        <w:pStyle w:val="13"/>
        <w:keepNext w:val="0"/>
        <w:keepLines w:val="0"/>
        <w:pageBreakBefore w:val="0"/>
        <w:kinsoku/>
        <w:wordWrap/>
        <w:overflowPunct/>
        <w:topLinePunct w:val="0"/>
        <w:bidi w:val="0"/>
        <w:spacing w:line="460" w:lineRule="exact"/>
        <w:rPr>
          <w:rFonts w:hint="eastAsia" w:eastAsia="仿宋"/>
          <w:color w:val="auto"/>
          <w:lang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3.2质量应≤ 5 kg；</w:t>
      </w:r>
    </w:p>
    <w:p>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3.3为连体服、防护靴、手套、头套一体设计；</w:t>
      </w:r>
    </w:p>
    <w:p>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3.4面料经向断裂强力应≥ 750 N、纬向断裂强力应≥ 750 N；</w:t>
      </w:r>
    </w:p>
    <w:p>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3.5面料经向撕破强力应≥ 120 N、纬向撕破强力应≥ 120 N；</w:t>
      </w:r>
    </w:p>
    <w:p>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3.6耐水摩擦色牢度、耐洗沾色牢度、耐光色牢度不应小于4级；</w:t>
      </w:r>
    </w:p>
    <w:p>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3.7面料在 9 kPa的压力下，经 8000 次循环摩擦后，试样的耐静水压应≥ 100 kPa；</w:t>
      </w:r>
    </w:p>
    <w:p>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3.8经过 15 次洗涤后，水域救援服面料不应出现开裂、脱层等损坏，耐静水压应≥ 100 kPa；</w:t>
      </w:r>
    </w:p>
    <w:p>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3.9面料接缝经纬向在承受 100 N的拉伸载荷下保持 5 min后，不应发生永久变形、断裂等现象，且耐静水压应≥ 50 kPa；</w:t>
      </w:r>
    </w:p>
    <w:p>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3.10拉链、系扣等闭合口及其接缝在承受 100 N的拉伸载荷 10 s后不应断裂；</w:t>
      </w:r>
    </w:p>
    <w:p>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3.11连体头套、连体脚套、连体靴、连体手套、颈部密封件、腕部密封件等部件与服装的连接部位在承受 100 N的拉伸载荷 5 min后不应发生损坏；</w:t>
      </w:r>
    </w:p>
    <w:p>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3.12经 24h 耐油性能试验后，应无皱缩、破裂、胀大、分解等现象；</w:t>
      </w:r>
    </w:p>
    <w:p>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3.13应能漂浮在平静的水中，且嘴部与水面的距离应≥120mm；</w:t>
      </w:r>
    </w:p>
    <w:p>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3.14浮力应不小于110N且不大于150N，在淡水中浸泡24h后，浮力损失不应超过5%；</w:t>
      </w:r>
    </w:p>
    <w:p>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3.15满足2kpa/15min气密性要求；</w:t>
      </w:r>
    </w:p>
    <w:p>
      <w:pPr>
        <w:keepNext w:val="0"/>
        <w:keepLines w:val="0"/>
        <w:pageBreakBefore w:val="0"/>
        <w:kinsoku/>
        <w:wordWrap/>
        <w:overflowPunct/>
        <w:topLinePunct w:val="0"/>
        <w:bidi w:val="0"/>
        <w:adjustRightInd w:val="0"/>
        <w:snapToGrid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3.16在0-2℃水中浸泡1h后，穿着人员体表温度低于10℃的时间不应超过15min，且基础体温下降不应超过2℃。</w:t>
      </w:r>
    </w:p>
    <w:p>
      <w:pPr>
        <w:keepNext w:val="0"/>
        <w:keepLines w:val="0"/>
        <w:pageBreakBefore w:val="0"/>
        <w:kinsoku/>
        <w:wordWrap/>
        <w:overflowPunct/>
        <w:topLinePunct w:val="0"/>
        <w:bidi w:val="0"/>
        <w:spacing w:line="460" w:lineRule="exact"/>
        <w:outlineLvl w:val="9"/>
        <w:rPr>
          <w:rFonts w:hint="eastAsia" w:ascii="仿宋" w:hAnsi="仿宋" w:eastAsia="仿宋" w:cs="仿宋"/>
          <w:color w:val="auto"/>
          <w:sz w:val="24"/>
          <w:szCs w:val="24"/>
          <w:highlight w:val="none"/>
          <w:lang w:val="en-US" w:eastAsia="zh-CN"/>
        </w:rPr>
      </w:pPr>
    </w:p>
    <w:p>
      <w:pPr>
        <w:keepNext w:val="0"/>
        <w:keepLines w:val="0"/>
        <w:pageBreakBefore w:val="0"/>
        <w:kinsoku/>
        <w:wordWrap/>
        <w:overflowPunct/>
        <w:topLinePunct w:val="0"/>
        <w:bidi w:val="0"/>
        <w:spacing w:beforeAutospacing="0" w:afterAutospacing="0" w:line="460" w:lineRule="exact"/>
        <w:ind w:left="0"/>
        <w:outlineLvl w:val="1"/>
        <w:rPr>
          <w:rFonts w:hint="eastAsia" w:ascii="仿宋" w:hAnsi="仿宋" w:eastAsia="仿宋" w:cs="仿宋"/>
          <w:b/>
          <w:bCs/>
          <w:color w:val="auto"/>
          <w:sz w:val="24"/>
          <w:szCs w:val="24"/>
          <w:highlight w:val="none"/>
          <w:lang w:val="en-US" w:eastAsia="zh-CN"/>
        </w:rPr>
      </w:pPr>
      <w:bookmarkStart w:id="559" w:name="_Toc5237"/>
      <w:bookmarkStart w:id="560" w:name="_Toc8356"/>
      <w:bookmarkStart w:id="561" w:name="_Toc2282"/>
      <w:bookmarkStart w:id="562" w:name="_Toc30642"/>
      <w:bookmarkStart w:id="563" w:name="_Toc19569"/>
      <w:r>
        <w:rPr>
          <w:rFonts w:hint="eastAsia" w:ascii="仿宋" w:hAnsi="仿宋" w:eastAsia="仿宋" w:cs="仿宋"/>
          <w:b/>
          <w:bCs/>
          <w:color w:val="auto"/>
          <w:sz w:val="24"/>
          <w:szCs w:val="24"/>
          <w:highlight w:val="none"/>
          <w:lang w:val="en-US" w:eastAsia="zh-CN"/>
        </w:rPr>
        <w:t>72包：化学氧自救呼吸器</w:t>
      </w:r>
      <w:bookmarkEnd w:id="559"/>
      <w:bookmarkEnd w:id="560"/>
      <w:bookmarkEnd w:id="561"/>
      <w:bookmarkEnd w:id="562"/>
      <w:bookmarkEnd w:id="563"/>
    </w:p>
    <w:p>
      <w:pPr>
        <w:pStyle w:val="13"/>
        <w:keepNext w:val="0"/>
        <w:keepLines w:val="0"/>
        <w:pageBreakBefore w:val="0"/>
        <w:widowControl w:val="0"/>
        <w:kinsoku/>
        <w:wordWrap/>
        <w:overflowPunct/>
        <w:topLinePunct w:val="0"/>
        <w:bidi w:val="0"/>
        <w:spacing w:beforeAutospacing="0" w:after="0" w:afterAutospacing="0" w:line="460" w:lineRule="exact"/>
        <w:ind w:left="0" w:right="0"/>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一、货物名称：化学氧自救呼吸器</w:t>
      </w:r>
    </w:p>
    <w:p>
      <w:pPr>
        <w:pStyle w:val="13"/>
        <w:keepNext w:val="0"/>
        <w:keepLines w:val="0"/>
        <w:pageBreakBefore w:val="0"/>
        <w:widowControl w:val="0"/>
        <w:kinsoku/>
        <w:wordWrap/>
        <w:overflowPunct/>
        <w:topLinePunct w:val="0"/>
        <w:bidi w:val="0"/>
        <w:spacing w:beforeAutospacing="0" w:after="0" w:afterAutospacing="0" w:line="460" w:lineRule="exact"/>
        <w:ind w:left="0" w:right="0"/>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二、产地：国产</w:t>
      </w:r>
    </w:p>
    <w:p>
      <w:pPr>
        <w:pStyle w:val="13"/>
        <w:keepNext w:val="0"/>
        <w:keepLines w:val="0"/>
        <w:pageBreakBefore w:val="0"/>
        <w:widowControl w:val="0"/>
        <w:kinsoku/>
        <w:wordWrap/>
        <w:overflowPunct/>
        <w:topLinePunct w:val="0"/>
        <w:bidi w:val="0"/>
        <w:spacing w:beforeAutospacing="0" w:after="0" w:afterAutospacing="0" w:line="460" w:lineRule="exact"/>
        <w:ind w:left="0" w:right="0"/>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三、主要技术规格、参数及要求：</w:t>
      </w:r>
    </w:p>
    <w:p>
      <w:pPr>
        <w:pStyle w:val="13"/>
        <w:keepNext w:val="0"/>
        <w:keepLines w:val="0"/>
        <w:pageBreakBefore w:val="0"/>
        <w:kinsoku/>
        <w:wordWrap/>
        <w:overflowPunct/>
        <w:topLinePunct w:val="0"/>
        <w:bidi w:val="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rPr>
        <w:t>3.1符合XF411-2003《化学氧消防自救呼吸器》标准要求，提供第三方检测机构出具的检测/检验/试验/测试报告（报告中的型号须与所投产品型号一致）复印件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kinsoku/>
        <w:wordWrap/>
        <w:overflowPunct/>
        <w:topLinePunct w:val="0"/>
        <w:bidi w:val="0"/>
        <w:spacing w:line="460" w:lineRule="exact"/>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面罩双目视野≥</w:t>
      </w:r>
      <w:r>
        <w:rPr>
          <w:rFonts w:hint="eastAsia" w:ascii="仿宋" w:hAnsi="仿宋" w:eastAsia="仿宋" w:cs="仿宋"/>
          <w:color w:val="auto"/>
          <w:sz w:val="24"/>
          <w:szCs w:val="24"/>
          <w:highlight w:val="none"/>
          <w:lang w:val="en-US" w:eastAsia="zh-CN"/>
        </w:rPr>
        <w:t>60</w:t>
      </w:r>
      <w:r>
        <w:rPr>
          <w:rFonts w:hint="eastAsia" w:ascii="仿宋" w:hAnsi="仿宋" w:eastAsia="仿宋" w:cs="仿宋"/>
          <w:color w:val="auto"/>
          <w:sz w:val="24"/>
          <w:szCs w:val="24"/>
          <w:highlight w:val="none"/>
        </w:rPr>
        <w:t>%，眼区漏气系数≤</w:t>
      </w:r>
      <w:r>
        <w:rPr>
          <w:rFonts w:hint="eastAsia" w:ascii="仿宋" w:hAnsi="仿宋" w:eastAsia="仿宋" w:cs="仿宋"/>
          <w:color w:val="auto"/>
          <w:sz w:val="24"/>
          <w:szCs w:val="24"/>
          <w:highlight w:val="none"/>
          <w:lang w:val="en-US" w:eastAsia="zh-CN"/>
        </w:rPr>
        <w:t>20</w:t>
      </w:r>
      <w:r>
        <w:rPr>
          <w:rFonts w:hint="eastAsia" w:ascii="仿宋" w:hAnsi="仿宋" w:eastAsia="仿宋" w:cs="仿宋"/>
          <w:color w:val="auto"/>
          <w:sz w:val="24"/>
          <w:szCs w:val="24"/>
          <w:highlight w:val="none"/>
        </w:rPr>
        <w:t>%，面罩漏气系数≤</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w:t>
      </w:r>
    </w:p>
    <w:p>
      <w:pPr>
        <w:keepNext w:val="0"/>
        <w:keepLines w:val="0"/>
        <w:pageBreakBefore w:val="0"/>
        <w:kinsoku/>
        <w:wordWrap/>
        <w:overflowPunct/>
        <w:topLinePunct w:val="0"/>
        <w:bidi w:val="0"/>
        <w:spacing w:line="460" w:lineRule="exact"/>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氧浓度：在试验开始2min内贮气袋中氧浓度≥17％，其余防护时间内氧浓度≥21％；</w:t>
      </w:r>
    </w:p>
    <w:p>
      <w:pPr>
        <w:keepNext w:val="0"/>
        <w:keepLines w:val="0"/>
        <w:pageBreakBefore w:val="0"/>
        <w:kinsoku/>
        <w:wordWrap/>
        <w:overflowPunct/>
        <w:topLinePunct w:val="0"/>
        <w:bidi w:val="0"/>
        <w:spacing w:line="460" w:lineRule="exact"/>
        <w:outlineLvl w:val="9"/>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二氧化碳浓度：在防护时间内，贮气袋中二氧化碳平均浓度≤1.5％，最大≤3.0％；</w:t>
      </w:r>
    </w:p>
    <w:p>
      <w:pPr>
        <w:keepNext w:val="0"/>
        <w:keepLines w:val="0"/>
        <w:pageBreakBefore w:val="0"/>
        <w:kinsoku/>
        <w:wordWrap/>
        <w:overflowPunct/>
        <w:topLinePunct w:val="0"/>
        <w:bidi w:val="0"/>
        <w:spacing w:line="460" w:lineRule="exact"/>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贮气袋吸空现象：在防护时间内，贮气袋不得出现吸空现象；</w:t>
      </w:r>
    </w:p>
    <w:p>
      <w:pPr>
        <w:keepNext w:val="0"/>
        <w:keepLines w:val="0"/>
        <w:pageBreakBefore w:val="0"/>
        <w:kinsoku/>
        <w:wordWrap/>
        <w:overflowPunct/>
        <w:topLinePunct w:val="0"/>
        <w:bidi w:val="0"/>
        <w:spacing w:line="460" w:lineRule="exact"/>
        <w:outlineLvl w:val="9"/>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吸气温度：在防护时间内，吸气温度≤</w:t>
      </w:r>
      <w:r>
        <w:rPr>
          <w:rFonts w:hint="eastAsia" w:ascii="仿宋" w:hAnsi="仿宋" w:eastAsia="仿宋" w:cs="仿宋"/>
          <w:color w:val="auto"/>
          <w:sz w:val="24"/>
          <w:szCs w:val="24"/>
          <w:highlight w:val="none"/>
          <w:lang w:val="en-US" w:eastAsia="zh-CN"/>
        </w:rPr>
        <w:t>55</w:t>
      </w:r>
      <w:r>
        <w:rPr>
          <w:rFonts w:hint="eastAsia" w:ascii="仿宋" w:hAnsi="仿宋" w:eastAsia="仿宋" w:cs="仿宋"/>
          <w:color w:val="auto"/>
          <w:sz w:val="24"/>
          <w:szCs w:val="24"/>
          <w:highlight w:val="none"/>
        </w:rPr>
        <w:t>℃；</w:t>
      </w:r>
    </w:p>
    <w:p>
      <w:pPr>
        <w:keepNext w:val="0"/>
        <w:keepLines w:val="0"/>
        <w:pageBreakBefore w:val="0"/>
        <w:kinsoku/>
        <w:wordWrap/>
        <w:overflowPunct/>
        <w:topLinePunct w:val="0"/>
        <w:bidi w:val="0"/>
        <w:spacing w:line="460" w:lineRule="exact"/>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呼吸阻力：在防护时间内，吸气阻力与呼气阻力之和≤</w:t>
      </w:r>
      <w:r>
        <w:rPr>
          <w:rFonts w:hint="eastAsia" w:ascii="仿宋" w:hAnsi="仿宋" w:eastAsia="仿宋" w:cs="仿宋"/>
          <w:color w:val="auto"/>
          <w:sz w:val="24"/>
          <w:szCs w:val="24"/>
          <w:highlight w:val="none"/>
          <w:lang w:val="en-US" w:eastAsia="zh-CN"/>
        </w:rPr>
        <w:t>1600</w:t>
      </w:r>
      <w:r>
        <w:rPr>
          <w:rFonts w:hint="eastAsia" w:ascii="仿宋" w:hAnsi="仿宋" w:eastAsia="仿宋" w:cs="仿宋"/>
          <w:color w:val="auto"/>
          <w:sz w:val="24"/>
          <w:szCs w:val="24"/>
          <w:highlight w:val="none"/>
        </w:rPr>
        <w:t>Pa，且吸气阻力≤</w:t>
      </w:r>
      <w:r>
        <w:rPr>
          <w:rFonts w:hint="eastAsia" w:ascii="仿宋" w:hAnsi="仿宋" w:eastAsia="仿宋" w:cs="仿宋"/>
          <w:color w:val="auto"/>
          <w:sz w:val="24"/>
          <w:szCs w:val="24"/>
          <w:highlight w:val="none"/>
          <w:lang w:val="en-US" w:eastAsia="zh-CN"/>
        </w:rPr>
        <w:t>1000</w:t>
      </w:r>
      <w:r>
        <w:rPr>
          <w:rFonts w:hint="eastAsia" w:ascii="仿宋" w:hAnsi="仿宋" w:eastAsia="仿宋" w:cs="仿宋"/>
          <w:color w:val="auto"/>
          <w:sz w:val="24"/>
          <w:szCs w:val="24"/>
          <w:highlight w:val="none"/>
        </w:rPr>
        <w:t>Pa，呼气阻力≤</w:t>
      </w:r>
      <w:r>
        <w:rPr>
          <w:rFonts w:hint="eastAsia" w:ascii="仿宋" w:hAnsi="仿宋" w:eastAsia="仿宋" w:cs="仿宋"/>
          <w:color w:val="auto"/>
          <w:sz w:val="24"/>
          <w:szCs w:val="24"/>
          <w:highlight w:val="none"/>
          <w:lang w:val="en-US" w:eastAsia="zh-CN"/>
        </w:rPr>
        <w:t>1000</w:t>
      </w:r>
      <w:r>
        <w:rPr>
          <w:rFonts w:hint="eastAsia" w:ascii="仿宋" w:hAnsi="仿宋" w:eastAsia="仿宋" w:cs="仿宋"/>
          <w:color w:val="auto"/>
          <w:sz w:val="24"/>
          <w:szCs w:val="24"/>
          <w:highlight w:val="none"/>
        </w:rPr>
        <w:t>Pa；</w:t>
      </w:r>
    </w:p>
    <w:p>
      <w:pPr>
        <w:keepNext w:val="0"/>
        <w:keepLines w:val="0"/>
        <w:pageBreakBefore w:val="0"/>
        <w:kinsoku/>
        <w:wordWrap/>
        <w:overflowPunct/>
        <w:topLinePunct w:val="0"/>
        <w:bidi w:val="0"/>
        <w:spacing w:line="460" w:lineRule="exact"/>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重量≤1500g；</w:t>
      </w:r>
    </w:p>
    <w:p>
      <w:pPr>
        <w:keepNext w:val="0"/>
        <w:keepLines w:val="0"/>
        <w:pageBreakBefore w:val="0"/>
        <w:kinsoku/>
        <w:wordWrap/>
        <w:overflowPunct/>
        <w:topLinePunct w:val="0"/>
        <w:bidi w:val="0"/>
        <w:spacing w:line="460" w:lineRule="exact"/>
        <w:outlineLvl w:val="9"/>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提供中文使用说明书，含装备简介、使用注意事项及维护保养等内容。</w:t>
      </w:r>
    </w:p>
    <w:p>
      <w:pPr>
        <w:keepNext w:val="0"/>
        <w:keepLines w:val="0"/>
        <w:pageBreakBefore w:val="0"/>
        <w:kinsoku/>
        <w:wordWrap/>
        <w:overflowPunct/>
        <w:topLinePunct w:val="0"/>
        <w:bidi w:val="0"/>
        <w:spacing w:line="460" w:lineRule="exact"/>
        <w:outlineLvl w:val="9"/>
        <w:rPr>
          <w:rFonts w:hint="eastAsia" w:ascii="仿宋" w:hAnsi="仿宋" w:eastAsia="仿宋" w:cs="仿宋"/>
          <w:color w:val="auto"/>
          <w:sz w:val="24"/>
          <w:szCs w:val="24"/>
          <w:highlight w:val="none"/>
          <w:lang w:val="en-US" w:eastAsia="zh-CN"/>
        </w:rPr>
      </w:pPr>
      <w:bookmarkStart w:id="564" w:name="_Toc22565"/>
      <w:bookmarkStart w:id="565" w:name="_Toc29509"/>
      <w:bookmarkStart w:id="566" w:name="_Toc4578"/>
    </w:p>
    <w:p>
      <w:pPr>
        <w:keepNext w:val="0"/>
        <w:keepLines w:val="0"/>
        <w:pageBreakBefore w:val="0"/>
        <w:kinsoku/>
        <w:wordWrap/>
        <w:overflowPunct/>
        <w:topLinePunct w:val="0"/>
        <w:bidi w:val="0"/>
        <w:spacing w:beforeAutospacing="0" w:afterAutospacing="0" w:line="460" w:lineRule="exact"/>
        <w:ind w:left="0"/>
        <w:outlineLvl w:val="1"/>
        <w:rPr>
          <w:rFonts w:hint="eastAsia" w:ascii="仿宋" w:hAnsi="仿宋" w:eastAsia="仿宋" w:cs="仿宋"/>
          <w:b/>
          <w:bCs/>
          <w:color w:val="auto"/>
          <w:sz w:val="24"/>
          <w:szCs w:val="24"/>
          <w:highlight w:val="none"/>
          <w:lang w:val="en-US" w:eastAsia="zh-CN"/>
        </w:rPr>
      </w:pPr>
      <w:bookmarkStart w:id="567" w:name="_Toc7633"/>
      <w:bookmarkStart w:id="568" w:name="_Toc883"/>
      <w:r>
        <w:rPr>
          <w:rFonts w:hint="eastAsia" w:ascii="仿宋" w:hAnsi="仿宋" w:eastAsia="仿宋" w:cs="仿宋"/>
          <w:b/>
          <w:bCs/>
          <w:color w:val="auto"/>
          <w:kern w:val="0"/>
          <w:sz w:val="24"/>
          <w:szCs w:val="24"/>
          <w:highlight w:val="none"/>
          <w:lang w:val="en-US" w:eastAsia="zh-CN"/>
        </w:rPr>
        <w:t>77包：</w:t>
      </w:r>
      <w:r>
        <w:rPr>
          <w:rFonts w:hint="eastAsia" w:ascii="仿宋" w:hAnsi="仿宋" w:eastAsia="仿宋" w:cs="仿宋"/>
          <w:b/>
          <w:bCs/>
          <w:color w:val="auto"/>
          <w:sz w:val="24"/>
          <w:szCs w:val="24"/>
          <w:highlight w:val="none"/>
          <w:lang w:val="en-US" w:eastAsia="zh-CN"/>
        </w:rPr>
        <w:t>角磨机【核心产品】</w:t>
      </w:r>
      <w:r>
        <w:rPr>
          <w:rFonts w:hint="eastAsia" w:ascii="仿宋" w:hAnsi="仿宋" w:eastAsia="仿宋" w:cs="仿宋"/>
          <w:b/>
          <w:bCs/>
          <w:color w:val="auto"/>
          <w:kern w:val="0"/>
          <w:sz w:val="24"/>
          <w:szCs w:val="24"/>
          <w:highlight w:val="none"/>
          <w:lang w:val="en-US" w:eastAsia="zh-CN"/>
        </w:rPr>
        <w:t>、电钻</w:t>
      </w:r>
      <w:bookmarkEnd w:id="564"/>
      <w:bookmarkEnd w:id="565"/>
      <w:bookmarkEnd w:id="566"/>
      <w:bookmarkEnd w:id="567"/>
      <w:bookmarkEnd w:id="568"/>
    </w:p>
    <w:p>
      <w:pPr>
        <w:keepNext w:val="0"/>
        <w:keepLines w:val="0"/>
        <w:pageBreakBefore w:val="0"/>
        <w:widowControl w:val="0"/>
        <w:kinsoku/>
        <w:wordWrap/>
        <w:overflowPunct/>
        <w:topLinePunct w:val="0"/>
        <w:bidi w:val="0"/>
        <w:adjustRightInd w:val="0"/>
        <w:snapToGrid w:val="0"/>
        <w:spacing w:beforeAutospacing="0" w:afterAutospacing="0" w:line="460" w:lineRule="exact"/>
        <w:ind w:left="0"/>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77</w:t>
      </w:r>
      <w:r>
        <w:rPr>
          <w:rFonts w:hint="eastAsia" w:ascii="仿宋" w:hAnsi="仿宋" w:eastAsia="仿宋" w:cs="仿宋"/>
          <w:b/>
          <w:bCs w:val="0"/>
          <w:color w:val="auto"/>
          <w:sz w:val="24"/>
          <w:szCs w:val="24"/>
          <w:highlight w:val="none"/>
          <w:lang w:val="en-US" w:eastAsia="zh-CN"/>
        </w:rPr>
        <w:t>包-1、</w:t>
      </w:r>
      <w:r>
        <w:rPr>
          <w:rFonts w:hint="eastAsia" w:ascii="仿宋" w:hAnsi="仿宋" w:eastAsia="仿宋" w:cs="仿宋"/>
          <w:b/>
          <w:bCs/>
          <w:color w:val="auto"/>
          <w:sz w:val="24"/>
          <w:szCs w:val="24"/>
          <w:highlight w:val="none"/>
          <w:lang w:val="en-US" w:eastAsia="zh-CN"/>
        </w:rPr>
        <w:t>角磨机</w:t>
      </w:r>
    </w:p>
    <w:p>
      <w:pPr>
        <w:keepNext w:val="0"/>
        <w:keepLines w:val="0"/>
        <w:pageBreakBefore w:val="0"/>
        <w:kinsoku/>
        <w:wordWrap/>
        <w:overflowPunct/>
        <w:topLinePunct w:val="0"/>
        <w:bidi w:val="0"/>
        <w:adjustRightInd w:val="0"/>
        <w:snapToGrid w:val="0"/>
        <w:spacing w:beforeAutospacing="0" w:afterAutospacing="0" w:line="460" w:lineRule="exact"/>
        <w:ind w:left="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一、货物名称：</w:t>
      </w:r>
      <w:r>
        <w:rPr>
          <w:rFonts w:hint="eastAsia" w:ascii="仿宋" w:hAnsi="仿宋" w:eastAsia="仿宋" w:cs="仿宋"/>
          <w:color w:val="auto"/>
          <w:sz w:val="24"/>
          <w:szCs w:val="24"/>
          <w:highlight w:val="none"/>
          <w:lang w:val="en-US" w:eastAsia="zh-CN"/>
        </w:rPr>
        <w:t>角磨机</w:t>
      </w:r>
    </w:p>
    <w:p>
      <w:pPr>
        <w:keepNext w:val="0"/>
        <w:keepLines w:val="0"/>
        <w:pageBreakBefore w:val="0"/>
        <w:kinsoku/>
        <w:wordWrap/>
        <w:overflowPunct/>
        <w:topLinePunct w:val="0"/>
        <w:bidi w:val="0"/>
        <w:adjustRightInd w:val="0"/>
        <w:snapToGrid w:val="0"/>
        <w:spacing w:beforeAutospacing="0" w:afterAutospacing="0" w:line="460" w:lineRule="exact"/>
        <w:ind w:left="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二、产地：国产</w:t>
      </w:r>
    </w:p>
    <w:p>
      <w:pPr>
        <w:keepNext w:val="0"/>
        <w:keepLines w:val="0"/>
        <w:pageBreakBefore w:val="0"/>
        <w:kinsoku/>
        <w:wordWrap/>
        <w:overflowPunct/>
        <w:topLinePunct w:val="0"/>
        <w:bidi w:val="0"/>
        <w:adjustRightInd w:val="0"/>
        <w:snapToGrid w:val="0"/>
        <w:spacing w:beforeAutospacing="0" w:afterAutospacing="0" w:line="460" w:lineRule="exact"/>
        <w:ind w:left="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三、主要技术规格、参数及要求：</w:t>
      </w:r>
    </w:p>
    <w:p>
      <w:pPr>
        <w:pStyle w:val="13"/>
        <w:keepNext w:val="0"/>
        <w:keepLines w:val="0"/>
        <w:pageBreakBefore w:val="0"/>
        <w:kinsoku/>
        <w:wordWrap/>
        <w:overflowPunct/>
        <w:topLinePunct w:val="0"/>
        <w:bidi w:val="0"/>
        <w:spacing w:line="460" w:lineRule="exact"/>
        <w:rPr>
          <w:rFonts w:hint="eastAsia" w:eastAsia="仿宋"/>
          <w:color w:val="auto"/>
          <w:lang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kinsoku/>
        <w:wordWrap/>
        <w:overflowPunct/>
        <w:topLinePunct w:val="0"/>
        <w:bidi w:val="0"/>
        <w:adjustRightInd w:val="0"/>
        <w:snapToGrid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3.2电源电压（锂电）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18</w:t>
      </w:r>
      <w:r>
        <w:rPr>
          <w:rFonts w:hint="eastAsia" w:ascii="仿宋" w:hAnsi="仿宋" w:eastAsia="仿宋" w:cs="仿宋"/>
          <w:color w:val="auto"/>
          <w:sz w:val="24"/>
          <w:szCs w:val="24"/>
          <w:highlight w:val="none"/>
        </w:rPr>
        <w:t>V</w:t>
      </w:r>
      <w:r>
        <w:rPr>
          <w:rFonts w:hint="eastAsia" w:ascii="仿宋" w:hAnsi="仿宋" w:eastAsia="仿宋" w:cs="仿宋"/>
          <w:color w:val="auto"/>
          <w:sz w:val="24"/>
          <w:szCs w:val="24"/>
          <w:highlight w:val="none"/>
          <w:lang w:val="en-US" w:eastAsia="zh-CN"/>
        </w:rPr>
        <w:t>；</w:t>
      </w:r>
    </w:p>
    <w:p>
      <w:pPr>
        <w:keepNext w:val="0"/>
        <w:keepLines w:val="0"/>
        <w:pageBreakBefore w:val="0"/>
        <w:kinsoku/>
        <w:wordWrap/>
        <w:overflowPunct/>
        <w:topLinePunct w:val="0"/>
        <w:bidi w:val="0"/>
        <w:adjustRightInd w:val="0"/>
        <w:snapToGrid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3.3</w:t>
      </w:r>
      <w:r>
        <w:rPr>
          <w:rFonts w:hint="eastAsia" w:ascii="仿宋" w:hAnsi="仿宋" w:eastAsia="仿宋" w:cs="仿宋"/>
          <w:color w:val="auto"/>
          <w:sz w:val="24"/>
          <w:szCs w:val="24"/>
          <w:highlight w:val="none"/>
        </w:rPr>
        <w:t>电池容量</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3500</w:t>
      </w:r>
      <w:r>
        <w:rPr>
          <w:rFonts w:hint="eastAsia" w:ascii="仿宋" w:hAnsi="仿宋" w:eastAsia="仿宋" w:cs="仿宋"/>
          <w:color w:val="auto"/>
          <w:sz w:val="24"/>
          <w:szCs w:val="24"/>
          <w:highlight w:val="none"/>
        </w:rPr>
        <w:t>mAh</w:t>
      </w:r>
      <w:r>
        <w:rPr>
          <w:rFonts w:hint="eastAsia" w:ascii="仿宋" w:hAnsi="仿宋" w:eastAsia="仿宋" w:cs="仿宋"/>
          <w:color w:val="auto"/>
          <w:sz w:val="24"/>
          <w:szCs w:val="24"/>
          <w:highlight w:val="none"/>
          <w:lang w:val="en-US" w:eastAsia="zh-CN"/>
        </w:rPr>
        <w:t>；</w:t>
      </w:r>
    </w:p>
    <w:p>
      <w:pPr>
        <w:keepNext w:val="0"/>
        <w:keepLines w:val="0"/>
        <w:pageBreakBefore w:val="0"/>
        <w:kinsoku/>
        <w:wordWrap/>
        <w:overflowPunct/>
        <w:topLinePunct w:val="0"/>
        <w:bidi w:val="0"/>
        <w:adjustRightInd w:val="0"/>
        <w:snapToGrid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w:t>
      </w:r>
      <w:r>
        <w:rPr>
          <w:rFonts w:hint="eastAsia" w:ascii="仿宋" w:hAnsi="仿宋" w:eastAsia="仿宋" w:cs="仿宋"/>
          <w:color w:val="auto"/>
          <w:sz w:val="24"/>
          <w:szCs w:val="24"/>
          <w:highlight w:val="none"/>
        </w:rPr>
        <w:t>具有档位调节按钮，磨、切片直径≥100</w:t>
      </w:r>
      <w:r>
        <w:rPr>
          <w:rFonts w:hint="eastAsia" w:ascii="仿宋" w:hAnsi="仿宋" w:eastAsia="仿宋" w:cs="仿宋"/>
          <w:color w:val="auto"/>
          <w:sz w:val="24"/>
          <w:szCs w:val="24"/>
          <w:highlight w:val="none"/>
          <w:lang w:val="en-US" w:eastAsia="zh-CN"/>
        </w:rPr>
        <w:t>mm；</w:t>
      </w:r>
    </w:p>
    <w:p>
      <w:pPr>
        <w:keepNext w:val="0"/>
        <w:keepLines w:val="0"/>
        <w:pageBreakBefore w:val="0"/>
        <w:kinsoku/>
        <w:wordWrap/>
        <w:overflowPunct/>
        <w:topLinePunct w:val="0"/>
        <w:bidi w:val="0"/>
        <w:adjustRightInd w:val="0"/>
        <w:snapToGrid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3.5</w:t>
      </w:r>
      <w:r>
        <w:rPr>
          <w:rFonts w:hint="eastAsia" w:ascii="仿宋" w:hAnsi="仿宋" w:eastAsia="仿宋" w:cs="仿宋"/>
          <w:color w:val="auto"/>
          <w:sz w:val="24"/>
          <w:szCs w:val="24"/>
          <w:highlight w:val="none"/>
        </w:rPr>
        <w:t>最大切割深度</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mm</w:t>
      </w:r>
      <w:r>
        <w:rPr>
          <w:rFonts w:hint="eastAsia" w:ascii="仿宋" w:hAnsi="仿宋" w:eastAsia="仿宋" w:cs="仿宋"/>
          <w:color w:val="auto"/>
          <w:sz w:val="24"/>
          <w:szCs w:val="24"/>
          <w:highlight w:val="none"/>
          <w:lang w:val="en-US" w:eastAsia="zh-CN"/>
        </w:rPr>
        <w:t>；</w:t>
      </w:r>
    </w:p>
    <w:p>
      <w:pPr>
        <w:keepNext w:val="0"/>
        <w:keepLines w:val="0"/>
        <w:pageBreakBefore w:val="0"/>
        <w:kinsoku/>
        <w:wordWrap/>
        <w:overflowPunct/>
        <w:topLinePunct w:val="0"/>
        <w:bidi w:val="0"/>
        <w:adjustRightInd w:val="0"/>
        <w:snapToGrid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3.6</w:t>
      </w:r>
      <w:r>
        <w:rPr>
          <w:rFonts w:hint="eastAsia" w:ascii="仿宋" w:hAnsi="仿宋" w:eastAsia="仿宋" w:cs="仿宋"/>
          <w:color w:val="auto"/>
          <w:sz w:val="24"/>
          <w:szCs w:val="24"/>
          <w:highlight w:val="none"/>
        </w:rPr>
        <w:t>空载转速：≥</w:t>
      </w:r>
      <w:r>
        <w:rPr>
          <w:rFonts w:hint="eastAsia" w:ascii="仿宋" w:hAnsi="仿宋" w:eastAsia="仿宋" w:cs="仿宋"/>
          <w:color w:val="auto"/>
          <w:sz w:val="24"/>
          <w:szCs w:val="24"/>
          <w:highlight w:val="none"/>
          <w:lang w:val="en-US" w:eastAsia="zh-CN"/>
        </w:rPr>
        <w:t>7000</w:t>
      </w:r>
      <w:r>
        <w:rPr>
          <w:rFonts w:hint="eastAsia" w:ascii="仿宋" w:hAnsi="仿宋" w:eastAsia="仿宋" w:cs="仿宋"/>
          <w:color w:val="auto"/>
          <w:sz w:val="24"/>
          <w:szCs w:val="24"/>
          <w:highlight w:val="none"/>
        </w:rPr>
        <w:t>rpm</w:t>
      </w:r>
      <w:r>
        <w:rPr>
          <w:rFonts w:hint="eastAsia" w:ascii="仿宋" w:hAnsi="仿宋" w:eastAsia="仿宋" w:cs="仿宋"/>
          <w:color w:val="auto"/>
          <w:sz w:val="24"/>
          <w:szCs w:val="24"/>
          <w:highlight w:val="none"/>
          <w:lang w:val="en-US" w:eastAsia="zh-CN"/>
        </w:rPr>
        <w:t>；</w:t>
      </w:r>
    </w:p>
    <w:p>
      <w:pPr>
        <w:keepNext w:val="0"/>
        <w:keepLines w:val="0"/>
        <w:pageBreakBefore w:val="0"/>
        <w:kinsoku/>
        <w:wordWrap/>
        <w:overflowPunct/>
        <w:topLinePunct w:val="0"/>
        <w:bidi w:val="0"/>
        <w:adjustRightInd w:val="0"/>
        <w:snapToGrid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3.7重量：</w:t>
      </w:r>
      <w:r>
        <w:rPr>
          <w:rFonts w:hint="eastAsia" w:ascii="仿宋" w:hAnsi="仿宋" w:eastAsia="仿宋" w:cs="仿宋"/>
          <w:bCs/>
          <w:color w:val="auto"/>
          <w:sz w:val="24"/>
          <w:szCs w:val="24"/>
          <w:highlight w:val="none"/>
        </w:rPr>
        <w:t>≤</w:t>
      </w:r>
      <w:r>
        <w:rPr>
          <w:rFonts w:hint="eastAsia" w:ascii="仿宋" w:hAnsi="仿宋" w:eastAsia="仿宋" w:cs="仿宋"/>
          <w:bCs/>
          <w:color w:val="auto"/>
          <w:sz w:val="24"/>
          <w:szCs w:val="24"/>
          <w:highlight w:val="none"/>
          <w:lang w:val="en-US" w:eastAsia="zh-CN"/>
        </w:rPr>
        <w:t>3kg；</w:t>
      </w:r>
    </w:p>
    <w:p>
      <w:pPr>
        <w:keepNext w:val="0"/>
        <w:keepLines w:val="0"/>
        <w:pageBreakBefore w:val="0"/>
        <w:kinsoku/>
        <w:wordWrap/>
        <w:overflowPunct/>
        <w:topLinePunct w:val="0"/>
        <w:bidi w:val="0"/>
        <w:adjustRightInd w:val="0"/>
        <w:snapToGrid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3.8配有</w:t>
      </w:r>
      <w:r>
        <w:rPr>
          <w:rFonts w:hint="eastAsia" w:ascii="仿宋" w:hAnsi="仿宋" w:eastAsia="仿宋" w:cs="仿宋"/>
          <w:color w:val="auto"/>
          <w:sz w:val="24"/>
          <w:szCs w:val="24"/>
          <w:highlight w:val="none"/>
        </w:rPr>
        <w:t>锯片（四种规格）≥5片、充电器1个、便携式包装箱</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个，拆装锯片扳手1件</w:t>
      </w:r>
      <w:r>
        <w:rPr>
          <w:rFonts w:hint="eastAsia" w:ascii="仿宋" w:hAnsi="仿宋" w:eastAsia="仿宋" w:cs="仿宋"/>
          <w:color w:val="auto"/>
          <w:sz w:val="24"/>
          <w:szCs w:val="24"/>
          <w:highlight w:val="none"/>
          <w:lang w:val="en-US" w:eastAsia="zh-CN"/>
        </w:rPr>
        <w:t>；</w:t>
      </w:r>
    </w:p>
    <w:p>
      <w:pPr>
        <w:pStyle w:val="14"/>
        <w:keepNext w:val="0"/>
        <w:keepLines w:val="0"/>
        <w:pageBreakBefore w:val="0"/>
        <w:kinsoku/>
        <w:wordWrap/>
        <w:overflowPunct/>
        <w:topLinePunct w:val="0"/>
        <w:bidi w:val="0"/>
        <w:spacing w:beforeAutospacing="0" w:after="0" w:afterAutospacing="0" w:line="460" w:lineRule="exact"/>
        <w:ind w:left="0" w:leftChars="0" w:firstLine="0" w:firstLineChars="0"/>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供货前，须主动对接使用单位，确保满足用户需求</w:t>
      </w:r>
      <w:r>
        <w:rPr>
          <w:rFonts w:hint="eastAsia" w:ascii="仿宋" w:hAnsi="仿宋" w:eastAsia="仿宋" w:cs="仿宋"/>
          <w:color w:val="auto"/>
          <w:sz w:val="24"/>
          <w:szCs w:val="24"/>
          <w:highlight w:val="none"/>
          <w:lang w:eastAsia="zh-CN"/>
        </w:rPr>
        <w:t>。</w:t>
      </w:r>
    </w:p>
    <w:p>
      <w:pPr>
        <w:pStyle w:val="14"/>
        <w:keepNext w:val="0"/>
        <w:keepLines w:val="0"/>
        <w:pageBreakBefore w:val="0"/>
        <w:kinsoku/>
        <w:wordWrap/>
        <w:overflowPunct/>
        <w:topLinePunct w:val="0"/>
        <w:bidi w:val="0"/>
        <w:spacing w:beforeAutospacing="0" w:after="0" w:afterAutospacing="0" w:line="460" w:lineRule="exact"/>
        <w:ind w:left="0" w:leftChars="0" w:firstLine="0" w:firstLineChars="0"/>
        <w:outlineLvl w:val="9"/>
        <w:rPr>
          <w:rFonts w:hint="eastAsia" w:ascii="仿宋" w:hAnsi="仿宋" w:eastAsia="仿宋" w:cs="仿宋"/>
          <w:color w:val="auto"/>
          <w:sz w:val="24"/>
          <w:szCs w:val="24"/>
          <w:highlight w:val="none"/>
          <w:lang w:eastAsia="zh-CN"/>
        </w:rPr>
      </w:pPr>
    </w:p>
    <w:p>
      <w:pPr>
        <w:keepNext w:val="0"/>
        <w:keepLines w:val="0"/>
        <w:pageBreakBefore w:val="0"/>
        <w:widowControl w:val="0"/>
        <w:kinsoku/>
        <w:wordWrap/>
        <w:overflowPunct/>
        <w:topLinePunct w:val="0"/>
        <w:bidi w:val="0"/>
        <w:adjustRightInd w:val="0"/>
        <w:snapToGrid w:val="0"/>
        <w:spacing w:beforeAutospacing="0" w:afterAutospacing="0" w:line="460" w:lineRule="exact"/>
        <w:ind w:left="0"/>
        <w:outlineLvl w:val="9"/>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77</w:t>
      </w:r>
      <w:r>
        <w:rPr>
          <w:rFonts w:hint="eastAsia" w:ascii="仿宋" w:hAnsi="仿宋" w:eastAsia="仿宋" w:cs="仿宋"/>
          <w:b/>
          <w:bCs w:val="0"/>
          <w:color w:val="auto"/>
          <w:sz w:val="24"/>
          <w:szCs w:val="24"/>
          <w:highlight w:val="none"/>
          <w:lang w:val="en-US" w:eastAsia="zh-CN"/>
        </w:rPr>
        <w:t>包-2、电钻</w:t>
      </w:r>
    </w:p>
    <w:p>
      <w:pPr>
        <w:keepNext w:val="0"/>
        <w:keepLines w:val="0"/>
        <w:pageBreakBefore w:val="0"/>
        <w:widowControl w:val="0"/>
        <w:kinsoku/>
        <w:wordWrap/>
        <w:overflowPunct/>
        <w:topLinePunct w:val="0"/>
        <w:bidi w:val="0"/>
        <w:adjustRightInd w:val="0"/>
        <w:snapToGrid w:val="0"/>
        <w:spacing w:beforeAutospacing="0" w:afterAutospacing="0" w:line="460" w:lineRule="exact"/>
        <w:ind w:left="0"/>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一、货物名称：电钻</w:t>
      </w:r>
    </w:p>
    <w:p>
      <w:pPr>
        <w:keepNext w:val="0"/>
        <w:keepLines w:val="0"/>
        <w:pageBreakBefore w:val="0"/>
        <w:widowControl w:val="0"/>
        <w:kinsoku/>
        <w:wordWrap/>
        <w:overflowPunct/>
        <w:topLinePunct w:val="0"/>
        <w:bidi w:val="0"/>
        <w:adjustRightInd w:val="0"/>
        <w:snapToGrid w:val="0"/>
        <w:spacing w:beforeAutospacing="0" w:afterAutospacing="0" w:line="460" w:lineRule="exact"/>
        <w:ind w:left="0"/>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二、产地：国产</w:t>
      </w:r>
    </w:p>
    <w:p>
      <w:pPr>
        <w:keepNext w:val="0"/>
        <w:keepLines w:val="0"/>
        <w:pageBreakBefore w:val="0"/>
        <w:widowControl w:val="0"/>
        <w:kinsoku/>
        <w:wordWrap/>
        <w:overflowPunct/>
        <w:topLinePunct w:val="0"/>
        <w:bidi w:val="0"/>
        <w:adjustRightInd w:val="0"/>
        <w:snapToGrid w:val="0"/>
        <w:spacing w:beforeAutospacing="0" w:afterAutospacing="0" w:line="460" w:lineRule="exact"/>
        <w:ind w:left="0"/>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三、主要技术规格、参数及要求：</w:t>
      </w:r>
    </w:p>
    <w:p>
      <w:pPr>
        <w:pStyle w:val="13"/>
        <w:keepNext w:val="0"/>
        <w:keepLines w:val="0"/>
        <w:pageBreakBefore w:val="0"/>
        <w:kinsoku/>
        <w:wordWrap/>
        <w:overflowPunct/>
        <w:topLinePunct w:val="0"/>
        <w:bidi w:val="0"/>
        <w:spacing w:line="46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3.1无极调速，锂电池无刷电机；</w:t>
      </w:r>
    </w:p>
    <w:p>
      <w:pPr>
        <w:keepNext w:val="0"/>
        <w:keepLines w:val="0"/>
        <w:pageBreakBefore w:val="0"/>
        <w:widowControl/>
        <w:numPr>
          <w:ilvl w:val="0"/>
          <w:numId w:val="0"/>
        </w:numPr>
        <w:kinsoku/>
        <w:wordWrap/>
        <w:overflowPunct/>
        <w:topLinePunct w:val="0"/>
        <w:bidi w:val="0"/>
        <w:adjustRightInd/>
        <w:snapToGrid/>
        <w:spacing w:beforeAutospacing="0" w:afterAutospacing="0" w:line="460" w:lineRule="exact"/>
        <w:ind w:left="0"/>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3.2金属四爪夹头；</w:t>
      </w:r>
    </w:p>
    <w:p>
      <w:pPr>
        <w:keepNext w:val="0"/>
        <w:keepLines w:val="0"/>
        <w:pageBreakBefore w:val="0"/>
        <w:widowControl/>
        <w:numPr>
          <w:ilvl w:val="0"/>
          <w:numId w:val="0"/>
        </w:numPr>
        <w:kinsoku/>
        <w:wordWrap/>
        <w:overflowPunct/>
        <w:topLinePunct w:val="0"/>
        <w:bidi w:val="0"/>
        <w:adjustRightInd/>
        <w:snapToGrid/>
        <w:spacing w:beforeAutospacing="0" w:afterAutospacing="0" w:line="460" w:lineRule="exact"/>
        <w:ind w:left="0"/>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3.3手持式，锤钻双用；</w:t>
      </w:r>
    </w:p>
    <w:p>
      <w:pPr>
        <w:keepNext w:val="0"/>
        <w:keepLines w:val="0"/>
        <w:pageBreakBefore w:val="0"/>
        <w:widowControl w:val="0"/>
        <w:kinsoku/>
        <w:wordWrap/>
        <w:overflowPunct/>
        <w:topLinePunct w:val="0"/>
        <w:bidi w:val="0"/>
        <w:adjustRightInd w:val="0"/>
        <w:snapToGrid w:val="0"/>
        <w:spacing w:beforeAutospacing="0" w:afterAutospacing="0" w:line="460" w:lineRule="exact"/>
        <w:ind w:left="0"/>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3.4最大钻孔直径：钢材、铝材≥10mm，木材≥25mm；</w:t>
      </w:r>
    </w:p>
    <w:p>
      <w:pPr>
        <w:keepNext w:val="0"/>
        <w:keepLines w:val="0"/>
        <w:pageBreakBefore w:val="0"/>
        <w:widowControl w:val="0"/>
        <w:kinsoku/>
        <w:wordWrap/>
        <w:overflowPunct/>
        <w:topLinePunct w:val="0"/>
        <w:bidi w:val="0"/>
        <w:adjustRightInd w:val="0"/>
        <w:snapToGrid w:val="0"/>
        <w:spacing w:beforeAutospacing="0" w:afterAutospacing="0" w:line="460" w:lineRule="exact"/>
        <w:ind w:left="0"/>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3.5工作温度</w:t>
      </w: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bCs/>
          <w:color w:val="auto"/>
          <w:sz w:val="24"/>
          <w:szCs w:val="24"/>
          <w:highlight w:val="none"/>
          <w:lang w:val="en-US" w:eastAsia="zh-CN"/>
        </w:rPr>
        <w:t>-15℃～40℃；</w:t>
      </w:r>
    </w:p>
    <w:p>
      <w:pPr>
        <w:keepNext w:val="0"/>
        <w:keepLines w:val="0"/>
        <w:pageBreakBefore w:val="0"/>
        <w:kinsoku/>
        <w:wordWrap/>
        <w:overflowPunct/>
        <w:topLinePunct w:val="0"/>
        <w:bidi w:val="0"/>
        <w:adjustRightInd w:val="0"/>
        <w:snapToGrid w:val="0"/>
        <w:spacing w:beforeAutospacing="0" w:afterAutospacing="0" w:line="460" w:lineRule="exact"/>
        <w:ind w:left="0"/>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bCs/>
          <w:color w:val="auto"/>
          <w:sz w:val="24"/>
          <w:szCs w:val="24"/>
          <w:highlight w:val="none"/>
          <w:lang w:val="en-US" w:eastAsia="zh-CN"/>
        </w:rPr>
        <w:t>3.6最大转速≥2000转/分钟；</w:t>
      </w:r>
    </w:p>
    <w:p>
      <w:pPr>
        <w:keepNext w:val="0"/>
        <w:keepLines w:val="0"/>
        <w:pageBreakBefore w:val="0"/>
        <w:kinsoku/>
        <w:wordWrap/>
        <w:overflowPunct/>
        <w:topLinePunct w:val="0"/>
        <w:bidi w:val="0"/>
        <w:adjustRightInd w:val="0"/>
        <w:snapToGrid w:val="0"/>
        <w:spacing w:beforeAutospacing="0" w:afterAutospacing="0" w:line="460" w:lineRule="exact"/>
        <w:ind w:left="0"/>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3.7重量：≤2.8kg（不含电池）；</w:t>
      </w:r>
    </w:p>
    <w:p>
      <w:pPr>
        <w:keepNext w:val="0"/>
        <w:keepLines w:val="0"/>
        <w:pageBreakBefore w:val="0"/>
        <w:kinsoku/>
        <w:wordWrap/>
        <w:overflowPunct/>
        <w:topLinePunct w:val="0"/>
        <w:bidi w:val="0"/>
        <w:adjustRightInd w:val="0"/>
        <w:snapToGrid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3.8提供中文详细使用说明书（含主要参数、加盖生产或代理企业印章）。</w:t>
      </w:r>
    </w:p>
    <w:p>
      <w:pPr>
        <w:keepNext w:val="0"/>
        <w:keepLines w:val="0"/>
        <w:pageBreakBefore w:val="0"/>
        <w:kinsoku/>
        <w:wordWrap/>
        <w:overflowPunct/>
        <w:topLinePunct w:val="0"/>
        <w:bidi w:val="0"/>
        <w:spacing w:line="460" w:lineRule="exact"/>
        <w:outlineLvl w:val="9"/>
        <w:rPr>
          <w:rFonts w:hint="eastAsia" w:ascii="仿宋" w:hAnsi="仿宋" w:eastAsia="仿宋" w:cs="仿宋"/>
          <w:color w:val="auto"/>
          <w:sz w:val="24"/>
          <w:szCs w:val="24"/>
          <w:highlight w:val="none"/>
          <w:lang w:val="en-US" w:eastAsia="zh-CN"/>
        </w:rPr>
      </w:pPr>
    </w:p>
    <w:p>
      <w:pPr>
        <w:keepNext w:val="0"/>
        <w:keepLines w:val="0"/>
        <w:pageBreakBefore w:val="0"/>
        <w:kinsoku/>
        <w:wordWrap/>
        <w:overflowPunct/>
        <w:topLinePunct w:val="0"/>
        <w:bidi w:val="0"/>
        <w:spacing w:line="460" w:lineRule="exact"/>
        <w:outlineLvl w:val="1"/>
        <w:rPr>
          <w:rFonts w:hint="eastAsia" w:ascii="仿宋" w:hAnsi="仿宋" w:eastAsia="仿宋" w:cs="仿宋"/>
          <w:b/>
          <w:bCs/>
          <w:color w:val="auto"/>
          <w:sz w:val="24"/>
          <w:szCs w:val="24"/>
          <w:highlight w:val="none"/>
          <w:lang w:val="en-US" w:eastAsia="zh-CN"/>
        </w:rPr>
      </w:pPr>
      <w:bookmarkStart w:id="569" w:name="_Toc14286"/>
      <w:bookmarkStart w:id="570" w:name="_Toc20708"/>
      <w:bookmarkStart w:id="571" w:name="_Toc22755"/>
      <w:bookmarkStart w:id="572" w:name="_Toc16118"/>
      <w:bookmarkStart w:id="573" w:name="_Toc24493"/>
      <w:r>
        <w:rPr>
          <w:rFonts w:hint="eastAsia" w:ascii="仿宋" w:hAnsi="仿宋" w:eastAsia="仿宋" w:cs="仿宋"/>
          <w:b/>
          <w:bCs/>
          <w:color w:val="auto"/>
          <w:sz w:val="24"/>
          <w:szCs w:val="24"/>
          <w:highlight w:val="none"/>
          <w:lang w:val="en-US" w:eastAsia="zh-CN"/>
        </w:rPr>
        <w:t>79包：</w:t>
      </w:r>
      <w:r>
        <w:rPr>
          <w:rFonts w:hint="eastAsia" w:ascii="仿宋" w:hAnsi="仿宋" w:eastAsia="仿宋" w:cs="仿宋"/>
          <w:b/>
          <w:bCs/>
          <w:color w:val="auto"/>
          <w:kern w:val="0"/>
          <w:sz w:val="24"/>
          <w:szCs w:val="24"/>
          <w:highlight w:val="none"/>
          <w:lang w:val="en-US" w:eastAsia="zh-CN"/>
        </w:rPr>
        <w:t>防电服</w:t>
      </w:r>
      <w:r>
        <w:rPr>
          <w:rFonts w:hint="eastAsia" w:ascii="仿宋" w:hAnsi="仿宋" w:eastAsia="仿宋" w:cs="仿宋"/>
          <w:b/>
          <w:bCs/>
          <w:color w:val="auto"/>
          <w:sz w:val="24"/>
          <w:szCs w:val="24"/>
          <w:highlight w:val="none"/>
        </w:rPr>
        <w:t>【核心产品】</w:t>
      </w:r>
      <w:r>
        <w:rPr>
          <w:rFonts w:hint="eastAsia" w:ascii="仿宋" w:hAnsi="仿宋" w:eastAsia="仿宋" w:cs="仿宋"/>
          <w:b/>
          <w:bCs/>
          <w:color w:val="auto"/>
          <w:sz w:val="24"/>
          <w:szCs w:val="24"/>
          <w:highlight w:val="none"/>
          <w:lang w:val="en-US" w:eastAsia="zh-CN"/>
        </w:rPr>
        <w:t>、电绝缘装具</w:t>
      </w:r>
      <w:bookmarkEnd w:id="569"/>
      <w:bookmarkEnd w:id="570"/>
      <w:bookmarkEnd w:id="571"/>
      <w:bookmarkEnd w:id="572"/>
      <w:bookmarkEnd w:id="573"/>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79</w:t>
      </w:r>
      <w:r>
        <w:rPr>
          <w:rFonts w:hint="eastAsia" w:ascii="仿宋" w:hAnsi="仿宋" w:eastAsia="仿宋" w:cs="仿宋"/>
          <w:b/>
          <w:bCs/>
          <w:color w:val="auto"/>
          <w:kern w:val="0"/>
          <w:sz w:val="24"/>
          <w:szCs w:val="24"/>
          <w:highlight w:val="none"/>
          <w:lang w:val="en-US" w:eastAsia="zh-CN"/>
        </w:rPr>
        <w:t>包-1、防电服</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一、货物名称：</w:t>
      </w:r>
      <w:r>
        <w:rPr>
          <w:rFonts w:hint="eastAsia" w:ascii="仿宋" w:hAnsi="仿宋" w:eastAsia="仿宋" w:cs="仿宋"/>
          <w:b w:val="0"/>
          <w:bCs w:val="0"/>
          <w:color w:val="auto"/>
          <w:kern w:val="0"/>
          <w:sz w:val="24"/>
          <w:szCs w:val="24"/>
          <w:highlight w:val="none"/>
          <w:lang w:val="en-US" w:eastAsia="zh-CN"/>
        </w:rPr>
        <w:t>防电服</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二、产地：国产</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三、主要技术规格、参数及要求</w:t>
      </w:r>
    </w:p>
    <w:p>
      <w:pPr>
        <w:pStyle w:val="13"/>
        <w:keepNext w:val="0"/>
        <w:keepLines w:val="0"/>
        <w:pageBreakBefore w:val="0"/>
        <w:kinsoku/>
        <w:wordWrap/>
        <w:overflowPunct/>
        <w:topLinePunct w:val="0"/>
        <w:bidi w:val="0"/>
        <w:spacing w:line="4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3.1 绝缘靴符合GB 21148-2020标准；绝缘手套符合GB/T 17622-2008标准要求，</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3.2由电绝缘靴服装、手套、电绝缘靴组成。</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3.3电绝缘靴服装由多层绝缘树脂制成，具备阻燃、绝缘性能；</w:t>
      </w:r>
      <w:r>
        <w:rPr>
          <w:rFonts w:hint="eastAsia" w:ascii="仿宋" w:hAnsi="仿宋" w:eastAsia="仿宋" w:cs="仿宋"/>
          <w:b w:val="0"/>
          <w:bCs w:val="0"/>
          <w:color w:val="auto"/>
          <w:sz w:val="24"/>
          <w:szCs w:val="24"/>
          <w:highlight w:val="none"/>
          <w:lang w:val="en-US" w:eastAsia="zh-CN"/>
        </w:rPr>
        <w:t>最大使用电压≥17000V。</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3.4电绝缘手套经特殊处理天然橡胶制成，质地柔软，采用五指设计，</w:t>
      </w:r>
      <w:r>
        <w:rPr>
          <w:rFonts w:hint="eastAsia" w:ascii="仿宋" w:hAnsi="仿宋" w:eastAsia="仿宋" w:cs="仿宋"/>
          <w:color w:val="auto"/>
          <w:sz w:val="24"/>
          <w:szCs w:val="24"/>
          <w:highlight w:val="none"/>
        </w:rPr>
        <w:t>测试电压：20KV/1MIN，泄漏电流：≤10mA。</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3.5电绝缘靴由高压橡胶制成，</w:t>
      </w:r>
      <w:r>
        <w:rPr>
          <w:rFonts w:hint="eastAsia" w:ascii="仿宋" w:hAnsi="仿宋" w:eastAsia="仿宋" w:cs="仿宋"/>
          <w:color w:val="auto"/>
          <w:sz w:val="24"/>
          <w:szCs w:val="24"/>
          <w:highlight w:val="none"/>
        </w:rPr>
        <w:t>测试电压：12KV/1MIN，泄漏电流：≤1mA。</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color w:val="auto"/>
          <w:sz w:val="24"/>
          <w:szCs w:val="24"/>
          <w:highlight w:val="none"/>
          <w:lang w:val="en-US" w:eastAsia="zh-CN"/>
        </w:rPr>
        <w:t>3.6供货前，须主动对接使用单位，确保满足用户需求。</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b/>
          <w:bCs/>
          <w:color w:val="auto"/>
          <w:kern w:val="0"/>
          <w:sz w:val="24"/>
          <w:szCs w:val="24"/>
          <w:highlight w:val="none"/>
          <w:lang w:val="en-US" w:eastAsia="zh-CN"/>
        </w:rPr>
      </w:pP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79</w:t>
      </w:r>
      <w:r>
        <w:rPr>
          <w:rFonts w:hint="eastAsia" w:ascii="仿宋" w:hAnsi="仿宋" w:eastAsia="仿宋" w:cs="仿宋"/>
          <w:b/>
          <w:bCs/>
          <w:color w:val="auto"/>
          <w:kern w:val="0"/>
          <w:sz w:val="24"/>
          <w:szCs w:val="24"/>
          <w:highlight w:val="none"/>
          <w:lang w:val="en-US" w:eastAsia="zh-CN"/>
        </w:rPr>
        <w:t>包-2、</w:t>
      </w:r>
      <w:r>
        <w:rPr>
          <w:rFonts w:hint="eastAsia" w:ascii="仿宋" w:hAnsi="仿宋" w:eastAsia="仿宋" w:cs="仿宋"/>
          <w:b/>
          <w:bCs/>
          <w:color w:val="auto"/>
          <w:kern w:val="0"/>
          <w:sz w:val="24"/>
          <w:szCs w:val="24"/>
          <w:highlight w:val="none"/>
        </w:rPr>
        <w:t>电绝缘装具</w:t>
      </w:r>
    </w:p>
    <w:p>
      <w:pPr>
        <w:keepNext w:val="0"/>
        <w:keepLines w:val="0"/>
        <w:pageBreakBefore w:val="0"/>
        <w:numPr>
          <w:ilvl w:val="0"/>
          <w:numId w:val="0"/>
        </w:numPr>
        <w:kinsoku/>
        <w:wordWrap/>
        <w:overflowPunct/>
        <w:topLinePunct w:val="0"/>
        <w:bidi w:val="0"/>
        <w:spacing w:beforeAutospacing="0" w:afterAutospacing="0" w:line="460" w:lineRule="exact"/>
        <w:ind w:left="0" w:leftChars="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bidi="ar-SA"/>
        </w:rPr>
        <w:t>一、</w:t>
      </w:r>
      <w:r>
        <w:rPr>
          <w:rFonts w:hint="eastAsia" w:ascii="仿宋" w:hAnsi="仿宋" w:eastAsia="仿宋" w:cs="仿宋"/>
          <w:color w:val="auto"/>
          <w:kern w:val="0"/>
          <w:sz w:val="24"/>
          <w:szCs w:val="24"/>
          <w:highlight w:val="none"/>
        </w:rPr>
        <w:t>货物名称：电绝缘装具</w:t>
      </w:r>
    </w:p>
    <w:p>
      <w:pPr>
        <w:keepNext w:val="0"/>
        <w:keepLines w:val="0"/>
        <w:pageBreakBefore w:val="0"/>
        <w:numPr>
          <w:ilvl w:val="0"/>
          <w:numId w:val="0"/>
        </w:numPr>
        <w:kinsoku/>
        <w:wordWrap/>
        <w:overflowPunct/>
        <w:topLinePunct w:val="0"/>
        <w:bidi w:val="0"/>
        <w:spacing w:beforeAutospacing="0" w:afterAutospacing="0" w:line="460" w:lineRule="exact"/>
        <w:ind w:left="0" w:leftChars="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二、产地：国产</w:t>
      </w:r>
    </w:p>
    <w:p>
      <w:pPr>
        <w:keepNext w:val="0"/>
        <w:keepLines w:val="0"/>
        <w:pageBreakBefore w:val="0"/>
        <w:numPr>
          <w:ilvl w:val="0"/>
          <w:numId w:val="0"/>
        </w:numPr>
        <w:kinsoku/>
        <w:wordWrap/>
        <w:overflowPunct/>
        <w:topLinePunct w:val="0"/>
        <w:bidi w:val="0"/>
        <w:spacing w:beforeAutospacing="0" w:afterAutospacing="0" w:line="460" w:lineRule="exact"/>
        <w:ind w:left="0" w:leftChars="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三、主要技术规格、参数及要求：</w:t>
      </w:r>
    </w:p>
    <w:p>
      <w:pPr>
        <w:pStyle w:val="13"/>
        <w:keepNext w:val="0"/>
        <w:keepLines w:val="0"/>
        <w:pageBreakBefore w:val="0"/>
        <w:kinsoku/>
        <w:wordWrap/>
        <w:overflowPunct/>
        <w:topLinePunct w:val="0"/>
        <w:bidi w:val="0"/>
        <w:spacing w:line="460" w:lineRule="exact"/>
        <w:rPr>
          <w:rFonts w:hint="eastAsia" w:ascii="仿宋" w:hAnsi="仿宋" w:eastAsia="仿宋" w:cs="仿宋"/>
          <w:bCs/>
          <w:color w:val="auto"/>
          <w:sz w:val="24"/>
          <w:szCs w:val="24"/>
          <w:highlight w:val="none"/>
          <w:lang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kern w:val="2"/>
          <w:sz w:val="24"/>
          <w:szCs w:val="24"/>
          <w:highlight w:val="none"/>
          <w:lang w:val="en-US" w:eastAsia="zh-CN" w:bidi="ar"/>
        </w:rPr>
        <w:t>3.1产品符合</w:t>
      </w:r>
      <w:r>
        <w:rPr>
          <w:rFonts w:hint="eastAsia" w:ascii="仿宋" w:hAnsi="仿宋" w:eastAsia="仿宋" w:cs="仿宋"/>
          <w:color w:val="auto"/>
          <w:kern w:val="0"/>
          <w:sz w:val="24"/>
          <w:szCs w:val="24"/>
          <w:highlight w:val="none"/>
        </w:rPr>
        <w:t>DL/T1125-2009《10kV带电作业用绝缘服装》、GB/T17622-2008《带电作业用绝缘手套》、</w:t>
      </w:r>
      <w:r>
        <w:rPr>
          <w:rFonts w:hint="eastAsia" w:ascii="仿宋" w:hAnsi="仿宋" w:eastAsia="仿宋" w:cs="仿宋"/>
          <w:color w:val="auto"/>
          <w:sz w:val="24"/>
          <w:szCs w:val="24"/>
          <w:highlight w:val="none"/>
          <w:lang w:val="en-US" w:eastAsia="zh-CN"/>
        </w:rPr>
        <w:t>GB 21148-2020《足部防护 安全鞋》</w:t>
      </w:r>
      <w:r>
        <w:rPr>
          <w:rFonts w:hint="eastAsia" w:ascii="仿宋" w:hAnsi="仿宋" w:eastAsia="仿宋" w:cs="仿宋"/>
          <w:color w:val="auto"/>
          <w:kern w:val="2"/>
          <w:sz w:val="24"/>
          <w:szCs w:val="24"/>
          <w:highlight w:val="none"/>
          <w:lang w:val="en-US" w:eastAsia="zh-CN" w:bidi="ar"/>
        </w:rPr>
        <w:t>标准的要求，</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numPr>
          <w:ilvl w:val="0"/>
          <w:numId w:val="0"/>
        </w:numPr>
        <w:kinsoku/>
        <w:wordWrap/>
        <w:overflowPunct/>
        <w:topLinePunct w:val="0"/>
        <w:bidi w:val="0"/>
        <w:spacing w:beforeAutospacing="0" w:afterAutospacing="0" w:line="460" w:lineRule="exact"/>
        <w:ind w:left="0" w:leftChars="0"/>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3.2整体由上衣、背带裤、手套和靴子等组成；</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▲3.3</w:t>
      </w:r>
      <w:r>
        <w:rPr>
          <w:rFonts w:hint="eastAsia" w:ascii="仿宋" w:hAnsi="仿宋" w:eastAsia="仿宋" w:cs="仿宋"/>
          <w:color w:val="auto"/>
          <w:kern w:val="0"/>
          <w:sz w:val="24"/>
          <w:szCs w:val="24"/>
          <w:highlight w:val="none"/>
        </w:rPr>
        <w:t>整体耐电压性能在≥10kV，测试时间1min实验性无闪络、击穿和发热现象，泄露电流≤10mA；</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3.4</w:t>
      </w:r>
      <w:r>
        <w:rPr>
          <w:rFonts w:hint="eastAsia" w:ascii="仿宋" w:hAnsi="仿宋" w:eastAsia="仿宋" w:cs="仿宋"/>
          <w:color w:val="auto"/>
          <w:kern w:val="0"/>
          <w:sz w:val="24"/>
          <w:szCs w:val="24"/>
          <w:highlight w:val="none"/>
        </w:rPr>
        <w:t>耐热老化性能：涂覆织物经125℃后，24h的空气老化后，无发粘、发脆的现象</w:t>
      </w:r>
      <w:r>
        <w:rPr>
          <w:rFonts w:hint="eastAsia" w:ascii="仿宋" w:hAnsi="仿宋" w:eastAsia="仿宋" w:cs="仿宋"/>
          <w:color w:val="auto"/>
          <w:kern w:val="0"/>
          <w:sz w:val="24"/>
          <w:szCs w:val="24"/>
          <w:highlight w:val="none"/>
          <w:lang w:eastAsia="zh-CN"/>
        </w:rPr>
        <w:t>；</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3.5</w:t>
      </w:r>
      <w:r>
        <w:rPr>
          <w:rFonts w:hint="eastAsia" w:ascii="仿宋" w:hAnsi="仿宋" w:eastAsia="仿宋" w:cs="仿宋"/>
          <w:color w:val="auto"/>
          <w:kern w:val="0"/>
          <w:sz w:val="24"/>
          <w:szCs w:val="24"/>
          <w:highlight w:val="none"/>
        </w:rPr>
        <w:t>耐寒性能：涂覆织物经-25℃、5min耐寒，折叠180°无裂缝；</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3.6</w:t>
      </w:r>
      <w:r>
        <w:rPr>
          <w:rFonts w:hint="eastAsia" w:ascii="仿宋" w:hAnsi="仿宋" w:eastAsia="仿宋" w:cs="仿宋"/>
          <w:color w:val="auto"/>
          <w:kern w:val="0"/>
          <w:sz w:val="24"/>
          <w:szCs w:val="24"/>
          <w:highlight w:val="none"/>
        </w:rPr>
        <w:t>抗刺穿性能：≥</w:t>
      </w:r>
      <w:r>
        <w:rPr>
          <w:rFonts w:hint="eastAsia" w:ascii="仿宋" w:hAnsi="仿宋" w:eastAsia="仿宋" w:cs="仿宋"/>
          <w:color w:val="auto"/>
          <w:kern w:val="0"/>
          <w:sz w:val="24"/>
          <w:szCs w:val="24"/>
          <w:highlight w:val="none"/>
          <w:lang w:val="en-US" w:eastAsia="zh-CN"/>
        </w:rPr>
        <w:t>15</w:t>
      </w:r>
      <w:r>
        <w:rPr>
          <w:rFonts w:hint="eastAsia" w:ascii="仿宋" w:hAnsi="仿宋" w:eastAsia="仿宋" w:cs="仿宋"/>
          <w:color w:val="auto"/>
          <w:kern w:val="0"/>
          <w:sz w:val="24"/>
          <w:szCs w:val="24"/>
          <w:highlight w:val="none"/>
        </w:rPr>
        <w:t>N/mm；</w:t>
      </w:r>
    </w:p>
    <w:p>
      <w:pPr>
        <w:keepNext w:val="0"/>
        <w:keepLines w:val="0"/>
        <w:pageBreakBefore w:val="0"/>
        <w:numPr>
          <w:ilvl w:val="0"/>
          <w:numId w:val="0"/>
        </w:numPr>
        <w:kinsoku/>
        <w:wordWrap/>
        <w:overflowPunct/>
        <w:topLinePunct w:val="0"/>
        <w:bidi w:val="0"/>
        <w:spacing w:beforeAutospacing="0" w:afterAutospacing="0" w:line="460" w:lineRule="exact"/>
        <w:ind w:left="0" w:leftChars="0"/>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kern w:val="0"/>
          <w:sz w:val="24"/>
          <w:szCs w:val="24"/>
          <w:highlight w:val="none"/>
          <w:lang w:val="en-US" w:eastAsia="zh-CN"/>
        </w:rPr>
        <w:t>3.7</w:t>
      </w:r>
      <w:r>
        <w:rPr>
          <w:rFonts w:hint="eastAsia" w:ascii="仿宋" w:hAnsi="仿宋" w:eastAsia="仿宋" w:cs="仿宋"/>
          <w:color w:val="auto"/>
          <w:kern w:val="0"/>
          <w:sz w:val="24"/>
          <w:szCs w:val="24"/>
          <w:highlight w:val="none"/>
        </w:rPr>
        <w:t>电绝缘手套：耐电压≥10000V，试验≥20000V不被击穿；</w:t>
      </w:r>
      <w:r>
        <w:rPr>
          <w:rFonts w:hint="eastAsia" w:ascii="仿宋" w:hAnsi="仿宋" w:eastAsia="仿宋" w:cs="仿宋"/>
          <w:color w:val="auto"/>
          <w:kern w:val="0"/>
          <w:sz w:val="24"/>
          <w:szCs w:val="24"/>
          <w:highlight w:val="none"/>
          <w:lang w:val="en-US" w:eastAsia="zh-CN"/>
        </w:rPr>
        <w:t>灵巧性能</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3级；</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3.8</w:t>
      </w:r>
      <w:r>
        <w:rPr>
          <w:rFonts w:hint="eastAsia" w:ascii="仿宋" w:hAnsi="仿宋" w:eastAsia="仿宋" w:cs="仿宋"/>
          <w:color w:val="auto"/>
          <w:kern w:val="0"/>
          <w:sz w:val="24"/>
          <w:szCs w:val="24"/>
          <w:highlight w:val="none"/>
        </w:rPr>
        <w:t>重量：整套装具≤</w:t>
      </w:r>
      <w:r>
        <w:rPr>
          <w:rFonts w:hint="eastAsia" w:ascii="仿宋" w:hAnsi="仿宋" w:eastAsia="仿宋" w:cs="仿宋"/>
          <w:color w:val="auto"/>
          <w:kern w:val="0"/>
          <w:sz w:val="24"/>
          <w:szCs w:val="24"/>
          <w:highlight w:val="none"/>
          <w:lang w:val="en-US" w:eastAsia="zh-CN"/>
        </w:rPr>
        <w:t>10</w:t>
      </w:r>
      <w:r>
        <w:rPr>
          <w:rFonts w:hint="eastAsia" w:ascii="仿宋" w:hAnsi="仿宋" w:eastAsia="仿宋" w:cs="仿宋"/>
          <w:color w:val="auto"/>
          <w:kern w:val="0"/>
          <w:sz w:val="24"/>
          <w:szCs w:val="24"/>
          <w:highlight w:val="none"/>
        </w:rPr>
        <w:t>kg</w:t>
      </w:r>
      <w:r>
        <w:rPr>
          <w:rFonts w:hint="eastAsia" w:ascii="仿宋" w:hAnsi="仿宋" w:eastAsia="仿宋" w:cs="仿宋"/>
          <w:color w:val="auto"/>
          <w:kern w:val="0"/>
          <w:sz w:val="24"/>
          <w:szCs w:val="24"/>
          <w:highlight w:val="none"/>
          <w:lang w:eastAsia="zh-CN"/>
        </w:rPr>
        <w:t>；</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3.9配备绝缘剪1把、绝缘杆1根≥3米；</w:t>
      </w:r>
    </w:p>
    <w:p>
      <w:pPr>
        <w:keepNext w:val="0"/>
        <w:keepLines w:val="0"/>
        <w:pageBreakBefore w:val="0"/>
        <w:widowControl w:val="0"/>
        <w:numPr>
          <w:ilvl w:val="0"/>
          <w:numId w:val="0"/>
        </w:numPr>
        <w:kinsoku/>
        <w:wordWrap/>
        <w:overflowPunct/>
        <w:topLinePunct w:val="0"/>
        <w:autoSpaceDE/>
        <w:autoSpaceDN/>
        <w:bidi w:val="0"/>
        <w:snapToGrid/>
        <w:spacing w:line="460" w:lineRule="exact"/>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3.10提供中文使用说明书，含装备简介、使用注意事项及维护保养等内容；</w:t>
      </w:r>
    </w:p>
    <w:p>
      <w:pPr>
        <w:keepNext w:val="0"/>
        <w:keepLines w:val="0"/>
        <w:pageBreakBefore w:val="0"/>
        <w:widowControl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3.11供货前，须主动对接使用单位根据用户提供尺码供货和要求印字，确保满足用户需求。</w:t>
      </w:r>
    </w:p>
    <w:p>
      <w:pPr>
        <w:keepNext w:val="0"/>
        <w:keepLines w:val="0"/>
        <w:pageBreakBefore w:val="0"/>
        <w:widowControl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bookmarkStart w:id="574" w:name="_Toc10324"/>
      <w:bookmarkStart w:id="575" w:name="_Toc18967"/>
      <w:bookmarkStart w:id="576" w:name="_Toc32036"/>
    </w:p>
    <w:p>
      <w:pPr>
        <w:keepNext w:val="0"/>
        <w:keepLines w:val="0"/>
        <w:pageBreakBefore w:val="0"/>
        <w:kinsoku/>
        <w:wordWrap/>
        <w:overflowPunct/>
        <w:topLinePunct w:val="0"/>
        <w:bidi w:val="0"/>
        <w:spacing w:line="460" w:lineRule="exact"/>
        <w:outlineLvl w:val="1"/>
        <w:rPr>
          <w:rFonts w:hint="eastAsia" w:ascii="仿宋" w:hAnsi="仿宋" w:eastAsia="仿宋" w:cs="仿宋"/>
          <w:color w:val="auto"/>
          <w:sz w:val="24"/>
          <w:szCs w:val="24"/>
          <w:highlight w:val="none"/>
          <w:lang w:val="en-US" w:eastAsia="zh-CN"/>
        </w:rPr>
      </w:pPr>
      <w:bookmarkStart w:id="577" w:name="_Toc12423"/>
      <w:bookmarkStart w:id="578" w:name="_Toc23596"/>
      <w:r>
        <w:rPr>
          <w:rFonts w:hint="eastAsia" w:ascii="仿宋" w:hAnsi="仿宋" w:eastAsia="仿宋" w:cs="仿宋"/>
          <w:b/>
          <w:bCs/>
          <w:color w:val="auto"/>
          <w:sz w:val="24"/>
          <w:szCs w:val="24"/>
          <w:highlight w:val="none"/>
          <w:lang w:val="en-US" w:eastAsia="zh-CN"/>
        </w:rPr>
        <w:t>83包：消防防坠落辅助部件</w:t>
      </w:r>
      <w:r>
        <w:rPr>
          <w:rFonts w:hint="eastAsia" w:ascii="仿宋" w:hAnsi="仿宋" w:eastAsia="仿宋" w:cs="仿宋"/>
          <w:b/>
          <w:bCs/>
          <w:color w:val="auto"/>
          <w:sz w:val="24"/>
          <w:szCs w:val="24"/>
          <w:highlight w:val="none"/>
        </w:rPr>
        <w:t>【核心产品】</w:t>
      </w:r>
      <w:r>
        <w:rPr>
          <w:rFonts w:hint="eastAsia" w:ascii="仿宋" w:hAnsi="仿宋" w:eastAsia="仿宋" w:cs="仿宋"/>
          <w:b/>
          <w:bCs/>
          <w:color w:val="auto"/>
          <w:sz w:val="24"/>
          <w:szCs w:val="24"/>
          <w:highlight w:val="none"/>
          <w:lang w:val="en-US" w:eastAsia="zh-CN"/>
        </w:rPr>
        <w:t>、消防全身式安全吊带、消防通用安全绳、水面漂浮救生绳（200米）</w:t>
      </w:r>
      <w:bookmarkEnd w:id="574"/>
      <w:bookmarkEnd w:id="575"/>
      <w:bookmarkEnd w:id="576"/>
      <w:bookmarkEnd w:id="577"/>
      <w:bookmarkEnd w:id="578"/>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83</w:t>
      </w:r>
      <w:r>
        <w:rPr>
          <w:rFonts w:hint="eastAsia" w:ascii="仿宋" w:hAnsi="仿宋" w:eastAsia="仿宋" w:cs="仿宋"/>
          <w:b/>
          <w:bCs/>
          <w:color w:val="auto"/>
          <w:kern w:val="0"/>
          <w:sz w:val="24"/>
          <w:szCs w:val="24"/>
          <w:highlight w:val="none"/>
          <w:lang w:val="en-US" w:eastAsia="zh-CN"/>
        </w:rPr>
        <w:t>包-1、消防防坠落辅助部件</w:t>
      </w:r>
    </w:p>
    <w:p>
      <w:pPr>
        <w:keepNext w:val="0"/>
        <w:keepLines w:val="0"/>
        <w:pageBreakBefore w:val="0"/>
        <w:widowControl w:val="0"/>
        <w:kinsoku/>
        <w:wordWrap/>
        <w:overflowPunct/>
        <w:topLinePunct w:val="0"/>
        <w:autoSpaceDE/>
        <w:autoSpaceDN/>
        <w:bidi w:val="0"/>
        <w:adjustRightInd w:val="0"/>
        <w:snapToGrid w:val="0"/>
        <w:spacing w:afterAutospacing="0" w:line="460" w:lineRule="exact"/>
        <w:ind w:left="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一、货物名称：消防防坠落辅助部件</w:t>
      </w:r>
    </w:p>
    <w:p>
      <w:pPr>
        <w:keepNext w:val="0"/>
        <w:keepLines w:val="0"/>
        <w:pageBreakBefore w:val="0"/>
        <w:widowControl w:val="0"/>
        <w:kinsoku/>
        <w:wordWrap/>
        <w:overflowPunct/>
        <w:topLinePunct w:val="0"/>
        <w:autoSpaceDE/>
        <w:autoSpaceDN/>
        <w:bidi w:val="0"/>
        <w:adjustRightInd w:val="0"/>
        <w:snapToGrid w:val="0"/>
        <w:spacing w:afterAutospacing="0" w:line="460" w:lineRule="exact"/>
        <w:ind w:left="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二、产地：国产</w:t>
      </w:r>
    </w:p>
    <w:p>
      <w:pPr>
        <w:keepNext w:val="0"/>
        <w:keepLines w:val="0"/>
        <w:pageBreakBefore w:val="0"/>
        <w:widowControl w:val="0"/>
        <w:kinsoku/>
        <w:wordWrap/>
        <w:overflowPunct/>
        <w:topLinePunct w:val="0"/>
        <w:autoSpaceDE/>
        <w:autoSpaceDN/>
        <w:bidi w:val="0"/>
        <w:adjustRightInd w:val="0"/>
        <w:snapToGrid w:val="0"/>
        <w:spacing w:afterAutospacing="0" w:line="460" w:lineRule="exact"/>
        <w:ind w:left="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三、主要技术规格、参数及要求：</w:t>
      </w:r>
    </w:p>
    <w:p>
      <w:pPr>
        <w:pStyle w:val="13"/>
        <w:keepNext w:val="0"/>
        <w:keepLines w:val="0"/>
        <w:pageBreakBefore w:val="0"/>
        <w:kinsoku/>
        <w:wordWrap/>
        <w:overflowPunct/>
        <w:topLinePunct w:val="0"/>
        <w:bidi w:val="0"/>
        <w:spacing w:line="4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rPr>
        <w:t>3.1总体性能符合现行XF494《消防用防坠落装备》标准的要求，提供第三方检测机构出具的检测/检验/试验/测试报告（报告中的型号须与所投产品型号一致）复印件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，报告应具有</w:t>
      </w:r>
      <w:r>
        <w:rPr>
          <w:rFonts w:hint="eastAsia" w:ascii="仿宋" w:hAnsi="仿宋" w:eastAsia="仿宋" w:cs="仿宋"/>
          <w:color w:val="auto"/>
          <w:sz w:val="24"/>
          <w:szCs w:val="24"/>
          <w:highlight w:val="none"/>
        </w:rPr>
        <w:t>III类吊带、轻型安全钩、通用型安全钩、滑轮装置、上升器、下降器</w:t>
      </w:r>
      <w:r>
        <w:rPr>
          <w:rFonts w:hint="eastAsia" w:ascii="仿宋" w:hAnsi="仿宋" w:eastAsia="仿宋" w:cs="仿宋"/>
          <w:color w:val="auto"/>
          <w:sz w:val="24"/>
          <w:szCs w:val="24"/>
          <w:highlight w:val="none"/>
          <w:lang w:eastAsia="zh-CN"/>
        </w:rPr>
        <w:t>等内容；</w:t>
      </w:r>
      <w:r>
        <w:rPr>
          <w:rFonts w:hint="eastAsia" w:ascii="仿宋" w:hAnsi="仿宋" w:eastAsia="仿宋" w:cs="仿宋"/>
          <w:color w:val="auto"/>
          <w:sz w:val="24"/>
          <w:szCs w:val="24"/>
          <w:highlight w:val="none"/>
        </w:rPr>
        <w:t>III类吊带、轻型安全钩、通用型安全钩、滑轮装置、上升器、下降器</w:t>
      </w:r>
      <w:r>
        <w:rPr>
          <w:rFonts w:hint="eastAsia" w:ascii="仿宋" w:hAnsi="仿宋" w:eastAsia="仿宋" w:cs="仿宋"/>
          <w:color w:val="auto"/>
          <w:sz w:val="24"/>
          <w:szCs w:val="24"/>
          <w:highlight w:val="none"/>
          <w:lang w:eastAsia="zh-CN"/>
        </w:rPr>
        <w:t>也可单独提供报告；</w:t>
      </w:r>
    </w:p>
    <w:p>
      <w:pPr>
        <w:keepNext w:val="0"/>
        <w:keepLines w:val="0"/>
        <w:pageBreakBefore w:val="0"/>
        <w:widowControl w:val="0"/>
        <w:kinsoku/>
        <w:wordWrap/>
        <w:overflowPunct/>
        <w:topLinePunct w:val="0"/>
        <w:autoSpaceDE/>
        <w:autoSpaceDN/>
        <w:bidi w:val="0"/>
        <w:adjustRightInd w:val="0"/>
        <w:snapToGrid w:val="0"/>
        <w:spacing w:afterAutospacing="0" w:line="460" w:lineRule="exact"/>
        <w:ind w:left="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3.2主要包含由III类吊带、轻型安全钩、通用型安全钩、滑轮装置、上升器、下降器、抓绳器、通用型安全绳、手套、绳包等；</w:t>
      </w:r>
    </w:p>
    <w:p>
      <w:pPr>
        <w:keepNext w:val="0"/>
        <w:keepLines w:val="0"/>
        <w:pageBreakBefore w:val="0"/>
        <w:widowControl w:val="0"/>
        <w:shd w:val="clear" w:color="auto" w:fill="auto"/>
        <w:kinsoku/>
        <w:wordWrap/>
        <w:overflowPunct/>
        <w:topLinePunct w:val="0"/>
        <w:autoSpaceDE/>
        <w:autoSpaceDN/>
        <w:bidi w:val="0"/>
        <w:adjustRightInd w:val="0"/>
        <w:snapToGrid w:val="0"/>
        <w:spacing w:afterAutospacing="0" w:line="460" w:lineRule="exact"/>
        <w:ind w:left="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3.3吊带（III类）：一根，采用聚酰胺纤维或聚酯纤维和高强度金属件制成；</w:t>
      </w:r>
    </w:p>
    <w:p>
      <w:pPr>
        <w:keepNext w:val="0"/>
        <w:keepLines w:val="0"/>
        <w:pageBreakBefore w:val="0"/>
        <w:widowControl w:val="0"/>
        <w:shd w:val="clear" w:color="auto" w:fill="auto"/>
        <w:kinsoku/>
        <w:wordWrap/>
        <w:overflowPunct/>
        <w:topLinePunct w:val="0"/>
        <w:autoSpaceDE/>
        <w:autoSpaceDN/>
        <w:bidi w:val="0"/>
        <w:adjustRightInd w:val="0"/>
        <w:snapToGrid w:val="0"/>
        <w:spacing w:afterAutospacing="0" w:line="460" w:lineRule="exact"/>
        <w:ind w:left="0"/>
        <w:outlineLvl w:val="9"/>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rPr>
        <w:t>3.4轻型安全钩：2个，铝合金材质，在开口闭合状态时，长轴的破断强度≥27KN，在开口打开状态时，长轴破断强度≥7KN；短轴破断强度≥7KN；</w:t>
      </w:r>
    </w:p>
    <w:p>
      <w:pPr>
        <w:keepNext w:val="0"/>
        <w:keepLines w:val="0"/>
        <w:pageBreakBefore w:val="0"/>
        <w:widowControl w:val="0"/>
        <w:shd w:val="clear" w:color="auto" w:fill="auto"/>
        <w:kinsoku/>
        <w:wordWrap/>
        <w:overflowPunct/>
        <w:topLinePunct w:val="0"/>
        <w:autoSpaceDE/>
        <w:autoSpaceDN/>
        <w:bidi w:val="0"/>
        <w:adjustRightInd w:val="0"/>
        <w:snapToGrid w:val="0"/>
        <w:spacing w:afterAutospacing="0" w:line="460" w:lineRule="exact"/>
        <w:ind w:left="0"/>
        <w:outlineLvl w:val="9"/>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rPr>
        <w:t>3.5通用型安全钩：2个，铝合金材质，在开口闭合状态时，</w:t>
      </w:r>
      <w:r>
        <w:rPr>
          <w:rFonts w:hint="eastAsia" w:ascii="仿宋" w:hAnsi="仿宋" w:eastAsia="仿宋" w:cs="仿宋"/>
          <w:b w:val="0"/>
          <w:bCs w:val="0"/>
          <w:color w:val="auto"/>
          <w:sz w:val="24"/>
          <w:szCs w:val="24"/>
          <w:highlight w:val="none"/>
        </w:rPr>
        <w:t>长轴的破断强度为≥40KN，在开口打开状态时，长轴破断强度≥11KN；短轴破断</w:t>
      </w:r>
      <w:r>
        <w:rPr>
          <w:rFonts w:hint="eastAsia" w:ascii="仿宋" w:hAnsi="仿宋" w:eastAsia="仿宋" w:cs="仿宋"/>
          <w:color w:val="auto"/>
          <w:sz w:val="24"/>
          <w:szCs w:val="24"/>
          <w:highlight w:val="none"/>
        </w:rPr>
        <w:t>强度≥11KN；</w:t>
      </w:r>
    </w:p>
    <w:p>
      <w:pPr>
        <w:keepNext w:val="0"/>
        <w:keepLines w:val="0"/>
        <w:pageBreakBefore w:val="0"/>
        <w:widowControl w:val="0"/>
        <w:kinsoku/>
        <w:wordWrap/>
        <w:overflowPunct/>
        <w:topLinePunct w:val="0"/>
        <w:autoSpaceDE/>
        <w:autoSpaceDN/>
        <w:bidi w:val="0"/>
        <w:adjustRightInd w:val="0"/>
        <w:snapToGrid w:val="0"/>
        <w:spacing w:afterAutospacing="0" w:line="460" w:lineRule="exact"/>
        <w:ind w:left="0"/>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3.6滑轮装置：1个，不锈钢材质，适合8-13mm直径的绳索</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afterAutospacing="0" w:line="460" w:lineRule="exact"/>
        <w:ind w:left="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3.7上升器：1对，由手式和脚式上升器组成，上升器主体采用铝合金材质、凸轮为镀铬钢材质、把手为双重密度塑胶材质，适合8-13mm直径的绳索；</w:t>
      </w:r>
    </w:p>
    <w:p>
      <w:pPr>
        <w:keepNext w:val="0"/>
        <w:keepLines w:val="0"/>
        <w:pageBreakBefore w:val="0"/>
        <w:widowControl w:val="0"/>
        <w:kinsoku/>
        <w:wordWrap/>
        <w:overflowPunct/>
        <w:topLinePunct w:val="0"/>
        <w:autoSpaceDE/>
        <w:autoSpaceDN/>
        <w:bidi w:val="0"/>
        <w:adjustRightInd w:val="0"/>
        <w:snapToGrid w:val="0"/>
        <w:spacing w:afterAutospacing="0" w:line="460" w:lineRule="exact"/>
        <w:ind w:left="0"/>
        <w:outlineLvl w:val="9"/>
        <w:rPr>
          <w:rFonts w:hint="eastAsia" w:ascii="仿宋" w:hAnsi="仿宋" w:eastAsia="仿宋" w:cs="仿宋"/>
          <w:b w:val="0"/>
          <w:bCs w:val="0"/>
          <w:color w:val="auto"/>
          <w:sz w:val="24"/>
          <w:szCs w:val="24"/>
          <w:highlight w:val="none"/>
        </w:rPr>
      </w:pPr>
      <w:r>
        <w:rPr>
          <w:rFonts w:hint="eastAsia" w:ascii="仿宋" w:hAnsi="仿宋" w:eastAsia="仿宋" w:cs="仿宋"/>
          <w:color w:val="auto"/>
          <w:kern w:val="2"/>
          <w:sz w:val="24"/>
          <w:szCs w:val="24"/>
          <w:highlight w:val="none"/>
          <w:lang w:val="en-US" w:eastAsia="zh-CN" w:bidi="ar-SA"/>
        </w:rPr>
        <w:t>3.8下降器：1对，铝合金材质、凸轮为镀铬钢材质；适合8-13mm直径的绳索；▲</w:t>
      </w:r>
      <w:r>
        <w:rPr>
          <w:rFonts w:hint="eastAsia" w:ascii="仿宋" w:hAnsi="仿宋" w:eastAsia="仿宋" w:cs="仿宋"/>
          <w:color w:val="auto"/>
          <w:sz w:val="24"/>
          <w:szCs w:val="24"/>
          <w:highlight w:val="none"/>
        </w:rPr>
        <w:t>3.9抓绳器：1个，铝镁合金材质，轻便、结实、耐用，适合8-13mm直径的绳索，</w:t>
      </w:r>
      <w:r>
        <w:rPr>
          <w:rFonts w:hint="eastAsia" w:ascii="仿宋" w:hAnsi="仿宋" w:eastAsia="仿宋" w:cs="仿宋"/>
          <w:b w:val="0"/>
          <w:bCs w:val="0"/>
          <w:color w:val="auto"/>
          <w:sz w:val="24"/>
          <w:szCs w:val="24"/>
          <w:highlight w:val="none"/>
        </w:rPr>
        <w:t>断裂负荷：≥11KN；</w:t>
      </w:r>
    </w:p>
    <w:p>
      <w:pPr>
        <w:keepNext w:val="0"/>
        <w:keepLines w:val="0"/>
        <w:pageBreakBefore w:val="0"/>
        <w:widowControl w:val="0"/>
        <w:kinsoku/>
        <w:wordWrap/>
        <w:overflowPunct/>
        <w:topLinePunct w:val="0"/>
        <w:autoSpaceDE/>
        <w:autoSpaceDN/>
        <w:bidi w:val="0"/>
        <w:adjustRightInd w:val="0"/>
        <w:snapToGrid w:val="0"/>
        <w:spacing w:afterAutospacing="0" w:line="460" w:lineRule="exact"/>
        <w:ind w:left="0"/>
        <w:jc w:val="left"/>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3.10通用型安全绳：连续、夹心绳结构，主承重部分由连续纤维制成。最小破断强度为≥40KN，直径≥12.5mm，长度100m；</w:t>
      </w:r>
    </w:p>
    <w:p>
      <w:pPr>
        <w:keepNext w:val="0"/>
        <w:keepLines w:val="0"/>
        <w:pageBreakBefore w:val="0"/>
        <w:widowControl w:val="0"/>
        <w:kinsoku/>
        <w:wordWrap/>
        <w:overflowPunct/>
        <w:topLinePunct w:val="0"/>
        <w:autoSpaceDE/>
        <w:autoSpaceDN/>
        <w:bidi w:val="0"/>
        <w:adjustRightInd w:val="0"/>
        <w:snapToGrid w:val="0"/>
        <w:spacing w:afterAutospacing="0" w:line="460" w:lineRule="exact"/>
        <w:ind w:left="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3.11手套：2双，采用皮质材料，佩戴后手指可灵活制作绳结和拿取安装器材，掌心、食指、母指工作部位双层防磨补强处理，松紧设一个小孔便于用锁扣与手套连接；</w:t>
      </w:r>
    </w:p>
    <w:p>
      <w:pPr>
        <w:pStyle w:val="40"/>
        <w:keepNext w:val="0"/>
        <w:keepLines w:val="0"/>
        <w:pageBreakBefore w:val="0"/>
        <w:widowControl w:val="0"/>
        <w:kinsoku/>
        <w:wordWrap/>
        <w:overflowPunct/>
        <w:topLinePunct w:val="0"/>
        <w:autoSpaceDE/>
        <w:autoSpaceDN/>
        <w:bidi w:val="0"/>
        <w:spacing w:after="0" w:afterAutospacing="0" w:line="460" w:lineRule="exact"/>
        <w:ind w:left="0" w:leftChars="0" w:firstLine="0" w:firstLineChars="0"/>
        <w:contextualSpacing/>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3.12绳包：1个，可装100m安全绳及装备,有双肩背,可手提；</w:t>
      </w:r>
    </w:p>
    <w:p>
      <w:pPr>
        <w:pStyle w:val="14"/>
        <w:keepNext w:val="0"/>
        <w:keepLines w:val="0"/>
        <w:pageBreakBefore w:val="0"/>
        <w:widowControl w:val="0"/>
        <w:kinsoku/>
        <w:wordWrap/>
        <w:overflowPunct/>
        <w:topLinePunct w:val="0"/>
        <w:autoSpaceDE/>
        <w:autoSpaceDN/>
        <w:bidi w:val="0"/>
        <w:spacing w:beforeAutospacing="0" w:after="0" w:afterAutospacing="0" w:line="460" w:lineRule="exact"/>
        <w:ind w:left="0" w:leftChars="0" w:firstLine="0" w:firstLineChars="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3.13供货前，须主动对接使用单位，确保满足用户需求。</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b/>
          <w:bCs/>
          <w:color w:val="auto"/>
          <w:kern w:val="0"/>
          <w:sz w:val="24"/>
          <w:szCs w:val="24"/>
          <w:highlight w:val="none"/>
          <w:lang w:val="en-US" w:eastAsia="zh-CN"/>
        </w:rPr>
      </w:pP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83</w:t>
      </w:r>
      <w:r>
        <w:rPr>
          <w:rFonts w:hint="eastAsia" w:ascii="仿宋" w:hAnsi="仿宋" w:eastAsia="仿宋" w:cs="仿宋"/>
          <w:b/>
          <w:bCs/>
          <w:color w:val="auto"/>
          <w:kern w:val="0"/>
          <w:sz w:val="24"/>
          <w:szCs w:val="24"/>
          <w:highlight w:val="none"/>
          <w:lang w:val="en-US" w:eastAsia="zh-CN"/>
        </w:rPr>
        <w:t>包-2、</w:t>
      </w:r>
      <w:r>
        <w:rPr>
          <w:rFonts w:hint="eastAsia" w:ascii="仿宋" w:hAnsi="仿宋" w:eastAsia="仿宋" w:cs="仿宋"/>
          <w:b/>
          <w:bCs/>
          <w:color w:val="auto"/>
          <w:sz w:val="24"/>
          <w:szCs w:val="24"/>
          <w:highlight w:val="none"/>
          <w:lang w:val="en-US" w:eastAsia="zh-CN"/>
        </w:rPr>
        <w:t>消防全身式安全吊带</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一、货物名称：消防全身式安全吊带</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二、产地：国产</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三、主要技术规格、参数及要求：</w:t>
      </w:r>
    </w:p>
    <w:p>
      <w:pPr>
        <w:pStyle w:val="13"/>
        <w:keepNext w:val="0"/>
        <w:keepLines w:val="0"/>
        <w:pageBreakBefore w:val="0"/>
        <w:kinsoku/>
        <w:wordWrap/>
        <w:overflowPunct/>
        <w:topLinePunct w:val="0"/>
        <w:bidi w:val="0"/>
        <w:spacing w:line="4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kern w:val="2"/>
          <w:sz w:val="24"/>
          <w:szCs w:val="24"/>
          <w:highlight w:val="none"/>
          <w:lang w:val="en-US" w:eastAsia="zh-CN" w:bidi="ar"/>
        </w:rPr>
        <w:t>3.1产品符合</w:t>
      </w:r>
      <w:r>
        <w:rPr>
          <w:rFonts w:hint="eastAsia" w:ascii="仿宋" w:hAnsi="仿宋" w:eastAsia="仿宋" w:cs="仿宋"/>
          <w:color w:val="auto"/>
          <w:sz w:val="24"/>
          <w:szCs w:val="24"/>
          <w:highlight w:val="none"/>
          <w:lang w:val="en-US" w:eastAsia="zh-CN"/>
        </w:rPr>
        <w:t>XF494-2023《消防用防坠落装备》</w:t>
      </w:r>
      <w:r>
        <w:rPr>
          <w:rFonts w:hint="eastAsia" w:ascii="仿宋" w:hAnsi="仿宋" w:eastAsia="仿宋" w:cs="仿宋"/>
          <w:color w:val="auto"/>
          <w:kern w:val="2"/>
          <w:sz w:val="24"/>
          <w:szCs w:val="24"/>
          <w:highlight w:val="none"/>
          <w:lang w:val="en-US" w:eastAsia="zh-CN" w:bidi="ar"/>
        </w:rPr>
        <w:t>标准的要求，</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numPr>
          <w:ilvl w:val="0"/>
          <w:numId w:val="0"/>
        </w:numPr>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3.2安全吊带的承重织带宽度：40-70mm，能调节尺寸大小，吊带的织带边缘通过热封或其它措施来防止织线松脱；</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3.3静拉力试验后安全吊带不应从人体模型上松脱，安全吊带上的带扣和调节装置滑移距离：≤10mm，而且安全吊带不应出现影响其安全性能的明显损伤；</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3.4安全带的带扣的边角半径：≥6mm；</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3.5缝合接口及缝合末端回缝：≥13mm；</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3.6金属部件和金属零件应无棱角、毛刺，不得有裂纹、明显压痕和划伤等缺陷，其边缘应呈弧形；</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3.7装备环：≥4个，吊带设计负荷：≥2.67KN；</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3.8带有衬垫的肩带、可调节的宽大腿环，能让操作者向上向下调整，腿环配有快速卡扣，腰带下方设有连接点，用于连接定位挽索；</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3.9供货前，须主动对接使用单位，确保满足用户需求。</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b/>
          <w:bCs/>
          <w:color w:val="auto"/>
          <w:sz w:val="24"/>
          <w:szCs w:val="24"/>
          <w:highlight w:val="none"/>
          <w:lang w:val="en-US" w:eastAsia="zh-CN"/>
        </w:rPr>
      </w:pP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83</w:t>
      </w:r>
      <w:r>
        <w:rPr>
          <w:rFonts w:hint="eastAsia" w:ascii="仿宋" w:hAnsi="仿宋" w:eastAsia="仿宋" w:cs="仿宋"/>
          <w:b/>
          <w:bCs/>
          <w:color w:val="auto"/>
          <w:kern w:val="0"/>
          <w:sz w:val="24"/>
          <w:szCs w:val="24"/>
          <w:highlight w:val="none"/>
          <w:lang w:val="en-US" w:eastAsia="zh-CN"/>
        </w:rPr>
        <w:t>包-3、</w:t>
      </w:r>
      <w:r>
        <w:rPr>
          <w:rFonts w:hint="eastAsia" w:ascii="仿宋" w:hAnsi="仿宋" w:eastAsia="仿宋" w:cs="仿宋"/>
          <w:b/>
          <w:bCs/>
          <w:color w:val="auto"/>
          <w:sz w:val="24"/>
          <w:szCs w:val="24"/>
          <w:highlight w:val="none"/>
          <w:lang w:val="en-US" w:eastAsia="zh-CN"/>
        </w:rPr>
        <w:t>消防通用安全绳</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一、货物名称：消防通用安全绳</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二、产地：国产</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三、主要技术规格、参数及要求：</w:t>
      </w:r>
    </w:p>
    <w:p>
      <w:pPr>
        <w:pStyle w:val="13"/>
        <w:keepNext w:val="0"/>
        <w:keepLines w:val="0"/>
        <w:pageBreakBefore w:val="0"/>
        <w:kinsoku/>
        <w:wordWrap/>
        <w:overflowPunct/>
        <w:topLinePunct w:val="0"/>
        <w:bidi w:val="0"/>
        <w:spacing w:line="4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kern w:val="2"/>
          <w:sz w:val="24"/>
          <w:szCs w:val="24"/>
          <w:highlight w:val="none"/>
          <w:lang w:val="en-US" w:eastAsia="zh-CN" w:bidi="ar"/>
        </w:rPr>
        <w:t>3.1产品符合</w:t>
      </w:r>
      <w:r>
        <w:rPr>
          <w:rFonts w:hint="eastAsia" w:ascii="仿宋" w:hAnsi="仿宋" w:eastAsia="仿宋" w:cs="仿宋"/>
          <w:color w:val="auto"/>
          <w:sz w:val="24"/>
          <w:szCs w:val="24"/>
          <w:highlight w:val="none"/>
          <w:lang w:val="en-US" w:eastAsia="zh-CN"/>
        </w:rPr>
        <w:t>XF494-2023《消防用防坠落装备》</w:t>
      </w:r>
      <w:r>
        <w:rPr>
          <w:rFonts w:hint="eastAsia" w:ascii="仿宋" w:hAnsi="仿宋" w:eastAsia="仿宋" w:cs="仿宋"/>
          <w:color w:val="auto"/>
          <w:kern w:val="2"/>
          <w:sz w:val="24"/>
          <w:szCs w:val="24"/>
          <w:highlight w:val="none"/>
          <w:lang w:val="en-US" w:eastAsia="zh-CN" w:bidi="ar"/>
        </w:rPr>
        <w:t>标准的要求，</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numPr>
          <w:ilvl w:val="0"/>
          <w:numId w:val="0"/>
        </w:numPr>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3.2安全绳为连续、夹心绳结构，主承重部分由连续纤维制成；</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kern w:val="2"/>
          <w:sz w:val="24"/>
          <w:szCs w:val="24"/>
          <w:highlight w:val="none"/>
          <w:lang w:val="en-US" w:eastAsia="zh-CN" w:bidi="ar-SA"/>
        </w:rPr>
        <w:t>▲</w:t>
      </w:r>
      <w:r>
        <w:rPr>
          <w:rFonts w:hint="eastAsia" w:ascii="仿宋" w:hAnsi="仿宋" w:eastAsia="仿宋" w:cs="仿宋"/>
          <w:b w:val="0"/>
          <w:bCs w:val="0"/>
          <w:color w:val="auto"/>
          <w:sz w:val="24"/>
          <w:szCs w:val="24"/>
          <w:highlight w:val="none"/>
          <w:lang w:val="en-US" w:eastAsia="zh-CN"/>
        </w:rPr>
        <w:t>3.3最小破断强度：≥40kN；</w:t>
      </w:r>
      <w:r>
        <w:rPr>
          <w:rFonts w:hint="eastAsia" w:ascii="仿宋" w:hAnsi="仿宋" w:eastAsia="仿宋" w:cs="仿宋"/>
          <w:color w:val="auto"/>
          <w:sz w:val="24"/>
          <w:szCs w:val="24"/>
          <w:highlight w:val="none"/>
          <w:lang w:val="en-US" w:eastAsia="zh-CN"/>
        </w:rPr>
        <w:t>当承重达到最小破断强度的10%时，安全绳的延伸率：1%~10%；安全绳的直径：12.5-16mm，经204℃±5℃的耐高温性能时，安全绳不会出现融熔、焦化现象；</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3.4绳的两端应妥善收尾，采用绳环结构可与安全钩连接，并用同种材料的细绳扎缝≥50mm，在扎缝处热封，扎缝处包以裹紧的橡胶或塑料套管；</w:t>
      </w: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3.5长度：200±0.1m；</w:t>
      </w:r>
    </w:p>
    <w:p>
      <w:pPr>
        <w:pStyle w:val="14"/>
        <w:keepNext w:val="0"/>
        <w:keepLines w:val="0"/>
        <w:pageBreakBefore w:val="0"/>
        <w:widowControl w:val="0"/>
        <w:kinsoku/>
        <w:wordWrap/>
        <w:overflowPunct/>
        <w:topLinePunct w:val="0"/>
        <w:autoSpaceDE/>
        <w:autoSpaceDN/>
        <w:bidi w:val="0"/>
        <w:spacing w:beforeAutospacing="0" w:after="0" w:afterAutospacing="0" w:line="460" w:lineRule="exact"/>
        <w:ind w:left="0" w:leftChars="0" w:firstLine="0" w:firstLineChars="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3.6供货前，须主动对接使用单位，确保满足用户需求。</w:t>
      </w:r>
    </w:p>
    <w:p>
      <w:pPr>
        <w:keepNext w:val="0"/>
        <w:keepLines w:val="0"/>
        <w:pageBreakBefore w:val="0"/>
        <w:kinsoku/>
        <w:wordWrap/>
        <w:overflowPunct/>
        <w:topLinePunct w:val="0"/>
        <w:bidi w:val="0"/>
        <w:spacing w:line="460" w:lineRule="exact"/>
        <w:outlineLvl w:val="9"/>
        <w:rPr>
          <w:rFonts w:hint="eastAsia" w:ascii="仿宋" w:hAnsi="仿宋" w:eastAsia="仿宋" w:cs="仿宋"/>
          <w:b/>
          <w:bCs/>
          <w:color w:val="auto"/>
          <w:kern w:val="0"/>
          <w:sz w:val="24"/>
          <w:szCs w:val="24"/>
          <w:highlight w:val="none"/>
          <w:lang w:val="en-US" w:eastAsia="zh-CN"/>
        </w:rPr>
      </w:pP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83</w:t>
      </w:r>
      <w:r>
        <w:rPr>
          <w:rFonts w:hint="eastAsia" w:ascii="仿宋" w:hAnsi="仿宋" w:eastAsia="仿宋" w:cs="仿宋"/>
          <w:b/>
          <w:bCs/>
          <w:color w:val="auto"/>
          <w:kern w:val="0"/>
          <w:sz w:val="24"/>
          <w:szCs w:val="24"/>
          <w:highlight w:val="none"/>
          <w:lang w:val="en-US" w:eastAsia="zh-CN"/>
        </w:rPr>
        <w:t>包-4、</w:t>
      </w:r>
      <w:r>
        <w:rPr>
          <w:rFonts w:hint="eastAsia" w:ascii="仿宋" w:hAnsi="仿宋" w:eastAsia="仿宋" w:cs="仿宋"/>
          <w:b/>
          <w:bCs/>
          <w:color w:val="auto"/>
          <w:sz w:val="24"/>
          <w:szCs w:val="24"/>
          <w:highlight w:val="none"/>
          <w:lang w:val="en-US" w:eastAsia="zh-CN"/>
        </w:rPr>
        <w:t>水面漂浮救生绳（200米）</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一、货物名称：</w:t>
      </w:r>
      <w:r>
        <w:rPr>
          <w:rFonts w:hint="eastAsia" w:ascii="仿宋" w:hAnsi="仿宋" w:eastAsia="仿宋" w:cs="仿宋"/>
          <w:b w:val="0"/>
          <w:bCs w:val="0"/>
          <w:color w:val="auto"/>
          <w:sz w:val="24"/>
          <w:szCs w:val="24"/>
          <w:highlight w:val="none"/>
          <w:lang w:val="en-US" w:eastAsia="zh-CN"/>
        </w:rPr>
        <w:t>水面漂浮救生绳（200米）</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二、产地：国产</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三、主要技术规格、参数及要求</w:t>
      </w:r>
    </w:p>
    <w:p>
      <w:pPr>
        <w:pStyle w:val="13"/>
        <w:keepNext w:val="0"/>
        <w:keepLines w:val="0"/>
        <w:pageBreakBefore w:val="0"/>
        <w:kinsoku/>
        <w:wordWrap/>
        <w:overflowPunct/>
        <w:topLinePunct w:val="0"/>
        <w:bidi w:val="0"/>
        <w:spacing w:line="460" w:lineRule="exact"/>
        <w:rPr>
          <w:rFonts w:hint="eastAsia" w:eastAsia="仿宋"/>
          <w:color w:val="auto"/>
          <w:lang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3.2采用高性能超轻纤维和双编绳工艺制造，两头采用绳环结构，一头配备浮圈。</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3.3直径：10±0.5mm，长度:50m,数量4根；</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3.4最小破断强度：≥40kN；</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3.5 重量≤5kg/100m；</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3.6承重达到最小破断强度的10%时救生绳延伸率≤3%；</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3.7在水面漂浮48h，无明显下沉；</w:t>
      </w:r>
    </w:p>
    <w:p>
      <w:pPr>
        <w:keepNext w:val="0"/>
        <w:keepLines w:val="0"/>
        <w:pageBreakBefore w:val="0"/>
        <w:numPr>
          <w:ilvl w:val="0"/>
          <w:numId w:val="0"/>
        </w:numPr>
        <w:kinsoku/>
        <w:wordWrap/>
        <w:overflowPunct/>
        <w:topLinePunct w:val="0"/>
        <w:bidi w:val="0"/>
        <w:spacing w:line="460" w:lineRule="exact"/>
        <w:ind w:leftChars="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3.8夜间具有发光效果；</w:t>
      </w:r>
    </w:p>
    <w:p>
      <w:pPr>
        <w:keepNext w:val="0"/>
        <w:keepLines w:val="0"/>
        <w:pageBreakBefore w:val="0"/>
        <w:kinsoku/>
        <w:wordWrap/>
        <w:overflowPunct/>
        <w:topLinePunct w:val="0"/>
        <w:bidi w:val="0"/>
        <w:spacing w:line="460" w:lineRule="exac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3.9供货前，须主动对接使用单位，确保满足用户需求。</w:t>
      </w:r>
    </w:p>
    <w:p>
      <w:pPr>
        <w:keepNext w:val="0"/>
        <w:keepLines w:val="0"/>
        <w:pageBreakBefore w:val="0"/>
        <w:kinsoku/>
        <w:wordWrap/>
        <w:overflowPunct/>
        <w:topLinePunct w:val="0"/>
        <w:bidi w:val="0"/>
        <w:spacing w:line="460" w:lineRule="exact"/>
        <w:outlineLvl w:val="9"/>
        <w:rPr>
          <w:rFonts w:hint="eastAsia" w:ascii="仿宋" w:hAnsi="仿宋" w:eastAsia="仿宋" w:cs="仿宋"/>
          <w:color w:val="auto"/>
          <w:sz w:val="24"/>
          <w:szCs w:val="24"/>
          <w:highlight w:val="none"/>
          <w:lang w:val="en-US" w:eastAsia="zh-CN"/>
        </w:rPr>
      </w:pPr>
      <w:bookmarkStart w:id="579" w:name="_Toc29120"/>
      <w:bookmarkStart w:id="580" w:name="_Toc19708"/>
      <w:bookmarkStart w:id="581" w:name="_Toc13950"/>
    </w:p>
    <w:bookmarkEnd w:id="579"/>
    <w:bookmarkEnd w:id="580"/>
    <w:bookmarkEnd w:id="581"/>
    <w:p>
      <w:pPr>
        <w:keepNext w:val="0"/>
        <w:keepLines w:val="0"/>
        <w:pageBreakBefore w:val="0"/>
        <w:kinsoku/>
        <w:wordWrap/>
        <w:overflowPunct/>
        <w:topLinePunct w:val="0"/>
        <w:bidi w:val="0"/>
        <w:spacing w:line="460" w:lineRule="exact"/>
        <w:outlineLvl w:val="1"/>
        <w:rPr>
          <w:rFonts w:hint="eastAsia" w:ascii="仿宋" w:hAnsi="仿宋" w:eastAsia="仿宋" w:cs="仿宋"/>
          <w:b/>
          <w:bCs/>
          <w:color w:val="auto"/>
          <w:sz w:val="24"/>
          <w:szCs w:val="24"/>
          <w:highlight w:val="none"/>
          <w:lang w:val="en-US" w:eastAsia="zh-CN"/>
        </w:rPr>
      </w:pPr>
      <w:bookmarkStart w:id="582" w:name="_Toc27779"/>
      <w:bookmarkStart w:id="583" w:name="_Toc13396"/>
      <w:r>
        <w:rPr>
          <w:rFonts w:hint="eastAsia" w:ascii="仿宋" w:hAnsi="仿宋" w:eastAsia="仿宋" w:cs="仿宋"/>
          <w:b/>
          <w:bCs/>
          <w:color w:val="auto"/>
          <w:sz w:val="24"/>
          <w:szCs w:val="24"/>
          <w:highlight w:val="none"/>
          <w:lang w:val="en-US" w:eastAsia="zh-CN"/>
        </w:rPr>
        <w:t>86包：干式潜水衣</w:t>
      </w:r>
      <w:r>
        <w:rPr>
          <w:rFonts w:hint="eastAsia" w:ascii="仿宋" w:hAnsi="仿宋" w:eastAsia="仿宋" w:cs="仿宋"/>
          <w:b/>
          <w:bCs/>
          <w:color w:val="auto"/>
          <w:sz w:val="24"/>
          <w:szCs w:val="24"/>
          <w:highlight w:val="none"/>
        </w:rPr>
        <w:t>【核心产品】</w:t>
      </w:r>
      <w:r>
        <w:rPr>
          <w:rFonts w:hint="eastAsia" w:ascii="仿宋" w:hAnsi="仿宋" w:eastAsia="仿宋" w:cs="仿宋"/>
          <w:b/>
          <w:bCs/>
          <w:color w:val="auto"/>
          <w:sz w:val="24"/>
          <w:szCs w:val="24"/>
          <w:highlight w:val="none"/>
          <w:lang w:val="en-US" w:eastAsia="zh-CN"/>
        </w:rPr>
        <w:t>、湿式潜水衣</w:t>
      </w:r>
      <w:bookmarkEnd w:id="582"/>
      <w:bookmarkEnd w:id="583"/>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86</w:t>
      </w:r>
      <w:r>
        <w:rPr>
          <w:rFonts w:hint="eastAsia" w:ascii="仿宋" w:hAnsi="仿宋" w:eastAsia="仿宋" w:cs="仿宋"/>
          <w:b/>
          <w:bCs/>
          <w:color w:val="auto"/>
          <w:kern w:val="0"/>
          <w:sz w:val="24"/>
          <w:szCs w:val="24"/>
          <w:highlight w:val="none"/>
          <w:lang w:val="en-US" w:eastAsia="zh-CN"/>
        </w:rPr>
        <w:t>包-1、</w:t>
      </w:r>
      <w:r>
        <w:rPr>
          <w:rFonts w:hint="eastAsia" w:ascii="仿宋" w:hAnsi="仿宋" w:eastAsia="仿宋" w:cs="仿宋"/>
          <w:b/>
          <w:bCs/>
          <w:color w:val="auto"/>
          <w:sz w:val="24"/>
          <w:szCs w:val="24"/>
          <w:highlight w:val="none"/>
          <w:lang w:val="en-US" w:eastAsia="zh-CN"/>
        </w:rPr>
        <w:t>干式潜水衣</w:t>
      </w:r>
    </w:p>
    <w:p>
      <w:pPr>
        <w:keepNext w:val="0"/>
        <w:keepLines w:val="0"/>
        <w:pageBreakBefore w:val="0"/>
        <w:widowControl w:val="0"/>
        <w:kinsoku/>
        <w:wordWrap/>
        <w:overflowPunct/>
        <w:topLinePunct w:val="0"/>
        <w:autoSpaceDE/>
        <w:autoSpaceDN/>
        <w:bidi w:val="0"/>
        <w:spacing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一、货物名称：干式潜水衣</w:t>
      </w:r>
    </w:p>
    <w:p>
      <w:pPr>
        <w:keepNext w:val="0"/>
        <w:keepLines w:val="0"/>
        <w:pageBreakBefore w:val="0"/>
        <w:widowControl w:val="0"/>
        <w:kinsoku/>
        <w:wordWrap/>
        <w:overflowPunct/>
        <w:topLinePunct w:val="0"/>
        <w:autoSpaceDE/>
        <w:autoSpaceDN/>
        <w:bidi w:val="0"/>
        <w:spacing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二、产地：国产</w:t>
      </w:r>
    </w:p>
    <w:p>
      <w:pPr>
        <w:keepNext w:val="0"/>
        <w:keepLines w:val="0"/>
        <w:pageBreakBefore w:val="0"/>
        <w:widowControl w:val="0"/>
        <w:kinsoku/>
        <w:wordWrap/>
        <w:overflowPunct/>
        <w:topLinePunct w:val="0"/>
        <w:autoSpaceDE/>
        <w:autoSpaceDN/>
        <w:bidi w:val="0"/>
        <w:spacing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三、主要技术规格、参数及要求</w:t>
      </w:r>
    </w:p>
    <w:p>
      <w:pPr>
        <w:pStyle w:val="13"/>
        <w:keepNext w:val="0"/>
        <w:keepLines w:val="0"/>
        <w:pageBreakBefore w:val="0"/>
        <w:kinsoku/>
        <w:wordWrap/>
        <w:overflowPunct/>
        <w:topLinePunct w:val="0"/>
        <w:bidi w:val="0"/>
        <w:spacing w:line="460" w:lineRule="exact"/>
        <w:rPr>
          <w:rFonts w:hint="eastAsia" w:eastAsia="仿宋"/>
          <w:color w:val="auto"/>
          <w:lang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spacing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3.2面料经向断裂强力应≥ 750 N，纬向断裂强力应≥ 750 N；经向撕破强力应≥ 120 N，纬向撕破强力应≥ 120 N；面料洗涤 5 次后，沾水等级应不小于 4 级，面料的耐湿摩擦色牢度、耐皂洗色牢度、耐光色牢度应不小于4级；</w:t>
      </w:r>
    </w:p>
    <w:p>
      <w:pPr>
        <w:keepNext w:val="0"/>
        <w:keepLines w:val="0"/>
        <w:pageBreakBefore w:val="0"/>
        <w:widowControl w:val="0"/>
        <w:kinsoku/>
        <w:wordWrap/>
        <w:overflowPunct/>
        <w:topLinePunct w:val="0"/>
        <w:autoSpaceDE/>
        <w:autoSpaceDN/>
        <w:bidi w:val="0"/>
        <w:spacing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3.3面料在 9 KPa的压力下，经 2000 次循环摩擦后，试样不应被磨穿；耐磨加固层面料在 9 KPa的压力下，经 6000 次循环摩擦后，试样不应被磨穿；</w:t>
      </w:r>
    </w:p>
    <w:p>
      <w:pPr>
        <w:keepNext w:val="0"/>
        <w:keepLines w:val="0"/>
        <w:pageBreakBefore w:val="0"/>
        <w:widowControl w:val="0"/>
        <w:kinsoku/>
        <w:wordWrap/>
        <w:overflowPunct/>
        <w:topLinePunct w:val="0"/>
        <w:autoSpaceDE/>
        <w:autoSpaceDN/>
        <w:bidi w:val="0"/>
        <w:spacing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3.4经过 15 次洗涤后，面料不应出现开裂、脱层等损坏，耐静水压应≥ 150 KPa；</w:t>
      </w:r>
    </w:p>
    <w:p>
      <w:pPr>
        <w:keepNext w:val="0"/>
        <w:keepLines w:val="0"/>
        <w:pageBreakBefore w:val="0"/>
        <w:widowControl w:val="0"/>
        <w:kinsoku/>
        <w:wordWrap/>
        <w:overflowPunct/>
        <w:topLinePunct w:val="0"/>
        <w:autoSpaceDE/>
        <w:autoSpaceDN/>
        <w:bidi w:val="0"/>
        <w:spacing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3.5面料接缝在承受 100 N的拉伸载荷下保持 5 min后，不应发生永久变形、断裂等现象，且耐静水压应≥ 150 KPa</w:t>
      </w:r>
    </w:p>
    <w:p>
      <w:pPr>
        <w:keepNext w:val="0"/>
        <w:keepLines w:val="0"/>
        <w:pageBreakBefore w:val="0"/>
        <w:widowControl w:val="0"/>
        <w:kinsoku/>
        <w:wordWrap/>
        <w:overflowPunct/>
        <w:topLinePunct w:val="0"/>
        <w:autoSpaceDE/>
        <w:autoSpaceDN/>
        <w:bidi w:val="0"/>
        <w:spacing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3.6拉链、系扣等闭合口及其接缝在承受 100 N的拉伸载荷 10 s后不应断裂；</w:t>
      </w:r>
    </w:p>
    <w:p>
      <w:pPr>
        <w:keepNext w:val="0"/>
        <w:keepLines w:val="0"/>
        <w:pageBreakBefore w:val="0"/>
        <w:widowControl w:val="0"/>
        <w:kinsoku/>
        <w:wordWrap/>
        <w:overflowPunct/>
        <w:topLinePunct w:val="0"/>
        <w:autoSpaceDE/>
        <w:autoSpaceDN/>
        <w:bidi w:val="0"/>
        <w:spacing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3.7整体浸水1h后进入干式服内水的质量≤ 200 g；</w:t>
      </w:r>
    </w:p>
    <w:p>
      <w:pPr>
        <w:keepNext w:val="0"/>
        <w:keepLines w:val="0"/>
        <w:pageBreakBefore w:val="0"/>
        <w:widowControl w:val="0"/>
        <w:kinsoku/>
        <w:wordWrap/>
        <w:overflowPunct/>
        <w:topLinePunct w:val="0"/>
        <w:autoSpaceDE/>
        <w:autoSpaceDN/>
        <w:bidi w:val="0"/>
        <w:spacing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3.8充气和放气装置与服装本体材料之间的连接部位应能承受150N的拉力，充气管路与充气装置接口之间的连接部位应能承受≥150N的拉力；</w:t>
      </w:r>
    </w:p>
    <w:p>
      <w:pPr>
        <w:keepNext w:val="0"/>
        <w:keepLines w:val="0"/>
        <w:pageBreakBefore w:val="0"/>
        <w:widowControl w:val="0"/>
        <w:kinsoku/>
        <w:wordWrap/>
        <w:overflowPunct/>
        <w:topLinePunct w:val="0"/>
        <w:autoSpaceDE/>
        <w:autoSpaceDN/>
        <w:bidi w:val="0"/>
        <w:spacing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3.9在0.6MPa的充气压力下，通过充气装置的气体流量应≥100L/min；</w:t>
      </w:r>
    </w:p>
    <w:p>
      <w:pPr>
        <w:keepNext w:val="0"/>
        <w:keepLines w:val="0"/>
        <w:pageBreakBefore w:val="0"/>
        <w:widowControl w:val="0"/>
        <w:kinsoku/>
        <w:wordWrap/>
        <w:overflowPunct/>
        <w:topLinePunct w:val="0"/>
        <w:autoSpaceDE/>
        <w:autoSpaceDN/>
        <w:bidi w:val="0"/>
        <w:spacing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3.10脚部连接氯丁胶硬底潜水靴；</w:t>
      </w:r>
    </w:p>
    <w:p>
      <w:pPr>
        <w:keepNext w:val="0"/>
        <w:keepLines w:val="0"/>
        <w:pageBreakBefore w:val="0"/>
        <w:widowControl w:val="0"/>
        <w:kinsoku/>
        <w:wordWrap/>
        <w:overflowPunct/>
        <w:topLinePunct w:val="0"/>
        <w:autoSpaceDE/>
        <w:autoSpaceDN/>
        <w:bidi w:val="0"/>
        <w:spacing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3.11配有中压管、手套和保暖头套，360度旋转充气阀位于胸前、可调节排气阀位于左肩上部、配备氯丁橡胶头罩、低压管、腿部装备袋，另配装备包1个、蜡棒1根，滑石粉1瓶；</w:t>
      </w:r>
    </w:p>
    <w:p>
      <w:pPr>
        <w:keepNext w:val="0"/>
        <w:keepLines w:val="0"/>
        <w:pageBreakBefore w:val="0"/>
        <w:widowControl w:val="0"/>
        <w:numPr>
          <w:ilvl w:val="0"/>
          <w:numId w:val="0"/>
        </w:numPr>
        <w:kinsoku/>
        <w:wordWrap/>
        <w:overflowPunct/>
        <w:topLinePunct w:val="0"/>
        <w:autoSpaceDE/>
        <w:autoSpaceDN/>
        <w:bidi w:val="0"/>
        <w:snapToGrid/>
        <w:spacing w:line="460" w:lineRule="exact"/>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3.12提供中文使用说明书，含装备简介、使用注意事项及维护保养等内容；</w:t>
      </w:r>
    </w:p>
    <w:p>
      <w:pPr>
        <w:keepNext w:val="0"/>
        <w:keepLines w:val="0"/>
        <w:pageBreakBefore w:val="0"/>
        <w:widowControl w:val="0"/>
        <w:numPr>
          <w:ilvl w:val="0"/>
          <w:numId w:val="0"/>
        </w:numPr>
        <w:kinsoku/>
        <w:wordWrap/>
        <w:overflowPunct/>
        <w:topLinePunct w:val="0"/>
        <w:autoSpaceDE/>
        <w:autoSpaceDN/>
        <w:bidi w:val="0"/>
        <w:snapToGrid/>
        <w:spacing w:line="460" w:lineRule="exact"/>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3.13供货前，须主动对接使用单位，根据用户提供尺码供货和要求印字，确保满足用户需求。</w:t>
      </w: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0" w:firstLineChars="0"/>
        <w:jc w:val="left"/>
        <w:textAlignment w:val="auto"/>
        <w:outlineLvl w:val="9"/>
        <w:rPr>
          <w:rFonts w:hint="eastAsia" w:ascii="仿宋" w:hAnsi="仿宋" w:eastAsia="仿宋" w:cs="仿宋"/>
          <w:b/>
          <w:bCs/>
          <w:color w:val="auto"/>
          <w:kern w:val="0"/>
          <w:sz w:val="24"/>
          <w:szCs w:val="24"/>
          <w:highlight w:val="none"/>
          <w:lang w:val="en-US" w:eastAsia="zh-CN"/>
        </w:rPr>
      </w:pPr>
    </w:p>
    <w:p>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86</w:t>
      </w:r>
      <w:r>
        <w:rPr>
          <w:rFonts w:hint="eastAsia" w:ascii="仿宋" w:hAnsi="仿宋" w:eastAsia="仿宋" w:cs="仿宋"/>
          <w:b/>
          <w:bCs/>
          <w:color w:val="auto"/>
          <w:kern w:val="0"/>
          <w:sz w:val="24"/>
          <w:szCs w:val="24"/>
          <w:highlight w:val="none"/>
          <w:lang w:val="en-US" w:eastAsia="zh-CN"/>
        </w:rPr>
        <w:t>包-2、</w:t>
      </w:r>
      <w:r>
        <w:rPr>
          <w:rFonts w:hint="eastAsia" w:ascii="仿宋" w:hAnsi="仿宋" w:eastAsia="仿宋" w:cs="仿宋"/>
          <w:b/>
          <w:bCs w:val="0"/>
          <w:color w:val="auto"/>
          <w:sz w:val="24"/>
          <w:szCs w:val="24"/>
          <w:highlight w:val="none"/>
          <w:lang w:val="en-US" w:eastAsia="zh-CN"/>
        </w:rPr>
        <w:t>湿式潜水衣</w:t>
      </w: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0" w:firstLineChars="0"/>
        <w:jc w:val="left"/>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一、货物名称：湿式潜水衣</w:t>
      </w: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0" w:firstLineChars="0"/>
        <w:jc w:val="left"/>
        <w:textAlignment w:val="auto"/>
        <w:outlineLvl w:val="9"/>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二、产地：国产</w:t>
      </w:r>
    </w:p>
    <w:p>
      <w:pPr>
        <w:keepNext w:val="0"/>
        <w:keepLines w:val="0"/>
        <w:pageBreakBefore w:val="0"/>
        <w:widowControl w:val="0"/>
        <w:numPr>
          <w:ilvl w:val="0"/>
          <w:numId w:val="0"/>
        </w:numPr>
        <w:kinsoku/>
        <w:wordWrap/>
        <w:overflowPunct/>
        <w:topLinePunct w:val="0"/>
        <w:autoSpaceDE/>
        <w:autoSpaceDN/>
        <w:bidi w:val="0"/>
        <w:snapToGrid/>
        <w:spacing w:line="460" w:lineRule="exact"/>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三、主要技术规格、参数及要求：</w:t>
      </w:r>
    </w:p>
    <w:p>
      <w:pPr>
        <w:pStyle w:val="13"/>
        <w:keepNext w:val="0"/>
        <w:keepLines w:val="0"/>
        <w:pageBreakBefore w:val="0"/>
        <w:kinsoku/>
        <w:wordWrap/>
        <w:overflowPunct/>
        <w:topLinePunct w:val="0"/>
        <w:bidi w:val="0"/>
        <w:spacing w:line="460" w:lineRule="exact"/>
        <w:rPr>
          <w:rFonts w:hint="eastAsia" w:eastAsia="仿宋"/>
          <w:color w:val="auto"/>
          <w:lang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widowControl w:val="0"/>
        <w:numPr>
          <w:ilvl w:val="0"/>
          <w:numId w:val="0"/>
        </w:numPr>
        <w:kinsoku/>
        <w:wordWrap/>
        <w:overflowPunct/>
        <w:topLinePunct w:val="0"/>
        <w:autoSpaceDE/>
        <w:autoSpaceDN/>
        <w:bidi w:val="0"/>
        <w:snapToGrid/>
        <w:spacing w:line="460" w:lineRule="exact"/>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3.2面料经纬向在 150 N的拉伸载荷下保持 10 s不应发生断裂，且不应透光；</w:t>
      </w:r>
    </w:p>
    <w:p>
      <w:pPr>
        <w:keepNext w:val="0"/>
        <w:keepLines w:val="0"/>
        <w:pageBreakBefore w:val="0"/>
        <w:widowControl w:val="0"/>
        <w:numPr>
          <w:ilvl w:val="0"/>
          <w:numId w:val="0"/>
        </w:numPr>
        <w:kinsoku/>
        <w:wordWrap/>
        <w:overflowPunct/>
        <w:topLinePunct w:val="0"/>
        <w:autoSpaceDE/>
        <w:autoSpaceDN/>
        <w:bidi w:val="0"/>
        <w:snapToGrid/>
        <w:spacing w:line="460" w:lineRule="exact"/>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3.3面料接缝在承受 100 N拉伸载荷10s后，不应断裂，且不应透光；</w:t>
      </w:r>
    </w:p>
    <w:p>
      <w:pPr>
        <w:keepNext w:val="0"/>
        <w:keepLines w:val="0"/>
        <w:pageBreakBefore w:val="0"/>
        <w:widowControl w:val="0"/>
        <w:numPr>
          <w:ilvl w:val="0"/>
          <w:numId w:val="0"/>
        </w:numPr>
        <w:kinsoku/>
        <w:wordWrap/>
        <w:overflowPunct/>
        <w:topLinePunct w:val="0"/>
        <w:autoSpaceDE/>
        <w:autoSpaceDN/>
        <w:bidi w:val="0"/>
        <w:snapToGrid/>
        <w:spacing w:line="460" w:lineRule="exact"/>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3.4面料在 9 KPa的压力下，经 2000 次循环摩擦后，表层不应被磨穿；耐磨加固层面料在 9 KPa的压力下，经 6000次循环摩擦后，试样不应被磨穿；</w:t>
      </w:r>
    </w:p>
    <w:p>
      <w:pPr>
        <w:keepNext w:val="0"/>
        <w:keepLines w:val="0"/>
        <w:pageBreakBefore w:val="0"/>
        <w:widowControl w:val="0"/>
        <w:numPr>
          <w:ilvl w:val="0"/>
          <w:numId w:val="0"/>
        </w:numPr>
        <w:kinsoku/>
        <w:wordWrap/>
        <w:overflowPunct/>
        <w:topLinePunct w:val="0"/>
        <w:autoSpaceDE/>
        <w:autoSpaceDN/>
        <w:bidi w:val="0"/>
        <w:snapToGrid/>
        <w:spacing w:line="460" w:lineRule="exact"/>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3.5肘部、膝部外侧使用耐磨材料增加膝盖和肘部的安全性与舒适度；</w:t>
      </w:r>
    </w:p>
    <w:p>
      <w:pPr>
        <w:keepNext w:val="0"/>
        <w:keepLines w:val="0"/>
        <w:pageBreakBefore w:val="0"/>
        <w:widowControl w:val="0"/>
        <w:numPr>
          <w:ilvl w:val="0"/>
          <w:numId w:val="0"/>
        </w:numPr>
        <w:kinsoku/>
        <w:wordWrap/>
        <w:overflowPunct/>
        <w:topLinePunct w:val="0"/>
        <w:autoSpaceDE/>
        <w:autoSpaceDN/>
        <w:bidi w:val="0"/>
        <w:snapToGrid/>
        <w:spacing w:line="460" w:lineRule="exact"/>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3.6提供中文使用说明书，含装备简介、使用注意事项及维护保养等内容；</w:t>
      </w:r>
    </w:p>
    <w:p>
      <w:pPr>
        <w:keepNext w:val="0"/>
        <w:keepLines w:val="0"/>
        <w:pageBreakBefore w:val="0"/>
        <w:widowControl w:val="0"/>
        <w:numPr>
          <w:ilvl w:val="0"/>
          <w:numId w:val="0"/>
        </w:numPr>
        <w:kinsoku/>
        <w:wordWrap/>
        <w:overflowPunct/>
        <w:topLinePunct w:val="0"/>
        <w:autoSpaceDE/>
        <w:autoSpaceDN/>
        <w:bidi w:val="0"/>
        <w:snapToGrid/>
        <w:spacing w:line="460" w:lineRule="exact"/>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3.7供货前，须主动对接使用单位，根据用户提供尺码供货和要求印字，确保满足用户需求。</w:t>
      </w: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b/>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1"/>
        <w:rPr>
          <w:rFonts w:hint="eastAsia" w:ascii="仿宋" w:hAnsi="仿宋" w:eastAsia="仿宋" w:cs="仿宋"/>
          <w:b/>
          <w:bCs/>
          <w:color w:val="auto"/>
          <w:sz w:val="24"/>
          <w:szCs w:val="24"/>
          <w:highlight w:val="none"/>
          <w:lang w:val="en-US" w:eastAsia="zh-CN"/>
        </w:rPr>
      </w:pPr>
      <w:bookmarkStart w:id="584" w:name="_Toc24446"/>
      <w:bookmarkStart w:id="585" w:name="_Toc29149"/>
      <w:bookmarkStart w:id="586" w:name="_Toc10073"/>
      <w:bookmarkStart w:id="587" w:name="_Toc6027"/>
      <w:bookmarkStart w:id="588" w:name="_Toc32609"/>
      <w:r>
        <w:rPr>
          <w:rFonts w:hint="eastAsia" w:ascii="仿宋" w:hAnsi="仿宋" w:eastAsia="仿宋" w:cs="仿宋"/>
          <w:b/>
          <w:bCs/>
          <w:color w:val="auto"/>
          <w:sz w:val="24"/>
          <w:szCs w:val="24"/>
          <w:highlight w:val="none"/>
          <w:lang w:val="en-US" w:eastAsia="zh-CN"/>
        </w:rPr>
        <w:t>93包：堵漏工具组</w:t>
      </w:r>
      <w:bookmarkEnd w:id="584"/>
      <w:bookmarkEnd w:id="585"/>
      <w:bookmarkEnd w:id="586"/>
      <w:bookmarkEnd w:id="587"/>
      <w:bookmarkEnd w:id="588"/>
    </w:p>
    <w:p>
      <w:pPr>
        <w:keepNext w:val="0"/>
        <w:keepLines w:val="0"/>
        <w:pageBreakBefore w:val="0"/>
        <w:widowControl w:val="0"/>
        <w:kinsoku/>
        <w:wordWrap/>
        <w:overflowPunct/>
        <w:topLinePunct w:val="0"/>
        <w:autoSpaceDE/>
        <w:autoSpaceDN/>
        <w:bidi w:val="0"/>
        <w:adjustRightInd w:val="0"/>
        <w:snapToGrid w:val="0"/>
        <w:spacing w:beforeAutospacing="0" w:line="460" w:lineRule="exact"/>
        <w:ind w:left="0" w:leftChars="0" w:right="0" w:rightChars="0" w:firstLine="0" w:firstLineChars="0"/>
        <w:jc w:val="both"/>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一、货物名称：堵漏工具组</w:t>
      </w:r>
    </w:p>
    <w:p>
      <w:pPr>
        <w:keepNext w:val="0"/>
        <w:keepLines w:val="0"/>
        <w:pageBreakBefore w:val="0"/>
        <w:widowControl w:val="0"/>
        <w:kinsoku/>
        <w:wordWrap/>
        <w:overflowPunct/>
        <w:topLinePunct w:val="0"/>
        <w:autoSpaceDE/>
        <w:autoSpaceDN/>
        <w:bidi w:val="0"/>
        <w:adjustRightInd w:val="0"/>
        <w:snapToGrid w:val="0"/>
        <w:spacing w:beforeAutospacing="0" w:line="460" w:lineRule="exact"/>
        <w:ind w:left="0" w:leftChars="0" w:right="0" w:rightChars="0" w:firstLine="0" w:firstLineChars="0"/>
        <w:jc w:val="both"/>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二、产地：国产</w:t>
      </w:r>
    </w:p>
    <w:p>
      <w:pPr>
        <w:keepNext w:val="0"/>
        <w:keepLines w:val="0"/>
        <w:pageBreakBefore w:val="0"/>
        <w:widowControl w:val="0"/>
        <w:kinsoku/>
        <w:wordWrap/>
        <w:overflowPunct/>
        <w:topLinePunct w:val="0"/>
        <w:autoSpaceDE/>
        <w:autoSpaceDN/>
        <w:bidi w:val="0"/>
        <w:adjustRightInd w:val="0"/>
        <w:snapToGrid w:val="0"/>
        <w:spacing w:beforeAutospacing="0" w:line="460" w:lineRule="exact"/>
        <w:ind w:left="0" w:leftChars="0" w:right="0" w:rightChars="0" w:firstLine="0" w:firstLineChars="0"/>
        <w:jc w:val="both"/>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三、主要技术规格、参数及要求：</w:t>
      </w:r>
    </w:p>
    <w:p>
      <w:pPr>
        <w:pStyle w:val="13"/>
        <w:keepNext w:val="0"/>
        <w:keepLines w:val="0"/>
        <w:pageBreakBefore w:val="0"/>
        <w:kinsoku/>
        <w:wordWrap/>
        <w:overflowPunct/>
        <w:topLinePunct w:val="0"/>
        <w:bidi w:val="0"/>
        <w:spacing w:line="460" w:lineRule="exact"/>
        <w:rPr>
          <w:rFonts w:hint="eastAsia" w:eastAsia="仿宋"/>
          <w:color w:val="auto"/>
          <w:lang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3.1</w:t>
      </w:r>
      <w:r>
        <w:rPr>
          <w:rFonts w:hint="eastAsia" w:ascii="仿宋" w:hAnsi="仿宋" w:eastAsia="仿宋" w:cs="仿宋"/>
          <w:color w:val="auto"/>
          <w:sz w:val="24"/>
          <w:szCs w:val="24"/>
          <w:highlight w:val="none"/>
        </w:rPr>
        <w:t>提供第三方检测机构出具的检测/检验/试验/测试报告（报告中的型号须与所投产品型号一致）复印件</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beforeAutospacing="0" w:line="460" w:lineRule="exact"/>
        <w:ind w:left="0" w:leftChars="0" w:right="0" w:rightChars="0" w:firstLine="0" w:firstLineChars="0"/>
        <w:jc w:val="both"/>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3.2主要功能：适用于各种罐体和管道表面点状、线状泄漏以及法兰的堵漏作业。</w:t>
      </w:r>
    </w:p>
    <w:p>
      <w:pPr>
        <w:keepNext w:val="0"/>
        <w:keepLines w:val="0"/>
        <w:pageBreakBefore w:val="0"/>
        <w:widowControl w:val="0"/>
        <w:kinsoku/>
        <w:wordWrap/>
        <w:overflowPunct/>
        <w:topLinePunct w:val="0"/>
        <w:autoSpaceDE/>
        <w:autoSpaceDN/>
        <w:bidi w:val="0"/>
        <w:adjustRightInd w:val="0"/>
        <w:snapToGrid w:val="0"/>
        <w:spacing w:beforeAutospacing="0" w:line="460" w:lineRule="exact"/>
        <w:ind w:left="0" w:leftChars="0" w:right="0" w:rightChars="0" w:firstLine="0" w:firstLineChars="0"/>
        <w:jc w:val="both"/>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3.3主要由磁压式堵漏工具、注入式堵漏工具、金属堵漏套管、无火花工具、阀门堵漏套具、气动吸盘式堵漏器、粘贴式堵漏工具、捆绑式堵漏袋、堵漏枪等组成。</w:t>
      </w:r>
    </w:p>
    <w:p>
      <w:pPr>
        <w:keepNext w:val="0"/>
        <w:keepLines w:val="0"/>
        <w:pageBreakBefore w:val="0"/>
        <w:widowControl w:val="0"/>
        <w:kinsoku/>
        <w:wordWrap/>
        <w:overflowPunct/>
        <w:topLinePunct w:val="0"/>
        <w:autoSpaceDE/>
        <w:autoSpaceDN/>
        <w:bidi w:val="0"/>
        <w:adjustRightInd w:val="0"/>
        <w:snapToGrid w:val="0"/>
        <w:spacing w:beforeAutospacing="0" w:line="460" w:lineRule="exact"/>
        <w:ind w:left="0" w:leftChars="0" w:right="0" w:rightChars="0" w:firstLine="0" w:firstLineChars="0"/>
        <w:jc w:val="both"/>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3.4注入式堵漏工具适用介质压力≤1.8Mpa，温度使用范围≤80℃；</w:t>
      </w:r>
    </w:p>
    <w:p>
      <w:pPr>
        <w:keepNext w:val="0"/>
        <w:keepLines w:val="0"/>
        <w:pageBreakBefore w:val="0"/>
        <w:widowControl w:val="0"/>
        <w:kinsoku/>
        <w:wordWrap/>
        <w:overflowPunct/>
        <w:topLinePunct w:val="0"/>
        <w:autoSpaceDE/>
        <w:autoSpaceDN/>
        <w:bidi w:val="0"/>
        <w:adjustRightInd w:val="0"/>
        <w:snapToGrid w:val="0"/>
        <w:spacing w:beforeAutospacing="0" w:line="460" w:lineRule="exact"/>
        <w:ind w:left="0" w:leftChars="0" w:right="0" w:rightChars="0" w:firstLine="0" w:firstLineChars="0"/>
        <w:jc w:val="both"/>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3.5磁压式堵漏器吸附力≥300kg；</w:t>
      </w:r>
    </w:p>
    <w:p>
      <w:pPr>
        <w:keepNext w:val="0"/>
        <w:keepLines w:val="0"/>
        <w:pageBreakBefore w:val="0"/>
        <w:widowControl w:val="0"/>
        <w:kinsoku/>
        <w:wordWrap/>
        <w:overflowPunct/>
        <w:topLinePunct w:val="0"/>
        <w:autoSpaceDE/>
        <w:autoSpaceDN/>
        <w:bidi w:val="0"/>
        <w:adjustRightInd w:val="0"/>
        <w:snapToGrid w:val="0"/>
        <w:spacing w:beforeAutospacing="0" w:line="460" w:lineRule="exact"/>
        <w:ind w:left="0" w:leftChars="0" w:right="0" w:rightChars="0" w:firstLine="0" w:firstLineChars="0"/>
        <w:jc w:val="both"/>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3.6金属堵漏套管堵漏温度≥-50℃～120℃，可堵压力≤2Mpa，耐内压力（修复后能承受的介质压力）：≤20Mpa，适用于各种管道孔、洞、裂纹泄漏；</w:t>
      </w:r>
    </w:p>
    <w:p>
      <w:pPr>
        <w:keepNext w:val="0"/>
        <w:keepLines w:val="0"/>
        <w:pageBreakBefore w:val="0"/>
        <w:widowControl w:val="0"/>
        <w:kinsoku/>
        <w:wordWrap/>
        <w:overflowPunct/>
        <w:topLinePunct w:val="0"/>
        <w:autoSpaceDE/>
        <w:autoSpaceDN/>
        <w:bidi w:val="0"/>
        <w:adjustRightInd w:val="0"/>
        <w:snapToGrid w:val="0"/>
        <w:spacing w:beforeAutospacing="0" w:line="460" w:lineRule="exact"/>
        <w:ind w:left="0" w:leftChars="0" w:right="0" w:rightChars="0" w:firstLine="0" w:firstLineChars="0"/>
        <w:jc w:val="both"/>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3.7阀门堵漏套具适用温度≥-50℃～750℃；压力：≥1.0 MPa。</w:t>
      </w:r>
    </w:p>
    <w:p>
      <w:pPr>
        <w:keepNext w:val="0"/>
        <w:keepLines w:val="0"/>
        <w:pageBreakBefore w:val="0"/>
        <w:widowControl w:val="0"/>
        <w:kinsoku/>
        <w:wordWrap/>
        <w:overflowPunct/>
        <w:topLinePunct w:val="0"/>
        <w:autoSpaceDE/>
        <w:autoSpaceDN/>
        <w:bidi w:val="0"/>
        <w:adjustRightInd w:val="0"/>
        <w:snapToGrid w:val="0"/>
        <w:spacing w:beforeAutospacing="0" w:line="460" w:lineRule="exact"/>
        <w:ind w:left="0" w:leftChars="0" w:right="0" w:rightChars="0" w:firstLine="0" w:firstLineChars="0"/>
        <w:jc w:val="both"/>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3.8气动吸盘式堵漏器最高真空操作压力≥6bar，操作压力≥1bar，需气≤200L/s，重量≤8kg；</w:t>
      </w:r>
    </w:p>
    <w:p>
      <w:pPr>
        <w:keepNext w:val="0"/>
        <w:keepLines w:val="0"/>
        <w:pageBreakBefore w:val="0"/>
        <w:widowControl w:val="0"/>
        <w:kinsoku/>
        <w:wordWrap/>
        <w:overflowPunct/>
        <w:topLinePunct w:val="0"/>
        <w:autoSpaceDE/>
        <w:autoSpaceDN/>
        <w:bidi w:val="0"/>
        <w:adjustRightInd w:val="0"/>
        <w:snapToGrid w:val="0"/>
        <w:spacing w:beforeAutospacing="0" w:line="460" w:lineRule="exact"/>
        <w:ind w:left="0" w:leftChars="0" w:right="0" w:rightChars="0" w:firstLine="0" w:firstLineChars="0"/>
        <w:jc w:val="both"/>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3.9粘贴式堵漏工具可堵介质温度≥-70℃～250℃；压 力：≥-1.0 ～2.5MPa。快速固化堵漏≤10分钟；</w:t>
      </w:r>
    </w:p>
    <w:p>
      <w:pPr>
        <w:keepNext w:val="0"/>
        <w:keepLines w:val="0"/>
        <w:pageBreakBefore w:val="0"/>
        <w:widowControl w:val="0"/>
        <w:kinsoku/>
        <w:wordWrap/>
        <w:overflowPunct/>
        <w:topLinePunct w:val="0"/>
        <w:autoSpaceDE/>
        <w:autoSpaceDN/>
        <w:bidi w:val="0"/>
        <w:adjustRightInd w:val="0"/>
        <w:snapToGrid w:val="0"/>
        <w:spacing w:beforeAutospacing="0" w:line="460" w:lineRule="exact"/>
        <w:ind w:left="0" w:leftChars="0" w:right="0" w:rightChars="0" w:firstLine="0" w:firstLineChars="0"/>
        <w:jc w:val="both"/>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3.10捆绑式堵漏袋适用封堵范围≥Φ50㎜～Φ200㎜的管道，裂缝长度小于120㎜的容器，面积小于270㎜×370㎜的泄漏孔洞。最大工作压力：≥1.5bar；</w:t>
      </w:r>
    </w:p>
    <w:p>
      <w:pPr>
        <w:keepNext w:val="0"/>
        <w:keepLines w:val="0"/>
        <w:pageBreakBefore w:val="0"/>
        <w:widowControl w:val="0"/>
        <w:kinsoku/>
        <w:wordWrap/>
        <w:overflowPunct/>
        <w:topLinePunct w:val="0"/>
        <w:autoSpaceDE/>
        <w:autoSpaceDN/>
        <w:bidi w:val="0"/>
        <w:adjustRightInd w:val="0"/>
        <w:snapToGrid w:val="0"/>
        <w:spacing w:beforeAutospacing="0" w:line="460" w:lineRule="exact"/>
        <w:ind w:left="0" w:leftChars="0" w:right="0" w:rightChars="0" w:firstLine="0" w:firstLineChars="0"/>
        <w:jc w:val="both"/>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3.11堵漏枪用于单人快速密封油罐车、储存罐、液柜车裂缝的堵漏设备。可根据泄漏口的大小和形状、配备有不同规格尺寸的枪头，有圆锥形、楔形等堵漏枪头；</w:t>
      </w:r>
    </w:p>
    <w:p>
      <w:pPr>
        <w:keepNext w:val="0"/>
        <w:keepLines w:val="0"/>
        <w:pageBreakBefore w:val="0"/>
        <w:widowControl w:val="0"/>
        <w:kinsoku/>
        <w:wordWrap/>
        <w:overflowPunct/>
        <w:topLinePunct w:val="0"/>
        <w:autoSpaceDE/>
        <w:autoSpaceDN/>
        <w:bidi w:val="0"/>
        <w:adjustRightInd w:val="0"/>
        <w:snapToGrid w:val="0"/>
        <w:spacing w:beforeAutospacing="0" w:line="460" w:lineRule="exact"/>
        <w:ind w:left="0" w:leftChars="0" w:right="0" w:rightChars="0" w:firstLine="0" w:firstLineChars="0"/>
        <w:jc w:val="both"/>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3.12无火花工具材质采用高强度铜合金材质，主要包括奶头锤、管钳、双头梅花扳手、双头呆扳手、活扳手、F扳手、橡皮锤、扁铲、顶尖、一字螺丝刀、十字螺丝刀、尖嘴钳、钢丝钳、鲤鱼钳和工具箱等（总件数≥20件套）</w:t>
      </w: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3.13提供中文使用说明书，含装备简介、使用注意事项及维护保养等内容。</w:t>
      </w: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1"/>
        <w:rPr>
          <w:rFonts w:hint="eastAsia" w:ascii="仿宋" w:hAnsi="仿宋" w:eastAsia="仿宋" w:cs="仿宋"/>
          <w:b/>
          <w:bCs/>
          <w:color w:val="auto"/>
          <w:sz w:val="24"/>
          <w:szCs w:val="24"/>
          <w:highlight w:val="none"/>
          <w:lang w:val="en-US" w:eastAsia="zh-CN"/>
        </w:rPr>
      </w:pPr>
      <w:bookmarkStart w:id="589" w:name="_Toc11139"/>
      <w:bookmarkStart w:id="590" w:name="_Toc31913"/>
      <w:bookmarkStart w:id="591" w:name="_Toc17001"/>
      <w:bookmarkStart w:id="592" w:name="_Toc32747"/>
      <w:bookmarkStart w:id="593" w:name="_Toc11873"/>
      <w:r>
        <w:rPr>
          <w:rFonts w:hint="eastAsia" w:ascii="仿宋" w:hAnsi="仿宋" w:eastAsia="仿宋" w:cs="仿宋"/>
          <w:b/>
          <w:bCs/>
          <w:color w:val="auto"/>
          <w:sz w:val="24"/>
          <w:szCs w:val="24"/>
          <w:highlight w:val="none"/>
          <w:lang w:val="en-US" w:eastAsia="zh-CN"/>
        </w:rPr>
        <w:t>97包：排用炊事单元、单兵携行包【核心产品】、净水设备</w:t>
      </w:r>
      <w:bookmarkEnd w:id="589"/>
      <w:bookmarkEnd w:id="590"/>
      <w:bookmarkEnd w:id="591"/>
      <w:bookmarkEnd w:id="592"/>
      <w:bookmarkEnd w:id="593"/>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97包-1：排用炊事单元</w:t>
      </w:r>
    </w:p>
    <w:p>
      <w:pPr>
        <w:keepNext w:val="0"/>
        <w:keepLines w:val="0"/>
        <w:pageBreakBefore w:val="0"/>
        <w:numPr>
          <w:ilvl w:val="0"/>
          <w:numId w:val="0"/>
        </w:numPr>
        <w:kinsoku/>
        <w:wordWrap/>
        <w:overflowPunct/>
        <w:topLinePunct w:val="0"/>
        <w:bidi w:val="0"/>
        <w:spacing w:line="460" w:lineRule="exact"/>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一、货物名称：排用炊事单元</w:t>
      </w:r>
    </w:p>
    <w:p>
      <w:pPr>
        <w:keepNext w:val="0"/>
        <w:keepLines w:val="0"/>
        <w:pageBreakBefore w:val="0"/>
        <w:numPr>
          <w:ilvl w:val="0"/>
          <w:numId w:val="0"/>
        </w:numPr>
        <w:kinsoku/>
        <w:wordWrap/>
        <w:overflowPunct/>
        <w:topLinePunct w:val="0"/>
        <w:bidi w:val="0"/>
        <w:spacing w:line="460" w:lineRule="exact"/>
        <w:ind w:left="0"/>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二、产地：国产</w:t>
      </w:r>
    </w:p>
    <w:p>
      <w:pPr>
        <w:keepNext w:val="0"/>
        <w:keepLines w:val="0"/>
        <w:pageBreakBefore w:val="0"/>
        <w:numPr>
          <w:ilvl w:val="0"/>
          <w:numId w:val="0"/>
        </w:numPr>
        <w:kinsoku/>
        <w:wordWrap/>
        <w:overflowPunct/>
        <w:topLinePunct w:val="0"/>
        <w:bidi w:val="0"/>
        <w:spacing w:line="460" w:lineRule="exact"/>
        <w:ind w:left="0"/>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三、主要技术规格、参数及要求：</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3.1提供第三方检测机构出具的</w:t>
      </w:r>
      <w:r>
        <w:rPr>
          <w:rFonts w:hint="eastAsia" w:ascii="仿宋" w:hAnsi="仿宋" w:eastAsia="仿宋" w:cs="仿宋"/>
          <w:color w:val="auto"/>
          <w:sz w:val="24"/>
          <w:szCs w:val="24"/>
          <w:highlight w:val="none"/>
        </w:rPr>
        <w:t>检测/检验/试验/测试报告（报告中的型号须与所投产品型号一致）复印件</w:t>
      </w:r>
      <w:r>
        <w:rPr>
          <w:rFonts w:hint="eastAsia" w:ascii="仿宋" w:hAnsi="仿宋" w:eastAsia="仿宋" w:cs="仿宋"/>
          <w:color w:val="auto"/>
          <w:sz w:val="24"/>
          <w:szCs w:val="24"/>
          <w:highlight w:val="none"/>
          <w:lang w:val="en-US" w:eastAsia="zh-CN"/>
        </w:rPr>
        <w:t>；</w:t>
      </w:r>
    </w:p>
    <w:p>
      <w:pPr>
        <w:keepNext w:val="0"/>
        <w:keepLines w:val="0"/>
        <w:pageBreakBefore w:val="0"/>
        <w:numPr>
          <w:ilvl w:val="0"/>
          <w:numId w:val="0"/>
        </w:numPr>
        <w:kinsoku/>
        <w:wordWrap/>
        <w:overflowPunct/>
        <w:topLinePunct w:val="0"/>
        <w:bidi w:val="0"/>
        <w:spacing w:line="460" w:lineRule="exact"/>
        <w:ind w:left="0"/>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3.2便携炊具野外炊事器材连用野战给养器材单元用于≥100人野营炊事给养；</w:t>
      </w:r>
    </w:p>
    <w:p>
      <w:pPr>
        <w:keepNext w:val="0"/>
        <w:keepLines w:val="0"/>
        <w:pageBreakBefore w:val="0"/>
        <w:numPr>
          <w:ilvl w:val="0"/>
          <w:numId w:val="0"/>
        </w:numPr>
        <w:kinsoku/>
        <w:wordWrap/>
        <w:overflowPunct/>
        <w:topLinePunct w:val="0"/>
        <w:bidi w:val="0"/>
        <w:spacing w:line="460" w:lineRule="exact"/>
        <w:ind w:left="0"/>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3.3主要由：45L铝锅2个、45L铁锅1个、34cm铝合金菜盆20个、野战燃油炉灶1整套（包含油罐1个、燃烧器2个、输油胶管4条、打气筒1个、备件包1套、折叠式支架2个）、焖饭器2个、切菜（和面）布2块、切菜板2个、菜刀、2把、饭勺6个、调料袋1个、手套2副、背架1整套（包含锅背架1付、燃油炉背架1付、给养携行包背架2付）、软体油桶（≥5kg）2个、20L送饭（背水）袋5个、锅罩袋2个、锅铲1个、炒勺1个、应急灯1个、蒸盘1个等组成；</w:t>
      </w:r>
    </w:p>
    <w:p>
      <w:pPr>
        <w:pStyle w:val="13"/>
        <w:keepNext w:val="0"/>
        <w:keepLines w:val="0"/>
        <w:pageBreakBefore w:val="0"/>
        <w:kinsoku/>
        <w:wordWrap/>
        <w:overflowPunct/>
        <w:topLinePunct w:val="0"/>
        <w:bidi w:val="0"/>
        <w:adjustRightInd w:val="0"/>
        <w:snapToGrid w:val="0"/>
        <w:spacing w:after="0" w:line="460" w:lineRule="exact"/>
        <w:ind w:left="0"/>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3.4供货前，须主动对接使用单位，确保满足用户需求；</w:t>
      </w: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3.5 提供中文使用说明书，含装备简介、使用注意事项及维护保养等内容。</w:t>
      </w: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bCs/>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97</w:t>
      </w:r>
      <w:r>
        <w:rPr>
          <w:rFonts w:hint="eastAsia" w:ascii="仿宋" w:hAnsi="仿宋" w:eastAsia="仿宋" w:cs="仿宋"/>
          <w:b/>
          <w:bCs w:val="0"/>
          <w:color w:val="auto"/>
          <w:sz w:val="24"/>
          <w:szCs w:val="24"/>
          <w:highlight w:val="none"/>
          <w:lang w:val="en-US" w:eastAsia="zh-CN"/>
        </w:rPr>
        <w:t>包-2：单兵携行包</w:t>
      </w:r>
    </w:p>
    <w:p>
      <w:pPr>
        <w:pStyle w:val="13"/>
        <w:keepNext w:val="0"/>
        <w:keepLines w:val="0"/>
        <w:pageBreakBefore w:val="0"/>
        <w:numPr>
          <w:ilvl w:val="0"/>
          <w:numId w:val="0"/>
        </w:numPr>
        <w:kinsoku/>
        <w:wordWrap/>
        <w:overflowPunct/>
        <w:topLinePunct w:val="0"/>
        <w:bidi w:val="0"/>
        <w:spacing w:after="0" w:line="460" w:lineRule="exact"/>
        <w:outlineLvl w:val="9"/>
        <w:rPr>
          <w:rFonts w:hint="eastAsia" w:ascii="仿宋" w:hAnsi="仿宋" w:eastAsia="仿宋" w:cs="仿宋"/>
          <w:b/>
          <w:bCs/>
          <w:color w:val="auto"/>
          <w:sz w:val="24"/>
          <w:szCs w:val="24"/>
          <w:highlight w:val="none"/>
          <w:lang w:eastAsia="zh-CN"/>
        </w:rPr>
      </w:pPr>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rPr>
        <w:t>货物名称：</w:t>
      </w:r>
      <w:r>
        <w:rPr>
          <w:rFonts w:hint="eastAsia" w:ascii="仿宋" w:hAnsi="仿宋" w:eastAsia="仿宋" w:cs="仿宋"/>
          <w:color w:val="auto"/>
          <w:sz w:val="24"/>
          <w:szCs w:val="24"/>
          <w:highlight w:val="none"/>
          <w:lang w:eastAsia="zh-CN"/>
        </w:rPr>
        <w:t>单兵携行包</w:t>
      </w:r>
    </w:p>
    <w:p>
      <w:pPr>
        <w:pStyle w:val="13"/>
        <w:keepNext w:val="0"/>
        <w:keepLines w:val="0"/>
        <w:pageBreakBefore w:val="0"/>
        <w:numPr>
          <w:ilvl w:val="0"/>
          <w:numId w:val="0"/>
        </w:numPr>
        <w:kinsoku/>
        <w:wordWrap/>
        <w:overflowPunct/>
        <w:topLinePunct w:val="0"/>
        <w:bidi w:val="0"/>
        <w:spacing w:after="0" w:line="460" w:lineRule="exact"/>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二、产地：国产</w:t>
      </w:r>
    </w:p>
    <w:p>
      <w:pPr>
        <w:pStyle w:val="13"/>
        <w:keepNext w:val="0"/>
        <w:keepLines w:val="0"/>
        <w:pageBreakBefore w:val="0"/>
        <w:kinsoku/>
        <w:wordWrap/>
        <w:overflowPunct/>
        <w:topLinePunct w:val="0"/>
        <w:bidi w:val="0"/>
        <w:spacing w:after="0" w:line="460" w:lineRule="exact"/>
        <w:ind w:left="0" w:leftChars="0" w:firstLine="0" w:firstLineChars="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三、主要技术规格、参数及要求</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3.1提供第三方检测机构出具的</w:t>
      </w:r>
      <w:r>
        <w:rPr>
          <w:rFonts w:hint="eastAsia" w:ascii="仿宋" w:hAnsi="仿宋" w:eastAsia="仿宋" w:cs="仿宋"/>
          <w:color w:val="auto"/>
          <w:sz w:val="24"/>
          <w:szCs w:val="24"/>
          <w:highlight w:val="none"/>
        </w:rPr>
        <w:t>检测/检验/试验/测试报告（报告中的型号须与所投产品型号一致）复印件</w:t>
      </w:r>
      <w:r>
        <w:rPr>
          <w:rFonts w:hint="eastAsia" w:ascii="仿宋" w:hAnsi="仿宋" w:eastAsia="仿宋" w:cs="仿宋"/>
          <w:color w:val="auto"/>
          <w:sz w:val="24"/>
          <w:szCs w:val="24"/>
          <w:highlight w:val="none"/>
          <w:lang w:val="en-US" w:eastAsia="zh-CN"/>
        </w:rPr>
        <w:t>；</w:t>
      </w:r>
    </w:p>
    <w:p>
      <w:pPr>
        <w:pStyle w:val="13"/>
        <w:keepNext w:val="0"/>
        <w:keepLines w:val="0"/>
        <w:pageBreakBefore w:val="0"/>
        <w:kinsoku/>
        <w:wordWrap/>
        <w:overflowPunct/>
        <w:topLinePunct w:val="0"/>
        <w:bidi w:val="0"/>
        <w:spacing w:after="0" w:line="460" w:lineRule="exact"/>
        <w:ind w:left="0" w:leftChars="0" w:firstLine="0" w:firstLineChars="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3.2主要组成：包含主背包1个、辅助胸包1个、离地式单兵帐篷1顶、自动充气垫（防潮垫）1套、睡袋1个、多功能工兵铲1把、单兵净化器1个、便携式头灯1具、多功能折叠刀具1把、</w:t>
      </w:r>
      <w:r>
        <w:rPr>
          <w:rFonts w:hint="eastAsia" w:ascii="仿宋" w:hAnsi="仿宋" w:eastAsia="仿宋" w:cs="仿宋"/>
          <w:color w:val="auto"/>
          <w:sz w:val="24"/>
          <w:szCs w:val="24"/>
          <w:highlight w:val="none"/>
          <w:lang w:val="en-US" w:eastAsia="zh-CN"/>
        </w:rPr>
        <w:t>军用水壶</w:t>
      </w:r>
      <w:r>
        <w:rPr>
          <w:rFonts w:hint="eastAsia" w:ascii="仿宋" w:hAnsi="仿宋" w:eastAsia="仿宋" w:cs="仿宋"/>
          <w:color w:val="auto"/>
          <w:sz w:val="24"/>
          <w:szCs w:val="24"/>
          <w:highlight w:val="none"/>
        </w:rPr>
        <w:t>1个、折叠马扎1个</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洗漱用品</w:t>
      </w:r>
      <w:r>
        <w:rPr>
          <w:rFonts w:hint="eastAsia" w:ascii="仿宋" w:hAnsi="仿宋" w:eastAsia="仿宋" w:cs="仿宋"/>
          <w:color w:val="auto"/>
          <w:sz w:val="24"/>
          <w:szCs w:val="24"/>
          <w:highlight w:val="none"/>
          <w:lang w:val="en-US" w:eastAsia="zh-CN"/>
        </w:rPr>
        <w:t>1套</w:t>
      </w:r>
      <w:r>
        <w:rPr>
          <w:rFonts w:hint="eastAsia" w:ascii="仿宋" w:hAnsi="仿宋" w:eastAsia="仿宋" w:cs="仿宋"/>
          <w:color w:val="auto"/>
          <w:sz w:val="24"/>
          <w:szCs w:val="24"/>
          <w:highlight w:val="none"/>
        </w:rPr>
        <w:t>、应急急救包、指南针、高音哨、帐篷灯</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kern w:val="2"/>
          <w:sz w:val="24"/>
          <w:szCs w:val="24"/>
          <w:highlight w:val="none"/>
        </w:rPr>
        <w:t>饭盒（含刀叉勺）</w:t>
      </w:r>
      <w:r>
        <w:rPr>
          <w:rFonts w:hint="eastAsia" w:ascii="仿宋" w:hAnsi="仿宋" w:eastAsia="仿宋" w:cs="仿宋"/>
          <w:color w:val="auto"/>
          <w:kern w:val="2"/>
          <w:sz w:val="24"/>
          <w:szCs w:val="24"/>
          <w:highlight w:val="none"/>
          <w:lang w:val="en-US" w:eastAsia="zh-CN"/>
        </w:rPr>
        <w:t>1个</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LED灯</w:t>
      </w:r>
      <w:r>
        <w:rPr>
          <w:rFonts w:hint="eastAsia" w:ascii="仿宋" w:hAnsi="仿宋" w:eastAsia="仿宋" w:cs="仿宋"/>
          <w:color w:val="auto"/>
          <w:kern w:val="2"/>
          <w:sz w:val="24"/>
          <w:szCs w:val="24"/>
          <w:highlight w:val="none"/>
          <w:lang w:val="en-US" w:eastAsia="zh-CN"/>
        </w:rPr>
        <w:t>1个</w:t>
      </w:r>
      <w:r>
        <w:rPr>
          <w:rFonts w:hint="eastAsia" w:ascii="仿宋" w:hAnsi="仿宋" w:eastAsia="仿宋" w:cs="仿宋"/>
          <w:color w:val="auto"/>
          <w:kern w:val="2"/>
          <w:sz w:val="24"/>
          <w:szCs w:val="24"/>
          <w:highlight w:val="none"/>
        </w:rPr>
        <w:t>、放大镜</w:t>
      </w:r>
      <w:r>
        <w:rPr>
          <w:rFonts w:hint="eastAsia" w:ascii="仿宋" w:hAnsi="仿宋" w:eastAsia="仿宋" w:cs="仿宋"/>
          <w:color w:val="auto"/>
          <w:kern w:val="2"/>
          <w:sz w:val="24"/>
          <w:szCs w:val="24"/>
          <w:highlight w:val="none"/>
          <w:lang w:val="en-US" w:eastAsia="zh-CN"/>
        </w:rPr>
        <w:t>1个</w:t>
      </w:r>
      <w:r>
        <w:rPr>
          <w:rFonts w:hint="eastAsia" w:ascii="仿宋" w:hAnsi="仿宋" w:eastAsia="仿宋" w:cs="仿宋"/>
          <w:color w:val="auto"/>
          <w:kern w:val="2"/>
          <w:sz w:val="24"/>
          <w:szCs w:val="24"/>
          <w:highlight w:val="none"/>
        </w:rPr>
        <w:t>、反光镜</w:t>
      </w:r>
      <w:r>
        <w:rPr>
          <w:rFonts w:hint="eastAsia" w:ascii="仿宋" w:hAnsi="仿宋" w:eastAsia="仿宋" w:cs="仿宋"/>
          <w:color w:val="auto"/>
          <w:kern w:val="2"/>
          <w:sz w:val="24"/>
          <w:szCs w:val="24"/>
          <w:highlight w:val="none"/>
          <w:lang w:val="en-US" w:eastAsia="zh-CN"/>
        </w:rPr>
        <w:t>1个</w:t>
      </w:r>
      <w:r>
        <w:rPr>
          <w:rFonts w:hint="eastAsia" w:ascii="仿宋" w:hAnsi="仿宋" w:eastAsia="仿宋" w:cs="仿宋"/>
          <w:color w:val="auto"/>
          <w:kern w:val="2"/>
          <w:sz w:val="24"/>
          <w:szCs w:val="24"/>
          <w:highlight w:val="none"/>
        </w:rPr>
        <w:t>、温度计</w:t>
      </w:r>
      <w:r>
        <w:rPr>
          <w:rFonts w:hint="eastAsia" w:ascii="仿宋" w:hAnsi="仿宋" w:eastAsia="仿宋" w:cs="仿宋"/>
          <w:color w:val="auto"/>
          <w:kern w:val="2"/>
          <w:sz w:val="24"/>
          <w:szCs w:val="24"/>
          <w:highlight w:val="none"/>
          <w:lang w:val="en-US" w:eastAsia="zh-CN"/>
        </w:rPr>
        <w:t>1个</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密封舱</w:t>
      </w:r>
      <w:r>
        <w:rPr>
          <w:rFonts w:hint="eastAsia" w:ascii="仿宋" w:hAnsi="仿宋" w:eastAsia="仿宋" w:cs="仿宋"/>
          <w:color w:val="auto"/>
          <w:kern w:val="2"/>
          <w:sz w:val="24"/>
          <w:szCs w:val="24"/>
          <w:highlight w:val="none"/>
          <w:lang w:val="en-US" w:eastAsia="zh-CN"/>
        </w:rPr>
        <w:t>1个</w:t>
      </w:r>
      <w:r>
        <w:rPr>
          <w:rFonts w:hint="eastAsia" w:ascii="仿宋" w:hAnsi="仿宋" w:eastAsia="仿宋" w:cs="仿宋"/>
          <w:color w:val="auto"/>
          <w:kern w:val="2"/>
          <w:sz w:val="24"/>
          <w:szCs w:val="24"/>
          <w:highlight w:val="none"/>
        </w:rPr>
        <w:t>，手电筒</w:t>
      </w:r>
      <w:r>
        <w:rPr>
          <w:rFonts w:hint="eastAsia" w:ascii="仿宋" w:hAnsi="仿宋" w:eastAsia="仿宋" w:cs="仿宋"/>
          <w:color w:val="auto"/>
          <w:kern w:val="2"/>
          <w:sz w:val="24"/>
          <w:szCs w:val="24"/>
          <w:highlight w:val="none"/>
          <w:lang w:val="en-US" w:eastAsia="zh-CN"/>
        </w:rPr>
        <w:t>1个</w:t>
      </w:r>
      <w:r>
        <w:rPr>
          <w:rFonts w:hint="eastAsia" w:ascii="仿宋" w:hAnsi="仿宋" w:eastAsia="仿宋" w:cs="仿宋"/>
          <w:color w:val="auto"/>
          <w:kern w:val="2"/>
          <w:sz w:val="24"/>
          <w:szCs w:val="24"/>
          <w:highlight w:val="none"/>
        </w:rPr>
        <w:t>、雨衣</w:t>
      </w:r>
      <w:r>
        <w:rPr>
          <w:rFonts w:hint="eastAsia" w:ascii="仿宋" w:hAnsi="仿宋" w:eastAsia="仿宋" w:cs="仿宋"/>
          <w:color w:val="auto"/>
          <w:kern w:val="2"/>
          <w:sz w:val="24"/>
          <w:szCs w:val="24"/>
          <w:highlight w:val="none"/>
          <w:lang w:val="en-US" w:eastAsia="zh-CN"/>
        </w:rPr>
        <w:t>1套</w:t>
      </w:r>
      <w:r>
        <w:rPr>
          <w:rFonts w:hint="eastAsia" w:ascii="仿宋" w:hAnsi="仿宋" w:eastAsia="仿宋" w:cs="仿宋"/>
          <w:color w:val="auto"/>
          <w:kern w:val="2"/>
          <w:sz w:val="24"/>
          <w:szCs w:val="24"/>
          <w:highlight w:val="none"/>
        </w:rPr>
        <w:t>、高能量自热即食食品</w:t>
      </w:r>
      <w:r>
        <w:rPr>
          <w:rFonts w:hint="eastAsia" w:ascii="仿宋" w:hAnsi="仿宋" w:eastAsia="仿宋" w:cs="仿宋"/>
          <w:color w:val="auto"/>
          <w:kern w:val="2"/>
          <w:sz w:val="24"/>
          <w:szCs w:val="24"/>
          <w:highlight w:val="none"/>
          <w:lang w:val="en-US" w:eastAsia="zh-CN"/>
        </w:rPr>
        <w:t>1份</w:t>
      </w:r>
      <w:r>
        <w:rPr>
          <w:rFonts w:hint="eastAsia" w:ascii="仿宋" w:hAnsi="仿宋" w:eastAsia="仿宋" w:cs="仿宋"/>
          <w:color w:val="auto"/>
          <w:kern w:val="2"/>
          <w:sz w:val="24"/>
          <w:szCs w:val="24"/>
          <w:highlight w:val="none"/>
        </w:rPr>
        <w:t>、蚊虫药</w:t>
      </w:r>
      <w:r>
        <w:rPr>
          <w:rFonts w:hint="eastAsia" w:ascii="仿宋" w:hAnsi="仿宋" w:eastAsia="仿宋" w:cs="仿宋"/>
          <w:color w:val="auto"/>
          <w:kern w:val="2"/>
          <w:sz w:val="24"/>
          <w:szCs w:val="24"/>
          <w:highlight w:val="none"/>
          <w:lang w:val="en-US" w:eastAsia="zh-CN"/>
        </w:rPr>
        <w:t>1盒</w:t>
      </w:r>
      <w:r>
        <w:rPr>
          <w:rFonts w:hint="eastAsia" w:ascii="仿宋" w:hAnsi="仿宋" w:eastAsia="仿宋" w:cs="仿宋"/>
          <w:color w:val="auto"/>
          <w:kern w:val="2"/>
          <w:sz w:val="24"/>
          <w:szCs w:val="24"/>
          <w:highlight w:val="none"/>
        </w:rPr>
        <w:t>、防静电内衣裤</w:t>
      </w:r>
      <w:r>
        <w:rPr>
          <w:rFonts w:hint="eastAsia" w:ascii="仿宋" w:hAnsi="仿宋" w:eastAsia="仿宋" w:cs="仿宋"/>
          <w:color w:val="auto"/>
          <w:kern w:val="2"/>
          <w:sz w:val="24"/>
          <w:szCs w:val="24"/>
          <w:highlight w:val="none"/>
          <w:lang w:val="en-US" w:eastAsia="zh-CN"/>
        </w:rPr>
        <w:t>1套</w:t>
      </w:r>
      <w:r>
        <w:rPr>
          <w:rFonts w:hint="eastAsia" w:ascii="仿宋" w:hAnsi="仿宋" w:eastAsia="仿宋" w:cs="仿宋"/>
          <w:color w:val="auto"/>
          <w:kern w:val="2"/>
          <w:sz w:val="24"/>
          <w:szCs w:val="24"/>
          <w:highlight w:val="none"/>
        </w:rPr>
        <w:t>、袜子</w:t>
      </w:r>
      <w:r>
        <w:rPr>
          <w:rFonts w:hint="eastAsia" w:ascii="仿宋" w:hAnsi="仿宋" w:eastAsia="仿宋" w:cs="仿宋"/>
          <w:color w:val="auto"/>
          <w:kern w:val="2"/>
          <w:sz w:val="24"/>
          <w:szCs w:val="24"/>
          <w:highlight w:val="none"/>
          <w:lang w:val="en-US" w:eastAsia="zh-CN"/>
        </w:rPr>
        <w:t>1套</w:t>
      </w:r>
      <w:r>
        <w:rPr>
          <w:rFonts w:hint="eastAsia" w:ascii="仿宋" w:hAnsi="仿宋" w:eastAsia="仿宋" w:cs="仿宋"/>
          <w:color w:val="auto"/>
          <w:kern w:val="2"/>
          <w:sz w:val="24"/>
          <w:szCs w:val="24"/>
          <w:highlight w:val="none"/>
        </w:rPr>
        <w:t>、拖鞋</w:t>
      </w:r>
      <w:r>
        <w:rPr>
          <w:rFonts w:hint="eastAsia" w:ascii="仿宋" w:hAnsi="仿宋" w:eastAsia="仿宋" w:cs="仿宋"/>
          <w:color w:val="auto"/>
          <w:kern w:val="2"/>
          <w:sz w:val="24"/>
          <w:szCs w:val="24"/>
          <w:highlight w:val="none"/>
          <w:lang w:val="en-US" w:eastAsia="zh-CN"/>
        </w:rPr>
        <w:t>1双</w:t>
      </w:r>
      <w:r>
        <w:rPr>
          <w:rFonts w:hint="eastAsia" w:ascii="仿宋" w:hAnsi="仿宋" w:eastAsia="仿宋" w:cs="仿宋"/>
          <w:color w:val="auto"/>
          <w:kern w:val="2"/>
          <w:sz w:val="24"/>
          <w:szCs w:val="24"/>
          <w:highlight w:val="none"/>
        </w:rPr>
        <w:t>等</w:t>
      </w:r>
      <w:r>
        <w:rPr>
          <w:rFonts w:hint="eastAsia" w:ascii="仿宋" w:hAnsi="仿宋" w:eastAsia="仿宋" w:cs="仿宋"/>
          <w:color w:val="auto"/>
          <w:sz w:val="24"/>
          <w:szCs w:val="24"/>
          <w:highlight w:val="none"/>
        </w:rPr>
        <w:t>组成；</w:t>
      </w:r>
    </w:p>
    <w:p>
      <w:pPr>
        <w:pStyle w:val="13"/>
        <w:keepNext w:val="0"/>
        <w:keepLines w:val="0"/>
        <w:pageBreakBefore w:val="0"/>
        <w:kinsoku/>
        <w:wordWrap/>
        <w:overflowPunct/>
        <w:topLinePunct w:val="0"/>
        <w:bidi w:val="0"/>
        <w:spacing w:after="0" w:line="460" w:lineRule="exact"/>
        <w:ind w:left="0" w:leftChars="0" w:firstLine="0" w:firstLineChars="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3.3主背包</w:t>
      </w:r>
    </w:p>
    <w:p>
      <w:pPr>
        <w:pStyle w:val="13"/>
        <w:keepNext w:val="0"/>
        <w:keepLines w:val="0"/>
        <w:pageBreakBefore w:val="0"/>
        <w:kinsoku/>
        <w:wordWrap/>
        <w:overflowPunct/>
        <w:topLinePunct w:val="0"/>
        <w:bidi w:val="0"/>
        <w:spacing w:after="0" w:line="460" w:lineRule="exact"/>
        <w:ind w:left="0" w:leftChars="0" w:firstLine="0" w:firstLineChars="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3.3.1</w:t>
      </w:r>
      <w:r>
        <w:rPr>
          <w:rFonts w:hint="eastAsia" w:ascii="仿宋" w:hAnsi="仿宋" w:eastAsia="仿宋" w:cs="仿宋"/>
          <w:color w:val="auto"/>
          <w:sz w:val="24"/>
          <w:szCs w:val="24"/>
          <w:highlight w:val="none"/>
        </w:rPr>
        <w:t>主背包</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容积</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≥70L，分仓室设计，</w:t>
      </w:r>
      <w:r>
        <w:rPr>
          <w:rFonts w:hint="eastAsia" w:ascii="仿宋" w:hAnsi="仿宋" w:eastAsia="仿宋" w:cs="仿宋"/>
          <w:color w:val="auto"/>
          <w:sz w:val="24"/>
          <w:szCs w:val="24"/>
          <w:highlight w:val="none"/>
          <w:lang w:val="en-US" w:eastAsia="zh-CN"/>
        </w:rPr>
        <w:t>背包后背、腰垫、肩垫均使用高透气网布，背包</w:t>
      </w:r>
      <w:r>
        <w:rPr>
          <w:rFonts w:hint="eastAsia" w:ascii="仿宋" w:hAnsi="仿宋" w:eastAsia="仿宋" w:cs="仿宋"/>
          <w:color w:val="auto"/>
          <w:sz w:val="24"/>
          <w:szCs w:val="24"/>
          <w:highlight w:val="none"/>
        </w:rPr>
        <w:t>颜色根据用户需求确定</w:t>
      </w:r>
      <w:r>
        <w:rPr>
          <w:rFonts w:hint="eastAsia" w:ascii="仿宋" w:hAnsi="仿宋" w:eastAsia="仿宋" w:cs="仿宋"/>
          <w:color w:val="auto"/>
          <w:sz w:val="24"/>
          <w:szCs w:val="24"/>
          <w:highlight w:val="none"/>
          <w:lang w:eastAsia="zh-CN"/>
        </w:rPr>
        <w:t>；</w:t>
      </w:r>
    </w:p>
    <w:p>
      <w:pPr>
        <w:pStyle w:val="13"/>
        <w:keepNext w:val="0"/>
        <w:keepLines w:val="0"/>
        <w:pageBreakBefore w:val="0"/>
        <w:kinsoku/>
        <w:wordWrap/>
        <w:overflowPunct/>
        <w:topLinePunct w:val="0"/>
        <w:bidi w:val="0"/>
        <w:spacing w:after="0" w:line="460" w:lineRule="exact"/>
        <w:ind w:left="0" w:leftChars="0" w:firstLine="0" w:firstLineChars="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3.3.2 面料：主料≥1050D加密防水尼龙牛津布，透明PV涂层，具有强度高、耐磨、防水、防撕裂等性能；</w:t>
      </w:r>
    </w:p>
    <w:p>
      <w:pPr>
        <w:pStyle w:val="13"/>
        <w:keepNext w:val="0"/>
        <w:keepLines w:val="0"/>
        <w:pageBreakBefore w:val="0"/>
        <w:kinsoku/>
        <w:wordWrap/>
        <w:overflowPunct/>
        <w:topLinePunct w:val="0"/>
        <w:bidi w:val="0"/>
        <w:spacing w:after="0" w:line="460" w:lineRule="exact"/>
        <w:ind w:left="0" w:leftChars="0" w:firstLine="0" w:firstLineChars="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▲3.3.3面料撕破力经向≥250N，纬向≥250N；</w:t>
      </w:r>
    </w:p>
    <w:p>
      <w:pPr>
        <w:pStyle w:val="13"/>
        <w:keepNext w:val="0"/>
        <w:keepLines w:val="0"/>
        <w:pageBreakBefore w:val="0"/>
        <w:kinsoku/>
        <w:wordWrap/>
        <w:overflowPunct/>
        <w:topLinePunct w:val="0"/>
        <w:bidi w:val="0"/>
        <w:spacing w:after="0" w:line="460" w:lineRule="exact"/>
        <w:ind w:left="0" w:leftChars="0" w:firstLine="0" w:firstLineChars="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3.3.4封口布面料：≥300D尼龙布，PV涂层；里料≥210D加密尼龙布；</w:t>
      </w:r>
    </w:p>
    <w:p>
      <w:pPr>
        <w:pStyle w:val="13"/>
        <w:keepNext w:val="0"/>
        <w:keepLines w:val="0"/>
        <w:pageBreakBefore w:val="0"/>
        <w:kinsoku/>
        <w:wordWrap/>
        <w:overflowPunct/>
        <w:topLinePunct w:val="0"/>
        <w:bidi w:val="0"/>
        <w:spacing w:after="0" w:line="460" w:lineRule="exact"/>
        <w:ind w:left="0" w:leftChars="0" w:firstLine="0" w:firstLineChars="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3.3.5背囊分为顶包、主包、背负系统、扣件、拉链、织带等附属配件；</w:t>
      </w:r>
    </w:p>
    <w:p>
      <w:pPr>
        <w:pStyle w:val="13"/>
        <w:keepNext w:val="0"/>
        <w:keepLines w:val="0"/>
        <w:pageBreakBefore w:val="0"/>
        <w:kinsoku/>
        <w:wordWrap/>
        <w:overflowPunct/>
        <w:topLinePunct w:val="0"/>
        <w:bidi w:val="0"/>
        <w:spacing w:after="0" w:line="460" w:lineRule="exact"/>
        <w:ind w:left="0" w:leftChars="0" w:firstLine="0" w:firstLineChars="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3.3.6背负系统：高强背负系统和肩带收紧系统构成背囊的背负系统，内藏式骨架由航空铝材制作；</w:t>
      </w:r>
    </w:p>
    <w:p>
      <w:pPr>
        <w:pStyle w:val="13"/>
        <w:keepNext w:val="0"/>
        <w:keepLines w:val="0"/>
        <w:pageBreakBefore w:val="0"/>
        <w:kinsoku/>
        <w:wordWrap/>
        <w:overflowPunct/>
        <w:topLinePunct w:val="0"/>
        <w:bidi w:val="0"/>
        <w:spacing w:after="0" w:line="460" w:lineRule="exact"/>
        <w:ind w:left="0" w:leftChars="0" w:firstLine="0" w:firstLineChars="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3.3.7</w:t>
      </w:r>
      <w:r>
        <w:rPr>
          <w:rFonts w:hint="eastAsia" w:ascii="仿宋" w:hAnsi="仿宋" w:eastAsia="仿宋" w:cs="仿宋"/>
          <w:color w:val="auto"/>
          <w:sz w:val="24"/>
          <w:szCs w:val="24"/>
          <w:highlight w:val="none"/>
        </w:rPr>
        <w:t>辅助胸包</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容积≥20L,适用于胸前挂负及单独背负；</w:t>
      </w:r>
    </w:p>
    <w:p>
      <w:pPr>
        <w:pStyle w:val="13"/>
        <w:keepNext w:val="0"/>
        <w:keepLines w:val="0"/>
        <w:pageBreakBefore w:val="0"/>
        <w:kinsoku/>
        <w:wordWrap/>
        <w:overflowPunct/>
        <w:topLinePunct w:val="0"/>
        <w:bidi w:val="0"/>
        <w:spacing w:after="0" w:line="460" w:lineRule="exact"/>
        <w:ind w:left="0" w:leftChars="0" w:firstLine="0" w:firstLineChars="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3.4离地式单兵帐篷；</w:t>
      </w:r>
    </w:p>
    <w:p>
      <w:pPr>
        <w:pStyle w:val="13"/>
        <w:keepNext w:val="0"/>
        <w:keepLines w:val="0"/>
        <w:pageBreakBefore w:val="0"/>
        <w:kinsoku/>
        <w:wordWrap/>
        <w:overflowPunct/>
        <w:topLinePunct w:val="0"/>
        <w:bidi w:val="0"/>
        <w:spacing w:after="0" w:line="460" w:lineRule="exact"/>
        <w:ind w:left="0" w:leftChars="0" w:firstLine="0" w:firstLineChars="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3.4.1材质：牛津布；</w:t>
      </w:r>
    </w:p>
    <w:p>
      <w:pPr>
        <w:pStyle w:val="13"/>
        <w:keepNext w:val="0"/>
        <w:keepLines w:val="0"/>
        <w:pageBreakBefore w:val="0"/>
        <w:kinsoku/>
        <w:wordWrap/>
        <w:overflowPunct/>
        <w:topLinePunct w:val="0"/>
        <w:bidi w:val="0"/>
        <w:spacing w:after="0" w:line="460" w:lineRule="exact"/>
        <w:ind w:left="0" w:leftChars="0" w:firstLine="0" w:firstLineChars="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3.4.2长×宽：≥2m×1m；</w:t>
      </w:r>
    </w:p>
    <w:p>
      <w:pPr>
        <w:pStyle w:val="13"/>
        <w:keepNext w:val="0"/>
        <w:keepLines w:val="0"/>
        <w:pageBreakBefore w:val="0"/>
        <w:kinsoku/>
        <w:wordWrap/>
        <w:overflowPunct/>
        <w:topLinePunct w:val="0"/>
        <w:bidi w:val="0"/>
        <w:spacing w:after="0" w:line="460" w:lineRule="exact"/>
        <w:ind w:left="0" w:leftChars="0" w:firstLine="0" w:firstLineChars="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3.4.3具备防水、防晒、防潮功能；</w:t>
      </w:r>
    </w:p>
    <w:p>
      <w:pPr>
        <w:pStyle w:val="13"/>
        <w:keepNext w:val="0"/>
        <w:keepLines w:val="0"/>
        <w:pageBreakBefore w:val="0"/>
        <w:kinsoku/>
        <w:wordWrap/>
        <w:overflowPunct/>
        <w:topLinePunct w:val="0"/>
        <w:bidi w:val="0"/>
        <w:spacing w:after="0" w:line="460" w:lineRule="exact"/>
        <w:ind w:left="0" w:leftChars="0" w:firstLine="0" w:firstLineChars="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3.4.4产品重量：≤4.5kg；</w:t>
      </w:r>
    </w:p>
    <w:p>
      <w:pPr>
        <w:pStyle w:val="13"/>
        <w:keepNext w:val="0"/>
        <w:keepLines w:val="0"/>
        <w:pageBreakBefore w:val="0"/>
        <w:kinsoku/>
        <w:wordWrap/>
        <w:overflowPunct/>
        <w:topLinePunct w:val="0"/>
        <w:bidi w:val="0"/>
        <w:spacing w:after="0" w:line="460" w:lineRule="exact"/>
        <w:ind w:left="0" w:leftChars="0" w:firstLine="0" w:firstLineChars="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3.4.5承重：≥150kg；</w:t>
      </w:r>
    </w:p>
    <w:p>
      <w:pPr>
        <w:pStyle w:val="13"/>
        <w:keepNext w:val="0"/>
        <w:keepLines w:val="0"/>
        <w:pageBreakBefore w:val="0"/>
        <w:kinsoku/>
        <w:wordWrap/>
        <w:overflowPunct/>
        <w:topLinePunct w:val="0"/>
        <w:bidi w:val="0"/>
        <w:spacing w:after="0" w:line="460" w:lineRule="exact"/>
        <w:ind w:left="0" w:leftChars="0" w:firstLine="0" w:firstLineChars="0"/>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3.4.6离地高度：≥300mm</w:t>
      </w:r>
      <w:r>
        <w:rPr>
          <w:rFonts w:hint="eastAsia" w:ascii="仿宋" w:hAnsi="仿宋" w:eastAsia="仿宋" w:cs="仿宋"/>
          <w:color w:val="auto"/>
          <w:sz w:val="24"/>
          <w:szCs w:val="24"/>
          <w:highlight w:val="none"/>
          <w:lang w:eastAsia="zh-CN"/>
        </w:rPr>
        <w:t>；</w:t>
      </w:r>
    </w:p>
    <w:p>
      <w:pPr>
        <w:pStyle w:val="13"/>
        <w:keepNext w:val="0"/>
        <w:keepLines w:val="0"/>
        <w:pageBreakBefore w:val="0"/>
        <w:kinsoku/>
        <w:wordWrap/>
        <w:overflowPunct/>
        <w:topLinePunct w:val="0"/>
        <w:bidi w:val="0"/>
        <w:spacing w:after="0" w:line="460" w:lineRule="exact"/>
        <w:ind w:left="0" w:leftChars="0" w:firstLine="0" w:firstLineChars="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3.5自动充气垫（防潮垫）：高性能复合材质；</w:t>
      </w:r>
    </w:p>
    <w:p>
      <w:pPr>
        <w:pStyle w:val="13"/>
        <w:keepNext w:val="0"/>
        <w:keepLines w:val="0"/>
        <w:pageBreakBefore w:val="0"/>
        <w:kinsoku/>
        <w:wordWrap/>
        <w:overflowPunct/>
        <w:topLinePunct w:val="0"/>
        <w:bidi w:val="0"/>
        <w:spacing w:after="0" w:line="460" w:lineRule="exact"/>
        <w:ind w:left="0" w:leftChars="0" w:firstLine="0" w:firstLineChars="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3.6睡袋：重量（kg）≤2kg；</w:t>
      </w:r>
    </w:p>
    <w:p>
      <w:pPr>
        <w:pStyle w:val="13"/>
        <w:keepNext w:val="0"/>
        <w:keepLines w:val="0"/>
        <w:pageBreakBefore w:val="0"/>
        <w:kinsoku/>
        <w:wordWrap/>
        <w:overflowPunct/>
        <w:topLinePunct w:val="0"/>
        <w:bidi w:val="0"/>
        <w:spacing w:after="0" w:line="460" w:lineRule="exact"/>
        <w:ind w:left="0" w:leftChars="0" w:firstLine="0" w:firstLineChars="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3.7多功能工兵铲：可折叠，折叠后尺寸≤20cm</w:t>
      </w:r>
      <w:r>
        <w:rPr>
          <w:rFonts w:hint="eastAsia" w:ascii="仿宋" w:hAnsi="仿宋" w:eastAsia="仿宋" w:cs="仿宋"/>
          <w:bCs/>
          <w:color w:val="auto"/>
          <w:sz w:val="24"/>
          <w:szCs w:val="24"/>
          <w:highlight w:val="none"/>
        </w:rPr>
        <w:t>×</w:t>
      </w:r>
      <w:r>
        <w:rPr>
          <w:rFonts w:hint="eastAsia" w:ascii="仿宋" w:hAnsi="仿宋" w:eastAsia="仿宋" w:cs="仿宋"/>
          <w:color w:val="auto"/>
          <w:sz w:val="24"/>
          <w:szCs w:val="24"/>
          <w:highlight w:val="none"/>
        </w:rPr>
        <w:t>10cm；重量≤500g；</w:t>
      </w:r>
    </w:p>
    <w:p>
      <w:pPr>
        <w:pStyle w:val="13"/>
        <w:keepNext w:val="0"/>
        <w:keepLines w:val="0"/>
        <w:pageBreakBefore w:val="0"/>
        <w:kinsoku/>
        <w:wordWrap/>
        <w:overflowPunct/>
        <w:topLinePunct w:val="0"/>
        <w:bidi w:val="0"/>
        <w:spacing w:after="0" w:line="460" w:lineRule="exact"/>
        <w:ind w:left="0" w:leftChars="0" w:firstLine="0" w:firstLineChars="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3.8单兵净水器：可将河水、雨水、湖水等天然水净化为直接饮用水；重量≤100克；</w:t>
      </w:r>
    </w:p>
    <w:p>
      <w:pPr>
        <w:pStyle w:val="13"/>
        <w:keepNext w:val="0"/>
        <w:keepLines w:val="0"/>
        <w:pageBreakBefore w:val="0"/>
        <w:kinsoku/>
        <w:wordWrap/>
        <w:overflowPunct/>
        <w:topLinePunct w:val="0"/>
        <w:bidi w:val="0"/>
        <w:spacing w:after="0" w:line="460" w:lineRule="exact"/>
        <w:ind w:left="0" w:leftChars="0" w:firstLine="0" w:firstLineChars="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3.9便携式头灯：可满足强光、弱光、闪光等多种切换模式，有效射程≥25</w:t>
      </w:r>
      <w:r>
        <w:rPr>
          <w:rFonts w:hint="eastAsia" w:ascii="仿宋" w:hAnsi="仿宋" w:eastAsia="仿宋" w:cs="仿宋"/>
          <w:color w:val="auto"/>
          <w:sz w:val="24"/>
          <w:szCs w:val="24"/>
          <w:highlight w:val="none"/>
          <w:lang w:val="en-US" w:eastAsia="zh-CN"/>
        </w:rPr>
        <w:t>m</w:t>
      </w:r>
      <w:r>
        <w:rPr>
          <w:rFonts w:hint="eastAsia" w:ascii="仿宋" w:hAnsi="仿宋" w:eastAsia="仿宋" w:cs="仿宋"/>
          <w:color w:val="auto"/>
          <w:sz w:val="24"/>
          <w:szCs w:val="24"/>
          <w:highlight w:val="none"/>
        </w:rPr>
        <w:t>；强光最大续航能力≥2</w:t>
      </w:r>
      <w:r>
        <w:rPr>
          <w:rFonts w:hint="eastAsia" w:ascii="仿宋" w:hAnsi="仿宋" w:eastAsia="仿宋" w:cs="仿宋"/>
          <w:color w:val="auto"/>
          <w:sz w:val="24"/>
          <w:szCs w:val="24"/>
          <w:highlight w:val="none"/>
          <w:lang w:val="en-US" w:eastAsia="zh-CN"/>
        </w:rPr>
        <w:t>h</w:t>
      </w:r>
      <w:r>
        <w:rPr>
          <w:rFonts w:hint="eastAsia" w:ascii="仿宋" w:hAnsi="仿宋" w:eastAsia="仿宋" w:cs="仿宋"/>
          <w:color w:val="auto"/>
          <w:sz w:val="24"/>
          <w:szCs w:val="24"/>
          <w:highlight w:val="none"/>
        </w:rPr>
        <w:t>；</w:t>
      </w:r>
    </w:p>
    <w:p>
      <w:pPr>
        <w:pStyle w:val="13"/>
        <w:keepNext w:val="0"/>
        <w:keepLines w:val="0"/>
        <w:pageBreakBefore w:val="0"/>
        <w:kinsoku/>
        <w:wordWrap/>
        <w:overflowPunct/>
        <w:topLinePunct w:val="0"/>
        <w:bidi w:val="0"/>
        <w:spacing w:after="0" w:line="460" w:lineRule="exact"/>
        <w:ind w:left="0" w:leftChars="0" w:firstLine="0" w:firstLineChars="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洗漱用品：重量≤350g ，包含牙膏、牙刷、镜子、毛巾、梳子、漱口杯等物品；</w:t>
      </w:r>
    </w:p>
    <w:p>
      <w:pPr>
        <w:pStyle w:val="13"/>
        <w:keepNext w:val="0"/>
        <w:keepLines w:val="0"/>
        <w:pageBreakBefore w:val="0"/>
        <w:kinsoku/>
        <w:wordWrap/>
        <w:overflowPunct/>
        <w:topLinePunct w:val="0"/>
        <w:bidi w:val="0"/>
        <w:spacing w:after="0" w:line="460" w:lineRule="exact"/>
        <w:ind w:left="0" w:leftChars="0" w:firstLine="0" w:firstLineChars="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高音哨：具备指南针、测温、照明等多种功能，重量≤100</w:t>
      </w:r>
      <w:r>
        <w:rPr>
          <w:rFonts w:hint="eastAsia" w:ascii="仿宋" w:hAnsi="仿宋" w:eastAsia="仿宋" w:cs="仿宋"/>
          <w:color w:val="auto"/>
          <w:sz w:val="24"/>
          <w:szCs w:val="24"/>
          <w:highlight w:val="none"/>
          <w:lang w:val="en-US" w:eastAsia="zh-CN"/>
        </w:rPr>
        <w:t>g</w:t>
      </w:r>
      <w:r>
        <w:rPr>
          <w:rFonts w:hint="eastAsia" w:ascii="仿宋" w:hAnsi="仿宋" w:eastAsia="仿宋" w:cs="仿宋"/>
          <w:color w:val="auto"/>
          <w:sz w:val="24"/>
          <w:szCs w:val="24"/>
          <w:highlight w:val="none"/>
        </w:rPr>
        <w:t>；</w:t>
      </w:r>
    </w:p>
    <w:p>
      <w:pPr>
        <w:pStyle w:val="13"/>
        <w:keepNext w:val="0"/>
        <w:keepLines w:val="0"/>
        <w:pageBreakBefore w:val="0"/>
        <w:kinsoku/>
        <w:wordWrap/>
        <w:overflowPunct/>
        <w:topLinePunct w:val="0"/>
        <w:bidi w:val="0"/>
        <w:spacing w:after="0" w:line="460" w:lineRule="exact"/>
        <w:ind w:left="0" w:leftChars="0" w:firstLine="0" w:firstLineChars="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折叠马扎：主体铝合金材质，重量≤0.5kg；</w:t>
      </w:r>
    </w:p>
    <w:p>
      <w:pPr>
        <w:pStyle w:val="13"/>
        <w:keepNext w:val="0"/>
        <w:keepLines w:val="0"/>
        <w:pageBreakBefore w:val="0"/>
        <w:kinsoku/>
        <w:wordWrap/>
        <w:overflowPunct/>
        <w:topLinePunct w:val="0"/>
        <w:bidi w:val="0"/>
        <w:spacing w:after="0" w:line="460" w:lineRule="exact"/>
        <w:ind w:left="0" w:leftChars="0" w:firstLine="0" w:firstLineChars="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rPr>
        <w:t>3.13</w:t>
      </w:r>
      <w:r>
        <w:rPr>
          <w:rFonts w:hint="eastAsia" w:ascii="仿宋" w:hAnsi="仿宋" w:eastAsia="仿宋" w:cs="仿宋"/>
          <w:color w:val="auto"/>
          <w:kern w:val="2"/>
          <w:sz w:val="24"/>
          <w:szCs w:val="24"/>
          <w:highlight w:val="none"/>
        </w:rPr>
        <w:t>饭盒（含刀叉勺）</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lang w:val="en-US" w:eastAsia="zh-CN"/>
        </w:rPr>
        <w:t>304不锈钢、耐腐蚀；</w:t>
      </w:r>
    </w:p>
    <w:p>
      <w:pPr>
        <w:pStyle w:val="13"/>
        <w:keepNext w:val="0"/>
        <w:keepLines w:val="0"/>
        <w:pageBreakBefore w:val="0"/>
        <w:kinsoku/>
        <w:wordWrap/>
        <w:overflowPunct/>
        <w:topLinePunct w:val="0"/>
        <w:bidi w:val="0"/>
        <w:spacing w:after="0" w:line="460" w:lineRule="exact"/>
        <w:ind w:left="0" w:leftChars="0" w:firstLine="0" w:firstLineChars="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3.14供货前，须主动对接使用单位，确保满足用户需求；</w:t>
      </w:r>
    </w:p>
    <w:p>
      <w:pPr>
        <w:pStyle w:val="13"/>
        <w:keepNext w:val="0"/>
        <w:keepLines w:val="0"/>
        <w:pageBreakBefore w:val="0"/>
        <w:kinsoku/>
        <w:wordWrap/>
        <w:overflowPunct/>
        <w:topLinePunct w:val="0"/>
        <w:bidi w:val="0"/>
        <w:spacing w:after="0" w:line="460" w:lineRule="exact"/>
        <w:ind w:left="0" w:leftChars="0" w:firstLine="0" w:firstLineChars="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3.15提供中文使用说明书（含电子版），含装备简介、使用注意事项及维护保养等内容。</w:t>
      </w: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b w:val="0"/>
          <w:bCs w:val="0"/>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97包-3：净水设备</w:t>
      </w:r>
    </w:p>
    <w:p>
      <w:pPr>
        <w:keepNext w:val="0"/>
        <w:keepLines w:val="0"/>
        <w:pageBreakBefore w:val="0"/>
        <w:widowControl w:val="0"/>
        <w:kinsoku/>
        <w:wordWrap/>
        <w:overflowPunct/>
        <w:topLinePunct w:val="0"/>
        <w:autoSpaceDE/>
        <w:autoSpaceDN/>
        <w:bidi w:val="0"/>
        <w:adjustRightInd w:val="0"/>
        <w:snapToGrid w:val="0"/>
        <w:spacing w:line="460" w:lineRule="exact"/>
        <w:ind w:left="0" w:leftChars="0" w:right="0" w:rightChars="0" w:firstLine="0" w:firstLineChars="0"/>
        <w:jc w:val="both"/>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一、货物名称：</w:t>
      </w:r>
      <w:r>
        <w:rPr>
          <w:rFonts w:hint="eastAsia" w:ascii="仿宋" w:hAnsi="仿宋" w:eastAsia="仿宋" w:cs="仿宋"/>
          <w:color w:val="auto"/>
          <w:sz w:val="24"/>
          <w:szCs w:val="24"/>
          <w:highlight w:val="none"/>
        </w:rPr>
        <w:t>净水设备</w:t>
      </w:r>
    </w:p>
    <w:p>
      <w:pPr>
        <w:keepNext w:val="0"/>
        <w:keepLines w:val="0"/>
        <w:pageBreakBefore w:val="0"/>
        <w:widowControl w:val="0"/>
        <w:kinsoku/>
        <w:wordWrap/>
        <w:overflowPunct/>
        <w:topLinePunct w:val="0"/>
        <w:autoSpaceDE/>
        <w:autoSpaceDN/>
        <w:bidi w:val="0"/>
        <w:adjustRightInd w:val="0"/>
        <w:snapToGrid w:val="0"/>
        <w:spacing w:line="460" w:lineRule="exact"/>
        <w:ind w:left="0" w:leftChars="0" w:right="0" w:rightChars="0" w:firstLine="0" w:firstLineChars="0"/>
        <w:jc w:val="both"/>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二、产地：国产</w:t>
      </w:r>
    </w:p>
    <w:p>
      <w:pPr>
        <w:keepNext w:val="0"/>
        <w:keepLines w:val="0"/>
        <w:pageBreakBefore w:val="0"/>
        <w:widowControl w:val="0"/>
        <w:kinsoku/>
        <w:wordWrap/>
        <w:overflowPunct/>
        <w:topLinePunct w:val="0"/>
        <w:autoSpaceDE/>
        <w:autoSpaceDN/>
        <w:bidi w:val="0"/>
        <w:adjustRightInd w:val="0"/>
        <w:snapToGrid w:val="0"/>
        <w:spacing w:line="460" w:lineRule="exact"/>
        <w:ind w:left="0" w:leftChars="0" w:right="0" w:rightChars="0" w:firstLine="0" w:firstLineChars="0"/>
        <w:jc w:val="both"/>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三、主要技术规格、参数及要求：</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3.1提供第三方检测机构出具的</w:t>
      </w:r>
      <w:r>
        <w:rPr>
          <w:rFonts w:hint="eastAsia" w:ascii="仿宋" w:hAnsi="仿宋" w:eastAsia="仿宋" w:cs="仿宋"/>
          <w:color w:val="auto"/>
          <w:sz w:val="24"/>
          <w:szCs w:val="24"/>
          <w:highlight w:val="none"/>
        </w:rPr>
        <w:t>检测/检验/试验/测试报告（报告中的型号须与所投产品型号一致）复印件</w:t>
      </w:r>
      <w:r>
        <w:rPr>
          <w:rFonts w:hint="eastAsia" w:ascii="仿宋" w:hAnsi="仿宋" w:eastAsia="仿宋" w:cs="仿宋"/>
          <w:color w:val="auto"/>
          <w:sz w:val="24"/>
          <w:szCs w:val="24"/>
          <w:highlight w:val="none"/>
          <w:lang w:val="en-US" w:eastAsia="zh-CN"/>
        </w:rPr>
        <w:t>；</w:t>
      </w:r>
    </w:p>
    <w:p>
      <w:pPr>
        <w:pStyle w:val="13"/>
        <w:keepNext w:val="0"/>
        <w:keepLines w:val="0"/>
        <w:pageBreakBefore w:val="0"/>
        <w:widowControl w:val="0"/>
        <w:kinsoku/>
        <w:wordWrap/>
        <w:overflowPunct/>
        <w:topLinePunct w:val="0"/>
        <w:autoSpaceDE/>
        <w:autoSpaceDN/>
        <w:bidi w:val="0"/>
        <w:spacing w:after="0" w:line="460" w:lineRule="exact"/>
        <w:ind w:left="0" w:leftChars="0" w:right="0" w:rightChars="0" w:firstLine="0" w:firstLineChars="0"/>
        <w:jc w:val="both"/>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w:t>
      </w:r>
      <w:r>
        <w:rPr>
          <w:rFonts w:hint="eastAsia" w:ascii="仿宋" w:hAnsi="仿宋" w:eastAsia="仿宋" w:cs="仿宋"/>
          <w:bCs/>
          <w:color w:val="auto"/>
          <w:sz w:val="24"/>
          <w:szCs w:val="24"/>
          <w:highlight w:val="none"/>
          <w:lang w:val="en-US" w:eastAsia="zh-CN"/>
        </w:rPr>
        <w:t>2滤材：PP棉、双控制膜陶瓷膜滤芯、NMC滤料、活性炭、反渗透膜 ；</w:t>
      </w:r>
    </w:p>
    <w:p>
      <w:pPr>
        <w:pStyle w:val="13"/>
        <w:keepNext w:val="0"/>
        <w:keepLines w:val="0"/>
        <w:pageBreakBefore w:val="0"/>
        <w:widowControl w:val="0"/>
        <w:kinsoku/>
        <w:wordWrap/>
        <w:overflowPunct/>
        <w:topLinePunct w:val="0"/>
        <w:autoSpaceDE/>
        <w:autoSpaceDN/>
        <w:bidi w:val="0"/>
        <w:spacing w:after="0" w:line="460" w:lineRule="exact"/>
        <w:ind w:left="0" w:leftChars="0" w:right="0" w:rightChars="0" w:firstLine="0" w:firstLineChars="0"/>
        <w:jc w:val="both"/>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3.3适用水源：Ⅳ类及以上地表水或地下水；</w:t>
      </w:r>
    </w:p>
    <w:p>
      <w:pPr>
        <w:pStyle w:val="13"/>
        <w:keepNext w:val="0"/>
        <w:keepLines w:val="0"/>
        <w:pageBreakBefore w:val="0"/>
        <w:widowControl w:val="0"/>
        <w:kinsoku/>
        <w:wordWrap/>
        <w:overflowPunct/>
        <w:topLinePunct w:val="0"/>
        <w:autoSpaceDE/>
        <w:autoSpaceDN/>
        <w:bidi w:val="0"/>
        <w:spacing w:after="0" w:line="460" w:lineRule="exact"/>
        <w:ind w:left="0" w:leftChars="0" w:right="0" w:rightChars="0" w:firstLine="0" w:firstLineChars="0"/>
        <w:jc w:val="both"/>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3.4净水流量：≥70L/h ；</w:t>
      </w:r>
    </w:p>
    <w:p>
      <w:pPr>
        <w:pStyle w:val="13"/>
        <w:keepNext w:val="0"/>
        <w:keepLines w:val="0"/>
        <w:pageBreakBefore w:val="0"/>
        <w:widowControl w:val="0"/>
        <w:kinsoku/>
        <w:wordWrap/>
        <w:overflowPunct/>
        <w:topLinePunct w:val="0"/>
        <w:autoSpaceDE/>
        <w:autoSpaceDN/>
        <w:bidi w:val="0"/>
        <w:spacing w:after="0" w:line="460" w:lineRule="exact"/>
        <w:ind w:left="0" w:leftChars="0" w:right="0" w:rightChars="0" w:firstLine="0" w:firstLineChars="0"/>
        <w:jc w:val="both"/>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3.5生活用水流量：≥200L/h ；</w:t>
      </w:r>
    </w:p>
    <w:p>
      <w:pPr>
        <w:pStyle w:val="13"/>
        <w:keepNext w:val="0"/>
        <w:keepLines w:val="0"/>
        <w:pageBreakBefore w:val="0"/>
        <w:widowControl w:val="0"/>
        <w:kinsoku/>
        <w:wordWrap/>
        <w:overflowPunct/>
        <w:topLinePunct w:val="0"/>
        <w:autoSpaceDE/>
        <w:autoSpaceDN/>
        <w:bidi w:val="0"/>
        <w:spacing w:after="0" w:line="460" w:lineRule="exact"/>
        <w:ind w:left="0" w:leftChars="0" w:right="0" w:rightChars="0" w:firstLine="0" w:firstLineChars="0"/>
        <w:jc w:val="both"/>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3.6净水容量：≥3m</w:t>
      </w:r>
      <w:r>
        <w:rPr>
          <w:rFonts w:hint="eastAsia" w:ascii="仿宋" w:hAnsi="仿宋" w:eastAsia="仿宋" w:cs="仿宋"/>
          <w:bCs/>
          <w:color w:val="auto"/>
          <w:sz w:val="24"/>
          <w:szCs w:val="24"/>
          <w:highlight w:val="none"/>
          <w:vertAlign w:val="superscript"/>
          <w:lang w:val="en-US" w:eastAsia="zh-CN"/>
        </w:rPr>
        <w:t>3</w:t>
      </w:r>
      <w:r>
        <w:rPr>
          <w:rFonts w:hint="eastAsia" w:ascii="仿宋" w:hAnsi="仿宋" w:eastAsia="仿宋" w:cs="仿宋"/>
          <w:bCs/>
          <w:color w:val="auto"/>
          <w:sz w:val="24"/>
          <w:szCs w:val="24"/>
          <w:highlight w:val="none"/>
          <w:lang w:val="en-US" w:eastAsia="zh-CN"/>
        </w:rPr>
        <w:t xml:space="preserve"> ；</w:t>
      </w:r>
    </w:p>
    <w:p>
      <w:pPr>
        <w:pStyle w:val="13"/>
        <w:keepNext w:val="0"/>
        <w:keepLines w:val="0"/>
        <w:pageBreakBefore w:val="0"/>
        <w:widowControl w:val="0"/>
        <w:kinsoku/>
        <w:wordWrap/>
        <w:overflowPunct/>
        <w:topLinePunct w:val="0"/>
        <w:autoSpaceDE/>
        <w:autoSpaceDN/>
        <w:bidi w:val="0"/>
        <w:spacing w:after="0" w:line="460" w:lineRule="exact"/>
        <w:ind w:left="0" w:leftChars="0" w:right="0" w:rightChars="0" w:firstLine="0" w:firstLineChars="0"/>
        <w:jc w:val="both"/>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3.7尺寸：</w:t>
      </w:r>
      <w:r>
        <w:rPr>
          <w:rFonts w:hint="eastAsia" w:ascii="仿宋" w:hAnsi="仿宋" w:eastAsia="仿宋" w:cs="仿宋"/>
          <w:color w:val="auto"/>
          <w:sz w:val="24"/>
          <w:szCs w:val="24"/>
          <w:highlight w:val="none"/>
        </w:rPr>
        <w:t>长×宽×高（</w:t>
      </w:r>
      <w:r>
        <w:rPr>
          <w:rFonts w:hint="eastAsia" w:ascii="仿宋" w:hAnsi="仿宋" w:eastAsia="仿宋" w:cs="仿宋"/>
          <w:bCs/>
          <w:color w:val="auto"/>
          <w:sz w:val="24"/>
          <w:szCs w:val="24"/>
          <w:highlight w:val="none"/>
          <w:lang w:val="en-US" w:eastAsia="zh-CN"/>
        </w:rPr>
        <w:t>mm</w:t>
      </w:r>
      <w:r>
        <w:rPr>
          <w:rFonts w:hint="eastAsia" w:ascii="仿宋" w:hAnsi="仿宋" w:eastAsia="仿宋" w:cs="仿宋"/>
          <w:color w:val="auto"/>
          <w:sz w:val="24"/>
          <w:szCs w:val="24"/>
          <w:highlight w:val="none"/>
        </w:rPr>
        <w:t>）</w:t>
      </w:r>
      <w:r>
        <w:rPr>
          <w:rFonts w:hint="eastAsia" w:ascii="仿宋" w:hAnsi="仿宋" w:eastAsia="仿宋" w:cs="仿宋"/>
          <w:bCs/>
          <w:color w:val="auto"/>
          <w:sz w:val="24"/>
          <w:szCs w:val="24"/>
          <w:highlight w:val="none"/>
          <w:lang w:val="en-US" w:eastAsia="zh-CN"/>
        </w:rPr>
        <w:t>≥500*400*500 ；</w:t>
      </w:r>
    </w:p>
    <w:p>
      <w:pPr>
        <w:pStyle w:val="13"/>
        <w:keepNext w:val="0"/>
        <w:keepLines w:val="0"/>
        <w:pageBreakBefore w:val="0"/>
        <w:widowControl w:val="0"/>
        <w:kinsoku/>
        <w:wordWrap/>
        <w:overflowPunct/>
        <w:topLinePunct w:val="0"/>
        <w:autoSpaceDE/>
        <w:autoSpaceDN/>
        <w:bidi w:val="0"/>
        <w:spacing w:after="0" w:line="460" w:lineRule="exact"/>
        <w:ind w:left="0" w:leftChars="0" w:right="0" w:rightChars="0" w:firstLine="0" w:firstLineChars="0"/>
        <w:jc w:val="both"/>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3.8材料：陶瓷、NMC 滤料、活性炭、RO膜、PP、ABS、PE、不锈钢等；</w:t>
      </w:r>
    </w:p>
    <w:p>
      <w:pPr>
        <w:pStyle w:val="13"/>
        <w:keepNext w:val="0"/>
        <w:keepLines w:val="0"/>
        <w:pageBreakBefore w:val="0"/>
        <w:widowControl w:val="0"/>
        <w:kinsoku/>
        <w:wordWrap/>
        <w:overflowPunct/>
        <w:topLinePunct w:val="0"/>
        <w:autoSpaceDE/>
        <w:autoSpaceDN/>
        <w:bidi w:val="0"/>
        <w:spacing w:after="0" w:line="460" w:lineRule="exact"/>
        <w:ind w:left="0" w:leftChars="0" w:right="0" w:rightChars="0" w:firstLine="0" w:firstLineChars="0"/>
        <w:jc w:val="both"/>
        <w:outlineLvl w:val="9"/>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3.</w:t>
      </w:r>
      <w:r>
        <w:rPr>
          <w:rFonts w:hint="eastAsia" w:ascii="仿宋" w:hAnsi="仿宋" w:eastAsia="仿宋" w:cs="仿宋"/>
          <w:bCs/>
          <w:color w:val="auto"/>
          <w:sz w:val="24"/>
          <w:szCs w:val="24"/>
          <w:highlight w:val="none"/>
          <w:lang w:val="en-US" w:eastAsia="zh-CN"/>
        </w:rPr>
        <w:t>9</w:t>
      </w:r>
      <w:r>
        <w:rPr>
          <w:rFonts w:hint="eastAsia" w:ascii="仿宋" w:hAnsi="仿宋" w:eastAsia="仿宋" w:cs="仿宋"/>
          <w:bCs/>
          <w:color w:val="auto"/>
          <w:sz w:val="24"/>
          <w:szCs w:val="24"/>
          <w:highlight w:val="none"/>
        </w:rPr>
        <w:t>供货前，供应商须对接用户单位，满足用户需求。</w:t>
      </w:r>
    </w:p>
    <w:p>
      <w:pPr>
        <w:pStyle w:val="13"/>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szCs w:val="24"/>
          <w:highlight w:val="none"/>
        </w:rPr>
        <w:t>3.1</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提供中文使用说明书（含电子版），含装备简介、使用注意事项及维护保养等内容。</w:t>
      </w: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b w:val="0"/>
          <w:bCs w:val="0"/>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1"/>
        <w:rPr>
          <w:rFonts w:hint="eastAsia" w:ascii="仿宋" w:hAnsi="仿宋" w:eastAsia="仿宋" w:cs="仿宋"/>
          <w:b/>
          <w:bCs/>
          <w:color w:val="auto"/>
          <w:sz w:val="24"/>
          <w:szCs w:val="24"/>
          <w:highlight w:val="none"/>
          <w:lang w:val="en-US" w:eastAsia="zh-CN"/>
        </w:rPr>
      </w:pPr>
      <w:bookmarkStart w:id="594" w:name="_Toc21582"/>
      <w:bookmarkStart w:id="595" w:name="_Toc8985"/>
      <w:bookmarkStart w:id="596" w:name="_Toc5737"/>
      <w:bookmarkStart w:id="597" w:name="_Toc4810"/>
      <w:bookmarkStart w:id="598" w:name="_Toc4315"/>
      <w:r>
        <w:rPr>
          <w:rFonts w:hint="eastAsia" w:ascii="仿宋" w:hAnsi="仿宋" w:eastAsia="仿宋" w:cs="仿宋"/>
          <w:b/>
          <w:bCs/>
          <w:color w:val="auto"/>
          <w:sz w:val="24"/>
          <w:szCs w:val="24"/>
          <w:highlight w:val="none"/>
          <w:lang w:val="en-US" w:eastAsia="zh-CN"/>
        </w:rPr>
        <w:t>98包：宿营方舱</w:t>
      </w:r>
      <w:bookmarkEnd w:id="594"/>
      <w:bookmarkEnd w:id="595"/>
      <w:bookmarkEnd w:id="596"/>
      <w:bookmarkEnd w:id="597"/>
      <w:bookmarkEnd w:id="598"/>
    </w:p>
    <w:p>
      <w:pPr>
        <w:keepNext w:val="0"/>
        <w:keepLines w:val="0"/>
        <w:pageBreakBefore w:val="0"/>
        <w:widowControl w:val="0"/>
        <w:kinsoku/>
        <w:wordWrap/>
        <w:overflowPunct/>
        <w:topLinePunct w:val="0"/>
        <w:autoSpaceDE/>
        <w:autoSpaceDN/>
        <w:bidi w:val="0"/>
        <w:adjustRightInd w:val="0"/>
        <w:snapToGrid w:val="0"/>
        <w:spacing w:line="460" w:lineRule="exact"/>
        <w:ind w:left="0" w:leftChars="0" w:right="0" w:rightChars="0" w:firstLine="0" w:firstLineChars="0"/>
        <w:jc w:val="both"/>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一、货物名称：</w:t>
      </w:r>
      <w:r>
        <w:rPr>
          <w:rFonts w:hint="eastAsia" w:ascii="仿宋" w:hAnsi="仿宋" w:eastAsia="仿宋" w:cs="仿宋"/>
          <w:color w:val="auto"/>
          <w:sz w:val="24"/>
          <w:szCs w:val="24"/>
          <w:highlight w:val="none"/>
          <w:lang w:val="en-US" w:eastAsia="zh-CN"/>
        </w:rPr>
        <w:t>宿营方舱</w:t>
      </w:r>
    </w:p>
    <w:p>
      <w:pPr>
        <w:keepNext w:val="0"/>
        <w:keepLines w:val="0"/>
        <w:pageBreakBefore w:val="0"/>
        <w:widowControl w:val="0"/>
        <w:kinsoku/>
        <w:wordWrap/>
        <w:overflowPunct/>
        <w:topLinePunct w:val="0"/>
        <w:autoSpaceDE/>
        <w:autoSpaceDN/>
        <w:bidi w:val="0"/>
        <w:adjustRightInd w:val="0"/>
        <w:snapToGrid w:val="0"/>
        <w:spacing w:line="460" w:lineRule="exact"/>
        <w:ind w:left="0" w:leftChars="0" w:right="0" w:rightChars="0" w:firstLine="0" w:firstLineChars="0"/>
        <w:jc w:val="both"/>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二、产地：国产</w:t>
      </w:r>
    </w:p>
    <w:p>
      <w:pPr>
        <w:keepNext w:val="0"/>
        <w:keepLines w:val="0"/>
        <w:pageBreakBefore w:val="0"/>
        <w:widowControl w:val="0"/>
        <w:kinsoku/>
        <w:wordWrap/>
        <w:overflowPunct/>
        <w:topLinePunct w:val="0"/>
        <w:autoSpaceDE/>
        <w:autoSpaceDN/>
        <w:bidi w:val="0"/>
        <w:adjustRightInd w:val="0"/>
        <w:snapToGrid w:val="0"/>
        <w:spacing w:line="460" w:lineRule="exact"/>
        <w:ind w:left="0" w:leftChars="0" w:right="0" w:rightChars="0" w:firstLine="0" w:firstLineChars="0"/>
        <w:jc w:val="both"/>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三、主要技术规格、参数及要求：</w:t>
      </w:r>
    </w:p>
    <w:p>
      <w:pPr>
        <w:keepNext w:val="0"/>
        <w:keepLines w:val="0"/>
        <w:pageBreakBefore w:val="0"/>
        <w:kinsoku/>
        <w:wordWrap/>
        <w:overflowPunct/>
        <w:topLinePunct w:val="0"/>
        <w:bidi w:val="0"/>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满足≥24人宿营需求，配备空调、加热器、洗漱台，独立卫生间以及空气净化系统；</w:t>
      </w:r>
    </w:p>
    <w:p>
      <w:pPr>
        <w:keepNext w:val="0"/>
        <w:keepLines w:val="0"/>
        <w:pageBreakBefore w:val="0"/>
        <w:kinsoku/>
        <w:wordWrap/>
        <w:overflowPunct/>
        <w:topLinePunct w:val="0"/>
        <w:bidi w:val="0"/>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箱体</w:t>
      </w:r>
    </w:p>
    <w:p>
      <w:pPr>
        <w:keepNext w:val="0"/>
        <w:keepLines w:val="0"/>
        <w:pageBreakBefore w:val="0"/>
        <w:kinsoku/>
        <w:wordWrap/>
        <w:overflowPunct/>
        <w:topLinePunct w:val="0"/>
        <w:bidi w:val="0"/>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.1箱体尺寸长×宽×高（mm）：≥9000×2400×2800，配标准集装箱角件，厢体内部采用基板加波音软片装饰；采用高强度型钢焊接，磷化镀锌处理；外蒙皮为铝板；</w:t>
      </w:r>
    </w:p>
    <w:p>
      <w:pPr>
        <w:keepNext w:val="0"/>
        <w:keepLines w:val="0"/>
        <w:pageBreakBefore w:val="0"/>
        <w:kinsoku/>
        <w:wordWrap/>
        <w:overflowPunct/>
        <w:topLinePunct w:val="0"/>
        <w:bidi w:val="0"/>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.2箱体具备防水，顶部喷涂防晒涂层处理；</w:t>
      </w:r>
    </w:p>
    <w:p>
      <w:pPr>
        <w:keepNext w:val="0"/>
        <w:keepLines w:val="0"/>
        <w:pageBreakBefore w:val="0"/>
        <w:kinsoku/>
        <w:wordWrap/>
        <w:overflowPunct/>
        <w:topLinePunct w:val="0"/>
        <w:bidi w:val="0"/>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.3箱体内部安装两个带逃生功能的排风窗；</w:t>
      </w:r>
    </w:p>
    <w:p>
      <w:pPr>
        <w:keepNext w:val="0"/>
        <w:keepLines w:val="0"/>
        <w:pageBreakBefore w:val="0"/>
        <w:kinsoku/>
        <w:wordWrap/>
        <w:overflowPunct/>
        <w:topLinePunct w:val="0"/>
        <w:bidi w:val="0"/>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.4箱体两侧各安装三个专用外推式采光窗，采光窗带纱帘和遮</w:t>
      </w:r>
      <w:r>
        <w:rPr>
          <w:rFonts w:hint="eastAsia" w:ascii="仿宋" w:hAnsi="仿宋" w:eastAsia="仿宋" w:cs="仿宋"/>
          <w:color w:val="auto"/>
          <w:sz w:val="24"/>
          <w:szCs w:val="24"/>
          <w:lang w:val="en-US" w:eastAsia="zh-CN"/>
        </w:rPr>
        <w:t>阳</w:t>
      </w:r>
      <w:r>
        <w:rPr>
          <w:rFonts w:hint="eastAsia" w:ascii="仿宋" w:hAnsi="仿宋" w:eastAsia="仿宋" w:cs="仿宋"/>
          <w:color w:val="auto"/>
          <w:sz w:val="24"/>
          <w:szCs w:val="24"/>
        </w:rPr>
        <w:t>帘；</w:t>
      </w:r>
    </w:p>
    <w:p>
      <w:pPr>
        <w:keepNext w:val="0"/>
        <w:keepLines w:val="0"/>
        <w:pageBreakBefore w:val="0"/>
        <w:kinsoku/>
        <w:wordWrap/>
        <w:overflowPunct/>
        <w:topLinePunct w:val="0"/>
        <w:bidi w:val="0"/>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.5颜色：提前对接使用单位，满足用户需求；</w:t>
      </w:r>
    </w:p>
    <w:p>
      <w:pPr>
        <w:keepNext w:val="0"/>
        <w:keepLines w:val="0"/>
        <w:pageBreakBefore w:val="0"/>
        <w:kinsoku/>
        <w:wordWrap/>
        <w:overflowPunct/>
        <w:topLinePunct w:val="0"/>
        <w:bidi w:val="0"/>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传动系统</w:t>
      </w:r>
    </w:p>
    <w:p>
      <w:pPr>
        <w:keepNext w:val="0"/>
        <w:keepLines w:val="0"/>
        <w:pageBreakBefore w:val="0"/>
        <w:kinsoku/>
        <w:wordWrap/>
        <w:overflowPunct/>
        <w:topLinePunct w:val="0"/>
        <w:bidi w:val="0"/>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.1整个系统电源</w:t>
      </w:r>
      <w:r>
        <w:rPr>
          <w:rFonts w:hint="eastAsia" w:ascii="仿宋" w:hAnsi="仿宋" w:eastAsia="仿宋" w:cs="仿宋"/>
          <w:color w:val="auto"/>
          <w:sz w:val="24"/>
          <w:szCs w:val="24"/>
          <w:lang w:val="en-US" w:eastAsia="zh-CN"/>
        </w:rPr>
        <w:t>为</w:t>
      </w:r>
      <w:r>
        <w:rPr>
          <w:rFonts w:hint="eastAsia" w:ascii="仿宋" w:hAnsi="仿宋" w:eastAsia="仿宋" w:cs="仿宋"/>
          <w:color w:val="auto"/>
          <w:sz w:val="24"/>
          <w:szCs w:val="24"/>
        </w:rPr>
        <w:t>220V交流电，</w:t>
      </w:r>
      <w:r>
        <w:rPr>
          <w:rFonts w:hint="eastAsia" w:ascii="仿宋" w:hAnsi="仿宋" w:eastAsia="仿宋" w:cs="仿宋"/>
          <w:color w:val="auto"/>
          <w:sz w:val="24"/>
          <w:szCs w:val="24"/>
          <w:lang w:val="en-US" w:eastAsia="zh-CN"/>
        </w:rPr>
        <w:t>可外接市电，可使用发电机，均</w:t>
      </w:r>
      <w:r>
        <w:rPr>
          <w:rFonts w:hint="eastAsia" w:ascii="仿宋" w:hAnsi="仿宋" w:eastAsia="仿宋" w:cs="仿宋"/>
          <w:color w:val="auto"/>
          <w:sz w:val="24"/>
          <w:szCs w:val="24"/>
        </w:rPr>
        <w:t>运行平稳，安全可靠</w:t>
      </w:r>
      <w:r>
        <w:rPr>
          <w:rFonts w:hint="eastAsia" w:ascii="仿宋" w:hAnsi="仿宋" w:eastAsia="仿宋" w:cs="仿宋"/>
          <w:color w:val="auto"/>
          <w:sz w:val="24"/>
          <w:szCs w:val="24"/>
          <w:lang w:eastAsia="zh-CN"/>
        </w:rPr>
        <w:t>；</w:t>
      </w:r>
    </w:p>
    <w:p>
      <w:pPr>
        <w:keepNext w:val="0"/>
        <w:keepLines w:val="0"/>
        <w:pageBreakBefore w:val="0"/>
        <w:kinsoku/>
        <w:wordWrap/>
        <w:overflowPunct/>
        <w:topLinePunct w:val="0"/>
        <w:bidi w:val="0"/>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.2配备4支自卸支腿，单腿承重≥8吨，配备传感器，确保升降同步，安全可靠；</w:t>
      </w:r>
    </w:p>
    <w:p>
      <w:pPr>
        <w:keepNext w:val="0"/>
        <w:keepLines w:val="0"/>
        <w:pageBreakBefore w:val="0"/>
        <w:kinsoku/>
        <w:wordWrap/>
        <w:overflowPunct/>
        <w:topLinePunct w:val="0"/>
        <w:bidi w:val="0"/>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.3箱体为整体外推式扩展系统，具备电动和手动两种模式，扩展时间＜2min；</w:t>
      </w:r>
    </w:p>
    <w:p>
      <w:pPr>
        <w:keepNext w:val="0"/>
        <w:keepLines w:val="0"/>
        <w:pageBreakBefore w:val="0"/>
        <w:kinsoku/>
        <w:wordWrap/>
        <w:overflowPunct/>
        <w:topLinePunct w:val="0"/>
        <w:bidi w:val="0"/>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.4传动系统具备线控和无线遥控两种控制模式；</w:t>
      </w:r>
    </w:p>
    <w:p>
      <w:pPr>
        <w:keepNext w:val="0"/>
        <w:keepLines w:val="0"/>
        <w:pageBreakBefore w:val="0"/>
        <w:kinsoku/>
        <w:wordWrap/>
        <w:overflowPunct/>
        <w:topLinePunct w:val="0"/>
        <w:bidi w:val="0"/>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照明系统</w:t>
      </w:r>
    </w:p>
    <w:p>
      <w:pPr>
        <w:keepNext w:val="0"/>
        <w:keepLines w:val="0"/>
        <w:pageBreakBefore w:val="0"/>
        <w:kinsoku/>
        <w:wordWrap/>
        <w:overflowPunct/>
        <w:topLinePunct w:val="0"/>
        <w:bidi w:val="0"/>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.1方舱内部安装平板灯10只、工作电压DC24V；</w:t>
      </w:r>
    </w:p>
    <w:p>
      <w:pPr>
        <w:keepNext w:val="0"/>
        <w:keepLines w:val="0"/>
        <w:pageBreakBefore w:val="0"/>
        <w:kinsoku/>
        <w:wordWrap/>
        <w:overflowPunct/>
        <w:topLinePunct w:val="0"/>
        <w:bidi w:val="0"/>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.2灯带10根、工作电压：DC24V；</w:t>
      </w:r>
    </w:p>
    <w:p>
      <w:pPr>
        <w:keepNext w:val="0"/>
        <w:keepLines w:val="0"/>
        <w:pageBreakBefore w:val="0"/>
        <w:kinsoku/>
        <w:wordWrap/>
        <w:overflowPunct/>
        <w:topLinePunct w:val="0"/>
        <w:bidi w:val="0"/>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.3白光长条灯带，灯带长度≥6m；</w:t>
      </w:r>
    </w:p>
    <w:p>
      <w:pPr>
        <w:keepNext w:val="0"/>
        <w:keepLines w:val="0"/>
        <w:pageBreakBefore w:val="0"/>
        <w:kinsoku/>
        <w:wordWrap/>
        <w:overflowPunct/>
        <w:topLinePunct w:val="0"/>
        <w:bidi w:val="0"/>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.4方舱两侧及前后共安装场地灯10只；</w:t>
      </w:r>
    </w:p>
    <w:p>
      <w:pPr>
        <w:keepNext w:val="0"/>
        <w:keepLines w:val="0"/>
        <w:pageBreakBefore w:val="0"/>
        <w:kinsoku/>
        <w:wordWrap/>
        <w:overflowPunct/>
        <w:topLinePunct w:val="0"/>
        <w:bidi w:val="0"/>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.5照明系统具备交流220V和直流24V两种供电模式；</w:t>
      </w:r>
    </w:p>
    <w:p>
      <w:pPr>
        <w:keepNext w:val="0"/>
        <w:keepLines w:val="0"/>
        <w:pageBreakBefore w:val="0"/>
        <w:kinsoku/>
        <w:wordWrap/>
        <w:overflowPunct/>
        <w:topLinePunct w:val="0"/>
        <w:bidi w:val="0"/>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生活设施</w:t>
      </w:r>
    </w:p>
    <w:p>
      <w:pPr>
        <w:keepNext w:val="0"/>
        <w:keepLines w:val="0"/>
        <w:pageBreakBefore w:val="0"/>
        <w:kinsoku/>
        <w:wordWrap/>
        <w:overflowPunct/>
        <w:topLinePunct w:val="0"/>
        <w:bidi w:val="0"/>
        <w:spacing w:beforeLines="0" w:afterLines="0"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.1 安装两台</w:t>
      </w:r>
      <w:r>
        <w:rPr>
          <w:rFonts w:hint="eastAsia" w:ascii="仿宋" w:hAnsi="仿宋" w:eastAsia="仿宋" w:cs="仿宋"/>
          <w:color w:val="auto"/>
          <w:sz w:val="24"/>
          <w:szCs w:val="24"/>
          <w:highlight w:val="none"/>
          <w:lang w:eastAsia="zh-CN"/>
        </w:rPr>
        <w:t>均≥</w:t>
      </w:r>
      <w:r>
        <w:rPr>
          <w:rFonts w:hint="eastAsia" w:ascii="仿宋" w:hAnsi="仿宋" w:eastAsia="仿宋" w:cs="仿宋"/>
          <w:color w:val="auto"/>
          <w:sz w:val="24"/>
          <w:szCs w:val="24"/>
          <w:highlight w:val="none"/>
        </w:rPr>
        <w:t>1.5P冷暖空调；</w:t>
      </w:r>
    </w:p>
    <w:p>
      <w:pPr>
        <w:keepNext w:val="0"/>
        <w:keepLines w:val="0"/>
        <w:pageBreakBefore w:val="0"/>
        <w:kinsoku/>
        <w:wordWrap/>
        <w:overflowPunct/>
        <w:topLinePunct w:val="0"/>
        <w:bidi w:val="0"/>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.2安装一套卫生间系统，含马桶、淋浴、洗手洗漱功能；</w:t>
      </w:r>
    </w:p>
    <w:p>
      <w:pPr>
        <w:keepNext w:val="0"/>
        <w:keepLines w:val="0"/>
        <w:pageBreakBefore w:val="0"/>
        <w:kinsoku/>
        <w:wordWrap/>
        <w:overflowPunct/>
        <w:topLinePunct w:val="0"/>
        <w:bidi w:val="0"/>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.3配置一个电磁炉，一个微波炉，一个洗手池；</w:t>
      </w:r>
    </w:p>
    <w:p>
      <w:pPr>
        <w:keepNext w:val="0"/>
        <w:keepLines w:val="0"/>
        <w:pageBreakBefore w:val="0"/>
        <w:kinsoku/>
        <w:wordWrap/>
        <w:overflowPunct/>
        <w:topLinePunct w:val="0"/>
        <w:bidi w:val="0"/>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.4配备≥24套折叠式床铺，床铺可坐，可躺；</w:t>
      </w:r>
    </w:p>
    <w:p>
      <w:pPr>
        <w:keepNext w:val="0"/>
        <w:keepLines w:val="0"/>
        <w:pageBreakBefore w:val="0"/>
        <w:kinsoku/>
        <w:wordWrap/>
        <w:overflowPunct/>
        <w:topLinePunct w:val="0"/>
        <w:bidi w:val="0"/>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.5配备6套床头柜，可放置生活用品；</w:t>
      </w:r>
    </w:p>
    <w:p>
      <w:pPr>
        <w:keepNext w:val="0"/>
        <w:keepLines w:val="0"/>
        <w:pageBreakBefore w:val="0"/>
        <w:kinsoku/>
        <w:wordWrap/>
        <w:overflowPunct/>
        <w:topLinePunct w:val="0"/>
        <w:bidi w:val="0"/>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.6每个床铺配备充电插座（插座带充电USB口），阅读灯，网兜等；</w:t>
      </w:r>
    </w:p>
    <w:p>
      <w:pPr>
        <w:keepNext w:val="0"/>
        <w:keepLines w:val="0"/>
        <w:pageBreakBefore w:val="0"/>
        <w:kinsoku/>
        <w:wordWrap/>
        <w:overflowPunct/>
        <w:topLinePunct w:val="0"/>
        <w:bidi w:val="0"/>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电器系统</w:t>
      </w:r>
    </w:p>
    <w:p>
      <w:pPr>
        <w:keepNext w:val="0"/>
        <w:keepLines w:val="0"/>
        <w:pageBreakBefore w:val="0"/>
        <w:kinsoku/>
        <w:wordWrap/>
        <w:overflowPunct/>
        <w:topLinePunct w:val="0"/>
        <w:bidi w:val="0"/>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.1 配备1台≥75 英寸车载专用显示器，抗震性能优越；</w:t>
      </w:r>
    </w:p>
    <w:p>
      <w:pPr>
        <w:keepNext w:val="0"/>
        <w:keepLines w:val="0"/>
        <w:pageBreakBefore w:val="0"/>
        <w:kinsoku/>
        <w:wordWrap/>
        <w:overflowPunct/>
        <w:topLinePunct w:val="0"/>
        <w:bidi w:val="0"/>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接口窗具有音视频，以太网及电源接口，电源线预埋，音频，视频线预埋，接口集成，双备份；</w:t>
      </w:r>
    </w:p>
    <w:p>
      <w:pPr>
        <w:keepNext w:val="0"/>
        <w:keepLines w:val="0"/>
        <w:pageBreakBefore w:val="0"/>
        <w:kinsoku/>
        <w:wordWrap/>
        <w:overflowPunct/>
        <w:topLinePunct w:val="0"/>
        <w:bidi w:val="0"/>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整车线束具备高压、低压线路，高低压分开相隔离，线束外部缠绕阻燃波纹管，各支路有线标标注；</w:t>
      </w:r>
    </w:p>
    <w:p>
      <w:pPr>
        <w:keepNext w:val="0"/>
        <w:keepLines w:val="0"/>
        <w:pageBreakBefore w:val="0"/>
        <w:kinsoku/>
        <w:wordWrap/>
        <w:overflowPunct/>
        <w:topLinePunct w:val="0"/>
        <w:bidi w:val="0"/>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电池组2块 单块电池电压：DC12V，电池容量</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120AH；24V充电机一台，自动充电系统具备低压自动开启，高压自动关闭；</w:t>
      </w:r>
    </w:p>
    <w:p>
      <w:pPr>
        <w:keepNext w:val="0"/>
        <w:keepLines w:val="0"/>
        <w:pageBreakBefore w:val="0"/>
        <w:kinsoku/>
        <w:wordWrap/>
        <w:overflowPunct/>
        <w:topLinePunct w:val="0"/>
        <w:bidi w:val="0"/>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配备一台汽油静音发电机，功率≥10KW（提供第三方检测报告</w:t>
      </w:r>
      <w:r>
        <w:rPr>
          <w:rFonts w:hint="eastAsia" w:ascii="仿宋" w:hAnsi="仿宋" w:eastAsia="仿宋" w:cs="仿宋"/>
          <w:color w:val="auto"/>
          <w:sz w:val="24"/>
          <w:szCs w:val="24"/>
          <w:lang w:eastAsia="zh-CN"/>
        </w:rPr>
        <w:t>复印件</w:t>
      </w:r>
      <w:r>
        <w:rPr>
          <w:rFonts w:hint="eastAsia" w:ascii="仿宋" w:hAnsi="仿宋" w:eastAsia="仿宋" w:cs="仿宋"/>
          <w:color w:val="auto"/>
          <w:sz w:val="24"/>
          <w:szCs w:val="24"/>
        </w:rPr>
        <w:t>）；</w:t>
      </w:r>
    </w:p>
    <w:p>
      <w:pPr>
        <w:keepNext w:val="0"/>
        <w:keepLines w:val="0"/>
        <w:pageBreakBefore w:val="0"/>
        <w:kinsoku/>
        <w:wordWrap/>
        <w:overflowPunct/>
        <w:topLinePunct w:val="0"/>
        <w:bidi w:val="0"/>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其他</w:t>
      </w:r>
    </w:p>
    <w:p>
      <w:pPr>
        <w:keepNext w:val="0"/>
        <w:keepLines w:val="0"/>
        <w:pageBreakBefore w:val="0"/>
        <w:kinsoku/>
        <w:wordWrap/>
        <w:overflowPunct/>
        <w:topLinePunct w:val="0"/>
        <w:bidi w:val="0"/>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.1手提电缆盘，含3*10电缆共50m；</w:t>
      </w:r>
    </w:p>
    <w:p>
      <w:pPr>
        <w:keepNext w:val="0"/>
        <w:keepLines w:val="0"/>
        <w:pageBreakBefore w:val="0"/>
        <w:kinsoku/>
        <w:wordWrap/>
        <w:overflowPunct/>
        <w:topLinePunct w:val="0"/>
        <w:bidi w:val="0"/>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.2接地棒 1 套 镀铜接地棒，抗拉强度大，耐腐蚀性强；</w:t>
      </w:r>
    </w:p>
    <w:p>
      <w:pPr>
        <w:keepNext w:val="0"/>
        <w:keepLines w:val="0"/>
        <w:pageBreakBefore w:val="0"/>
        <w:kinsoku/>
        <w:wordWrap/>
        <w:overflowPunct/>
        <w:topLinePunct w:val="0"/>
        <w:bidi w:val="0"/>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.3配置一套土木工具包；</w:t>
      </w:r>
    </w:p>
    <w:p>
      <w:pPr>
        <w:keepNext w:val="0"/>
        <w:keepLines w:val="0"/>
        <w:pageBreakBefore w:val="0"/>
        <w:kinsoku/>
        <w:wordWrap/>
        <w:overflowPunct/>
        <w:topLinePunct w:val="0"/>
        <w:bidi w:val="0"/>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.4配置2个干粉灭火器；</w:t>
      </w:r>
    </w:p>
    <w:p>
      <w:pPr>
        <w:keepNext w:val="0"/>
        <w:keepLines w:val="0"/>
        <w:pageBreakBefore w:val="0"/>
        <w:kinsoku/>
        <w:wordWrap/>
        <w:overflowPunct/>
        <w:topLinePunct w:val="0"/>
        <w:bidi w:val="0"/>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8</w:t>
      </w:r>
      <w:r>
        <w:rPr>
          <w:rFonts w:hint="eastAsia" w:ascii="仿宋" w:hAnsi="仿宋" w:eastAsia="仿宋" w:cs="仿宋"/>
          <w:color w:val="auto"/>
          <w:sz w:val="24"/>
          <w:szCs w:val="24"/>
        </w:rPr>
        <w:t>提供本项目方舱设计图纸，须包括：A/B/C/D正立面、俯视图、便于后续维修。供货前，须主动对接使用单位，确保满足用户需求；</w:t>
      </w:r>
    </w:p>
    <w:p>
      <w:pPr>
        <w:keepNext w:val="0"/>
        <w:keepLines w:val="0"/>
        <w:pageBreakBefore w:val="0"/>
        <w:kinsoku/>
        <w:wordWrap/>
        <w:overflowPunct/>
        <w:topLinePunct w:val="0"/>
        <w:bidi w:val="0"/>
        <w:spacing w:beforeLines="0" w:afterLines="0" w:line="460" w:lineRule="exact"/>
        <w:rPr>
          <w:color w:val="auto"/>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9</w:t>
      </w:r>
      <w:r>
        <w:rPr>
          <w:rFonts w:hint="eastAsia" w:ascii="仿宋" w:hAnsi="仿宋" w:eastAsia="仿宋" w:cs="仿宋"/>
          <w:color w:val="auto"/>
          <w:sz w:val="24"/>
          <w:szCs w:val="24"/>
        </w:rPr>
        <w:t>提供中文使用说明书（含电子版），含装备简介、使用注意事项及维护保养等内容。</w:t>
      </w: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color w:val="auto"/>
          <w:sz w:val="24"/>
          <w:szCs w:val="24"/>
          <w:highlight w:val="none"/>
        </w:rPr>
      </w:pP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1"/>
        <w:rPr>
          <w:rFonts w:hint="eastAsia" w:ascii="仿宋" w:hAnsi="仿宋" w:eastAsia="仿宋" w:cs="仿宋"/>
          <w:b/>
          <w:bCs/>
          <w:color w:val="auto"/>
          <w:sz w:val="24"/>
          <w:szCs w:val="24"/>
          <w:highlight w:val="none"/>
          <w:lang w:val="en-US" w:eastAsia="zh-CN"/>
        </w:rPr>
      </w:pPr>
      <w:bookmarkStart w:id="599" w:name="_Toc22995"/>
      <w:bookmarkStart w:id="600" w:name="_Toc28060"/>
      <w:bookmarkStart w:id="601" w:name="_Toc9528"/>
      <w:bookmarkStart w:id="602" w:name="_Toc18678"/>
      <w:bookmarkStart w:id="603" w:name="_Toc31534"/>
      <w:r>
        <w:rPr>
          <w:rFonts w:hint="eastAsia" w:ascii="仿宋" w:hAnsi="仿宋" w:eastAsia="仿宋" w:cs="仿宋"/>
          <w:b/>
          <w:bCs/>
          <w:color w:val="auto"/>
          <w:sz w:val="24"/>
          <w:szCs w:val="24"/>
          <w:highlight w:val="none"/>
          <w:lang w:val="en-US" w:eastAsia="zh-CN"/>
        </w:rPr>
        <w:t>99包：便携式推车</w:t>
      </w:r>
      <w:bookmarkEnd w:id="599"/>
      <w:bookmarkEnd w:id="600"/>
      <w:bookmarkEnd w:id="601"/>
      <w:bookmarkEnd w:id="602"/>
      <w:bookmarkEnd w:id="603"/>
    </w:p>
    <w:p>
      <w:pPr>
        <w:pStyle w:val="13"/>
        <w:keepNext w:val="0"/>
        <w:keepLines w:val="0"/>
        <w:pageBreakBefore w:val="0"/>
        <w:widowControl w:val="0"/>
        <w:kinsoku/>
        <w:wordWrap/>
        <w:overflowPunct/>
        <w:topLinePunct w:val="0"/>
        <w:autoSpaceDE/>
        <w:autoSpaceDN/>
        <w:bidi w:val="0"/>
        <w:adjustRightInd w:val="0"/>
        <w:snapToGrid w:val="0"/>
        <w:spacing w:after="0" w:line="460" w:lineRule="exact"/>
        <w:ind w:left="0" w:right="0" w:rightChars="0"/>
        <w:jc w:val="both"/>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一、货物名称：</w:t>
      </w:r>
      <w:r>
        <w:rPr>
          <w:rFonts w:hint="eastAsia" w:ascii="仿宋" w:hAnsi="仿宋" w:eastAsia="仿宋" w:cs="仿宋"/>
          <w:b w:val="0"/>
          <w:bCs w:val="0"/>
          <w:color w:val="auto"/>
          <w:sz w:val="24"/>
          <w:szCs w:val="24"/>
          <w:highlight w:val="none"/>
          <w:lang w:eastAsia="zh-CN"/>
        </w:rPr>
        <w:t>便携式推车</w:t>
      </w:r>
    </w:p>
    <w:p>
      <w:pPr>
        <w:pStyle w:val="13"/>
        <w:keepNext w:val="0"/>
        <w:keepLines w:val="0"/>
        <w:pageBreakBefore w:val="0"/>
        <w:widowControl w:val="0"/>
        <w:kinsoku/>
        <w:wordWrap/>
        <w:overflowPunct/>
        <w:topLinePunct w:val="0"/>
        <w:autoSpaceDE/>
        <w:autoSpaceDN/>
        <w:bidi w:val="0"/>
        <w:adjustRightInd w:val="0"/>
        <w:snapToGrid w:val="0"/>
        <w:spacing w:after="0" w:line="460" w:lineRule="exact"/>
        <w:ind w:left="0" w:right="0" w:rightChars="0"/>
        <w:jc w:val="both"/>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二、产地：国产</w:t>
      </w:r>
    </w:p>
    <w:p>
      <w:pPr>
        <w:pStyle w:val="13"/>
        <w:keepNext w:val="0"/>
        <w:keepLines w:val="0"/>
        <w:pageBreakBefore w:val="0"/>
        <w:widowControl w:val="0"/>
        <w:kinsoku/>
        <w:wordWrap/>
        <w:overflowPunct/>
        <w:topLinePunct w:val="0"/>
        <w:autoSpaceDE/>
        <w:autoSpaceDN/>
        <w:bidi w:val="0"/>
        <w:adjustRightInd w:val="0"/>
        <w:snapToGrid w:val="0"/>
        <w:spacing w:after="0" w:line="460" w:lineRule="exact"/>
        <w:ind w:left="0" w:right="0" w:rightChars="0"/>
        <w:jc w:val="both"/>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三、主要技术规格、参数及要求</w:t>
      </w:r>
    </w:p>
    <w:p>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sz w:val="24"/>
          <w:szCs w:val="24"/>
          <w:highlight w:val="none"/>
          <w:lang w:val="en-US" w:eastAsia="zh-CN"/>
        </w:rPr>
        <w:t>3.1提供第三方检测机构出具的</w:t>
      </w:r>
      <w:r>
        <w:rPr>
          <w:rFonts w:hint="eastAsia" w:ascii="仿宋" w:hAnsi="仿宋" w:eastAsia="仿宋" w:cs="仿宋"/>
          <w:color w:val="auto"/>
          <w:sz w:val="24"/>
          <w:szCs w:val="24"/>
          <w:highlight w:val="none"/>
        </w:rPr>
        <w:t>检测/检验/试验/测试报告（报告中的型号须与所投产品型号一致）复印件</w:t>
      </w:r>
      <w:r>
        <w:rPr>
          <w:rFonts w:hint="eastAsia" w:ascii="仿宋" w:hAnsi="仿宋" w:eastAsia="仿宋" w:cs="仿宋"/>
          <w:color w:val="auto"/>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460" w:lineRule="exact"/>
        <w:ind w:right="0" w:right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3.2</w:t>
      </w:r>
      <w:r>
        <w:rPr>
          <w:rFonts w:hint="eastAsia" w:ascii="仿宋" w:hAnsi="仿宋" w:eastAsia="仿宋" w:cs="仿宋"/>
          <w:color w:val="auto"/>
          <w:sz w:val="24"/>
          <w:szCs w:val="24"/>
          <w:highlight w:val="none"/>
          <w:lang w:val="en-US" w:eastAsia="zh-CN"/>
        </w:rPr>
        <w:t>便携式推车</w:t>
      </w:r>
      <w:r>
        <w:rPr>
          <w:rFonts w:hint="eastAsia" w:ascii="仿宋" w:hAnsi="仿宋" w:eastAsia="仿宋" w:cs="仿宋"/>
          <w:b w:val="0"/>
          <w:bCs w:val="0"/>
          <w:color w:val="auto"/>
          <w:sz w:val="24"/>
          <w:szCs w:val="24"/>
          <w:highlight w:val="none"/>
          <w:lang w:val="en-US" w:eastAsia="zh-CN"/>
        </w:rPr>
        <w:t>整体表面为</w:t>
      </w:r>
      <w:r>
        <w:rPr>
          <w:rFonts w:hint="eastAsia" w:ascii="仿宋" w:hAnsi="仿宋" w:eastAsia="仿宋" w:cs="仿宋"/>
          <w:b w:val="0"/>
          <w:bCs w:val="0"/>
          <w:color w:val="auto"/>
          <w:sz w:val="24"/>
          <w:szCs w:val="24"/>
          <w:highlight w:val="none"/>
        </w:rPr>
        <w:t>一个平面</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便于存放和安放</w:t>
      </w:r>
      <w:r>
        <w:rPr>
          <w:rFonts w:hint="eastAsia" w:ascii="仿宋" w:hAnsi="仿宋" w:eastAsia="仿宋" w:cs="仿宋"/>
          <w:b w:val="0"/>
          <w:bCs w:val="0"/>
          <w:color w:val="auto"/>
          <w:sz w:val="24"/>
          <w:szCs w:val="24"/>
          <w:highlight w:val="none"/>
          <w:lang w:val="en-US" w:eastAsia="zh-CN"/>
        </w:rPr>
        <w:t>货物，轮胎采用</w:t>
      </w:r>
      <w:r>
        <w:rPr>
          <w:rFonts w:hint="eastAsia" w:ascii="仿宋" w:hAnsi="仿宋" w:eastAsia="仿宋" w:cs="仿宋"/>
          <w:b w:val="0"/>
          <w:bCs w:val="0"/>
          <w:color w:val="auto"/>
          <w:sz w:val="24"/>
          <w:szCs w:val="24"/>
          <w:highlight w:val="none"/>
        </w:rPr>
        <w:t>越野轮胎</w:t>
      </w:r>
      <w:r>
        <w:rPr>
          <w:rFonts w:hint="eastAsia" w:ascii="仿宋" w:hAnsi="仿宋" w:eastAsia="仿宋" w:cs="仿宋"/>
          <w:b w:val="0"/>
          <w:bCs w:val="0"/>
          <w:color w:val="auto"/>
          <w:sz w:val="24"/>
          <w:szCs w:val="24"/>
          <w:highlight w:val="none"/>
          <w:lang w:eastAsia="zh-CN"/>
        </w:rPr>
        <w:t>和</w:t>
      </w:r>
      <w:r>
        <w:rPr>
          <w:rFonts w:hint="eastAsia" w:ascii="仿宋" w:hAnsi="仿宋" w:eastAsia="仿宋" w:cs="仿宋"/>
          <w:b w:val="0"/>
          <w:bCs w:val="0"/>
          <w:color w:val="auto"/>
          <w:sz w:val="24"/>
          <w:szCs w:val="24"/>
          <w:highlight w:val="none"/>
          <w:lang w:val="en-US" w:eastAsia="zh-CN"/>
        </w:rPr>
        <w:t>电机，使用起来方便省力；配备调速器，可调整速度的快慢；车架与轮胎处具有</w:t>
      </w:r>
      <w:r>
        <w:rPr>
          <w:rFonts w:hint="eastAsia" w:ascii="仿宋" w:hAnsi="仿宋" w:eastAsia="仿宋" w:cs="仿宋"/>
          <w:b w:val="0"/>
          <w:bCs w:val="0"/>
          <w:color w:val="auto"/>
          <w:sz w:val="24"/>
          <w:szCs w:val="24"/>
          <w:highlight w:val="none"/>
        </w:rPr>
        <w:t>减震功能</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推车具有</w:t>
      </w:r>
      <w:r>
        <w:rPr>
          <w:rFonts w:hint="eastAsia" w:ascii="仿宋" w:hAnsi="仿宋" w:eastAsia="仿宋" w:cs="仿宋"/>
          <w:b w:val="0"/>
          <w:bCs w:val="0"/>
          <w:color w:val="auto"/>
          <w:sz w:val="24"/>
          <w:szCs w:val="24"/>
          <w:highlight w:val="none"/>
        </w:rPr>
        <w:t>可折叠</w:t>
      </w:r>
      <w:r>
        <w:rPr>
          <w:rFonts w:hint="eastAsia" w:ascii="仿宋" w:hAnsi="仿宋" w:eastAsia="仿宋" w:cs="仿宋"/>
          <w:b w:val="0"/>
          <w:bCs w:val="0"/>
          <w:color w:val="auto"/>
          <w:sz w:val="24"/>
          <w:szCs w:val="24"/>
          <w:highlight w:val="none"/>
          <w:lang w:val="en-US" w:eastAsia="zh-CN"/>
        </w:rPr>
        <w:t>功能，便于存储；车辆前方配备行车灯，便于夜间行车；</w:t>
      </w:r>
    </w:p>
    <w:p>
      <w:pPr>
        <w:keepNext w:val="0"/>
        <w:keepLines w:val="0"/>
        <w:pageBreakBefore w:val="0"/>
        <w:widowControl w:val="0"/>
        <w:kinsoku/>
        <w:wordWrap/>
        <w:overflowPunct/>
        <w:topLinePunct w:val="0"/>
        <w:autoSpaceDE/>
        <w:autoSpaceDN/>
        <w:bidi w:val="0"/>
        <w:adjustRightInd w:val="0"/>
        <w:snapToGrid w:val="0"/>
        <w:spacing w:line="460" w:lineRule="exact"/>
        <w:ind w:right="0" w:right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3.3主要配置</w:t>
      </w:r>
    </w:p>
    <w:p>
      <w:pPr>
        <w:keepNext w:val="0"/>
        <w:keepLines w:val="0"/>
        <w:pageBreakBefore w:val="0"/>
        <w:widowControl w:val="0"/>
        <w:kinsoku/>
        <w:wordWrap/>
        <w:overflowPunct/>
        <w:topLinePunct w:val="0"/>
        <w:autoSpaceDE/>
        <w:autoSpaceDN/>
        <w:bidi w:val="0"/>
        <w:spacing w:line="460" w:lineRule="exact"/>
        <w:ind w:right="0" w:rightChars="0"/>
        <w:jc w:val="both"/>
        <w:outlineLvl w:val="9"/>
        <w:rPr>
          <w:rFonts w:hint="eastAsia" w:ascii="仿宋" w:hAnsi="仿宋" w:eastAsia="仿宋" w:cs="仿宋"/>
          <w:b w:val="0"/>
          <w:bCs w:val="0"/>
          <w:color w:val="auto"/>
          <w:sz w:val="24"/>
          <w:szCs w:val="24"/>
          <w:highlight w:val="none"/>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b w:val="0"/>
          <w:bCs w:val="0"/>
          <w:color w:val="auto"/>
          <w:sz w:val="24"/>
          <w:szCs w:val="24"/>
          <w:highlight w:val="none"/>
          <w:lang w:val="en-US" w:eastAsia="zh-CN"/>
        </w:rPr>
        <w:t>3.3.1.最大载重：≥3</w:t>
      </w:r>
      <w:r>
        <w:rPr>
          <w:rFonts w:hint="eastAsia" w:ascii="仿宋" w:hAnsi="仿宋" w:eastAsia="仿宋" w:cs="仿宋"/>
          <w:b w:val="0"/>
          <w:bCs w:val="0"/>
          <w:color w:val="auto"/>
          <w:sz w:val="24"/>
          <w:szCs w:val="24"/>
          <w:highlight w:val="none"/>
        </w:rPr>
        <w:t>00K</w:t>
      </w:r>
      <w:r>
        <w:rPr>
          <w:rFonts w:hint="eastAsia" w:ascii="仿宋" w:hAnsi="仿宋" w:eastAsia="仿宋" w:cs="仿宋"/>
          <w:b w:val="0"/>
          <w:bCs w:val="0"/>
          <w:color w:val="auto"/>
          <w:sz w:val="24"/>
          <w:szCs w:val="24"/>
          <w:highlight w:val="none"/>
          <w:lang w:val="en-US" w:eastAsia="zh-CN"/>
        </w:rPr>
        <w:t>g</w:t>
      </w:r>
      <w:r>
        <w:rPr>
          <w:rFonts w:hint="eastAsia" w:ascii="仿宋" w:hAnsi="仿宋" w:eastAsia="仿宋" w:cs="仿宋"/>
          <w:b w:val="0"/>
          <w:bCs w:val="0"/>
          <w:color w:val="auto"/>
          <w:sz w:val="24"/>
          <w:szCs w:val="24"/>
          <w:highlight w:val="none"/>
          <w:lang w:eastAsia="zh-CN"/>
        </w:rPr>
        <w:t>；</w:t>
      </w:r>
    </w:p>
    <w:p>
      <w:pPr>
        <w:keepNext w:val="0"/>
        <w:keepLines w:val="0"/>
        <w:pageBreakBefore w:val="0"/>
        <w:widowControl w:val="0"/>
        <w:kinsoku/>
        <w:wordWrap/>
        <w:overflowPunct/>
        <w:topLinePunct w:val="0"/>
        <w:autoSpaceDE/>
        <w:autoSpaceDN/>
        <w:bidi w:val="0"/>
        <w:spacing w:line="460" w:lineRule="exact"/>
        <w:ind w:right="0" w:rightChars="0"/>
        <w:jc w:val="both"/>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3.3.2.</w:t>
      </w:r>
      <w:r>
        <w:rPr>
          <w:rFonts w:hint="eastAsia" w:ascii="仿宋" w:hAnsi="仿宋" w:eastAsia="仿宋" w:cs="仿宋"/>
          <w:b w:val="0"/>
          <w:bCs w:val="0"/>
          <w:color w:val="auto"/>
          <w:sz w:val="24"/>
          <w:szCs w:val="24"/>
          <w:highlight w:val="none"/>
        </w:rPr>
        <w:t>车辆尺寸</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rPr>
        <w:t>长×宽×高</w:t>
      </w:r>
      <w:r>
        <w:rPr>
          <w:rFonts w:hint="eastAsia" w:ascii="仿宋" w:hAnsi="仿宋" w:eastAsia="仿宋" w:cs="仿宋"/>
          <w:b w:val="0"/>
          <w:bCs w:val="0"/>
          <w:color w:val="auto"/>
          <w:sz w:val="24"/>
          <w:szCs w:val="24"/>
          <w:highlight w:val="none"/>
        </w:rPr>
        <w:t>（mm）</w:t>
      </w:r>
      <w:r>
        <w:rPr>
          <w:rFonts w:hint="eastAsia" w:ascii="仿宋" w:hAnsi="仿宋" w:eastAsia="仿宋" w:cs="仿宋"/>
          <w:b w:val="0"/>
          <w:bCs w:val="0"/>
          <w:color w:val="auto"/>
          <w:sz w:val="24"/>
          <w:szCs w:val="24"/>
          <w:highlight w:val="none"/>
          <w:lang w:val="en-US" w:eastAsia="zh-CN"/>
        </w:rPr>
        <w:t>≥19</w:t>
      </w:r>
      <w:r>
        <w:rPr>
          <w:rFonts w:hint="eastAsia" w:ascii="仿宋" w:hAnsi="仿宋" w:eastAsia="仿宋" w:cs="仿宋"/>
          <w:b w:val="0"/>
          <w:bCs w:val="0"/>
          <w:color w:val="auto"/>
          <w:sz w:val="24"/>
          <w:szCs w:val="24"/>
          <w:highlight w:val="none"/>
        </w:rPr>
        <w:t>00*</w:t>
      </w:r>
      <w:r>
        <w:rPr>
          <w:rFonts w:hint="eastAsia" w:ascii="仿宋" w:hAnsi="仿宋" w:eastAsia="仿宋" w:cs="仿宋"/>
          <w:b w:val="0"/>
          <w:bCs w:val="0"/>
          <w:color w:val="auto"/>
          <w:sz w:val="24"/>
          <w:szCs w:val="24"/>
          <w:highlight w:val="none"/>
          <w:lang w:val="en-US" w:eastAsia="zh-CN"/>
        </w:rPr>
        <w:t>1000</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90</w:t>
      </w:r>
      <w:r>
        <w:rPr>
          <w:rFonts w:hint="eastAsia" w:ascii="仿宋" w:hAnsi="仿宋" w:eastAsia="仿宋" w:cs="仿宋"/>
          <w:b w:val="0"/>
          <w:bCs w:val="0"/>
          <w:color w:val="auto"/>
          <w:sz w:val="24"/>
          <w:szCs w:val="24"/>
          <w:highlight w:val="none"/>
        </w:rPr>
        <w:t>0</w:t>
      </w:r>
      <w:r>
        <w:rPr>
          <w:rFonts w:hint="eastAsia" w:ascii="仿宋" w:hAnsi="仿宋" w:eastAsia="仿宋" w:cs="仿宋"/>
          <w:b w:val="0"/>
          <w:bCs w:val="0"/>
          <w:color w:val="auto"/>
          <w:sz w:val="24"/>
          <w:szCs w:val="24"/>
          <w:highlight w:val="none"/>
          <w:lang w:eastAsia="zh-CN"/>
        </w:rPr>
        <w:t>；</w:t>
      </w:r>
    </w:p>
    <w:p>
      <w:pPr>
        <w:keepNext w:val="0"/>
        <w:keepLines w:val="0"/>
        <w:pageBreakBefore w:val="0"/>
        <w:widowControl w:val="0"/>
        <w:kinsoku/>
        <w:wordWrap/>
        <w:overflowPunct/>
        <w:topLinePunct w:val="0"/>
        <w:autoSpaceDE/>
        <w:autoSpaceDN/>
        <w:bidi w:val="0"/>
        <w:spacing w:line="460" w:lineRule="exact"/>
        <w:ind w:right="0" w:rightChars="0"/>
        <w:jc w:val="both"/>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3.3.3.</w:t>
      </w:r>
      <w:r>
        <w:rPr>
          <w:rFonts w:hint="eastAsia" w:ascii="仿宋" w:hAnsi="仿宋" w:eastAsia="仿宋" w:cs="仿宋"/>
          <w:b w:val="0"/>
          <w:bCs w:val="0"/>
          <w:color w:val="auto"/>
          <w:sz w:val="24"/>
          <w:szCs w:val="24"/>
          <w:highlight w:val="none"/>
        </w:rPr>
        <w:t>车辆折叠后尺寸</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rPr>
        <w:t>长×宽×高</w:t>
      </w:r>
      <w:r>
        <w:rPr>
          <w:rFonts w:hint="eastAsia" w:ascii="仿宋" w:hAnsi="仿宋" w:eastAsia="仿宋" w:cs="仿宋"/>
          <w:b w:val="0"/>
          <w:bCs w:val="0"/>
          <w:color w:val="auto"/>
          <w:sz w:val="24"/>
          <w:szCs w:val="24"/>
          <w:highlight w:val="none"/>
        </w:rPr>
        <w:t>（mm）≤1</w:t>
      </w:r>
      <w:r>
        <w:rPr>
          <w:rFonts w:hint="eastAsia" w:ascii="仿宋" w:hAnsi="仿宋" w:eastAsia="仿宋" w:cs="仿宋"/>
          <w:b w:val="0"/>
          <w:bCs w:val="0"/>
          <w:color w:val="auto"/>
          <w:sz w:val="24"/>
          <w:szCs w:val="24"/>
          <w:highlight w:val="none"/>
          <w:lang w:val="en-US" w:eastAsia="zh-CN"/>
        </w:rPr>
        <w:t>50</w:t>
      </w:r>
      <w:r>
        <w:rPr>
          <w:rFonts w:hint="eastAsia" w:ascii="仿宋" w:hAnsi="仿宋" w:eastAsia="仿宋" w:cs="仿宋"/>
          <w:b w:val="0"/>
          <w:bCs w:val="0"/>
          <w:color w:val="auto"/>
          <w:sz w:val="24"/>
          <w:szCs w:val="24"/>
          <w:highlight w:val="none"/>
        </w:rPr>
        <w:t>0*</w:t>
      </w:r>
      <w:r>
        <w:rPr>
          <w:rFonts w:hint="eastAsia" w:ascii="仿宋" w:hAnsi="仿宋" w:eastAsia="仿宋" w:cs="仿宋"/>
          <w:b w:val="0"/>
          <w:bCs w:val="0"/>
          <w:color w:val="auto"/>
          <w:sz w:val="24"/>
          <w:szCs w:val="24"/>
          <w:highlight w:val="none"/>
          <w:lang w:val="en-US" w:eastAsia="zh-CN"/>
        </w:rPr>
        <w:t>1000</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60</w:t>
      </w:r>
      <w:r>
        <w:rPr>
          <w:rFonts w:hint="eastAsia" w:ascii="仿宋" w:hAnsi="仿宋" w:eastAsia="仿宋" w:cs="仿宋"/>
          <w:b w:val="0"/>
          <w:bCs w:val="0"/>
          <w:color w:val="auto"/>
          <w:sz w:val="24"/>
          <w:szCs w:val="24"/>
          <w:highlight w:val="none"/>
        </w:rPr>
        <w:t>0</w:t>
      </w:r>
      <w:r>
        <w:rPr>
          <w:rFonts w:hint="eastAsia" w:ascii="仿宋" w:hAnsi="仿宋" w:eastAsia="仿宋" w:cs="仿宋"/>
          <w:b w:val="0"/>
          <w:bCs w:val="0"/>
          <w:color w:val="auto"/>
          <w:sz w:val="24"/>
          <w:szCs w:val="24"/>
          <w:highlight w:val="none"/>
          <w:lang w:eastAsia="zh-CN"/>
        </w:rPr>
        <w:t>；</w:t>
      </w:r>
    </w:p>
    <w:p>
      <w:pPr>
        <w:keepNext w:val="0"/>
        <w:keepLines w:val="0"/>
        <w:pageBreakBefore w:val="0"/>
        <w:widowControl w:val="0"/>
        <w:kinsoku/>
        <w:wordWrap/>
        <w:overflowPunct/>
        <w:topLinePunct w:val="0"/>
        <w:autoSpaceDE/>
        <w:autoSpaceDN/>
        <w:bidi w:val="0"/>
        <w:spacing w:line="460" w:lineRule="exact"/>
        <w:ind w:right="0" w:rightChars="0"/>
        <w:jc w:val="both"/>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3.3.4.</w:t>
      </w:r>
      <w:r>
        <w:rPr>
          <w:rFonts w:hint="eastAsia" w:ascii="仿宋" w:hAnsi="仿宋" w:eastAsia="仿宋" w:cs="仿宋"/>
          <w:b w:val="0"/>
          <w:bCs w:val="0"/>
          <w:color w:val="auto"/>
          <w:sz w:val="24"/>
          <w:szCs w:val="24"/>
          <w:highlight w:val="none"/>
          <w:lang w:val="zh-CN"/>
        </w:rPr>
        <w:t>轮胎</w:t>
      </w:r>
      <w:r>
        <w:rPr>
          <w:rFonts w:hint="eastAsia" w:ascii="仿宋" w:hAnsi="仿宋" w:eastAsia="仿宋" w:cs="仿宋"/>
          <w:b w:val="0"/>
          <w:bCs w:val="0"/>
          <w:color w:val="auto"/>
          <w:sz w:val="24"/>
          <w:szCs w:val="24"/>
          <w:highlight w:val="none"/>
          <w:lang w:val="en-US" w:eastAsia="zh-CN"/>
        </w:rPr>
        <w:t>尺寸≥12寸；</w:t>
      </w:r>
    </w:p>
    <w:p>
      <w:pPr>
        <w:keepNext w:val="0"/>
        <w:keepLines w:val="0"/>
        <w:pageBreakBefore w:val="0"/>
        <w:widowControl w:val="0"/>
        <w:kinsoku/>
        <w:wordWrap/>
        <w:overflowPunct/>
        <w:topLinePunct w:val="0"/>
        <w:autoSpaceDE/>
        <w:autoSpaceDN/>
        <w:bidi w:val="0"/>
        <w:spacing w:line="460" w:lineRule="exact"/>
        <w:ind w:right="0" w:rightChars="0"/>
        <w:jc w:val="both"/>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b w:val="0"/>
          <w:bCs w:val="0"/>
          <w:color w:val="auto"/>
          <w:sz w:val="24"/>
          <w:szCs w:val="24"/>
          <w:highlight w:val="none"/>
          <w:lang w:val="en-US" w:eastAsia="zh-CN"/>
        </w:rPr>
        <w:t>3.3.5.</w:t>
      </w:r>
      <w:r>
        <w:rPr>
          <w:rFonts w:hint="eastAsia" w:ascii="仿宋" w:hAnsi="仿宋" w:eastAsia="仿宋" w:cs="仿宋"/>
          <w:b w:val="0"/>
          <w:bCs w:val="0"/>
          <w:color w:val="auto"/>
          <w:sz w:val="24"/>
          <w:szCs w:val="24"/>
          <w:highlight w:val="none"/>
        </w:rPr>
        <w:t>锂电池</w:t>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rPr>
        <w:t>电池</w:t>
      </w:r>
      <w:r>
        <w:rPr>
          <w:rFonts w:hint="eastAsia" w:ascii="仿宋" w:hAnsi="仿宋" w:eastAsia="仿宋" w:cs="仿宋"/>
          <w:b w:val="0"/>
          <w:bCs w:val="0"/>
          <w:color w:val="auto"/>
          <w:sz w:val="24"/>
          <w:szCs w:val="24"/>
          <w:highlight w:val="none"/>
          <w:lang w:val="en-US" w:eastAsia="zh-CN"/>
        </w:rPr>
        <w:t>容量</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i w:val="0"/>
          <w:iCs w:val="0"/>
          <w:caps w:val="0"/>
          <w:color w:val="auto"/>
          <w:spacing w:val="0"/>
          <w:sz w:val="24"/>
          <w:szCs w:val="24"/>
          <w:highlight w:val="none"/>
          <w:shd w:val="clear" w:color="auto" w:fill="auto"/>
        </w:rPr>
        <w:t>20000mAh</w:t>
      </w:r>
      <w:r>
        <w:rPr>
          <w:rFonts w:hint="eastAsia" w:ascii="仿宋" w:hAnsi="仿宋" w:eastAsia="仿宋" w:cs="仿宋"/>
          <w:b w:val="0"/>
          <w:bCs w:val="0"/>
          <w:color w:val="auto"/>
          <w:sz w:val="24"/>
          <w:szCs w:val="24"/>
          <w:highlight w:val="none"/>
          <w:lang w:val="en-US" w:eastAsia="zh-CN"/>
        </w:rPr>
        <w:t xml:space="preserve"> ；</w:t>
      </w:r>
    </w:p>
    <w:p>
      <w:pPr>
        <w:keepNext w:val="0"/>
        <w:keepLines w:val="0"/>
        <w:pageBreakBefore w:val="0"/>
        <w:widowControl w:val="0"/>
        <w:kinsoku/>
        <w:wordWrap/>
        <w:overflowPunct/>
        <w:topLinePunct w:val="0"/>
        <w:autoSpaceDE/>
        <w:autoSpaceDN/>
        <w:bidi w:val="0"/>
        <w:spacing w:line="460" w:lineRule="exact"/>
        <w:ind w:right="0" w:rightChars="0"/>
        <w:jc w:val="both"/>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3.3.6.</w:t>
      </w:r>
      <w:r>
        <w:rPr>
          <w:rFonts w:hint="eastAsia" w:ascii="仿宋" w:hAnsi="仿宋" w:eastAsia="仿宋" w:cs="仿宋"/>
          <w:b w:val="0"/>
          <w:bCs w:val="0"/>
          <w:color w:val="auto"/>
          <w:sz w:val="24"/>
          <w:szCs w:val="24"/>
          <w:highlight w:val="none"/>
        </w:rPr>
        <w:t>充电</w:t>
      </w:r>
      <w:r>
        <w:rPr>
          <w:rFonts w:hint="eastAsia" w:ascii="仿宋" w:hAnsi="仿宋" w:eastAsia="仿宋" w:cs="仿宋"/>
          <w:b w:val="0"/>
          <w:bCs w:val="0"/>
          <w:color w:val="auto"/>
          <w:sz w:val="24"/>
          <w:szCs w:val="24"/>
          <w:highlight w:val="none"/>
          <w:lang w:val="en-US" w:eastAsia="zh-CN"/>
        </w:rPr>
        <w:t>时间：</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6h</w:t>
      </w:r>
      <w:r>
        <w:rPr>
          <w:rFonts w:hint="eastAsia" w:ascii="仿宋" w:hAnsi="仿宋" w:eastAsia="仿宋" w:cs="仿宋"/>
          <w:b w:val="0"/>
          <w:bCs w:val="0"/>
          <w:color w:val="auto"/>
          <w:sz w:val="24"/>
          <w:szCs w:val="24"/>
          <w:highlight w:val="none"/>
          <w:lang w:eastAsia="zh-CN"/>
        </w:rPr>
        <w:t>；</w:t>
      </w:r>
    </w:p>
    <w:p>
      <w:pPr>
        <w:keepNext w:val="0"/>
        <w:keepLines w:val="0"/>
        <w:pageBreakBefore w:val="0"/>
        <w:widowControl w:val="0"/>
        <w:kinsoku/>
        <w:wordWrap/>
        <w:overflowPunct/>
        <w:topLinePunct w:val="0"/>
        <w:autoSpaceDE/>
        <w:autoSpaceDN/>
        <w:bidi w:val="0"/>
        <w:spacing w:line="460" w:lineRule="exact"/>
        <w:ind w:right="0" w:rightChars="0"/>
        <w:jc w:val="both"/>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3.3.7.</w:t>
      </w:r>
      <w:r>
        <w:rPr>
          <w:rFonts w:hint="eastAsia" w:ascii="仿宋" w:hAnsi="仿宋" w:eastAsia="仿宋" w:cs="仿宋"/>
          <w:b w:val="0"/>
          <w:bCs w:val="0"/>
          <w:color w:val="auto"/>
          <w:sz w:val="24"/>
          <w:szCs w:val="24"/>
          <w:highlight w:val="none"/>
        </w:rPr>
        <w:t>电机</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≥35</w:t>
      </w:r>
      <w:r>
        <w:rPr>
          <w:rFonts w:hint="eastAsia" w:ascii="仿宋" w:hAnsi="仿宋" w:eastAsia="仿宋" w:cs="仿宋"/>
          <w:b w:val="0"/>
          <w:bCs w:val="0"/>
          <w:color w:val="auto"/>
          <w:sz w:val="24"/>
          <w:szCs w:val="24"/>
          <w:highlight w:val="none"/>
        </w:rPr>
        <w:t>0W</w:t>
      </w:r>
      <w:r>
        <w:rPr>
          <w:rFonts w:hint="eastAsia" w:ascii="仿宋" w:hAnsi="仿宋" w:eastAsia="仿宋" w:cs="仿宋"/>
          <w:b w:val="0"/>
          <w:bCs w:val="0"/>
          <w:color w:val="auto"/>
          <w:sz w:val="24"/>
          <w:szCs w:val="24"/>
          <w:highlight w:val="none"/>
          <w:lang w:eastAsia="zh-CN"/>
        </w:rPr>
        <w:t>；</w:t>
      </w:r>
    </w:p>
    <w:p>
      <w:pPr>
        <w:keepNext w:val="0"/>
        <w:keepLines w:val="0"/>
        <w:pageBreakBefore w:val="0"/>
        <w:widowControl w:val="0"/>
        <w:kinsoku/>
        <w:wordWrap/>
        <w:overflowPunct/>
        <w:topLinePunct w:val="0"/>
        <w:autoSpaceDE/>
        <w:autoSpaceDN/>
        <w:bidi w:val="0"/>
        <w:spacing w:line="460" w:lineRule="exact"/>
        <w:ind w:right="0" w:rightChars="0"/>
        <w:jc w:val="both"/>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3.3.8.行军中可调节车速的快慢，同时具有前进后退两个功能；</w:t>
      </w:r>
    </w:p>
    <w:p>
      <w:pPr>
        <w:keepNext w:val="0"/>
        <w:keepLines w:val="0"/>
        <w:pageBreakBefore w:val="0"/>
        <w:widowControl w:val="0"/>
        <w:kinsoku/>
        <w:wordWrap/>
        <w:overflowPunct/>
        <w:topLinePunct w:val="0"/>
        <w:autoSpaceDE/>
        <w:autoSpaceDN/>
        <w:bidi w:val="0"/>
        <w:spacing w:line="460" w:lineRule="exact"/>
        <w:ind w:right="0" w:rightChars="0"/>
        <w:jc w:val="both"/>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3.3.9.</w:t>
      </w:r>
      <w:r>
        <w:rPr>
          <w:rFonts w:hint="eastAsia" w:ascii="仿宋" w:hAnsi="仿宋" w:eastAsia="仿宋" w:cs="仿宋"/>
          <w:b w:val="0"/>
          <w:bCs w:val="0"/>
          <w:color w:val="auto"/>
          <w:sz w:val="24"/>
          <w:szCs w:val="24"/>
          <w:highlight w:val="none"/>
        </w:rPr>
        <w:t>续航公里</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空车</w:t>
      </w:r>
      <w:r>
        <w:rPr>
          <w:rFonts w:hint="eastAsia" w:ascii="仿宋" w:hAnsi="仿宋" w:eastAsia="仿宋" w:cs="仿宋"/>
          <w:b w:val="0"/>
          <w:bCs w:val="0"/>
          <w:color w:val="auto"/>
          <w:sz w:val="24"/>
          <w:szCs w:val="24"/>
          <w:highlight w:val="none"/>
          <w:lang w:val="en-US" w:eastAsia="zh-CN"/>
        </w:rPr>
        <w:t>≥40km</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满载</w:t>
      </w:r>
      <w:r>
        <w:rPr>
          <w:rFonts w:hint="eastAsia" w:ascii="仿宋" w:hAnsi="仿宋" w:eastAsia="仿宋" w:cs="仿宋"/>
          <w:b w:val="0"/>
          <w:bCs w:val="0"/>
          <w:color w:val="auto"/>
          <w:sz w:val="24"/>
          <w:szCs w:val="24"/>
          <w:highlight w:val="none"/>
          <w:lang w:val="en-US" w:eastAsia="zh-CN"/>
        </w:rPr>
        <w:t>≥20km</w:t>
      </w:r>
      <w:r>
        <w:rPr>
          <w:rFonts w:hint="eastAsia" w:ascii="仿宋" w:hAnsi="仿宋" w:eastAsia="仿宋" w:cs="仿宋"/>
          <w:b w:val="0"/>
          <w:bCs w:val="0"/>
          <w:color w:val="auto"/>
          <w:sz w:val="24"/>
          <w:szCs w:val="24"/>
          <w:highlight w:val="none"/>
          <w:lang w:eastAsia="zh-CN"/>
        </w:rPr>
        <w:t>；</w:t>
      </w:r>
    </w:p>
    <w:p>
      <w:pPr>
        <w:keepNext w:val="0"/>
        <w:keepLines w:val="0"/>
        <w:pageBreakBefore w:val="0"/>
        <w:widowControl w:val="0"/>
        <w:kinsoku/>
        <w:wordWrap/>
        <w:overflowPunct/>
        <w:topLinePunct w:val="0"/>
        <w:autoSpaceDE/>
        <w:autoSpaceDN/>
        <w:bidi w:val="0"/>
        <w:spacing w:line="460" w:lineRule="exact"/>
        <w:ind w:right="0" w:rightChars="0"/>
        <w:jc w:val="both"/>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3.3.10.车身重量：≤70Kg；</w:t>
      </w:r>
    </w:p>
    <w:p>
      <w:pPr>
        <w:keepNext w:val="0"/>
        <w:keepLines w:val="0"/>
        <w:pageBreakBefore w:val="0"/>
        <w:widowControl w:val="0"/>
        <w:kinsoku/>
        <w:wordWrap/>
        <w:overflowPunct/>
        <w:topLinePunct w:val="0"/>
        <w:autoSpaceDE/>
        <w:autoSpaceDN/>
        <w:bidi w:val="0"/>
        <w:spacing w:line="460" w:lineRule="exact"/>
        <w:ind w:right="0" w:right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3.3.11.具有行车灯，照明时长≥10h；</w:t>
      </w:r>
    </w:p>
    <w:p>
      <w:pPr>
        <w:keepNext w:val="0"/>
        <w:keepLines w:val="0"/>
        <w:pageBreakBefore w:val="0"/>
        <w:widowControl w:val="0"/>
        <w:kinsoku/>
        <w:wordWrap/>
        <w:overflowPunct/>
        <w:topLinePunct w:val="0"/>
        <w:autoSpaceDE/>
        <w:autoSpaceDN/>
        <w:bidi w:val="0"/>
        <w:spacing w:line="460" w:lineRule="exact"/>
        <w:ind w:right="0" w:right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3.3.12整车带可折叠护栏，侧面护栏展开后可成180°；配备绑带≥2根（长≥20m，宽≥5cm，断裂强度≥1000kg；</w:t>
      </w:r>
    </w:p>
    <w:p>
      <w:pPr>
        <w:pStyle w:val="13"/>
        <w:keepNext w:val="0"/>
        <w:keepLines w:val="0"/>
        <w:pageBreakBefore w:val="0"/>
        <w:widowControl w:val="0"/>
        <w:kinsoku/>
        <w:wordWrap/>
        <w:overflowPunct/>
        <w:topLinePunct w:val="0"/>
        <w:autoSpaceDE/>
        <w:autoSpaceDN/>
        <w:bidi w:val="0"/>
        <w:adjustRightInd w:val="0"/>
        <w:snapToGrid w:val="0"/>
        <w:spacing w:after="0" w:line="460" w:lineRule="exact"/>
        <w:ind w:left="0" w:right="0" w:rightChars="0"/>
        <w:jc w:val="both"/>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3.4供货前，须主动对接使用单位，确保满足用户需求；</w:t>
      </w:r>
    </w:p>
    <w:p>
      <w:pPr>
        <w:keepNext w:val="0"/>
        <w:keepLines w:val="0"/>
        <w:pageBreakBefore w:val="0"/>
        <w:widowControl w:val="0"/>
        <w:kinsoku/>
        <w:wordWrap/>
        <w:overflowPunct/>
        <w:topLinePunct w:val="0"/>
        <w:autoSpaceDE/>
        <w:autoSpaceDN/>
        <w:bidi w:val="0"/>
        <w:spacing w:line="460" w:lineRule="exact"/>
        <w:ind w:right="0" w:rightChars="0"/>
        <w:jc w:val="both"/>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3.5提供中文使用说明书（含电子版），含装备简介、使用注意事项及维护保养等内容。</w:t>
      </w:r>
    </w:p>
    <w:p>
      <w:pPr>
        <w:keepNext w:val="0"/>
        <w:keepLines w:val="0"/>
        <w:pageBreakBefore w:val="0"/>
        <w:kinsoku/>
        <w:wordWrap/>
        <w:overflowPunct/>
        <w:topLinePunct w:val="0"/>
        <w:bidi w:val="0"/>
        <w:spacing w:line="460" w:lineRule="exact"/>
        <w:rPr>
          <w:rFonts w:hint="default"/>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1"/>
        <w:rPr>
          <w:rFonts w:hint="eastAsia" w:ascii="仿宋" w:hAnsi="仿宋" w:eastAsia="仿宋" w:cs="仿宋"/>
          <w:b/>
          <w:bCs/>
          <w:color w:val="auto"/>
          <w:sz w:val="24"/>
          <w:szCs w:val="24"/>
          <w:highlight w:val="none"/>
          <w:lang w:val="en-US" w:eastAsia="zh-CN"/>
        </w:rPr>
      </w:pPr>
      <w:bookmarkStart w:id="604" w:name="_Toc22280"/>
      <w:bookmarkStart w:id="605" w:name="_Toc9825"/>
      <w:r>
        <w:rPr>
          <w:rFonts w:hint="eastAsia" w:ascii="仿宋" w:hAnsi="仿宋" w:eastAsia="仿宋" w:cs="仿宋"/>
          <w:b/>
          <w:bCs/>
          <w:color w:val="auto"/>
          <w:sz w:val="24"/>
          <w:szCs w:val="24"/>
          <w:highlight w:val="none"/>
          <w:lang w:val="en-US" w:eastAsia="zh-CN"/>
        </w:rPr>
        <w:t>103包：北斗有源终端、卫星电话【核心产品】</w:t>
      </w:r>
      <w:bookmarkEnd w:id="604"/>
      <w:bookmarkEnd w:id="605"/>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103包-1：北斗有源终端</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一、货物名称：北斗有源终端</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二、产地：国产</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三、主要技术规格、参数及要求：</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★1.北斗与手机、北斗终端短信互通，当常规移动手机信号缺失时，可通过北斗短报文功能与任意北斗终端或其他手机用户进行短信通讯；</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2.支持常规手机通讯功能，可插入常规的手机卡进行语音电话和文字信息通讯，支持全网通频段；</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▲3.CPU：≥8核，主频≥2.0GHz；</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▲4.运行内存：≥6GB；</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5.存储：≥128G，支持TF卡扩展≥256G；</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6.屏幕：≥5.</w:t>
      </w:r>
      <w:r>
        <w:rPr>
          <w:rFonts w:hint="default" w:ascii="仿宋" w:hAnsi="仿宋" w:eastAsia="仿宋" w:cs="仿宋"/>
          <w:b w:val="0"/>
          <w:bCs w:val="0"/>
          <w:color w:val="auto"/>
          <w:sz w:val="24"/>
          <w:szCs w:val="24"/>
          <w:highlight w:val="none"/>
          <w:lang w:eastAsia="zh-CN"/>
        </w:rPr>
        <w:t>0</w:t>
      </w:r>
      <w:r>
        <w:rPr>
          <w:rFonts w:hint="eastAsia" w:ascii="仿宋" w:hAnsi="仿宋" w:eastAsia="仿宋" w:cs="仿宋"/>
          <w:b w:val="0"/>
          <w:bCs w:val="0"/>
          <w:color w:val="auto"/>
          <w:sz w:val="24"/>
          <w:szCs w:val="24"/>
          <w:highlight w:val="none"/>
          <w:lang w:val="en-US" w:eastAsia="zh-CN"/>
        </w:rPr>
        <w:t>英寸高清显示屏，分辨率≥1920×1080；</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7.摄像头：前置≥800万像素，后置≥1600万像素；</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8.电池：≥6000mAh，工作温度：-30°C～+50°C；</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▲9.防护等级≥IP67（需提供具有CMA或CNAS标识的检测报告复印件并加盖制造商公章）；</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★10.仅支持单北斗独立定位模块；定位精度≤5m，配备专业的北斗短报文通信软件；</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★11.可接入国家</w:t>
      </w:r>
      <w:r>
        <w:rPr>
          <w:rFonts w:hint="default" w:ascii="仿宋" w:hAnsi="仿宋" w:eastAsia="仿宋" w:cs="仿宋"/>
          <w:b w:val="0"/>
          <w:bCs w:val="0"/>
          <w:color w:val="auto"/>
          <w:sz w:val="24"/>
          <w:szCs w:val="24"/>
          <w:highlight w:val="none"/>
          <w:lang w:eastAsia="zh-CN"/>
        </w:rPr>
        <w:t>消防救援</w:t>
      </w:r>
      <w:r>
        <w:rPr>
          <w:rFonts w:hint="eastAsia" w:ascii="仿宋" w:hAnsi="仿宋" w:eastAsia="仿宋" w:cs="仿宋"/>
          <w:b w:val="0"/>
          <w:bCs w:val="0"/>
          <w:color w:val="auto"/>
          <w:sz w:val="24"/>
          <w:szCs w:val="24"/>
          <w:highlight w:val="none"/>
          <w:lang w:val="en-US" w:eastAsia="zh-CN"/>
        </w:rPr>
        <w:t>局现有消防综合</w:t>
      </w:r>
      <w:r>
        <w:rPr>
          <w:rFonts w:hint="default" w:ascii="仿宋" w:hAnsi="仿宋" w:eastAsia="仿宋" w:cs="仿宋"/>
          <w:b w:val="0"/>
          <w:bCs w:val="0"/>
          <w:color w:val="auto"/>
          <w:sz w:val="24"/>
          <w:szCs w:val="24"/>
          <w:highlight w:val="none"/>
          <w:lang w:eastAsia="zh-CN"/>
        </w:rPr>
        <w:t>定位</w:t>
      </w:r>
      <w:r>
        <w:rPr>
          <w:rFonts w:hint="eastAsia" w:ascii="仿宋" w:hAnsi="仿宋" w:eastAsia="仿宋" w:cs="仿宋"/>
          <w:b w:val="0"/>
          <w:bCs w:val="0"/>
          <w:color w:val="auto"/>
          <w:sz w:val="24"/>
          <w:szCs w:val="24"/>
          <w:highlight w:val="none"/>
          <w:lang w:val="en-US" w:eastAsia="zh-CN"/>
        </w:rPr>
        <w:t>服务平台。</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12.供货前，须主动对接使用单位，确保满足用户需求。</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p>
    <w:p>
      <w:pPr>
        <w:keepNext w:val="0"/>
        <w:keepLines w:val="0"/>
        <w:pageBreakBefore w:val="0"/>
        <w:kinsoku/>
        <w:wordWrap/>
        <w:overflowPunct/>
        <w:topLinePunct w:val="0"/>
        <w:bidi w:val="0"/>
        <w:spacing w:line="460" w:lineRule="exact"/>
        <w:rPr>
          <w:color w:val="auto"/>
        </w:rPr>
      </w:pP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103包-2：卫星电话</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一、货物名称：卫星电话</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二、产地：国产</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三、主要技术规格、参数及要求：</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1.设备尺寸（</w:t>
      </w:r>
      <w:r>
        <w:rPr>
          <w:rFonts w:hint="default" w:ascii="仿宋" w:hAnsi="仿宋" w:eastAsia="仿宋" w:cs="仿宋"/>
          <w:b w:val="0"/>
          <w:bCs w:val="0"/>
          <w:color w:val="auto"/>
          <w:sz w:val="24"/>
          <w:szCs w:val="24"/>
          <w:highlight w:val="none"/>
          <w:lang w:val="en-US" w:eastAsia="zh-CN"/>
        </w:rPr>
        <w:t>高</w:t>
      </w:r>
      <w:r>
        <w:rPr>
          <w:rFonts w:hint="eastAsia" w:ascii="仿宋" w:hAnsi="仿宋" w:eastAsia="仿宋" w:cs="仿宋"/>
          <w:b w:val="0"/>
          <w:bCs w:val="0"/>
          <w:color w:val="auto"/>
          <w:sz w:val="24"/>
          <w:szCs w:val="24"/>
          <w:highlight w:val="none"/>
          <w:lang w:val="en-US" w:eastAsia="zh-CN"/>
        </w:rPr>
        <w:t>×</w:t>
      </w:r>
      <w:r>
        <w:rPr>
          <w:rFonts w:hint="default" w:ascii="仿宋" w:hAnsi="仿宋" w:eastAsia="仿宋" w:cs="仿宋"/>
          <w:b w:val="0"/>
          <w:bCs w:val="0"/>
          <w:color w:val="auto"/>
          <w:sz w:val="24"/>
          <w:szCs w:val="24"/>
          <w:highlight w:val="none"/>
          <w:lang w:val="en-US" w:eastAsia="zh-CN"/>
        </w:rPr>
        <w:t>宽</w:t>
      </w:r>
      <w:r>
        <w:rPr>
          <w:rFonts w:hint="eastAsia" w:ascii="仿宋" w:hAnsi="仿宋" w:eastAsia="仿宋" w:cs="仿宋"/>
          <w:b w:val="0"/>
          <w:bCs w:val="0"/>
          <w:color w:val="auto"/>
          <w:sz w:val="24"/>
          <w:szCs w:val="24"/>
          <w:highlight w:val="none"/>
          <w:lang w:val="en-US" w:eastAsia="zh-CN"/>
        </w:rPr>
        <w:t>×</w:t>
      </w:r>
      <w:r>
        <w:rPr>
          <w:rFonts w:hint="default" w:ascii="仿宋" w:hAnsi="仿宋" w:eastAsia="仿宋" w:cs="仿宋"/>
          <w:b w:val="0"/>
          <w:bCs w:val="0"/>
          <w:color w:val="auto"/>
          <w:sz w:val="24"/>
          <w:szCs w:val="24"/>
          <w:highlight w:val="none"/>
          <w:lang w:val="en-US" w:eastAsia="zh-CN"/>
        </w:rPr>
        <w:t>厚，含电池，</w:t>
      </w:r>
      <w:r>
        <w:rPr>
          <w:rFonts w:hint="eastAsia" w:ascii="仿宋" w:hAnsi="仿宋" w:eastAsia="仿宋" w:cs="仿宋"/>
          <w:b w:val="0"/>
          <w:bCs w:val="0"/>
          <w:color w:val="auto"/>
          <w:sz w:val="24"/>
          <w:szCs w:val="24"/>
          <w:highlight w:val="none"/>
          <w:lang w:val="en-US" w:eastAsia="zh-CN"/>
        </w:rPr>
        <w:t>不包含天线）≤180×85×30mm</w:t>
      </w:r>
      <w:r>
        <w:rPr>
          <w:rFonts w:hint="default" w:ascii="仿宋" w:hAnsi="仿宋" w:eastAsia="仿宋" w:cs="仿宋"/>
          <w:b w:val="0"/>
          <w:bCs w:val="0"/>
          <w:color w:val="auto"/>
          <w:sz w:val="24"/>
          <w:szCs w:val="24"/>
          <w:highlight w:val="none"/>
          <w:lang w:val="en-US" w:eastAsia="zh-CN"/>
        </w:rPr>
        <w:t>（每个数值均需小于或等于）</w:t>
      </w:r>
      <w:r>
        <w:rPr>
          <w:rFonts w:hint="eastAsia" w:ascii="仿宋" w:hAnsi="仿宋" w:eastAsia="仿宋" w:cs="仿宋"/>
          <w:b w:val="0"/>
          <w:bCs w:val="0"/>
          <w:color w:val="auto"/>
          <w:sz w:val="24"/>
          <w:szCs w:val="24"/>
          <w:highlight w:val="none"/>
          <w:lang w:val="en-US" w:eastAsia="zh-CN"/>
        </w:rPr>
        <w:t>； 卫星电话质量（含电池和天线）：≤400g；</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★2.卫星网络工作频率：上行1980～2010MHz，下行2170～2200MHz；</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★3.配置：CPU≥四核，主频≥1.0GHZ；</w:t>
      </w:r>
      <w:r>
        <w:rPr>
          <w:rFonts w:hint="default" w:ascii="仿宋" w:hAnsi="仿宋" w:eastAsia="仿宋" w:cs="仿宋"/>
          <w:b w:val="0"/>
          <w:bCs w:val="0"/>
          <w:color w:val="auto"/>
          <w:sz w:val="24"/>
          <w:szCs w:val="24"/>
          <w:highlight w:val="none"/>
          <w:lang w:eastAsia="zh-CN"/>
        </w:rPr>
        <w:t>RAM</w:t>
      </w:r>
      <w:r>
        <w:rPr>
          <w:rFonts w:hint="eastAsia" w:ascii="仿宋" w:hAnsi="仿宋" w:eastAsia="仿宋" w:cs="仿宋"/>
          <w:b w:val="0"/>
          <w:bCs w:val="0"/>
          <w:color w:val="auto"/>
          <w:sz w:val="24"/>
          <w:szCs w:val="24"/>
          <w:highlight w:val="none"/>
          <w:lang w:val="en-US" w:eastAsia="zh-CN"/>
        </w:rPr>
        <w:t>≥2GB</w:t>
      </w:r>
      <w:r>
        <w:rPr>
          <w:rFonts w:hint="default" w:ascii="仿宋" w:hAnsi="仿宋" w:eastAsia="仿宋" w:cs="仿宋"/>
          <w:b w:val="0"/>
          <w:bCs w:val="0"/>
          <w:color w:val="auto"/>
          <w:sz w:val="24"/>
          <w:szCs w:val="24"/>
          <w:highlight w:val="none"/>
          <w:lang w:eastAsia="zh-CN"/>
        </w:rPr>
        <w:t>，ROM存储</w:t>
      </w:r>
      <w:r>
        <w:rPr>
          <w:rFonts w:hint="eastAsia" w:ascii="仿宋" w:hAnsi="仿宋" w:eastAsia="仿宋" w:cs="仿宋"/>
          <w:b w:val="0"/>
          <w:bCs w:val="0"/>
          <w:color w:val="auto"/>
          <w:sz w:val="24"/>
          <w:szCs w:val="24"/>
          <w:highlight w:val="none"/>
          <w:lang w:val="en-US" w:eastAsia="zh-CN"/>
        </w:rPr>
        <w:t>≥16GB；显示屏≥3英寸触摸屏；摄像头：后置≥1300万像素，前置≥500万像素；</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kern w:val="2"/>
          <w:sz w:val="24"/>
          <w:szCs w:val="24"/>
          <w:highlight w:val="none"/>
          <w:lang w:val="en-US" w:eastAsia="zh-CN" w:bidi="ar-SA"/>
        </w:rPr>
        <w:t>★</w:t>
      </w:r>
      <w:r>
        <w:rPr>
          <w:rFonts w:hint="eastAsia" w:ascii="仿宋" w:hAnsi="仿宋" w:eastAsia="仿宋" w:cs="仿宋"/>
          <w:b w:val="0"/>
          <w:bCs w:val="0"/>
          <w:color w:val="auto"/>
          <w:sz w:val="24"/>
          <w:szCs w:val="24"/>
          <w:highlight w:val="none"/>
          <w:lang w:val="en-US" w:eastAsia="zh-CN"/>
        </w:rPr>
        <w:t>4.支持天通卫星移动通信话音、短信业务；</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kern w:val="2"/>
          <w:sz w:val="24"/>
          <w:szCs w:val="24"/>
          <w:highlight w:val="none"/>
          <w:lang w:val="en-US" w:eastAsia="zh-CN" w:bidi="ar-SA"/>
        </w:rPr>
        <w:t>★</w:t>
      </w:r>
      <w:r>
        <w:rPr>
          <w:rFonts w:hint="eastAsia" w:ascii="仿宋" w:hAnsi="仿宋" w:eastAsia="仿宋" w:cs="仿宋"/>
          <w:b w:val="0"/>
          <w:bCs w:val="0"/>
          <w:color w:val="auto"/>
          <w:sz w:val="24"/>
          <w:szCs w:val="24"/>
          <w:highlight w:val="none"/>
          <w:lang w:val="en-US" w:eastAsia="zh-CN"/>
        </w:rPr>
        <w:t>5.支持电信、移动、联通4G全网通网络；</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6.具有实体自定义功能按键，具有实体SOS按键；</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★7.定位功能：仅支持单北斗独立定位模块；</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★8.卫星天线可拆卸，配备手持全向天线；</w:t>
      </w:r>
    </w:p>
    <w:p>
      <w:pPr>
        <w:keepNext w:val="0"/>
        <w:keepLines w:val="0"/>
        <w:pageBreakBefore w:val="0"/>
        <w:widowControl/>
        <w:numPr>
          <w:ilvl w:val="0"/>
          <w:numId w:val="0"/>
        </w:numPr>
        <w:tabs>
          <w:tab w:val="left" w:pos="0"/>
        </w:tabs>
        <w:kinsoku/>
        <w:wordWrap/>
        <w:overflowPunct/>
        <w:topLinePunct w:val="0"/>
        <w:autoSpaceDE/>
        <w:autoSpaceDN/>
        <w:bidi w:val="0"/>
        <w:adjustRightInd w:val="0"/>
        <w:snapToGrid w:val="0"/>
        <w:spacing w:beforeAutospacing="0" w:afterAutospacing="0" w:line="460" w:lineRule="exact"/>
        <w:ind w:leftChars="0" w:right="0" w:right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9.电池容量≥5000mAh；</w:t>
      </w:r>
    </w:p>
    <w:p>
      <w:pPr>
        <w:keepNext w:val="0"/>
        <w:keepLines w:val="0"/>
        <w:pageBreakBefore w:val="0"/>
        <w:widowControl/>
        <w:numPr>
          <w:ilvl w:val="0"/>
          <w:numId w:val="0"/>
        </w:numPr>
        <w:tabs>
          <w:tab w:val="left" w:pos="0"/>
        </w:tabs>
        <w:kinsoku/>
        <w:wordWrap/>
        <w:overflowPunct/>
        <w:topLinePunct w:val="0"/>
        <w:autoSpaceDE/>
        <w:autoSpaceDN/>
        <w:bidi w:val="0"/>
        <w:adjustRightInd w:val="0"/>
        <w:snapToGrid w:val="0"/>
        <w:spacing w:beforeAutospacing="0" w:afterAutospacing="0" w:line="460" w:lineRule="exact"/>
        <w:ind w:leftChars="0" w:right="0" w:right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val="0"/>
          <w:bCs w:val="0"/>
          <w:color w:val="auto"/>
          <w:sz w:val="24"/>
          <w:szCs w:val="24"/>
          <w:highlight w:val="none"/>
          <w:lang w:val="en-US" w:eastAsia="zh-CN"/>
        </w:rPr>
        <w:t>通话时间≥8小时，待机时间≥120小时；</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▲11.搜星时间：待机状态，空旷环境中接入自主卫星移动通信系统所需时间搜星时间≤90秒；</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w:t>
      </w:r>
      <w:r>
        <w:rPr>
          <w:rFonts w:hint="default" w:ascii="仿宋" w:hAnsi="仿宋" w:eastAsia="仿宋" w:cs="仿宋"/>
          <w:b w:val="0"/>
          <w:bCs w:val="0"/>
          <w:color w:val="auto"/>
          <w:sz w:val="24"/>
          <w:szCs w:val="24"/>
          <w:highlight w:val="none"/>
          <w:lang w:eastAsia="zh-CN"/>
        </w:rPr>
        <w:t>2</w:t>
      </w:r>
      <w:r>
        <w:rPr>
          <w:rFonts w:hint="eastAsia" w:ascii="仿宋" w:hAnsi="仿宋" w:eastAsia="仿宋" w:cs="仿宋"/>
          <w:b w:val="0"/>
          <w:bCs w:val="0"/>
          <w:color w:val="auto"/>
          <w:sz w:val="24"/>
          <w:szCs w:val="24"/>
          <w:highlight w:val="none"/>
          <w:lang w:val="en-US" w:eastAsia="zh-CN"/>
        </w:rPr>
        <w:t>.蓝牙≥BT4.2；WLAN/Wifi：支持802.11 n/g/b/a  2.4G/5G；</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red"/>
          <w:lang w:val="en-US" w:eastAsia="zh-CN"/>
        </w:rPr>
      </w:pPr>
      <w:r>
        <w:rPr>
          <w:rFonts w:hint="eastAsia" w:ascii="仿宋" w:hAnsi="仿宋" w:eastAsia="仿宋" w:cs="仿宋"/>
          <w:b w:val="0"/>
          <w:bCs w:val="0"/>
          <w:color w:val="auto"/>
          <w:sz w:val="24"/>
          <w:szCs w:val="24"/>
          <w:highlight w:val="none"/>
          <w:lang w:val="en-US" w:eastAsia="zh-CN"/>
        </w:rPr>
        <w:t>1</w:t>
      </w:r>
      <w:r>
        <w:rPr>
          <w:rFonts w:hint="default" w:ascii="仿宋" w:hAnsi="仿宋" w:eastAsia="仿宋" w:cs="仿宋"/>
          <w:b w:val="0"/>
          <w:bCs w:val="0"/>
          <w:color w:val="auto"/>
          <w:sz w:val="24"/>
          <w:szCs w:val="24"/>
          <w:highlight w:val="none"/>
          <w:lang w:eastAsia="zh-CN"/>
        </w:rPr>
        <w:t>3</w:t>
      </w:r>
      <w:r>
        <w:rPr>
          <w:rFonts w:hint="eastAsia" w:ascii="仿宋" w:hAnsi="仿宋" w:eastAsia="仿宋" w:cs="仿宋"/>
          <w:b w:val="0"/>
          <w:bCs w:val="0"/>
          <w:color w:val="auto"/>
          <w:sz w:val="24"/>
          <w:szCs w:val="24"/>
          <w:highlight w:val="none"/>
          <w:lang w:val="en-US" w:eastAsia="zh-CN"/>
        </w:rPr>
        <w:t>.具有</w:t>
      </w:r>
      <w:r>
        <w:rPr>
          <w:rFonts w:hint="default" w:ascii="仿宋" w:hAnsi="仿宋" w:eastAsia="仿宋" w:cs="仿宋"/>
          <w:b w:val="0"/>
          <w:bCs w:val="0"/>
          <w:color w:val="auto"/>
          <w:sz w:val="24"/>
          <w:szCs w:val="24"/>
          <w:highlight w:val="none"/>
          <w:lang w:eastAsia="zh-CN"/>
        </w:rPr>
        <w:t>相互独立的</w:t>
      </w:r>
      <w:r>
        <w:rPr>
          <w:rFonts w:hint="eastAsia" w:ascii="仿宋" w:hAnsi="仿宋" w:eastAsia="仿宋" w:cs="仿宋"/>
          <w:b w:val="0"/>
          <w:bCs w:val="0"/>
          <w:color w:val="auto"/>
          <w:sz w:val="24"/>
          <w:szCs w:val="24"/>
          <w:highlight w:val="none"/>
          <w:lang w:val="en-US" w:eastAsia="zh-CN"/>
        </w:rPr>
        <w:t>耳机接口</w:t>
      </w:r>
      <w:r>
        <w:rPr>
          <w:rFonts w:hint="default" w:ascii="仿宋" w:hAnsi="仿宋" w:eastAsia="仿宋" w:cs="仿宋"/>
          <w:b w:val="0"/>
          <w:bCs w:val="0"/>
          <w:color w:val="auto"/>
          <w:sz w:val="24"/>
          <w:szCs w:val="24"/>
          <w:highlight w:val="none"/>
          <w:lang w:eastAsia="zh-CN"/>
        </w:rPr>
        <w:t>和充电接口；</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w:t>
      </w:r>
      <w:r>
        <w:rPr>
          <w:rFonts w:hint="default" w:ascii="仿宋" w:hAnsi="仿宋" w:eastAsia="仿宋" w:cs="仿宋"/>
          <w:b w:val="0"/>
          <w:bCs w:val="0"/>
          <w:color w:val="auto"/>
          <w:sz w:val="24"/>
          <w:szCs w:val="24"/>
          <w:highlight w:val="none"/>
          <w:lang w:eastAsia="zh-CN"/>
        </w:rPr>
        <w:t>4</w:t>
      </w:r>
      <w:r>
        <w:rPr>
          <w:rFonts w:hint="eastAsia" w:ascii="仿宋" w:hAnsi="仿宋" w:eastAsia="仿宋" w:cs="仿宋"/>
          <w:b w:val="0"/>
          <w:bCs w:val="0"/>
          <w:color w:val="auto"/>
          <w:sz w:val="24"/>
          <w:szCs w:val="24"/>
          <w:highlight w:val="none"/>
          <w:lang w:val="en-US" w:eastAsia="zh-CN"/>
        </w:rPr>
        <w:t>.卡座数：卫星卡+4G卡+TF卡；</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w:t>
      </w:r>
      <w:r>
        <w:rPr>
          <w:rFonts w:hint="default" w:ascii="仿宋" w:hAnsi="仿宋" w:eastAsia="仿宋" w:cs="仿宋"/>
          <w:b w:val="0"/>
          <w:bCs w:val="0"/>
          <w:color w:val="auto"/>
          <w:sz w:val="24"/>
          <w:szCs w:val="24"/>
          <w:highlight w:val="none"/>
          <w:lang w:eastAsia="zh-CN"/>
        </w:rPr>
        <w:t>5</w:t>
      </w:r>
      <w:r>
        <w:rPr>
          <w:rFonts w:hint="eastAsia" w:ascii="仿宋" w:hAnsi="仿宋" w:eastAsia="仿宋" w:cs="仿宋"/>
          <w:b w:val="0"/>
          <w:bCs w:val="0"/>
          <w:color w:val="auto"/>
          <w:sz w:val="24"/>
          <w:szCs w:val="24"/>
          <w:highlight w:val="none"/>
          <w:lang w:val="en-US" w:eastAsia="zh-CN"/>
        </w:rPr>
        <w:t>.传感器：重力传感器、距离传感器、光线传感器、指南针、陀螺仪；</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w:t>
      </w:r>
      <w:r>
        <w:rPr>
          <w:rFonts w:hint="default" w:ascii="仿宋" w:hAnsi="仿宋" w:eastAsia="仿宋" w:cs="仿宋"/>
          <w:b w:val="0"/>
          <w:bCs w:val="0"/>
          <w:color w:val="auto"/>
          <w:sz w:val="24"/>
          <w:szCs w:val="24"/>
          <w:highlight w:val="none"/>
          <w:lang w:eastAsia="zh-CN"/>
        </w:rPr>
        <w:t>6</w:t>
      </w:r>
      <w:r>
        <w:rPr>
          <w:rFonts w:hint="eastAsia" w:ascii="仿宋" w:hAnsi="仿宋" w:eastAsia="仿宋" w:cs="仿宋"/>
          <w:b w:val="0"/>
          <w:bCs w:val="0"/>
          <w:color w:val="auto"/>
          <w:sz w:val="24"/>
          <w:szCs w:val="24"/>
          <w:highlight w:val="none"/>
          <w:lang w:val="en-US" w:eastAsia="zh-CN"/>
        </w:rPr>
        <w:t>.防水防尘：≥IP67（需提供具有CMA或CNAS标识的检测报告复印件并加盖原厂公章）；</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w:t>
      </w:r>
      <w:r>
        <w:rPr>
          <w:rFonts w:hint="default" w:ascii="仿宋" w:hAnsi="仿宋" w:eastAsia="仿宋" w:cs="仿宋"/>
          <w:b w:val="0"/>
          <w:bCs w:val="0"/>
          <w:color w:val="auto"/>
          <w:sz w:val="24"/>
          <w:szCs w:val="24"/>
          <w:highlight w:val="none"/>
          <w:lang w:eastAsia="zh-CN"/>
        </w:rPr>
        <w:t>7</w:t>
      </w:r>
      <w:r>
        <w:rPr>
          <w:rFonts w:hint="eastAsia" w:ascii="仿宋" w:hAnsi="仿宋" w:eastAsia="仿宋" w:cs="仿宋"/>
          <w:b w:val="0"/>
          <w:bCs w:val="0"/>
          <w:color w:val="auto"/>
          <w:sz w:val="24"/>
          <w:szCs w:val="24"/>
          <w:highlight w:val="none"/>
          <w:lang w:val="en-US" w:eastAsia="zh-CN"/>
        </w:rPr>
        <w:t>.工作温度：-20℃～60℃。</w:t>
      </w: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eastAsia="zh-CN"/>
        </w:rPr>
        <w:t>18</w:t>
      </w:r>
      <w:r>
        <w:rPr>
          <w:rFonts w:hint="eastAsia" w:ascii="仿宋" w:hAnsi="仿宋" w:eastAsia="仿宋" w:cs="仿宋"/>
          <w:b w:val="0"/>
          <w:bCs w:val="0"/>
          <w:color w:val="auto"/>
          <w:sz w:val="24"/>
          <w:szCs w:val="24"/>
          <w:highlight w:val="none"/>
          <w:lang w:val="en-US" w:eastAsia="zh-CN"/>
        </w:rPr>
        <w:t>.供货前，须主动对接使用单位，确保满足用户需求。</w:t>
      </w: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b w:val="0"/>
          <w:bCs w:val="0"/>
          <w:color w:val="auto"/>
          <w:sz w:val="24"/>
          <w:szCs w:val="24"/>
          <w:highlight w:val="none"/>
          <w:lang w:val="en-US" w:eastAsia="zh-CN"/>
        </w:rPr>
      </w:pPr>
    </w:p>
    <w:p>
      <w:pPr>
        <w:keepNext w:val="0"/>
        <w:keepLines w:val="0"/>
        <w:pageBreakBefore w:val="0"/>
        <w:kinsoku/>
        <w:wordWrap/>
        <w:overflowPunct/>
        <w:topLinePunct w:val="0"/>
        <w:bidi w:val="0"/>
        <w:spacing w:line="460" w:lineRule="exact"/>
        <w:rPr>
          <w:rFonts w:hint="eastAsia" w:ascii="仿宋" w:hAnsi="仿宋" w:eastAsia="仿宋" w:cs="仿宋"/>
          <w:b w:val="0"/>
          <w:bCs w:val="0"/>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1"/>
        <w:rPr>
          <w:rFonts w:hint="eastAsia" w:ascii="仿宋" w:hAnsi="仿宋" w:eastAsia="仿宋" w:cs="仿宋"/>
          <w:b/>
          <w:bCs/>
          <w:color w:val="auto"/>
          <w:sz w:val="24"/>
          <w:szCs w:val="24"/>
          <w:highlight w:val="none"/>
          <w:lang w:val="en-US" w:eastAsia="zh-CN"/>
        </w:rPr>
      </w:pPr>
      <w:bookmarkStart w:id="606" w:name="_Toc30550"/>
      <w:bookmarkStart w:id="607" w:name="_Toc18220"/>
      <w:bookmarkStart w:id="608" w:name="_Toc21464"/>
      <w:bookmarkStart w:id="609" w:name="_Toc21972"/>
      <w:bookmarkStart w:id="610" w:name="_Toc18419"/>
      <w:r>
        <w:rPr>
          <w:rFonts w:hint="eastAsia" w:ascii="仿宋" w:hAnsi="仿宋" w:eastAsia="仿宋" w:cs="Times New Roman"/>
          <w:b/>
          <w:bCs/>
          <w:color w:val="auto"/>
          <w:sz w:val="24"/>
          <w:szCs w:val="24"/>
          <w:highlight w:val="none"/>
          <w:lang w:val="en-US" w:eastAsia="zh-CN"/>
        </w:rPr>
        <w:t>107包</w:t>
      </w:r>
      <w:r>
        <w:rPr>
          <w:rFonts w:hint="eastAsia" w:ascii="仿宋" w:hAnsi="仿宋" w:eastAsia="仿宋" w:cs="Times New Roman"/>
          <w:b/>
          <w:bCs/>
          <w:color w:val="auto"/>
          <w:sz w:val="24"/>
          <w:szCs w:val="24"/>
          <w:highlight w:val="none"/>
        </w:rPr>
        <w:t>：手持电台【核心产品】、防水定位对讲机、骨传导通话装置</w:t>
      </w:r>
      <w:bookmarkEnd w:id="606"/>
      <w:bookmarkEnd w:id="607"/>
      <w:bookmarkEnd w:id="608"/>
      <w:bookmarkEnd w:id="609"/>
      <w:bookmarkEnd w:id="610"/>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107包-1：手持电台</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一、货物名称：手持电台</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二、产地：国产</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shd w:val="clear" w:color="auto" w:fill="FFFF00"/>
          <w:lang w:val="en-US" w:eastAsia="zh-CN"/>
        </w:rPr>
      </w:pPr>
      <w:r>
        <w:rPr>
          <w:rFonts w:hint="eastAsia" w:ascii="仿宋" w:hAnsi="仿宋" w:eastAsia="仿宋" w:cs="仿宋"/>
          <w:b w:val="0"/>
          <w:bCs w:val="0"/>
          <w:color w:val="auto"/>
          <w:sz w:val="24"/>
          <w:szCs w:val="24"/>
          <w:highlight w:val="none"/>
          <w:lang w:val="en-US" w:eastAsia="zh-CN"/>
        </w:rPr>
        <w:t>三、主要技术规格、参数及要求：</w:t>
      </w:r>
    </w:p>
    <w:p>
      <w:pPr>
        <w:keepNext w:val="0"/>
        <w:keepLines w:val="0"/>
        <w:pageBreakBefore w:val="0"/>
        <w:widowControl/>
        <w:numPr>
          <w:ilvl w:val="0"/>
          <w:numId w:val="0"/>
        </w:numPr>
        <w:tabs>
          <w:tab w:val="left" w:pos="0"/>
        </w:tabs>
        <w:kinsoku/>
        <w:wordWrap/>
        <w:overflowPunct/>
        <w:topLinePunct w:val="0"/>
        <w:autoSpaceDE/>
        <w:autoSpaceDN/>
        <w:bidi w:val="0"/>
        <w:adjustRightInd w:val="0"/>
        <w:snapToGrid w:val="0"/>
        <w:spacing w:beforeAutospacing="0" w:afterAutospacing="0" w:line="460" w:lineRule="exact"/>
        <w:ind w:leftChars="0" w:right="0" w:right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★1.设备具有中华人民共和国工业和信息化部颁发的《无线电发射设备型号核准证》(须在有效期内)，提供具有CMA或CNAS标识的检测/检验/试验/测试报告（报告中的型号须与所投产品型号一致）复印件；</w:t>
      </w:r>
    </w:p>
    <w:p>
      <w:pPr>
        <w:keepNext w:val="0"/>
        <w:keepLines w:val="0"/>
        <w:pageBreakBefore w:val="0"/>
        <w:widowControl/>
        <w:numPr>
          <w:ilvl w:val="0"/>
          <w:numId w:val="0"/>
        </w:numPr>
        <w:tabs>
          <w:tab w:val="left" w:pos="0"/>
        </w:tabs>
        <w:kinsoku/>
        <w:wordWrap/>
        <w:overflowPunct/>
        <w:topLinePunct w:val="0"/>
        <w:autoSpaceDE/>
        <w:autoSpaceDN/>
        <w:bidi w:val="0"/>
        <w:adjustRightInd w:val="0"/>
        <w:snapToGrid w:val="0"/>
        <w:spacing w:beforeAutospacing="0" w:afterAutospacing="0" w:line="460" w:lineRule="exact"/>
        <w:ind w:leftChars="0" w:right="0" w:right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★2.兼容性：此装备要与江西消防救援队伍现有手持电台和窄带自组网基站进行适配，</w:t>
      </w:r>
      <w:r>
        <w:rPr>
          <w:rFonts w:hint="eastAsia" w:ascii="仿宋" w:hAnsi="仿宋" w:eastAsia="仿宋" w:cs="仿宋"/>
          <w:b w:val="0"/>
          <w:bCs w:val="0"/>
          <w:color w:val="auto"/>
          <w:kern w:val="2"/>
          <w:sz w:val="24"/>
          <w:szCs w:val="24"/>
          <w:highlight w:val="none"/>
          <w:lang w:val="en-US" w:eastAsia="zh-CN" w:bidi="ar-SA"/>
        </w:rPr>
        <w:t>具备PDT数字集群、数字常规、MPT模拟集群、模拟常规功能，可自由切换；</w:t>
      </w:r>
    </w:p>
    <w:p>
      <w:pPr>
        <w:keepNext w:val="0"/>
        <w:keepLines w:val="0"/>
        <w:pageBreakBefore w:val="0"/>
        <w:widowControl/>
        <w:numPr>
          <w:ilvl w:val="0"/>
          <w:numId w:val="0"/>
        </w:numPr>
        <w:tabs>
          <w:tab w:val="left" w:pos="0"/>
        </w:tabs>
        <w:kinsoku/>
        <w:wordWrap/>
        <w:overflowPunct/>
        <w:topLinePunct w:val="0"/>
        <w:autoSpaceDE/>
        <w:autoSpaceDN/>
        <w:bidi w:val="0"/>
        <w:adjustRightInd w:val="0"/>
        <w:snapToGrid w:val="0"/>
        <w:spacing w:beforeAutospacing="0" w:afterAutospacing="0" w:line="460" w:lineRule="exact"/>
        <w:ind w:leftChars="0" w:right="0" w:rightChars="0"/>
        <w:jc w:val="both"/>
        <w:textAlignment w:val="auto"/>
        <w:outlineLvl w:val="9"/>
        <w:rPr>
          <w:rFonts w:hint="default"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kern w:val="2"/>
          <w:sz w:val="24"/>
          <w:szCs w:val="24"/>
          <w:highlight w:val="none"/>
          <w:lang w:val="en-US" w:eastAsia="zh-CN" w:bidi="ar-SA"/>
        </w:rPr>
        <w:t>手持电台信道旋钮支持360°无极型旋转，可循环切换不同的组呼联系人</w:t>
      </w:r>
      <w:r>
        <w:rPr>
          <w:rFonts w:hint="default" w:ascii="仿宋" w:hAnsi="仿宋" w:eastAsia="仿宋" w:cs="仿宋"/>
          <w:b w:val="0"/>
          <w:bCs w:val="0"/>
          <w:color w:val="auto"/>
          <w:kern w:val="2"/>
          <w:sz w:val="24"/>
          <w:szCs w:val="24"/>
          <w:highlight w:val="none"/>
          <w:lang w:val="en-US" w:eastAsia="zh-CN" w:bidi="ar-SA"/>
        </w:rPr>
        <w:t>；</w:t>
      </w:r>
    </w:p>
    <w:p>
      <w:pPr>
        <w:keepNext w:val="0"/>
        <w:keepLines w:val="0"/>
        <w:pageBreakBefore w:val="0"/>
        <w:widowControl/>
        <w:numPr>
          <w:ilvl w:val="0"/>
          <w:numId w:val="0"/>
        </w:numPr>
        <w:tabs>
          <w:tab w:val="left" w:pos="0"/>
        </w:tabs>
        <w:kinsoku/>
        <w:wordWrap/>
        <w:overflowPunct/>
        <w:topLinePunct w:val="0"/>
        <w:autoSpaceDE/>
        <w:autoSpaceDN/>
        <w:bidi w:val="0"/>
        <w:adjustRightInd w:val="0"/>
        <w:snapToGrid w:val="0"/>
        <w:spacing w:beforeAutospacing="0" w:afterAutospacing="0" w:line="460" w:lineRule="exact"/>
        <w:ind w:leftChars="0" w:right="0" w:rightChars="0"/>
        <w:jc w:val="both"/>
        <w:textAlignment w:val="auto"/>
        <w:outlineLvl w:val="9"/>
        <w:rPr>
          <w:rFonts w:hint="default"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★4.性能要求：工作频率范围：350MHz-400MHz；发射功率：1-3.5W可调</w:t>
      </w:r>
      <w:r>
        <w:rPr>
          <w:rFonts w:hint="default" w:ascii="仿宋" w:hAnsi="仿宋" w:eastAsia="仿宋" w:cs="仿宋"/>
          <w:b w:val="0"/>
          <w:bCs w:val="0"/>
          <w:color w:val="auto"/>
          <w:kern w:val="2"/>
          <w:sz w:val="24"/>
          <w:szCs w:val="24"/>
          <w:highlight w:val="none"/>
          <w:lang w:val="en-US" w:eastAsia="zh-CN" w:bidi="ar-SA"/>
        </w:rPr>
        <w:t>；</w:t>
      </w:r>
    </w:p>
    <w:p>
      <w:pPr>
        <w:keepNext w:val="0"/>
        <w:keepLines w:val="0"/>
        <w:pageBreakBefore w:val="0"/>
        <w:widowControl/>
        <w:numPr>
          <w:ilvl w:val="0"/>
          <w:numId w:val="0"/>
        </w:numPr>
        <w:tabs>
          <w:tab w:val="left" w:pos="0"/>
        </w:tabs>
        <w:kinsoku/>
        <w:wordWrap/>
        <w:overflowPunct/>
        <w:topLinePunct w:val="0"/>
        <w:autoSpaceDE/>
        <w:autoSpaceDN/>
        <w:bidi w:val="0"/>
        <w:adjustRightInd w:val="0"/>
        <w:snapToGrid w:val="0"/>
        <w:spacing w:beforeAutospacing="0" w:afterAutospacing="0" w:line="460" w:lineRule="exact"/>
        <w:ind w:leftChars="0" w:right="0" w:rightChars="0"/>
        <w:jc w:val="both"/>
        <w:textAlignment w:val="auto"/>
        <w:outlineLvl w:val="9"/>
        <w:rPr>
          <w:rFonts w:hint="default"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5.手持电台须内置蓝牙模块，能够支持蓝牙耳机、手咪等多种配件，蓝牙协议版本不低于Bluetooth V</w:t>
      </w:r>
      <w:r>
        <w:rPr>
          <w:rFonts w:hint="default" w:ascii="仿宋" w:hAnsi="仿宋" w:eastAsia="仿宋" w:cs="仿宋"/>
          <w:b w:val="0"/>
          <w:bCs w:val="0"/>
          <w:color w:val="auto"/>
          <w:kern w:val="2"/>
          <w:sz w:val="24"/>
          <w:szCs w:val="24"/>
          <w:highlight w:val="none"/>
          <w:lang w:val="en-US" w:eastAsia="zh-CN" w:bidi="ar-SA"/>
        </w:rPr>
        <w:t>5</w:t>
      </w:r>
      <w:r>
        <w:rPr>
          <w:rFonts w:hint="eastAsia" w:ascii="仿宋" w:hAnsi="仿宋" w:eastAsia="仿宋" w:cs="仿宋"/>
          <w:b w:val="0"/>
          <w:bCs w:val="0"/>
          <w:color w:val="auto"/>
          <w:kern w:val="2"/>
          <w:sz w:val="24"/>
          <w:szCs w:val="24"/>
          <w:highlight w:val="none"/>
          <w:lang w:val="en-US" w:eastAsia="zh-CN" w:bidi="ar-SA"/>
        </w:rPr>
        <w:t>.0；</w:t>
      </w:r>
      <w:r>
        <w:rPr>
          <w:rFonts w:hint="default" w:ascii="仿宋" w:hAnsi="仿宋" w:eastAsia="仿宋" w:cs="仿宋"/>
          <w:b w:val="0"/>
          <w:bCs w:val="0"/>
          <w:color w:val="auto"/>
          <w:kern w:val="2"/>
          <w:sz w:val="24"/>
          <w:szCs w:val="24"/>
          <w:highlight w:val="none"/>
          <w:lang w:val="en-US" w:eastAsia="zh-CN" w:bidi="ar-SA"/>
        </w:rPr>
        <w:t>具有降噪功能；</w:t>
      </w:r>
    </w:p>
    <w:p>
      <w:pPr>
        <w:keepNext w:val="0"/>
        <w:keepLines w:val="0"/>
        <w:pageBreakBefore w:val="0"/>
        <w:widowControl/>
        <w:numPr>
          <w:ilvl w:val="0"/>
          <w:numId w:val="0"/>
        </w:numPr>
        <w:tabs>
          <w:tab w:val="left" w:pos="0"/>
        </w:tabs>
        <w:kinsoku/>
        <w:wordWrap/>
        <w:overflowPunct/>
        <w:topLinePunct w:val="0"/>
        <w:autoSpaceDE/>
        <w:autoSpaceDN/>
        <w:bidi w:val="0"/>
        <w:adjustRightInd w:val="0"/>
        <w:snapToGrid w:val="0"/>
        <w:spacing w:beforeAutospacing="0" w:afterAutospacing="0" w:line="460" w:lineRule="exact"/>
        <w:ind w:leftChars="0" w:right="0" w:rightChars="0"/>
        <w:jc w:val="both"/>
        <w:textAlignment w:val="auto"/>
        <w:outlineLvl w:val="9"/>
        <w:rPr>
          <w:rFonts w:hint="eastAsia" w:ascii="仿宋" w:hAnsi="仿宋" w:eastAsia="仿宋" w:cs="仿宋"/>
          <w:b w:val="0"/>
          <w:bCs w:val="0"/>
          <w:color w:val="auto"/>
          <w:kern w:val="2"/>
          <w:sz w:val="24"/>
          <w:szCs w:val="24"/>
          <w:highlight w:val="none"/>
          <w:lang w:val="en-US" w:eastAsia="zh-CN" w:bidi="ar-SA"/>
        </w:rPr>
      </w:pPr>
      <w:r>
        <w:rPr>
          <w:rFonts w:hint="default" w:ascii="仿宋" w:hAnsi="仿宋" w:eastAsia="仿宋" w:cs="仿宋"/>
          <w:b w:val="0"/>
          <w:bCs w:val="0"/>
          <w:color w:val="auto"/>
          <w:kern w:val="2"/>
          <w:sz w:val="24"/>
          <w:szCs w:val="24"/>
          <w:highlight w:val="none"/>
          <w:lang w:val="en-US" w:eastAsia="zh-CN" w:bidi="ar-SA"/>
        </w:rPr>
        <w:t>6</w:t>
      </w:r>
      <w:r>
        <w:rPr>
          <w:rFonts w:hint="eastAsia" w:ascii="仿宋" w:hAnsi="仿宋" w:eastAsia="仿宋" w:cs="仿宋"/>
          <w:b w:val="0"/>
          <w:bCs w:val="0"/>
          <w:color w:val="auto"/>
          <w:kern w:val="2"/>
          <w:sz w:val="24"/>
          <w:szCs w:val="24"/>
          <w:highlight w:val="none"/>
          <w:lang w:val="en-US" w:eastAsia="zh-CN" w:bidi="ar-SA"/>
        </w:rPr>
        <w:t>.功能要求：具备按照消防三级组网要求预设频率、一键选频功能，具备一键报警撤离功能，支持全程录音、录音文件导出功能；</w:t>
      </w:r>
    </w:p>
    <w:p>
      <w:pPr>
        <w:keepNext w:val="0"/>
        <w:keepLines w:val="0"/>
        <w:pageBreakBefore w:val="0"/>
        <w:widowControl/>
        <w:numPr>
          <w:ilvl w:val="0"/>
          <w:numId w:val="0"/>
        </w:numPr>
        <w:tabs>
          <w:tab w:val="left" w:pos="0"/>
        </w:tabs>
        <w:kinsoku/>
        <w:wordWrap/>
        <w:overflowPunct/>
        <w:topLinePunct w:val="0"/>
        <w:autoSpaceDE/>
        <w:autoSpaceDN/>
        <w:bidi w:val="0"/>
        <w:adjustRightInd w:val="0"/>
        <w:snapToGrid w:val="0"/>
        <w:spacing w:beforeAutospacing="0" w:afterAutospacing="0" w:line="460" w:lineRule="exact"/>
        <w:ind w:leftChars="0" w:right="0" w:rightChars="0"/>
        <w:jc w:val="both"/>
        <w:textAlignment w:val="auto"/>
        <w:outlineLvl w:val="9"/>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w:t>
      </w:r>
      <w:r>
        <w:rPr>
          <w:rFonts w:hint="default" w:ascii="仿宋" w:hAnsi="仿宋" w:eastAsia="仿宋" w:cs="仿宋"/>
          <w:b w:val="0"/>
          <w:bCs w:val="0"/>
          <w:color w:val="auto"/>
          <w:kern w:val="2"/>
          <w:sz w:val="24"/>
          <w:szCs w:val="24"/>
          <w:highlight w:val="none"/>
          <w:lang w:eastAsia="zh-CN" w:bidi="ar-SA"/>
        </w:rPr>
        <w:t>7</w:t>
      </w:r>
      <w:r>
        <w:rPr>
          <w:rFonts w:hint="eastAsia" w:ascii="仿宋" w:hAnsi="仿宋" w:eastAsia="仿宋" w:cs="仿宋"/>
          <w:b w:val="0"/>
          <w:bCs w:val="0"/>
          <w:color w:val="auto"/>
          <w:kern w:val="2"/>
          <w:sz w:val="24"/>
          <w:szCs w:val="24"/>
          <w:highlight w:val="none"/>
          <w:lang w:val="en-US" w:eastAsia="zh-CN" w:bidi="ar-SA"/>
        </w:rPr>
        <w:t>.防水防尘等级：IP68（需提供具有CMA或CNAS标识的检测报告复印件并加盖制造商公章）；</w:t>
      </w:r>
    </w:p>
    <w:p>
      <w:pPr>
        <w:keepNext w:val="0"/>
        <w:keepLines w:val="0"/>
        <w:pageBreakBefore w:val="0"/>
        <w:widowControl/>
        <w:numPr>
          <w:ilvl w:val="0"/>
          <w:numId w:val="0"/>
        </w:numPr>
        <w:tabs>
          <w:tab w:val="left" w:pos="0"/>
        </w:tabs>
        <w:kinsoku/>
        <w:wordWrap/>
        <w:overflowPunct/>
        <w:topLinePunct w:val="0"/>
        <w:autoSpaceDE/>
        <w:autoSpaceDN/>
        <w:bidi w:val="0"/>
        <w:adjustRightInd w:val="0"/>
        <w:snapToGrid w:val="0"/>
        <w:spacing w:beforeAutospacing="0" w:afterAutospacing="0" w:line="460" w:lineRule="exact"/>
        <w:ind w:leftChars="0" w:right="0" w:rightChars="0"/>
        <w:jc w:val="both"/>
        <w:textAlignment w:val="auto"/>
        <w:outlineLvl w:val="9"/>
        <w:rPr>
          <w:rFonts w:hint="default" w:ascii="仿宋" w:hAnsi="仿宋" w:eastAsia="仿宋" w:cs="仿宋"/>
          <w:b w:val="0"/>
          <w:bCs w:val="0"/>
          <w:color w:val="auto"/>
          <w:kern w:val="2"/>
          <w:sz w:val="24"/>
          <w:szCs w:val="24"/>
          <w:highlight w:val="none"/>
          <w:lang w:eastAsia="zh-CN" w:bidi="ar-SA"/>
        </w:rPr>
      </w:pPr>
      <w:r>
        <w:rPr>
          <w:rFonts w:hint="eastAsia" w:ascii="仿宋" w:hAnsi="仿宋" w:eastAsia="仿宋" w:cs="仿宋"/>
          <w:b w:val="0"/>
          <w:bCs w:val="0"/>
          <w:color w:val="auto"/>
          <w:kern w:val="2"/>
          <w:sz w:val="24"/>
          <w:szCs w:val="24"/>
          <w:highlight w:val="none"/>
          <w:lang w:val="en-US" w:eastAsia="zh-CN" w:bidi="ar-SA"/>
        </w:rPr>
        <w:t>★</w:t>
      </w:r>
      <w:r>
        <w:rPr>
          <w:rFonts w:hint="default" w:ascii="仿宋" w:hAnsi="仿宋" w:eastAsia="仿宋" w:cs="仿宋"/>
          <w:b w:val="0"/>
          <w:bCs w:val="0"/>
          <w:color w:val="auto"/>
          <w:sz w:val="24"/>
          <w:szCs w:val="24"/>
          <w:highlight w:val="none"/>
          <w:lang w:eastAsia="zh-CN"/>
        </w:rPr>
        <w:t>8</w:t>
      </w:r>
      <w:r>
        <w:rPr>
          <w:rFonts w:hint="eastAsia" w:ascii="仿宋" w:hAnsi="仿宋" w:eastAsia="仿宋" w:cs="仿宋"/>
          <w:b w:val="0"/>
          <w:bCs w:val="0"/>
          <w:color w:val="auto"/>
          <w:kern w:val="2"/>
          <w:sz w:val="24"/>
          <w:szCs w:val="24"/>
          <w:highlight w:val="none"/>
          <w:lang w:val="en-US" w:eastAsia="zh-CN" w:bidi="ar-SA"/>
        </w:rPr>
        <w:t>.防爆等级：≥Ex ib ⅡB T4 Gb（爆炸性气体）和Ex ib ⅢC T130℃ Db（可燃性粉尘）（提供防爆等级合格证复印件</w:t>
      </w:r>
      <w:r>
        <w:rPr>
          <w:rFonts w:hint="default" w:ascii="仿宋" w:hAnsi="仿宋" w:eastAsia="仿宋" w:cs="仿宋"/>
          <w:b w:val="0"/>
          <w:bCs w:val="0"/>
          <w:color w:val="auto"/>
          <w:kern w:val="2"/>
          <w:sz w:val="24"/>
          <w:szCs w:val="24"/>
          <w:highlight w:val="none"/>
          <w:lang w:eastAsia="zh-CN" w:bidi="ar-SA"/>
        </w:rPr>
        <w:t>）；</w:t>
      </w:r>
    </w:p>
    <w:p>
      <w:pPr>
        <w:keepNext w:val="0"/>
        <w:keepLines w:val="0"/>
        <w:pageBreakBefore w:val="0"/>
        <w:widowControl/>
        <w:numPr>
          <w:ilvl w:val="0"/>
          <w:numId w:val="0"/>
        </w:numPr>
        <w:tabs>
          <w:tab w:val="left" w:pos="0"/>
        </w:tabs>
        <w:kinsoku/>
        <w:wordWrap/>
        <w:overflowPunct/>
        <w:topLinePunct w:val="0"/>
        <w:autoSpaceDE/>
        <w:autoSpaceDN/>
        <w:bidi w:val="0"/>
        <w:adjustRightInd w:val="0"/>
        <w:snapToGrid w:val="0"/>
        <w:spacing w:beforeAutospacing="0" w:afterAutospacing="0" w:line="460" w:lineRule="exact"/>
        <w:ind w:leftChars="0" w:right="0" w:rightChars="0"/>
        <w:jc w:val="both"/>
        <w:textAlignment w:val="auto"/>
        <w:outlineLvl w:val="9"/>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w:t>
      </w:r>
      <w:r>
        <w:rPr>
          <w:rFonts w:hint="default" w:ascii="仿宋" w:hAnsi="仿宋" w:eastAsia="仿宋" w:cs="仿宋"/>
          <w:b w:val="0"/>
          <w:bCs w:val="0"/>
          <w:color w:val="auto"/>
          <w:kern w:val="2"/>
          <w:sz w:val="24"/>
          <w:szCs w:val="24"/>
          <w:highlight w:val="none"/>
          <w:lang w:eastAsia="zh-CN" w:bidi="ar-SA"/>
        </w:rPr>
        <w:t>9</w:t>
      </w:r>
      <w:r>
        <w:rPr>
          <w:rFonts w:hint="eastAsia" w:ascii="仿宋" w:hAnsi="仿宋" w:eastAsia="仿宋" w:cs="仿宋"/>
          <w:b w:val="0"/>
          <w:bCs w:val="0"/>
          <w:color w:val="auto"/>
          <w:kern w:val="2"/>
          <w:sz w:val="24"/>
          <w:szCs w:val="24"/>
          <w:highlight w:val="none"/>
          <w:lang w:val="en-US" w:eastAsia="zh-CN" w:bidi="ar-SA"/>
        </w:rPr>
        <w:t>.信道数量：≥1024，信道间隔：12.5KHz/25KHz；</w:t>
      </w:r>
    </w:p>
    <w:p>
      <w:pPr>
        <w:keepNext w:val="0"/>
        <w:keepLines w:val="0"/>
        <w:pageBreakBefore w:val="0"/>
        <w:widowControl/>
        <w:numPr>
          <w:ilvl w:val="0"/>
          <w:numId w:val="0"/>
        </w:numPr>
        <w:tabs>
          <w:tab w:val="left" w:pos="0"/>
        </w:tabs>
        <w:kinsoku/>
        <w:wordWrap/>
        <w:overflowPunct/>
        <w:topLinePunct w:val="0"/>
        <w:autoSpaceDE/>
        <w:autoSpaceDN/>
        <w:bidi w:val="0"/>
        <w:adjustRightInd w:val="0"/>
        <w:snapToGrid w:val="0"/>
        <w:spacing w:beforeAutospacing="0" w:afterAutospacing="0" w:line="460" w:lineRule="exact"/>
        <w:ind w:leftChars="0" w:right="0" w:rightChars="0"/>
        <w:jc w:val="both"/>
        <w:textAlignment w:val="auto"/>
        <w:outlineLvl w:val="9"/>
        <w:rPr>
          <w:rFonts w:hint="default" w:ascii="仿宋" w:hAnsi="仿宋" w:eastAsia="仿宋" w:cs="仿宋"/>
          <w:b w:val="0"/>
          <w:bCs w:val="0"/>
          <w:color w:val="auto"/>
          <w:kern w:val="2"/>
          <w:sz w:val="24"/>
          <w:szCs w:val="24"/>
          <w:highlight w:val="none"/>
          <w:lang w:eastAsia="zh-CN" w:bidi="ar-SA"/>
        </w:rPr>
      </w:pPr>
      <w:r>
        <w:rPr>
          <w:rFonts w:hint="default" w:ascii="仿宋" w:hAnsi="仿宋" w:eastAsia="仿宋" w:cs="仿宋"/>
          <w:b w:val="0"/>
          <w:bCs w:val="0"/>
          <w:color w:val="auto"/>
          <w:sz w:val="24"/>
          <w:szCs w:val="24"/>
          <w:highlight w:val="none"/>
          <w:lang w:eastAsia="zh-CN"/>
        </w:rPr>
        <w:t>10</w:t>
      </w: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b w:val="0"/>
          <w:bCs w:val="0"/>
          <w:color w:val="auto"/>
          <w:kern w:val="2"/>
          <w:sz w:val="24"/>
          <w:szCs w:val="24"/>
          <w:highlight w:val="none"/>
          <w:lang w:val="en-US" w:eastAsia="zh-CN" w:bidi="ar-SA"/>
        </w:rPr>
        <w:t>电池工作时间：≥12h；</w:t>
      </w:r>
    </w:p>
    <w:p>
      <w:pPr>
        <w:keepNext w:val="0"/>
        <w:keepLines w:val="0"/>
        <w:pageBreakBefore w:val="0"/>
        <w:widowControl/>
        <w:numPr>
          <w:ilvl w:val="0"/>
          <w:numId w:val="0"/>
        </w:numPr>
        <w:tabs>
          <w:tab w:val="left" w:pos="0"/>
        </w:tabs>
        <w:kinsoku/>
        <w:wordWrap/>
        <w:overflowPunct/>
        <w:topLinePunct w:val="0"/>
        <w:autoSpaceDE/>
        <w:autoSpaceDN/>
        <w:bidi w:val="0"/>
        <w:adjustRightInd w:val="0"/>
        <w:snapToGrid w:val="0"/>
        <w:spacing w:beforeAutospacing="0" w:afterAutospacing="0" w:line="460" w:lineRule="exact"/>
        <w:ind w:leftChars="0" w:right="0" w:rightChars="0"/>
        <w:jc w:val="both"/>
        <w:textAlignment w:val="auto"/>
        <w:outlineLvl w:val="9"/>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b w:val="0"/>
          <w:bCs w:val="0"/>
          <w:color w:val="auto"/>
          <w:kern w:val="2"/>
          <w:sz w:val="24"/>
          <w:szCs w:val="24"/>
          <w:highlight w:val="none"/>
          <w:lang w:val="en-US" w:eastAsia="zh-CN" w:bidi="ar-SA"/>
        </w:rPr>
        <w:t>1</w:t>
      </w:r>
      <w:r>
        <w:rPr>
          <w:rFonts w:hint="default" w:ascii="仿宋" w:hAnsi="仿宋" w:eastAsia="仿宋" w:cs="仿宋"/>
          <w:b w:val="0"/>
          <w:bCs w:val="0"/>
          <w:color w:val="auto"/>
          <w:kern w:val="2"/>
          <w:sz w:val="24"/>
          <w:szCs w:val="24"/>
          <w:highlight w:val="none"/>
          <w:lang w:eastAsia="zh-CN" w:bidi="ar-SA"/>
        </w:rPr>
        <w:t>1</w:t>
      </w:r>
      <w:r>
        <w:rPr>
          <w:rFonts w:hint="eastAsia" w:ascii="仿宋" w:hAnsi="仿宋" w:eastAsia="仿宋" w:cs="仿宋"/>
          <w:b w:val="0"/>
          <w:bCs w:val="0"/>
          <w:color w:val="auto"/>
          <w:kern w:val="2"/>
          <w:sz w:val="24"/>
          <w:szCs w:val="24"/>
          <w:highlight w:val="none"/>
          <w:lang w:val="en-US" w:eastAsia="zh-CN" w:bidi="ar-SA"/>
        </w:rPr>
        <w:t>.电池容量：≥2400mAH；按百分比显示剩余电池电量；</w:t>
      </w:r>
    </w:p>
    <w:p>
      <w:pPr>
        <w:keepNext w:val="0"/>
        <w:keepLines w:val="0"/>
        <w:pageBreakBefore w:val="0"/>
        <w:widowControl/>
        <w:numPr>
          <w:ilvl w:val="0"/>
          <w:numId w:val="0"/>
        </w:numPr>
        <w:tabs>
          <w:tab w:val="left" w:pos="0"/>
        </w:tabs>
        <w:kinsoku/>
        <w:wordWrap/>
        <w:overflowPunct/>
        <w:topLinePunct w:val="0"/>
        <w:autoSpaceDE/>
        <w:autoSpaceDN/>
        <w:bidi w:val="0"/>
        <w:adjustRightInd w:val="0"/>
        <w:snapToGrid w:val="0"/>
        <w:spacing w:beforeAutospacing="0" w:afterAutospacing="0" w:line="460" w:lineRule="exact"/>
        <w:ind w:leftChars="0" w:right="0" w:rightChars="0"/>
        <w:jc w:val="both"/>
        <w:textAlignment w:val="auto"/>
        <w:outlineLvl w:val="9"/>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★1</w:t>
      </w:r>
      <w:r>
        <w:rPr>
          <w:rFonts w:hint="default" w:ascii="仿宋" w:hAnsi="仿宋" w:eastAsia="仿宋" w:cs="仿宋"/>
          <w:b w:val="0"/>
          <w:bCs w:val="0"/>
          <w:color w:val="auto"/>
          <w:kern w:val="2"/>
          <w:sz w:val="24"/>
          <w:szCs w:val="24"/>
          <w:highlight w:val="none"/>
          <w:lang w:eastAsia="zh-CN" w:bidi="ar-SA"/>
        </w:rPr>
        <w:t>2</w:t>
      </w:r>
      <w:r>
        <w:rPr>
          <w:rFonts w:hint="eastAsia" w:ascii="仿宋" w:hAnsi="仿宋" w:eastAsia="仿宋" w:cs="仿宋"/>
          <w:b w:val="0"/>
          <w:bCs w:val="0"/>
          <w:color w:val="auto"/>
          <w:kern w:val="2"/>
          <w:sz w:val="24"/>
          <w:szCs w:val="24"/>
          <w:highlight w:val="none"/>
          <w:lang w:val="en-US" w:eastAsia="zh-CN" w:bidi="ar-SA"/>
        </w:rPr>
        <w:t>.定位功能：仅支持单北斗独立定位模块；</w:t>
      </w:r>
    </w:p>
    <w:p>
      <w:pPr>
        <w:keepNext w:val="0"/>
        <w:keepLines w:val="0"/>
        <w:pageBreakBefore w:val="0"/>
        <w:widowControl/>
        <w:numPr>
          <w:ilvl w:val="0"/>
          <w:numId w:val="0"/>
        </w:numPr>
        <w:tabs>
          <w:tab w:val="left" w:pos="0"/>
        </w:tabs>
        <w:kinsoku/>
        <w:wordWrap/>
        <w:overflowPunct/>
        <w:topLinePunct w:val="0"/>
        <w:autoSpaceDE/>
        <w:autoSpaceDN/>
        <w:bidi w:val="0"/>
        <w:adjustRightInd w:val="0"/>
        <w:snapToGrid w:val="0"/>
        <w:spacing w:beforeAutospacing="0" w:afterAutospacing="0" w:line="460" w:lineRule="exact"/>
        <w:ind w:leftChars="0" w:right="0" w:rightChars="0"/>
        <w:jc w:val="both"/>
        <w:textAlignment w:val="auto"/>
        <w:outlineLvl w:val="9"/>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b w:val="0"/>
          <w:bCs w:val="0"/>
          <w:color w:val="auto"/>
          <w:kern w:val="2"/>
          <w:sz w:val="24"/>
          <w:szCs w:val="24"/>
          <w:highlight w:val="none"/>
          <w:lang w:val="en-US" w:eastAsia="zh-CN" w:bidi="ar-SA"/>
        </w:rPr>
        <w:t>1</w:t>
      </w:r>
      <w:r>
        <w:rPr>
          <w:rFonts w:hint="default" w:ascii="仿宋" w:hAnsi="仿宋" w:eastAsia="仿宋" w:cs="仿宋"/>
          <w:b w:val="0"/>
          <w:bCs w:val="0"/>
          <w:color w:val="auto"/>
          <w:kern w:val="2"/>
          <w:sz w:val="24"/>
          <w:szCs w:val="24"/>
          <w:highlight w:val="none"/>
          <w:lang w:eastAsia="zh-CN" w:bidi="ar-SA"/>
        </w:rPr>
        <w:t>3</w:t>
      </w:r>
      <w:r>
        <w:rPr>
          <w:rFonts w:hint="eastAsia" w:ascii="仿宋" w:hAnsi="仿宋" w:eastAsia="仿宋" w:cs="仿宋"/>
          <w:b w:val="0"/>
          <w:bCs w:val="0"/>
          <w:color w:val="auto"/>
          <w:kern w:val="2"/>
          <w:sz w:val="24"/>
          <w:szCs w:val="24"/>
          <w:highlight w:val="none"/>
          <w:lang w:val="en-US" w:eastAsia="zh-CN" w:bidi="ar-SA"/>
        </w:rPr>
        <w:t>.外观显示：具有大屏显示，屏幕尺寸≥2.0英寸；</w:t>
      </w:r>
    </w:p>
    <w:p>
      <w:pPr>
        <w:keepNext w:val="0"/>
        <w:keepLines w:val="0"/>
        <w:pageBreakBefore w:val="0"/>
        <w:widowControl/>
        <w:numPr>
          <w:ilvl w:val="0"/>
          <w:numId w:val="0"/>
        </w:numPr>
        <w:tabs>
          <w:tab w:val="left" w:pos="0"/>
        </w:tabs>
        <w:kinsoku/>
        <w:wordWrap/>
        <w:overflowPunct/>
        <w:topLinePunct w:val="0"/>
        <w:autoSpaceDE/>
        <w:autoSpaceDN/>
        <w:bidi w:val="0"/>
        <w:adjustRightInd w:val="0"/>
        <w:snapToGrid w:val="0"/>
        <w:spacing w:beforeAutospacing="0" w:afterAutospacing="0" w:line="460" w:lineRule="exact"/>
        <w:ind w:leftChars="0" w:right="0" w:rightChars="0"/>
        <w:jc w:val="both"/>
        <w:textAlignment w:val="auto"/>
        <w:outlineLvl w:val="9"/>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1</w:t>
      </w:r>
      <w:r>
        <w:rPr>
          <w:rFonts w:hint="default" w:ascii="仿宋" w:hAnsi="仿宋" w:eastAsia="仿宋" w:cs="仿宋"/>
          <w:b w:val="0"/>
          <w:bCs w:val="0"/>
          <w:color w:val="auto"/>
          <w:kern w:val="2"/>
          <w:sz w:val="24"/>
          <w:szCs w:val="24"/>
          <w:highlight w:val="none"/>
          <w:lang w:eastAsia="zh-CN" w:bidi="ar-SA"/>
        </w:rPr>
        <w:t>4</w:t>
      </w:r>
      <w:r>
        <w:rPr>
          <w:rFonts w:hint="eastAsia" w:ascii="仿宋" w:hAnsi="仿宋" w:eastAsia="仿宋" w:cs="仿宋"/>
          <w:b w:val="0"/>
          <w:bCs w:val="0"/>
          <w:color w:val="auto"/>
          <w:kern w:val="2"/>
          <w:sz w:val="24"/>
          <w:szCs w:val="24"/>
          <w:highlight w:val="none"/>
          <w:lang w:val="en-US" w:eastAsia="zh-CN" w:bidi="ar-SA"/>
        </w:rPr>
        <w:t>.工作温度范围:至少满足-20℃~+60℃。</w:t>
      </w:r>
    </w:p>
    <w:p>
      <w:pPr>
        <w:keepNext w:val="0"/>
        <w:keepLines w:val="0"/>
        <w:pageBreakBefore w:val="0"/>
        <w:widowControl/>
        <w:numPr>
          <w:ilvl w:val="0"/>
          <w:numId w:val="0"/>
        </w:numPr>
        <w:tabs>
          <w:tab w:val="left" w:pos="0"/>
        </w:tabs>
        <w:kinsoku/>
        <w:wordWrap/>
        <w:overflowPunct/>
        <w:topLinePunct w:val="0"/>
        <w:autoSpaceDE/>
        <w:autoSpaceDN/>
        <w:bidi w:val="0"/>
        <w:adjustRightInd w:val="0"/>
        <w:snapToGrid w:val="0"/>
        <w:spacing w:beforeAutospacing="0" w:afterAutospacing="0" w:line="460" w:lineRule="exact"/>
        <w:ind w:leftChars="0" w:right="0" w:rightChars="0"/>
        <w:jc w:val="both"/>
        <w:textAlignment w:val="auto"/>
        <w:outlineLvl w:val="9"/>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★1</w:t>
      </w:r>
      <w:r>
        <w:rPr>
          <w:rFonts w:hint="default" w:ascii="仿宋" w:hAnsi="仿宋" w:eastAsia="仿宋" w:cs="仿宋"/>
          <w:b w:val="0"/>
          <w:bCs w:val="0"/>
          <w:color w:val="auto"/>
          <w:kern w:val="2"/>
          <w:sz w:val="24"/>
          <w:szCs w:val="24"/>
          <w:highlight w:val="none"/>
          <w:lang w:eastAsia="zh-CN" w:bidi="ar-SA"/>
        </w:rPr>
        <w:t>5</w:t>
      </w:r>
      <w:r>
        <w:rPr>
          <w:rFonts w:hint="eastAsia" w:ascii="仿宋" w:hAnsi="仿宋" w:eastAsia="仿宋" w:cs="仿宋"/>
          <w:b w:val="0"/>
          <w:bCs w:val="0"/>
          <w:color w:val="auto"/>
          <w:kern w:val="2"/>
          <w:sz w:val="24"/>
          <w:szCs w:val="24"/>
          <w:highlight w:val="none"/>
          <w:lang w:val="en-US" w:eastAsia="zh-CN" w:bidi="ar-SA"/>
        </w:rPr>
        <w:t>.手持电台尺寸（</w:t>
      </w:r>
      <w:r>
        <w:rPr>
          <w:rFonts w:hint="default" w:ascii="仿宋" w:hAnsi="仿宋" w:eastAsia="仿宋" w:cs="仿宋"/>
          <w:b w:val="0"/>
          <w:bCs w:val="0"/>
          <w:color w:val="auto"/>
          <w:kern w:val="2"/>
          <w:sz w:val="24"/>
          <w:szCs w:val="24"/>
          <w:highlight w:val="none"/>
          <w:lang w:val="en-US" w:eastAsia="zh-CN" w:bidi="ar-SA"/>
        </w:rPr>
        <w:t>高</w:t>
      </w:r>
      <w:r>
        <w:rPr>
          <w:rFonts w:hint="eastAsia" w:ascii="仿宋" w:hAnsi="仿宋" w:eastAsia="仿宋" w:cs="仿宋"/>
          <w:b w:val="0"/>
          <w:bCs w:val="0"/>
          <w:color w:val="auto"/>
          <w:kern w:val="2"/>
          <w:sz w:val="24"/>
          <w:szCs w:val="24"/>
          <w:highlight w:val="none"/>
          <w:lang w:val="en-US" w:eastAsia="zh-CN" w:bidi="ar-SA"/>
        </w:rPr>
        <w:t>×</w:t>
      </w:r>
      <w:r>
        <w:rPr>
          <w:rFonts w:hint="default" w:ascii="仿宋" w:hAnsi="仿宋" w:eastAsia="仿宋" w:cs="仿宋"/>
          <w:b w:val="0"/>
          <w:bCs w:val="0"/>
          <w:color w:val="auto"/>
          <w:kern w:val="2"/>
          <w:sz w:val="24"/>
          <w:szCs w:val="24"/>
          <w:highlight w:val="none"/>
          <w:lang w:val="en-US" w:eastAsia="zh-CN" w:bidi="ar-SA"/>
        </w:rPr>
        <w:t>宽</w:t>
      </w:r>
      <w:r>
        <w:rPr>
          <w:rFonts w:hint="eastAsia" w:ascii="仿宋" w:hAnsi="仿宋" w:eastAsia="仿宋" w:cs="仿宋"/>
          <w:b w:val="0"/>
          <w:bCs w:val="0"/>
          <w:color w:val="auto"/>
          <w:kern w:val="2"/>
          <w:sz w:val="24"/>
          <w:szCs w:val="24"/>
          <w:highlight w:val="none"/>
          <w:lang w:val="en-US" w:eastAsia="zh-CN" w:bidi="ar-SA"/>
        </w:rPr>
        <w:t>×</w:t>
      </w:r>
      <w:r>
        <w:rPr>
          <w:rFonts w:hint="default" w:ascii="仿宋" w:hAnsi="仿宋" w:eastAsia="仿宋" w:cs="仿宋"/>
          <w:b w:val="0"/>
          <w:bCs w:val="0"/>
          <w:color w:val="auto"/>
          <w:kern w:val="2"/>
          <w:sz w:val="24"/>
          <w:szCs w:val="24"/>
          <w:highlight w:val="none"/>
          <w:lang w:val="en-US" w:eastAsia="zh-CN" w:bidi="ar-SA"/>
        </w:rPr>
        <w:t>厚，</w:t>
      </w:r>
      <w:r>
        <w:rPr>
          <w:rFonts w:hint="eastAsia" w:ascii="仿宋" w:hAnsi="仿宋" w:eastAsia="仿宋" w:cs="仿宋"/>
          <w:b w:val="0"/>
          <w:bCs w:val="0"/>
          <w:color w:val="auto"/>
          <w:kern w:val="2"/>
          <w:sz w:val="24"/>
          <w:szCs w:val="24"/>
          <w:highlight w:val="none"/>
          <w:lang w:val="en-US" w:eastAsia="zh-CN" w:bidi="ar-SA"/>
        </w:rPr>
        <w:t>含电池</w:t>
      </w:r>
      <w:r>
        <w:rPr>
          <w:rFonts w:hint="default" w:ascii="仿宋" w:hAnsi="仿宋" w:eastAsia="仿宋" w:cs="仿宋"/>
          <w:b w:val="0"/>
          <w:bCs w:val="0"/>
          <w:color w:val="auto"/>
          <w:kern w:val="2"/>
          <w:sz w:val="24"/>
          <w:szCs w:val="24"/>
          <w:highlight w:val="none"/>
          <w:lang w:val="en-US" w:eastAsia="zh-CN" w:bidi="ar-SA"/>
        </w:rPr>
        <w:t>，不含天线</w:t>
      </w:r>
      <w:r>
        <w:rPr>
          <w:rFonts w:hint="eastAsia" w:ascii="仿宋" w:hAnsi="仿宋" w:eastAsia="仿宋" w:cs="仿宋"/>
          <w:b w:val="0"/>
          <w:bCs w:val="0"/>
          <w:color w:val="auto"/>
          <w:kern w:val="2"/>
          <w:sz w:val="24"/>
          <w:szCs w:val="24"/>
          <w:highlight w:val="none"/>
          <w:lang w:val="en-US" w:eastAsia="zh-CN" w:bidi="ar-SA"/>
        </w:rPr>
        <w:t>）：≤140×60×40mm</w:t>
      </w:r>
      <w:r>
        <w:rPr>
          <w:rFonts w:hint="default" w:ascii="仿宋" w:hAnsi="仿宋" w:eastAsia="仿宋" w:cs="仿宋"/>
          <w:b w:val="0"/>
          <w:bCs w:val="0"/>
          <w:color w:val="auto"/>
          <w:kern w:val="2"/>
          <w:sz w:val="24"/>
          <w:szCs w:val="24"/>
          <w:highlight w:val="none"/>
          <w:lang w:val="en-US" w:eastAsia="zh-CN" w:bidi="ar-SA"/>
        </w:rPr>
        <w:t>（每个数值均需小于或等于）</w:t>
      </w:r>
      <w:r>
        <w:rPr>
          <w:rFonts w:hint="eastAsia" w:ascii="仿宋" w:hAnsi="仿宋" w:eastAsia="仿宋" w:cs="仿宋"/>
          <w:b w:val="0"/>
          <w:bCs w:val="0"/>
          <w:color w:val="auto"/>
          <w:kern w:val="2"/>
          <w:sz w:val="24"/>
          <w:szCs w:val="24"/>
          <w:highlight w:val="none"/>
          <w:lang w:val="en-US" w:eastAsia="zh-CN" w:bidi="ar-SA"/>
        </w:rPr>
        <w:t>；手持电台质量（含电池和天线）：≤400g；外观需有红色标记；</w:t>
      </w:r>
    </w:p>
    <w:p>
      <w:pPr>
        <w:keepNext w:val="0"/>
        <w:keepLines w:val="0"/>
        <w:pageBreakBefore w:val="0"/>
        <w:widowControl/>
        <w:numPr>
          <w:ilvl w:val="0"/>
          <w:numId w:val="0"/>
        </w:numPr>
        <w:tabs>
          <w:tab w:val="left" w:pos="0"/>
        </w:tabs>
        <w:kinsoku/>
        <w:wordWrap/>
        <w:overflowPunct/>
        <w:topLinePunct w:val="0"/>
        <w:autoSpaceDE/>
        <w:autoSpaceDN/>
        <w:bidi w:val="0"/>
        <w:adjustRightInd w:val="0"/>
        <w:snapToGrid w:val="0"/>
        <w:spacing w:beforeAutospacing="0" w:afterAutospacing="0" w:line="460" w:lineRule="exact"/>
        <w:ind w:leftChars="0" w:right="0" w:rightChars="0"/>
        <w:jc w:val="both"/>
        <w:textAlignment w:val="auto"/>
        <w:outlineLvl w:val="9"/>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1</w:t>
      </w:r>
      <w:r>
        <w:rPr>
          <w:rFonts w:hint="default" w:ascii="仿宋" w:hAnsi="仿宋" w:eastAsia="仿宋" w:cs="仿宋"/>
          <w:b w:val="0"/>
          <w:bCs w:val="0"/>
          <w:color w:val="auto"/>
          <w:kern w:val="2"/>
          <w:sz w:val="24"/>
          <w:szCs w:val="24"/>
          <w:highlight w:val="none"/>
          <w:lang w:val="en-US" w:eastAsia="zh-CN" w:bidi="ar-SA"/>
        </w:rPr>
        <w:t>6</w:t>
      </w:r>
      <w:r>
        <w:rPr>
          <w:rFonts w:hint="eastAsia" w:ascii="仿宋" w:hAnsi="仿宋" w:eastAsia="仿宋" w:cs="仿宋"/>
          <w:b w:val="0"/>
          <w:bCs w:val="0"/>
          <w:color w:val="auto"/>
          <w:kern w:val="2"/>
          <w:sz w:val="24"/>
          <w:szCs w:val="24"/>
          <w:highlight w:val="none"/>
          <w:lang w:val="en-US" w:eastAsia="zh-CN" w:bidi="ar-SA"/>
        </w:rPr>
        <w:t>.配有专用充电器（在原有每个配备单充的情况下，按照每</w:t>
      </w:r>
      <w:r>
        <w:rPr>
          <w:rFonts w:hint="default" w:ascii="仿宋" w:hAnsi="仿宋" w:eastAsia="仿宋" w:cs="仿宋"/>
          <w:b w:val="0"/>
          <w:bCs w:val="0"/>
          <w:color w:val="auto"/>
          <w:kern w:val="2"/>
          <w:sz w:val="24"/>
          <w:szCs w:val="24"/>
          <w:highlight w:val="none"/>
          <w:lang w:val="en-US" w:eastAsia="zh-CN" w:bidi="ar-SA"/>
        </w:rPr>
        <w:t>6</w:t>
      </w:r>
      <w:r>
        <w:rPr>
          <w:rFonts w:hint="eastAsia" w:ascii="仿宋" w:hAnsi="仿宋" w:eastAsia="仿宋" w:cs="仿宋"/>
          <w:b w:val="0"/>
          <w:bCs w:val="0"/>
          <w:color w:val="auto"/>
          <w:kern w:val="2"/>
          <w:sz w:val="24"/>
          <w:szCs w:val="24"/>
          <w:highlight w:val="none"/>
          <w:lang w:val="en-US" w:eastAsia="zh-CN" w:bidi="ar-SA"/>
        </w:rPr>
        <w:t>个对讲机增加配备1个</w:t>
      </w:r>
      <w:r>
        <w:rPr>
          <w:rFonts w:hint="default" w:ascii="仿宋" w:hAnsi="仿宋" w:eastAsia="仿宋" w:cs="仿宋"/>
          <w:b w:val="0"/>
          <w:bCs w:val="0"/>
          <w:color w:val="auto"/>
          <w:kern w:val="2"/>
          <w:sz w:val="24"/>
          <w:szCs w:val="24"/>
          <w:highlight w:val="none"/>
          <w:lang w:val="en-US" w:eastAsia="zh-CN" w:bidi="ar-SA"/>
        </w:rPr>
        <w:t>不低于六联的</w:t>
      </w:r>
      <w:r>
        <w:rPr>
          <w:rFonts w:hint="eastAsia" w:ascii="仿宋" w:hAnsi="仿宋" w:eastAsia="仿宋" w:cs="仿宋"/>
          <w:b w:val="0"/>
          <w:bCs w:val="0"/>
          <w:color w:val="auto"/>
          <w:kern w:val="2"/>
          <w:sz w:val="24"/>
          <w:szCs w:val="24"/>
          <w:highlight w:val="none"/>
          <w:lang w:val="en-US" w:eastAsia="zh-CN" w:bidi="ar-SA"/>
        </w:rPr>
        <w:t>排充）；原装皮带夹，原装手咪，蓝牙耳机，原装防爆电池2块；</w:t>
      </w:r>
      <w:r>
        <w:rPr>
          <w:rFonts w:hint="default" w:ascii="仿宋" w:hAnsi="仿宋" w:eastAsia="仿宋" w:cs="仿宋"/>
          <w:b w:val="0"/>
          <w:bCs w:val="0"/>
          <w:color w:val="auto"/>
          <w:kern w:val="2"/>
          <w:sz w:val="24"/>
          <w:szCs w:val="24"/>
          <w:highlight w:val="none"/>
          <w:lang w:val="en-US" w:eastAsia="zh-CN" w:bidi="ar-SA"/>
        </w:rPr>
        <w:t>总共配备</w:t>
      </w:r>
      <w:r>
        <w:rPr>
          <w:rFonts w:hint="eastAsia" w:ascii="仿宋" w:hAnsi="仿宋" w:eastAsia="仿宋" w:cs="仿宋"/>
          <w:b w:val="0"/>
          <w:bCs w:val="0"/>
          <w:color w:val="auto"/>
          <w:kern w:val="2"/>
          <w:sz w:val="24"/>
          <w:szCs w:val="24"/>
          <w:highlight w:val="none"/>
          <w:lang w:val="en-US" w:eastAsia="zh-CN" w:bidi="ar-SA"/>
        </w:rPr>
        <w:t>不少于</w:t>
      </w:r>
      <w:r>
        <w:rPr>
          <w:rFonts w:hint="default" w:ascii="仿宋" w:hAnsi="仿宋" w:eastAsia="仿宋" w:cs="仿宋"/>
          <w:b w:val="0"/>
          <w:bCs w:val="0"/>
          <w:color w:val="auto"/>
          <w:kern w:val="2"/>
          <w:sz w:val="24"/>
          <w:szCs w:val="24"/>
          <w:highlight w:val="none"/>
          <w:lang w:val="en-US" w:eastAsia="zh-CN" w:bidi="ar-SA"/>
        </w:rPr>
        <w:t>24根写频线。</w:t>
      </w: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kern w:val="2"/>
          <w:sz w:val="24"/>
          <w:szCs w:val="24"/>
          <w:highlight w:val="none"/>
          <w:lang w:val="en-US" w:eastAsia="zh-CN" w:bidi="ar-SA"/>
        </w:rPr>
        <w:t>1</w:t>
      </w:r>
      <w:r>
        <w:rPr>
          <w:rFonts w:hint="default" w:ascii="仿宋" w:hAnsi="仿宋" w:eastAsia="仿宋" w:cs="仿宋"/>
          <w:b w:val="0"/>
          <w:bCs w:val="0"/>
          <w:color w:val="auto"/>
          <w:kern w:val="2"/>
          <w:sz w:val="24"/>
          <w:szCs w:val="24"/>
          <w:highlight w:val="none"/>
          <w:lang w:val="en-US" w:eastAsia="zh-CN" w:bidi="ar-SA"/>
        </w:rPr>
        <w:t>7</w:t>
      </w:r>
      <w:r>
        <w:rPr>
          <w:rFonts w:hint="eastAsia" w:ascii="仿宋" w:hAnsi="仿宋" w:eastAsia="仿宋" w:cs="仿宋"/>
          <w:b w:val="0"/>
          <w:bCs w:val="0"/>
          <w:color w:val="auto"/>
          <w:kern w:val="2"/>
          <w:sz w:val="24"/>
          <w:szCs w:val="24"/>
          <w:highlight w:val="none"/>
          <w:lang w:val="en-US" w:eastAsia="zh-CN" w:bidi="ar-SA"/>
        </w:rPr>
        <w:t>.供货前，须主动对接使用单位，确保满足用户需求。</w:t>
      </w: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b w:val="0"/>
          <w:bCs w:val="0"/>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107包-2：防水定位对讲机</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一、货物名称：防水定位对讲机</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二、产地：国产</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三、主要技术规格、参数及要求：</w:t>
      </w:r>
    </w:p>
    <w:p>
      <w:pPr>
        <w:keepNext w:val="0"/>
        <w:keepLines w:val="0"/>
        <w:pageBreakBefore w:val="0"/>
        <w:widowControl/>
        <w:numPr>
          <w:ilvl w:val="0"/>
          <w:numId w:val="0"/>
        </w:numPr>
        <w:tabs>
          <w:tab w:val="left" w:pos="0"/>
        </w:tabs>
        <w:kinsoku/>
        <w:wordWrap/>
        <w:overflowPunct/>
        <w:topLinePunct w:val="0"/>
        <w:autoSpaceDE/>
        <w:autoSpaceDN/>
        <w:bidi w:val="0"/>
        <w:adjustRightInd w:val="0"/>
        <w:snapToGrid w:val="0"/>
        <w:spacing w:beforeAutospacing="0" w:afterAutospacing="0" w:line="460" w:lineRule="exact"/>
        <w:ind w:leftChars="0" w:right="0" w:right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★1.设备具有中华人民共和国工业和信息化部颁发的《无线电发射设备型号核准证》(须在有效期内)，提供具有CMA或CNAS标识的检测/检验/试验/测试报告（报告中的型号须与所投产品型号一致）复印件；</w:t>
      </w:r>
    </w:p>
    <w:p>
      <w:pPr>
        <w:keepNext w:val="0"/>
        <w:keepLines w:val="0"/>
        <w:pageBreakBefore w:val="0"/>
        <w:widowControl/>
        <w:numPr>
          <w:ilvl w:val="0"/>
          <w:numId w:val="0"/>
        </w:numPr>
        <w:tabs>
          <w:tab w:val="left" w:pos="0"/>
        </w:tabs>
        <w:kinsoku/>
        <w:wordWrap/>
        <w:overflowPunct/>
        <w:topLinePunct w:val="0"/>
        <w:autoSpaceDE/>
        <w:autoSpaceDN/>
        <w:bidi w:val="0"/>
        <w:adjustRightInd w:val="0"/>
        <w:snapToGrid w:val="0"/>
        <w:spacing w:beforeAutospacing="0" w:afterAutospacing="0" w:line="460" w:lineRule="exact"/>
        <w:ind w:leftChars="0" w:right="0" w:right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★2.兼容性：此装备要与江西消防救援队伍现有手持电台和窄带自组网基站进行适配，</w:t>
      </w:r>
      <w:r>
        <w:rPr>
          <w:rFonts w:hint="eastAsia" w:ascii="仿宋" w:hAnsi="仿宋" w:eastAsia="仿宋" w:cs="仿宋"/>
          <w:b w:val="0"/>
          <w:bCs w:val="0"/>
          <w:color w:val="auto"/>
          <w:kern w:val="2"/>
          <w:sz w:val="24"/>
          <w:szCs w:val="24"/>
          <w:highlight w:val="none"/>
          <w:lang w:val="en-US" w:eastAsia="zh-CN" w:bidi="ar-SA"/>
        </w:rPr>
        <w:t>具备PDT数字集群、数字常规、MPT模拟集群、模拟常规功能，可自由切换；</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default"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★3.对讲机信道旋钮支持360°无极型旋转，可循环切换不同的组呼联系人</w:t>
      </w:r>
      <w:r>
        <w:rPr>
          <w:rFonts w:hint="default" w:ascii="仿宋" w:hAnsi="仿宋" w:eastAsia="仿宋" w:cs="仿宋"/>
          <w:b w:val="0"/>
          <w:bCs w:val="0"/>
          <w:color w:val="auto"/>
          <w:sz w:val="24"/>
          <w:szCs w:val="24"/>
          <w:highlight w:val="none"/>
          <w:lang w:eastAsia="zh-CN"/>
        </w:rPr>
        <w:t>；</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default"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★4.性能要求：工作频率范围：350MHz-400MHz；发射功率：1-4W可调</w:t>
      </w:r>
      <w:r>
        <w:rPr>
          <w:rFonts w:hint="default" w:ascii="仿宋" w:hAnsi="仿宋" w:eastAsia="仿宋" w:cs="仿宋"/>
          <w:b w:val="0"/>
          <w:bCs w:val="0"/>
          <w:color w:val="auto"/>
          <w:sz w:val="24"/>
          <w:szCs w:val="24"/>
          <w:highlight w:val="none"/>
          <w:lang w:eastAsia="zh-CN"/>
        </w:rPr>
        <w:t>；</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eastAsia="zh-CN"/>
        </w:rPr>
        <w:t>5.</w:t>
      </w:r>
      <w:r>
        <w:rPr>
          <w:rFonts w:hint="eastAsia" w:ascii="仿宋" w:hAnsi="仿宋" w:eastAsia="仿宋" w:cs="仿宋"/>
          <w:b w:val="0"/>
          <w:bCs w:val="0"/>
          <w:color w:val="auto"/>
          <w:sz w:val="24"/>
          <w:szCs w:val="24"/>
          <w:highlight w:val="none"/>
          <w:lang w:val="en-US" w:eastAsia="zh-CN"/>
        </w:rPr>
        <w:t>对讲机须内置蓝牙模块，能够支持蓝牙耳机、手咪等多种配件，蓝牙协议版本不低于Bluetooth V5.0；</w:t>
      </w:r>
      <w:r>
        <w:rPr>
          <w:rFonts w:hint="default" w:ascii="仿宋" w:hAnsi="仿宋" w:eastAsia="仿宋" w:cs="仿宋"/>
          <w:b w:val="0"/>
          <w:bCs w:val="0"/>
          <w:color w:val="auto"/>
          <w:kern w:val="2"/>
          <w:sz w:val="24"/>
          <w:szCs w:val="24"/>
          <w:highlight w:val="none"/>
          <w:lang w:eastAsia="zh-CN" w:bidi="ar-SA"/>
        </w:rPr>
        <w:t>具有</w:t>
      </w:r>
      <w:r>
        <w:rPr>
          <w:rFonts w:hint="default" w:ascii="仿宋" w:hAnsi="仿宋" w:eastAsia="仿宋" w:cs="仿宋"/>
          <w:b w:val="0"/>
          <w:color w:val="auto"/>
          <w:kern w:val="2"/>
          <w:sz w:val="24"/>
          <w:szCs w:val="24"/>
          <w:lang w:val="en-US" w:eastAsia="zh-CN" w:bidi="ar"/>
        </w:rPr>
        <w:t>降噪功能</w:t>
      </w:r>
      <w:r>
        <w:rPr>
          <w:rFonts w:hint="default" w:ascii="仿宋" w:hAnsi="仿宋" w:eastAsia="仿宋" w:cs="仿宋"/>
          <w:b w:val="0"/>
          <w:color w:val="auto"/>
          <w:kern w:val="2"/>
          <w:sz w:val="24"/>
          <w:szCs w:val="24"/>
          <w:lang w:eastAsia="zh-CN" w:bidi="ar"/>
        </w:rPr>
        <w:t>；</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eastAsia="zh-CN"/>
        </w:rPr>
        <w:t>6</w:t>
      </w:r>
      <w:r>
        <w:rPr>
          <w:rFonts w:hint="eastAsia" w:ascii="仿宋" w:hAnsi="仿宋" w:eastAsia="仿宋" w:cs="仿宋"/>
          <w:b w:val="0"/>
          <w:bCs w:val="0"/>
          <w:color w:val="auto"/>
          <w:sz w:val="24"/>
          <w:szCs w:val="24"/>
          <w:highlight w:val="none"/>
          <w:lang w:val="en-US" w:eastAsia="zh-CN"/>
        </w:rPr>
        <w:t>.功能要求：具备按照消防三级组网要求预设频率、一键选频功能，具备一键报警撤离功能，支持全程录音、录音文件导出功能；</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w:t>
      </w:r>
      <w:r>
        <w:rPr>
          <w:rFonts w:hint="default" w:ascii="仿宋" w:hAnsi="仿宋" w:eastAsia="仿宋" w:cs="仿宋"/>
          <w:b w:val="0"/>
          <w:bCs w:val="0"/>
          <w:color w:val="auto"/>
          <w:sz w:val="24"/>
          <w:szCs w:val="24"/>
          <w:highlight w:val="none"/>
          <w:lang w:eastAsia="zh-CN"/>
        </w:rPr>
        <w:t>7</w:t>
      </w:r>
      <w:r>
        <w:rPr>
          <w:rFonts w:hint="eastAsia" w:ascii="仿宋" w:hAnsi="仿宋" w:eastAsia="仿宋" w:cs="仿宋"/>
          <w:b w:val="0"/>
          <w:bCs w:val="0"/>
          <w:color w:val="auto"/>
          <w:sz w:val="24"/>
          <w:szCs w:val="24"/>
          <w:highlight w:val="none"/>
          <w:lang w:val="en-US" w:eastAsia="zh-CN"/>
        </w:rPr>
        <w:t>.防水防尘等级：IP68</w:t>
      </w:r>
      <w:r>
        <w:rPr>
          <w:rFonts w:hint="eastAsia" w:ascii="仿宋" w:hAnsi="仿宋" w:eastAsia="仿宋" w:cs="仿宋"/>
          <w:b w:val="0"/>
          <w:bCs w:val="0"/>
          <w:color w:val="auto"/>
          <w:kern w:val="2"/>
          <w:sz w:val="24"/>
          <w:szCs w:val="24"/>
          <w:highlight w:val="none"/>
          <w:lang w:val="en-US" w:eastAsia="zh-CN" w:bidi="ar-SA"/>
        </w:rPr>
        <w:t>（需提供具有CMA或CNAS标识的检测报告复印件并加盖原厂公章）</w:t>
      </w:r>
      <w:r>
        <w:rPr>
          <w:rFonts w:hint="eastAsia" w:ascii="仿宋" w:hAnsi="仿宋" w:eastAsia="仿宋" w:cs="仿宋"/>
          <w:b w:val="0"/>
          <w:bCs w:val="0"/>
          <w:color w:val="auto"/>
          <w:sz w:val="24"/>
          <w:szCs w:val="24"/>
          <w:highlight w:val="none"/>
          <w:lang w:val="en-US" w:eastAsia="zh-CN"/>
        </w:rPr>
        <w:t>；</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w:t>
      </w:r>
      <w:r>
        <w:rPr>
          <w:rFonts w:hint="default" w:ascii="仿宋" w:hAnsi="仿宋" w:eastAsia="仿宋" w:cs="仿宋"/>
          <w:b w:val="0"/>
          <w:bCs w:val="0"/>
          <w:color w:val="auto"/>
          <w:sz w:val="24"/>
          <w:szCs w:val="24"/>
          <w:highlight w:val="none"/>
          <w:lang w:eastAsia="zh-CN"/>
        </w:rPr>
        <w:t>8</w:t>
      </w:r>
      <w:r>
        <w:rPr>
          <w:rFonts w:hint="eastAsia" w:ascii="仿宋" w:hAnsi="仿宋" w:eastAsia="仿宋" w:cs="仿宋"/>
          <w:b w:val="0"/>
          <w:bCs w:val="0"/>
          <w:color w:val="auto"/>
          <w:sz w:val="24"/>
          <w:szCs w:val="24"/>
          <w:highlight w:val="none"/>
          <w:lang w:val="en-US" w:eastAsia="zh-CN"/>
        </w:rPr>
        <w:t>.信道数量：≥1024，信道间隔：12.5KHz/25KHz；</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eastAsia="zh-CN"/>
        </w:rPr>
        <w:t>9</w:t>
      </w:r>
      <w:r>
        <w:rPr>
          <w:rFonts w:hint="eastAsia" w:ascii="仿宋" w:hAnsi="仿宋" w:eastAsia="仿宋" w:cs="仿宋"/>
          <w:b w:val="0"/>
          <w:bCs w:val="0"/>
          <w:color w:val="auto"/>
          <w:sz w:val="24"/>
          <w:szCs w:val="24"/>
          <w:highlight w:val="none"/>
          <w:lang w:val="en-US" w:eastAsia="zh-CN"/>
        </w:rPr>
        <w:t>.电池工作时间：≥12h；</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w:t>
      </w:r>
      <w:r>
        <w:rPr>
          <w:rFonts w:hint="default" w:ascii="仿宋" w:hAnsi="仿宋" w:eastAsia="仿宋" w:cs="仿宋"/>
          <w:b w:val="0"/>
          <w:bCs w:val="0"/>
          <w:color w:val="auto"/>
          <w:sz w:val="24"/>
          <w:szCs w:val="24"/>
          <w:highlight w:val="none"/>
          <w:lang w:eastAsia="zh-CN"/>
        </w:rPr>
        <w:t>10.</w:t>
      </w:r>
      <w:r>
        <w:rPr>
          <w:rFonts w:hint="eastAsia" w:ascii="仿宋" w:hAnsi="仿宋" w:eastAsia="仿宋" w:cs="仿宋"/>
          <w:b w:val="0"/>
          <w:bCs w:val="0"/>
          <w:color w:val="auto"/>
          <w:sz w:val="24"/>
          <w:szCs w:val="24"/>
          <w:highlight w:val="none"/>
          <w:lang w:val="en-US" w:eastAsia="zh-CN"/>
        </w:rPr>
        <w:t>电池容量：≥2400mAH；</w:t>
      </w:r>
      <w:r>
        <w:rPr>
          <w:rFonts w:hint="eastAsia" w:ascii="仿宋" w:hAnsi="仿宋" w:eastAsia="仿宋" w:cs="仿宋"/>
          <w:b w:val="0"/>
          <w:bCs w:val="0"/>
          <w:color w:val="auto"/>
          <w:kern w:val="2"/>
          <w:sz w:val="24"/>
          <w:szCs w:val="24"/>
          <w:highlight w:val="none"/>
          <w:lang w:val="en-US" w:eastAsia="zh-CN" w:bidi="ar-SA"/>
        </w:rPr>
        <w:t>按百分比显示剩余电池电量；</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w:t>
      </w:r>
      <w:r>
        <w:rPr>
          <w:rFonts w:hint="default" w:ascii="仿宋" w:hAnsi="仿宋" w:eastAsia="仿宋" w:cs="仿宋"/>
          <w:b w:val="0"/>
          <w:bCs w:val="0"/>
          <w:color w:val="auto"/>
          <w:sz w:val="24"/>
          <w:szCs w:val="24"/>
          <w:highlight w:val="none"/>
          <w:lang w:eastAsia="zh-CN"/>
        </w:rPr>
        <w:t>11</w:t>
      </w:r>
      <w:r>
        <w:rPr>
          <w:rFonts w:hint="eastAsia" w:ascii="仿宋" w:hAnsi="仿宋" w:eastAsia="仿宋" w:cs="仿宋"/>
          <w:b w:val="0"/>
          <w:bCs w:val="0"/>
          <w:color w:val="auto"/>
          <w:sz w:val="24"/>
          <w:szCs w:val="24"/>
          <w:highlight w:val="none"/>
          <w:lang w:val="en-US" w:eastAsia="zh-CN"/>
        </w:rPr>
        <w:t>.定位功能：仅支持单北斗独立定位模块；定位精度水平位置误差≤10米;</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w:t>
      </w:r>
      <w:r>
        <w:rPr>
          <w:rFonts w:hint="default"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lang w:val="en-US" w:eastAsia="zh-CN"/>
        </w:rPr>
        <w:t>.外观显示：具有大屏显示，屏幕尺寸≥2.0英寸；</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w:t>
      </w:r>
      <w:r>
        <w:rPr>
          <w:rFonts w:hint="default"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lang w:val="en-US" w:eastAsia="zh-CN"/>
        </w:rPr>
        <w:t>.对讲机尺寸（</w:t>
      </w:r>
      <w:r>
        <w:rPr>
          <w:rFonts w:hint="default" w:ascii="仿宋" w:hAnsi="仿宋" w:eastAsia="仿宋" w:cs="仿宋"/>
          <w:b w:val="0"/>
          <w:bCs w:val="0"/>
          <w:color w:val="auto"/>
          <w:sz w:val="24"/>
          <w:szCs w:val="24"/>
          <w:highlight w:val="none"/>
          <w:lang w:val="en-US" w:eastAsia="zh-CN"/>
        </w:rPr>
        <w:t>高</w:t>
      </w:r>
      <w:r>
        <w:rPr>
          <w:rFonts w:hint="eastAsia" w:ascii="仿宋" w:hAnsi="仿宋" w:eastAsia="仿宋" w:cs="仿宋"/>
          <w:b w:val="0"/>
          <w:bCs w:val="0"/>
          <w:color w:val="auto"/>
          <w:sz w:val="24"/>
          <w:szCs w:val="24"/>
          <w:highlight w:val="none"/>
          <w:lang w:val="en-US" w:eastAsia="zh-CN"/>
        </w:rPr>
        <w:t>×</w:t>
      </w:r>
      <w:r>
        <w:rPr>
          <w:rFonts w:hint="default" w:ascii="仿宋" w:hAnsi="仿宋" w:eastAsia="仿宋" w:cs="仿宋"/>
          <w:b w:val="0"/>
          <w:bCs w:val="0"/>
          <w:color w:val="auto"/>
          <w:sz w:val="24"/>
          <w:szCs w:val="24"/>
          <w:highlight w:val="none"/>
          <w:lang w:val="en-US" w:eastAsia="zh-CN"/>
        </w:rPr>
        <w:t>宽</w:t>
      </w:r>
      <w:r>
        <w:rPr>
          <w:rFonts w:hint="eastAsia" w:ascii="仿宋" w:hAnsi="仿宋" w:eastAsia="仿宋" w:cs="仿宋"/>
          <w:b w:val="0"/>
          <w:bCs w:val="0"/>
          <w:color w:val="auto"/>
          <w:sz w:val="24"/>
          <w:szCs w:val="24"/>
          <w:highlight w:val="none"/>
          <w:lang w:val="en-US" w:eastAsia="zh-CN"/>
        </w:rPr>
        <w:t>×</w:t>
      </w:r>
      <w:r>
        <w:rPr>
          <w:rFonts w:hint="default" w:ascii="仿宋" w:hAnsi="仿宋" w:eastAsia="仿宋" w:cs="仿宋"/>
          <w:b w:val="0"/>
          <w:bCs w:val="0"/>
          <w:color w:val="auto"/>
          <w:sz w:val="24"/>
          <w:szCs w:val="24"/>
          <w:highlight w:val="none"/>
          <w:lang w:val="en-US" w:eastAsia="zh-CN"/>
        </w:rPr>
        <w:t>厚，</w:t>
      </w:r>
      <w:r>
        <w:rPr>
          <w:rFonts w:hint="eastAsia" w:ascii="仿宋" w:hAnsi="仿宋" w:eastAsia="仿宋" w:cs="仿宋"/>
          <w:b w:val="0"/>
          <w:bCs w:val="0"/>
          <w:color w:val="auto"/>
          <w:sz w:val="24"/>
          <w:szCs w:val="24"/>
          <w:highlight w:val="none"/>
          <w:lang w:val="en-US" w:eastAsia="zh-CN"/>
        </w:rPr>
        <w:t>含电池</w:t>
      </w:r>
      <w:r>
        <w:rPr>
          <w:rFonts w:hint="default" w:ascii="仿宋" w:hAnsi="仿宋" w:eastAsia="仿宋" w:cs="仿宋"/>
          <w:b w:val="0"/>
          <w:bCs w:val="0"/>
          <w:color w:val="auto"/>
          <w:sz w:val="24"/>
          <w:szCs w:val="24"/>
          <w:highlight w:val="none"/>
          <w:lang w:val="en-US" w:eastAsia="zh-CN"/>
        </w:rPr>
        <w:t>，不含天线</w:t>
      </w:r>
      <w:r>
        <w:rPr>
          <w:rFonts w:hint="eastAsia" w:ascii="仿宋" w:hAnsi="仿宋" w:eastAsia="仿宋" w:cs="仿宋"/>
          <w:b w:val="0"/>
          <w:bCs w:val="0"/>
          <w:color w:val="auto"/>
          <w:sz w:val="24"/>
          <w:szCs w:val="24"/>
          <w:highlight w:val="none"/>
          <w:lang w:val="en-US" w:eastAsia="zh-CN"/>
        </w:rPr>
        <w:t>）：≤140×60×40mm</w:t>
      </w:r>
      <w:r>
        <w:rPr>
          <w:rFonts w:hint="default" w:ascii="仿宋" w:hAnsi="仿宋" w:eastAsia="仿宋" w:cs="仿宋"/>
          <w:b w:val="0"/>
          <w:bCs w:val="0"/>
          <w:color w:val="auto"/>
          <w:sz w:val="24"/>
          <w:szCs w:val="24"/>
          <w:highlight w:val="none"/>
          <w:lang w:val="en-US" w:eastAsia="zh-CN"/>
        </w:rPr>
        <w:t>（每个数值均需小于或等于）</w:t>
      </w:r>
      <w:r>
        <w:rPr>
          <w:rFonts w:hint="eastAsia" w:ascii="仿宋" w:hAnsi="仿宋" w:eastAsia="仿宋" w:cs="仿宋"/>
          <w:b w:val="0"/>
          <w:bCs w:val="0"/>
          <w:color w:val="auto"/>
          <w:sz w:val="24"/>
          <w:szCs w:val="24"/>
          <w:highlight w:val="none"/>
          <w:lang w:val="en-US" w:eastAsia="zh-CN"/>
        </w:rPr>
        <w:t>；对讲机质量（含电池和天线）：≤400g，外观需有蓝色标记；</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w:t>
      </w:r>
      <w:r>
        <w:rPr>
          <w:rFonts w:hint="default"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lang w:val="en-US" w:eastAsia="zh-CN"/>
        </w:rPr>
        <w:t>.配有专用充电器（在原有每个配备单充的情况下，按照每</w:t>
      </w:r>
      <w:r>
        <w:rPr>
          <w:rFonts w:hint="default" w:ascii="仿宋" w:hAnsi="仿宋" w:eastAsia="仿宋" w:cs="仿宋"/>
          <w:b w:val="0"/>
          <w:bCs w:val="0"/>
          <w:color w:val="auto"/>
          <w:sz w:val="24"/>
          <w:szCs w:val="24"/>
          <w:highlight w:val="none"/>
          <w:lang w:val="en-US" w:eastAsia="zh-CN"/>
        </w:rPr>
        <w:t>6</w:t>
      </w:r>
      <w:r>
        <w:rPr>
          <w:rFonts w:hint="eastAsia" w:ascii="仿宋" w:hAnsi="仿宋" w:eastAsia="仿宋" w:cs="仿宋"/>
          <w:b w:val="0"/>
          <w:bCs w:val="0"/>
          <w:color w:val="auto"/>
          <w:sz w:val="24"/>
          <w:szCs w:val="24"/>
          <w:highlight w:val="none"/>
          <w:lang w:val="en-US" w:eastAsia="zh-CN"/>
        </w:rPr>
        <w:t>个对讲机增加配备1个</w:t>
      </w:r>
      <w:r>
        <w:rPr>
          <w:rFonts w:hint="default" w:ascii="仿宋" w:hAnsi="仿宋" w:eastAsia="仿宋" w:cs="仿宋"/>
          <w:b w:val="0"/>
          <w:bCs w:val="0"/>
          <w:color w:val="auto"/>
          <w:sz w:val="24"/>
          <w:szCs w:val="24"/>
          <w:highlight w:val="none"/>
          <w:lang w:val="en-US" w:eastAsia="zh-CN"/>
        </w:rPr>
        <w:t>不低于六联的</w:t>
      </w:r>
      <w:r>
        <w:rPr>
          <w:rFonts w:hint="eastAsia" w:ascii="仿宋" w:hAnsi="仿宋" w:eastAsia="仿宋" w:cs="仿宋"/>
          <w:b w:val="0"/>
          <w:bCs w:val="0"/>
          <w:color w:val="auto"/>
          <w:sz w:val="24"/>
          <w:szCs w:val="24"/>
          <w:highlight w:val="none"/>
          <w:lang w:val="en-US" w:eastAsia="zh-CN"/>
        </w:rPr>
        <w:t>排充）、原装皮带夹、原装手咪及蓝牙耳机，原装电池2块；</w:t>
      </w:r>
      <w:r>
        <w:rPr>
          <w:rFonts w:hint="default" w:ascii="仿宋" w:hAnsi="仿宋" w:eastAsia="仿宋" w:cs="仿宋"/>
          <w:b w:val="0"/>
          <w:bCs w:val="0"/>
          <w:color w:val="auto"/>
          <w:sz w:val="24"/>
          <w:szCs w:val="24"/>
          <w:highlight w:val="none"/>
          <w:lang w:val="en-US" w:eastAsia="zh-CN"/>
        </w:rPr>
        <w:t>总共配备24根写频线。</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w:t>
      </w:r>
      <w:r>
        <w:rPr>
          <w:rFonts w:hint="default" w:ascii="仿宋" w:hAnsi="仿宋" w:eastAsia="仿宋" w:cs="仿宋"/>
          <w:b w:val="0"/>
          <w:bCs w:val="0"/>
          <w:color w:val="auto"/>
          <w:sz w:val="24"/>
          <w:szCs w:val="24"/>
          <w:highlight w:val="none"/>
          <w:lang w:eastAsia="zh-CN"/>
        </w:rPr>
        <w:t>5</w:t>
      </w:r>
      <w:r>
        <w:rPr>
          <w:rFonts w:hint="eastAsia" w:ascii="仿宋" w:hAnsi="仿宋" w:eastAsia="仿宋" w:cs="仿宋"/>
          <w:b w:val="0"/>
          <w:bCs w:val="0"/>
          <w:color w:val="auto"/>
          <w:sz w:val="24"/>
          <w:szCs w:val="24"/>
          <w:highlight w:val="none"/>
          <w:lang w:val="en-US" w:eastAsia="zh-CN"/>
        </w:rPr>
        <w:t>.供货前，须主动对接使用单位，确保满足用户需求。</w:t>
      </w: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jc w:val="both"/>
        <w:textAlignment w:val="auto"/>
        <w:outlineLvl w:val="9"/>
        <w:rPr>
          <w:rFonts w:hint="eastAsia" w:ascii="仿宋" w:hAnsi="仿宋" w:eastAsia="仿宋" w:cs="仿宋"/>
          <w:b/>
          <w:bCs/>
          <w:color w:val="auto"/>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jc w:val="both"/>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107包-3：骨传导通话装置</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一、货物名称：骨传导通话装置</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二、产地：国产</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三、主要技术规格、参数及要求：</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1.采用骨传导技术体制，通过感知震动拾取话音，应符合人体工程学，穿戴舒适；</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2.信噪比：≥</w:t>
      </w:r>
      <w:r>
        <w:rPr>
          <w:rFonts w:hint="default" w:ascii="仿宋" w:hAnsi="仿宋" w:eastAsia="仿宋" w:cs="仿宋"/>
          <w:b w:val="0"/>
          <w:bCs w:val="0"/>
          <w:color w:val="auto"/>
          <w:sz w:val="24"/>
          <w:szCs w:val="24"/>
          <w:highlight w:val="none"/>
          <w:lang w:eastAsia="zh-CN"/>
        </w:rPr>
        <w:t>50dB</w:t>
      </w:r>
      <w:r>
        <w:rPr>
          <w:rFonts w:hint="eastAsia" w:ascii="仿宋" w:hAnsi="仿宋" w:eastAsia="仿宋" w:cs="仿宋"/>
          <w:b w:val="0"/>
          <w:bCs w:val="0"/>
          <w:color w:val="auto"/>
          <w:sz w:val="24"/>
          <w:szCs w:val="24"/>
          <w:highlight w:val="none"/>
          <w:lang w:val="en-US" w:eastAsia="zh-CN"/>
        </w:rPr>
        <w:t>；</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3.频率：至少支持100～10000Hz；</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▲4.防护等级：≥IP</w:t>
      </w:r>
      <w:r>
        <w:rPr>
          <w:rFonts w:hint="default" w:ascii="仿宋" w:hAnsi="仿宋" w:eastAsia="仿宋" w:cs="仿宋"/>
          <w:b w:val="0"/>
          <w:bCs w:val="0"/>
          <w:color w:val="auto"/>
          <w:sz w:val="24"/>
          <w:szCs w:val="24"/>
          <w:highlight w:val="none"/>
          <w:lang w:eastAsia="zh-CN"/>
        </w:rPr>
        <w:t>5</w:t>
      </w:r>
      <w:r>
        <w:rPr>
          <w:rFonts w:hint="eastAsia" w:ascii="仿宋" w:hAnsi="仿宋" w:eastAsia="仿宋" w:cs="仿宋"/>
          <w:b w:val="0"/>
          <w:bCs w:val="0"/>
          <w:color w:val="auto"/>
          <w:sz w:val="24"/>
          <w:szCs w:val="24"/>
          <w:highlight w:val="none"/>
          <w:lang w:val="en-US" w:eastAsia="zh-CN"/>
        </w:rPr>
        <w:t>7</w:t>
      </w:r>
      <w:r>
        <w:rPr>
          <w:rFonts w:hint="eastAsia" w:ascii="仿宋" w:hAnsi="仿宋" w:eastAsia="仿宋" w:cs="仿宋"/>
          <w:b w:val="0"/>
          <w:bCs w:val="0"/>
          <w:color w:val="auto"/>
          <w:kern w:val="2"/>
          <w:sz w:val="24"/>
          <w:szCs w:val="24"/>
          <w:highlight w:val="none"/>
          <w:lang w:val="en-US" w:eastAsia="zh-CN" w:bidi="ar-SA"/>
        </w:rPr>
        <w:t>（需提供具有CMA或CNAS标识的检测报告复印件并加盖制造商公章）</w:t>
      </w:r>
      <w:r>
        <w:rPr>
          <w:rFonts w:hint="eastAsia" w:ascii="仿宋" w:hAnsi="仿宋" w:eastAsia="仿宋" w:cs="仿宋"/>
          <w:b w:val="0"/>
          <w:bCs w:val="0"/>
          <w:color w:val="auto"/>
          <w:sz w:val="24"/>
          <w:szCs w:val="24"/>
          <w:highlight w:val="none"/>
          <w:lang w:val="en-US" w:eastAsia="zh-CN"/>
        </w:rPr>
        <w:t>；</w:t>
      </w:r>
    </w:p>
    <w:p>
      <w:pPr>
        <w:keepNext w:val="0"/>
        <w:keepLines w:val="0"/>
        <w:pageBreakBefore w:val="0"/>
        <w:widowControl/>
        <w:numPr>
          <w:ilvl w:val="0"/>
          <w:numId w:val="0"/>
        </w:numPr>
        <w:tabs>
          <w:tab w:val="left" w:pos="0"/>
        </w:tabs>
        <w:kinsoku/>
        <w:wordWrap/>
        <w:overflowPunct/>
        <w:topLinePunct w:val="0"/>
        <w:autoSpaceDE/>
        <w:autoSpaceDN/>
        <w:bidi w:val="0"/>
        <w:adjustRightInd w:val="0"/>
        <w:snapToGrid w:val="0"/>
        <w:spacing w:beforeAutospacing="0" w:afterAutospacing="0" w:line="460" w:lineRule="exact"/>
        <w:ind w:leftChars="0" w:right="0" w:rightChars="0"/>
        <w:jc w:val="both"/>
        <w:textAlignment w:val="auto"/>
        <w:outlineLvl w:val="9"/>
        <w:rPr>
          <w:rFonts w:hint="default" w:ascii="仿宋" w:hAnsi="仿宋" w:eastAsia="仿宋" w:cs="仿宋"/>
          <w:b w:val="0"/>
          <w:bCs w:val="0"/>
          <w:color w:val="auto"/>
          <w:kern w:val="2"/>
          <w:sz w:val="24"/>
          <w:szCs w:val="24"/>
          <w:highlight w:val="none"/>
          <w:lang w:eastAsia="zh-CN" w:bidi="ar-SA"/>
        </w:rPr>
      </w:pPr>
      <w:r>
        <w:rPr>
          <w:rFonts w:hint="eastAsia" w:ascii="仿宋" w:hAnsi="仿宋" w:eastAsia="仿宋" w:cs="仿宋"/>
          <w:b w:val="0"/>
          <w:bCs w:val="0"/>
          <w:color w:val="auto"/>
          <w:sz w:val="24"/>
          <w:szCs w:val="24"/>
          <w:highlight w:val="none"/>
          <w:lang w:val="en-US" w:eastAsia="zh-CN"/>
        </w:rPr>
        <w:t xml:space="preserve">★5.防爆等级：≥EXib </w:t>
      </w:r>
      <w:r>
        <w:rPr>
          <w:rFonts w:hint="eastAsia" w:ascii="仿宋" w:hAnsi="仿宋" w:eastAsia="仿宋" w:cs="仿宋"/>
          <w:b w:val="0"/>
          <w:bCs w:val="0"/>
          <w:color w:val="auto"/>
          <w:kern w:val="2"/>
          <w:sz w:val="24"/>
          <w:szCs w:val="24"/>
          <w:highlight w:val="none"/>
          <w:lang w:val="en-US" w:eastAsia="zh-CN" w:bidi="ar-SA"/>
        </w:rPr>
        <w:t>ⅡB T4</w:t>
      </w:r>
      <w:r>
        <w:rPr>
          <w:rFonts w:hint="eastAsia" w:ascii="仿宋" w:hAnsi="仿宋" w:eastAsia="仿宋" w:cs="仿宋"/>
          <w:b w:val="0"/>
          <w:bCs w:val="0"/>
          <w:color w:val="auto"/>
          <w:sz w:val="24"/>
          <w:szCs w:val="24"/>
          <w:highlight w:val="none"/>
          <w:lang w:val="en-US" w:eastAsia="zh-CN"/>
        </w:rPr>
        <w:t xml:space="preserve"> Gb</w:t>
      </w:r>
      <w:r>
        <w:rPr>
          <w:rFonts w:hint="eastAsia" w:ascii="仿宋" w:hAnsi="仿宋" w:eastAsia="仿宋" w:cs="仿宋"/>
          <w:b w:val="0"/>
          <w:bCs w:val="0"/>
          <w:color w:val="auto"/>
          <w:kern w:val="2"/>
          <w:sz w:val="24"/>
          <w:szCs w:val="24"/>
          <w:highlight w:val="none"/>
          <w:lang w:val="en-US" w:eastAsia="zh-CN" w:bidi="ar-SA"/>
        </w:rPr>
        <w:t>（提供防爆等级合格证复印件</w:t>
      </w:r>
      <w:r>
        <w:rPr>
          <w:rFonts w:hint="default" w:ascii="仿宋" w:hAnsi="仿宋" w:eastAsia="仿宋" w:cs="仿宋"/>
          <w:b w:val="0"/>
          <w:bCs w:val="0"/>
          <w:color w:val="auto"/>
          <w:kern w:val="2"/>
          <w:sz w:val="24"/>
          <w:szCs w:val="24"/>
          <w:highlight w:val="none"/>
          <w:lang w:eastAsia="zh-CN" w:bidi="ar-SA"/>
        </w:rPr>
        <w:t>）；</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default" w:ascii="仿宋" w:hAnsi="仿宋" w:eastAsia="仿宋" w:cs="仿宋"/>
          <w:b w:val="0"/>
          <w:bCs w:val="0"/>
          <w:color w:val="auto"/>
          <w:sz w:val="24"/>
          <w:szCs w:val="24"/>
          <w:highlight w:val="yellow"/>
          <w:lang w:eastAsia="zh-CN"/>
        </w:rPr>
      </w:pPr>
      <w:r>
        <w:rPr>
          <w:rFonts w:hint="eastAsia" w:ascii="仿宋" w:hAnsi="仿宋" w:eastAsia="仿宋" w:cs="仿宋"/>
          <w:b w:val="0"/>
          <w:bCs w:val="0"/>
          <w:color w:val="auto"/>
          <w:sz w:val="24"/>
          <w:szCs w:val="24"/>
          <w:highlight w:val="none"/>
          <w:lang w:val="en-US" w:eastAsia="zh-CN"/>
        </w:rPr>
        <w:t>6.</w:t>
      </w:r>
      <w:r>
        <w:rPr>
          <w:rFonts w:hint="default" w:ascii="仿宋" w:hAnsi="仿宋" w:eastAsia="仿宋" w:cs="仿宋"/>
          <w:b w:val="0"/>
          <w:bCs w:val="0"/>
          <w:color w:val="auto"/>
          <w:sz w:val="24"/>
          <w:szCs w:val="24"/>
          <w:highlight w:val="none"/>
          <w:lang w:eastAsia="zh-CN"/>
        </w:rPr>
        <w:t>具备高噪声环境下的噪声抑制功能，在90dB噪声环境下可辨识通话；</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7.配备PTT套件，适用于各种双手不能离开设备的任务；</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8.对讲机连接线缆具有防拉拽设计；</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★9.此装备要与江西消防救援队伍现有手持电台和此次采购的手持电台和防水定位对讲机要进行适配，确保正常使用。江西消防救援队伍现有手持电台主要型号是海能达PD780、HP780，科立讯DP980、万格VR8810等。</w:t>
      </w: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kern w:val="2"/>
          <w:sz w:val="24"/>
          <w:szCs w:val="24"/>
          <w:highlight w:val="none"/>
          <w:lang w:val="en-US" w:eastAsia="zh-CN" w:bidi="ar-SA"/>
        </w:rPr>
        <w:t>10.</w:t>
      </w:r>
      <w:r>
        <w:rPr>
          <w:rFonts w:hint="eastAsia" w:ascii="仿宋" w:hAnsi="仿宋" w:eastAsia="仿宋" w:cs="仿宋"/>
          <w:b w:val="0"/>
          <w:bCs w:val="0"/>
          <w:color w:val="auto"/>
          <w:sz w:val="24"/>
          <w:szCs w:val="24"/>
          <w:highlight w:val="none"/>
          <w:lang w:val="en-US" w:eastAsia="zh-CN"/>
        </w:rPr>
        <w:t>供货前，须主动对接使用单位，确保满足用户需求。</w:t>
      </w: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jc w:val="both"/>
        <w:textAlignment w:val="auto"/>
        <w:outlineLvl w:val="9"/>
        <w:rPr>
          <w:rFonts w:hint="eastAsia" w:ascii="仿宋" w:hAnsi="仿宋" w:eastAsia="仿宋" w:cs="仿宋"/>
          <w:b w:val="0"/>
          <w:bCs w:val="0"/>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460" w:lineRule="exact"/>
        <w:jc w:val="left"/>
        <w:textAlignment w:val="auto"/>
        <w:outlineLvl w:val="1"/>
        <w:rPr>
          <w:rFonts w:hint="eastAsia" w:ascii="仿宋" w:hAnsi="仿宋" w:eastAsia="仿宋" w:cs="Times New Roman"/>
          <w:b/>
          <w:bCs/>
          <w:color w:val="auto"/>
          <w:sz w:val="28"/>
          <w:szCs w:val="28"/>
          <w:highlight w:val="none"/>
          <w:lang w:val="en-US" w:eastAsia="zh-CN"/>
        </w:rPr>
      </w:pPr>
      <w:bookmarkStart w:id="611" w:name="_Toc13918"/>
      <w:bookmarkStart w:id="612" w:name="_Toc5293"/>
      <w:r>
        <w:rPr>
          <w:rFonts w:hint="eastAsia" w:ascii="仿宋" w:hAnsi="仿宋" w:eastAsia="仿宋" w:cs="Times New Roman"/>
          <w:b/>
          <w:bCs/>
          <w:color w:val="auto"/>
          <w:sz w:val="24"/>
          <w:szCs w:val="24"/>
          <w:highlight w:val="none"/>
          <w:lang w:val="en-US" w:eastAsia="zh-CN"/>
        </w:rPr>
        <w:t>108包：公网集群对讲机</w:t>
      </w:r>
      <w:bookmarkEnd w:id="611"/>
      <w:bookmarkEnd w:id="612"/>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一、货物名称：公网集群对讲机</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二、产地：国产</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三、主要技术规格、参数及要求：</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w:t>
      </w:r>
      <w:r>
        <w:rPr>
          <w:rFonts w:hint="default" w:ascii="仿宋" w:hAnsi="仿宋" w:eastAsia="仿宋" w:cs="仿宋"/>
          <w:b w:val="0"/>
          <w:bCs w:val="0"/>
          <w:color w:val="auto"/>
          <w:sz w:val="24"/>
          <w:szCs w:val="24"/>
          <w:highlight w:val="none"/>
          <w:lang w:eastAsia="zh-CN"/>
        </w:rPr>
        <w:t>1</w:t>
      </w:r>
      <w:r>
        <w:rPr>
          <w:rFonts w:hint="eastAsia" w:ascii="仿宋" w:hAnsi="仿宋" w:eastAsia="仿宋" w:cs="仿宋"/>
          <w:b w:val="0"/>
          <w:bCs w:val="0"/>
          <w:color w:val="auto"/>
          <w:sz w:val="24"/>
          <w:szCs w:val="24"/>
          <w:highlight w:val="none"/>
          <w:lang w:val="en-US" w:eastAsia="zh-CN"/>
        </w:rPr>
        <w:t>、设备具备中华人民共和国工业和信息化部无线电发射设备型号核准证（提供证书复印件</w:t>
      </w:r>
      <w:r>
        <w:rPr>
          <w:rFonts w:hint="default" w:ascii="仿宋" w:hAnsi="仿宋" w:eastAsia="仿宋" w:cs="仿宋"/>
          <w:b w:val="0"/>
          <w:bCs w:val="0"/>
          <w:color w:val="auto"/>
          <w:sz w:val="24"/>
          <w:szCs w:val="24"/>
          <w:highlight w:val="none"/>
          <w:lang w:eastAsia="zh-CN"/>
        </w:rPr>
        <w:t>并</w:t>
      </w:r>
      <w:r>
        <w:rPr>
          <w:rFonts w:hint="eastAsia" w:ascii="仿宋" w:hAnsi="仿宋" w:eastAsia="仿宋" w:cs="仿宋"/>
          <w:b w:val="0"/>
          <w:bCs w:val="0"/>
          <w:color w:val="auto"/>
          <w:sz w:val="24"/>
          <w:szCs w:val="24"/>
          <w:highlight w:val="none"/>
          <w:lang w:val="en-US" w:eastAsia="zh-CN"/>
        </w:rPr>
        <w:t xml:space="preserve">加盖公章）； </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w:t>
      </w:r>
      <w:r>
        <w:rPr>
          <w:rFonts w:hint="default" w:ascii="仿宋" w:hAnsi="仿宋" w:eastAsia="仿宋" w:cs="仿宋"/>
          <w:b w:val="0"/>
          <w:bCs w:val="0"/>
          <w:color w:val="auto"/>
          <w:sz w:val="24"/>
          <w:szCs w:val="24"/>
          <w:highlight w:val="none"/>
          <w:lang w:eastAsia="zh-CN"/>
        </w:rPr>
        <w:t>2</w:t>
      </w:r>
      <w:r>
        <w:rPr>
          <w:rFonts w:hint="eastAsia" w:ascii="仿宋" w:hAnsi="仿宋" w:eastAsia="仿宋" w:cs="仿宋"/>
          <w:b w:val="0"/>
          <w:bCs w:val="0"/>
          <w:color w:val="auto"/>
          <w:sz w:val="24"/>
          <w:szCs w:val="24"/>
          <w:highlight w:val="none"/>
          <w:lang w:val="en-US" w:eastAsia="zh-CN"/>
        </w:rPr>
        <w:t>、设备具备电信设备进网许可证（提供证书复印件</w:t>
      </w:r>
      <w:r>
        <w:rPr>
          <w:rFonts w:hint="default" w:ascii="仿宋" w:hAnsi="仿宋" w:eastAsia="仿宋" w:cs="仿宋"/>
          <w:b w:val="0"/>
          <w:bCs w:val="0"/>
          <w:color w:val="auto"/>
          <w:sz w:val="24"/>
          <w:szCs w:val="24"/>
          <w:highlight w:val="none"/>
          <w:lang w:eastAsia="zh-CN"/>
        </w:rPr>
        <w:t>并</w:t>
      </w:r>
      <w:r>
        <w:rPr>
          <w:rFonts w:hint="eastAsia" w:ascii="仿宋" w:hAnsi="仿宋" w:eastAsia="仿宋" w:cs="仿宋"/>
          <w:b w:val="0"/>
          <w:bCs w:val="0"/>
          <w:color w:val="auto"/>
          <w:sz w:val="24"/>
          <w:szCs w:val="24"/>
          <w:highlight w:val="none"/>
          <w:lang w:val="en-US" w:eastAsia="zh-CN"/>
        </w:rPr>
        <w:t>加盖制造商公章）；</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w:t>
      </w:r>
      <w:r>
        <w:rPr>
          <w:rFonts w:hint="default" w:ascii="仿宋" w:hAnsi="仿宋" w:eastAsia="仿宋" w:cs="仿宋"/>
          <w:b w:val="0"/>
          <w:bCs w:val="0"/>
          <w:color w:val="auto"/>
          <w:sz w:val="24"/>
          <w:szCs w:val="24"/>
          <w:highlight w:val="none"/>
          <w:lang w:eastAsia="zh-CN"/>
        </w:rPr>
        <w:t>3</w:t>
      </w:r>
      <w:r>
        <w:rPr>
          <w:rFonts w:hint="eastAsia" w:ascii="仿宋" w:hAnsi="仿宋" w:eastAsia="仿宋" w:cs="仿宋"/>
          <w:b w:val="0"/>
          <w:bCs w:val="0"/>
          <w:color w:val="auto"/>
          <w:sz w:val="24"/>
          <w:szCs w:val="24"/>
          <w:highlight w:val="none"/>
          <w:lang w:val="en-US" w:eastAsia="zh-CN"/>
        </w:rPr>
        <w:t>、对讲机尺寸（</w:t>
      </w:r>
      <w:r>
        <w:rPr>
          <w:rFonts w:hint="default" w:ascii="仿宋" w:hAnsi="仿宋" w:eastAsia="仿宋" w:cs="仿宋"/>
          <w:b w:val="0"/>
          <w:bCs w:val="0"/>
          <w:color w:val="auto"/>
          <w:sz w:val="24"/>
          <w:szCs w:val="24"/>
          <w:highlight w:val="none"/>
          <w:lang w:val="en-US" w:eastAsia="zh-CN"/>
        </w:rPr>
        <w:t>高</w:t>
      </w:r>
      <w:r>
        <w:rPr>
          <w:rFonts w:hint="eastAsia" w:ascii="仿宋" w:hAnsi="仿宋" w:eastAsia="仿宋" w:cs="仿宋"/>
          <w:b w:val="0"/>
          <w:bCs w:val="0"/>
          <w:color w:val="auto"/>
          <w:sz w:val="24"/>
          <w:szCs w:val="24"/>
          <w:highlight w:val="none"/>
          <w:lang w:val="en-US" w:eastAsia="zh-CN"/>
        </w:rPr>
        <w:t>×</w:t>
      </w:r>
      <w:r>
        <w:rPr>
          <w:rFonts w:hint="default" w:ascii="仿宋" w:hAnsi="仿宋" w:eastAsia="仿宋" w:cs="仿宋"/>
          <w:b w:val="0"/>
          <w:bCs w:val="0"/>
          <w:color w:val="auto"/>
          <w:sz w:val="24"/>
          <w:szCs w:val="24"/>
          <w:highlight w:val="none"/>
          <w:lang w:val="en-US" w:eastAsia="zh-CN"/>
        </w:rPr>
        <w:t>宽</w:t>
      </w:r>
      <w:r>
        <w:rPr>
          <w:rFonts w:hint="eastAsia" w:ascii="仿宋" w:hAnsi="仿宋" w:eastAsia="仿宋" w:cs="仿宋"/>
          <w:b w:val="0"/>
          <w:bCs w:val="0"/>
          <w:color w:val="auto"/>
          <w:sz w:val="24"/>
          <w:szCs w:val="24"/>
          <w:highlight w:val="none"/>
          <w:lang w:val="en-US" w:eastAsia="zh-CN"/>
        </w:rPr>
        <w:t>×</w:t>
      </w:r>
      <w:r>
        <w:rPr>
          <w:rFonts w:hint="default" w:ascii="仿宋" w:hAnsi="仿宋" w:eastAsia="仿宋" w:cs="仿宋"/>
          <w:b w:val="0"/>
          <w:bCs w:val="0"/>
          <w:color w:val="auto"/>
          <w:sz w:val="24"/>
          <w:szCs w:val="24"/>
          <w:highlight w:val="none"/>
          <w:lang w:val="en-US" w:eastAsia="zh-CN"/>
        </w:rPr>
        <w:t>厚，</w:t>
      </w:r>
      <w:r>
        <w:rPr>
          <w:rFonts w:hint="eastAsia" w:ascii="仿宋" w:hAnsi="仿宋" w:eastAsia="仿宋" w:cs="仿宋"/>
          <w:b w:val="0"/>
          <w:bCs w:val="0"/>
          <w:color w:val="auto"/>
          <w:sz w:val="24"/>
          <w:szCs w:val="24"/>
          <w:highlight w:val="none"/>
          <w:lang w:val="en-US" w:eastAsia="zh-CN"/>
        </w:rPr>
        <w:t>含电池，不含天线）≤160mm×80mm×40mm（每个数值均需小于或等于），对讲机质量（含电池和天线）≤400g；</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kern w:val="2"/>
          <w:sz w:val="24"/>
          <w:szCs w:val="24"/>
          <w:highlight w:val="none"/>
          <w:lang w:val="en-US" w:eastAsia="zh-CN" w:bidi="ar-SA"/>
        </w:rPr>
        <w:t>★</w:t>
      </w:r>
      <w:r>
        <w:rPr>
          <w:rFonts w:hint="default" w:ascii="仿宋" w:hAnsi="仿宋" w:eastAsia="仿宋" w:cs="仿宋"/>
          <w:b w:val="0"/>
          <w:bCs w:val="0"/>
          <w:color w:val="auto"/>
          <w:kern w:val="2"/>
          <w:sz w:val="24"/>
          <w:szCs w:val="24"/>
          <w:highlight w:val="none"/>
          <w:lang w:eastAsia="zh-CN" w:bidi="ar-SA"/>
        </w:rPr>
        <w:t>4、</w:t>
      </w:r>
      <w:r>
        <w:rPr>
          <w:rFonts w:hint="eastAsia" w:ascii="仿宋" w:hAnsi="仿宋" w:eastAsia="仿宋" w:cs="仿宋"/>
          <w:b w:val="0"/>
          <w:bCs w:val="0"/>
          <w:color w:val="auto"/>
          <w:sz w:val="24"/>
          <w:szCs w:val="24"/>
          <w:highlight w:val="none"/>
          <w:lang w:val="en-US" w:eastAsia="zh-CN"/>
        </w:rPr>
        <w:t>支持电信、移动、联通4G全网通网络；</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w:t>
      </w:r>
      <w:r>
        <w:rPr>
          <w:rFonts w:hint="default" w:ascii="仿宋" w:hAnsi="仿宋" w:eastAsia="仿宋" w:cs="仿宋"/>
          <w:b w:val="0"/>
          <w:bCs w:val="0"/>
          <w:color w:val="auto"/>
          <w:sz w:val="24"/>
          <w:szCs w:val="24"/>
          <w:highlight w:val="none"/>
          <w:lang w:eastAsia="zh-CN"/>
        </w:rPr>
        <w:t>5</w:t>
      </w:r>
      <w:r>
        <w:rPr>
          <w:rFonts w:hint="eastAsia" w:ascii="仿宋" w:hAnsi="仿宋" w:eastAsia="仿宋" w:cs="仿宋"/>
          <w:b w:val="0"/>
          <w:bCs w:val="0"/>
          <w:color w:val="auto"/>
          <w:sz w:val="24"/>
          <w:szCs w:val="24"/>
          <w:highlight w:val="none"/>
          <w:lang w:val="en-US" w:eastAsia="zh-CN"/>
        </w:rPr>
        <w:t>、屏幕≥1.4英寸；</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w:t>
      </w:r>
      <w:r>
        <w:rPr>
          <w:rFonts w:hint="default" w:ascii="仿宋" w:hAnsi="仿宋" w:eastAsia="仿宋" w:cs="仿宋"/>
          <w:b w:val="0"/>
          <w:bCs w:val="0"/>
          <w:color w:val="auto"/>
          <w:sz w:val="24"/>
          <w:szCs w:val="24"/>
          <w:highlight w:val="none"/>
          <w:lang w:eastAsia="zh-CN"/>
        </w:rPr>
        <w:t>6</w:t>
      </w:r>
      <w:r>
        <w:rPr>
          <w:rFonts w:hint="eastAsia" w:ascii="仿宋" w:hAnsi="仿宋" w:eastAsia="仿宋" w:cs="仿宋"/>
          <w:b w:val="0"/>
          <w:bCs w:val="0"/>
          <w:color w:val="auto"/>
          <w:sz w:val="24"/>
          <w:szCs w:val="24"/>
          <w:highlight w:val="none"/>
          <w:lang w:val="en-US" w:eastAsia="zh-CN"/>
        </w:rPr>
        <w:t>、定位功能：仅支持单北斗独立定位模块；</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w:t>
      </w:r>
      <w:r>
        <w:rPr>
          <w:rFonts w:hint="default" w:ascii="仿宋" w:hAnsi="仿宋" w:eastAsia="仿宋" w:cs="仿宋"/>
          <w:b w:val="0"/>
          <w:bCs w:val="0"/>
          <w:color w:val="auto"/>
          <w:sz w:val="24"/>
          <w:szCs w:val="24"/>
          <w:highlight w:val="none"/>
          <w:lang w:eastAsia="zh-CN"/>
        </w:rPr>
        <w:t>7</w:t>
      </w:r>
      <w:r>
        <w:rPr>
          <w:rFonts w:hint="eastAsia" w:ascii="仿宋" w:hAnsi="仿宋" w:eastAsia="仿宋" w:cs="仿宋"/>
          <w:b w:val="0"/>
          <w:bCs w:val="0"/>
          <w:color w:val="auto"/>
          <w:sz w:val="24"/>
          <w:szCs w:val="24"/>
          <w:highlight w:val="none"/>
          <w:lang w:val="en-US" w:eastAsia="zh-CN"/>
        </w:rPr>
        <w:t>、设备防护等级≥IP67（需提供具有CMA或CNAS标识的检测报告复印件并加盖制造商公章）；</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w:t>
      </w:r>
      <w:r>
        <w:rPr>
          <w:rFonts w:hint="default" w:ascii="仿宋" w:hAnsi="仿宋" w:eastAsia="仿宋" w:cs="仿宋"/>
          <w:b w:val="0"/>
          <w:bCs w:val="0"/>
          <w:color w:val="auto"/>
          <w:sz w:val="24"/>
          <w:szCs w:val="24"/>
          <w:highlight w:val="none"/>
          <w:lang w:eastAsia="zh-CN"/>
        </w:rPr>
        <w:t>8</w:t>
      </w:r>
      <w:r>
        <w:rPr>
          <w:rFonts w:hint="eastAsia" w:ascii="仿宋" w:hAnsi="仿宋" w:eastAsia="仿宋" w:cs="仿宋"/>
          <w:b w:val="0"/>
          <w:bCs w:val="0"/>
          <w:color w:val="auto"/>
          <w:sz w:val="24"/>
          <w:szCs w:val="24"/>
          <w:highlight w:val="none"/>
          <w:lang w:val="en-US" w:eastAsia="zh-CN"/>
        </w:rPr>
        <w:t>、防爆等级：≥Ex ib ⅡB T4 Gb（爆炸性气体）和Ex ib ⅢC T130℃ Db（可燃性粉尘）（提供证书复印件加盖制造商公章）；</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yellow"/>
          <w:lang w:val="en-US" w:eastAsia="zh-CN"/>
        </w:rPr>
      </w:pPr>
      <w:r>
        <w:rPr>
          <w:rFonts w:hint="eastAsia" w:ascii="仿宋" w:hAnsi="仿宋" w:eastAsia="仿宋" w:cs="仿宋"/>
          <w:b w:val="0"/>
          <w:bCs w:val="0"/>
          <w:color w:val="auto"/>
          <w:sz w:val="24"/>
          <w:szCs w:val="24"/>
          <w:highlight w:val="none"/>
          <w:lang w:val="en-US" w:eastAsia="zh-CN"/>
        </w:rPr>
        <w:t>★</w:t>
      </w:r>
      <w:r>
        <w:rPr>
          <w:rFonts w:hint="default" w:ascii="仿宋" w:hAnsi="仿宋" w:eastAsia="仿宋" w:cs="仿宋"/>
          <w:b w:val="0"/>
          <w:bCs w:val="0"/>
          <w:color w:val="auto"/>
          <w:sz w:val="24"/>
          <w:szCs w:val="24"/>
          <w:highlight w:val="none"/>
          <w:lang w:val="en-US" w:eastAsia="zh-CN"/>
        </w:rPr>
        <w:t>9</w:t>
      </w:r>
      <w:r>
        <w:rPr>
          <w:rFonts w:hint="eastAsia" w:ascii="仿宋" w:hAnsi="仿宋" w:eastAsia="仿宋" w:cs="仿宋"/>
          <w:b w:val="0"/>
          <w:bCs w:val="0"/>
          <w:color w:val="auto"/>
          <w:sz w:val="24"/>
          <w:szCs w:val="24"/>
          <w:highlight w:val="none"/>
          <w:lang w:val="en-US" w:eastAsia="zh-CN"/>
        </w:rPr>
        <w:t>、提供公网对讲平台</w:t>
      </w:r>
      <w:r>
        <w:rPr>
          <w:rFonts w:hint="default" w:ascii="仿宋" w:hAnsi="仿宋" w:eastAsia="仿宋" w:cs="仿宋"/>
          <w:b w:val="0"/>
          <w:bCs w:val="0"/>
          <w:color w:val="auto"/>
          <w:sz w:val="24"/>
          <w:szCs w:val="24"/>
          <w:highlight w:val="none"/>
          <w:lang w:val="en-US" w:eastAsia="zh-CN"/>
        </w:rPr>
        <w:t>：投标人应免费提供公网对讲平台</w:t>
      </w:r>
      <w:r>
        <w:rPr>
          <w:rFonts w:hint="eastAsia" w:ascii="仿宋" w:hAnsi="仿宋" w:eastAsia="仿宋" w:cs="仿宋"/>
          <w:b w:val="0"/>
          <w:bCs w:val="0"/>
          <w:color w:val="auto"/>
          <w:sz w:val="24"/>
          <w:szCs w:val="24"/>
          <w:highlight w:val="none"/>
          <w:lang w:val="en-US" w:eastAsia="zh-CN"/>
        </w:rPr>
        <w:t>软件</w:t>
      </w:r>
      <w:r>
        <w:rPr>
          <w:rFonts w:hint="default" w:ascii="仿宋" w:hAnsi="仿宋" w:eastAsia="仿宋" w:cs="仿宋"/>
          <w:b w:val="0"/>
          <w:bCs w:val="0"/>
          <w:color w:val="auto"/>
          <w:sz w:val="24"/>
          <w:szCs w:val="24"/>
          <w:highlight w:val="none"/>
          <w:lang w:val="en-US" w:eastAsia="zh-CN"/>
        </w:rPr>
        <w:t>的永久使用授权，确保</w:t>
      </w:r>
      <w:r>
        <w:rPr>
          <w:rFonts w:hint="default" w:ascii="仿宋" w:hAnsi="仿宋" w:eastAsia="仿宋" w:cs="仿宋"/>
          <w:b w:val="0"/>
          <w:bCs w:val="0"/>
          <w:color w:val="auto"/>
          <w:sz w:val="24"/>
          <w:szCs w:val="24"/>
          <w:highlight w:val="none"/>
          <w:lang w:eastAsia="zh-CN"/>
        </w:rPr>
        <w:t>采购人</w:t>
      </w:r>
      <w:r>
        <w:rPr>
          <w:rFonts w:hint="default" w:ascii="仿宋" w:hAnsi="仿宋" w:eastAsia="仿宋" w:cs="仿宋"/>
          <w:b w:val="0"/>
          <w:bCs w:val="0"/>
          <w:color w:val="auto"/>
          <w:sz w:val="24"/>
          <w:szCs w:val="24"/>
          <w:highlight w:val="none"/>
          <w:lang w:val="en-US" w:eastAsia="zh-CN"/>
        </w:rPr>
        <w:t>对平台所有功能的可管可控；投标人需免费将</w:t>
      </w:r>
      <w:r>
        <w:rPr>
          <w:rFonts w:hint="default" w:ascii="仿宋" w:hAnsi="仿宋" w:eastAsia="仿宋" w:cs="仿宋"/>
          <w:b w:val="0"/>
          <w:bCs w:val="0"/>
          <w:color w:val="auto"/>
          <w:sz w:val="24"/>
          <w:szCs w:val="24"/>
          <w:highlight w:val="none"/>
          <w:lang w:eastAsia="zh-CN"/>
        </w:rPr>
        <w:t>采购人</w:t>
      </w:r>
      <w:r>
        <w:rPr>
          <w:rFonts w:hint="default" w:ascii="仿宋" w:hAnsi="仿宋" w:eastAsia="仿宋" w:cs="仿宋"/>
          <w:b w:val="0"/>
          <w:bCs w:val="0"/>
          <w:color w:val="auto"/>
          <w:sz w:val="24"/>
          <w:szCs w:val="24"/>
          <w:highlight w:val="none"/>
          <w:lang w:val="en-US" w:eastAsia="zh-CN"/>
        </w:rPr>
        <w:t>现有公网对讲平台所有终端全部接入，实现新采购终端与现有终端的互联互通和统一管理</w:t>
      </w:r>
      <w:r>
        <w:rPr>
          <w:rFonts w:hint="eastAsia" w:ascii="仿宋" w:hAnsi="仿宋" w:eastAsia="仿宋" w:cs="仿宋"/>
          <w:b w:val="0"/>
          <w:bCs w:val="0"/>
          <w:color w:val="auto"/>
          <w:sz w:val="24"/>
          <w:szCs w:val="24"/>
          <w:highlight w:val="none"/>
          <w:lang w:val="en-US" w:eastAsia="zh-CN"/>
        </w:rPr>
        <w:t>；</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default" w:ascii="仿宋" w:hAnsi="仿宋" w:eastAsia="仿宋" w:cs="仿宋"/>
          <w:b w:val="0"/>
          <w:color w:val="auto"/>
          <w:kern w:val="2"/>
          <w:sz w:val="24"/>
          <w:szCs w:val="24"/>
        </w:rPr>
      </w:pPr>
      <w:r>
        <w:rPr>
          <w:rFonts w:hint="eastAsia" w:ascii="仿宋" w:hAnsi="仿宋" w:eastAsia="仿宋" w:cs="仿宋"/>
          <w:b w:val="0"/>
          <w:bCs w:val="0"/>
          <w:color w:val="auto"/>
          <w:sz w:val="24"/>
          <w:szCs w:val="24"/>
          <w:highlight w:val="none"/>
          <w:lang w:val="en-US" w:eastAsia="zh-CN"/>
        </w:rPr>
        <w:t>★</w:t>
      </w:r>
      <w:r>
        <w:rPr>
          <w:rFonts w:hint="default" w:ascii="仿宋" w:hAnsi="仿宋" w:eastAsia="仿宋" w:cs="仿宋"/>
          <w:b w:val="0"/>
          <w:bCs w:val="0"/>
          <w:color w:val="auto"/>
          <w:sz w:val="24"/>
          <w:szCs w:val="24"/>
          <w:highlight w:val="none"/>
          <w:lang w:val="en-US" w:eastAsia="zh-CN"/>
        </w:rPr>
        <w:t>9.1投标人提供的公网对讲平台软件应</w:t>
      </w:r>
      <w:r>
        <w:rPr>
          <w:rFonts w:hint="default" w:ascii="仿宋" w:hAnsi="仿宋" w:eastAsia="仿宋" w:cs="仿宋"/>
          <w:b w:val="0"/>
          <w:color w:val="auto"/>
          <w:kern w:val="2"/>
          <w:sz w:val="24"/>
          <w:szCs w:val="24"/>
          <w:lang w:val="en-US" w:eastAsia="zh-CN" w:bidi="ar"/>
        </w:rPr>
        <w:t>具备自主知识产权，并支持公有云或私有化部署方式。</w:t>
      </w:r>
      <w:r>
        <w:rPr>
          <w:rFonts w:hint="default" w:ascii="仿宋" w:hAnsi="仿宋" w:eastAsia="仿宋" w:cs="仿宋"/>
          <w:b w:val="0"/>
          <w:color w:val="auto"/>
          <w:kern w:val="2"/>
          <w:sz w:val="24"/>
          <w:szCs w:val="24"/>
          <w:lang w:eastAsia="zh-CN" w:bidi="ar"/>
        </w:rPr>
        <w:t>采购人</w:t>
      </w:r>
      <w:r>
        <w:rPr>
          <w:rFonts w:hint="default" w:ascii="仿宋" w:hAnsi="仿宋" w:eastAsia="仿宋" w:cs="仿宋"/>
          <w:b w:val="0"/>
          <w:color w:val="auto"/>
          <w:kern w:val="2"/>
          <w:sz w:val="24"/>
          <w:szCs w:val="24"/>
          <w:lang w:val="en-US" w:eastAsia="zh-CN" w:bidi="ar"/>
        </w:rPr>
        <w:t>采用公有云部署方式时，投标人需免费</w:t>
      </w:r>
      <w:r>
        <w:rPr>
          <w:rFonts w:hint="default" w:ascii="仿宋" w:hAnsi="仿宋" w:eastAsia="仿宋" w:cs="仿宋"/>
          <w:b w:val="0"/>
          <w:color w:val="auto"/>
          <w:kern w:val="2"/>
          <w:sz w:val="24"/>
          <w:szCs w:val="24"/>
          <w:lang w:eastAsia="zh-CN" w:bidi="ar"/>
        </w:rPr>
        <w:t>提供采购人在使用期间的</w:t>
      </w:r>
      <w:r>
        <w:rPr>
          <w:rFonts w:hint="default" w:ascii="仿宋" w:hAnsi="仿宋" w:eastAsia="仿宋" w:cs="仿宋"/>
          <w:b w:val="0"/>
          <w:color w:val="auto"/>
          <w:kern w:val="2"/>
          <w:sz w:val="24"/>
          <w:szCs w:val="24"/>
          <w:lang w:val="en-US" w:eastAsia="zh-CN" w:bidi="ar"/>
        </w:rPr>
        <w:t>平台运维和升级服务，并保障</w:t>
      </w:r>
      <w:r>
        <w:rPr>
          <w:rFonts w:hint="default" w:ascii="仿宋" w:hAnsi="仿宋" w:eastAsia="仿宋" w:cs="仿宋"/>
          <w:b w:val="0"/>
          <w:color w:val="auto"/>
          <w:kern w:val="2"/>
          <w:sz w:val="24"/>
          <w:szCs w:val="24"/>
          <w:lang w:eastAsia="zh-CN" w:bidi="ar"/>
        </w:rPr>
        <w:t>采购人</w:t>
      </w:r>
      <w:r>
        <w:rPr>
          <w:rFonts w:hint="default" w:ascii="仿宋" w:hAnsi="仿宋" w:eastAsia="仿宋" w:cs="仿宋"/>
          <w:b w:val="0"/>
          <w:color w:val="auto"/>
          <w:kern w:val="2"/>
          <w:sz w:val="24"/>
          <w:szCs w:val="24"/>
          <w:lang w:val="en-US" w:eastAsia="zh-CN" w:bidi="ar"/>
        </w:rPr>
        <w:t>数据的独立和数据安全，不得与其他用户共享数据。采用私有</w:t>
      </w:r>
      <w:r>
        <w:rPr>
          <w:rFonts w:hint="default" w:ascii="仿宋" w:hAnsi="仿宋" w:eastAsia="仿宋" w:cs="仿宋"/>
          <w:b w:val="0"/>
          <w:color w:val="auto"/>
          <w:kern w:val="2"/>
          <w:sz w:val="24"/>
          <w:szCs w:val="24"/>
          <w:lang w:eastAsia="zh-CN" w:bidi="ar"/>
        </w:rPr>
        <w:t>化</w:t>
      </w:r>
      <w:r>
        <w:rPr>
          <w:rFonts w:hint="default" w:ascii="仿宋" w:hAnsi="仿宋" w:eastAsia="仿宋" w:cs="仿宋"/>
          <w:b w:val="0"/>
          <w:color w:val="auto"/>
          <w:kern w:val="2"/>
          <w:sz w:val="24"/>
          <w:szCs w:val="24"/>
          <w:lang w:val="en-US" w:eastAsia="zh-CN" w:bidi="ar"/>
        </w:rPr>
        <w:t>部署方式时，投标人需免费提供5年以上（含5年）平台运维和升级服务，并免费</w:t>
      </w:r>
      <w:r>
        <w:rPr>
          <w:rFonts w:hint="default" w:ascii="仿宋" w:hAnsi="仿宋" w:eastAsia="仿宋" w:cs="仿宋"/>
          <w:b w:val="0"/>
          <w:color w:val="auto"/>
          <w:kern w:val="2"/>
          <w:sz w:val="24"/>
          <w:szCs w:val="24"/>
          <w:lang w:eastAsia="zh-CN" w:bidi="ar"/>
        </w:rPr>
        <w:t>向采购人</w:t>
      </w:r>
      <w:r>
        <w:rPr>
          <w:rFonts w:hint="default" w:ascii="仿宋" w:hAnsi="仿宋" w:eastAsia="仿宋" w:cs="仿宋"/>
          <w:b w:val="0"/>
          <w:color w:val="auto"/>
          <w:kern w:val="2"/>
          <w:sz w:val="24"/>
          <w:szCs w:val="24"/>
          <w:lang w:val="en-US" w:eastAsia="zh-CN" w:bidi="ar"/>
        </w:rPr>
        <w:t>提供平台软件</w:t>
      </w:r>
      <w:r>
        <w:rPr>
          <w:rFonts w:hint="default" w:ascii="仿宋" w:hAnsi="仿宋" w:eastAsia="仿宋" w:cs="仿宋"/>
          <w:b w:val="0"/>
          <w:color w:val="auto"/>
          <w:kern w:val="2"/>
          <w:sz w:val="24"/>
          <w:szCs w:val="24"/>
          <w:lang w:eastAsia="zh-CN" w:bidi="ar"/>
        </w:rPr>
        <w:t>的</w:t>
      </w:r>
      <w:r>
        <w:rPr>
          <w:rFonts w:hint="default" w:ascii="仿宋" w:hAnsi="仿宋" w:eastAsia="仿宋" w:cs="仿宋"/>
          <w:b w:val="0"/>
          <w:color w:val="auto"/>
          <w:kern w:val="2"/>
          <w:sz w:val="24"/>
          <w:szCs w:val="24"/>
          <w:lang w:val="en-US" w:eastAsia="zh-CN" w:bidi="ar"/>
        </w:rPr>
        <w:t>源代码；</w:t>
      </w:r>
    </w:p>
    <w:p>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460" w:lineRule="exact"/>
        <w:ind w:left="0" w:leftChars="0" w:right="0" w:rightChars="0" w:firstLine="0" w:firstLineChars="0"/>
        <w:jc w:val="both"/>
        <w:rPr>
          <w:rFonts w:hint="default" w:ascii="仿宋" w:hAnsi="仿宋" w:eastAsia="仿宋" w:cs="仿宋"/>
          <w:b w:val="0"/>
          <w:color w:val="auto"/>
          <w:kern w:val="2"/>
          <w:sz w:val="24"/>
          <w:szCs w:val="24"/>
          <w:lang w:eastAsia="zh-CN" w:bidi="ar"/>
        </w:rPr>
      </w:pPr>
      <w:r>
        <w:rPr>
          <w:rFonts w:hint="eastAsia" w:ascii="仿宋" w:hAnsi="仿宋" w:eastAsia="仿宋" w:cs="仿宋"/>
          <w:b w:val="0"/>
          <w:bCs w:val="0"/>
          <w:color w:val="auto"/>
          <w:sz w:val="24"/>
          <w:szCs w:val="24"/>
          <w:highlight w:val="none"/>
          <w:lang w:val="en-US" w:eastAsia="zh-CN"/>
        </w:rPr>
        <w:t>★</w:t>
      </w:r>
      <w:r>
        <w:rPr>
          <w:rFonts w:hint="default" w:ascii="仿宋" w:hAnsi="仿宋" w:eastAsia="仿宋" w:cs="仿宋"/>
          <w:b w:val="0"/>
          <w:color w:val="auto"/>
          <w:kern w:val="2"/>
          <w:sz w:val="24"/>
          <w:szCs w:val="24"/>
          <w:lang w:val="en-US" w:eastAsia="zh-CN" w:bidi="ar"/>
        </w:rPr>
        <w:t>9.</w:t>
      </w:r>
      <w:r>
        <w:rPr>
          <w:rFonts w:hint="default" w:ascii="仿宋" w:hAnsi="仿宋" w:eastAsia="仿宋" w:cs="仿宋"/>
          <w:b w:val="0"/>
          <w:color w:val="auto"/>
          <w:kern w:val="2"/>
          <w:sz w:val="24"/>
          <w:szCs w:val="24"/>
          <w:lang w:eastAsia="zh-CN" w:bidi="ar"/>
        </w:rPr>
        <w:t>2</w:t>
      </w:r>
      <w:r>
        <w:rPr>
          <w:rFonts w:hint="default" w:ascii="仿宋" w:hAnsi="仿宋" w:eastAsia="仿宋" w:cs="仿宋"/>
          <w:b w:val="0"/>
          <w:color w:val="auto"/>
          <w:kern w:val="2"/>
          <w:sz w:val="24"/>
          <w:szCs w:val="24"/>
          <w:lang w:val="en-US" w:eastAsia="zh-CN" w:bidi="ar"/>
        </w:rPr>
        <w:t>平台应具备开放性。支持移动、电信、联通等通信运营商网络，</w:t>
      </w:r>
      <w:r>
        <w:rPr>
          <w:rFonts w:hint="default" w:ascii="仿宋" w:hAnsi="仿宋" w:eastAsia="仿宋" w:cs="仿宋"/>
          <w:b w:val="0"/>
          <w:color w:val="auto"/>
          <w:kern w:val="2"/>
          <w:sz w:val="24"/>
          <w:szCs w:val="24"/>
          <w:lang w:eastAsia="zh-CN" w:bidi="ar"/>
        </w:rPr>
        <w:t>支持免费通过SDK接口等方式实现第三方终端接入或第三方业务信息系统调用。</w:t>
      </w:r>
    </w:p>
    <w:p>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460" w:lineRule="exact"/>
        <w:ind w:left="0" w:leftChars="0" w:right="0" w:rightChars="0" w:firstLine="0" w:firstLineChars="0"/>
        <w:jc w:val="both"/>
        <w:rPr>
          <w:rFonts w:hint="default" w:ascii="仿宋" w:hAnsi="仿宋" w:eastAsia="仿宋" w:cs="仿宋"/>
          <w:b w:val="0"/>
          <w:color w:val="auto"/>
          <w:kern w:val="2"/>
          <w:sz w:val="24"/>
          <w:szCs w:val="24"/>
          <w:highlight w:val="none"/>
        </w:rPr>
      </w:pPr>
      <w:r>
        <w:rPr>
          <w:rFonts w:hint="default" w:ascii="仿宋" w:hAnsi="仿宋" w:eastAsia="仿宋" w:cs="仿宋"/>
          <w:b w:val="0"/>
          <w:color w:val="auto"/>
          <w:kern w:val="2"/>
          <w:sz w:val="24"/>
          <w:szCs w:val="24"/>
          <w:highlight w:val="none"/>
          <w:lang w:val="en-US" w:eastAsia="zh-CN" w:bidi="ar"/>
        </w:rPr>
        <w:t>▲9.</w:t>
      </w:r>
      <w:r>
        <w:rPr>
          <w:rFonts w:hint="default" w:ascii="仿宋" w:hAnsi="仿宋" w:eastAsia="仿宋" w:cs="仿宋"/>
          <w:b w:val="0"/>
          <w:color w:val="auto"/>
          <w:kern w:val="2"/>
          <w:sz w:val="24"/>
          <w:szCs w:val="24"/>
          <w:highlight w:val="none"/>
          <w:lang w:eastAsia="zh-CN" w:bidi="ar"/>
        </w:rPr>
        <w:t>3</w:t>
      </w:r>
      <w:r>
        <w:rPr>
          <w:rFonts w:hint="default" w:ascii="仿宋" w:hAnsi="仿宋" w:eastAsia="仿宋" w:cs="仿宋"/>
          <w:b w:val="0"/>
          <w:color w:val="auto"/>
          <w:kern w:val="2"/>
          <w:sz w:val="24"/>
          <w:szCs w:val="24"/>
          <w:highlight w:val="none"/>
          <w:lang w:val="en-US" w:eastAsia="zh-CN" w:bidi="ar"/>
        </w:rPr>
        <w:t>平台软件网络安全等级保护测评≥2级（投标人需</w:t>
      </w:r>
      <w:r>
        <w:rPr>
          <w:rFonts w:hint="eastAsia" w:ascii="仿宋" w:hAnsi="仿宋" w:eastAsia="仿宋" w:cs="仿宋"/>
          <w:b w:val="0"/>
          <w:color w:val="auto"/>
          <w:kern w:val="2"/>
          <w:sz w:val="24"/>
          <w:szCs w:val="24"/>
          <w:highlight w:val="none"/>
          <w:lang w:val="en-US" w:eastAsia="zh-CN" w:bidi="ar"/>
        </w:rPr>
        <w:t>提供信息系统安全等级保护备案证明和合格的等级保护测评报告复印件</w:t>
      </w:r>
      <w:r>
        <w:rPr>
          <w:rFonts w:hint="default" w:ascii="仿宋" w:hAnsi="仿宋" w:eastAsia="仿宋" w:cs="仿宋"/>
          <w:b w:val="0"/>
          <w:color w:val="auto"/>
          <w:kern w:val="2"/>
          <w:sz w:val="24"/>
          <w:szCs w:val="24"/>
          <w:highlight w:val="none"/>
          <w:lang w:val="en-US" w:eastAsia="zh-CN" w:bidi="ar"/>
        </w:rPr>
        <w:t>）</w:t>
      </w:r>
      <w:r>
        <w:rPr>
          <w:rFonts w:hint="default" w:ascii="仿宋" w:hAnsi="仿宋" w:eastAsia="仿宋" w:cs="仿宋"/>
          <w:b w:val="0"/>
          <w:color w:val="auto"/>
          <w:kern w:val="2"/>
          <w:sz w:val="24"/>
          <w:szCs w:val="24"/>
          <w:highlight w:val="none"/>
          <w:lang w:eastAsia="zh-CN" w:bidi="ar"/>
        </w:rPr>
        <w:t>。</w:t>
      </w:r>
    </w:p>
    <w:p>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460" w:lineRule="exact"/>
        <w:ind w:left="0" w:leftChars="0" w:right="0" w:rightChars="0" w:firstLine="0" w:firstLineChars="0"/>
        <w:jc w:val="both"/>
        <w:rPr>
          <w:rFonts w:hint="default" w:ascii="仿宋" w:hAnsi="仿宋" w:eastAsia="仿宋" w:cs="仿宋"/>
          <w:b w:val="0"/>
          <w:bCs w:val="0"/>
          <w:color w:val="auto"/>
          <w:kern w:val="2"/>
          <w:sz w:val="24"/>
          <w:szCs w:val="24"/>
        </w:rPr>
      </w:pPr>
      <w:r>
        <w:rPr>
          <w:rFonts w:hint="default" w:ascii="仿宋" w:hAnsi="仿宋" w:eastAsia="仿宋" w:cs="仿宋"/>
          <w:b w:val="0"/>
          <w:color w:val="auto"/>
          <w:kern w:val="2"/>
          <w:sz w:val="24"/>
          <w:szCs w:val="24"/>
          <w:lang w:val="en-US" w:eastAsia="zh-CN" w:bidi="ar"/>
        </w:rPr>
        <w:t>★</w:t>
      </w:r>
      <w:r>
        <w:rPr>
          <w:rFonts w:hint="default" w:ascii="仿宋" w:hAnsi="仿宋" w:eastAsia="仿宋" w:cs="仿宋"/>
          <w:b w:val="0"/>
          <w:color w:val="auto"/>
          <w:kern w:val="2"/>
          <w:sz w:val="24"/>
          <w:szCs w:val="24"/>
          <w:lang w:eastAsia="zh-CN" w:bidi="ar"/>
        </w:rPr>
        <w:t>9</w:t>
      </w:r>
      <w:r>
        <w:rPr>
          <w:rFonts w:hint="default" w:ascii="仿宋" w:hAnsi="仿宋" w:eastAsia="仿宋" w:cs="仿宋"/>
          <w:b w:val="0"/>
          <w:color w:val="auto"/>
          <w:kern w:val="2"/>
          <w:sz w:val="24"/>
          <w:szCs w:val="24"/>
          <w:lang w:val="en-US" w:eastAsia="zh-CN" w:bidi="ar"/>
        </w:rPr>
        <w:t>.</w:t>
      </w:r>
      <w:r>
        <w:rPr>
          <w:rFonts w:hint="default" w:ascii="仿宋" w:hAnsi="仿宋" w:eastAsia="仿宋" w:cs="仿宋"/>
          <w:b w:val="0"/>
          <w:color w:val="auto"/>
          <w:kern w:val="2"/>
          <w:sz w:val="24"/>
          <w:szCs w:val="24"/>
          <w:lang w:eastAsia="zh-CN" w:bidi="ar"/>
        </w:rPr>
        <w:t>4</w:t>
      </w:r>
      <w:r>
        <w:rPr>
          <w:rFonts w:hint="default" w:ascii="仿宋" w:hAnsi="仿宋" w:eastAsia="仿宋" w:cs="仿宋"/>
          <w:b w:val="0"/>
          <w:color w:val="auto"/>
          <w:kern w:val="2"/>
          <w:sz w:val="24"/>
          <w:szCs w:val="24"/>
          <w:lang w:val="en-US" w:eastAsia="zh-CN" w:bidi="ar"/>
        </w:rPr>
        <w:t>集群通讯：支持单呼、预定义组对讲、录音存储、跨组调度、多路监听</w:t>
      </w:r>
      <w:r>
        <w:rPr>
          <w:rFonts w:hint="default" w:ascii="仿宋" w:hAnsi="仿宋" w:eastAsia="仿宋" w:cs="仿宋"/>
          <w:b w:val="0"/>
          <w:bCs w:val="0"/>
          <w:color w:val="auto"/>
          <w:kern w:val="2"/>
          <w:sz w:val="24"/>
          <w:szCs w:val="24"/>
          <w:lang w:val="en-US" w:eastAsia="zh-CN" w:bidi="ar"/>
        </w:rPr>
        <w:t>（需出具相关功能平台截图）；</w:t>
      </w:r>
    </w:p>
    <w:p>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460" w:lineRule="exact"/>
        <w:ind w:left="0" w:leftChars="0" w:right="0" w:rightChars="0" w:firstLine="0" w:firstLineChars="0"/>
        <w:jc w:val="both"/>
        <w:rPr>
          <w:rFonts w:hint="default" w:ascii="仿宋" w:hAnsi="仿宋" w:eastAsia="仿宋" w:cs="仿宋"/>
          <w:b w:val="0"/>
          <w:bCs w:val="0"/>
          <w:color w:val="auto"/>
          <w:kern w:val="2"/>
          <w:sz w:val="24"/>
          <w:szCs w:val="24"/>
          <w:lang w:val="en-US" w:eastAsia="zh-CN" w:bidi="ar"/>
        </w:rPr>
      </w:pPr>
      <w:r>
        <w:rPr>
          <w:rFonts w:hint="default" w:ascii="仿宋" w:hAnsi="仿宋" w:eastAsia="仿宋" w:cs="仿宋"/>
          <w:b w:val="0"/>
          <w:color w:val="auto"/>
          <w:kern w:val="2"/>
          <w:sz w:val="24"/>
          <w:szCs w:val="24"/>
          <w:lang w:val="en-US" w:eastAsia="zh-CN" w:bidi="ar"/>
        </w:rPr>
        <w:t>★</w:t>
      </w:r>
      <w:r>
        <w:rPr>
          <w:rFonts w:hint="default" w:ascii="仿宋" w:hAnsi="仿宋" w:eastAsia="仿宋" w:cs="仿宋"/>
          <w:b w:val="0"/>
          <w:color w:val="auto"/>
          <w:kern w:val="2"/>
          <w:sz w:val="24"/>
          <w:szCs w:val="24"/>
          <w:lang w:eastAsia="zh-CN" w:bidi="ar"/>
        </w:rPr>
        <w:t>9</w:t>
      </w:r>
      <w:r>
        <w:rPr>
          <w:rFonts w:hint="default" w:ascii="仿宋" w:hAnsi="仿宋" w:eastAsia="仿宋" w:cs="仿宋"/>
          <w:b w:val="0"/>
          <w:color w:val="auto"/>
          <w:kern w:val="2"/>
          <w:sz w:val="24"/>
          <w:szCs w:val="24"/>
          <w:lang w:val="en-US" w:eastAsia="zh-CN" w:bidi="ar"/>
        </w:rPr>
        <w:t>.</w:t>
      </w:r>
      <w:r>
        <w:rPr>
          <w:rFonts w:hint="default" w:ascii="仿宋" w:hAnsi="仿宋" w:eastAsia="仿宋" w:cs="仿宋"/>
          <w:b w:val="0"/>
          <w:color w:val="auto"/>
          <w:kern w:val="2"/>
          <w:sz w:val="24"/>
          <w:szCs w:val="24"/>
          <w:lang w:eastAsia="zh-CN" w:bidi="ar"/>
        </w:rPr>
        <w:t>5</w:t>
      </w:r>
      <w:r>
        <w:rPr>
          <w:rFonts w:hint="default" w:ascii="仿宋" w:hAnsi="仿宋" w:eastAsia="仿宋" w:cs="仿宋"/>
          <w:b w:val="0"/>
          <w:color w:val="auto"/>
          <w:kern w:val="2"/>
          <w:sz w:val="24"/>
          <w:szCs w:val="24"/>
          <w:lang w:val="en-US" w:eastAsia="zh-CN" w:bidi="ar"/>
        </w:rPr>
        <w:t>支持定位功能：支持地图显示位置、电子围栏、轨迹回放、圈选通话</w:t>
      </w:r>
      <w:r>
        <w:rPr>
          <w:rFonts w:hint="default" w:ascii="仿宋" w:hAnsi="仿宋" w:eastAsia="仿宋" w:cs="仿宋"/>
          <w:b w:val="0"/>
          <w:bCs w:val="0"/>
          <w:color w:val="auto"/>
          <w:kern w:val="2"/>
          <w:sz w:val="24"/>
          <w:szCs w:val="24"/>
          <w:lang w:val="en-US" w:eastAsia="zh-CN" w:bidi="ar"/>
        </w:rPr>
        <w:t>（需出具相关功能平台截图）；</w:t>
      </w:r>
    </w:p>
    <w:p>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460" w:lineRule="exact"/>
        <w:ind w:left="0" w:leftChars="0" w:right="0" w:rightChars="0" w:firstLine="0" w:firstLineChars="0"/>
        <w:jc w:val="both"/>
        <w:rPr>
          <w:rFonts w:hint="default" w:ascii="仿宋" w:hAnsi="仿宋" w:eastAsia="仿宋" w:cs="仿宋"/>
          <w:b w:val="0"/>
          <w:bCs w:val="0"/>
          <w:color w:val="auto"/>
          <w:kern w:val="2"/>
          <w:sz w:val="24"/>
          <w:szCs w:val="24"/>
          <w:lang w:val="en-US" w:eastAsia="zh-CN" w:bidi="ar"/>
        </w:rPr>
      </w:pPr>
      <w:r>
        <w:rPr>
          <w:rFonts w:hint="default" w:ascii="仿宋" w:hAnsi="仿宋" w:eastAsia="仿宋" w:cs="仿宋"/>
          <w:b w:val="0"/>
          <w:color w:val="auto"/>
          <w:kern w:val="2"/>
          <w:sz w:val="24"/>
          <w:szCs w:val="24"/>
          <w:lang w:val="en-US" w:eastAsia="zh-CN" w:bidi="ar"/>
        </w:rPr>
        <w:t>9.</w:t>
      </w:r>
      <w:r>
        <w:rPr>
          <w:rFonts w:hint="eastAsia" w:ascii="仿宋" w:hAnsi="仿宋" w:eastAsia="仿宋" w:cs="仿宋"/>
          <w:b w:val="0"/>
          <w:color w:val="auto"/>
          <w:kern w:val="2"/>
          <w:sz w:val="24"/>
          <w:szCs w:val="24"/>
          <w:lang w:val="en-US" w:eastAsia="zh-CN" w:bidi="ar"/>
        </w:rPr>
        <w:t>6</w:t>
      </w:r>
      <w:r>
        <w:rPr>
          <w:rFonts w:hint="default" w:ascii="仿宋" w:hAnsi="仿宋" w:eastAsia="仿宋" w:cs="仿宋"/>
          <w:b w:val="0"/>
          <w:color w:val="auto"/>
          <w:kern w:val="2"/>
          <w:sz w:val="24"/>
          <w:szCs w:val="24"/>
          <w:lang w:val="en-US" w:eastAsia="zh-CN" w:bidi="ar"/>
        </w:rPr>
        <w:t>其他功能：支持多级架构、分权限配置、支持广播、群组组呼</w:t>
      </w:r>
      <w:r>
        <w:rPr>
          <w:rFonts w:hint="default" w:ascii="仿宋" w:hAnsi="仿宋" w:eastAsia="仿宋" w:cs="仿宋"/>
          <w:b w:val="0"/>
          <w:bCs w:val="0"/>
          <w:color w:val="auto"/>
          <w:kern w:val="2"/>
          <w:sz w:val="24"/>
          <w:szCs w:val="24"/>
          <w:lang w:val="en-US" w:eastAsia="zh-CN" w:bidi="ar"/>
        </w:rPr>
        <w:t>（需出具相关功能平台截图）；</w:t>
      </w:r>
    </w:p>
    <w:p>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460" w:lineRule="exact"/>
        <w:ind w:left="0" w:leftChars="0" w:right="0" w:rightChars="0" w:firstLine="0" w:firstLineChars="0"/>
        <w:jc w:val="both"/>
        <w:rPr>
          <w:rFonts w:hint="default" w:ascii="仿宋" w:hAnsi="仿宋" w:eastAsia="仿宋" w:cs="仿宋"/>
          <w:b w:val="0"/>
          <w:color w:val="auto"/>
          <w:kern w:val="2"/>
          <w:sz w:val="24"/>
          <w:szCs w:val="24"/>
          <w:lang w:val="en-US" w:eastAsia="zh-CN" w:bidi="ar"/>
        </w:rPr>
      </w:pPr>
      <w:r>
        <w:rPr>
          <w:rFonts w:hint="default" w:ascii="仿宋" w:hAnsi="仿宋" w:eastAsia="仿宋" w:cs="仿宋"/>
          <w:b w:val="0"/>
          <w:color w:val="auto"/>
          <w:kern w:val="2"/>
          <w:sz w:val="24"/>
          <w:szCs w:val="24"/>
          <w:lang w:val="en-US" w:eastAsia="zh-CN" w:bidi="ar"/>
        </w:rPr>
        <w:t>9.</w:t>
      </w:r>
      <w:r>
        <w:rPr>
          <w:rFonts w:hint="eastAsia" w:ascii="仿宋" w:hAnsi="仿宋" w:eastAsia="仿宋" w:cs="仿宋"/>
          <w:b w:val="0"/>
          <w:color w:val="auto"/>
          <w:kern w:val="2"/>
          <w:sz w:val="24"/>
          <w:szCs w:val="24"/>
          <w:lang w:val="en-US" w:eastAsia="zh-CN" w:bidi="ar"/>
        </w:rPr>
        <w:t>7</w:t>
      </w:r>
      <w:r>
        <w:rPr>
          <w:rFonts w:hint="default" w:ascii="仿宋" w:hAnsi="仿宋" w:eastAsia="仿宋" w:cs="仿宋"/>
          <w:b w:val="0"/>
          <w:color w:val="auto"/>
          <w:kern w:val="2"/>
          <w:sz w:val="24"/>
          <w:szCs w:val="24"/>
          <w:lang w:val="en-US" w:eastAsia="zh-CN" w:bidi="ar"/>
        </w:rPr>
        <w:t>并发能力，支持终端同时在线≥10000台;</w:t>
      </w:r>
    </w:p>
    <w:p>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460" w:lineRule="exact"/>
        <w:ind w:left="0" w:leftChars="0" w:right="0" w:rightChars="0" w:firstLine="0" w:firstLineChars="0"/>
        <w:jc w:val="both"/>
        <w:rPr>
          <w:rFonts w:hint="default" w:ascii="仿宋" w:hAnsi="仿宋" w:eastAsia="仿宋" w:cs="仿宋"/>
          <w:b w:val="0"/>
          <w:bCs w:val="0"/>
          <w:color w:val="auto"/>
          <w:kern w:val="2"/>
          <w:sz w:val="24"/>
          <w:szCs w:val="24"/>
          <w:lang w:val="en-US" w:eastAsia="zh-CN" w:bidi="ar"/>
        </w:rPr>
      </w:pPr>
      <w:r>
        <w:rPr>
          <w:rFonts w:hint="default" w:ascii="仿宋" w:hAnsi="仿宋" w:eastAsia="仿宋" w:cs="仿宋"/>
          <w:b w:val="0"/>
          <w:color w:val="auto"/>
          <w:kern w:val="2"/>
          <w:sz w:val="24"/>
          <w:szCs w:val="24"/>
          <w:lang w:val="en-US" w:eastAsia="zh-CN" w:bidi="ar"/>
        </w:rPr>
        <w:t>9.</w:t>
      </w:r>
      <w:r>
        <w:rPr>
          <w:rFonts w:hint="eastAsia" w:ascii="仿宋" w:hAnsi="仿宋" w:eastAsia="仿宋" w:cs="仿宋"/>
          <w:b w:val="0"/>
          <w:color w:val="auto"/>
          <w:kern w:val="2"/>
          <w:sz w:val="24"/>
          <w:szCs w:val="24"/>
          <w:lang w:val="en-US" w:eastAsia="zh-CN" w:bidi="ar"/>
        </w:rPr>
        <w:t>8</w:t>
      </w:r>
      <w:r>
        <w:rPr>
          <w:rFonts w:hint="default" w:ascii="仿宋" w:hAnsi="仿宋" w:eastAsia="仿宋" w:cs="仿宋"/>
          <w:b w:val="0"/>
          <w:color w:val="auto"/>
          <w:kern w:val="2"/>
          <w:sz w:val="24"/>
          <w:szCs w:val="24"/>
          <w:lang w:val="en-US" w:eastAsia="zh-CN" w:bidi="ar"/>
        </w:rPr>
        <w:t>语音对讲能力，通过固定的群组呼叫满足日常办公需要，如遇紧急事件，可以通过建立临时群组进行应急语音对讲，支持1对1、1对多呼叫</w:t>
      </w:r>
      <w:r>
        <w:rPr>
          <w:rFonts w:hint="default" w:ascii="仿宋" w:hAnsi="仿宋" w:eastAsia="仿宋" w:cs="仿宋"/>
          <w:b w:val="0"/>
          <w:bCs w:val="0"/>
          <w:color w:val="auto"/>
          <w:kern w:val="2"/>
          <w:sz w:val="24"/>
          <w:szCs w:val="24"/>
          <w:lang w:val="en-US" w:eastAsia="zh-CN" w:bidi="ar"/>
        </w:rPr>
        <w:t>（需出具相关功能平台截图）；</w:t>
      </w:r>
    </w:p>
    <w:p>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460" w:lineRule="exact"/>
        <w:ind w:left="0" w:leftChars="0" w:right="0" w:rightChars="0" w:firstLine="0" w:firstLineChars="0"/>
        <w:jc w:val="both"/>
        <w:rPr>
          <w:rFonts w:hint="default" w:ascii="仿宋" w:hAnsi="仿宋" w:eastAsia="仿宋" w:cs="仿宋"/>
          <w:b w:val="0"/>
          <w:bCs w:val="0"/>
          <w:color w:val="auto"/>
          <w:kern w:val="2"/>
          <w:sz w:val="24"/>
          <w:szCs w:val="24"/>
          <w:lang w:val="en-US" w:eastAsia="zh-CN" w:bidi="ar"/>
        </w:rPr>
      </w:pPr>
      <w:r>
        <w:rPr>
          <w:rFonts w:hint="default" w:ascii="仿宋" w:hAnsi="仿宋" w:eastAsia="仿宋" w:cs="仿宋"/>
          <w:b w:val="0"/>
          <w:color w:val="auto"/>
          <w:kern w:val="2"/>
          <w:sz w:val="24"/>
          <w:szCs w:val="24"/>
          <w:lang w:val="en-US" w:eastAsia="zh-CN" w:bidi="ar"/>
        </w:rPr>
        <w:t>9.</w:t>
      </w:r>
      <w:r>
        <w:rPr>
          <w:rFonts w:hint="eastAsia" w:ascii="仿宋" w:hAnsi="仿宋" w:eastAsia="仿宋" w:cs="仿宋"/>
          <w:b w:val="0"/>
          <w:color w:val="auto"/>
          <w:kern w:val="2"/>
          <w:sz w:val="24"/>
          <w:szCs w:val="24"/>
          <w:lang w:val="en-US" w:eastAsia="zh-CN" w:bidi="ar"/>
        </w:rPr>
        <w:t>9</w:t>
      </w:r>
      <w:r>
        <w:rPr>
          <w:rFonts w:hint="default" w:ascii="仿宋" w:hAnsi="仿宋" w:eastAsia="仿宋" w:cs="仿宋"/>
          <w:b w:val="0"/>
          <w:color w:val="auto"/>
          <w:kern w:val="2"/>
          <w:sz w:val="24"/>
          <w:szCs w:val="24"/>
          <w:lang w:val="en-US" w:eastAsia="zh-CN" w:bidi="ar"/>
        </w:rPr>
        <w:t>频道能力，支持群组数量无限制，每个频道人员数≥500人</w:t>
      </w:r>
      <w:r>
        <w:rPr>
          <w:rFonts w:hint="default" w:ascii="仿宋" w:hAnsi="仿宋" w:eastAsia="仿宋" w:cs="仿宋"/>
          <w:b w:val="0"/>
          <w:bCs w:val="0"/>
          <w:color w:val="auto"/>
          <w:kern w:val="2"/>
          <w:sz w:val="24"/>
          <w:szCs w:val="24"/>
          <w:lang w:val="en-US" w:eastAsia="zh-CN" w:bidi="ar"/>
        </w:rPr>
        <w:t>（需出具相关功能平台截图）；</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w:t>
      </w:r>
      <w:r>
        <w:rPr>
          <w:rFonts w:hint="default" w:ascii="仿宋" w:hAnsi="仿宋" w:eastAsia="仿宋" w:cs="仿宋"/>
          <w:b w:val="0"/>
          <w:bCs w:val="0"/>
          <w:color w:val="auto"/>
          <w:sz w:val="24"/>
          <w:szCs w:val="24"/>
          <w:highlight w:val="none"/>
          <w:lang w:eastAsia="zh-CN"/>
        </w:rPr>
        <w:t>0</w:t>
      </w:r>
      <w:r>
        <w:rPr>
          <w:rFonts w:hint="eastAsia" w:ascii="仿宋" w:hAnsi="仿宋" w:eastAsia="仿宋" w:cs="仿宋"/>
          <w:b w:val="0"/>
          <w:bCs w:val="0"/>
          <w:color w:val="auto"/>
          <w:sz w:val="24"/>
          <w:szCs w:val="24"/>
          <w:highlight w:val="none"/>
          <w:lang w:val="en-US" w:eastAsia="zh-CN"/>
        </w:rPr>
        <w:t>、防爆电池容量≥3000mAh，支持座充；</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eastAsia="zh-CN"/>
        </w:rPr>
        <w:t>11</w:t>
      </w:r>
      <w:r>
        <w:rPr>
          <w:rFonts w:hint="eastAsia" w:ascii="仿宋" w:hAnsi="仿宋" w:eastAsia="仿宋" w:cs="仿宋"/>
          <w:b w:val="0"/>
          <w:bCs w:val="0"/>
          <w:color w:val="auto"/>
          <w:sz w:val="24"/>
          <w:szCs w:val="24"/>
          <w:highlight w:val="none"/>
          <w:lang w:val="en-US" w:eastAsia="zh-CN"/>
        </w:rPr>
        <w:t>、CPU≥四核，主频≥1.5GHz；</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val="0"/>
          <w:bCs w:val="0"/>
          <w:color w:val="auto"/>
          <w:sz w:val="24"/>
          <w:szCs w:val="24"/>
          <w:highlight w:val="none"/>
          <w:lang w:val="en-US" w:eastAsia="zh-CN"/>
        </w:rPr>
        <w:t>1</w:t>
      </w:r>
      <w:r>
        <w:rPr>
          <w:rFonts w:hint="default" w:ascii="仿宋" w:hAnsi="仿宋" w:eastAsia="仿宋" w:cs="仿宋"/>
          <w:b w:val="0"/>
          <w:bCs w:val="0"/>
          <w:color w:val="auto"/>
          <w:sz w:val="24"/>
          <w:szCs w:val="24"/>
          <w:highlight w:val="none"/>
          <w:lang w:eastAsia="zh-CN"/>
        </w:rPr>
        <w:t>2</w:t>
      </w:r>
      <w:r>
        <w:rPr>
          <w:rFonts w:hint="eastAsia" w:ascii="仿宋" w:hAnsi="仿宋" w:eastAsia="仿宋" w:cs="仿宋"/>
          <w:b w:val="0"/>
          <w:bCs w:val="0"/>
          <w:color w:val="auto"/>
          <w:sz w:val="24"/>
          <w:szCs w:val="24"/>
          <w:highlight w:val="none"/>
          <w:lang w:val="en-US" w:eastAsia="zh-CN"/>
        </w:rPr>
        <w:t>、RAM≥2GB，ROM≥4GB；</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default"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★1</w:t>
      </w:r>
      <w:r>
        <w:rPr>
          <w:rFonts w:hint="default" w:ascii="仿宋" w:hAnsi="仿宋" w:eastAsia="仿宋" w:cs="仿宋"/>
          <w:b w:val="0"/>
          <w:bCs w:val="0"/>
          <w:color w:val="auto"/>
          <w:sz w:val="24"/>
          <w:szCs w:val="24"/>
          <w:highlight w:val="none"/>
          <w:lang w:eastAsia="zh-CN"/>
        </w:rPr>
        <w:t>3</w:t>
      </w:r>
      <w:r>
        <w:rPr>
          <w:rFonts w:hint="eastAsia" w:ascii="仿宋" w:hAnsi="仿宋" w:eastAsia="仿宋" w:cs="仿宋"/>
          <w:b w:val="0"/>
          <w:bCs w:val="0"/>
          <w:color w:val="auto"/>
          <w:sz w:val="24"/>
          <w:szCs w:val="24"/>
          <w:highlight w:val="none"/>
          <w:lang w:val="en-US" w:eastAsia="zh-CN"/>
        </w:rPr>
        <w:t>、含5年公网对讲机流量卡使用费</w:t>
      </w:r>
      <w:r>
        <w:rPr>
          <w:rFonts w:hint="default" w:ascii="仿宋" w:hAnsi="仿宋" w:eastAsia="仿宋" w:cs="仿宋"/>
          <w:b w:val="0"/>
          <w:bCs w:val="0"/>
          <w:color w:val="auto"/>
          <w:sz w:val="24"/>
          <w:szCs w:val="24"/>
          <w:highlight w:val="none"/>
          <w:lang w:eastAsia="zh-CN"/>
        </w:rPr>
        <w:t>；</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w:t>
      </w:r>
      <w:r>
        <w:rPr>
          <w:rFonts w:hint="default" w:ascii="仿宋" w:hAnsi="仿宋" w:eastAsia="仿宋" w:cs="仿宋"/>
          <w:b w:val="0"/>
          <w:bCs w:val="0"/>
          <w:color w:val="auto"/>
          <w:sz w:val="24"/>
          <w:szCs w:val="24"/>
          <w:highlight w:val="none"/>
          <w:lang w:eastAsia="zh-CN"/>
        </w:rPr>
        <w:t>4</w:t>
      </w:r>
      <w:r>
        <w:rPr>
          <w:rFonts w:hint="eastAsia" w:ascii="仿宋" w:hAnsi="仿宋" w:eastAsia="仿宋" w:cs="仿宋"/>
          <w:b w:val="0"/>
          <w:bCs w:val="0"/>
          <w:color w:val="auto"/>
          <w:sz w:val="24"/>
          <w:szCs w:val="24"/>
          <w:highlight w:val="none"/>
          <w:lang w:val="en-US" w:eastAsia="zh-CN"/>
        </w:rPr>
        <w:t>、配有专用适配器和座充、皮带夹、耳机，皮套；</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w:t>
      </w:r>
      <w:r>
        <w:rPr>
          <w:rFonts w:hint="default" w:ascii="仿宋" w:hAnsi="仿宋" w:eastAsia="仿宋" w:cs="仿宋"/>
          <w:b w:val="0"/>
          <w:bCs w:val="0"/>
          <w:color w:val="auto"/>
          <w:sz w:val="24"/>
          <w:szCs w:val="24"/>
          <w:highlight w:val="none"/>
          <w:lang w:eastAsia="zh-CN"/>
        </w:rPr>
        <w:t>5</w:t>
      </w:r>
      <w:r>
        <w:rPr>
          <w:rFonts w:hint="eastAsia" w:ascii="仿宋" w:hAnsi="仿宋" w:eastAsia="仿宋" w:cs="仿宋"/>
          <w:b w:val="0"/>
          <w:bCs w:val="0"/>
          <w:color w:val="auto"/>
          <w:sz w:val="24"/>
          <w:szCs w:val="24"/>
          <w:highlight w:val="none"/>
          <w:lang w:val="en-US" w:eastAsia="zh-CN"/>
        </w:rPr>
        <w:t>、供货前，须主动对接使用单位，确保满足用户需求。</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default" w:ascii="仿宋" w:hAnsi="仿宋" w:eastAsia="仿宋" w:cs="仿宋"/>
          <w:b w:val="0"/>
          <w:bCs w:val="0"/>
          <w:color w:val="auto"/>
          <w:sz w:val="24"/>
          <w:szCs w:val="24"/>
          <w:highlight w:val="none"/>
          <w:lang w:eastAsia="zh-CN"/>
        </w:rPr>
      </w:pPr>
    </w:p>
    <w:p>
      <w:pPr>
        <w:keepNext w:val="0"/>
        <w:keepLines w:val="0"/>
        <w:pageBreakBefore w:val="0"/>
        <w:widowControl w:val="0"/>
        <w:kinsoku/>
        <w:wordWrap/>
        <w:overflowPunct/>
        <w:topLinePunct w:val="0"/>
        <w:autoSpaceDE/>
        <w:autoSpaceDN/>
        <w:bidi w:val="0"/>
        <w:adjustRightInd/>
        <w:snapToGrid/>
        <w:spacing w:line="460" w:lineRule="exact"/>
        <w:jc w:val="left"/>
        <w:textAlignment w:val="auto"/>
        <w:outlineLvl w:val="1"/>
        <w:rPr>
          <w:rFonts w:hint="eastAsia" w:ascii="仿宋" w:hAnsi="仿宋" w:eastAsia="仿宋" w:cs="Times New Roman"/>
          <w:b/>
          <w:bCs/>
          <w:color w:val="auto"/>
          <w:sz w:val="24"/>
          <w:szCs w:val="24"/>
          <w:highlight w:val="none"/>
          <w:lang w:val="en-US" w:eastAsia="zh-CN"/>
        </w:rPr>
      </w:pPr>
      <w:bookmarkStart w:id="613" w:name="_Toc14171"/>
      <w:bookmarkStart w:id="614" w:name="_Toc6573"/>
      <w:bookmarkStart w:id="615" w:name="_Toc27199"/>
      <w:bookmarkStart w:id="616" w:name="_Toc13068"/>
      <w:bookmarkStart w:id="617" w:name="_Toc2394"/>
      <w:r>
        <w:rPr>
          <w:rFonts w:hint="eastAsia" w:ascii="仿宋" w:hAnsi="仿宋" w:eastAsia="仿宋" w:cs="Times New Roman"/>
          <w:b/>
          <w:bCs/>
          <w:color w:val="auto"/>
          <w:sz w:val="24"/>
          <w:szCs w:val="24"/>
          <w:highlight w:val="none"/>
          <w:lang w:val="en-US" w:eastAsia="zh-CN"/>
        </w:rPr>
        <w:t>117包：水下无线通信系统【核心产品】、水下摄像机</w:t>
      </w:r>
      <w:bookmarkEnd w:id="613"/>
      <w:bookmarkEnd w:id="614"/>
      <w:bookmarkEnd w:id="615"/>
      <w:bookmarkEnd w:id="616"/>
      <w:bookmarkEnd w:id="617"/>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jc w:val="both"/>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117包-1：水下无线通信系统</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一、货物名称：水下无线通信系统</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二、产地：国产</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三、主要技术规格、参数及要求：</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每套含：具有通信功能潜水员全面罩2套、陆面基站1套</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1.包含一个高性能二级调节器；</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▲2.防水深度</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 200 米；通讯范围：≥ 500 米；</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3.呼吸道和面镜空仓分离；</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4.高性能 ABS；</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strike/>
          <w:dstrike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5.具有专有的快卸设置；</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★6.能够以三种不同的方式进行通信：无线、硬连线、VHF；</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★7.可以连接到 地面装置进行有线硬连线通信——全双工、免提通信；</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8.该装置是永久性无线装置；</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9.频率上的任何通信，始终处于接收模式；</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10.PTT 按钮激活通道 1 上的无线传输。六针防水连接允许在水下连接和断开电缆通信；</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★11.能实现跟水上工作台的沟通；通道≥2；输出功率（瓦特）≥0.5；外部电源：12v；麦克风/扬声器：手持式，PTT，电池类型：16AA 碱性；使用时间≥16 小时。</w:t>
      </w: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jc w:val="both"/>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12.供货前，须主动对接使用单位，确保满足用户需求。</w:t>
      </w: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jc w:val="both"/>
        <w:textAlignment w:val="auto"/>
        <w:outlineLvl w:val="9"/>
        <w:rPr>
          <w:rFonts w:hint="eastAsia" w:ascii="仿宋" w:hAnsi="仿宋" w:eastAsia="仿宋" w:cs="仿宋"/>
          <w:b/>
          <w:bCs/>
          <w:color w:val="auto"/>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jc w:val="both"/>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117包-2：水下摄像机</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一、货物名称：水下摄像机</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二、产地：国产</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color w:val="auto"/>
          <w:lang w:eastAsia="zh-CN"/>
        </w:rPr>
      </w:pPr>
      <w:r>
        <w:rPr>
          <w:rFonts w:hint="eastAsia" w:ascii="仿宋" w:hAnsi="仿宋" w:eastAsia="仿宋" w:cs="仿宋"/>
          <w:b w:val="0"/>
          <w:bCs w:val="0"/>
          <w:color w:val="auto"/>
          <w:sz w:val="24"/>
          <w:szCs w:val="24"/>
          <w:highlight w:val="none"/>
          <w:lang w:val="en-US" w:eastAsia="zh-CN"/>
        </w:rPr>
        <w:t>三、主要技术规格、参数及要求：</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★1.工作防水深度：裸机≥10m，外加防水壳≥50m；</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★2.触摸屏设计；</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▲3.存储容量≥256G；</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★4.像素≥1200 万，支持4K、1080P等多种分辨率的拍照和视频录制；</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5.电池容量≥1500mAh，工作时间≥120分钟；</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▲6.具备数码变焦功能，拍照变焦≥4倍，录像变焦≥2倍，具备夜摄、防抖功能；</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7.使用环境温度范围：-20°～45°。</w:t>
      </w:r>
    </w:p>
    <w:p>
      <w:pPr>
        <w:keepNext w:val="0"/>
        <w:keepLines w:val="0"/>
        <w:pageBreakBefore w:val="0"/>
        <w:widowControl/>
        <w:tabs>
          <w:tab w:val="left" w:pos="0"/>
        </w:tabs>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8.供货前，须主动对接使用单位，确保满足用户需求。</w:t>
      </w:r>
    </w:p>
    <w:p>
      <w:pPr>
        <w:rPr>
          <w:color w:val="auto"/>
          <w:highlight w:val="none"/>
        </w:rPr>
      </w:pPr>
    </w:p>
    <w:p>
      <w:pPr>
        <w:widowControl/>
        <w:jc w:val="left"/>
        <w:rPr>
          <w:rFonts w:eastAsia="仿宋"/>
          <w:b/>
          <w:color w:val="auto"/>
          <w:sz w:val="24"/>
          <w:szCs w:val="24"/>
          <w:highlight w:val="none"/>
        </w:rPr>
      </w:pPr>
      <w:r>
        <w:rPr>
          <w:rFonts w:eastAsia="仿宋"/>
          <w:b/>
          <w:color w:val="auto"/>
          <w:sz w:val="24"/>
          <w:szCs w:val="24"/>
          <w:highlight w:val="none"/>
        </w:rPr>
        <w:br w:type="page"/>
      </w:r>
    </w:p>
    <w:p>
      <w:pPr>
        <w:spacing w:line="500" w:lineRule="atLeast"/>
        <w:rPr>
          <w:rFonts w:eastAsia="仿宋"/>
          <w:b/>
          <w:color w:val="auto"/>
          <w:sz w:val="24"/>
          <w:szCs w:val="24"/>
          <w:highlight w:val="none"/>
        </w:rPr>
      </w:pPr>
    </w:p>
    <w:p>
      <w:pPr>
        <w:pStyle w:val="3"/>
        <w:rPr>
          <w:rFonts w:ascii="Times New Roman" w:eastAsia="仿宋"/>
          <w:color w:val="auto"/>
          <w:sz w:val="24"/>
          <w:szCs w:val="24"/>
          <w:highlight w:val="none"/>
        </w:rPr>
      </w:pPr>
      <w:bookmarkStart w:id="618" w:name="_Toc24683"/>
      <w:bookmarkStart w:id="619" w:name="_Toc12629"/>
      <w:bookmarkStart w:id="620" w:name="_Toc20642"/>
      <w:bookmarkStart w:id="621" w:name="_Toc6858"/>
      <w:bookmarkStart w:id="622" w:name="_Toc22018"/>
      <w:bookmarkStart w:id="623" w:name="_Toc10411"/>
      <w:bookmarkStart w:id="624" w:name="_Toc31128"/>
      <w:bookmarkStart w:id="625" w:name="_Toc3383"/>
      <w:r>
        <w:rPr>
          <w:rFonts w:ascii="Times New Roman" w:eastAsia="仿宋"/>
          <w:b/>
          <w:bCs/>
          <w:color w:val="auto"/>
          <w:sz w:val="24"/>
          <w:szCs w:val="24"/>
          <w:highlight w:val="none"/>
        </w:rPr>
        <w:t>（二）商务要求</w:t>
      </w:r>
      <w:bookmarkEnd w:id="618"/>
      <w:bookmarkEnd w:id="619"/>
      <w:bookmarkEnd w:id="620"/>
      <w:bookmarkEnd w:id="621"/>
      <w:bookmarkEnd w:id="622"/>
      <w:bookmarkEnd w:id="623"/>
      <w:bookmarkEnd w:id="624"/>
      <w:bookmarkEnd w:id="625"/>
    </w:p>
    <w:tbl>
      <w:tblPr>
        <w:tblStyle w:val="42"/>
        <w:tblW w:w="4998" w:type="pct"/>
        <w:jc w:val="center"/>
        <w:tblCellSpacing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15" w:type="dxa"/>
          <w:left w:w="15" w:type="dxa"/>
          <w:bottom w:w="15" w:type="dxa"/>
          <w:right w:w="15" w:type="dxa"/>
        </w:tblCellMar>
      </w:tblPr>
      <w:tblGrid>
        <w:gridCol w:w="567"/>
        <w:gridCol w:w="1298"/>
        <w:gridCol w:w="6478"/>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5" w:type="dxa"/>
            <w:left w:w="15" w:type="dxa"/>
            <w:bottom w:w="15" w:type="dxa"/>
            <w:right w:w="15" w:type="dxa"/>
          </w:tblCellMar>
        </w:tblPrEx>
        <w:trPr>
          <w:tblHeader/>
          <w:tblCellSpacing w:w="0" w:type="dxa"/>
          <w:jc w:val="center"/>
        </w:trPr>
        <w:tc>
          <w:tcPr>
            <w:tcW w:w="340" w:type="pct"/>
            <w:tcBorders>
              <w:tl2br w:val="nil"/>
              <w:tr2bl w:val="nil"/>
            </w:tcBorders>
            <w:shd w:val="clear" w:color="auto" w:fill="FFFFFF" w:themeFill="background1"/>
            <w:vAlign w:val="center"/>
          </w:tcPr>
          <w:p>
            <w:pPr>
              <w:keepNext w:val="0"/>
              <w:keepLines w:val="0"/>
              <w:suppressLineNumbers w:val="0"/>
              <w:spacing w:before="0" w:beforeAutospacing="0" w:after="0" w:afterAutospacing="0" w:line="460" w:lineRule="exact"/>
              <w:ind w:left="0" w:right="0"/>
              <w:jc w:val="center"/>
              <w:rPr>
                <w:rFonts w:hint="eastAsia" w:ascii="仿宋" w:hAnsi="仿宋" w:eastAsia="仿宋" w:cs="仿宋"/>
                <w:b/>
                <w:color w:val="auto"/>
                <w:sz w:val="24"/>
                <w:szCs w:val="22"/>
                <w:highlight w:val="none"/>
              </w:rPr>
            </w:pPr>
            <w:r>
              <w:rPr>
                <w:rFonts w:hint="eastAsia" w:ascii="仿宋" w:hAnsi="仿宋" w:eastAsia="仿宋" w:cs="仿宋"/>
                <w:b/>
                <w:color w:val="auto"/>
                <w:sz w:val="24"/>
                <w:szCs w:val="22"/>
                <w:highlight w:val="none"/>
              </w:rPr>
              <w:t>序号</w:t>
            </w:r>
          </w:p>
        </w:tc>
        <w:tc>
          <w:tcPr>
            <w:tcW w:w="778" w:type="pct"/>
            <w:tcBorders>
              <w:tl2br w:val="nil"/>
              <w:tr2bl w:val="nil"/>
            </w:tcBorders>
            <w:shd w:val="clear" w:color="auto" w:fill="FFFFFF" w:themeFill="background1"/>
            <w:vAlign w:val="center"/>
          </w:tcPr>
          <w:p>
            <w:pPr>
              <w:keepNext w:val="0"/>
              <w:keepLines w:val="0"/>
              <w:suppressLineNumbers w:val="0"/>
              <w:spacing w:before="0" w:beforeAutospacing="0" w:after="0" w:afterAutospacing="0" w:line="460" w:lineRule="exact"/>
              <w:ind w:left="0" w:right="0"/>
              <w:jc w:val="center"/>
              <w:rPr>
                <w:rFonts w:hint="eastAsia" w:ascii="仿宋" w:hAnsi="仿宋" w:eastAsia="仿宋" w:cs="仿宋"/>
                <w:b/>
                <w:color w:val="auto"/>
                <w:sz w:val="24"/>
                <w:szCs w:val="22"/>
                <w:highlight w:val="none"/>
              </w:rPr>
            </w:pPr>
            <w:r>
              <w:rPr>
                <w:rFonts w:hint="eastAsia" w:ascii="仿宋" w:hAnsi="仿宋" w:eastAsia="仿宋" w:cs="仿宋"/>
                <w:b/>
                <w:color w:val="auto"/>
                <w:sz w:val="24"/>
                <w:szCs w:val="22"/>
                <w:highlight w:val="none"/>
              </w:rPr>
              <w:t>需求名称</w:t>
            </w:r>
          </w:p>
        </w:tc>
        <w:tc>
          <w:tcPr>
            <w:tcW w:w="3881" w:type="pct"/>
            <w:tcBorders>
              <w:tl2br w:val="nil"/>
              <w:tr2bl w:val="nil"/>
            </w:tcBorders>
            <w:shd w:val="clear" w:color="auto" w:fill="FFFFFF" w:themeFill="background1"/>
            <w:vAlign w:val="center"/>
          </w:tcPr>
          <w:p>
            <w:pPr>
              <w:keepNext w:val="0"/>
              <w:keepLines w:val="0"/>
              <w:suppressLineNumbers w:val="0"/>
              <w:spacing w:before="0" w:beforeAutospacing="0" w:after="0" w:afterAutospacing="0" w:line="460" w:lineRule="exact"/>
              <w:ind w:left="0" w:right="0"/>
              <w:jc w:val="center"/>
              <w:rPr>
                <w:rFonts w:hint="eastAsia" w:ascii="仿宋" w:hAnsi="仿宋" w:eastAsia="仿宋" w:cs="仿宋"/>
                <w:b/>
                <w:color w:val="auto"/>
                <w:sz w:val="24"/>
                <w:szCs w:val="22"/>
                <w:highlight w:val="none"/>
              </w:rPr>
            </w:pPr>
            <w:r>
              <w:rPr>
                <w:rFonts w:hint="eastAsia" w:ascii="仿宋" w:hAnsi="仿宋" w:eastAsia="仿宋" w:cs="仿宋"/>
                <w:b/>
                <w:color w:val="auto"/>
                <w:sz w:val="24"/>
                <w:szCs w:val="22"/>
                <w:highlight w:val="none"/>
              </w:rPr>
              <w:t>需求说明</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5" w:type="dxa"/>
            <w:left w:w="15" w:type="dxa"/>
            <w:bottom w:w="15" w:type="dxa"/>
            <w:right w:w="15" w:type="dxa"/>
          </w:tblCellMar>
        </w:tblPrEx>
        <w:trPr>
          <w:tblCellSpacing w:w="0" w:type="dxa"/>
          <w:jc w:val="center"/>
        </w:trPr>
        <w:tc>
          <w:tcPr>
            <w:tcW w:w="340" w:type="pct"/>
            <w:tcBorders>
              <w:tl2br w:val="nil"/>
              <w:tr2bl w:val="nil"/>
            </w:tcBorders>
            <w:vAlign w:val="center"/>
          </w:tcPr>
          <w:p>
            <w:pPr>
              <w:keepNext w:val="0"/>
              <w:keepLines w:val="0"/>
              <w:suppressLineNumbers w:val="0"/>
              <w:spacing w:before="0" w:beforeAutospacing="0" w:after="0" w:afterAutospacing="0" w:line="460" w:lineRule="exact"/>
              <w:ind w:left="0" w:right="0"/>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1</w:t>
            </w:r>
          </w:p>
        </w:tc>
        <w:tc>
          <w:tcPr>
            <w:tcW w:w="778" w:type="pct"/>
            <w:tcBorders>
              <w:tl2br w:val="nil"/>
              <w:tr2bl w:val="nil"/>
            </w:tcBorders>
            <w:vAlign w:val="center"/>
          </w:tcPr>
          <w:p>
            <w:pPr>
              <w:keepNext w:val="0"/>
              <w:keepLines w:val="0"/>
              <w:suppressLineNumbers w:val="0"/>
              <w:spacing w:before="0" w:beforeAutospacing="0" w:after="0" w:afterAutospacing="0" w:line="460" w:lineRule="exact"/>
              <w:ind w:left="0" w:right="0"/>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交货地点</w:t>
            </w:r>
          </w:p>
        </w:tc>
        <w:tc>
          <w:tcPr>
            <w:tcW w:w="3881" w:type="pct"/>
            <w:tcBorders>
              <w:tl2br w:val="nil"/>
              <w:tr2bl w:val="nil"/>
            </w:tcBorders>
            <w:vAlign w:val="center"/>
          </w:tcPr>
          <w:p>
            <w:pPr>
              <w:keepNext w:val="0"/>
              <w:keepLines w:val="0"/>
              <w:suppressLineNumbers w:val="0"/>
              <w:spacing w:before="0" w:beforeAutospacing="0" w:after="0" w:afterAutospacing="0" w:line="460" w:lineRule="exact"/>
              <w:ind w:left="0" w:right="0"/>
              <w:jc w:val="left"/>
              <w:rPr>
                <w:rFonts w:hint="eastAsia" w:ascii="仿宋" w:hAnsi="仿宋" w:eastAsia="仿宋" w:cs="仿宋"/>
                <w:color w:val="auto"/>
                <w:sz w:val="24"/>
                <w:szCs w:val="22"/>
                <w:highlight w:val="none"/>
              </w:rPr>
            </w:pPr>
            <w:r>
              <w:rPr>
                <w:rFonts w:hint="eastAsia" w:ascii="仿宋" w:hAnsi="仿宋" w:eastAsia="仿宋" w:cs="仿宋"/>
                <w:color w:val="auto"/>
                <w:sz w:val="24"/>
                <w:highlight w:val="none"/>
                <w:lang w:eastAsia="zh-CN"/>
              </w:rPr>
              <w:t>先</w:t>
            </w:r>
            <w:r>
              <w:rPr>
                <w:rFonts w:hint="eastAsia" w:ascii="仿宋" w:hAnsi="仿宋" w:eastAsia="仿宋" w:cs="仿宋"/>
                <w:color w:val="auto"/>
                <w:sz w:val="24"/>
                <w:highlight w:val="none"/>
              </w:rPr>
              <w:t>送到</w:t>
            </w:r>
            <w:r>
              <w:rPr>
                <w:rFonts w:hint="eastAsia" w:ascii="仿宋" w:hAnsi="仿宋" w:eastAsia="仿宋" w:cs="仿宋"/>
                <w:color w:val="auto"/>
                <w:sz w:val="24"/>
                <w:highlight w:val="none"/>
                <w:lang w:eastAsia="zh-CN"/>
              </w:rPr>
              <w:t>江西省消防救援总队指定地点进行验收，验收通过后再配送至各消防救援支队或消防救援大队指定地点。</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5" w:type="dxa"/>
            <w:left w:w="15" w:type="dxa"/>
            <w:bottom w:w="15" w:type="dxa"/>
            <w:right w:w="15" w:type="dxa"/>
          </w:tblCellMar>
        </w:tblPrEx>
        <w:trPr>
          <w:tblCellSpacing w:w="0" w:type="dxa"/>
          <w:jc w:val="center"/>
        </w:trPr>
        <w:tc>
          <w:tcPr>
            <w:tcW w:w="340" w:type="pct"/>
            <w:tcBorders>
              <w:tl2br w:val="nil"/>
              <w:tr2bl w:val="nil"/>
            </w:tcBorders>
            <w:vAlign w:val="center"/>
          </w:tcPr>
          <w:p>
            <w:pPr>
              <w:keepNext w:val="0"/>
              <w:keepLines w:val="0"/>
              <w:suppressLineNumbers w:val="0"/>
              <w:spacing w:before="0" w:beforeAutospacing="0" w:after="0" w:afterAutospacing="0" w:line="460" w:lineRule="exact"/>
              <w:ind w:left="0" w:right="0"/>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2</w:t>
            </w:r>
          </w:p>
        </w:tc>
        <w:tc>
          <w:tcPr>
            <w:tcW w:w="778" w:type="pct"/>
            <w:tcBorders>
              <w:tl2br w:val="nil"/>
              <w:tr2bl w:val="nil"/>
            </w:tcBorders>
            <w:vAlign w:val="center"/>
          </w:tcPr>
          <w:p>
            <w:pPr>
              <w:keepNext w:val="0"/>
              <w:keepLines w:val="0"/>
              <w:suppressLineNumbers w:val="0"/>
              <w:spacing w:before="0" w:beforeAutospacing="0" w:after="0" w:afterAutospacing="0" w:line="460" w:lineRule="exact"/>
              <w:ind w:left="0" w:right="0"/>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交货期限</w:t>
            </w:r>
          </w:p>
        </w:tc>
        <w:tc>
          <w:tcPr>
            <w:tcW w:w="3881" w:type="pct"/>
            <w:tcBorders>
              <w:tl2br w:val="nil"/>
              <w:tr2bl w:val="nil"/>
            </w:tcBorders>
          </w:tcPr>
          <w:p>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kern w:val="0"/>
                <w:sz w:val="24"/>
                <w:szCs w:val="22"/>
                <w:highlight w:val="none"/>
              </w:rPr>
            </w:pPr>
            <w:r>
              <w:rPr>
                <w:rFonts w:hint="eastAsia" w:ascii="仿宋" w:hAnsi="仿宋" w:eastAsia="仿宋" w:cs="仿宋"/>
                <w:color w:val="auto"/>
                <w:sz w:val="24"/>
                <w:highlight w:val="none"/>
              </w:rPr>
              <w:t>自合同签订生效之日起3个月内必须将所投产品送到</w:t>
            </w:r>
            <w:r>
              <w:rPr>
                <w:rFonts w:hint="eastAsia" w:ascii="仿宋" w:hAnsi="仿宋" w:eastAsia="仿宋" w:cs="仿宋"/>
                <w:color w:val="auto"/>
                <w:sz w:val="24"/>
                <w:highlight w:val="none"/>
                <w:lang w:eastAsia="zh-CN"/>
              </w:rPr>
              <w:t>江西省消防救援总队指定地点</w:t>
            </w:r>
            <w:r>
              <w:rPr>
                <w:rFonts w:hint="eastAsia" w:ascii="仿宋" w:hAnsi="仿宋" w:eastAsia="仿宋" w:cs="仿宋"/>
                <w:color w:val="auto"/>
                <w:sz w:val="24"/>
                <w:highlight w:val="none"/>
              </w:rPr>
              <w:t>（以采购人到货签收时间作为交货时间）</w:t>
            </w:r>
            <w:r>
              <w:rPr>
                <w:rFonts w:hint="eastAsia" w:ascii="仿宋" w:hAnsi="仿宋" w:eastAsia="仿宋" w:cs="仿宋"/>
                <w:color w:val="auto"/>
                <w:sz w:val="24"/>
                <w:highlight w:val="none"/>
                <w:lang w:eastAsia="zh-CN"/>
              </w:rPr>
              <w:t>，验收合格后由中标人配送至各消防救援支队或消防救援大队指定地点。</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5" w:type="dxa"/>
            <w:left w:w="15" w:type="dxa"/>
            <w:bottom w:w="15" w:type="dxa"/>
            <w:right w:w="15" w:type="dxa"/>
          </w:tblCellMar>
        </w:tblPrEx>
        <w:trPr>
          <w:tblCellSpacing w:w="0" w:type="dxa"/>
          <w:jc w:val="center"/>
        </w:trPr>
        <w:tc>
          <w:tcPr>
            <w:tcW w:w="340" w:type="pct"/>
            <w:tcBorders>
              <w:tl2br w:val="nil"/>
              <w:tr2bl w:val="nil"/>
            </w:tcBorders>
            <w:vAlign w:val="center"/>
          </w:tcPr>
          <w:p>
            <w:pPr>
              <w:keepNext w:val="0"/>
              <w:keepLines w:val="0"/>
              <w:suppressLineNumbers w:val="0"/>
              <w:spacing w:before="0" w:beforeAutospacing="0" w:after="0" w:afterAutospacing="0" w:line="460" w:lineRule="exact"/>
              <w:ind w:left="0" w:right="0"/>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3</w:t>
            </w:r>
          </w:p>
        </w:tc>
        <w:tc>
          <w:tcPr>
            <w:tcW w:w="778" w:type="pct"/>
            <w:tcBorders>
              <w:tl2br w:val="nil"/>
              <w:tr2bl w:val="nil"/>
            </w:tcBorders>
            <w:vAlign w:val="center"/>
          </w:tcPr>
          <w:p>
            <w:pPr>
              <w:keepNext w:val="0"/>
              <w:keepLines w:val="0"/>
              <w:suppressLineNumbers w:val="0"/>
              <w:spacing w:before="0" w:beforeAutospacing="0" w:after="0" w:afterAutospacing="0" w:line="460" w:lineRule="exact"/>
              <w:ind w:left="0" w:right="0"/>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付款方式</w:t>
            </w:r>
          </w:p>
        </w:tc>
        <w:tc>
          <w:tcPr>
            <w:tcW w:w="3881" w:type="pct"/>
            <w:tcBorders>
              <w:tl2br w:val="nil"/>
              <w:tr2bl w:val="nil"/>
            </w:tcBorders>
          </w:tcPr>
          <w:p>
            <w:pPr>
              <w:keepNext w:val="0"/>
              <w:keepLines w:val="0"/>
              <w:suppressLineNumbers w:val="0"/>
              <w:spacing w:before="0" w:beforeAutospacing="0" w:after="0" w:afterAutospacing="0" w:line="460" w:lineRule="exact"/>
              <w:ind w:left="0" w:right="0"/>
              <w:jc w:val="left"/>
              <w:rPr>
                <w:rFonts w:hint="eastAsia" w:ascii="仿宋" w:hAnsi="仿宋" w:eastAsia="仿宋" w:cs="仿宋"/>
                <w:color w:val="auto"/>
                <w:kern w:val="0"/>
                <w:sz w:val="24"/>
                <w:szCs w:val="22"/>
                <w:highlight w:val="none"/>
              </w:rPr>
            </w:pPr>
            <w:r>
              <w:rPr>
                <w:rFonts w:hint="eastAsia" w:ascii="仿宋" w:hAnsi="仿宋" w:eastAsia="仿宋" w:cs="仿宋"/>
                <w:color w:val="auto"/>
                <w:kern w:val="0"/>
                <w:sz w:val="24"/>
                <w:highlight w:val="none"/>
              </w:rPr>
              <w:t>与采购人签订合同后，待中标人交货验收、结算审计等相关手续履行完毕后，采购人根据验收单和一次性开具的全额发票款情况支付全额购置款（以审计结算金额为准），如中标人未开具符合采购人要求的合格、正式的发票，采购人有权拒付购置款。</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5" w:type="dxa"/>
            <w:left w:w="15" w:type="dxa"/>
            <w:bottom w:w="15" w:type="dxa"/>
            <w:right w:w="15" w:type="dxa"/>
          </w:tblCellMar>
        </w:tblPrEx>
        <w:trPr>
          <w:tblCellSpacing w:w="0" w:type="dxa"/>
          <w:jc w:val="center"/>
        </w:trPr>
        <w:tc>
          <w:tcPr>
            <w:tcW w:w="340" w:type="pct"/>
            <w:tcBorders>
              <w:tl2br w:val="nil"/>
              <w:tr2bl w:val="nil"/>
            </w:tcBorders>
            <w:vAlign w:val="center"/>
          </w:tcPr>
          <w:p>
            <w:pPr>
              <w:keepNext w:val="0"/>
              <w:keepLines w:val="0"/>
              <w:suppressLineNumbers w:val="0"/>
              <w:spacing w:before="0" w:beforeAutospacing="0" w:after="0" w:afterAutospacing="0" w:line="460" w:lineRule="exact"/>
              <w:ind w:left="0" w:right="0"/>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4</w:t>
            </w:r>
          </w:p>
        </w:tc>
        <w:tc>
          <w:tcPr>
            <w:tcW w:w="778" w:type="pct"/>
            <w:tcBorders>
              <w:tl2br w:val="nil"/>
              <w:tr2bl w:val="nil"/>
            </w:tcBorders>
            <w:vAlign w:val="center"/>
          </w:tcPr>
          <w:p>
            <w:pPr>
              <w:keepNext w:val="0"/>
              <w:keepLines w:val="0"/>
              <w:suppressLineNumbers w:val="0"/>
              <w:spacing w:before="0" w:beforeAutospacing="0" w:after="0" w:afterAutospacing="0" w:line="460" w:lineRule="exact"/>
              <w:ind w:left="0" w:right="0"/>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履约保证金</w:t>
            </w:r>
          </w:p>
        </w:tc>
        <w:tc>
          <w:tcPr>
            <w:tcW w:w="3881" w:type="pct"/>
            <w:tcBorders>
              <w:tl2br w:val="nil"/>
              <w:tr2bl w:val="nil"/>
            </w:tcBorders>
          </w:tcPr>
          <w:p>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kern w:val="0"/>
                <w:sz w:val="24"/>
                <w:szCs w:val="22"/>
                <w:highlight w:val="none"/>
              </w:rPr>
            </w:pPr>
            <w:r>
              <w:rPr>
                <w:rFonts w:hint="eastAsia" w:ascii="仿宋" w:hAnsi="仿宋" w:eastAsia="仿宋" w:cs="仿宋"/>
                <w:color w:val="auto"/>
                <w:kern w:val="0"/>
                <w:sz w:val="24"/>
                <w:szCs w:val="22"/>
                <w:highlight w:val="none"/>
              </w:rPr>
              <w:t>4.1履约保证金缴纳金额：合同总价</w:t>
            </w:r>
            <w:r>
              <w:rPr>
                <w:rFonts w:hint="eastAsia" w:ascii="仿宋" w:hAnsi="仿宋" w:eastAsia="仿宋" w:cs="仿宋"/>
                <w:color w:val="auto"/>
                <w:kern w:val="0"/>
                <w:sz w:val="24"/>
                <w:szCs w:val="22"/>
                <w:highlight w:val="none"/>
                <w:lang w:val="en-US" w:eastAsia="zh-CN"/>
              </w:rPr>
              <w:t>7</w:t>
            </w:r>
            <w:r>
              <w:rPr>
                <w:rFonts w:hint="eastAsia" w:ascii="仿宋" w:hAnsi="仿宋" w:eastAsia="仿宋" w:cs="仿宋"/>
                <w:color w:val="auto"/>
                <w:kern w:val="0"/>
                <w:sz w:val="24"/>
                <w:szCs w:val="22"/>
                <w:highlight w:val="none"/>
              </w:rPr>
              <w:t>%作为履约保证金【履约保证金接受保函形式递交】。</w:t>
            </w:r>
          </w:p>
          <w:p>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kern w:val="0"/>
                <w:sz w:val="24"/>
                <w:szCs w:val="22"/>
                <w:highlight w:val="none"/>
              </w:rPr>
            </w:pPr>
            <w:r>
              <w:rPr>
                <w:rFonts w:hint="eastAsia" w:ascii="仿宋" w:hAnsi="仿宋" w:eastAsia="仿宋" w:cs="仿宋"/>
                <w:color w:val="auto"/>
                <w:kern w:val="0"/>
                <w:sz w:val="24"/>
                <w:szCs w:val="22"/>
                <w:highlight w:val="none"/>
              </w:rPr>
              <w:t>4.2履约保证金缴纳方式和时间：</w:t>
            </w:r>
          </w:p>
          <w:p>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kern w:val="0"/>
                <w:sz w:val="24"/>
                <w:szCs w:val="22"/>
                <w:highlight w:val="none"/>
              </w:rPr>
            </w:pPr>
            <w:r>
              <w:rPr>
                <w:rFonts w:hint="eastAsia" w:ascii="仿宋" w:hAnsi="仿宋" w:eastAsia="仿宋" w:cs="仿宋"/>
                <w:color w:val="auto"/>
                <w:kern w:val="0"/>
                <w:sz w:val="24"/>
                <w:szCs w:val="22"/>
                <w:highlight w:val="none"/>
              </w:rPr>
              <w:t>4.2.1公对公转账方式：在合同签订后7个工作日之内中标人将履约保证金递交至采购人指定账号；</w:t>
            </w:r>
          </w:p>
          <w:p>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kern w:val="0"/>
                <w:sz w:val="24"/>
                <w:szCs w:val="22"/>
                <w:highlight w:val="none"/>
              </w:rPr>
            </w:pPr>
            <w:r>
              <w:rPr>
                <w:rFonts w:hint="eastAsia" w:ascii="仿宋" w:hAnsi="仿宋" w:eastAsia="仿宋" w:cs="仿宋"/>
                <w:color w:val="auto"/>
                <w:kern w:val="0"/>
                <w:sz w:val="24"/>
                <w:szCs w:val="22"/>
                <w:highlight w:val="none"/>
              </w:rPr>
              <w:t>4.2.2银行保函方式：在合同签订后30日之内递交至采购人【保函有效期需与质保期到期时间一致】。</w:t>
            </w:r>
          </w:p>
          <w:p>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kern w:val="0"/>
                <w:sz w:val="24"/>
                <w:szCs w:val="22"/>
                <w:highlight w:val="none"/>
              </w:rPr>
            </w:pPr>
            <w:r>
              <w:rPr>
                <w:rFonts w:hint="eastAsia" w:ascii="仿宋" w:hAnsi="仿宋" w:eastAsia="仿宋" w:cs="仿宋"/>
                <w:color w:val="auto"/>
                <w:kern w:val="0"/>
                <w:sz w:val="24"/>
                <w:szCs w:val="22"/>
                <w:highlight w:val="none"/>
              </w:rPr>
              <w:t>4.3</w:t>
            </w:r>
            <w:r>
              <w:rPr>
                <w:rFonts w:hint="eastAsia" w:ascii="仿宋" w:hAnsi="仿宋" w:eastAsia="仿宋" w:cs="仿宋"/>
                <w:bCs/>
                <w:color w:val="auto"/>
                <w:sz w:val="24"/>
                <w:szCs w:val="22"/>
                <w:highlight w:val="none"/>
              </w:rPr>
              <w:t>履约保证金在质保期满后，无任何问题，且无合同纠纷的，无息退还履约保证金（质保期以中标人实际响应为准）。以保函形式递交履约保证金的，保函有效期需至质保期结束，质保期结束后保函自动作废，但中标人尚应配合采购人履行书面手续，为采购人财务部门及时处理账务提供书面依据</w:t>
            </w:r>
            <w:r>
              <w:rPr>
                <w:rFonts w:hint="eastAsia" w:ascii="仿宋" w:hAnsi="仿宋" w:eastAsia="仿宋" w:cs="仿宋"/>
                <w:color w:val="auto"/>
                <w:kern w:val="0"/>
                <w:sz w:val="24"/>
                <w:szCs w:val="22"/>
                <w:highlight w:val="none"/>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5" w:type="dxa"/>
            <w:left w:w="15" w:type="dxa"/>
            <w:bottom w:w="15" w:type="dxa"/>
            <w:right w:w="15" w:type="dxa"/>
          </w:tblCellMar>
        </w:tblPrEx>
        <w:trPr>
          <w:tblCellSpacing w:w="0" w:type="dxa"/>
          <w:jc w:val="center"/>
        </w:trPr>
        <w:tc>
          <w:tcPr>
            <w:tcW w:w="340" w:type="pct"/>
            <w:tcBorders>
              <w:tl2br w:val="nil"/>
              <w:tr2bl w:val="nil"/>
            </w:tcBorders>
            <w:vAlign w:val="center"/>
          </w:tcPr>
          <w:p>
            <w:pPr>
              <w:keepNext w:val="0"/>
              <w:keepLines w:val="0"/>
              <w:suppressLineNumbers w:val="0"/>
              <w:spacing w:before="0" w:beforeAutospacing="0" w:after="0" w:afterAutospacing="0" w:line="460" w:lineRule="exact"/>
              <w:ind w:left="0" w:right="0"/>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5</w:t>
            </w:r>
          </w:p>
        </w:tc>
        <w:tc>
          <w:tcPr>
            <w:tcW w:w="778" w:type="pct"/>
            <w:tcBorders>
              <w:tl2br w:val="nil"/>
              <w:tr2bl w:val="nil"/>
            </w:tcBorders>
            <w:vAlign w:val="center"/>
          </w:tcPr>
          <w:p>
            <w:pPr>
              <w:keepNext w:val="0"/>
              <w:keepLines w:val="0"/>
              <w:suppressLineNumbers w:val="0"/>
              <w:spacing w:before="0" w:beforeAutospacing="0" w:after="0" w:afterAutospacing="0" w:line="460" w:lineRule="exact"/>
              <w:ind w:left="0" w:right="0"/>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报价方式</w:t>
            </w:r>
          </w:p>
        </w:tc>
        <w:tc>
          <w:tcPr>
            <w:tcW w:w="3881" w:type="pct"/>
            <w:tcBorders>
              <w:tl2br w:val="nil"/>
              <w:tr2bl w:val="nil"/>
            </w:tcBorders>
            <w:vAlign w:val="center"/>
          </w:tcPr>
          <w:p>
            <w:pPr>
              <w:keepNext w:val="0"/>
              <w:keepLines w:val="0"/>
              <w:suppressLineNumbers w:val="0"/>
              <w:spacing w:before="0" w:beforeAutospacing="0" w:after="0" w:afterAutospacing="0" w:line="460" w:lineRule="exact"/>
              <w:ind w:left="0" w:right="0"/>
              <w:jc w:val="lef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投标报价均以人民币/元报价，投标人报价须包含所有货物、材料、运输、转运、辅材、安装、施工、调试、验收、培训、现场回访、实地巡检、税金、招标代理服务费等费用均包含在投标总价中。</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5" w:type="dxa"/>
            <w:left w:w="15" w:type="dxa"/>
            <w:bottom w:w="15" w:type="dxa"/>
            <w:right w:w="15" w:type="dxa"/>
          </w:tblCellMar>
        </w:tblPrEx>
        <w:trPr>
          <w:tblCellSpacing w:w="0" w:type="dxa"/>
          <w:jc w:val="center"/>
        </w:trPr>
        <w:tc>
          <w:tcPr>
            <w:tcW w:w="340" w:type="pct"/>
            <w:tcBorders>
              <w:tl2br w:val="nil"/>
              <w:tr2bl w:val="nil"/>
            </w:tcBorders>
            <w:vAlign w:val="center"/>
          </w:tcPr>
          <w:p>
            <w:pPr>
              <w:keepNext w:val="0"/>
              <w:keepLines w:val="0"/>
              <w:suppressLineNumbers w:val="0"/>
              <w:spacing w:before="0" w:beforeAutospacing="0" w:after="0" w:afterAutospacing="0" w:line="460" w:lineRule="exact"/>
              <w:ind w:left="0" w:right="0"/>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6</w:t>
            </w:r>
          </w:p>
        </w:tc>
        <w:tc>
          <w:tcPr>
            <w:tcW w:w="778" w:type="pct"/>
            <w:tcBorders>
              <w:tl2br w:val="nil"/>
              <w:tr2bl w:val="nil"/>
            </w:tcBorders>
            <w:vAlign w:val="center"/>
          </w:tcPr>
          <w:p>
            <w:pPr>
              <w:keepNext w:val="0"/>
              <w:keepLines w:val="0"/>
              <w:suppressLineNumbers w:val="0"/>
              <w:spacing w:before="0" w:beforeAutospacing="0" w:after="0" w:afterAutospacing="0" w:line="460" w:lineRule="exact"/>
              <w:ind w:left="0" w:right="0"/>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安装调试及验收</w:t>
            </w:r>
          </w:p>
        </w:tc>
        <w:tc>
          <w:tcPr>
            <w:tcW w:w="3881" w:type="pct"/>
            <w:tcBorders>
              <w:tl2br w:val="nil"/>
              <w:tr2bl w:val="nil"/>
            </w:tcBorders>
          </w:tcPr>
          <w:p>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kern w:val="0"/>
                <w:sz w:val="24"/>
                <w:szCs w:val="22"/>
                <w:highlight w:val="none"/>
              </w:rPr>
            </w:pPr>
            <w:r>
              <w:rPr>
                <w:rFonts w:hint="eastAsia" w:ascii="仿宋" w:hAnsi="仿宋" w:eastAsia="仿宋" w:cs="仿宋"/>
                <w:color w:val="auto"/>
                <w:kern w:val="0"/>
                <w:sz w:val="24"/>
                <w:szCs w:val="22"/>
                <w:highlight w:val="none"/>
              </w:rPr>
              <w:t>6.1中标人应派经采购人认可的有经验和能力、具有相应资质的技术人员，负责产品设备安装工作，在设备安装期间应充分了解设备安装进度要求，解决安装中出现的技术问题。</w:t>
            </w:r>
          </w:p>
          <w:p>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kern w:val="0"/>
                <w:sz w:val="24"/>
                <w:szCs w:val="22"/>
                <w:highlight w:val="none"/>
              </w:rPr>
            </w:pPr>
            <w:r>
              <w:rPr>
                <w:rFonts w:hint="eastAsia" w:ascii="仿宋" w:hAnsi="仿宋" w:eastAsia="仿宋" w:cs="仿宋"/>
                <w:color w:val="auto"/>
                <w:kern w:val="0"/>
                <w:sz w:val="24"/>
                <w:szCs w:val="22"/>
                <w:highlight w:val="none"/>
              </w:rPr>
              <w:t>6.2中标人负责设备的安装、调试。</w:t>
            </w:r>
          </w:p>
          <w:p>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kern w:val="0"/>
                <w:sz w:val="24"/>
                <w:szCs w:val="22"/>
                <w:highlight w:val="none"/>
              </w:rPr>
            </w:pPr>
            <w:r>
              <w:rPr>
                <w:rFonts w:hint="eastAsia" w:ascii="仿宋" w:hAnsi="仿宋" w:eastAsia="仿宋" w:cs="仿宋"/>
                <w:color w:val="auto"/>
                <w:kern w:val="0"/>
                <w:sz w:val="24"/>
                <w:szCs w:val="22"/>
                <w:highlight w:val="none"/>
              </w:rPr>
              <w:t>6.3调试所需专用工具设施物料由中标人自备、自费运到现场，完工后自费搬走。</w:t>
            </w:r>
          </w:p>
          <w:p>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kern w:val="0"/>
                <w:sz w:val="24"/>
                <w:szCs w:val="22"/>
                <w:highlight w:val="none"/>
              </w:rPr>
            </w:pPr>
            <w:r>
              <w:rPr>
                <w:rFonts w:hint="eastAsia" w:ascii="仿宋" w:hAnsi="仿宋" w:eastAsia="仿宋" w:cs="仿宋"/>
                <w:color w:val="auto"/>
                <w:kern w:val="0"/>
                <w:sz w:val="24"/>
                <w:szCs w:val="22"/>
                <w:highlight w:val="none"/>
              </w:rPr>
              <w:t>6.4设备的拆箱、通电、调试等各项工作由中标人负责，但必须在采购人指定人员的参与下进行。在实际实施前必须先经采购人同意方可进行。调试的原始记录须经各方签字后作为验收的文件之一。</w:t>
            </w:r>
          </w:p>
          <w:p>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kern w:val="0"/>
                <w:sz w:val="24"/>
                <w:szCs w:val="22"/>
                <w:highlight w:val="none"/>
              </w:rPr>
            </w:pPr>
            <w:r>
              <w:rPr>
                <w:rFonts w:hint="eastAsia" w:ascii="仿宋" w:hAnsi="仿宋" w:eastAsia="仿宋" w:cs="仿宋"/>
                <w:color w:val="auto"/>
                <w:kern w:val="0"/>
                <w:sz w:val="24"/>
                <w:szCs w:val="22"/>
                <w:highlight w:val="none"/>
              </w:rPr>
              <w:t>6.5所有的招标设备应按照国家有关技术标准在制造厂检查和试验合格，以表明其运行性能、安全性能以及设备材料和结构在电气、机械上的完整性。</w:t>
            </w:r>
          </w:p>
          <w:p>
            <w:pPr>
              <w:keepNext w:val="0"/>
              <w:keepLines w:val="0"/>
              <w:suppressLineNumbers w:val="0"/>
              <w:spacing w:before="0" w:beforeAutospacing="0" w:after="0" w:afterAutospacing="0" w:line="460" w:lineRule="exact"/>
              <w:ind w:left="0" w:right="0"/>
              <w:jc w:val="left"/>
              <w:rPr>
                <w:rFonts w:hint="eastAsia" w:ascii="仿宋" w:hAnsi="仿宋" w:eastAsia="仿宋" w:cs="仿宋"/>
                <w:color w:val="auto"/>
                <w:kern w:val="0"/>
                <w:sz w:val="24"/>
                <w:szCs w:val="22"/>
                <w:highlight w:val="none"/>
              </w:rPr>
            </w:pPr>
            <w:r>
              <w:rPr>
                <w:rFonts w:hint="eastAsia" w:ascii="仿宋" w:hAnsi="仿宋" w:eastAsia="仿宋" w:cs="仿宋"/>
                <w:color w:val="auto"/>
                <w:kern w:val="0"/>
                <w:sz w:val="24"/>
                <w:szCs w:val="22"/>
                <w:highlight w:val="none"/>
              </w:rPr>
              <w:t>6.6严格按照国家有关规范标准及江西省消防救援总队装备验收的要求组织验收</w:t>
            </w:r>
            <w:r>
              <w:rPr>
                <w:rFonts w:hint="eastAsia" w:ascii="仿宋" w:hAnsi="仿宋" w:eastAsia="仿宋" w:cs="仿宋"/>
                <w:b/>
                <w:bCs/>
                <w:color w:val="auto"/>
                <w:kern w:val="0"/>
                <w:sz w:val="24"/>
                <w:szCs w:val="22"/>
                <w:highlight w:val="none"/>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5" w:type="dxa"/>
            <w:left w:w="15" w:type="dxa"/>
            <w:bottom w:w="15" w:type="dxa"/>
            <w:right w:w="15" w:type="dxa"/>
          </w:tblCellMar>
        </w:tblPrEx>
        <w:trPr>
          <w:tblCellSpacing w:w="0" w:type="dxa"/>
          <w:jc w:val="center"/>
        </w:trPr>
        <w:tc>
          <w:tcPr>
            <w:tcW w:w="340" w:type="pct"/>
            <w:tcBorders>
              <w:tl2br w:val="nil"/>
              <w:tr2bl w:val="nil"/>
            </w:tcBorders>
            <w:vAlign w:val="center"/>
          </w:tcPr>
          <w:p>
            <w:pPr>
              <w:keepNext w:val="0"/>
              <w:keepLines w:val="0"/>
              <w:suppressLineNumbers w:val="0"/>
              <w:spacing w:before="0" w:beforeAutospacing="0" w:after="0" w:afterAutospacing="0" w:line="460" w:lineRule="exact"/>
              <w:ind w:left="0" w:right="0"/>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7</w:t>
            </w:r>
          </w:p>
        </w:tc>
        <w:tc>
          <w:tcPr>
            <w:tcW w:w="778" w:type="pct"/>
            <w:tcBorders>
              <w:tl2br w:val="nil"/>
              <w:tr2bl w:val="nil"/>
            </w:tcBorders>
            <w:vAlign w:val="center"/>
          </w:tcPr>
          <w:p>
            <w:pPr>
              <w:keepNext w:val="0"/>
              <w:keepLines w:val="0"/>
              <w:suppressLineNumbers w:val="0"/>
              <w:spacing w:before="0" w:beforeAutospacing="0" w:after="0" w:afterAutospacing="0" w:line="460" w:lineRule="exact"/>
              <w:ind w:left="0" w:right="0"/>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培训与监督</w:t>
            </w:r>
          </w:p>
        </w:tc>
        <w:tc>
          <w:tcPr>
            <w:tcW w:w="3881" w:type="pct"/>
            <w:tcBorders>
              <w:tl2br w:val="nil"/>
              <w:tr2bl w:val="nil"/>
            </w:tcBorders>
          </w:tcPr>
          <w:p>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kern w:val="0"/>
                <w:sz w:val="24"/>
                <w:szCs w:val="22"/>
                <w:highlight w:val="none"/>
              </w:rPr>
            </w:pPr>
            <w:r>
              <w:rPr>
                <w:rFonts w:hint="eastAsia" w:ascii="仿宋" w:hAnsi="仿宋" w:eastAsia="仿宋" w:cs="仿宋"/>
                <w:color w:val="auto"/>
                <w:kern w:val="0"/>
                <w:sz w:val="24"/>
                <w:szCs w:val="22"/>
                <w:highlight w:val="none"/>
              </w:rPr>
              <w:t>7.1</w:t>
            </w:r>
            <w:r>
              <w:rPr>
                <w:rFonts w:ascii="仿宋" w:hAnsi="仿宋" w:eastAsia="仿宋" w:cs="仿宋"/>
                <w:color w:val="auto"/>
                <w:kern w:val="0"/>
                <w:sz w:val="24"/>
                <w:highlight w:val="none"/>
              </w:rPr>
              <w:t>交货时，</w:t>
            </w:r>
            <w:r>
              <w:rPr>
                <w:rFonts w:hint="eastAsia" w:ascii="仿宋" w:hAnsi="仿宋" w:eastAsia="仿宋" w:cs="仿宋"/>
                <w:color w:val="auto"/>
                <w:kern w:val="0"/>
                <w:sz w:val="24"/>
                <w:szCs w:val="22"/>
                <w:highlight w:val="none"/>
              </w:rPr>
              <w:t>提供产品的功能、使用方法、技术参数、常见问题解决方法等书面材料，并确保用户获知产品序列号、型号名称、版本号以及配合使用的主要设备品牌、型号和版本等信息。</w:t>
            </w:r>
          </w:p>
          <w:p>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kern w:val="0"/>
                <w:sz w:val="24"/>
                <w:szCs w:val="22"/>
                <w:highlight w:val="none"/>
              </w:rPr>
            </w:pPr>
            <w:r>
              <w:rPr>
                <w:rFonts w:hint="eastAsia" w:ascii="仿宋" w:hAnsi="仿宋" w:eastAsia="仿宋" w:cs="仿宋"/>
                <w:color w:val="auto"/>
                <w:kern w:val="0"/>
                <w:sz w:val="24"/>
                <w:szCs w:val="22"/>
                <w:highlight w:val="none"/>
              </w:rPr>
              <w:t>7.2交货时，中标人应免费组织用户开展操作使用培训，使之熟练掌握操作规程、使用方法和注意事项，并经采购人签字确认后方可移交。</w:t>
            </w:r>
          </w:p>
          <w:p>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kern w:val="0"/>
                <w:sz w:val="24"/>
                <w:szCs w:val="22"/>
                <w:highlight w:val="none"/>
              </w:rPr>
            </w:pPr>
            <w:r>
              <w:rPr>
                <w:rFonts w:hint="eastAsia" w:ascii="仿宋" w:hAnsi="仿宋" w:eastAsia="仿宋" w:cs="仿宋"/>
                <w:color w:val="auto"/>
                <w:kern w:val="0"/>
                <w:sz w:val="24"/>
                <w:szCs w:val="22"/>
                <w:highlight w:val="none"/>
              </w:rPr>
              <w:t>7.3</w:t>
            </w:r>
            <w:r>
              <w:rPr>
                <w:rFonts w:ascii="仿宋" w:hAnsi="仿宋" w:eastAsia="仿宋" w:cs="仿宋"/>
                <w:color w:val="auto"/>
                <w:kern w:val="0"/>
                <w:sz w:val="24"/>
                <w:highlight w:val="none"/>
              </w:rPr>
              <w:t>交货时，</w:t>
            </w:r>
            <w:r>
              <w:rPr>
                <w:rFonts w:hint="eastAsia" w:ascii="仿宋" w:hAnsi="仿宋" w:eastAsia="仿宋" w:cs="仿宋"/>
                <w:color w:val="auto"/>
                <w:kern w:val="0"/>
                <w:sz w:val="24"/>
                <w:szCs w:val="22"/>
                <w:highlight w:val="none"/>
              </w:rPr>
              <w:t>中标人应公开原厂售后服务商的联系方式、公司名称、公司地址、邮政编码、电子邮件、联系电话及传真，不断完善服务管理和拓展新的服务模式，接受采购人的监督和批评。</w:t>
            </w:r>
          </w:p>
          <w:p>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kern w:val="0"/>
                <w:sz w:val="24"/>
                <w:szCs w:val="22"/>
                <w:highlight w:val="none"/>
              </w:rPr>
            </w:pPr>
            <w:r>
              <w:rPr>
                <w:rFonts w:hint="eastAsia" w:ascii="仿宋" w:hAnsi="仿宋" w:eastAsia="仿宋" w:cs="仿宋"/>
                <w:color w:val="auto"/>
                <w:kern w:val="0"/>
                <w:sz w:val="24"/>
                <w:szCs w:val="22"/>
                <w:highlight w:val="none"/>
              </w:rPr>
              <w:t>7.</w:t>
            </w:r>
            <w:r>
              <w:rPr>
                <w:rFonts w:hint="eastAsia" w:ascii="仿宋" w:hAnsi="仿宋" w:eastAsia="仿宋" w:cs="仿宋"/>
                <w:color w:val="auto"/>
                <w:kern w:val="0"/>
                <w:sz w:val="24"/>
                <w:szCs w:val="22"/>
                <w:highlight w:val="none"/>
                <w:lang w:val="en-US" w:eastAsia="zh-CN"/>
              </w:rPr>
              <w:t>4</w:t>
            </w:r>
            <w:r>
              <w:rPr>
                <w:rFonts w:hint="eastAsia" w:ascii="仿宋" w:hAnsi="仿宋" w:eastAsia="仿宋" w:cs="仿宋"/>
                <w:color w:val="auto"/>
                <w:kern w:val="0"/>
                <w:sz w:val="24"/>
                <w:szCs w:val="22"/>
                <w:highlight w:val="none"/>
              </w:rPr>
              <w:t>建立联勤联动机制：遇有重大灾害事故处置，要快速响应，选派素质好、业务精的人员遂行技术保障，提供技术支持、现场抢修等应急技术服务。（注：中标人参与采购人联勤联动行动所产生的费用支出由中标人自理）</w:t>
            </w:r>
          </w:p>
          <w:p>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kern w:val="0"/>
                <w:sz w:val="24"/>
                <w:szCs w:val="22"/>
                <w:highlight w:val="none"/>
              </w:rPr>
            </w:pPr>
            <w:r>
              <w:rPr>
                <w:rFonts w:hint="eastAsia" w:ascii="仿宋" w:hAnsi="仿宋" w:eastAsia="仿宋" w:cs="仿宋"/>
                <w:color w:val="auto"/>
                <w:kern w:val="0"/>
                <w:sz w:val="24"/>
                <w:szCs w:val="22"/>
                <w:highlight w:val="none"/>
              </w:rPr>
              <w:t>7.</w:t>
            </w:r>
            <w:r>
              <w:rPr>
                <w:rFonts w:hint="eastAsia" w:ascii="仿宋" w:hAnsi="仿宋" w:eastAsia="仿宋" w:cs="仿宋"/>
                <w:color w:val="auto"/>
                <w:kern w:val="0"/>
                <w:sz w:val="24"/>
                <w:szCs w:val="22"/>
                <w:highlight w:val="none"/>
                <w:lang w:val="en-US" w:eastAsia="zh-CN"/>
              </w:rPr>
              <w:t>5</w:t>
            </w:r>
            <w:r>
              <w:rPr>
                <w:rFonts w:hint="eastAsia" w:ascii="仿宋" w:hAnsi="仿宋" w:eastAsia="仿宋" w:cs="仿宋"/>
                <w:color w:val="auto"/>
                <w:kern w:val="0"/>
                <w:sz w:val="24"/>
                <w:highlight w:val="none"/>
                <w:lang w:val="en-US" w:eastAsia="zh-CN"/>
              </w:rPr>
              <w:t>交货时，</w:t>
            </w:r>
            <w:r>
              <w:rPr>
                <w:rFonts w:hint="eastAsia" w:ascii="仿宋" w:hAnsi="仿宋" w:eastAsia="仿宋" w:cs="仿宋"/>
                <w:color w:val="auto"/>
                <w:kern w:val="0"/>
                <w:sz w:val="24"/>
                <w:szCs w:val="22"/>
                <w:highlight w:val="none"/>
              </w:rPr>
              <w:t>中标人应提供原厂的服务技术规范，采购人可获得有关维修等级、所需时间、工时计算项目、配件价格的信息。</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5" w:type="dxa"/>
            <w:left w:w="15" w:type="dxa"/>
            <w:bottom w:w="15" w:type="dxa"/>
            <w:right w:w="15" w:type="dxa"/>
          </w:tblCellMar>
        </w:tblPrEx>
        <w:trPr>
          <w:tblCellSpacing w:w="0" w:type="dxa"/>
          <w:jc w:val="center"/>
        </w:trPr>
        <w:tc>
          <w:tcPr>
            <w:tcW w:w="340" w:type="pct"/>
            <w:tcBorders>
              <w:tl2br w:val="nil"/>
              <w:tr2bl w:val="nil"/>
            </w:tcBorders>
            <w:vAlign w:val="center"/>
          </w:tcPr>
          <w:p>
            <w:pPr>
              <w:keepNext w:val="0"/>
              <w:keepLines w:val="0"/>
              <w:suppressLineNumbers w:val="0"/>
              <w:spacing w:before="0" w:beforeAutospacing="0" w:after="0" w:afterAutospacing="0" w:line="460" w:lineRule="exact"/>
              <w:ind w:left="0" w:right="0"/>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8</w:t>
            </w:r>
          </w:p>
        </w:tc>
        <w:tc>
          <w:tcPr>
            <w:tcW w:w="778" w:type="pct"/>
            <w:tcBorders>
              <w:tl2br w:val="nil"/>
              <w:tr2bl w:val="nil"/>
            </w:tcBorders>
            <w:vAlign w:val="center"/>
          </w:tcPr>
          <w:p>
            <w:pPr>
              <w:keepNext w:val="0"/>
              <w:keepLines w:val="0"/>
              <w:suppressLineNumbers w:val="0"/>
              <w:spacing w:before="0" w:beforeAutospacing="0" w:after="0" w:afterAutospacing="0" w:line="460" w:lineRule="exact"/>
              <w:ind w:left="0" w:right="0"/>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质保期及售后服务</w:t>
            </w:r>
          </w:p>
        </w:tc>
        <w:tc>
          <w:tcPr>
            <w:tcW w:w="3881" w:type="pct"/>
            <w:tcBorders>
              <w:tl2br w:val="nil"/>
              <w:tr2bl w:val="nil"/>
            </w:tcBorders>
          </w:tcPr>
          <w:p>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（一）售后服务</w:t>
            </w:r>
          </w:p>
          <w:p>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8.1</w:t>
            </w:r>
            <w:r>
              <w:rPr>
                <w:rFonts w:hint="eastAsia" w:ascii="仿宋" w:hAnsi="仿宋" w:eastAsia="仿宋" w:cs="仿宋"/>
                <w:color w:val="auto"/>
                <w:kern w:val="0"/>
                <w:sz w:val="24"/>
                <w:szCs w:val="22"/>
                <w:highlight w:val="none"/>
              </w:rPr>
              <w:t>中标人</w:t>
            </w:r>
            <w:r>
              <w:rPr>
                <w:rFonts w:hint="eastAsia" w:ascii="仿宋" w:hAnsi="仿宋" w:eastAsia="仿宋" w:cs="仿宋"/>
                <w:color w:val="auto"/>
                <w:sz w:val="24"/>
                <w:szCs w:val="22"/>
                <w:highlight w:val="none"/>
              </w:rPr>
              <w:t>承诺在质保期内对所提供产品实施运行监督、维修，但该服务并不能免除</w:t>
            </w:r>
            <w:r>
              <w:rPr>
                <w:rFonts w:hint="eastAsia" w:ascii="仿宋" w:hAnsi="仿宋" w:eastAsia="仿宋" w:cs="仿宋"/>
                <w:color w:val="auto"/>
                <w:kern w:val="0"/>
                <w:sz w:val="24"/>
                <w:szCs w:val="22"/>
                <w:highlight w:val="none"/>
              </w:rPr>
              <w:t>中标人</w:t>
            </w:r>
            <w:r>
              <w:rPr>
                <w:rFonts w:hint="eastAsia" w:ascii="仿宋" w:hAnsi="仿宋" w:eastAsia="仿宋" w:cs="仿宋"/>
                <w:color w:val="auto"/>
                <w:sz w:val="24"/>
                <w:szCs w:val="22"/>
                <w:highlight w:val="none"/>
              </w:rPr>
              <w:t>在质保期内应承担的义务；在质保期与保修期内，中标人必须提供至少一次免费上门首保服务,主动协助采购人做好产品的保养。提供7×24小时服务电话，产品发生质量、故障、事故问题时，须在4小时内做出回应，维修人员在24小时内到达现场并解决问题，并应主动与生产厂联系解决索赔问题。如中标人未在约定的时间内作出回应或解决问题，采购人有权委托第三方处理，因此产生的费用或给采购人造成的损失由中标人承担。</w:t>
            </w:r>
          </w:p>
          <w:p>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8.2鉴于消防产品的特殊性，产品在使用过程中如零部件发生丢失和损坏，</w:t>
            </w:r>
            <w:r>
              <w:rPr>
                <w:rFonts w:hint="eastAsia" w:ascii="仿宋" w:hAnsi="仿宋" w:eastAsia="仿宋" w:cs="仿宋"/>
                <w:color w:val="auto"/>
                <w:kern w:val="0"/>
                <w:sz w:val="24"/>
                <w:szCs w:val="22"/>
                <w:highlight w:val="none"/>
              </w:rPr>
              <w:t>中标人</w:t>
            </w:r>
            <w:r>
              <w:rPr>
                <w:rFonts w:hint="eastAsia" w:ascii="仿宋" w:hAnsi="仿宋" w:eastAsia="仿宋" w:cs="仿宋"/>
                <w:color w:val="auto"/>
                <w:sz w:val="24"/>
                <w:szCs w:val="22"/>
                <w:highlight w:val="none"/>
              </w:rPr>
              <w:t>须负责采购人按优惠价格配到原厂生产的优质零部件。</w:t>
            </w:r>
          </w:p>
          <w:p>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8.3</w:t>
            </w:r>
            <w:r>
              <w:rPr>
                <w:rFonts w:hint="eastAsia" w:ascii="仿宋" w:hAnsi="仿宋" w:eastAsia="仿宋" w:cs="仿宋"/>
                <w:color w:val="auto"/>
                <w:kern w:val="0"/>
                <w:sz w:val="24"/>
                <w:szCs w:val="22"/>
                <w:highlight w:val="none"/>
              </w:rPr>
              <w:t>中标人</w:t>
            </w:r>
            <w:r>
              <w:rPr>
                <w:rFonts w:hint="eastAsia" w:ascii="仿宋" w:hAnsi="仿宋" w:eastAsia="仿宋" w:cs="仿宋"/>
                <w:color w:val="auto"/>
                <w:sz w:val="24"/>
                <w:szCs w:val="22"/>
                <w:highlight w:val="none"/>
              </w:rPr>
              <w:t>在质保期内收到采购人维修通知后，负责对产品进行免费维修、更换有缺陷的零部件、直至更换产品。</w:t>
            </w:r>
          </w:p>
          <w:p>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8.4如果</w:t>
            </w:r>
            <w:r>
              <w:rPr>
                <w:rFonts w:hint="eastAsia" w:ascii="仿宋" w:hAnsi="仿宋" w:eastAsia="仿宋" w:cs="仿宋"/>
                <w:color w:val="auto"/>
                <w:kern w:val="0"/>
                <w:sz w:val="24"/>
                <w:szCs w:val="22"/>
                <w:highlight w:val="none"/>
              </w:rPr>
              <w:t>中标人</w:t>
            </w:r>
            <w:r>
              <w:rPr>
                <w:rFonts w:hint="eastAsia" w:ascii="仿宋" w:hAnsi="仿宋" w:eastAsia="仿宋" w:cs="仿宋"/>
                <w:color w:val="auto"/>
                <w:sz w:val="24"/>
                <w:szCs w:val="22"/>
                <w:highlight w:val="none"/>
              </w:rPr>
              <w:t>在质保期内收到维修通知后，没有为采购人弥补缺陷、更换零部件，采购人可采取必要的补救措施，但风险和费用将由</w:t>
            </w:r>
            <w:r>
              <w:rPr>
                <w:rFonts w:hint="eastAsia" w:ascii="仿宋" w:hAnsi="仿宋" w:eastAsia="仿宋" w:cs="仿宋"/>
                <w:color w:val="auto"/>
                <w:kern w:val="0"/>
                <w:sz w:val="24"/>
                <w:szCs w:val="22"/>
                <w:highlight w:val="none"/>
              </w:rPr>
              <w:t>中标人</w:t>
            </w:r>
            <w:r>
              <w:rPr>
                <w:rFonts w:hint="eastAsia" w:ascii="仿宋" w:hAnsi="仿宋" w:eastAsia="仿宋" w:cs="仿宋"/>
                <w:color w:val="auto"/>
                <w:sz w:val="24"/>
                <w:szCs w:val="22"/>
                <w:highlight w:val="none"/>
              </w:rPr>
              <w:t>承担。</w:t>
            </w:r>
          </w:p>
          <w:p>
            <w:pPr>
              <w:keepNext w:val="0"/>
              <w:keepLines w:val="0"/>
              <w:suppressLineNumbers w:val="0"/>
              <w:spacing w:before="0" w:beforeAutospacing="0" w:after="0" w:afterAutospacing="0" w:line="460" w:lineRule="exact"/>
              <w:ind w:left="0" w:right="0"/>
              <w:jc w:val="lef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8.</w:t>
            </w:r>
            <w:r>
              <w:rPr>
                <w:rFonts w:hint="eastAsia" w:ascii="仿宋" w:hAnsi="仿宋" w:eastAsia="仿宋" w:cs="仿宋"/>
                <w:color w:val="auto"/>
                <w:sz w:val="24"/>
                <w:szCs w:val="22"/>
                <w:highlight w:val="none"/>
                <w:lang w:val="en-US" w:eastAsia="zh-CN"/>
              </w:rPr>
              <w:t>5</w:t>
            </w:r>
            <w:r>
              <w:rPr>
                <w:rFonts w:hint="eastAsia" w:ascii="仿宋" w:hAnsi="仿宋" w:eastAsia="仿宋" w:cs="仿宋"/>
                <w:color w:val="auto"/>
                <w:sz w:val="24"/>
                <w:szCs w:val="22"/>
                <w:highlight w:val="none"/>
              </w:rPr>
              <w:t>装备必须配有中文说明书。说明书应包括装备周期性检查及维护保养的详细说明，并提供装备操作使用和检查维护的音视频资料。配备中文说明书并提供电子版文档，同时提供全寿命周期易损件、消耗品、工具等型号规格清单。相关资料要归档编制目录，并做好档案保管和移交等工作。</w:t>
            </w:r>
          </w:p>
          <w:p>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（二）质量保证和保修</w:t>
            </w:r>
          </w:p>
          <w:p>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8.</w:t>
            </w:r>
            <w:r>
              <w:rPr>
                <w:rFonts w:hint="eastAsia" w:ascii="仿宋" w:hAnsi="仿宋" w:eastAsia="仿宋" w:cs="仿宋"/>
                <w:color w:val="auto"/>
                <w:sz w:val="24"/>
                <w:szCs w:val="22"/>
                <w:highlight w:val="none"/>
                <w:lang w:val="en-US" w:eastAsia="zh-CN"/>
              </w:rPr>
              <w:t>6</w:t>
            </w:r>
            <w:r>
              <w:rPr>
                <w:rFonts w:hint="eastAsia" w:ascii="仿宋" w:hAnsi="仿宋" w:eastAsia="仿宋" w:cs="仿宋"/>
                <w:color w:val="auto"/>
                <w:kern w:val="0"/>
                <w:sz w:val="24"/>
                <w:szCs w:val="22"/>
                <w:highlight w:val="none"/>
              </w:rPr>
              <w:t>中标人</w:t>
            </w:r>
            <w:r>
              <w:rPr>
                <w:rFonts w:hint="eastAsia" w:ascii="仿宋" w:hAnsi="仿宋" w:eastAsia="仿宋" w:cs="仿宋"/>
                <w:color w:val="auto"/>
                <w:sz w:val="24"/>
                <w:szCs w:val="22"/>
                <w:highlight w:val="none"/>
              </w:rPr>
              <w:t>提供的产品原则上须提供整体</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3年质保期。</w:t>
            </w:r>
            <w:r>
              <w:rPr>
                <w:rFonts w:hint="eastAsia" w:ascii="仿宋" w:hAnsi="仿宋" w:eastAsia="仿宋" w:cs="仿宋"/>
                <w:color w:val="auto"/>
                <w:kern w:val="0"/>
                <w:sz w:val="24"/>
                <w:szCs w:val="24"/>
                <w:highlight w:val="none"/>
              </w:rPr>
              <w:t>质保期内，中标人负责对其提供的全部货物进行上门维修和维护，不再收取任何费用。</w:t>
            </w:r>
            <w:r>
              <w:rPr>
                <w:rFonts w:hint="eastAsia" w:ascii="仿宋" w:hAnsi="仿宋" w:eastAsia="仿宋" w:cs="仿宋"/>
                <w:color w:val="auto"/>
                <w:sz w:val="24"/>
                <w:szCs w:val="22"/>
                <w:highlight w:val="none"/>
              </w:rPr>
              <w:t>产品按保养手册执行。完全符合合同规定的质量、规格和性能的要求。保证所提供的货物经正确安装、正常运转和保养，在其使用寿命期内应具有使采购人满意的性能，并且确保一次性通过各项检验和测试。产品最终验收后，在质保期内，</w:t>
            </w:r>
            <w:r>
              <w:rPr>
                <w:rFonts w:hint="eastAsia" w:ascii="仿宋" w:hAnsi="仿宋" w:eastAsia="仿宋" w:cs="仿宋"/>
                <w:color w:val="auto"/>
                <w:kern w:val="0"/>
                <w:sz w:val="24"/>
                <w:szCs w:val="22"/>
                <w:highlight w:val="none"/>
              </w:rPr>
              <w:t>中标人</w:t>
            </w:r>
            <w:r>
              <w:rPr>
                <w:rFonts w:hint="eastAsia" w:ascii="仿宋" w:hAnsi="仿宋" w:eastAsia="仿宋" w:cs="仿宋"/>
                <w:color w:val="auto"/>
                <w:sz w:val="24"/>
                <w:szCs w:val="22"/>
                <w:highlight w:val="none"/>
              </w:rPr>
              <w:t>应对由于设计、工艺或材料的缺陷而发生的任何不足或故障负责，费用由</w:t>
            </w:r>
            <w:r>
              <w:rPr>
                <w:rFonts w:hint="eastAsia" w:ascii="仿宋" w:hAnsi="仿宋" w:eastAsia="仿宋" w:cs="仿宋"/>
                <w:color w:val="auto"/>
                <w:kern w:val="0"/>
                <w:sz w:val="24"/>
                <w:szCs w:val="22"/>
                <w:highlight w:val="none"/>
              </w:rPr>
              <w:t>中标人</w:t>
            </w:r>
            <w:r>
              <w:rPr>
                <w:rFonts w:hint="eastAsia" w:ascii="仿宋" w:hAnsi="仿宋" w:eastAsia="仿宋" w:cs="仿宋"/>
                <w:color w:val="auto"/>
                <w:sz w:val="24"/>
                <w:szCs w:val="22"/>
                <w:highlight w:val="none"/>
              </w:rPr>
              <w:t>负担。</w:t>
            </w:r>
          </w:p>
          <w:p>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8.</w:t>
            </w:r>
            <w:r>
              <w:rPr>
                <w:rFonts w:hint="eastAsia" w:ascii="仿宋" w:hAnsi="仿宋" w:eastAsia="仿宋" w:cs="仿宋"/>
                <w:color w:val="auto"/>
                <w:sz w:val="24"/>
                <w:szCs w:val="22"/>
                <w:highlight w:val="none"/>
                <w:lang w:val="en-US" w:eastAsia="zh-CN"/>
              </w:rPr>
              <w:t>7</w:t>
            </w:r>
            <w:r>
              <w:rPr>
                <w:rFonts w:hint="eastAsia" w:ascii="仿宋" w:hAnsi="仿宋" w:eastAsia="仿宋" w:cs="仿宋"/>
                <w:color w:val="auto"/>
                <w:sz w:val="24"/>
                <w:szCs w:val="22"/>
                <w:highlight w:val="none"/>
              </w:rPr>
              <w:t>在质保期内，如果货物的数量、质量、规格性能与合同不符，或证实货物是有缺陷的，包括潜在的缺陷或使用不符合要求的材料等，采购人应尽快以书面形式通知</w:t>
            </w:r>
            <w:r>
              <w:rPr>
                <w:rFonts w:hint="eastAsia" w:ascii="仿宋" w:hAnsi="仿宋" w:eastAsia="仿宋" w:cs="仿宋"/>
                <w:color w:val="auto"/>
                <w:kern w:val="0"/>
                <w:sz w:val="24"/>
                <w:szCs w:val="22"/>
                <w:highlight w:val="none"/>
              </w:rPr>
              <w:t>中标人</w:t>
            </w:r>
            <w:r>
              <w:rPr>
                <w:rFonts w:hint="eastAsia" w:ascii="仿宋" w:hAnsi="仿宋" w:eastAsia="仿宋" w:cs="仿宋"/>
                <w:color w:val="auto"/>
                <w:sz w:val="24"/>
                <w:szCs w:val="22"/>
                <w:highlight w:val="none"/>
              </w:rPr>
              <w:t>，提出索赔。对于小型缺陷，</w:t>
            </w:r>
            <w:r>
              <w:rPr>
                <w:rFonts w:hint="eastAsia" w:ascii="仿宋" w:hAnsi="仿宋" w:eastAsia="仿宋" w:cs="仿宋"/>
                <w:color w:val="auto"/>
                <w:kern w:val="0"/>
                <w:sz w:val="24"/>
                <w:szCs w:val="22"/>
                <w:highlight w:val="none"/>
              </w:rPr>
              <w:t>中标人</w:t>
            </w:r>
            <w:r>
              <w:rPr>
                <w:rFonts w:hint="eastAsia" w:ascii="仿宋" w:hAnsi="仿宋" w:eastAsia="仿宋" w:cs="仿宋"/>
                <w:color w:val="auto"/>
                <w:sz w:val="24"/>
                <w:szCs w:val="22"/>
                <w:highlight w:val="none"/>
              </w:rPr>
              <w:t>在收到通知后，应在七日内，用与投标时采用的零件、部件或材料来更换有缺陷的或不符合要求的零件、部件或材料，同时相应延长质保期；对于重大缺陷，中标人在收到通知后，应在7日内，更换合格货物（同时相应延长质保期）或做退货处理，并承担给采购人造成的损失。</w:t>
            </w:r>
          </w:p>
          <w:p>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8.</w:t>
            </w:r>
            <w:r>
              <w:rPr>
                <w:rFonts w:hint="eastAsia" w:ascii="仿宋" w:hAnsi="仿宋" w:eastAsia="仿宋" w:cs="仿宋"/>
                <w:color w:val="auto"/>
                <w:sz w:val="24"/>
                <w:szCs w:val="22"/>
                <w:highlight w:val="none"/>
                <w:lang w:val="en-US" w:eastAsia="zh-CN"/>
              </w:rPr>
              <w:t>8</w:t>
            </w:r>
            <w:r>
              <w:rPr>
                <w:rFonts w:hint="eastAsia" w:ascii="仿宋" w:hAnsi="仿宋" w:eastAsia="仿宋" w:cs="仿宋"/>
                <w:color w:val="auto"/>
                <w:sz w:val="24"/>
                <w:szCs w:val="22"/>
                <w:highlight w:val="none"/>
              </w:rPr>
              <w:t>质保期限以外：</w:t>
            </w:r>
            <w:r>
              <w:rPr>
                <w:rFonts w:hint="eastAsia" w:ascii="仿宋" w:hAnsi="仿宋" w:eastAsia="仿宋" w:cs="仿宋"/>
                <w:color w:val="auto"/>
                <w:kern w:val="0"/>
                <w:sz w:val="24"/>
                <w:szCs w:val="22"/>
                <w:highlight w:val="none"/>
              </w:rPr>
              <w:t>中标人</w:t>
            </w:r>
            <w:r>
              <w:rPr>
                <w:rFonts w:hint="eastAsia" w:ascii="仿宋" w:hAnsi="仿宋" w:eastAsia="仿宋" w:cs="仿宋"/>
                <w:color w:val="auto"/>
                <w:sz w:val="24"/>
                <w:szCs w:val="22"/>
                <w:highlight w:val="none"/>
              </w:rPr>
              <w:t>为所投产品提供</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3年的保修期，</w:t>
            </w:r>
            <w:r>
              <w:rPr>
                <w:rFonts w:hint="eastAsia" w:ascii="仿宋" w:hAnsi="仿宋" w:eastAsia="仿宋" w:cs="仿宋"/>
                <w:color w:val="auto"/>
                <w:sz w:val="24"/>
                <w:szCs w:val="24"/>
                <w:highlight w:val="none"/>
              </w:rPr>
              <w:t>保修期内的保修费用计入合同总价，中标人只收取材料成本费，不再额外收取服务费及相关费用。中标人</w:t>
            </w:r>
            <w:r>
              <w:rPr>
                <w:rFonts w:hint="eastAsia" w:ascii="仿宋" w:hAnsi="仿宋" w:eastAsia="仿宋" w:cs="仿宋"/>
                <w:color w:val="auto"/>
                <w:sz w:val="24"/>
                <w:szCs w:val="22"/>
                <w:highlight w:val="none"/>
              </w:rPr>
              <w:t>提供全寿命周期的主要耗损件、易损件及更换总成的目录和年度价格清单，保证供应且价格合理。在超出保修服务期限后的每次售后服务，</w:t>
            </w:r>
            <w:r>
              <w:rPr>
                <w:rFonts w:hint="eastAsia" w:ascii="仿宋" w:hAnsi="仿宋" w:eastAsia="仿宋" w:cs="仿宋"/>
                <w:color w:val="auto"/>
                <w:kern w:val="0"/>
                <w:sz w:val="24"/>
                <w:szCs w:val="22"/>
                <w:highlight w:val="none"/>
              </w:rPr>
              <w:t>中标人</w:t>
            </w:r>
            <w:r>
              <w:rPr>
                <w:rFonts w:hint="eastAsia" w:ascii="仿宋" w:hAnsi="仿宋" w:eastAsia="仿宋" w:cs="仿宋"/>
                <w:color w:val="auto"/>
                <w:sz w:val="24"/>
                <w:szCs w:val="22"/>
                <w:highlight w:val="none"/>
              </w:rPr>
              <w:t>可以按照一定标准收取相应的维修费用、更换零部件费用和升级费用。售后服务结束两个星期后，采购人确认签字，完成本次售后服务。超出保修期产品作出的收费维修部分的保修期不应低于12个月。</w:t>
            </w:r>
          </w:p>
          <w:p>
            <w:pPr>
              <w:keepNext w:val="0"/>
              <w:keepLines w:val="0"/>
              <w:suppressLineNumbers w:val="0"/>
              <w:spacing w:before="0" w:beforeAutospacing="0" w:after="0" w:afterAutospacing="0" w:line="460" w:lineRule="exact"/>
              <w:ind w:left="0" w:right="0"/>
              <w:jc w:val="left"/>
              <w:rPr>
                <w:rFonts w:hint="eastAsia" w:ascii="仿宋" w:hAnsi="仿宋" w:eastAsia="仿宋" w:cs="仿宋"/>
                <w:b/>
                <w:color w:val="auto"/>
                <w:sz w:val="24"/>
                <w:szCs w:val="22"/>
                <w:highlight w:val="none"/>
              </w:rPr>
            </w:pPr>
            <w:r>
              <w:rPr>
                <w:rFonts w:hint="eastAsia" w:ascii="仿宋" w:hAnsi="仿宋" w:eastAsia="仿宋" w:cs="仿宋"/>
                <w:color w:val="auto"/>
                <w:kern w:val="0"/>
                <w:sz w:val="24"/>
                <w:szCs w:val="22"/>
                <w:highlight w:val="none"/>
              </w:rPr>
              <w:t>（三）</w:t>
            </w:r>
            <w:r>
              <w:rPr>
                <w:rFonts w:hint="eastAsia" w:ascii="仿宋" w:hAnsi="仿宋" w:eastAsia="仿宋" w:cs="仿宋"/>
                <w:b/>
                <w:color w:val="auto"/>
                <w:sz w:val="24"/>
                <w:szCs w:val="22"/>
                <w:highlight w:val="none"/>
              </w:rPr>
              <w:t>服务响应</w:t>
            </w:r>
          </w:p>
          <w:p>
            <w:pPr>
              <w:keepNext w:val="0"/>
              <w:keepLines w:val="0"/>
              <w:suppressLineNumbers w:val="0"/>
              <w:spacing w:before="0" w:beforeAutospacing="0" w:after="0" w:afterAutospacing="0" w:line="460" w:lineRule="exact"/>
              <w:ind w:left="0" w:right="0"/>
              <w:jc w:val="lef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8.</w:t>
            </w:r>
            <w:r>
              <w:rPr>
                <w:rFonts w:hint="eastAsia" w:ascii="仿宋" w:hAnsi="仿宋" w:eastAsia="仿宋" w:cs="仿宋"/>
                <w:color w:val="auto"/>
                <w:sz w:val="24"/>
                <w:szCs w:val="22"/>
                <w:highlight w:val="none"/>
                <w:lang w:val="en-US" w:eastAsia="zh-CN"/>
              </w:rPr>
              <w:t>9</w:t>
            </w:r>
            <w:r>
              <w:rPr>
                <w:rFonts w:hint="eastAsia" w:ascii="仿宋" w:hAnsi="仿宋" w:eastAsia="仿宋" w:cs="仿宋"/>
                <w:color w:val="auto"/>
                <w:kern w:val="0"/>
                <w:sz w:val="24"/>
                <w:szCs w:val="22"/>
                <w:highlight w:val="none"/>
              </w:rPr>
              <w:t>中标人</w:t>
            </w:r>
            <w:r>
              <w:rPr>
                <w:rFonts w:hint="eastAsia" w:ascii="仿宋" w:hAnsi="仿宋" w:eastAsia="仿宋" w:cs="仿宋"/>
                <w:color w:val="auto"/>
                <w:sz w:val="24"/>
                <w:szCs w:val="22"/>
                <w:highlight w:val="none"/>
              </w:rPr>
              <w:t>应提供7*24小时电话服务，支持工程师提供专业技术服务。</w:t>
            </w:r>
          </w:p>
          <w:p>
            <w:pPr>
              <w:keepNext w:val="0"/>
              <w:keepLines w:val="0"/>
              <w:suppressLineNumbers w:val="0"/>
              <w:spacing w:before="0" w:beforeAutospacing="0" w:after="0" w:afterAutospacing="0" w:line="460" w:lineRule="exact"/>
              <w:ind w:left="0" w:right="0"/>
              <w:jc w:val="lef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8.</w:t>
            </w:r>
            <w:r>
              <w:rPr>
                <w:rFonts w:hint="eastAsia" w:ascii="仿宋" w:hAnsi="仿宋" w:eastAsia="仿宋" w:cs="仿宋"/>
                <w:color w:val="auto"/>
                <w:sz w:val="24"/>
                <w:szCs w:val="22"/>
                <w:highlight w:val="none"/>
                <w:lang w:val="en-US" w:eastAsia="zh-CN"/>
              </w:rPr>
              <w:t>10</w:t>
            </w:r>
            <w:r>
              <w:rPr>
                <w:rFonts w:hint="eastAsia" w:ascii="仿宋" w:hAnsi="仿宋" w:eastAsia="仿宋" w:cs="仿宋"/>
                <w:color w:val="auto"/>
                <w:kern w:val="0"/>
                <w:sz w:val="24"/>
                <w:szCs w:val="22"/>
                <w:highlight w:val="none"/>
              </w:rPr>
              <w:t>中标人</w:t>
            </w:r>
            <w:r>
              <w:rPr>
                <w:rFonts w:hint="eastAsia" w:ascii="仿宋" w:hAnsi="仿宋" w:eastAsia="仿宋" w:cs="仿宋"/>
                <w:color w:val="auto"/>
                <w:sz w:val="24"/>
                <w:szCs w:val="22"/>
                <w:highlight w:val="none"/>
              </w:rPr>
              <w:t>应认真、完整、真实的填写保养、保修、维修记录，并经采购人签字确认。采购人有权查阅保养、保修、维修记录。</w:t>
            </w:r>
          </w:p>
          <w:p>
            <w:pPr>
              <w:keepNext w:val="0"/>
              <w:keepLines w:val="0"/>
              <w:suppressLineNumbers w:val="0"/>
              <w:spacing w:before="0" w:beforeAutospacing="0" w:after="0" w:afterAutospacing="0" w:line="460" w:lineRule="exact"/>
              <w:ind w:left="0" w:right="0"/>
              <w:jc w:val="lef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8.</w:t>
            </w:r>
            <w:r>
              <w:rPr>
                <w:rFonts w:hint="eastAsia" w:ascii="仿宋" w:hAnsi="仿宋" w:eastAsia="仿宋" w:cs="仿宋"/>
                <w:color w:val="auto"/>
                <w:sz w:val="24"/>
                <w:szCs w:val="22"/>
                <w:highlight w:val="none"/>
                <w:lang w:val="en-US" w:eastAsia="zh-CN"/>
              </w:rPr>
              <w:t>11</w:t>
            </w:r>
            <w:r>
              <w:rPr>
                <w:rFonts w:hint="eastAsia" w:ascii="仿宋" w:hAnsi="仿宋" w:eastAsia="仿宋" w:cs="仿宋"/>
                <w:color w:val="auto"/>
                <w:kern w:val="0"/>
                <w:sz w:val="24"/>
                <w:szCs w:val="22"/>
                <w:highlight w:val="none"/>
              </w:rPr>
              <w:t>中标人</w:t>
            </w:r>
            <w:r>
              <w:rPr>
                <w:rFonts w:hint="eastAsia" w:ascii="仿宋" w:hAnsi="仿宋" w:eastAsia="仿宋" w:cs="仿宋"/>
                <w:color w:val="auto"/>
                <w:sz w:val="24"/>
                <w:szCs w:val="22"/>
                <w:highlight w:val="none"/>
              </w:rPr>
              <w:t>负责整个产品使用寿命期间的技术咨询，并提供不低于国家有关规定所提供的售后服务，在合同文件中对售后服务内容、时限、方式及违约责任等要件予以明确。</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5" w:type="dxa"/>
            <w:left w:w="15" w:type="dxa"/>
            <w:bottom w:w="15" w:type="dxa"/>
            <w:right w:w="15" w:type="dxa"/>
          </w:tblCellMar>
        </w:tblPrEx>
        <w:trPr>
          <w:tblCellSpacing w:w="0" w:type="dxa"/>
          <w:jc w:val="center"/>
        </w:trPr>
        <w:tc>
          <w:tcPr>
            <w:tcW w:w="340" w:type="pct"/>
            <w:tcBorders>
              <w:tl2br w:val="nil"/>
              <w:tr2bl w:val="nil"/>
            </w:tcBorders>
            <w:vAlign w:val="center"/>
          </w:tcPr>
          <w:p>
            <w:pPr>
              <w:keepNext w:val="0"/>
              <w:keepLines w:val="0"/>
              <w:suppressLineNumbers w:val="0"/>
              <w:spacing w:before="0" w:beforeAutospacing="0" w:after="0" w:afterAutospacing="0" w:line="460" w:lineRule="exact"/>
              <w:ind w:left="0" w:right="0"/>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9</w:t>
            </w:r>
          </w:p>
        </w:tc>
        <w:tc>
          <w:tcPr>
            <w:tcW w:w="778" w:type="pct"/>
            <w:tcBorders>
              <w:tl2br w:val="nil"/>
              <w:tr2bl w:val="nil"/>
            </w:tcBorders>
            <w:vAlign w:val="center"/>
          </w:tcPr>
          <w:p>
            <w:pPr>
              <w:keepNext w:val="0"/>
              <w:keepLines w:val="0"/>
              <w:suppressLineNumbers w:val="0"/>
              <w:spacing w:before="0" w:beforeAutospacing="0" w:after="0" w:afterAutospacing="0" w:line="460" w:lineRule="exact"/>
              <w:ind w:left="0" w:right="0"/>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其他要求</w:t>
            </w:r>
          </w:p>
        </w:tc>
        <w:tc>
          <w:tcPr>
            <w:tcW w:w="3881" w:type="pct"/>
            <w:tcBorders>
              <w:tl2br w:val="nil"/>
              <w:tr2bl w:val="nil"/>
            </w:tcBorders>
            <w:vAlign w:val="center"/>
          </w:tcPr>
          <w:p>
            <w:pPr>
              <w:keepNext w:val="0"/>
              <w:keepLines w:val="0"/>
              <w:suppressLineNumbers w:val="0"/>
              <w:spacing w:before="0" w:beforeAutospacing="0" w:after="0" w:afterAutospacing="0" w:line="460" w:lineRule="exact"/>
              <w:ind w:left="0" w:right="0"/>
              <w:jc w:val="left"/>
              <w:rPr>
                <w:rFonts w:hint="eastAsia" w:ascii="仿宋" w:hAnsi="仿宋" w:eastAsia="仿宋" w:cs="仿宋"/>
                <w:color w:val="auto"/>
                <w:kern w:val="0"/>
                <w:sz w:val="24"/>
                <w:szCs w:val="22"/>
                <w:highlight w:val="none"/>
              </w:rPr>
            </w:pPr>
            <w:r>
              <w:rPr>
                <w:rFonts w:hint="eastAsia" w:ascii="仿宋" w:hAnsi="仿宋" w:eastAsia="仿宋" w:cs="仿宋"/>
                <w:color w:val="auto"/>
                <w:kern w:val="0"/>
                <w:sz w:val="24"/>
                <w:szCs w:val="22"/>
                <w:highlight w:val="none"/>
              </w:rPr>
              <w:t>9.1中标人在交货前须在应急管理部消防救援局装备物资信息采集系统(http://xfzb.119.gov.cn/html/index.html)录入装备基础信息，申请装备唯一编码，并按照应急管理部消防救援局装备物资管理的相关标准要求，赋上二维码及RFID标签，由此所产生的费用包含在投标报价内。操作流程详见附件。</w:t>
            </w:r>
          </w:p>
          <w:p>
            <w:pPr>
              <w:keepNext w:val="0"/>
              <w:keepLines w:val="0"/>
              <w:suppressLineNumbers w:val="0"/>
              <w:spacing w:before="0" w:beforeAutospacing="0" w:after="0" w:afterAutospacing="0" w:line="460" w:lineRule="exact"/>
              <w:ind w:left="0" w:right="0"/>
              <w:jc w:val="left"/>
              <w:rPr>
                <w:rFonts w:hint="eastAsia" w:ascii="仿宋" w:hAnsi="仿宋" w:eastAsia="仿宋" w:cs="仿宋"/>
                <w:color w:val="auto"/>
                <w:kern w:val="0"/>
                <w:sz w:val="24"/>
                <w:szCs w:val="22"/>
                <w:highlight w:val="none"/>
              </w:rPr>
            </w:pPr>
            <w:r>
              <w:rPr>
                <w:rFonts w:hint="eastAsia" w:ascii="仿宋" w:hAnsi="仿宋" w:eastAsia="仿宋" w:cs="仿宋"/>
                <w:color w:val="auto"/>
                <w:kern w:val="0"/>
                <w:sz w:val="24"/>
                <w:szCs w:val="22"/>
                <w:highlight w:val="none"/>
              </w:rPr>
              <w:t>9.2中标人应保证采购人不受第三方提出侵犯其专利权、商标权和设计权的起诉。如果任何第三方提出侵权指控或赔偿要求，中标人必须与第三方交涉，并承担发生和可能发生的一切损失、费用和法律责任。</w:t>
            </w:r>
          </w:p>
          <w:p>
            <w:pPr>
              <w:keepNext w:val="0"/>
              <w:keepLines w:val="0"/>
              <w:suppressLineNumbers w:val="0"/>
              <w:spacing w:before="0" w:beforeAutospacing="0" w:after="0" w:afterAutospacing="0" w:line="460" w:lineRule="exact"/>
              <w:ind w:left="0" w:right="0"/>
              <w:jc w:val="left"/>
              <w:rPr>
                <w:rFonts w:hint="eastAsia" w:ascii="仿宋" w:hAnsi="仿宋" w:eastAsia="仿宋" w:cs="仿宋"/>
                <w:b/>
                <w:bCs/>
                <w:color w:val="auto"/>
                <w:sz w:val="24"/>
                <w:szCs w:val="22"/>
                <w:highlight w:val="none"/>
              </w:rPr>
            </w:pPr>
            <w:r>
              <w:rPr>
                <w:rFonts w:hint="eastAsia" w:ascii="仿宋" w:hAnsi="仿宋" w:eastAsia="仿宋" w:cs="仿宋"/>
                <w:color w:val="auto"/>
                <w:kern w:val="0"/>
                <w:sz w:val="24"/>
                <w:szCs w:val="22"/>
                <w:highlight w:val="none"/>
                <w:lang w:val="en-US" w:eastAsia="zh-CN"/>
              </w:rPr>
              <w:t>9.3同意“</w:t>
            </w:r>
            <w:r>
              <w:rPr>
                <w:rFonts w:hint="eastAsia" w:ascii="仿宋" w:hAnsi="仿宋" w:eastAsia="仿宋" w:cs="仿宋"/>
                <w:color w:val="auto"/>
                <w:kern w:val="0"/>
                <w:sz w:val="24"/>
                <w:szCs w:val="22"/>
                <w:highlight w:val="none"/>
                <w:lang w:eastAsia="zh-CN"/>
              </w:rPr>
              <w:t>采购人</w:t>
            </w:r>
            <w:r>
              <w:rPr>
                <w:rFonts w:hint="eastAsia" w:ascii="仿宋" w:hAnsi="仿宋" w:eastAsia="仿宋" w:cs="仿宋"/>
                <w:color w:val="auto"/>
                <w:kern w:val="0"/>
                <w:sz w:val="24"/>
                <w:szCs w:val="22"/>
                <w:highlight w:val="none"/>
              </w:rPr>
              <w:t>根据验收需要对</w:t>
            </w:r>
            <w:r>
              <w:rPr>
                <w:rFonts w:hint="eastAsia" w:ascii="仿宋" w:hAnsi="仿宋" w:eastAsia="仿宋" w:cs="仿宋"/>
                <w:color w:val="auto"/>
                <w:kern w:val="0"/>
                <w:sz w:val="24"/>
                <w:szCs w:val="22"/>
                <w:highlight w:val="none"/>
                <w:lang w:eastAsia="zh-CN"/>
              </w:rPr>
              <w:t>中标人</w:t>
            </w:r>
            <w:r>
              <w:rPr>
                <w:rFonts w:hint="eastAsia" w:ascii="仿宋" w:hAnsi="仿宋" w:eastAsia="仿宋" w:cs="仿宋"/>
                <w:color w:val="auto"/>
                <w:kern w:val="0"/>
                <w:sz w:val="24"/>
                <w:szCs w:val="22"/>
                <w:highlight w:val="none"/>
              </w:rPr>
              <w:t>交付的货物抽样送</w:t>
            </w:r>
            <w:r>
              <w:rPr>
                <w:rFonts w:hint="eastAsia" w:ascii="仿宋" w:hAnsi="仿宋" w:eastAsia="仿宋" w:cs="仿宋"/>
                <w:color w:val="auto"/>
                <w:kern w:val="0"/>
                <w:sz w:val="24"/>
                <w:szCs w:val="22"/>
                <w:highlight w:val="none"/>
                <w:lang w:eastAsia="zh-CN"/>
              </w:rPr>
              <w:t>国家权威检测部门</w:t>
            </w:r>
            <w:r>
              <w:rPr>
                <w:rFonts w:hint="eastAsia" w:ascii="仿宋" w:hAnsi="仿宋" w:eastAsia="仿宋" w:cs="仿宋"/>
                <w:color w:val="auto"/>
                <w:kern w:val="0"/>
                <w:sz w:val="24"/>
                <w:szCs w:val="22"/>
                <w:highlight w:val="none"/>
              </w:rPr>
              <w:t>检测，</w:t>
            </w:r>
            <w:r>
              <w:rPr>
                <w:rFonts w:hint="eastAsia" w:ascii="仿宋" w:hAnsi="仿宋" w:eastAsia="仿宋" w:cs="仿宋"/>
                <w:color w:val="auto"/>
                <w:kern w:val="0"/>
                <w:sz w:val="24"/>
                <w:szCs w:val="22"/>
                <w:highlight w:val="none"/>
                <w:lang w:eastAsia="zh-CN"/>
              </w:rPr>
              <w:t>中标人承担</w:t>
            </w:r>
            <w:r>
              <w:rPr>
                <w:rFonts w:hint="eastAsia" w:ascii="仿宋" w:hAnsi="仿宋" w:eastAsia="仿宋" w:cs="仿宋"/>
                <w:color w:val="auto"/>
                <w:kern w:val="0"/>
                <w:sz w:val="24"/>
                <w:szCs w:val="22"/>
                <w:highlight w:val="none"/>
              </w:rPr>
              <w:t>检测所产生的费用</w:t>
            </w:r>
            <w:r>
              <w:rPr>
                <w:rFonts w:hint="eastAsia" w:ascii="仿宋" w:hAnsi="仿宋" w:eastAsia="仿宋" w:cs="仿宋"/>
                <w:color w:val="auto"/>
                <w:kern w:val="0"/>
                <w:sz w:val="24"/>
                <w:szCs w:val="22"/>
                <w:highlight w:val="none"/>
                <w:lang w:eastAsia="zh-CN"/>
              </w:rPr>
              <w:t>并补齐由于抽样检测所产生的损耗</w:t>
            </w:r>
            <w:r>
              <w:rPr>
                <w:rFonts w:hint="eastAsia" w:ascii="仿宋" w:hAnsi="仿宋" w:eastAsia="仿宋" w:cs="仿宋"/>
                <w:color w:val="auto"/>
                <w:kern w:val="0"/>
                <w:sz w:val="24"/>
                <w:szCs w:val="22"/>
                <w:highlight w:val="none"/>
              </w:rPr>
              <w:t>，检测报告作为是否通过验收的重要依据。若验收结果不合格，则检测过程中产生的损耗由</w:t>
            </w:r>
            <w:r>
              <w:rPr>
                <w:rFonts w:hint="eastAsia" w:ascii="仿宋" w:hAnsi="仿宋" w:eastAsia="仿宋" w:cs="仿宋"/>
                <w:color w:val="auto"/>
                <w:kern w:val="0"/>
                <w:sz w:val="24"/>
                <w:szCs w:val="22"/>
                <w:highlight w:val="none"/>
                <w:lang w:eastAsia="zh-CN"/>
              </w:rPr>
              <w:t>中标人</w:t>
            </w:r>
            <w:r>
              <w:rPr>
                <w:rFonts w:hint="eastAsia" w:ascii="仿宋" w:hAnsi="仿宋" w:eastAsia="仿宋" w:cs="仿宋"/>
                <w:color w:val="auto"/>
                <w:kern w:val="0"/>
                <w:sz w:val="24"/>
                <w:szCs w:val="22"/>
                <w:highlight w:val="none"/>
              </w:rPr>
              <w:t>自行承担。</w:t>
            </w:r>
            <w:r>
              <w:rPr>
                <w:rFonts w:hint="eastAsia" w:ascii="仿宋" w:hAnsi="仿宋" w:eastAsia="仿宋" w:cs="仿宋"/>
                <w:color w:val="auto"/>
                <w:kern w:val="0"/>
                <w:sz w:val="24"/>
                <w:szCs w:val="22"/>
                <w:highlight w:val="none"/>
                <w:lang w:val="en-US" w:eastAsia="zh-CN"/>
              </w:rPr>
              <w:t>”</w:t>
            </w:r>
          </w:p>
        </w:tc>
      </w:tr>
    </w:tbl>
    <w:p>
      <w:pPr>
        <w:spacing w:line="460" w:lineRule="exact"/>
        <w:rPr>
          <w:rFonts w:eastAsia="仿宋"/>
          <w:b/>
          <w:bCs/>
          <w:color w:val="auto"/>
          <w:sz w:val="24"/>
          <w:szCs w:val="24"/>
          <w:highlight w:val="none"/>
        </w:rPr>
      </w:pPr>
    </w:p>
    <w:p>
      <w:pPr>
        <w:spacing w:line="460" w:lineRule="exact"/>
        <w:rPr>
          <w:rFonts w:eastAsia="仿宋"/>
          <w:b/>
          <w:bCs/>
          <w:color w:val="auto"/>
          <w:spacing w:val="2"/>
          <w:kern w:val="0"/>
          <w:sz w:val="24"/>
          <w:szCs w:val="24"/>
          <w:highlight w:val="none"/>
        </w:rPr>
      </w:pPr>
      <w:r>
        <w:rPr>
          <w:rFonts w:eastAsia="仿宋"/>
          <w:b/>
          <w:bCs/>
          <w:color w:val="auto"/>
          <w:spacing w:val="2"/>
          <w:kern w:val="0"/>
          <w:sz w:val="24"/>
          <w:szCs w:val="24"/>
          <w:highlight w:val="none"/>
        </w:rPr>
        <w:t>注：以上</w:t>
      </w:r>
      <w:r>
        <w:rPr>
          <w:rFonts w:hint="eastAsia" w:eastAsia="仿宋"/>
          <w:b/>
          <w:bCs/>
          <w:color w:val="auto"/>
          <w:spacing w:val="2"/>
          <w:kern w:val="0"/>
          <w:sz w:val="24"/>
          <w:szCs w:val="24"/>
          <w:highlight w:val="none"/>
          <w:lang w:eastAsia="zh-CN"/>
        </w:rPr>
        <w:t>“</w:t>
      </w:r>
      <w:r>
        <w:rPr>
          <w:rFonts w:eastAsia="仿宋"/>
          <w:b/>
          <w:bCs/>
          <w:color w:val="auto"/>
          <w:spacing w:val="2"/>
          <w:kern w:val="0"/>
          <w:sz w:val="24"/>
          <w:szCs w:val="24"/>
          <w:highlight w:val="none"/>
        </w:rPr>
        <w:t>商务要求</w:t>
      </w:r>
      <w:r>
        <w:rPr>
          <w:rFonts w:hint="eastAsia" w:eastAsia="仿宋"/>
          <w:b/>
          <w:bCs/>
          <w:color w:val="auto"/>
          <w:spacing w:val="2"/>
          <w:kern w:val="0"/>
          <w:sz w:val="24"/>
          <w:szCs w:val="24"/>
          <w:highlight w:val="none"/>
          <w:lang w:eastAsia="zh-CN"/>
        </w:rPr>
        <w:t>”</w:t>
      </w:r>
      <w:r>
        <w:rPr>
          <w:rFonts w:eastAsia="仿宋"/>
          <w:b/>
          <w:bCs/>
          <w:color w:val="auto"/>
          <w:spacing w:val="2"/>
          <w:kern w:val="0"/>
          <w:sz w:val="24"/>
          <w:szCs w:val="24"/>
          <w:highlight w:val="none"/>
        </w:rPr>
        <w:t>为实质性条款须完全响应，否则投标无效。</w:t>
      </w:r>
    </w:p>
    <w:p>
      <w:pPr>
        <w:spacing w:line="460" w:lineRule="exact"/>
        <w:rPr>
          <w:rFonts w:eastAsia="仿宋"/>
          <w:b/>
          <w:bCs/>
          <w:color w:val="auto"/>
          <w:spacing w:val="2"/>
          <w:kern w:val="0"/>
          <w:sz w:val="24"/>
          <w:szCs w:val="24"/>
          <w:highlight w:val="none"/>
        </w:rPr>
      </w:pPr>
    </w:p>
    <w:p>
      <w:pPr>
        <w:spacing w:line="460" w:lineRule="exact"/>
        <w:rPr>
          <w:rFonts w:eastAsia="仿宋"/>
          <w:b/>
          <w:bCs/>
          <w:color w:val="auto"/>
          <w:spacing w:val="2"/>
          <w:kern w:val="0"/>
          <w:sz w:val="24"/>
          <w:szCs w:val="24"/>
          <w:highlight w:val="none"/>
        </w:rPr>
      </w:pPr>
    </w:p>
    <w:p>
      <w:pPr>
        <w:spacing w:line="460" w:lineRule="exact"/>
        <w:rPr>
          <w:rFonts w:eastAsia="仿宋"/>
          <w:b/>
          <w:bCs/>
          <w:color w:val="auto"/>
          <w:spacing w:val="2"/>
          <w:kern w:val="0"/>
          <w:sz w:val="24"/>
          <w:szCs w:val="24"/>
          <w:highlight w:val="none"/>
        </w:rPr>
      </w:pPr>
    </w:p>
    <w:p>
      <w:pPr>
        <w:spacing w:line="460" w:lineRule="exact"/>
        <w:rPr>
          <w:rFonts w:eastAsia="仿宋"/>
          <w:b/>
          <w:bCs/>
          <w:color w:val="auto"/>
          <w:spacing w:val="2"/>
          <w:kern w:val="0"/>
          <w:sz w:val="24"/>
          <w:szCs w:val="24"/>
          <w:highlight w:val="none"/>
        </w:rPr>
      </w:pPr>
    </w:p>
    <w:p>
      <w:pPr>
        <w:spacing w:line="460" w:lineRule="exact"/>
        <w:rPr>
          <w:rFonts w:eastAsia="仿宋"/>
          <w:b/>
          <w:bCs/>
          <w:color w:val="auto"/>
          <w:spacing w:val="2"/>
          <w:kern w:val="0"/>
          <w:sz w:val="24"/>
          <w:szCs w:val="24"/>
          <w:highlight w:val="none"/>
        </w:rPr>
      </w:pPr>
    </w:p>
    <w:p>
      <w:pPr>
        <w:spacing w:line="460" w:lineRule="exact"/>
        <w:rPr>
          <w:rFonts w:eastAsia="仿宋"/>
          <w:b/>
          <w:bCs/>
          <w:color w:val="auto"/>
          <w:spacing w:val="2"/>
          <w:kern w:val="0"/>
          <w:sz w:val="24"/>
          <w:szCs w:val="24"/>
          <w:highlight w:val="none"/>
        </w:rPr>
      </w:pPr>
    </w:p>
    <w:p>
      <w:pPr>
        <w:spacing w:line="460" w:lineRule="exact"/>
        <w:rPr>
          <w:rFonts w:eastAsia="仿宋"/>
          <w:b/>
          <w:bCs/>
          <w:color w:val="auto"/>
          <w:spacing w:val="2"/>
          <w:kern w:val="0"/>
          <w:sz w:val="24"/>
          <w:szCs w:val="24"/>
          <w:highlight w:val="none"/>
        </w:rPr>
      </w:pPr>
    </w:p>
    <w:p>
      <w:pPr>
        <w:spacing w:line="460" w:lineRule="exact"/>
        <w:rPr>
          <w:rFonts w:eastAsia="仿宋"/>
          <w:b/>
          <w:bCs/>
          <w:color w:val="auto"/>
          <w:spacing w:val="2"/>
          <w:kern w:val="0"/>
          <w:sz w:val="24"/>
          <w:szCs w:val="24"/>
          <w:highlight w:val="none"/>
        </w:rPr>
      </w:pPr>
    </w:p>
    <w:p>
      <w:pPr>
        <w:spacing w:line="460" w:lineRule="exact"/>
        <w:rPr>
          <w:rFonts w:eastAsia="仿宋"/>
          <w:b/>
          <w:bCs/>
          <w:color w:val="auto"/>
          <w:spacing w:val="2"/>
          <w:kern w:val="0"/>
          <w:sz w:val="24"/>
          <w:szCs w:val="24"/>
          <w:highlight w:val="none"/>
        </w:rPr>
      </w:pPr>
    </w:p>
    <w:p>
      <w:pPr>
        <w:spacing w:line="460" w:lineRule="exact"/>
        <w:rPr>
          <w:rFonts w:eastAsia="仿宋"/>
          <w:b/>
          <w:bCs/>
          <w:color w:val="auto"/>
          <w:spacing w:val="2"/>
          <w:kern w:val="0"/>
          <w:sz w:val="24"/>
          <w:szCs w:val="24"/>
          <w:highlight w:val="none"/>
        </w:rPr>
      </w:pPr>
    </w:p>
    <w:p>
      <w:pPr>
        <w:spacing w:line="460" w:lineRule="exact"/>
        <w:rPr>
          <w:rFonts w:eastAsia="仿宋"/>
          <w:b/>
          <w:bCs/>
          <w:color w:val="auto"/>
          <w:spacing w:val="2"/>
          <w:kern w:val="0"/>
          <w:sz w:val="24"/>
          <w:szCs w:val="24"/>
          <w:highlight w:val="none"/>
        </w:rPr>
      </w:pPr>
    </w:p>
    <w:p>
      <w:pPr>
        <w:spacing w:line="460" w:lineRule="exact"/>
        <w:rPr>
          <w:rFonts w:eastAsia="仿宋"/>
          <w:b/>
          <w:bCs/>
          <w:color w:val="auto"/>
          <w:spacing w:val="2"/>
          <w:kern w:val="0"/>
          <w:sz w:val="24"/>
          <w:szCs w:val="24"/>
          <w:highlight w:val="none"/>
        </w:rPr>
      </w:pPr>
    </w:p>
    <w:p>
      <w:pPr>
        <w:spacing w:line="460" w:lineRule="exact"/>
        <w:rPr>
          <w:rFonts w:eastAsia="仿宋"/>
          <w:b/>
          <w:bCs/>
          <w:color w:val="auto"/>
          <w:spacing w:val="2"/>
          <w:kern w:val="0"/>
          <w:sz w:val="24"/>
          <w:szCs w:val="24"/>
          <w:highlight w:val="none"/>
        </w:rPr>
      </w:pPr>
    </w:p>
    <w:p>
      <w:pPr>
        <w:spacing w:line="460" w:lineRule="exact"/>
        <w:rPr>
          <w:rFonts w:eastAsia="仿宋"/>
          <w:b/>
          <w:bCs/>
          <w:color w:val="auto"/>
          <w:spacing w:val="2"/>
          <w:kern w:val="0"/>
          <w:sz w:val="24"/>
          <w:szCs w:val="24"/>
          <w:highlight w:val="none"/>
        </w:rPr>
      </w:pPr>
      <w:r>
        <w:rPr>
          <w:rFonts w:eastAsia="仿宋"/>
          <w:b/>
          <w:bCs/>
          <w:color w:val="auto"/>
          <w:spacing w:val="2"/>
          <w:kern w:val="0"/>
          <w:sz w:val="24"/>
          <w:szCs w:val="24"/>
          <w:highlight w:val="none"/>
        </w:rPr>
        <w:t>附件：</w:t>
      </w:r>
    </w:p>
    <w:p>
      <w:pPr>
        <w:spacing w:line="460" w:lineRule="exact"/>
        <w:jc w:val="center"/>
        <w:rPr>
          <w:rFonts w:eastAsia="仿宋"/>
          <w:b/>
          <w:bCs/>
          <w:color w:val="auto"/>
          <w:sz w:val="24"/>
          <w:szCs w:val="24"/>
          <w:highlight w:val="none"/>
        </w:rPr>
      </w:pPr>
      <w:r>
        <w:rPr>
          <w:rFonts w:eastAsia="仿宋"/>
          <w:b/>
          <w:bCs/>
          <w:color w:val="auto"/>
          <w:sz w:val="24"/>
          <w:szCs w:val="24"/>
          <w:highlight w:val="none"/>
        </w:rPr>
        <w:t>企业申请装备二维码及RFID电子标签流程</w:t>
      </w:r>
    </w:p>
    <w:p>
      <w:pPr>
        <w:spacing w:line="460" w:lineRule="exact"/>
        <w:jc w:val="center"/>
        <w:rPr>
          <w:rFonts w:eastAsia="仿宋"/>
          <w:b/>
          <w:bCs/>
          <w:color w:val="auto"/>
          <w:sz w:val="24"/>
          <w:szCs w:val="24"/>
          <w:highlight w:val="none"/>
        </w:rPr>
      </w:pPr>
    </w:p>
    <w:p>
      <w:pPr>
        <w:spacing w:line="460" w:lineRule="exact"/>
        <w:rPr>
          <w:rFonts w:eastAsia="仿宋"/>
          <w:color w:val="auto"/>
          <w:sz w:val="24"/>
          <w:szCs w:val="24"/>
          <w:highlight w:val="none"/>
        </w:rPr>
      </w:pPr>
      <w:r>
        <w:rPr>
          <w:rFonts w:eastAsia="仿宋"/>
          <w:color w:val="auto"/>
          <w:sz w:val="24"/>
          <w:szCs w:val="24"/>
          <w:highlight w:val="none"/>
        </w:rPr>
        <w:t>第一步：进入系统地址：</w:t>
      </w:r>
      <w:r>
        <w:rPr>
          <w:color w:val="auto"/>
          <w:highlight w:val="none"/>
        </w:rPr>
        <w:fldChar w:fldCharType="begin"/>
      </w:r>
      <w:r>
        <w:rPr>
          <w:color w:val="auto"/>
          <w:highlight w:val="none"/>
        </w:rPr>
        <w:instrText xml:space="preserve"> HYPERLINK "http://xfzb.119.gov.cn/html/index.html" </w:instrText>
      </w:r>
      <w:r>
        <w:rPr>
          <w:color w:val="auto"/>
          <w:highlight w:val="none"/>
        </w:rPr>
        <w:fldChar w:fldCharType="separate"/>
      </w:r>
      <w:r>
        <w:rPr>
          <w:rStyle w:val="47"/>
          <w:rFonts w:eastAsia="仿宋"/>
          <w:color w:val="auto"/>
          <w:sz w:val="24"/>
          <w:szCs w:val="24"/>
          <w:highlight w:val="none"/>
        </w:rPr>
        <w:t>http://xfzb.119.gov.cn/html/index.html</w:t>
      </w:r>
      <w:r>
        <w:rPr>
          <w:rStyle w:val="47"/>
          <w:rFonts w:eastAsia="仿宋"/>
          <w:color w:val="auto"/>
          <w:sz w:val="24"/>
          <w:szCs w:val="24"/>
          <w:highlight w:val="none"/>
        </w:rPr>
        <w:fldChar w:fldCharType="end"/>
      </w:r>
      <w:r>
        <w:rPr>
          <w:rFonts w:eastAsia="仿宋"/>
          <w:color w:val="auto"/>
          <w:sz w:val="24"/>
          <w:szCs w:val="24"/>
          <w:highlight w:val="none"/>
        </w:rPr>
        <w:t>（建议使用360浏览器极速模式、chrome等现代浏览器）；</w:t>
      </w:r>
    </w:p>
    <w:p>
      <w:pPr>
        <w:spacing w:line="460" w:lineRule="exact"/>
        <w:rPr>
          <w:rFonts w:eastAsia="仿宋"/>
          <w:color w:val="auto"/>
          <w:sz w:val="24"/>
          <w:szCs w:val="24"/>
          <w:highlight w:val="none"/>
        </w:rPr>
      </w:pPr>
      <w:r>
        <w:rPr>
          <w:rFonts w:eastAsia="仿宋"/>
          <w:color w:val="auto"/>
          <w:sz w:val="24"/>
          <w:szCs w:val="24"/>
          <w:highlight w:val="none"/>
        </w:rPr>
        <w:t>第二步：注册企业账号及填写企业信息提交审核；</w:t>
      </w:r>
    </w:p>
    <w:p>
      <w:pPr>
        <w:spacing w:line="460" w:lineRule="exact"/>
        <w:rPr>
          <w:rFonts w:eastAsia="仿宋"/>
          <w:color w:val="auto"/>
          <w:sz w:val="24"/>
          <w:szCs w:val="24"/>
          <w:highlight w:val="none"/>
        </w:rPr>
      </w:pPr>
      <w:r>
        <w:rPr>
          <w:rFonts w:eastAsia="仿宋"/>
          <w:color w:val="auto"/>
          <w:sz w:val="24"/>
          <w:szCs w:val="24"/>
          <w:highlight w:val="none"/>
        </w:rPr>
        <w:t>第三步：企业信息完善后，进行产品信息填报，点击</w:t>
      </w:r>
      <w:r>
        <w:rPr>
          <w:rFonts w:hint="eastAsia" w:eastAsia="仿宋"/>
          <w:color w:val="auto"/>
          <w:sz w:val="24"/>
          <w:szCs w:val="24"/>
          <w:highlight w:val="none"/>
          <w:lang w:eastAsia="zh-CN"/>
        </w:rPr>
        <w:t>“</w:t>
      </w:r>
      <w:r>
        <w:rPr>
          <w:rFonts w:eastAsia="仿宋"/>
          <w:color w:val="auto"/>
          <w:sz w:val="24"/>
          <w:szCs w:val="24"/>
          <w:highlight w:val="none"/>
        </w:rPr>
        <w:t>新增</w:t>
      </w:r>
      <w:r>
        <w:rPr>
          <w:rFonts w:hint="eastAsia" w:eastAsia="仿宋"/>
          <w:color w:val="auto"/>
          <w:sz w:val="24"/>
          <w:szCs w:val="24"/>
          <w:highlight w:val="none"/>
          <w:lang w:eastAsia="zh-CN"/>
        </w:rPr>
        <w:t>”</w:t>
      </w:r>
      <w:r>
        <w:rPr>
          <w:rFonts w:eastAsia="仿宋"/>
          <w:color w:val="auto"/>
          <w:sz w:val="24"/>
          <w:szCs w:val="24"/>
          <w:highlight w:val="none"/>
        </w:rPr>
        <w:t>进行产品的录入；</w:t>
      </w:r>
    </w:p>
    <w:p>
      <w:pPr>
        <w:spacing w:line="460" w:lineRule="exact"/>
        <w:rPr>
          <w:rFonts w:eastAsia="仿宋"/>
          <w:color w:val="auto"/>
          <w:sz w:val="24"/>
          <w:szCs w:val="24"/>
          <w:highlight w:val="none"/>
        </w:rPr>
      </w:pPr>
      <w:r>
        <w:rPr>
          <w:rFonts w:eastAsia="仿宋"/>
          <w:color w:val="auto"/>
          <w:sz w:val="24"/>
          <w:szCs w:val="24"/>
          <w:highlight w:val="none"/>
        </w:rPr>
        <w:t>第四步：录入产品信息，完成点击</w:t>
      </w:r>
      <w:r>
        <w:rPr>
          <w:rFonts w:hint="eastAsia" w:eastAsia="仿宋"/>
          <w:color w:val="auto"/>
          <w:sz w:val="24"/>
          <w:szCs w:val="24"/>
          <w:highlight w:val="none"/>
          <w:lang w:eastAsia="zh-CN"/>
        </w:rPr>
        <w:t>“</w:t>
      </w:r>
      <w:r>
        <w:rPr>
          <w:rFonts w:eastAsia="仿宋"/>
          <w:color w:val="auto"/>
          <w:sz w:val="24"/>
          <w:szCs w:val="24"/>
          <w:highlight w:val="none"/>
        </w:rPr>
        <w:t>提交审核</w:t>
      </w:r>
      <w:r>
        <w:rPr>
          <w:rFonts w:hint="eastAsia" w:eastAsia="仿宋"/>
          <w:color w:val="auto"/>
          <w:sz w:val="24"/>
          <w:szCs w:val="24"/>
          <w:highlight w:val="none"/>
          <w:lang w:eastAsia="zh-CN"/>
        </w:rPr>
        <w:t>”</w:t>
      </w:r>
      <w:r>
        <w:rPr>
          <w:rFonts w:eastAsia="仿宋"/>
          <w:color w:val="auto"/>
          <w:sz w:val="24"/>
          <w:szCs w:val="24"/>
          <w:highlight w:val="none"/>
        </w:rPr>
        <w:t>，等待管理部门审核；</w:t>
      </w:r>
    </w:p>
    <w:p>
      <w:pPr>
        <w:spacing w:line="460" w:lineRule="exact"/>
        <w:rPr>
          <w:rFonts w:eastAsia="仿宋"/>
          <w:color w:val="auto"/>
          <w:sz w:val="24"/>
          <w:szCs w:val="24"/>
          <w:highlight w:val="none"/>
        </w:rPr>
      </w:pPr>
      <w:r>
        <w:rPr>
          <w:rFonts w:eastAsia="仿宋"/>
          <w:color w:val="auto"/>
          <w:sz w:val="24"/>
          <w:szCs w:val="24"/>
          <w:highlight w:val="none"/>
        </w:rPr>
        <w:t>第五步：产品审核完成后，点击</w:t>
      </w:r>
      <w:r>
        <w:rPr>
          <w:rFonts w:hint="eastAsia" w:eastAsia="仿宋"/>
          <w:color w:val="auto"/>
          <w:sz w:val="24"/>
          <w:szCs w:val="24"/>
          <w:highlight w:val="none"/>
          <w:lang w:eastAsia="zh-CN"/>
        </w:rPr>
        <w:t>“</w:t>
      </w:r>
      <w:r>
        <w:rPr>
          <w:rFonts w:eastAsia="仿宋"/>
          <w:color w:val="auto"/>
          <w:sz w:val="24"/>
          <w:szCs w:val="24"/>
          <w:highlight w:val="none"/>
        </w:rPr>
        <w:t>产品赋码申请</w:t>
      </w:r>
      <w:r>
        <w:rPr>
          <w:rFonts w:hint="eastAsia" w:eastAsia="仿宋"/>
          <w:color w:val="auto"/>
          <w:sz w:val="24"/>
          <w:szCs w:val="24"/>
          <w:highlight w:val="none"/>
          <w:lang w:eastAsia="zh-CN"/>
        </w:rPr>
        <w:t>”</w:t>
      </w:r>
      <w:r>
        <w:rPr>
          <w:rFonts w:eastAsia="仿宋"/>
          <w:color w:val="auto"/>
          <w:sz w:val="24"/>
          <w:szCs w:val="24"/>
          <w:highlight w:val="none"/>
        </w:rPr>
        <w:t>，点击</w:t>
      </w:r>
      <w:r>
        <w:rPr>
          <w:rFonts w:hint="eastAsia" w:eastAsia="仿宋"/>
          <w:color w:val="auto"/>
          <w:sz w:val="24"/>
          <w:szCs w:val="24"/>
          <w:highlight w:val="none"/>
          <w:lang w:eastAsia="zh-CN"/>
        </w:rPr>
        <w:t>“</w:t>
      </w:r>
      <w:r>
        <w:rPr>
          <w:rFonts w:eastAsia="仿宋"/>
          <w:color w:val="auto"/>
          <w:sz w:val="24"/>
          <w:szCs w:val="24"/>
          <w:highlight w:val="none"/>
        </w:rPr>
        <w:t>新增</w:t>
      </w:r>
      <w:r>
        <w:rPr>
          <w:rFonts w:hint="eastAsia" w:eastAsia="仿宋"/>
          <w:color w:val="auto"/>
          <w:sz w:val="24"/>
          <w:szCs w:val="24"/>
          <w:highlight w:val="none"/>
          <w:lang w:eastAsia="zh-CN"/>
        </w:rPr>
        <w:t>”</w:t>
      </w:r>
      <w:r>
        <w:rPr>
          <w:rFonts w:eastAsia="仿宋"/>
          <w:color w:val="auto"/>
          <w:sz w:val="24"/>
          <w:szCs w:val="24"/>
          <w:highlight w:val="none"/>
        </w:rPr>
        <w:t>，申请产品赋码；</w:t>
      </w:r>
    </w:p>
    <w:p>
      <w:pPr>
        <w:spacing w:line="460" w:lineRule="exact"/>
        <w:rPr>
          <w:rFonts w:eastAsia="仿宋"/>
          <w:color w:val="auto"/>
          <w:sz w:val="24"/>
          <w:szCs w:val="24"/>
          <w:highlight w:val="none"/>
        </w:rPr>
      </w:pPr>
      <w:r>
        <w:rPr>
          <w:rFonts w:eastAsia="仿宋"/>
          <w:color w:val="auto"/>
          <w:sz w:val="24"/>
          <w:szCs w:val="24"/>
          <w:highlight w:val="none"/>
        </w:rPr>
        <w:t>第六步：填写产品码信息， 点击</w:t>
      </w:r>
      <w:r>
        <w:rPr>
          <w:rFonts w:hint="eastAsia" w:eastAsia="仿宋"/>
          <w:color w:val="auto"/>
          <w:sz w:val="24"/>
          <w:szCs w:val="24"/>
          <w:highlight w:val="none"/>
          <w:lang w:eastAsia="zh-CN"/>
        </w:rPr>
        <w:t>“</w:t>
      </w:r>
      <w:r>
        <w:rPr>
          <w:rFonts w:eastAsia="仿宋"/>
          <w:color w:val="auto"/>
          <w:sz w:val="24"/>
          <w:szCs w:val="24"/>
          <w:highlight w:val="none"/>
        </w:rPr>
        <w:t>提交审核</w:t>
      </w:r>
      <w:r>
        <w:rPr>
          <w:rFonts w:hint="eastAsia" w:eastAsia="仿宋"/>
          <w:color w:val="auto"/>
          <w:sz w:val="24"/>
          <w:szCs w:val="24"/>
          <w:highlight w:val="none"/>
          <w:lang w:eastAsia="zh-CN"/>
        </w:rPr>
        <w:t>”</w:t>
      </w:r>
      <w:r>
        <w:rPr>
          <w:rFonts w:eastAsia="仿宋"/>
          <w:color w:val="auto"/>
          <w:sz w:val="24"/>
          <w:szCs w:val="24"/>
          <w:highlight w:val="none"/>
        </w:rPr>
        <w:t>，等待管理部门审核；</w:t>
      </w:r>
    </w:p>
    <w:p>
      <w:pPr>
        <w:spacing w:line="460" w:lineRule="exact"/>
        <w:rPr>
          <w:rFonts w:eastAsia="仿宋"/>
          <w:color w:val="auto"/>
          <w:sz w:val="24"/>
          <w:szCs w:val="24"/>
          <w:highlight w:val="none"/>
        </w:rPr>
      </w:pPr>
      <w:r>
        <w:rPr>
          <w:rFonts w:eastAsia="仿宋"/>
          <w:color w:val="auto"/>
          <w:sz w:val="24"/>
          <w:szCs w:val="24"/>
          <w:highlight w:val="none"/>
        </w:rPr>
        <w:t>第七步：审核完成后，点击下载链接，下载装备二维码；</w:t>
      </w:r>
    </w:p>
    <w:p>
      <w:pPr>
        <w:spacing w:line="460" w:lineRule="exact"/>
        <w:rPr>
          <w:rFonts w:eastAsia="仿宋"/>
          <w:color w:val="auto"/>
          <w:sz w:val="24"/>
          <w:szCs w:val="24"/>
          <w:highlight w:val="none"/>
        </w:rPr>
      </w:pPr>
      <w:r>
        <w:rPr>
          <w:rFonts w:eastAsia="仿宋"/>
          <w:color w:val="auto"/>
          <w:sz w:val="24"/>
          <w:szCs w:val="24"/>
          <w:highlight w:val="none"/>
        </w:rPr>
        <w:t>第八步：找第三方制作二维码，同时找第三方购买RFID电子标签；</w:t>
      </w:r>
    </w:p>
    <w:p>
      <w:pPr>
        <w:spacing w:line="460" w:lineRule="exact"/>
        <w:rPr>
          <w:rFonts w:eastAsia="仿宋"/>
          <w:color w:val="auto"/>
          <w:sz w:val="24"/>
          <w:szCs w:val="24"/>
          <w:highlight w:val="none"/>
        </w:rPr>
      </w:pPr>
      <w:r>
        <w:rPr>
          <w:rFonts w:eastAsia="仿宋"/>
          <w:color w:val="auto"/>
          <w:sz w:val="24"/>
          <w:szCs w:val="24"/>
          <w:highlight w:val="none"/>
        </w:rPr>
        <w:t>第九步：将产品信息告知第三方编入RFID电子标签；</w:t>
      </w:r>
    </w:p>
    <w:p>
      <w:pPr>
        <w:spacing w:line="460" w:lineRule="exact"/>
        <w:rPr>
          <w:rFonts w:eastAsiaTheme="minorEastAsia"/>
          <w:color w:val="auto"/>
          <w:sz w:val="24"/>
          <w:szCs w:val="24"/>
          <w:highlight w:val="none"/>
        </w:rPr>
      </w:pPr>
      <w:r>
        <w:rPr>
          <w:rFonts w:eastAsia="仿宋"/>
          <w:color w:val="auto"/>
          <w:sz w:val="24"/>
          <w:szCs w:val="24"/>
          <w:highlight w:val="none"/>
        </w:rPr>
        <w:t>第十步：将成品二维码及RFID电子标签附在消防产品上。</w:t>
      </w:r>
    </w:p>
    <w:p>
      <w:pPr>
        <w:spacing w:line="500" w:lineRule="atLeast"/>
        <w:rPr>
          <w:rFonts w:eastAsiaTheme="minorEastAsia"/>
          <w:color w:val="auto"/>
          <w:sz w:val="24"/>
          <w:szCs w:val="24"/>
          <w:highlight w:val="none"/>
        </w:rPr>
      </w:pPr>
      <w:r>
        <w:rPr>
          <w:rFonts w:eastAsiaTheme="minorEastAsia"/>
          <w:color w:val="auto"/>
          <w:sz w:val="24"/>
          <w:szCs w:val="24"/>
          <w:highlight w:val="none"/>
        </w:rPr>
        <w:br w:type="page"/>
      </w:r>
    </w:p>
    <w:p>
      <w:pPr>
        <w:pStyle w:val="3"/>
        <w:spacing w:before="240" w:after="240"/>
        <w:jc w:val="center"/>
        <w:rPr>
          <w:rFonts w:ascii="Times New Roman" w:eastAsia="仿宋"/>
          <w:b/>
          <w:color w:val="auto"/>
          <w:sz w:val="40"/>
          <w:highlight w:val="none"/>
        </w:rPr>
      </w:pPr>
      <w:bookmarkStart w:id="626" w:name="_Toc10088"/>
      <w:bookmarkStart w:id="627" w:name="_Toc16839"/>
      <w:bookmarkStart w:id="628" w:name="_Toc474492123"/>
      <w:bookmarkStart w:id="629" w:name="_Toc446946780"/>
      <w:bookmarkStart w:id="630" w:name="_Toc27726"/>
      <w:bookmarkStart w:id="631" w:name="_Toc32701"/>
      <w:bookmarkStart w:id="632" w:name="_Toc205"/>
      <w:bookmarkStart w:id="633" w:name="_Toc2881"/>
      <w:bookmarkStart w:id="634" w:name="_Toc12310"/>
      <w:bookmarkStart w:id="635" w:name="_Toc17576"/>
      <w:r>
        <w:rPr>
          <w:rFonts w:ascii="Times New Roman" w:eastAsia="仿宋"/>
          <w:b/>
          <w:color w:val="auto"/>
          <w:sz w:val="40"/>
          <w:highlight w:val="none"/>
        </w:rPr>
        <w:t>第六章  评标标准</w:t>
      </w:r>
      <w:bookmarkEnd w:id="626"/>
      <w:bookmarkEnd w:id="627"/>
      <w:bookmarkEnd w:id="628"/>
      <w:bookmarkEnd w:id="629"/>
      <w:bookmarkEnd w:id="630"/>
      <w:bookmarkEnd w:id="631"/>
      <w:bookmarkEnd w:id="632"/>
      <w:bookmarkEnd w:id="633"/>
      <w:bookmarkEnd w:id="634"/>
      <w:bookmarkEnd w:id="635"/>
    </w:p>
    <w:p>
      <w:pPr>
        <w:spacing w:line="500" w:lineRule="atLeast"/>
        <w:rPr>
          <w:rFonts w:eastAsiaTheme="minorEastAsia"/>
          <w:b/>
          <w:color w:val="auto"/>
          <w:sz w:val="24"/>
          <w:szCs w:val="24"/>
          <w:highlight w:val="none"/>
        </w:rPr>
      </w:pPr>
    </w:p>
    <w:bookmarkEnd w:id="12"/>
    <w:bookmarkEnd w:id="106"/>
    <w:bookmarkEnd w:id="107"/>
    <w:p>
      <w:pPr>
        <w:spacing w:line="500" w:lineRule="atLeast"/>
        <w:ind w:left="480" w:firstLine="480" w:firstLineChars="200"/>
        <w:rPr>
          <w:rFonts w:eastAsia="仿宋"/>
          <w:color w:val="auto"/>
          <w:sz w:val="24"/>
          <w:szCs w:val="24"/>
          <w:highlight w:val="none"/>
        </w:rPr>
      </w:pPr>
      <w:r>
        <w:rPr>
          <w:rFonts w:eastAsia="仿宋"/>
          <w:color w:val="auto"/>
          <w:sz w:val="24"/>
          <w:szCs w:val="24"/>
          <w:highlight w:val="none"/>
        </w:rPr>
        <w:t>评标委员会应当按照招标文件中规定的评标方法和标准，对符合性审查合格的投标文件进行商务和技术评估，综合比较与评价。</w:t>
      </w:r>
    </w:p>
    <w:p>
      <w:pPr>
        <w:rPr>
          <w:color w:val="auto"/>
          <w:highlight w:val="none"/>
        </w:rPr>
      </w:pPr>
    </w:p>
    <w:p>
      <w:pPr>
        <w:keepNext w:val="0"/>
        <w:keepLines w:val="0"/>
        <w:pageBreakBefore w:val="0"/>
        <w:widowControl w:val="0"/>
        <w:kinsoku/>
        <w:wordWrap/>
        <w:overflowPunct/>
        <w:topLinePunct w:val="0"/>
        <w:autoSpaceDE/>
        <w:autoSpaceDN/>
        <w:bidi w:val="0"/>
        <w:adjustRightInd/>
        <w:snapToGrid/>
        <w:spacing w:line="460" w:lineRule="exact"/>
        <w:jc w:val="left"/>
        <w:textAlignment w:val="auto"/>
        <w:outlineLvl w:val="1"/>
        <w:rPr>
          <w:rFonts w:hint="eastAsia" w:ascii="仿宋" w:hAnsi="仿宋" w:eastAsia="仿宋" w:cs="Times New Roman"/>
          <w:b/>
          <w:bCs/>
          <w:color w:val="auto"/>
          <w:sz w:val="28"/>
          <w:szCs w:val="28"/>
          <w:highlight w:val="none"/>
          <w:lang w:eastAsia="zh-CN"/>
        </w:rPr>
      </w:pPr>
      <w:bookmarkStart w:id="636" w:name="_Toc3449"/>
      <w:bookmarkStart w:id="637" w:name="_Toc1717"/>
      <w:bookmarkStart w:id="638" w:name="_Toc13236"/>
      <w:bookmarkStart w:id="639" w:name="_Toc23339"/>
      <w:r>
        <w:rPr>
          <w:rFonts w:hint="eastAsia" w:ascii="仿宋" w:hAnsi="仿宋" w:eastAsia="仿宋" w:cs="Times New Roman"/>
          <w:b/>
          <w:bCs/>
          <w:color w:val="auto"/>
          <w:sz w:val="28"/>
          <w:szCs w:val="28"/>
          <w:highlight w:val="none"/>
          <w:lang w:val="en-US" w:eastAsia="zh-CN"/>
        </w:rPr>
        <w:t>02包</w:t>
      </w:r>
      <w:r>
        <w:rPr>
          <w:rFonts w:hint="eastAsia" w:ascii="仿宋" w:hAnsi="仿宋" w:eastAsia="仿宋" w:cs="Times New Roman"/>
          <w:b/>
          <w:bCs/>
          <w:color w:val="auto"/>
          <w:sz w:val="28"/>
          <w:szCs w:val="28"/>
          <w:highlight w:val="none"/>
        </w:rPr>
        <w:t>：</w:t>
      </w:r>
      <w:r>
        <w:rPr>
          <w:rFonts w:hint="eastAsia" w:ascii="仿宋" w:hAnsi="仿宋" w:eastAsia="仿宋" w:cs="Times New Roman"/>
          <w:b/>
          <w:bCs/>
          <w:color w:val="auto"/>
          <w:sz w:val="28"/>
          <w:szCs w:val="28"/>
          <w:highlight w:val="none"/>
          <w:lang w:val="en-US" w:eastAsia="zh-CN"/>
        </w:rPr>
        <w:t>音频生命探测仪</w:t>
      </w:r>
      <w:bookmarkEnd w:id="636"/>
      <w:bookmarkEnd w:id="637"/>
      <w:bookmarkEnd w:id="638"/>
      <w:bookmarkEnd w:id="639"/>
    </w:p>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hint="eastAsia" w:ascii="仿宋" w:hAnsi="仿宋" w:eastAsia="仿宋"/>
          <w:b/>
          <w:color w:val="auto"/>
          <w:sz w:val="24"/>
          <w:highlight w:val="none"/>
        </w:rPr>
        <w:t>一、价格部分（</w:t>
      </w:r>
      <w:r>
        <w:rPr>
          <w:rFonts w:ascii="仿宋" w:hAnsi="仿宋" w:eastAsia="仿宋"/>
          <w:b/>
          <w:color w:val="auto"/>
          <w:sz w:val="24"/>
          <w:highlight w:val="none"/>
        </w:rPr>
        <w:t>30分）</w:t>
      </w:r>
    </w:p>
    <w:tbl>
      <w:tblPr>
        <w:tblStyle w:val="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1"/>
        <w:gridCol w:w="1449"/>
        <w:gridCol w:w="5672"/>
        <w:gridCol w:w="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评审因素</w:t>
            </w:r>
          </w:p>
        </w:tc>
        <w:tc>
          <w:tcPr>
            <w:tcW w:w="3327" w:type="pct"/>
            <w:vAlign w:val="center"/>
          </w:tcPr>
          <w:p>
            <w:pPr>
              <w:pageBreakBefore w:val="0"/>
              <w:kinsoku/>
              <w:wordWrap/>
              <w:overflowPunct/>
              <w:topLinePunct w:val="0"/>
              <w:autoSpaceDE/>
              <w:autoSpaceDN/>
              <w:bidi w:val="0"/>
              <w:adjustRightInd/>
              <w:snapToGrid/>
              <w:spacing w:line="460" w:lineRule="exact"/>
              <w:jc w:val="center"/>
              <w:textAlignment w:val="center"/>
              <w:rPr>
                <w:rFonts w:ascii="仿宋" w:hAnsi="仿宋" w:eastAsia="仿宋" w:cs="仿宋"/>
                <w:b/>
                <w:color w:val="auto"/>
                <w:sz w:val="24"/>
                <w:highlight w:val="none"/>
              </w:rPr>
            </w:pPr>
            <w:r>
              <w:rPr>
                <w:rFonts w:hint="eastAsia" w:ascii="仿宋" w:hAnsi="仿宋" w:eastAsia="仿宋" w:cs="仿宋"/>
                <w:b/>
                <w:bCs/>
                <w:color w:val="auto"/>
                <w:sz w:val="24"/>
                <w:highlight w:val="none"/>
              </w:rPr>
              <w:t>评分标准</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价格分</w:t>
            </w:r>
          </w:p>
        </w:tc>
        <w:tc>
          <w:tcPr>
            <w:tcW w:w="3327" w:type="pct"/>
            <w:vAlign w:val="center"/>
          </w:tcPr>
          <w:p>
            <w:pPr>
              <w:pageBreakBefore w:val="0"/>
              <w:kinsoku/>
              <w:wordWrap/>
              <w:overflowPunct/>
              <w:topLinePunct w:val="0"/>
              <w:autoSpaceDE/>
              <w:autoSpaceDN/>
              <w:bidi w:val="0"/>
              <w:adjustRightInd/>
              <w:snapToGrid/>
              <w:spacing w:line="460" w:lineRule="exact"/>
              <w:jc w:val="left"/>
              <w:textAlignment w:val="center"/>
              <w:rPr>
                <w:rFonts w:ascii="仿宋" w:hAnsi="仿宋" w:eastAsia="仿宋" w:cs="仿宋"/>
                <w:color w:val="auto"/>
                <w:sz w:val="24"/>
                <w:highlight w:val="none"/>
              </w:rPr>
            </w:pPr>
            <w:r>
              <w:rPr>
                <w:rFonts w:hint="eastAsia" w:ascii="仿宋" w:hAnsi="仿宋" w:eastAsia="仿宋" w:cs="仿宋"/>
                <w:color w:val="auto"/>
                <w:sz w:val="24"/>
                <w:highlight w:val="none"/>
              </w:rPr>
              <w:t>根据综合评分法，满足招标文件要求且投标价格最低的投标报价为评标基准价，投标报价得分</w:t>
            </w:r>
            <w:r>
              <w:rPr>
                <w:rFonts w:ascii="仿宋" w:hAnsi="仿宋" w:eastAsia="仿宋" w:cs="仿宋"/>
                <w:color w:val="auto"/>
                <w:sz w:val="24"/>
                <w:highlight w:val="none"/>
              </w:rPr>
              <w:t>=（评标基准价／投标报价）</w:t>
            </w:r>
            <w:r>
              <w:rPr>
                <w:rFonts w:hint="eastAsia" w:ascii="仿宋" w:hAnsi="仿宋" w:eastAsia="仿宋" w:cs="仿宋"/>
                <w:color w:val="auto"/>
                <w:sz w:val="24"/>
                <w:highlight w:val="none"/>
              </w:rPr>
              <w:t>×</w:t>
            </w:r>
            <w:r>
              <w:rPr>
                <w:rFonts w:ascii="仿宋" w:hAnsi="仿宋" w:eastAsia="仿宋" w:cs="仿宋"/>
                <w:color w:val="auto"/>
                <w:sz w:val="24"/>
                <w:highlight w:val="none"/>
              </w:rPr>
              <w:t>30%×100，计算分数时四舍五入取小数点后两位。</w:t>
            </w:r>
          </w:p>
          <w:p>
            <w:pPr>
              <w:pageBreakBefore w:val="0"/>
              <w:kinsoku/>
              <w:wordWrap/>
              <w:overflowPunct/>
              <w:topLinePunct w:val="0"/>
              <w:autoSpaceDE/>
              <w:autoSpaceDN/>
              <w:bidi w:val="0"/>
              <w:adjustRightInd/>
              <w:snapToGrid/>
              <w:spacing w:line="460" w:lineRule="exact"/>
              <w:ind w:firstLine="482" w:firstLineChars="200"/>
              <w:jc w:val="left"/>
              <w:textAlignment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注：</w:t>
            </w:r>
            <w:r>
              <w:rPr>
                <w:rFonts w:ascii="仿宋" w:hAnsi="仿宋" w:eastAsia="仿宋" w:cs="仿宋"/>
                <w:b/>
                <w:bCs/>
                <w:color w:val="auto"/>
                <w:sz w:val="24"/>
                <w:highlight w:val="none"/>
              </w:rPr>
              <w:t>小、微型企业或残疾人福利性单位产品或监狱产品的价格给予10%的扣除，用扣除后的价格参与评审。但残疾人福利性单位本身属于小型、微型企业的，不重复享受政策。</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30分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二、技术部分（5</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2"/>
        <w:gridCol w:w="1605"/>
        <w:gridCol w:w="5569"/>
        <w:gridCol w:w="7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53"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942"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3268"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评分标准</w:t>
            </w:r>
          </w:p>
        </w:tc>
        <w:tc>
          <w:tcPr>
            <w:tcW w:w="436"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353"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942"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技术参数及要求</w:t>
            </w:r>
          </w:p>
        </w:tc>
        <w:tc>
          <w:tcPr>
            <w:tcW w:w="3268" w:type="pct"/>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一、重大负偏离评审依据：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1、带★条款的响应，不满足招标文件要求的，或有缺项、漏项的，视为重大负偏离；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2、一般参数和带“▲”参数共有四项及以上（含本数）的负偏离，视为重大负偏离；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3、所投产品一般参数或带“▲”参数有一项低于招标文件要求，该项视为负偏离；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4、所投产品一般参数或带“▲”参数有一项缺项、漏项的，该项视为负偏离。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注：“一般参数”为非标“★”号参数和非标“▲”号参数。</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①投标文件中提供的技术条款响应表；</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②所投产品技术参数完全满足招标文件要求得</w:t>
            </w:r>
            <w:r>
              <w:rPr>
                <w:rFonts w:hint="eastAsia" w:ascii="仿宋" w:hAnsi="仿宋" w:eastAsia="仿宋" w:cs="仿宋"/>
                <w:b/>
                <w:bCs/>
                <w:color w:val="auto"/>
                <w:sz w:val="24"/>
                <w:highlight w:val="none"/>
                <w:lang w:val="en-US" w:eastAsia="zh-CN"/>
              </w:rPr>
              <w:t>40</w:t>
            </w:r>
            <w:r>
              <w:rPr>
                <w:rFonts w:hint="eastAsia" w:ascii="仿宋" w:hAnsi="仿宋" w:eastAsia="仿宋" w:cs="仿宋"/>
                <w:b/>
                <w:bCs/>
                <w:color w:val="auto"/>
                <w:sz w:val="24"/>
                <w:highlight w:val="none"/>
              </w:rPr>
              <w:t>分；重大负偏离则视为无效投标；一般参数或带“▲”参数每有一项负偏离减5分，最多减15分，四项或以上负偏离视为无效投标。</w:t>
            </w:r>
          </w:p>
        </w:tc>
        <w:tc>
          <w:tcPr>
            <w:tcW w:w="436" w:type="pct"/>
            <w:vAlign w:val="center"/>
          </w:tcPr>
          <w:p>
            <w:pPr>
              <w:pageBreakBefore w:val="0"/>
              <w:kinsoku/>
              <w:wordWrap/>
              <w:overflowPunct/>
              <w:topLinePunct w:val="0"/>
              <w:autoSpaceDE/>
              <w:autoSpaceDN/>
              <w:bidi w:val="0"/>
              <w:adjustRightInd/>
              <w:snapToGrid/>
              <w:spacing w:line="460" w:lineRule="exact"/>
              <w:jc w:val="center"/>
              <w:textAlignment w:val="center"/>
              <w:rPr>
                <w:rFonts w:hint="default"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40分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53"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942"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▲3.4通信距离≥60m</w:t>
            </w:r>
          </w:p>
        </w:tc>
        <w:tc>
          <w:tcPr>
            <w:tcW w:w="3268"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highlight w:val="none"/>
              </w:rPr>
              <w:t>通信距离</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rPr>
              <w:t>通信距离</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rPr>
              <w:t>通信距离</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szCs w:val="24"/>
                <w:highlight w:val="none"/>
              </w:rPr>
              <w:t>注：最优表示通信距离最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，次优表示通信距离仅次于最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值。</w:t>
            </w:r>
          </w:p>
        </w:tc>
        <w:tc>
          <w:tcPr>
            <w:tcW w:w="43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53"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942"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一般参数</w:t>
            </w:r>
          </w:p>
        </w:tc>
        <w:tc>
          <w:tcPr>
            <w:tcW w:w="3268"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在完全满足招标文件“</w:t>
            </w:r>
            <w:r>
              <w:rPr>
                <w:rFonts w:hint="eastAsia" w:ascii="仿宋" w:hAnsi="仿宋" w:eastAsia="仿宋" w:cs="仿宋"/>
                <w:color w:val="auto"/>
                <w:sz w:val="24"/>
                <w:highlight w:val="none"/>
                <w:lang w:eastAsia="zh-CN"/>
              </w:rPr>
              <w:t>所有参数</w:t>
            </w:r>
            <w:r>
              <w:rPr>
                <w:rFonts w:hint="eastAsia" w:ascii="仿宋" w:hAnsi="仿宋" w:eastAsia="仿宋" w:cs="仿宋"/>
                <w:color w:val="auto"/>
                <w:sz w:val="24"/>
                <w:highlight w:val="none"/>
              </w:rPr>
              <w:t>”要求的基础上，每有一条“一般参数”优于的加1分，本项最多加</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分。（加分只针对具有“≥”或“≤”的数值，数值更加优于的进行加分；文字内容或其他内容优于的不加分）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注：“一般参数”为非标“★”号参数和非标“▲”号参数。</w:t>
            </w:r>
          </w:p>
        </w:tc>
        <w:tc>
          <w:tcPr>
            <w:tcW w:w="43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53" w:type="pct"/>
            <w:vMerge w:val="continue"/>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646" w:type="pct"/>
            <w:gridSpan w:val="3"/>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评审依据：提供技术条款响应表和技术支撑文件</w:t>
            </w:r>
            <w:r>
              <w:rPr>
                <w:rFonts w:hint="eastAsia" w:ascii="仿宋" w:hAnsi="仿宋" w:eastAsia="仿宋" w:cs="仿宋"/>
                <w:b/>
                <w:bCs/>
                <w:color w:val="auto"/>
                <w:sz w:val="24"/>
                <w:highlight w:val="none"/>
                <w:lang w:eastAsia="zh-CN"/>
              </w:rPr>
              <w:t>。</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hint="eastAsia"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hint="eastAsia"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hint="eastAsia"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③制造商出具的技术参数证明材料并加盖制造商公章。]</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注：①供应商应认真提供技术支撑文件，若提供多份技术支撑文件，技术支撑文件佐证不一致时，优先级为：产品检测报告复印件＞制造商公开发布的印刷资料＞制造商出具的技术参数证明</w:t>
            </w:r>
            <w:r>
              <w:rPr>
                <w:rFonts w:hint="eastAsia" w:ascii="仿宋" w:hAnsi="仿宋" w:eastAsia="仿宋" w:cs="仿宋"/>
                <w:b/>
                <w:bCs/>
                <w:color w:val="auto"/>
                <w:sz w:val="24"/>
                <w:highlight w:val="none"/>
                <w:lang w:val="en-US" w:eastAsia="zh-CN"/>
              </w:rPr>
              <w:t>材料</w:t>
            </w:r>
            <w:r>
              <w:rPr>
                <w:rFonts w:hint="eastAsia" w:ascii="仿宋" w:hAnsi="仿宋" w:eastAsia="仿宋" w:cs="仿宋"/>
                <w:b/>
                <w:bCs/>
                <w:color w:val="auto"/>
                <w:sz w:val="24"/>
                <w:highlight w:val="none"/>
              </w:rPr>
              <w:t>；②技术支撑文件</w:t>
            </w:r>
            <w:r>
              <w:rPr>
                <w:rFonts w:hint="eastAsia" w:ascii="仿宋" w:hAnsi="仿宋" w:eastAsia="仿宋" w:cs="仿宋"/>
                <w:b/>
                <w:bCs/>
                <w:color w:val="auto"/>
                <w:sz w:val="24"/>
                <w:highlight w:val="none"/>
                <w:lang w:val="en-US" w:eastAsia="zh-CN"/>
              </w:rPr>
              <w:t>与</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不一致，则</w:t>
            </w:r>
            <w:r>
              <w:rPr>
                <w:rFonts w:hint="eastAsia" w:ascii="仿宋" w:hAnsi="仿宋" w:eastAsia="仿宋" w:cs="仿宋"/>
                <w:b/>
                <w:bCs/>
                <w:color w:val="auto"/>
                <w:sz w:val="24"/>
                <w:highlight w:val="none"/>
              </w:rPr>
              <w:t>该点不加分</w:t>
            </w:r>
            <w:r>
              <w:rPr>
                <w:rFonts w:hint="eastAsia" w:ascii="仿宋" w:hAnsi="仿宋" w:eastAsia="仿宋" w:cs="仿宋"/>
                <w:b/>
                <w:bCs/>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53"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942"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整体结构与外观</w:t>
            </w:r>
          </w:p>
        </w:tc>
        <w:tc>
          <w:tcPr>
            <w:tcW w:w="3268"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根据视频文件对产品的外观构造、内部结构、设计理念等进行评审。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设计理念先进，外部构造和内部结构科学合理，整体结构外观与实战紧贴程度高的，得3分；设计理念较为先进，外部构造和内部结构较为合理，整体结构外观与实战紧贴程度较高的，得2分；设计理念一般，外观构造和内部结构基本合理，整体结构外观与实战紧贴程度不高的，得1分；未提供证明材料或证明材料有缺项的不得分。</w:t>
            </w:r>
          </w:p>
        </w:tc>
        <w:tc>
          <w:tcPr>
            <w:tcW w:w="43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53"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942"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工艺</w:t>
            </w:r>
          </w:p>
        </w:tc>
        <w:tc>
          <w:tcPr>
            <w:tcW w:w="3268"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根据视频文件对产品的安全性、耐用性、实用性等进行评审。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性能高、耐用性能好、实用性能强，工艺符合实战需求程度高的，得3分；安全性能较高、耐用性能良好、实用性能较强，工艺符合实战需求程度较高的，得2分；安全性能不高、耐用性能普通、实用性能一般，工艺符合实战需求程度不高的，得1分；未提供证明材料或证明材料有缺项的不得分。</w:t>
            </w:r>
          </w:p>
        </w:tc>
        <w:tc>
          <w:tcPr>
            <w:tcW w:w="43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53"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942"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操作使用性能</w:t>
            </w:r>
          </w:p>
        </w:tc>
        <w:tc>
          <w:tcPr>
            <w:tcW w:w="3268"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根据视频文件对产品的可靠性、便捷性、稳定性等进行评审。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可靠性高、便捷性好、稳定性好，操作使用性能提升战斗力程度高的，得4分；可靠性较高、便捷性较好、稳定性良好，操作使用性能提升战斗力程度较高的，得2分；可靠性不高、便捷性和稳定性一般，操作使用性能提升战斗力程度不高的，得1分；未提供证明材料或证明材料有缺项的不得分。</w:t>
            </w:r>
          </w:p>
        </w:tc>
        <w:tc>
          <w:tcPr>
            <w:tcW w:w="43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53" w:type="pct"/>
            <w:vMerge w:val="continue"/>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646" w:type="pct"/>
            <w:gridSpan w:val="3"/>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lang w:eastAsia="zh-CN"/>
              </w:rPr>
            </w:pPr>
            <w:r>
              <w:rPr>
                <w:rFonts w:hint="eastAsia" w:ascii="仿宋" w:hAnsi="仿宋" w:eastAsia="仿宋" w:cs="仿宋"/>
                <w:b/>
                <w:bCs/>
                <w:color w:val="auto"/>
                <w:sz w:val="24"/>
                <w:highlight w:val="none"/>
              </w:rPr>
              <w:t>以上评审依据：根据视频文件对产品的整体结构与外观、工艺、操作使用性能进行综合评审，视频文件需对以上三点评审内容进行介绍（包含但不限于以上三点）。视频文件[视频文件格式须为通用格式，佐证视频时长不得超过5分钟，视频清晰度应至少保证所摄的界面文字清晰易辨、画面完整连贯、播放速度正常]应存储于U盘内（单独密封在信封中）与投标文件同时递交，逾期递交不予接收，</w:t>
            </w:r>
            <w:r>
              <w:rPr>
                <w:rFonts w:hint="eastAsia" w:ascii="仿宋" w:hAnsi="仿宋" w:eastAsia="仿宋" w:cs="仿宋"/>
                <w:b/>
                <w:bCs/>
                <w:color w:val="auto"/>
                <w:sz w:val="24"/>
                <w:highlight w:val="none"/>
                <w:lang w:eastAsia="zh-CN"/>
              </w:rPr>
              <w:t>U盘由采购代理机构封存，不予退回。未提供视频或视频无法打开的，得0分。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三、商务部分（1</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3"/>
        <w:gridCol w:w="1202"/>
        <w:gridCol w:w="5776"/>
        <w:gridCol w:w="8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序号</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评审因素</w:t>
            </w:r>
          </w:p>
        </w:tc>
        <w:tc>
          <w:tcPr>
            <w:tcW w:w="3389"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评分标准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1</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bCs/>
                <w:color w:val="auto"/>
                <w:sz w:val="24"/>
                <w:szCs w:val="22"/>
                <w:highlight w:val="none"/>
              </w:rPr>
            </w:pPr>
            <w:r>
              <w:rPr>
                <w:rFonts w:hint="eastAsia" w:ascii="仿宋" w:hAnsi="仿宋" w:eastAsia="仿宋" w:cs="仿宋"/>
                <w:color w:val="auto"/>
                <w:sz w:val="24"/>
                <w:highlight w:val="none"/>
              </w:rPr>
              <w:t>符合性评审</w:t>
            </w:r>
          </w:p>
        </w:tc>
        <w:tc>
          <w:tcPr>
            <w:tcW w:w="3887" w:type="pct"/>
            <w:gridSpan w:val="2"/>
            <w:vAlign w:val="center"/>
          </w:tcPr>
          <w:p>
            <w:pPr>
              <w:pageBreakBefore w:val="0"/>
              <w:kinsoku/>
              <w:wordWrap/>
              <w:overflowPunct/>
              <w:topLinePunct w:val="0"/>
              <w:autoSpaceDE/>
              <w:autoSpaceDN/>
              <w:bidi w:val="0"/>
              <w:adjustRightInd/>
              <w:snapToGrid/>
              <w:spacing w:line="460" w:lineRule="exact"/>
              <w:rPr>
                <w:rFonts w:eastAsia="仿宋" w:cs="Times New Roman"/>
                <w:color w:val="auto"/>
                <w:sz w:val="24"/>
                <w:szCs w:val="22"/>
                <w:highlight w:val="none"/>
              </w:rPr>
            </w:pPr>
            <w:r>
              <w:rPr>
                <w:rFonts w:hint="eastAsia" w:eastAsia="仿宋" w:cs="Times New Roman"/>
                <w:color w:val="auto"/>
                <w:sz w:val="24"/>
                <w:szCs w:val="22"/>
                <w:highlight w:val="none"/>
              </w:rPr>
              <w:t>投标人必须完全满足招标文件“商务要求”</w:t>
            </w:r>
            <w:r>
              <w:rPr>
                <w:rFonts w:hint="eastAsia" w:eastAsia="仿宋" w:cs="Times New Roman"/>
                <w:color w:val="auto"/>
                <w:sz w:val="24"/>
                <w:szCs w:val="22"/>
                <w:highlight w:val="none"/>
                <w:lang w:val="en-US" w:eastAsia="zh-CN"/>
              </w:rPr>
              <w:t>所有</w:t>
            </w:r>
            <w:r>
              <w:rPr>
                <w:rFonts w:hint="eastAsia" w:eastAsia="仿宋" w:cs="Times New Roman"/>
                <w:color w:val="auto"/>
                <w:sz w:val="24"/>
                <w:szCs w:val="22"/>
                <w:highlight w:val="none"/>
              </w:rPr>
              <w:t>实质性条款，任意一项不满足作无效投标处理。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eastAsia="仿宋" w:cs="Times New Roman"/>
                <w:b/>
                <w:bCs/>
                <w:color w:val="auto"/>
                <w:sz w:val="24"/>
                <w:szCs w:val="22"/>
                <w:highlight w:val="none"/>
              </w:rPr>
              <w:t>评审依据：投标文件中提供的商务条款响应表。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2</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hint="eastAsia" w:ascii="仿宋" w:hAnsi="仿宋" w:eastAsia="仿宋" w:cs="仿宋"/>
                <w:color w:val="auto"/>
                <w:sz w:val="24"/>
                <w:highlight w:val="none"/>
                <w:lang w:val="en-US" w:eastAsia="zh-CN"/>
              </w:rPr>
              <w:t>生产制造履约能力</w:t>
            </w:r>
          </w:p>
        </w:tc>
        <w:tc>
          <w:tcPr>
            <w:tcW w:w="3389" w:type="pct"/>
            <w:vAlign w:val="center"/>
          </w:tcPr>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val="en-US" w:eastAsia="zh-CN"/>
              </w:rPr>
              <w:t>投标人提供所投产品制造商的证明材料（应加盖制造商公章）</w:t>
            </w:r>
            <w:r>
              <w:rPr>
                <w:rFonts w:hint="eastAsia" w:eastAsia="仿宋" w:cs="Times New Roman"/>
                <w:color w:val="auto"/>
                <w:sz w:val="24"/>
                <w:szCs w:val="22"/>
                <w:highlight w:val="none"/>
              </w:rPr>
              <w:t>对</w:t>
            </w:r>
            <w:r>
              <w:rPr>
                <w:rFonts w:hint="eastAsia" w:ascii="仿宋" w:hAnsi="仿宋" w:eastAsia="仿宋" w:cs="仿宋"/>
                <w:color w:val="auto"/>
                <w:sz w:val="24"/>
                <w:highlight w:val="none"/>
                <w:lang w:val="en-US" w:eastAsia="zh-CN"/>
              </w:rPr>
              <w:t>生产制造履约能力</w:t>
            </w:r>
            <w:r>
              <w:rPr>
                <w:rFonts w:hint="eastAsia" w:eastAsia="仿宋" w:cs="Times New Roman"/>
                <w:color w:val="auto"/>
                <w:sz w:val="24"/>
                <w:szCs w:val="22"/>
                <w:highlight w:val="none"/>
              </w:rPr>
              <w:t>进行评审，包含但不限于</w:t>
            </w:r>
            <w:r>
              <w:rPr>
                <w:rFonts w:hint="eastAsia" w:eastAsia="仿宋" w:cs="Times New Roman"/>
                <w:color w:val="auto"/>
                <w:sz w:val="24"/>
                <w:szCs w:val="22"/>
                <w:highlight w:val="none"/>
                <w:lang w:eastAsia="zh-CN"/>
              </w:rPr>
              <w:t>：</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eastAsia="zh-CN"/>
              </w:rPr>
              <w:t>①制造商生产经营情况简介；</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②</w:t>
            </w:r>
            <w:r>
              <w:rPr>
                <w:rFonts w:hint="eastAsia" w:eastAsia="仿宋" w:cs="Times New Roman"/>
                <w:color w:val="auto"/>
                <w:sz w:val="24"/>
                <w:szCs w:val="22"/>
                <w:highlight w:val="none"/>
                <w:lang w:eastAsia="zh-CN"/>
              </w:rPr>
              <w:t>生产工艺流程，主要包括生产制造流程图、生产步骤（应含生产车间环境及实际生产照片）等相关情况描述；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③产品检验流程，包括主要检验设备</w:t>
            </w:r>
            <w:r>
              <w:rPr>
                <w:rFonts w:hint="eastAsia" w:eastAsia="仿宋" w:cs="Times New Roman"/>
                <w:color w:val="auto"/>
                <w:sz w:val="24"/>
                <w:szCs w:val="22"/>
                <w:highlight w:val="none"/>
                <w:lang w:eastAsia="zh-CN"/>
              </w:rPr>
              <w:t>（应提供图片）</w:t>
            </w:r>
            <w:r>
              <w:rPr>
                <w:rFonts w:hint="eastAsia" w:eastAsia="仿宋" w:cs="Times New Roman"/>
                <w:color w:val="auto"/>
                <w:sz w:val="24"/>
                <w:szCs w:val="22"/>
                <w:highlight w:val="none"/>
              </w:rPr>
              <w:t>、检验步骤等相关情况描述；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④人员配备：相关专业技术</w:t>
            </w:r>
            <w:r>
              <w:rPr>
                <w:rFonts w:hint="eastAsia" w:eastAsia="仿宋" w:cs="Times New Roman"/>
                <w:color w:val="auto"/>
                <w:sz w:val="24"/>
                <w:szCs w:val="22"/>
                <w:highlight w:val="none"/>
                <w:lang w:eastAsia="zh-CN"/>
              </w:rPr>
              <w:t>职称</w:t>
            </w:r>
            <w:r>
              <w:rPr>
                <w:rFonts w:hint="eastAsia" w:eastAsia="仿宋" w:cs="Times New Roman"/>
                <w:color w:val="auto"/>
                <w:sz w:val="24"/>
                <w:szCs w:val="22"/>
                <w:highlight w:val="none"/>
              </w:rPr>
              <w:t>人员配置情况</w:t>
            </w:r>
            <w:r>
              <w:rPr>
                <w:rFonts w:hint="eastAsia" w:eastAsia="仿宋" w:cs="Times New Roman"/>
                <w:color w:val="auto"/>
                <w:sz w:val="24"/>
                <w:szCs w:val="22"/>
                <w:highlight w:val="none"/>
                <w:lang w:eastAsia="zh-CN"/>
              </w:rPr>
              <w:t>；</w:t>
            </w:r>
            <w:r>
              <w:rPr>
                <w:rFonts w:hint="eastAsia" w:eastAsia="仿宋" w:cs="Times New Roman"/>
                <w:color w:val="auto"/>
                <w:sz w:val="24"/>
                <w:szCs w:val="22"/>
                <w:highlight w:val="none"/>
              </w:rPr>
              <w:t>各原材料采购、生产、检验、仓储、运输等环节的人员配备情况；</w:t>
            </w:r>
          </w:p>
          <w:p>
            <w:pPr>
              <w:pageBreakBefore w:val="0"/>
              <w:kinsoku/>
              <w:wordWrap/>
              <w:overflowPunct/>
              <w:topLinePunct w:val="0"/>
              <w:autoSpaceDE/>
              <w:autoSpaceDN/>
              <w:bidi w:val="0"/>
              <w:adjustRightInd/>
              <w:snapToGrid/>
              <w:spacing w:line="460" w:lineRule="exact"/>
              <w:rPr>
                <w:rFonts w:hint="eastAsia" w:eastAsia="仿宋" w:cs="Times New Roman"/>
                <w:b/>
                <w:bCs/>
                <w:color w:val="auto"/>
                <w:sz w:val="24"/>
                <w:szCs w:val="22"/>
                <w:highlight w:val="none"/>
              </w:rPr>
            </w:pPr>
            <w:r>
              <w:rPr>
                <w:rFonts w:hint="eastAsia" w:eastAsia="仿宋" w:cs="Times New Roman"/>
                <w:b/>
                <w:bCs/>
                <w:color w:val="auto"/>
                <w:sz w:val="24"/>
                <w:szCs w:val="22"/>
                <w:highlight w:val="none"/>
              </w:rPr>
              <w:t>评审依据：</w:t>
            </w:r>
            <w:r>
              <w:rPr>
                <w:rFonts w:hint="eastAsia" w:eastAsia="仿宋" w:cs="Times New Roman"/>
                <w:b/>
                <w:bCs/>
                <w:color w:val="auto"/>
                <w:sz w:val="24"/>
                <w:szCs w:val="22"/>
                <w:highlight w:val="none"/>
                <w:lang w:val="en-US" w:eastAsia="zh-CN"/>
              </w:rPr>
              <w:t>根据</w:t>
            </w:r>
            <w:r>
              <w:rPr>
                <w:rFonts w:hint="eastAsia" w:eastAsia="仿宋" w:cs="Times New Roman"/>
                <w:b/>
                <w:bCs/>
                <w:color w:val="auto"/>
                <w:sz w:val="24"/>
                <w:szCs w:val="22"/>
                <w:highlight w:val="none"/>
              </w:rPr>
              <w:t>投标人提</w:t>
            </w:r>
            <w:r>
              <w:rPr>
                <w:rFonts w:hint="eastAsia" w:eastAsia="仿宋" w:cs="Times New Roman"/>
                <w:b/>
                <w:bCs/>
                <w:color w:val="auto"/>
                <w:sz w:val="24"/>
                <w:szCs w:val="22"/>
                <w:highlight w:val="none"/>
                <w:lang w:val="en-US" w:eastAsia="zh-CN"/>
              </w:rPr>
              <w:t>供的</w:t>
            </w:r>
            <w:r>
              <w:rPr>
                <w:rFonts w:hint="eastAsia" w:ascii="仿宋" w:hAnsi="仿宋" w:eastAsia="仿宋" w:cs="仿宋"/>
                <w:b/>
                <w:bCs/>
                <w:color w:val="auto"/>
                <w:sz w:val="24"/>
                <w:highlight w:val="none"/>
                <w:lang w:val="en-US" w:eastAsia="zh-CN"/>
              </w:rPr>
              <w:t>生产制造履约能力</w:t>
            </w:r>
            <w:r>
              <w:rPr>
                <w:rFonts w:hint="eastAsia" w:eastAsia="仿宋" w:cs="Times New Roman"/>
                <w:b/>
                <w:bCs/>
                <w:color w:val="auto"/>
                <w:sz w:val="24"/>
                <w:szCs w:val="22"/>
                <w:highlight w:val="none"/>
                <w:lang w:val="en-US" w:eastAsia="zh-CN"/>
              </w:rPr>
              <w:t>方案内容完整性、组织性、关联性和可操作性进行评审</w:t>
            </w:r>
            <w:r>
              <w:rPr>
                <w:rFonts w:hint="eastAsia" w:eastAsia="仿宋" w:cs="Times New Roman"/>
                <w:b/>
                <w:bCs/>
                <w:color w:val="auto"/>
                <w:sz w:val="24"/>
                <w:szCs w:val="22"/>
                <w:highlight w:val="none"/>
              </w:rPr>
              <w:t>。</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1、所投</w:t>
            </w:r>
            <w:r>
              <w:rPr>
                <w:rFonts w:hint="eastAsia" w:eastAsia="仿宋" w:cs="Times New Roman"/>
                <w:b/>
                <w:bCs/>
                <w:color w:val="auto"/>
                <w:sz w:val="24"/>
                <w:szCs w:val="22"/>
                <w:highlight w:val="none"/>
                <w:lang w:val="en-US" w:eastAsia="zh-CN"/>
              </w:rPr>
              <w:t>产品</w:t>
            </w:r>
            <w:r>
              <w:rPr>
                <w:rFonts w:hint="eastAsia" w:ascii="仿宋" w:hAnsi="仿宋" w:eastAsia="仿宋" w:cs="仿宋"/>
                <w:b/>
                <w:bCs/>
                <w:color w:val="auto"/>
                <w:sz w:val="24"/>
                <w:szCs w:val="24"/>
                <w:highlight w:val="none"/>
                <w:lang w:val="en-US" w:eastAsia="zh-CN"/>
              </w:rPr>
              <w:t>制造商具备较强自主研发能力及先进的生产工艺，生产车间环境及生产线先进规范，生产步骤完整周详，技术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检验设备配置齐全、检验步骤严密无纰漏，</w:t>
            </w:r>
            <w:r>
              <w:rPr>
                <w:rFonts w:hint="eastAsia" w:ascii="仿宋" w:hAnsi="仿宋" w:eastAsia="仿宋" w:cs="仿宋"/>
                <w:b/>
                <w:bCs/>
                <w:color w:val="auto"/>
                <w:sz w:val="24"/>
                <w:highlight w:val="none"/>
                <w:lang w:val="en-US" w:eastAsia="zh-CN"/>
              </w:rPr>
              <w:t>生产制造履约能力</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分；</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2、所投</w:t>
            </w:r>
            <w:r>
              <w:rPr>
                <w:rFonts w:hint="eastAsia" w:eastAsia="仿宋" w:cs="Times New Roman"/>
                <w:b/>
                <w:bCs/>
                <w:color w:val="auto"/>
                <w:sz w:val="24"/>
                <w:szCs w:val="22"/>
                <w:highlight w:val="none"/>
                <w:lang w:val="en-US" w:eastAsia="zh-CN"/>
              </w:rPr>
              <w:t>产品</w:t>
            </w:r>
            <w:r>
              <w:rPr>
                <w:rFonts w:hint="eastAsia" w:ascii="仿宋" w:hAnsi="仿宋" w:eastAsia="仿宋" w:cs="仿宋"/>
                <w:b/>
                <w:bCs/>
                <w:color w:val="auto"/>
                <w:sz w:val="24"/>
                <w:szCs w:val="24"/>
                <w:highlight w:val="none"/>
                <w:lang w:val="en-US" w:eastAsia="zh-CN"/>
              </w:rPr>
              <w:t>制造商有自主研发能力和生产工艺较完整，生产车间环境及生产线常规，生产步骤较完整周详，技术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eastAsia="zh-CN"/>
              </w:rPr>
              <w:t>相对</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检验设备配置较齐全、检验步骤相对完备，</w:t>
            </w:r>
            <w:r>
              <w:rPr>
                <w:rFonts w:hint="eastAsia" w:ascii="仿宋" w:hAnsi="仿宋" w:eastAsia="仿宋" w:cs="仿宋"/>
                <w:b/>
                <w:bCs/>
                <w:color w:val="auto"/>
                <w:sz w:val="24"/>
                <w:highlight w:val="none"/>
                <w:lang w:val="en-US" w:eastAsia="zh-CN"/>
              </w:rPr>
              <w:t>生产制造履约能力</w:t>
            </w:r>
            <w:r>
              <w:rPr>
                <w:rFonts w:hint="eastAsia" w:ascii="仿宋" w:hAnsi="仿宋" w:eastAsia="仿宋" w:cs="仿宋"/>
                <w:b/>
                <w:bCs/>
                <w:color w:val="auto"/>
                <w:sz w:val="24"/>
                <w:szCs w:val="24"/>
                <w:highlight w:val="none"/>
                <w:lang w:eastAsia="zh-CN"/>
              </w:rPr>
              <w:t>较</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3、所投</w:t>
            </w:r>
            <w:r>
              <w:rPr>
                <w:rFonts w:hint="eastAsia" w:eastAsia="仿宋" w:cs="Times New Roman"/>
                <w:b/>
                <w:bCs/>
                <w:color w:val="auto"/>
                <w:sz w:val="24"/>
                <w:szCs w:val="22"/>
                <w:highlight w:val="none"/>
                <w:lang w:val="en-US" w:eastAsia="zh-CN"/>
              </w:rPr>
              <w:t>产品</w:t>
            </w:r>
            <w:r>
              <w:rPr>
                <w:rFonts w:hint="eastAsia" w:ascii="仿宋" w:hAnsi="仿宋" w:eastAsia="仿宋" w:cs="仿宋"/>
                <w:b/>
                <w:bCs/>
                <w:color w:val="auto"/>
                <w:sz w:val="24"/>
                <w:szCs w:val="24"/>
                <w:highlight w:val="none"/>
                <w:lang w:val="en-US" w:eastAsia="zh-CN"/>
              </w:rPr>
              <w:t>制造商有自主研发能力和生产工艺薄弱，生产车间环境及生产线粗糙落后，生产步骤简单，技术</w:t>
            </w:r>
            <w:r>
              <w:rPr>
                <w:rFonts w:hint="eastAsia" w:ascii="仿宋" w:hAnsi="仿宋" w:eastAsia="仿宋" w:cs="仿宋"/>
                <w:b/>
                <w:bCs/>
                <w:color w:val="auto"/>
                <w:sz w:val="24"/>
                <w:szCs w:val="24"/>
                <w:highlight w:val="none"/>
              </w:rPr>
              <w:t>人员</w:t>
            </w:r>
            <w:r>
              <w:rPr>
                <w:rFonts w:hint="eastAsia" w:ascii="仿宋" w:hAnsi="仿宋" w:eastAsia="仿宋" w:cs="仿宋"/>
                <w:b/>
                <w:bCs/>
                <w:color w:val="auto"/>
                <w:sz w:val="24"/>
                <w:szCs w:val="24"/>
                <w:highlight w:val="none"/>
                <w:lang w:eastAsia="zh-CN"/>
              </w:rPr>
              <w:t>综合实力一般，</w:t>
            </w:r>
            <w:r>
              <w:rPr>
                <w:rFonts w:hint="eastAsia" w:ascii="仿宋" w:hAnsi="仿宋" w:eastAsia="仿宋" w:cs="仿宋"/>
                <w:b/>
                <w:bCs/>
                <w:color w:val="auto"/>
                <w:sz w:val="24"/>
                <w:szCs w:val="24"/>
                <w:highlight w:val="none"/>
                <w:lang w:val="en-US" w:eastAsia="zh-CN"/>
              </w:rPr>
              <w:t>检验设备配置简单落后，检验步骤普通，</w:t>
            </w:r>
            <w:r>
              <w:rPr>
                <w:rFonts w:hint="eastAsia" w:ascii="仿宋" w:hAnsi="仿宋" w:eastAsia="仿宋" w:cs="仿宋"/>
                <w:b/>
                <w:bCs/>
                <w:color w:val="auto"/>
                <w:sz w:val="24"/>
                <w:highlight w:val="none"/>
                <w:lang w:val="en-US" w:eastAsia="zh-CN"/>
              </w:rPr>
              <w:t>生产制造履约能力</w:t>
            </w:r>
            <w:r>
              <w:rPr>
                <w:rFonts w:hint="eastAsia" w:ascii="仿宋" w:hAnsi="仿宋" w:eastAsia="仿宋" w:cs="仿宋"/>
                <w:b/>
                <w:bCs/>
                <w:color w:val="auto"/>
                <w:sz w:val="24"/>
                <w:szCs w:val="24"/>
                <w:highlight w:val="none"/>
                <w:lang w:eastAsia="zh-CN"/>
              </w:rPr>
              <w:t>弱</w:t>
            </w:r>
            <w:r>
              <w:rPr>
                <w:rFonts w:hint="eastAsia" w:ascii="仿宋" w:hAnsi="仿宋" w:eastAsia="仿宋" w:cs="仿宋"/>
                <w:b/>
                <w:bCs/>
                <w:color w:val="auto"/>
                <w:sz w:val="24"/>
                <w:szCs w:val="24"/>
                <w:highlight w:val="none"/>
              </w:rPr>
              <w:t>的得</w:t>
            </w: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未提供证明材料或证明材料有缺项的不得分。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3</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质量保证和保修</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eastAsia="仿宋"/>
                <w:color w:val="auto"/>
                <w:sz w:val="24"/>
                <w:szCs w:val="22"/>
                <w:highlight w:val="none"/>
              </w:rPr>
            </w:pPr>
            <w:r>
              <w:rPr>
                <w:rFonts w:eastAsia="仿宋"/>
                <w:color w:val="auto"/>
                <w:sz w:val="24"/>
                <w:szCs w:val="22"/>
                <w:highlight w:val="none"/>
              </w:rPr>
              <w:t>在招标文件商务要求中“质保期”和“保修期”要求基础上，承诺“质保期”和“保修期”均每延长一年的加2分，最多加4分。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eastAsia="仿宋"/>
                <w:b/>
                <w:color w:val="auto"/>
                <w:sz w:val="24"/>
                <w:szCs w:val="22"/>
                <w:highlight w:val="none"/>
              </w:rPr>
              <w:t>评审依据：投标文件中提供“质保期”和“保修期”均延长的承诺函原件。</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类似销售</w:t>
            </w:r>
          </w:p>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案例</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投标人自</w:t>
            </w:r>
            <w:r>
              <w:rPr>
                <w:rFonts w:eastAsia="仿宋" w:cs="Times New Roman"/>
                <w:color w:val="auto"/>
                <w:sz w:val="24"/>
                <w:szCs w:val="22"/>
                <w:highlight w:val="none"/>
              </w:rPr>
              <w:t>20</w:t>
            </w:r>
            <w:r>
              <w:rPr>
                <w:rFonts w:hint="eastAsia" w:eastAsia="仿宋" w:cs="Times New Roman"/>
                <w:color w:val="auto"/>
                <w:sz w:val="24"/>
                <w:szCs w:val="22"/>
                <w:highlight w:val="none"/>
              </w:rPr>
              <w:t>2</w:t>
            </w:r>
            <w:r>
              <w:rPr>
                <w:rFonts w:hint="eastAsia" w:eastAsia="仿宋" w:cs="Times New Roman"/>
                <w:color w:val="auto"/>
                <w:sz w:val="24"/>
                <w:szCs w:val="22"/>
                <w:highlight w:val="none"/>
                <w:lang w:val="en-US" w:eastAsia="zh-CN"/>
              </w:rPr>
              <w:t>1</w:t>
            </w:r>
            <w:r>
              <w:rPr>
                <w:rFonts w:hint="eastAsia" w:eastAsia="仿宋" w:cs="Times New Roman"/>
                <w:color w:val="auto"/>
                <w:sz w:val="24"/>
                <w:szCs w:val="22"/>
                <w:highlight w:val="none"/>
              </w:rPr>
              <w:t>年</w:t>
            </w:r>
            <w:r>
              <w:rPr>
                <w:rFonts w:eastAsia="仿宋" w:cs="Times New Roman"/>
                <w:color w:val="auto"/>
                <w:sz w:val="24"/>
                <w:szCs w:val="22"/>
                <w:highlight w:val="none"/>
              </w:rPr>
              <w:t>1月1日至今（以签订合同时间为准）具有类似产品销售案例，每提供1份销售案例加</w:t>
            </w:r>
            <w:r>
              <w:rPr>
                <w:rFonts w:hint="eastAsia" w:eastAsia="仿宋" w:cs="Times New Roman"/>
                <w:color w:val="auto"/>
                <w:sz w:val="24"/>
                <w:szCs w:val="22"/>
                <w:highlight w:val="none"/>
                <w:lang w:val="en-US" w:eastAsia="zh-CN"/>
              </w:rPr>
              <w:t>2</w:t>
            </w:r>
            <w:r>
              <w:rPr>
                <w:rFonts w:hint="eastAsia" w:eastAsia="仿宋" w:cs="Times New Roman"/>
                <w:color w:val="auto"/>
                <w:sz w:val="24"/>
                <w:szCs w:val="22"/>
                <w:highlight w:val="none"/>
              </w:rPr>
              <w:t>分，本项最多加</w:t>
            </w:r>
            <w:r>
              <w:rPr>
                <w:rFonts w:hint="eastAsia" w:eastAsia="仿宋" w:cs="Times New Roman"/>
                <w:color w:val="auto"/>
                <w:sz w:val="24"/>
                <w:szCs w:val="22"/>
                <w:highlight w:val="none"/>
                <w:lang w:val="en-US" w:eastAsia="zh-CN"/>
              </w:rPr>
              <w:t>6</w:t>
            </w:r>
            <w:r>
              <w:rPr>
                <w:rFonts w:hint="eastAsia" w:eastAsia="仿宋" w:cs="Times New Roman"/>
                <w:color w:val="auto"/>
                <w:sz w:val="24"/>
                <w:szCs w:val="22"/>
                <w:highlight w:val="none"/>
              </w:rPr>
              <w:t>分。</w:t>
            </w:r>
          </w:p>
          <w:p>
            <w:pPr>
              <w:pageBreakBefore w:val="0"/>
              <w:kinsoku/>
              <w:wordWrap/>
              <w:overflowPunct/>
              <w:topLinePunct w:val="0"/>
              <w:autoSpaceDE/>
              <w:autoSpaceDN/>
              <w:bidi w:val="0"/>
              <w:adjustRightInd/>
              <w:snapToGrid/>
              <w:spacing w:line="460" w:lineRule="exact"/>
              <w:jc w:val="left"/>
              <w:rPr>
                <w:rFonts w:eastAsia="仿宋"/>
                <w:b/>
                <w:bCs/>
                <w:color w:val="auto"/>
                <w:sz w:val="24"/>
                <w:szCs w:val="22"/>
                <w:highlight w:val="none"/>
              </w:rPr>
            </w:pPr>
            <w:r>
              <w:rPr>
                <w:rFonts w:hint="eastAsia" w:eastAsia="仿宋" w:cs="Times New Roman"/>
                <w:b/>
                <w:bCs/>
                <w:color w:val="auto"/>
                <w:sz w:val="24"/>
                <w:szCs w:val="22"/>
                <w:highlight w:val="none"/>
              </w:rPr>
              <w:t>评审依据：①投标文件中提供销售案例明细表（销售案例明细表包含</w:t>
            </w:r>
            <w:r>
              <w:rPr>
                <w:rFonts w:eastAsia="仿宋" w:cs="Times New Roman"/>
                <w:b/>
                <w:bCs/>
                <w:color w:val="auto"/>
                <w:sz w:val="24"/>
                <w:szCs w:val="22"/>
                <w:highlight w:val="none"/>
              </w:rPr>
              <w:t>:发布网站名称、网页链接地址、采购项目名称、采购单位名称和联系方式、采购代理机构名称和联系方式）；</w:t>
            </w:r>
            <w:r>
              <w:rPr>
                <w:rFonts w:hint="eastAsia" w:eastAsia="仿宋" w:cs="Times New Roman"/>
                <w:b/>
                <w:bCs/>
                <w:color w:val="auto"/>
                <w:sz w:val="24"/>
                <w:szCs w:val="22"/>
                <w:highlight w:val="none"/>
              </w:rPr>
              <w:t>②</w:t>
            </w:r>
            <w:r>
              <w:rPr>
                <w:rFonts w:hint="eastAsia" w:eastAsia="仿宋" w:cs="Times New Roman"/>
                <w:b/>
                <w:bCs/>
                <w:color w:val="auto"/>
                <w:sz w:val="24"/>
                <w:szCs w:val="22"/>
                <w:highlight w:val="none"/>
                <w:lang w:eastAsia="zh-CN"/>
              </w:rPr>
              <w:t>中标（成交）公告截图（打印网页）、中标通知书复印件和合同复印件（中标通知书或合同复印件应体现类似销售案例的货物），合同签订方必须是投标人本身。</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hint="eastAsia" w:eastAsia="仿宋"/>
                <w:color w:val="auto"/>
                <w:sz w:val="24"/>
                <w:szCs w:val="22"/>
                <w:highlight w:val="none"/>
                <w:lang w:val="en-US" w:eastAsia="zh-CN"/>
              </w:rPr>
              <w:t>6</w:t>
            </w:r>
            <w:r>
              <w:rPr>
                <w:rFonts w:eastAsia="仿宋"/>
                <w:color w:val="auto"/>
                <w:sz w:val="24"/>
                <w:szCs w:val="22"/>
                <w:highlight w:val="none"/>
              </w:rPr>
              <w:t>分</w:t>
            </w:r>
          </w:p>
        </w:tc>
      </w:tr>
    </w:tbl>
    <w:p>
      <w:pPr>
        <w:pageBreakBefore w:val="0"/>
        <w:kinsoku/>
        <w:wordWrap/>
        <w:overflowPunct/>
        <w:topLinePunct w:val="0"/>
        <w:autoSpaceDE/>
        <w:autoSpaceDN/>
        <w:bidi w:val="0"/>
        <w:adjustRightInd/>
        <w:snapToGrid/>
        <w:spacing w:line="460" w:lineRule="exact"/>
        <w:rPr>
          <w:color w:val="auto"/>
        </w:rPr>
        <w:sectPr>
          <w:pgSz w:w="11906" w:h="16838"/>
          <w:pgMar w:top="1440" w:right="1800" w:bottom="1440" w:left="1800" w:header="851" w:footer="992" w:gutter="0"/>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460" w:lineRule="exact"/>
        <w:jc w:val="left"/>
        <w:textAlignment w:val="auto"/>
        <w:outlineLvl w:val="1"/>
        <w:rPr>
          <w:rFonts w:hint="eastAsia" w:ascii="仿宋" w:hAnsi="仿宋" w:eastAsia="仿宋" w:cs="Times New Roman"/>
          <w:b/>
          <w:bCs/>
          <w:color w:val="auto"/>
          <w:sz w:val="28"/>
          <w:szCs w:val="28"/>
          <w:highlight w:val="none"/>
          <w:lang w:eastAsia="zh-CN"/>
        </w:rPr>
      </w:pPr>
      <w:bookmarkStart w:id="640" w:name="_Toc5998"/>
      <w:bookmarkStart w:id="641" w:name="_Toc21753"/>
      <w:bookmarkStart w:id="642" w:name="_Toc16537"/>
      <w:bookmarkStart w:id="643" w:name="_Toc3919"/>
      <w:r>
        <w:rPr>
          <w:rFonts w:hint="eastAsia" w:ascii="仿宋" w:hAnsi="仿宋" w:eastAsia="仿宋" w:cs="Times New Roman"/>
          <w:b/>
          <w:bCs/>
          <w:color w:val="auto"/>
          <w:sz w:val="28"/>
          <w:szCs w:val="28"/>
          <w:highlight w:val="none"/>
          <w:lang w:val="en-US" w:eastAsia="zh-CN"/>
        </w:rPr>
        <w:t>10包</w:t>
      </w:r>
      <w:r>
        <w:rPr>
          <w:rFonts w:hint="eastAsia" w:ascii="仿宋" w:hAnsi="仿宋" w:eastAsia="仿宋" w:cs="Times New Roman"/>
          <w:b/>
          <w:bCs/>
          <w:color w:val="auto"/>
          <w:sz w:val="28"/>
          <w:szCs w:val="28"/>
          <w:highlight w:val="none"/>
        </w:rPr>
        <w:t>：现场空气监测仪</w:t>
      </w:r>
      <w:r>
        <w:rPr>
          <w:rFonts w:hint="eastAsia" w:ascii="仿宋" w:hAnsi="仿宋" w:eastAsia="仿宋" w:cs="Times New Roman"/>
          <w:b/>
          <w:bCs/>
          <w:color w:val="auto"/>
          <w:sz w:val="28"/>
          <w:szCs w:val="28"/>
          <w:highlight w:val="none"/>
          <w:lang w:eastAsia="zh-CN"/>
        </w:rPr>
        <w:t>、</w:t>
      </w:r>
      <w:r>
        <w:rPr>
          <w:rFonts w:hint="eastAsia" w:ascii="仿宋" w:hAnsi="仿宋" w:eastAsia="仿宋" w:cs="Times New Roman"/>
          <w:b/>
          <w:bCs/>
          <w:color w:val="auto"/>
          <w:sz w:val="28"/>
          <w:szCs w:val="28"/>
          <w:highlight w:val="none"/>
          <w:lang w:val="en-US" w:eastAsia="zh-CN"/>
        </w:rPr>
        <w:t>测温仪【核心产品】、水质分析仪、电子气象仪</w:t>
      </w:r>
      <w:bookmarkEnd w:id="640"/>
      <w:bookmarkEnd w:id="641"/>
      <w:bookmarkEnd w:id="642"/>
      <w:bookmarkEnd w:id="643"/>
    </w:p>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hint="eastAsia" w:ascii="仿宋" w:hAnsi="仿宋" w:eastAsia="仿宋"/>
          <w:b/>
          <w:color w:val="auto"/>
          <w:sz w:val="24"/>
          <w:highlight w:val="none"/>
        </w:rPr>
        <w:t>一、价格部分（</w:t>
      </w:r>
      <w:r>
        <w:rPr>
          <w:rFonts w:ascii="仿宋" w:hAnsi="仿宋" w:eastAsia="仿宋"/>
          <w:b/>
          <w:color w:val="auto"/>
          <w:sz w:val="24"/>
          <w:highlight w:val="none"/>
        </w:rPr>
        <w:t>30分）</w:t>
      </w:r>
    </w:p>
    <w:tbl>
      <w:tblPr>
        <w:tblStyle w:val="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1"/>
        <w:gridCol w:w="1449"/>
        <w:gridCol w:w="5672"/>
        <w:gridCol w:w="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评审因素</w:t>
            </w:r>
          </w:p>
        </w:tc>
        <w:tc>
          <w:tcPr>
            <w:tcW w:w="3327" w:type="pct"/>
            <w:vAlign w:val="center"/>
          </w:tcPr>
          <w:p>
            <w:pPr>
              <w:pageBreakBefore w:val="0"/>
              <w:kinsoku/>
              <w:wordWrap/>
              <w:overflowPunct/>
              <w:topLinePunct w:val="0"/>
              <w:autoSpaceDE/>
              <w:autoSpaceDN/>
              <w:bidi w:val="0"/>
              <w:adjustRightInd/>
              <w:snapToGrid/>
              <w:spacing w:line="460" w:lineRule="exact"/>
              <w:jc w:val="center"/>
              <w:textAlignment w:val="center"/>
              <w:rPr>
                <w:rFonts w:ascii="仿宋" w:hAnsi="仿宋" w:eastAsia="仿宋" w:cs="仿宋"/>
                <w:b/>
                <w:color w:val="auto"/>
                <w:sz w:val="24"/>
                <w:highlight w:val="none"/>
              </w:rPr>
            </w:pPr>
            <w:r>
              <w:rPr>
                <w:rFonts w:hint="eastAsia" w:ascii="仿宋" w:hAnsi="仿宋" w:eastAsia="仿宋" w:cs="仿宋"/>
                <w:b/>
                <w:bCs/>
                <w:color w:val="auto"/>
                <w:sz w:val="24"/>
                <w:highlight w:val="none"/>
              </w:rPr>
              <w:t>评分标准</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价格分</w:t>
            </w:r>
          </w:p>
        </w:tc>
        <w:tc>
          <w:tcPr>
            <w:tcW w:w="3327" w:type="pct"/>
            <w:vAlign w:val="center"/>
          </w:tcPr>
          <w:p>
            <w:pPr>
              <w:pageBreakBefore w:val="0"/>
              <w:kinsoku/>
              <w:wordWrap/>
              <w:overflowPunct/>
              <w:topLinePunct w:val="0"/>
              <w:autoSpaceDE/>
              <w:autoSpaceDN/>
              <w:bidi w:val="0"/>
              <w:adjustRightInd/>
              <w:snapToGrid/>
              <w:spacing w:line="460" w:lineRule="exact"/>
              <w:jc w:val="left"/>
              <w:textAlignment w:val="center"/>
              <w:rPr>
                <w:rFonts w:ascii="仿宋" w:hAnsi="仿宋" w:eastAsia="仿宋" w:cs="仿宋"/>
                <w:color w:val="auto"/>
                <w:sz w:val="24"/>
                <w:highlight w:val="none"/>
              </w:rPr>
            </w:pPr>
            <w:r>
              <w:rPr>
                <w:rFonts w:hint="eastAsia" w:ascii="仿宋" w:hAnsi="仿宋" w:eastAsia="仿宋" w:cs="仿宋"/>
                <w:color w:val="auto"/>
                <w:sz w:val="24"/>
                <w:highlight w:val="none"/>
              </w:rPr>
              <w:t>根据综合评分法，满足招标文件要求且投标价格最低的投标报价为评标基准价，投标报价得分</w:t>
            </w:r>
            <w:r>
              <w:rPr>
                <w:rFonts w:ascii="仿宋" w:hAnsi="仿宋" w:eastAsia="仿宋" w:cs="仿宋"/>
                <w:color w:val="auto"/>
                <w:sz w:val="24"/>
                <w:highlight w:val="none"/>
              </w:rPr>
              <w:t>=（评标基准价／投标报价）</w:t>
            </w:r>
            <w:r>
              <w:rPr>
                <w:rFonts w:hint="eastAsia" w:ascii="仿宋" w:hAnsi="仿宋" w:eastAsia="仿宋" w:cs="仿宋"/>
                <w:color w:val="auto"/>
                <w:sz w:val="24"/>
                <w:highlight w:val="none"/>
              </w:rPr>
              <w:t>×</w:t>
            </w:r>
            <w:r>
              <w:rPr>
                <w:rFonts w:ascii="仿宋" w:hAnsi="仿宋" w:eastAsia="仿宋" w:cs="仿宋"/>
                <w:color w:val="auto"/>
                <w:sz w:val="24"/>
                <w:highlight w:val="none"/>
              </w:rPr>
              <w:t>30%×100，计算分数时四舍五入取小数点后两位。</w:t>
            </w:r>
          </w:p>
          <w:p>
            <w:pPr>
              <w:pageBreakBefore w:val="0"/>
              <w:kinsoku/>
              <w:wordWrap/>
              <w:overflowPunct/>
              <w:topLinePunct w:val="0"/>
              <w:autoSpaceDE/>
              <w:autoSpaceDN/>
              <w:bidi w:val="0"/>
              <w:adjustRightInd/>
              <w:snapToGrid/>
              <w:spacing w:line="460" w:lineRule="exact"/>
              <w:ind w:firstLine="482" w:firstLineChars="200"/>
              <w:jc w:val="left"/>
              <w:textAlignment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注：</w:t>
            </w:r>
            <w:r>
              <w:rPr>
                <w:rFonts w:ascii="仿宋" w:hAnsi="仿宋" w:eastAsia="仿宋" w:cs="仿宋"/>
                <w:b/>
                <w:bCs/>
                <w:color w:val="auto"/>
                <w:sz w:val="24"/>
                <w:highlight w:val="none"/>
              </w:rPr>
              <w:t>小、微型企业或残疾人福利性单位产品或监狱产品的价格给予10%的扣除，用扣除后的价格参与评审。但残疾人福利性单位本身属于小型、微型企业的，不重复享受政策。</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30分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二、技术部分（5</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7"/>
        <w:gridCol w:w="487"/>
        <w:gridCol w:w="1149"/>
        <w:gridCol w:w="5685"/>
        <w:gridCol w:w="7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960" w:type="pct"/>
            <w:gridSpan w:val="2"/>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3336"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评分标准</w:t>
            </w:r>
          </w:p>
        </w:tc>
        <w:tc>
          <w:tcPr>
            <w:tcW w:w="434"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268"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960"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技术参数及要求</w:t>
            </w:r>
          </w:p>
        </w:tc>
        <w:tc>
          <w:tcPr>
            <w:tcW w:w="3336" w:type="pct"/>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一、重大负偏离评审依据：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1、带★条款的响应，不满足招标文件要求的，或有缺项、漏项的，视为重大负偏离；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2、一般参数和带“▲”参数共有四项及以上（含本数）的负偏离，视为重大负偏离；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3、所投产品一般参数或带“▲”参数有一项低于招标文件要求，该项视为负偏离；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4、所投产品一般参数或带“▲”参数有一项缺项、漏项的，该项视为负偏离。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注：“一般参数”为非标“★”号参数和非标“▲”号参数。</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①投标文件中提供的技术条款响应表；</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②所投产品技术参数完全满足招标文件要求得</w:t>
            </w:r>
            <w:r>
              <w:rPr>
                <w:rFonts w:hint="eastAsia" w:ascii="仿宋" w:hAnsi="仿宋" w:eastAsia="仿宋" w:cs="仿宋"/>
                <w:b/>
                <w:bCs/>
                <w:color w:val="auto"/>
                <w:sz w:val="24"/>
                <w:highlight w:val="none"/>
                <w:lang w:val="en-US" w:eastAsia="zh-CN"/>
              </w:rPr>
              <w:t>32</w:t>
            </w:r>
            <w:r>
              <w:rPr>
                <w:rFonts w:hint="eastAsia" w:ascii="仿宋" w:hAnsi="仿宋" w:eastAsia="仿宋" w:cs="仿宋"/>
                <w:b/>
                <w:bCs/>
                <w:color w:val="auto"/>
                <w:sz w:val="24"/>
                <w:highlight w:val="none"/>
              </w:rPr>
              <w:t>分；重大负偏离则视为无效投标；一般参数或带“▲”参数每有一项负偏离减5分，最多减15分，四项或以上负偏离视为无效投标。</w:t>
            </w:r>
          </w:p>
        </w:tc>
        <w:tc>
          <w:tcPr>
            <w:tcW w:w="434" w:type="pct"/>
            <w:vAlign w:val="center"/>
          </w:tcPr>
          <w:p>
            <w:pPr>
              <w:pageBreakBefore w:val="0"/>
              <w:kinsoku/>
              <w:wordWrap/>
              <w:overflowPunct/>
              <w:topLinePunct w:val="0"/>
              <w:autoSpaceDE/>
              <w:autoSpaceDN/>
              <w:bidi w:val="0"/>
              <w:adjustRightInd/>
              <w:snapToGrid/>
              <w:spacing w:line="460" w:lineRule="exact"/>
              <w:jc w:val="center"/>
              <w:textAlignment w:val="center"/>
              <w:rPr>
                <w:rFonts w:hint="default"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32分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286" w:type="pct"/>
            <w:vMerge w:val="restar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测温仪</w:t>
            </w:r>
          </w:p>
        </w:tc>
        <w:tc>
          <w:tcPr>
            <w:tcW w:w="674"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▲3.5测温范围≥-50℃～900℃</w:t>
            </w:r>
          </w:p>
        </w:tc>
        <w:tc>
          <w:tcPr>
            <w:tcW w:w="3336"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highlight w:val="none"/>
                <w:lang w:val="en-US" w:eastAsia="zh-CN"/>
              </w:rPr>
              <w:t>测温范围</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测温范围</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val="en-US" w:eastAsia="zh-CN"/>
              </w:rPr>
              <w:t>测温范围</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szCs w:val="24"/>
                <w:highlight w:val="none"/>
              </w:rPr>
              <w:t>注：最优表示测温范围最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，次优表示测温范围仅次于最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值。</w:t>
            </w:r>
          </w:p>
        </w:tc>
        <w:tc>
          <w:tcPr>
            <w:tcW w:w="43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286" w:type="pct"/>
            <w:vMerge w:val="continue"/>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p>
        </w:tc>
        <w:tc>
          <w:tcPr>
            <w:tcW w:w="674"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▲3.6测量距离≥100米</w:t>
            </w:r>
          </w:p>
        </w:tc>
        <w:tc>
          <w:tcPr>
            <w:tcW w:w="3336"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仿宋"/>
                <w:color w:val="auto"/>
                <w:sz w:val="24"/>
                <w:szCs w:val="24"/>
                <w:highlight w:val="none"/>
                <w:lang w:val="en-US" w:eastAsia="zh-CN"/>
              </w:rPr>
              <w:t>产品</w:t>
            </w:r>
            <w:r>
              <w:rPr>
                <w:rFonts w:hint="eastAsia" w:ascii="仿宋" w:hAnsi="仿宋" w:eastAsia="仿宋" w:cs="仿宋"/>
                <w:color w:val="auto"/>
                <w:sz w:val="24"/>
                <w:highlight w:val="none"/>
                <w:lang w:val="en-US" w:eastAsia="zh-CN"/>
              </w:rPr>
              <w:t>测量距离</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测量距离</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val="en-US" w:eastAsia="zh-CN"/>
              </w:rPr>
              <w:t>测量距离</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val="en-US" w:eastAsia="zh-CN"/>
              </w:rPr>
              <w:t>测量距离</w:t>
            </w:r>
            <w:r>
              <w:rPr>
                <w:rFonts w:hint="eastAsia" w:ascii="仿宋" w:hAnsi="仿宋" w:eastAsia="仿宋" w:cs="仿宋"/>
                <w:b/>
                <w:bCs/>
                <w:color w:val="auto"/>
                <w:sz w:val="24"/>
                <w:szCs w:val="24"/>
                <w:highlight w:val="none"/>
              </w:rPr>
              <w:t>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，次优表示</w:t>
            </w:r>
            <w:r>
              <w:rPr>
                <w:rFonts w:hint="eastAsia" w:ascii="仿宋" w:hAnsi="仿宋" w:eastAsia="仿宋" w:cs="仿宋"/>
                <w:b/>
                <w:bCs/>
                <w:color w:val="auto"/>
                <w:sz w:val="24"/>
                <w:szCs w:val="24"/>
                <w:highlight w:val="none"/>
                <w:lang w:val="en-US" w:eastAsia="zh-CN"/>
              </w:rPr>
              <w:t>测量距离</w:t>
            </w:r>
            <w:r>
              <w:rPr>
                <w:rFonts w:hint="eastAsia" w:ascii="仿宋" w:hAnsi="仿宋" w:eastAsia="仿宋" w:cs="仿宋"/>
                <w:b/>
                <w:bCs/>
                <w:color w:val="auto"/>
                <w:sz w:val="24"/>
                <w:szCs w:val="24"/>
                <w:highlight w:val="none"/>
              </w:rPr>
              <w:t>仅次于最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值。</w:t>
            </w:r>
          </w:p>
        </w:tc>
        <w:tc>
          <w:tcPr>
            <w:tcW w:w="43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960"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一般参数</w:t>
            </w:r>
          </w:p>
        </w:tc>
        <w:tc>
          <w:tcPr>
            <w:tcW w:w="3336"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在完全满足招标文件“</w:t>
            </w:r>
            <w:r>
              <w:rPr>
                <w:rFonts w:hint="eastAsia" w:ascii="仿宋" w:hAnsi="仿宋" w:eastAsia="仿宋" w:cs="仿宋"/>
                <w:color w:val="auto"/>
                <w:sz w:val="24"/>
                <w:highlight w:val="none"/>
                <w:lang w:eastAsia="zh-CN"/>
              </w:rPr>
              <w:t>所有参数</w:t>
            </w:r>
            <w:r>
              <w:rPr>
                <w:rFonts w:hint="eastAsia" w:ascii="仿宋" w:hAnsi="仿宋" w:eastAsia="仿宋" w:cs="仿宋"/>
                <w:color w:val="auto"/>
                <w:sz w:val="24"/>
                <w:highlight w:val="none"/>
              </w:rPr>
              <w:t>”要求的基础上，每有一条“一般参数”优于的加1分，本项最多加</w:t>
            </w: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分。（加分只针对具有“≥”或“≤”的数值，数值更加优于的进行加分；文字内容或其他内容优于的不加分）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注：“一般参数”为非标“★”号参数和非标“▲”号参数。</w:t>
            </w:r>
          </w:p>
        </w:tc>
        <w:tc>
          <w:tcPr>
            <w:tcW w:w="43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7分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268" w:type="pct"/>
            <w:vMerge w:val="continue"/>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731" w:type="pct"/>
            <w:gridSpan w:val="4"/>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评审依据：提供技术条款响应表和技术支撑文件</w:t>
            </w:r>
            <w:r>
              <w:rPr>
                <w:rFonts w:hint="eastAsia" w:ascii="仿宋" w:hAnsi="仿宋" w:eastAsia="仿宋" w:cs="仿宋"/>
                <w:b/>
                <w:bCs/>
                <w:color w:val="auto"/>
                <w:sz w:val="24"/>
                <w:highlight w:val="none"/>
                <w:lang w:eastAsia="zh-CN"/>
              </w:rPr>
              <w:t>。</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hint="eastAsia"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hint="eastAsia"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hint="eastAsia"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③制造商出具的技术参数证明材料并加盖制造商公章。]</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注：①供应商应认真提供技术支撑文件，若提供多份技术支撑文件，技术支撑文件佐证不一致时，优先级为：产品检测报告复印件＞制造商公开发布的印刷资料＞制造商出具的技术参数证明</w:t>
            </w:r>
            <w:r>
              <w:rPr>
                <w:rFonts w:hint="eastAsia" w:ascii="仿宋" w:hAnsi="仿宋" w:eastAsia="仿宋" w:cs="仿宋"/>
                <w:b/>
                <w:bCs/>
                <w:color w:val="auto"/>
                <w:sz w:val="24"/>
                <w:highlight w:val="none"/>
                <w:lang w:val="en-US" w:eastAsia="zh-CN"/>
              </w:rPr>
              <w:t>材料</w:t>
            </w:r>
            <w:r>
              <w:rPr>
                <w:rFonts w:hint="eastAsia" w:ascii="仿宋" w:hAnsi="仿宋" w:eastAsia="仿宋" w:cs="仿宋"/>
                <w:b/>
                <w:bCs/>
                <w:color w:val="auto"/>
                <w:sz w:val="24"/>
                <w:highlight w:val="none"/>
              </w:rPr>
              <w:t>；②技术支撑文件</w:t>
            </w:r>
            <w:r>
              <w:rPr>
                <w:rFonts w:hint="eastAsia" w:ascii="仿宋" w:hAnsi="仿宋" w:eastAsia="仿宋" w:cs="仿宋"/>
                <w:b/>
                <w:bCs/>
                <w:color w:val="auto"/>
                <w:sz w:val="24"/>
                <w:highlight w:val="none"/>
                <w:lang w:val="en-US" w:eastAsia="zh-CN"/>
              </w:rPr>
              <w:t>与</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不一致，则</w:t>
            </w:r>
            <w:r>
              <w:rPr>
                <w:rFonts w:hint="eastAsia" w:ascii="仿宋" w:hAnsi="仿宋" w:eastAsia="仿宋" w:cs="仿宋"/>
                <w:b/>
                <w:bCs/>
                <w:color w:val="auto"/>
                <w:sz w:val="24"/>
                <w:highlight w:val="none"/>
              </w:rPr>
              <w:t>该点不加分</w:t>
            </w:r>
            <w:r>
              <w:rPr>
                <w:rFonts w:hint="eastAsia" w:ascii="仿宋" w:hAnsi="仿宋" w:eastAsia="仿宋" w:cs="仿宋"/>
                <w:b/>
                <w:bCs/>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68"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960"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整体结构与外观</w:t>
            </w:r>
          </w:p>
        </w:tc>
        <w:tc>
          <w:tcPr>
            <w:tcW w:w="3336"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根据视频文件对核心产品的外观构造、内部结构、设计理念等进行评审。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设计理念先进，外部构造和内部结构科学合理，整体结构外观与实战紧贴程度高的，得3分；设计理念较为先进，外部构造和内部结构较为合理，整体结构外观与实战紧贴程度较高的，得2分；设计理念一般，外观构造和内部结构基本合理，整体结构外观与实战紧贴程度不高的，得1分；未提供证明材料或证明材料有缺项的不得分。</w:t>
            </w:r>
          </w:p>
        </w:tc>
        <w:tc>
          <w:tcPr>
            <w:tcW w:w="43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960"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工艺</w:t>
            </w:r>
          </w:p>
        </w:tc>
        <w:tc>
          <w:tcPr>
            <w:tcW w:w="3336"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根据视频文件对核心产品的安全性、耐用性、实用性等进行评审。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性能高、耐用性能好、实用性能强，工艺符合实战需求程度高的，得3分；安全性能较高、耐用性能良好、实用性能较强，工艺符合实战需求程度较高的，得2分；安全性能不高、耐用性能普通、实用性能一般，工艺符合实战需求程度不高的，得1分；未提供证明材料或证明材料有缺项的不得分。</w:t>
            </w:r>
          </w:p>
        </w:tc>
        <w:tc>
          <w:tcPr>
            <w:tcW w:w="43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960"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操作使用性能</w:t>
            </w:r>
          </w:p>
        </w:tc>
        <w:tc>
          <w:tcPr>
            <w:tcW w:w="3336"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根据视频文件对核心产品的可靠性、便捷性、稳定性等进行评审。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可靠性高、便捷性好、稳定性好，操作使用性能提升战斗力程度高的，得4分；可靠性较高、便捷性较好、稳定性良好，操作使用性能提升战斗力程度较高的，得2分；可靠性不高、便捷性和稳定性一般，操作使用性能提升战斗力程度不高的，得1分；未提供证明材料或证明材料有缺项的不得分。</w:t>
            </w:r>
          </w:p>
        </w:tc>
        <w:tc>
          <w:tcPr>
            <w:tcW w:w="43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731" w:type="pct"/>
            <w:gridSpan w:val="4"/>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lang w:eastAsia="zh-CN"/>
              </w:rPr>
            </w:pPr>
            <w:r>
              <w:rPr>
                <w:rFonts w:hint="eastAsia" w:ascii="仿宋" w:hAnsi="仿宋" w:eastAsia="仿宋" w:cs="仿宋"/>
                <w:b/>
                <w:bCs/>
                <w:color w:val="auto"/>
                <w:sz w:val="24"/>
                <w:highlight w:val="none"/>
              </w:rPr>
              <w:t>以上评审依据：根据视频文件对产品的整体结构与外观、工艺、操作使用性能进行综合评审，视频文件需对以上三点评审内容进行介绍（包含但不限于以上三点）。视频文件[视频文件格式须为通用格式，佐证视频时长不得超过5分钟，视频清晰度应至少保证所摄的界面文字清晰易辨、画面完整连贯、播放速度正常]应存储于U盘内（单独密封在信封中）与投标文件同时递交，逾期递交不予接收，</w:t>
            </w:r>
            <w:r>
              <w:rPr>
                <w:rFonts w:hint="eastAsia" w:ascii="仿宋" w:hAnsi="仿宋" w:eastAsia="仿宋" w:cs="仿宋"/>
                <w:b/>
                <w:bCs/>
                <w:color w:val="auto"/>
                <w:sz w:val="24"/>
                <w:highlight w:val="none"/>
                <w:lang w:eastAsia="zh-CN"/>
              </w:rPr>
              <w:t>U盘由采购代理机构封存，不予退回。未提供视频或视频无法打开的，得0分。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三、商务部分（1</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3"/>
        <w:gridCol w:w="1202"/>
        <w:gridCol w:w="5776"/>
        <w:gridCol w:w="8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序号</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评审因素</w:t>
            </w:r>
          </w:p>
        </w:tc>
        <w:tc>
          <w:tcPr>
            <w:tcW w:w="3389"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评分标准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1</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bCs/>
                <w:color w:val="auto"/>
                <w:sz w:val="24"/>
                <w:szCs w:val="22"/>
                <w:highlight w:val="none"/>
              </w:rPr>
            </w:pPr>
            <w:r>
              <w:rPr>
                <w:rFonts w:hint="eastAsia" w:ascii="仿宋" w:hAnsi="仿宋" w:eastAsia="仿宋" w:cs="仿宋"/>
                <w:color w:val="auto"/>
                <w:sz w:val="24"/>
                <w:highlight w:val="none"/>
              </w:rPr>
              <w:t>符合性评审</w:t>
            </w:r>
          </w:p>
        </w:tc>
        <w:tc>
          <w:tcPr>
            <w:tcW w:w="3887" w:type="pct"/>
            <w:gridSpan w:val="2"/>
            <w:vAlign w:val="center"/>
          </w:tcPr>
          <w:p>
            <w:pPr>
              <w:pageBreakBefore w:val="0"/>
              <w:kinsoku/>
              <w:wordWrap/>
              <w:overflowPunct/>
              <w:topLinePunct w:val="0"/>
              <w:autoSpaceDE/>
              <w:autoSpaceDN/>
              <w:bidi w:val="0"/>
              <w:adjustRightInd/>
              <w:snapToGrid/>
              <w:spacing w:line="460" w:lineRule="exact"/>
              <w:rPr>
                <w:rFonts w:eastAsia="仿宋" w:cs="Times New Roman"/>
                <w:color w:val="auto"/>
                <w:sz w:val="24"/>
                <w:szCs w:val="22"/>
                <w:highlight w:val="none"/>
              </w:rPr>
            </w:pPr>
            <w:r>
              <w:rPr>
                <w:rFonts w:hint="eastAsia" w:eastAsia="仿宋" w:cs="Times New Roman"/>
                <w:color w:val="auto"/>
                <w:sz w:val="24"/>
                <w:szCs w:val="22"/>
                <w:highlight w:val="none"/>
              </w:rPr>
              <w:t>投标人必须完全满足招标文件“商务要求”</w:t>
            </w:r>
            <w:r>
              <w:rPr>
                <w:rFonts w:hint="eastAsia" w:eastAsia="仿宋" w:cs="Times New Roman"/>
                <w:color w:val="auto"/>
                <w:sz w:val="24"/>
                <w:szCs w:val="22"/>
                <w:highlight w:val="none"/>
                <w:lang w:val="en-US" w:eastAsia="zh-CN"/>
              </w:rPr>
              <w:t>所有</w:t>
            </w:r>
            <w:r>
              <w:rPr>
                <w:rFonts w:hint="eastAsia" w:eastAsia="仿宋" w:cs="Times New Roman"/>
                <w:color w:val="auto"/>
                <w:sz w:val="24"/>
                <w:szCs w:val="22"/>
                <w:highlight w:val="none"/>
              </w:rPr>
              <w:t>实质性条款，任意一项不满足作无效投标处理。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eastAsia="仿宋" w:cs="Times New Roman"/>
                <w:b/>
                <w:bCs/>
                <w:color w:val="auto"/>
                <w:sz w:val="24"/>
                <w:szCs w:val="22"/>
                <w:highlight w:val="none"/>
              </w:rPr>
              <w:t>评审依据：投标文件中提供的商务条款响应表。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2</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hint="eastAsia" w:eastAsia="仿宋"/>
                <w:color w:val="auto"/>
                <w:sz w:val="24"/>
                <w:szCs w:val="22"/>
                <w:highlight w:val="none"/>
                <w:lang w:eastAsia="zh-CN"/>
              </w:rPr>
            </w:pPr>
            <w:r>
              <w:rPr>
                <w:rFonts w:hint="eastAsia" w:eastAsia="仿宋"/>
                <w:color w:val="auto"/>
                <w:sz w:val="24"/>
                <w:szCs w:val="22"/>
                <w:highlight w:val="none"/>
                <w:lang w:eastAsia="zh-CN"/>
              </w:rPr>
              <w:t>生产制造履约能力</w:t>
            </w:r>
          </w:p>
        </w:tc>
        <w:tc>
          <w:tcPr>
            <w:tcW w:w="3389" w:type="pct"/>
            <w:vAlign w:val="center"/>
          </w:tcPr>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val="en-US" w:eastAsia="zh-CN"/>
              </w:rPr>
              <w:t>投标人提供所投核心产品制造商的证明材料（应加盖制造商公章）</w:t>
            </w:r>
            <w:r>
              <w:rPr>
                <w:rFonts w:hint="eastAsia" w:eastAsia="仿宋" w:cs="Times New Roman"/>
                <w:color w:val="auto"/>
                <w:sz w:val="24"/>
                <w:szCs w:val="22"/>
                <w:highlight w:val="none"/>
              </w:rPr>
              <w:t>对</w:t>
            </w:r>
            <w:r>
              <w:rPr>
                <w:rFonts w:hint="eastAsia" w:eastAsia="仿宋" w:cs="Times New Roman"/>
                <w:color w:val="auto"/>
                <w:sz w:val="24"/>
                <w:szCs w:val="22"/>
                <w:highlight w:val="none"/>
                <w:lang w:eastAsia="zh-CN"/>
              </w:rPr>
              <w:t>生产制造履约能力</w:t>
            </w:r>
            <w:r>
              <w:rPr>
                <w:rFonts w:hint="eastAsia" w:eastAsia="仿宋" w:cs="Times New Roman"/>
                <w:color w:val="auto"/>
                <w:sz w:val="24"/>
                <w:szCs w:val="22"/>
                <w:highlight w:val="none"/>
              </w:rPr>
              <w:t>进行评审，包含但不限于</w:t>
            </w:r>
            <w:r>
              <w:rPr>
                <w:rFonts w:hint="eastAsia" w:eastAsia="仿宋" w:cs="Times New Roman"/>
                <w:color w:val="auto"/>
                <w:sz w:val="24"/>
                <w:szCs w:val="22"/>
                <w:highlight w:val="none"/>
                <w:lang w:eastAsia="zh-CN"/>
              </w:rPr>
              <w:t>：</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eastAsia="zh-CN"/>
              </w:rPr>
              <w:t>①制造商生产经营情况简介；</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②</w:t>
            </w:r>
            <w:r>
              <w:rPr>
                <w:rFonts w:hint="eastAsia" w:eastAsia="仿宋" w:cs="Times New Roman"/>
                <w:color w:val="auto"/>
                <w:sz w:val="24"/>
                <w:szCs w:val="22"/>
                <w:highlight w:val="none"/>
                <w:lang w:eastAsia="zh-CN"/>
              </w:rPr>
              <w:t>生产工艺流程，主要包括生产制造流程图、生产步骤（应含生产车间环境及实际生产照片）等相关情况描述；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③产品检验流程，包括主要检验设备</w:t>
            </w:r>
            <w:r>
              <w:rPr>
                <w:rFonts w:hint="eastAsia" w:eastAsia="仿宋" w:cs="Times New Roman"/>
                <w:color w:val="auto"/>
                <w:sz w:val="24"/>
                <w:szCs w:val="22"/>
                <w:highlight w:val="none"/>
                <w:lang w:eastAsia="zh-CN"/>
              </w:rPr>
              <w:t>（应提供图片）</w:t>
            </w:r>
            <w:r>
              <w:rPr>
                <w:rFonts w:hint="eastAsia" w:eastAsia="仿宋" w:cs="Times New Roman"/>
                <w:color w:val="auto"/>
                <w:sz w:val="24"/>
                <w:szCs w:val="22"/>
                <w:highlight w:val="none"/>
              </w:rPr>
              <w:t>、检验步骤等相关情况描述；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④人员配备：相关专业技术</w:t>
            </w:r>
            <w:r>
              <w:rPr>
                <w:rFonts w:hint="eastAsia" w:eastAsia="仿宋" w:cs="Times New Roman"/>
                <w:color w:val="auto"/>
                <w:sz w:val="24"/>
                <w:szCs w:val="22"/>
                <w:highlight w:val="none"/>
                <w:lang w:eastAsia="zh-CN"/>
              </w:rPr>
              <w:t>职称</w:t>
            </w:r>
            <w:r>
              <w:rPr>
                <w:rFonts w:hint="eastAsia" w:eastAsia="仿宋" w:cs="Times New Roman"/>
                <w:color w:val="auto"/>
                <w:sz w:val="24"/>
                <w:szCs w:val="22"/>
                <w:highlight w:val="none"/>
              </w:rPr>
              <w:t>人员配置情况</w:t>
            </w:r>
            <w:r>
              <w:rPr>
                <w:rFonts w:hint="eastAsia" w:eastAsia="仿宋" w:cs="Times New Roman"/>
                <w:color w:val="auto"/>
                <w:sz w:val="24"/>
                <w:szCs w:val="22"/>
                <w:highlight w:val="none"/>
                <w:lang w:eastAsia="zh-CN"/>
              </w:rPr>
              <w:t>；</w:t>
            </w:r>
            <w:r>
              <w:rPr>
                <w:rFonts w:hint="eastAsia" w:eastAsia="仿宋" w:cs="Times New Roman"/>
                <w:color w:val="auto"/>
                <w:sz w:val="24"/>
                <w:szCs w:val="22"/>
                <w:highlight w:val="none"/>
              </w:rPr>
              <w:t>各原材料采购、生产、检验、仓储、运输等环节的人员配备情况；</w:t>
            </w:r>
          </w:p>
          <w:p>
            <w:pPr>
              <w:pageBreakBefore w:val="0"/>
              <w:kinsoku/>
              <w:wordWrap/>
              <w:overflowPunct/>
              <w:topLinePunct w:val="0"/>
              <w:autoSpaceDE/>
              <w:autoSpaceDN/>
              <w:bidi w:val="0"/>
              <w:adjustRightInd/>
              <w:snapToGrid/>
              <w:spacing w:line="460" w:lineRule="exact"/>
              <w:rPr>
                <w:rFonts w:hint="eastAsia" w:eastAsia="仿宋" w:cs="Times New Roman"/>
                <w:b/>
                <w:bCs/>
                <w:color w:val="auto"/>
                <w:sz w:val="24"/>
                <w:szCs w:val="22"/>
                <w:highlight w:val="none"/>
              </w:rPr>
            </w:pPr>
            <w:r>
              <w:rPr>
                <w:rFonts w:hint="eastAsia" w:eastAsia="仿宋" w:cs="Times New Roman"/>
                <w:b/>
                <w:bCs/>
                <w:color w:val="auto"/>
                <w:sz w:val="24"/>
                <w:szCs w:val="22"/>
                <w:highlight w:val="none"/>
              </w:rPr>
              <w:t>评审依据：</w:t>
            </w:r>
            <w:r>
              <w:rPr>
                <w:rFonts w:hint="eastAsia" w:eastAsia="仿宋" w:cs="Times New Roman"/>
                <w:b/>
                <w:bCs/>
                <w:color w:val="auto"/>
                <w:sz w:val="24"/>
                <w:szCs w:val="22"/>
                <w:highlight w:val="none"/>
                <w:lang w:val="en-US" w:eastAsia="zh-CN"/>
              </w:rPr>
              <w:t>根据</w:t>
            </w:r>
            <w:r>
              <w:rPr>
                <w:rFonts w:hint="eastAsia" w:eastAsia="仿宋" w:cs="Times New Roman"/>
                <w:b/>
                <w:bCs/>
                <w:color w:val="auto"/>
                <w:sz w:val="24"/>
                <w:szCs w:val="22"/>
                <w:highlight w:val="none"/>
              </w:rPr>
              <w:t>投标人提</w:t>
            </w:r>
            <w:r>
              <w:rPr>
                <w:rFonts w:hint="eastAsia" w:eastAsia="仿宋" w:cs="Times New Roman"/>
                <w:b/>
                <w:bCs/>
                <w:color w:val="auto"/>
                <w:sz w:val="24"/>
                <w:szCs w:val="22"/>
                <w:highlight w:val="none"/>
                <w:lang w:val="en-US" w:eastAsia="zh-CN"/>
              </w:rPr>
              <w:t>供的生产制造履约能力方案内容完整性、组织性、关联性和可操作性进行评审</w:t>
            </w:r>
            <w:r>
              <w:rPr>
                <w:rFonts w:hint="eastAsia" w:eastAsia="仿宋" w:cs="Times New Roman"/>
                <w:b/>
                <w:bCs/>
                <w:color w:val="auto"/>
                <w:sz w:val="24"/>
                <w:szCs w:val="22"/>
                <w:highlight w:val="none"/>
              </w:rPr>
              <w:t>。</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1、所投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制造商具备较强自主研发能力及先进的生产工艺，生产车间环境及生产线先进规范，生产步骤完整周详，技术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检验设备配置齐全、检验步骤严密无纰漏，生产制造履约能力</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分；</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制造商有自主研发能力和生产工艺较完整，生产车间环境及生产线常规，生产步骤较完整周详，技术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eastAsia="zh-CN"/>
              </w:rPr>
              <w:t>相对</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检验设备配置较齐全、检验步骤相对完备，生产制造履约能力</w:t>
            </w:r>
            <w:r>
              <w:rPr>
                <w:rFonts w:hint="eastAsia" w:ascii="仿宋" w:hAnsi="仿宋" w:eastAsia="仿宋" w:cs="仿宋"/>
                <w:b/>
                <w:bCs/>
                <w:color w:val="auto"/>
                <w:sz w:val="24"/>
                <w:szCs w:val="24"/>
                <w:highlight w:val="none"/>
                <w:lang w:eastAsia="zh-CN"/>
              </w:rPr>
              <w:t>较</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3、所投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制造商有自主研发能力和生产工艺薄弱，生产车间环境及生产线粗糙落后，生产步骤简单，技术</w:t>
            </w:r>
            <w:r>
              <w:rPr>
                <w:rFonts w:hint="eastAsia" w:ascii="仿宋" w:hAnsi="仿宋" w:eastAsia="仿宋" w:cs="仿宋"/>
                <w:b/>
                <w:bCs/>
                <w:color w:val="auto"/>
                <w:sz w:val="24"/>
                <w:szCs w:val="24"/>
                <w:highlight w:val="none"/>
              </w:rPr>
              <w:t>人员</w:t>
            </w:r>
            <w:r>
              <w:rPr>
                <w:rFonts w:hint="eastAsia" w:ascii="仿宋" w:hAnsi="仿宋" w:eastAsia="仿宋" w:cs="仿宋"/>
                <w:b/>
                <w:bCs/>
                <w:color w:val="auto"/>
                <w:sz w:val="24"/>
                <w:szCs w:val="24"/>
                <w:highlight w:val="none"/>
                <w:lang w:eastAsia="zh-CN"/>
              </w:rPr>
              <w:t>综合实力一般，</w:t>
            </w:r>
            <w:r>
              <w:rPr>
                <w:rFonts w:hint="eastAsia" w:ascii="仿宋" w:hAnsi="仿宋" w:eastAsia="仿宋" w:cs="仿宋"/>
                <w:b/>
                <w:bCs/>
                <w:color w:val="auto"/>
                <w:sz w:val="24"/>
                <w:szCs w:val="24"/>
                <w:highlight w:val="none"/>
                <w:lang w:val="en-US" w:eastAsia="zh-CN"/>
              </w:rPr>
              <w:t>检验设备配置简单落后，检验步骤普通，生产制造履约能力</w:t>
            </w:r>
            <w:r>
              <w:rPr>
                <w:rFonts w:hint="eastAsia" w:ascii="仿宋" w:hAnsi="仿宋" w:eastAsia="仿宋" w:cs="仿宋"/>
                <w:b/>
                <w:bCs/>
                <w:color w:val="auto"/>
                <w:sz w:val="24"/>
                <w:szCs w:val="24"/>
                <w:highlight w:val="none"/>
                <w:lang w:eastAsia="zh-CN"/>
              </w:rPr>
              <w:t>弱</w:t>
            </w:r>
            <w:r>
              <w:rPr>
                <w:rFonts w:hint="eastAsia" w:ascii="仿宋" w:hAnsi="仿宋" w:eastAsia="仿宋" w:cs="仿宋"/>
                <w:b/>
                <w:bCs/>
                <w:color w:val="auto"/>
                <w:sz w:val="24"/>
                <w:szCs w:val="24"/>
                <w:highlight w:val="none"/>
              </w:rPr>
              <w:t>的得</w:t>
            </w: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未提供证明材料或证明材料有缺项的不得分。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3</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质量保证和保修</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eastAsia="仿宋"/>
                <w:color w:val="auto"/>
                <w:sz w:val="24"/>
                <w:szCs w:val="22"/>
                <w:highlight w:val="none"/>
              </w:rPr>
            </w:pPr>
            <w:r>
              <w:rPr>
                <w:rFonts w:eastAsia="仿宋"/>
                <w:color w:val="auto"/>
                <w:sz w:val="24"/>
                <w:szCs w:val="22"/>
                <w:highlight w:val="none"/>
              </w:rPr>
              <w:t>在招标文件商务要求中“质保期”和“保修期”要求基础上，承诺“质保期”和“保修期”均每延长一年的加2分，最多加4分。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eastAsia="仿宋"/>
                <w:b/>
                <w:color w:val="auto"/>
                <w:sz w:val="24"/>
                <w:szCs w:val="22"/>
                <w:highlight w:val="none"/>
              </w:rPr>
              <w:t>评审依据：投标文件中提供“质保期”和“保修期”均延长的承诺函原件。</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类似销售</w:t>
            </w:r>
          </w:p>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案例</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投标人自</w:t>
            </w:r>
            <w:r>
              <w:rPr>
                <w:rFonts w:eastAsia="仿宋" w:cs="Times New Roman"/>
                <w:color w:val="auto"/>
                <w:sz w:val="24"/>
                <w:szCs w:val="22"/>
                <w:highlight w:val="none"/>
              </w:rPr>
              <w:t>20</w:t>
            </w:r>
            <w:r>
              <w:rPr>
                <w:rFonts w:hint="eastAsia" w:eastAsia="仿宋" w:cs="Times New Roman"/>
                <w:color w:val="auto"/>
                <w:sz w:val="24"/>
                <w:szCs w:val="22"/>
                <w:highlight w:val="none"/>
              </w:rPr>
              <w:t>2</w:t>
            </w:r>
            <w:r>
              <w:rPr>
                <w:rFonts w:hint="eastAsia" w:eastAsia="仿宋" w:cs="Times New Roman"/>
                <w:color w:val="auto"/>
                <w:sz w:val="24"/>
                <w:szCs w:val="22"/>
                <w:highlight w:val="none"/>
                <w:lang w:val="en-US" w:eastAsia="zh-CN"/>
              </w:rPr>
              <w:t>1</w:t>
            </w:r>
            <w:r>
              <w:rPr>
                <w:rFonts w:hint="eastAsia" w:eastAsia="仿宋" w:cs="Times New Roman"/>
                <w:color w:val="auto"/>
                <w:sz w:val="24"/>
                <w:szCs w:val="22"/>
                <w:highlight w:val="none"/>
              </w:rPr>
              <w:t>年</w:t>
            </w:r>
            <w:r>
              <w:rPr>
                <w:rFonts w:eastAsia="仿宋" w:cs="Times New Roman"/>
                <w:color w:val="auto"/>
                <w:sz w:val="24"/>
                <w:szCs w:val="22"/>
                <w:highlight w:val="none"/>
              </w:rPr>
              <w:t>1月1日至今（以签订合同时间为准）具有类似</w:t>
            </w:r>
            <w:r>
              <w:rPr>
                <w:rFonts w:hint="eastAsia" w:eastAsia="仿宋" w:cs="Times New Roman"/>
                <w:color w:val="auto"/>
                <w:sz w:val="24"/>
                <w:szCs w:val="22"/>
                <w:highlight w:val="none"/>
                <w:lang w:eastAsia="zh-CN"/>
              </w:rPr>
              <w:t>核心</w:t>
            </w:r>
            <w:r>
              <w:rPr>
                <w:rFonts w:eastAsia="仿宋" w:cs="Times New Roman"/>
                <w:color w:val="auto"/>
                <w:sz w:val="24"/>
                <w:szCs w:val="22"/>
                <w:highlight w:val="none"/>
              </w:rPr>
              <w:t>产品销售案例，每提供1份销售案例加</w:t>
            </w:r>
            <w:r>
              <w:rPr>
                <w:rFonts w:hint="eastAsia" w:eastAsia="仿宋" w:cs="Times New Roman"/>
                <w:color w:val="auto"/>
                <w:sz w:val="24"/>
                <w:szCs w:val="22"/>
                <w:highlight w:val="none"/>
                <w:lang w:val="en-US" w:eastAsia="zh-CN"/>
              </w:rPr>
              <w:t>2</w:t>
            </w:r>
            <w:r>
              <w:rPr>
                <w:rFonts w:hint="eastAsia" w:eastAsia="仿宋" w:cs="Times New Roman"/>
                <w:color w:val="auto"/>
                <w:sz w:val="24"/>
                <w:szCs w:val="22"/>
                <w:highlight w:val="none"/>
              </w:rPr>
              <w:t>分，本项最多加</w:t>
            </w:r>
            <w:r>
              <w:rPr>
                <w:rFonts w:hint="eastAsia" w:eastAsia="仿宋" w:cs="Times New Roman"/>
                <w:color w:val="auto"/>
                <w:sz w:val="24"/>
                <w:szCs w:val="22"/>
                <w:highlight w:val="none"/>
                <w:lang w:val="en-US" w:eastAsia="zh-CN"/>
              </w:rPr>
              <w:t>6</w:t>
            </w:r>
            <w:r>
              <w:rPr>
                <w:rFonts w:hint="eastAsia" w:eastAsia="仿宋" w:cs="Times New Roman"/>
                <w:color w:val="auto"/>
                <w:sz w:val="24"/>
                <w:szCs w:val="22"/>
                <w:highlight w:val="none"/>
              </w:rPr>
              <w:t>分。</w:t>
            </w:r>
          </w:p>
          <w:p>
            <w:pPr>
              <w:pageBreakBefore w:val="0"/>
              <w:kinsoku/>
              <w:wordWrap/>
              <w:overflowPunct/>
              <w:topLinePunct w:val="0"/>
              <w:autoSpaceDE/>
              <w:autoSpaceDN/>
              <w:bidi w:val="0"/>
              <w:adjustRightInd/>
              <w:snapToGrid/>
              <w:spacing w:line="460" w:lineRule="exact"/>
              <w:jc w:val="left"/>
              <w:rPr>
                <w:rFonts w:eastAsia="仿宋"/>
                <w:b/>
                <w:bCs/>
                <w:color w:val="auto"/>
                <w:sz w:val="24"/>
                <w:szCs w:val="22"/>
                <w:highlight w:val="none"/>
              </w:rPr>
            </w:pPr>
            <w:r>
              <w:rPr>
                <w:rFonts w:hint="eastAsia" w:eastAsia="仿宋" w:cs="Times New Roman"/>
                <w:b/>
                <w:bCs/>
                <w:color w:val="auto"/>
                <w:sz w:val="24"/>
                <w:szCs w:val="22"/>
                <w:highlight w:val="none"/>
              </w:rPr>
              <w:t>评审依据：①投标文件中提供销售案例明细表（销售案例明细表包含</w:t>
            </w:r>
            <w:r>
              <w:rPr>
                <w:rFonts w:eastAsia="仿宋" w:cs="Times New Roman"/>
                <w:b/>
                <w:bCs/>
                <w:color w:val="auto"/>
                <w:sz w:val="24"/>
                <w:szCs w:val="22"/>
                <w:highlight w:val="none"/>
              </w:rPr>
              <w:t>:发布网站名称、网页链接地址、采购项目名称、采购单位名称和联系方式、采购代理机构名称和联系方式）；</w:t>
            </w:r>
            <w:r>
              <w:rPr>
                <w:rFonts w:hint="eastAsia" w:eastAsia="仿宋" w:cs="Times New Roman"/>
                <w:b/>
                <w:bCs/>
                <w:color w:val="auto"/>
                <w:sz w:val="24"/>
                <w:szCs w:val="22"/>
                <w:highlight w:val="none"/>
              </w:rPr>
              <w:t>②</w:t>
            </w:r>
            <w:r>
              <w:rPr>
                <w:rFonts w:hint="eastAsia" w:eastAsia="仿宋" w:cs="Times New Roman"/>
                <w:b/>
                <w:bCs/>
                <w:color w:val="auto"/>
                <w:sz w:val="24"/>
                <w:szCs w:val="22"/>
                <w:highlight w:val="none"/>
                <w:lang w:eastAsia="zh-CN"/>
              </w:rPr>
              <w:t>中标（成交）公告截图（打印网页）、中标通知书复印件和合同复印件（中标通知书或合同复印件应体现类似销售案例的货物），合同签订方必须是投标人本身。</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hint="eastAsia" w:eastAsia="仿宋"/>
                <w:color w:val="auto"/>
                <w:sz w:val="24"/>
                <w:szCs w:val="22"/>
                <w:highlight w:val="none"/>
                <w:lang w:val="en-US" w:eastAsia="zh-CN"/>
              </w:rPr>
              <w:t>6</w:t>
            </w:r>
            <w:r>
              <w:rPr>
                <w:rFonts w:eastAsia="仿宋"/>
                <w:color w:val="auto"/>
                <w:sz w:val="24"/>
                <w:szCs w:val="22"/>
                <w:highlight w:val="none"/>
              </w:rPr>
              <w:t>分</w:t>
            </w:r>
          </w:p>
        </w:tc>
      </w:tr>
    </w:tbl>
    <w:p>
      <w:pPr>
        <w:pageBreakBefore w:val="0"/>
        <w:kinsoku/>
        <w:wordWrap/>
        <w:overflowPunct/>
        <w:topLinePunct w:val="0"/>
        <w:autoSpaceDE/>
        <w:autoSpaceDN/>
        <w:bidi w:val="0"/>
        <w:adjustRightInd/>
        <w:snapToGrid/>
        <w:spacing w:line="460" w:lineRule="exact"/>
        <w:rPr>
          <w:rFonts w:hint="eastAsia" w:ascii="仿宋" w:hAnsi="仿宋" w:eastAsia="仿宋" w:cs="Times New Roman"/>
          <w:b/>
          <w:bCs/>
          <w:color w:val="auto"/>
          <w:sz w:val="28"/>
          <w:szCs w:val="28"/>
          <w:highlight w:val="none"/>
          <w:lang w:val="en-US" w:eastAsia="zh-CN"/>
        </w:rPr>
      </w:pPr>
      <w:r>
        <w:rPr>
          <w:rFonts w:hint="eastAsia" w:ascii="仿宋" w:hAnsi="仿宋" w:eastAsia="仿宋" w:cs="Times New Roman"/>
          <w:b/>
          <w:bCs/>
          <w:color w:val="auto"/>
          <w:sz w:val="28"/>
          <w:szCs w:val="28"/>
          <w:highlight w:val="none"/>
          <w:lang w:val="en-US" w:eastAsia="zh-CN"/>
        </w:rPr>
        <w:br w:type="page"/>
      </w:r>
    </w:p>
    <w:p>
      <w:pPr>
        <w:keepNext w:val="0"/>
        <w:keepLines w:val="0"/>
        <w:pageBreakBefore w:val="0"/>
        <w:widowControl w:val="0"/>
        <w:kinsoku/>
        <w:wordWrap/>
        <w:overflowPunct/>
        <w:topLinePunct w:val="0"/>
        <w:autoSpaceDE/>
        <w:autoSpaceDN/>
        <w:bidi w:val="0"/>
        <w:adjustRightInd/>
        <w:snapToGrid/>
        <w:spacing w:line="460" w:lineRule="exact"/>
        <w:jc w:val="left"/>
        <w:textAlignment w:val="auto"/>
        <w:outlineLvl w:val="1"/>
        <w:rPr>
          <w:rFonts w:hint="eastAsia" w:ascii="仿宋" w:hAnsi="仿宋" w:eastAsia="仿宋" w:cs="Times New Roman"/>
          <w:b/>
          <w:bCs/>
          <w:color w:val="auto"/>
          <w:sz w:val="28"/>
          <w:szCs w:val="28"/>
          <w:highlight w:val="none"/>
          <w:lang w:eastAsia="zh-CN"/>
        </w:rPr>
      </w:pPr>
      <w:bookmarkStart w:id="644" w:name="_Toc3382"/>
      <w:bookmarkStart w:id="645" w:name="_Toc8400"/>
      <w:bookmarkStart w:id="646" w:name="_Toc22838"/>
      <w:bookmarkStart w:id="647" w:name="_Toc16711"/>
      <w:r>
        <w:rPr>
          <w:rFonts w:hint="eastAsia" w:ascii="仿宋" w:hAnsi="仿宋" w:eastAsia="仿宋" w:cs="Times New Roman"/>
          <w:b/>
          <w:bCs/>
          <w:color w:val="auto"/>
          <w:sz w:val="28"/>
          <w:szCs w:val="28"/>
          <w:highlight w:val="none"/>
          <w:lang w:val="en-US" w:eastAsia="zh-CN"/>
        </w:rPr>
        <w:t>12包</w:t>
      </w:r>
      <w:r>
        <w:rPr>
          <w:rFonts w:hint="eastAsia" w:ascii="仿宋" w:hAnsi="仿宋" w:eastAsia="仿宋" w:cs="Times New Roman"/>
          <w:b/>
          <w:bCs/>
          <w:color w:val="auto"/>
          <w:sz w:val="28"/>
          <w:szCs w:val="28"/>
          <w:highlight w:val="none"/>
        </w:rPr>
        <w:t>：</w:t>
      </w:r>
      <w:r>
        <w:rPr>
          <w:rFonts w:hint="eastAsia" w:ascii="仿宋" w:hAnsi="仿宋" w:eastAsia="仿宋" w:cs="Times New Roman"/>
          <w:b/>
          <w:bCs/>
          <w:color w:val="auto"/>
          <w:sz w:val="28"/>
          <w:szCs w:val="28"/>
          <w:highlight w:val="none"/>
          <w:lang w:val="en-US" w:eastAsia="zh-CN"/>
        </w:rPr>
        <w:t>便携式流速仪【核心产品】、水深探测仪、水温仪</w:t>
      </w:r>
      <w:bookmarkEnd w:id="644"/>
      <w:bookmarkEnd w:id="645"/>
      <w:bookmarkEnd w:id="646"/>
      <w:bookmarkEnd w:id="647"/>
    </w:p>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hint="eastAsia" w:ascii="仿宋" w:hAnsi="仿宋" w:eastAsia="仿宋"/>
          <w:b/>
          <w:color w:val="auto"/>
          <w:sz w:val="24"/>
          <w:highlight w:val="none"/>
        </w:rPr>
        <w:t>一、价格部分（</w:t>
      </w:r>
      <w:r>
        <w:rPr>
          <w:rFonts w:ascii="仿宋" w:hAnsi="仿宋" w:eastAsia="仿宋"/>
          <w:b/>
          <w:color w:val="auto"/>
          <w:sz w:val="24"/>
          <w:highlight w:val="none"/>
        </w:rPr>
        <w:t>30分）</w:t>
      </w:r>
    </w:p>
    <w:tbl>
      <w:tblPr>
        <w:tblStyle w:val="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1"/>
        <w:gridCol w:w="1449"/>
        <w:gridCol w:w="5672"/>
        <w:gridCol w:w="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评审因素</w:t>
            </w:r>
          </w:p>
        </w:tc>
        <w:tc>
          <w:tcPr>
            <w:tcW w:w="3327" w:type="pct"/>
            <w:vAlign w:val="center"/>
          </w:tcPr>
          <w:p>
            <w:pPr>
              <w:pageBreakBefore w:val="0"/>
              <w:kinsoku/>
              <w:wordWrap/>
              <w:overflowPunct/>
              <w:topLinePunct w:val="0"/>
              <w:autoSpaceDE/>
              <w:autoSpaceDN/>
              <w:bidi w:val="0"/>
              <w:adjustRightInd/>
              <w:snapToGrid/>
              <w:spacing w:line="460" w:lineRule="exact"/>
              <w:jc w:val="center"/>
              <w:textAlignment w:val="center"/>
              <w:rPr>
                <w:rFonts w:ascii="仿宋" w:hAnsi="仿宋" w:eastAsia="仿宋" w:cs="仿宋"/>
                <w:b/>
                <w:color w:val="auto"/>
                <w:sz w:val="24"/>
                <w:highlight w:val="none"/>
              </w:rPr>
            </w:pPr>
            <w:r>
              <w:rPr>
                <w:rFonts w:hint="eastAsia" w:ascii="仿宋" w:hAnsi="仿宋" w:eastAsia="仿宋" w:cs="仿宋"/>
                <w:b/>
                <w:bCs/>
                <w:color w:val="auto"/>
                <w:sz w:val="24"/>
                <w:highlight w:val="none"/>
              </w:rPr>
              <w:t>评分标准</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价格分</w:t>
            </w:r>
          </w:p>
        </w:tc>
        <w:tc>
          <w:tcPr>
            <w:tcW w:w="3327" w:type="pct"/>
            <w:vAlign w:val="center"/>
          </w:tcPr>
          <w:p>
            <w:pPr>
              <w:pageBreakBefore w:val="0"/>
              <w:kinsoku/>
              <w:wordWrap/>
              <w:overflowPunct/>
              <w:topLinePunct w:val="0"/>
              <w:autoSpaceDE/>
              <w:autoSpaceDN/>
              <w:bidi w:val="0"/>
              <w:adjustRightInd/>
              <w:snapToGrid/>
              <w:spacing w:line="460" w:lineRule="exact"/>
              <w:jc w:val="left"/>
              <w:textAlignment w:val="center"/>
              <w:rPr>
                <w:rFonts w:ascii="仿宋" w:hAnsi="仿宋" w:eastAsia="仿宋" w:cs="仿宋"/>
                <w:color w:val="auto"/>
                <w:sz w:val="24"/>
                <w:highlight w:val="none"/>
              </w:rPr>
            </w:pPr>
            <w:r>
              <w:rPr>
                <w:rFonts w:hint="eastAsia" w:ascii="仿宋" w:hAnsi="仿宋" w:eastAsia="仿宋" w:cs="仿宋"/>
                <w:color w:val="auto"/>
                <w:sz w:val="24"/>
                <w:highlight w:val="none"/>
              </w:rPr>
              <w:t>根据综合评分法，满足招标文件要求且投标价格最低的投标报价为评标基准价，投标报价得分</w:t>
            </w:r>
            <w:r>
              <w:rPr>
                <w:rFonts w:ascii="仿宋" w:hAnsi="仿宋" w:eastAsia="仿宋" w:cs="仿宋"/>
                <w:color w:val="auto"/>
                <w:sz w:val="24"/>
                <w:highlight w:val="none"/>
              </w:rPr>
              <w:t>=（评标基准价／投标报价）</w:t>
            </w:r>
            <w:r>
              <w:rPr>
                <w:rFonts w:hint="eastAsia" w:ascii="仿宋" w:hAnsi="仿宋" w:eastAsia="仿宋" w:cs="仿宋"/>
                <w:color w:val="auto"/>
                <w:sz w:val="24"/>
                <w:highlight w:val="none"/>
              </w:rPr>
              <w:t>×</w:t>
            </w:r>
            <w:r>
              <w:rPr>
                <w:rFonts w:ascii="仿宋" w:hAnsi="仿宋" w:eastAsia="仿宋" w:cs="仿宋"/>
                <w:color w:val="auto"/>
                <w:sz w:val="24"/>
                <w:highlight w:val="none"/>
              </w:rPr>
              <w:t>30%×100，计算分数时四舍五入取小数点后两位。</w:t>
            </w:r>
          </w:p>
          <w:p>
            <w:pPr>
              <w:pageBreakBefore w:val="0"/>
              <w:kinsoku/>
              <w:wordWrap/>
              <w:overflowPunct/>
              <w:topLinePunct w:val="0"/>
              <w:autoSpaceDE/>
              <w:autoSpaceDN/>
              <w:bidi w:val="0"/>
              <w:adjustRightInd/>
              <w:snapToGrid/>
              <w:spacing w:line="460" w:lineRule="exact"/>
              <w:ind w:firstLine="482" w:firstLineChars="200"/>
              <w:jc w:val="left"/>
              <w:textAlignment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注：</w:t>
            </w:r>
            <w:r>
              <w:rPr>
                <w:rFonts w:ascii="仿宋" w:hAnsi="仿宋" w:eastAsia="仿宋" w:cs="仿宋"/>
                <w:b/>
                <w:bCs/>
                <w:color w:val="auto"/>
                <w:sz w:val="24"/>
                <w:highlight w:val="none"/>
              </w:rPr>
              <w:t>小、微型企业或残疾人福利性单位产品或监狱产品的价格给予10%的扣除，用扣除后的价格参与评审。但残疾人福利性单位本身属于小型、微型企业的，不重复享受政策。</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30分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二、技术部分（5</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
        <w:gridCol w:w="547"/>
        <w:gridCol w:w="1074"/>
        <w:gridCol w:w="5670"/>
        <w:gridCol w:w="7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951" w:type="pct"/>
            <w:gridSpan w:val="2"/>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3327"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评分标准</w:t>
            </w:r>
          </w:p>
        </w:tc>
        <w:tc>
          <w:tcPr>
            <w:tcW w:w="451"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268"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951"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技术参数及要求</w:t>
            </w:r>
          </w:p>
        </w:tc>
        <w:tc>
          <w:tcPr>
            <w:tcW w:w="3327" w:type="pct"/>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一、重大负偏离评审依据：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1、带★条款的响应，不满足招标文件要求的，或有缺项、漏项的，视为重大负偏离；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2、一般参数和带“▲”参数共有四项及以上（含本数）的负偏离，视为重大负偏离；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3、所投产品一般参数或带“▲”参数有一项低于招标文件要求，该项视为负偏离；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4、所投产品一般参数或带“▲”参数有一项缺项、漏项的，该项视为负偏离。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注：“一般参数”为非标“★”号参数和非标“▲”号参数。</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①投标文件中提供的技术条款响应表；</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②所投产品技术参数完全满足招标文件要求得</w:t>
            </w:r>
            <w:r>
              <w:rPr>
                <w:rFonts w:hint="eastAsia" w:ascii="仿宋" w:hAnsi="仿宋" w:eastAsia="仿宋" w:cs="仿宋"/>
                <w:b/>
                <w:bCs/>
                <w:color w:val="auto"/>
                <w:sz w:val="24"/>
                <w:highlight w:val="none"/>
                <w:lang w:val="en-US" w:eastAsia="zh-CN"/>
              </w:rPr>
              <w:t>30</w:t>
            </w:r>
            <w:r>
              <w:rPr>
                <w:rFonts w:hint="eastAsia" w:ascii="仿宋" w:hAnsi="仿宋" w:eastAsia="仿宋" w:cs="仿宋"/>
                <w:b/>
                <w:bCs/>
                <w:color w:val="auto"/>
                <w:sz w:val="24"/>
                <w:highlight w:val="none"/>
              </w:rPr>
              <w:t>分；重大负偏离则视为无效投标；一般参数或带“▲”参数每有一项负偏离减5分，最多减15分，四项或以上负偏离视为无效投标。</w:t>
            </w:r>
          </w:p>
        </w:tc>
        <w:tc>
          <w:tcPr>
            <w:tcW w:w="451" w:type="pct"/>
            <w:vAlign w:val="center"/>
          </w:tcPr>
          <w:p>
            <w:pPr>
              <w:pageBreakBefore w:val="0"/>
              <w:kinsoku/>
              <w:wordWrap/>
              <w:overflowPunct/>
              <w:topLinePunct w:val="0"/>
              <w:autoSpaceDE/>
              <w:autoSpaceDN/>
              <w:bidi w:val="0"/>
              <w:adjustRightInd/>
              <w:snapToGrid/>
              <w:spacing w:line="460" w:lineRule="exact"/>
              <w:jc w:val="center"/>
              <w:textAlignment w:val="center"/>
              <w:rPr>
                <w:rFonts w:hint="default"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321" w:type="pct"/>
            <w:vMerge w:val="restar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便携式流速仪</w:t>
            </w:r>
          </w:p>
        </w:tc>
        <w:tc>
          <w:tcPr>
            <w:tcW w:w="630"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▲3.2测速范围:≥0.05-8m/s</w:t>
            </w:r>
          </w:p>
        </w:tc>
        <w:tc>
          <w:tcPr>
            <w:tcW w:w="3327"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highlight w:val="none"/>
                <w:lang w:val="en-US" w:eastAsia="zh-CN"/>
              </w:rPr>
              <w:t>测速范围</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测速范围</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val="en-US" w:eastAsia="zh-CN"/>
              </w:rPr>
              <w:t>测速范围</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szCs w:val="24"/>
                <w:highlight w:val="none"/>
              </w:rPr>
              <w:t>注：最优表示测速范围最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，次优表示测速范围仅次于最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值。</w:t>
            </w:r>
          </w:p>
        </w:tc>
        <w:tc>
          <w:tcPr>
            <w:tcW w:w="451"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321" w:type="pct"/>
            <w:vMerge w:val="continue"/>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p>
        </w:tc>
        <w:tc>
          <w:tcPr>
            <w:tcW w:w="630"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▲3.3续航时间：≥12h</w:t>
            </w:r>
          </w:p>
        </w:tc>
        <w:tc>
          <w:tcPr>
            <w:tcW w:w="3327"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highlight w:val="none"/>
                <w:lang w:val="en-US" w:eastAsia="zh-CN"/>
              </w:rPr>
              <w:t>续航时间</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续航时间</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val="en-US" w:eastAsia="zh-CN"/>
              </w:rPr>
              <w:t>续航时间</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注：最优表示续航时间最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，次优表示续航时间仅次于最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值。</w:t>
            </w:r>
          </w:p>
        </w:tc>
        <w:tc>
          <w:tcPr>
            <w:tcW w:w="451"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321" w:type="pct"/>
            <w:vMerge w:val="restar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水深探测仪</w:t>
            </w:r>
          </w:p>
        </w:tc>
        <w:tc>
          <w:tcPr>
            <w:tcW w:w="630"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▲3.2 水深测量范围≥0～80m</w:t>
            </w:r>
          </w:p>
        </w:tc>
        <w:tc>
          <w:tcPr>
            <w:tcW w:w="3327"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highlight w:val="none"/>
                <w:lang w:val="en-US" w:eastAsia="zh-CN"/>
              </w:rPr>
              <w:t>水深测量范围</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水深测量范围</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val="en-US" w:eastAsia="zh-CN"/>
              </w:rPr>
              <w:t>水深测量范围</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注：最优表示水深测量范围最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，次优表示水深测量范围仅次于最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值。</w:t>
            </w:r>
          </w:p>
        </w:tc>
        <w:tc>
          <w:tcPr>
            <w:tcW w:w="451"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321" w:type="pct"/>
            <w:vMerge w:val="continue"/>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p>
        </w:tc>
        <w:tc>
          <w:tcPr>
            <w:tcW w:w="630"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▲3.3仪器使用时间≥10h</w:t>
            </w:r>
          </w:p>
        </w:tc>
        <w:tc>
          <w:tcPr>
            <w:tcW w:w="3327"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highlight w:val="none"/>
                <w:lang w:val="en-US" w:eastAsia="zh-CN"/>
              </w:rPr>
              <w:t>仪器使用时间</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仪器使用时间</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val="en-US" w:eastAsia="zh-CN"/>
              </w:rPr>
              <w:t>仪器使用时间</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注：最优表示仪器使用时间最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，次优表示仪器使用时间仅次于最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值。</w:t>
            </w:r>
          </w:p>
        </w:tc>
        <w:tc>
          <w:tcPr>
            <w:tcW w:w="451"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321" w:type="pc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水温仪</w:t>
            </w:r>
          </w:p>
        </w:tc>
        <w:tc>
          <w:tcPr>
            <w:tcW w:w="630"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▲3.4测量温度:≥-30°C一70°C</w:t>
            </w:r>
          </w:p>
        </w:tc>
        <w:tc>
          <w:tcPr>
            <w:tcW w:w="3327"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highlight w:val="none"/>
                <w:lang w:val="en-US" w:eastAsia="zh-CN"/>
              </w:rPr>
              <w:t>测量温度范围</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测量温度范围</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val="en-US" w:eastAsia="zh-CN"/>
              </w:rPr>
              <w:t>测量温度范围</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注：最优表示测量温度范围最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，次优表示测量温度范围仅次于最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值。</w:t>
            </w:r>
          </w:p>
        </w:tc>
        <w:tc>
          <w:tcPr>
            <w:tcW w:w="451"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268" w:type="pct"/>
            <w:vMerge w:val="continue"/>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731" w:type="pct"/>
            <w:gridSpan w:val="4"/>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评审依据：提供技术条款响应表和技术支撑文件</w:t>
            </w:r>
            <w:r>
              <w:rPr>
                <w:rFonts w:hint="eastAsia" w:ascii="仿宋" w:hAnsi="仿宋" w:eastAsia="仿宋" w:cs="仿宋"/>
                <w:b/>
                <w:bCs/>
                <w:color w:val="auto"/>
                <w:sz w:val="24"/>
                <w:highlight w:val="none"/>
                <w:lang w:eastAsia="zh-CN"/>
              </w:rPr>
              <w:t>。</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hint="eastAsia"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hint="eastAsia"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hint="eastAsia"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③制造商出具的技术参数证明材料并加盖制造商公章。]</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注：①供应商应认真提供技术支撑文件，若提供多份技术支撑文件，技术支撑文件佐证不一致时，优先级为：产品检测报告复印件＞制造商公开发布的印刷资料＞制造商出具的技术参数证明</w:t>
            </w:r>
            <w:r>
              <w:rPr>
                <w:rFonts w:hint="eastAsia" w:ascii="仿宋" w:hAnsi="仿宋" w:eastAsia="仿宋" w:cs="仿宋"/>
                <w:b/>
                <w:bCs/>
                <w:color w:val="auto"/>
                <w:sz w:val="24"/>
                <w:highlight w:val="none"/>
                <w:lang w:val="en-US" w:eastAsia="zh-CN"/>
              </w:rPr>
              <w:t>材料</w:t>
            </w:r>
            <w:r>
              <w:rPr>
                <w:rFonts w:hint="eastAsia" w:ascii="仿宋" w:hAnsi="仿宋" w:eastAsia="仿宋" w:cs="仿宋"/>
                <w:b/>
                <w:bCs/>
                <w:color w:val="auto"/>
                <w:sz w:val="24"/>
                <w:highlight w:val="none"/>
              </w:rPr>
              <w:t>；②技术支撑文件</w:t>
            </w:r>
            <w:r>
              <w:rPr>
                <w:rFonts w:hint="eastAsia" w:ascii="仿宋" w:hAnsi="仿宋" w:eastAsia="仿宋" w:cs="仿宋"/>
                <w:b/>
                <w:bCs/>
                <w:color w:val="auto"/>
                <w:sz w:val="24"/>
                <w:highlight w:val="none"/>
                <w:lang w:val="en-US" w:eastAsia="zh-CN"/>
              </w:rPr>
              <w:t>与</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不一致，则</w:t>
            </w:r>
            <w:r>
              <w:rPr>
                <w:rFonts w:hint="eastAsia" w:ascii="仿宋" w:hAnsi="仿宋" w:eastAsia="仿宋" w:cs="仿宋"/>
                <w:b/>
                <w:bCs/>
                <w:color w:val="auto"/>
                <w:sz w:val="24"/>
                <w:highlight w:val="none"/>
              </w:rPr>
              <w:t>该点不加分</w:t>
            </w:r>
            <w:r>
              <w:rPr>
                <w:rFonts w:hint="eastAsia" w:ascii="仿宋" w:hAnsi="仿宋" w:eastAsia="仿宋" w:cs="仿宋"/>
                <w:b/>
                <w:bCs/>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68"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951"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整体结构与外观</w:t>
            </w:r>
          </w:p>
        </w:tc>
        <w:tc>
          <w:tcPr>
            <w:tcW w:w="3327"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根据视频文件对核心产品的外观构造、内部结构、设计理念等进行评审。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设计理念先进，外部构造和内部结构科学合理，整体结构外观与实战紧贴程度高的，得3分；设计理念较为先进，外部构造和内部结构较为合理，整体结构外观与实战紧贴程度较高的，得2分；设计理念一般，外观构造和内部结构基本合理，整体结构外观与实战紧贴程度不高的，得1分；未提供证明材料或证明材料有缺项的不得分。</w:t>
            </w:r>
          </w:p>
        </w:tc>
        <w:tc>
          <w:tcPr>
            <w:tcW w:w="451"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951"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工艺</w:t>
            </w:r>
          </w:p>
        </w:tc>
        <w:tc>
          <w:tcPr>
            <w:tcW w:w="3327"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根据视频文件对核心产品的安全性、耐用性、实用性等进行评审。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性能高、耐用性能好、实用性能强，工艺符合实战需求程度高的，得3分；安全性能较高、耐用性能良好、实用性能较强，工艺符合实战需求程度较高的，得2分；安全性能不高、耐用性能普通、实用性能一般，工艺符合实战需求程度不高的，得1分；未提供证明材料或证明材料有缺项的不得分。</w:t>
            </w:r>
          </w:p>
        </w:tc>
        <w:tc>
          <w:tcPr>
            <w:tcW w:w="451"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951"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操作使用性能</w:t>
            </w:r>
          </w:p>
        </w:tc>
        <w:tc>
          <w:tcPr>
            <w:tcW w:w="3327"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根据视频文件对核心产品的可靠性、便捷性、稳定性等进行评审。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可靠性高、便捷性好、稳定性好，操作使用性能提升战斗力程度高的，得4分；可靠性较高、便捷性较好、稳定性良好，操作使用性能提升战斗力程度较高的，得2分；可靠性不高、便捷性和稳定性一般，操作使用性能提升战斗力程度不高的，得1分；未提供证明材料或证明材料有缺项的不得分。</w:t>
            </w:r>
          </w:p>
        </w:tc>
        <w:tc>
          <w:tcPr>
            <w:tcW w:w="451"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731" w:type="pct"/>
            <w:gridSpan w:val="4"/>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lang w:eastAsia="zh-CN"/>
              </w:rPr>
            </w:pPr>
            <w:r>
              <w:rPr>
                <w:rFonts w:hint="eastAsia" w:ascii="仿宋" w:hAnsi="仿宋" w:eastAsia="仿宋" w:cs="仿宋"/>
                <w:b/>
                <w:bCs/>
                <w:color w:val="auto"/>
                <w:sz w:val="24"/>
                <w:highlight w:val="none"/>
              </w:rPr>
              <w:t>以上评审依据：根据视频文件对产品的整体结构与外观、工艺、操作使用性能进行综合评审，视频文件需对以上三点评审内容进行介绍（包含但不限于以上三点）。视频文件[视频文件格式须为通用格式，佐证视频时长不得超过5分钟，视频清晰度应至少保证所摄的界面文字清晰易辨、画面完整连贯、播放速度正常]应存储于U盘内（单独密封在信封中）与投标文件同时递交，逾期递交不予接收，</w:t>
            </w:r>
            <w:r>
              <w:rPr>
                <w:rFonts w:hint="eastAsia" w:ascii="仿宋" w:hAnsi="仿宋" w:eastAsia="仿宋" w:cs="仿宋"/>
                <w:b/>
                <w:bCs/>
                <w:color w:val="auto"/>
                <w:sz w:val="24"/>
                <w:highlight w:val="none"/>
                <w:lang w:eastAsia="zh-CN"/>
              </w:rPr>
              <w:t>U盘由采购代理机构封存，不予退回。未提供视频或视频无法打开的，得0分。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三、商务部分（1</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3"/>
        <w:gridCol w:w="1202"/>
        <w:gridCol w:w="5776"/>
        <w:gridCol w:w="8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序号</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评审因素</w:t>
            </w:r>
          </w:p>
        </w:tc>
        <w:tc>
          <w:tcPr>
            <w:tcW w:w="3389"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评分标准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1</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bCs/>
                <w:color w:val="auto"/>
                <w:sz w:val="24"/>
                <w:szCs w:val="22"/>
                <w:highlight w:val="none"/>
              </w:rPr>
            </w:pPr>
            <w:r>
              <w:rPr>
                <w:rFonts w:hint="eastAsia" w:ascii="仿宋" w:hAnsi="仿宋" w:eastAsia="仿宋" w:cs="仿宋"/>
                <w:color w:val="auto"/>
                <w:sz w:val="24"/>
                <w:highlight w:val="none"/>
              </w:rPr>
              <w:t>符合性评审</w:t>
            </w:r>
          </w:p>
        </w:tc>
        <w:tc>
          <w:tcPr>
            <w:tcW w:w="3887" w:type="pct"/>
            <w:gridSpan w:val="2"/>
            <w:vAlign w:val="center"/>
          </w:tcPr>
          <w:p>
            <w:pPr>
              <w:pageBreakBefore w:val="0"/>
              <w:kinsoku/>
              <w:wordWrap/>
              <w:overflowPunct/>
              <w:topLinePunct w:val="0"/>
              <w:autoSpaceDE/>
              <w:autoSpaceDN/>
              <w:bidi w:val="0"/>
              <w:adjustRightInd/>
              <w:snapToGrid/>
              <w:spacing w:line="460" w:lineRule="exact"/>
              <w:rPr>
                <w:rFonts w:eastAsia="仿宋" w:cs="Times New Roman"/>
                <w:color w:val="auto"/>
                <w:sz w:val="24"/>
                <w:szCs w:val="22"/>
                <w:highlight w:val="none"/>
              </w:rPr>
            </w:pPr>
            <w:r>
              <w:rPr>
                <w:rFonts w:hint="eastAsia" w:eastAsia="仿宋" w:cs="Times New Roman"/>
                <w:color w:val="auto"/>
                <w:sz w:val="24"/>
                <w:szCs w:val="22"/>
                <w:highlight w:val="none"/>
              </w:rPr>
              <w:t>投标人必须完全满足招标文件“商务要求”</w:t>
            </w:r>
            <w:r>
              <w:rPr>
                <w:rFonts w:hint="eastAsia" w:eastAsia="仿宋" w:cs="Times New Roman"/>
                <w:color w:val="auto"/>
                <w:sz w:val="24"/>
                <w:szCs w:val="22"/>
                <w:highlight w:val="none"/>
                <w:lang w:val="en-US" w:eastAsia="zh-CN"/>
              </w:rPr>
              <w:t>所有</w:t>
            </w:r>
            <w:r>
              <w:rPr>
                <w:rFonts w:hint="eastAsia" w:eastAsia="仿宋" w:cs="Times New Roman"/>
                <w:color w:val="auto"/>
                <w:sz w:val="24"/>
                <w:szCs w:val="22"/>
                <w:highlight w:val="none"/>
              </w:rPr>
              <w:t>实质性条款，任意一项不满足作无效投标处理。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eastAsia="仿宋" w:cs="Times New Roman"/>
                <w:b/>
                <w:bCs/>
                <w:color w:val="auto"/>
                <w:sz w:val="24"/>
                <w:szCs w:val="22"/>
                <w:highlight w:val="none"/>
              </w:rPr>
              <w:t>评审依据：投标文件中提供的商务条款响应表。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2</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hint="eastAsia" w:eastAsia="仿宋"/>
                <w:color w:val="auto"/>
                <w:sz w:val="24"/>
                <w:szCs w:val="22"/>
                <w:highlight w:val="none"/>
                <w:lang w:eastAsia="zh-CN"/>
              </w:rPr>
            </w:pPr>
            <w:r>
              <w:rPr>
                <w:rFonts w:hint="eastAsia" w:eastAsia="仿宋"/>
                <w:color w:val="auto"/>
                <w:sz w:val="24"/>
                <w:szCs w:val="22"/>
                <w:highlight w:val="none"/>
                <w:lang w:eastAsia="zh-CN"/>
              </w:rPr>
              <w:t>生产制造履约能力</w:t>
            </w:r>
          </w:p>
        </w:tc>
        <w:tc>
          <w:tcPr>
            <w:tcW w:w="3389" w:type="pct"/>
            <w:vAlign w:val="center"/>
          </w:tcPr>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val="en-US" w:eastAsia="zh-CN"/>
              </w:rPr>
              <w:t>投标人提供所投核心产品制造商的证明材料（应加盖制造商公章）</w:t>
            </w:r>
            <w:r>
              <w:rPr>
                <w:rFonts w:hint="eastAsia" w:eastAsia="仿宋" w:cs="Times New Roman"/>
                <w:color w:val="auto"/>
                <w:sz w:val="24"/>
                <w:szCs w:val="22"/>
                <w:highlight w:val="none"/>
              </w:rPr>
              <w:t>对</w:t>
            </w:r>
            <w:r>
              <w:rPr>
                <w:rFonts w:hint="eastAsia" w:eastAsia="仿宋" w:cs="Times New Roman"/>
                <w:color w:val="auto"/>
                <w:sz w:val="24"/>
                <w:szCs w:val="22"/>
                <w:highlight w:val="none"/>
                <w:lang w:eastAsia="zh-CN"/>
              </w:rPr>
              <w:t>生产制造履约能力</w:t>
            </w:r>
            <w:r>
              <w:rPr>
                <w:rFonts w:hint="eastAsia" w:eastAsia="仿宋" w:cs="Times New Roman"/>
                <w:color w:val="auto"/>
                <w:sz w:val="24"/>
                <w:szCs w:val="22"/>
                <w:highlight w:val="none"/>
              </w:rPr>
              <w:t>进行评审，包含但不限于</w:t>
            </w:r>
            <w:r>
              <w:rPr>
                <w:rFonts w:hint="eastAsia" w:eastAsia="仿宋" w:cs="Times New Roman"/>
                <w:color w:val="auto"/>
                <w:sz w:val="24"/>
                <w:szCs w:val="22"/>
                <w:highlight w:val="none"/>
                <w:lang w:eastAsia="zh-CN"/>
              </w:rPr>
              <w:t>：</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eastAsia="zh-CN"/>
              </w:rPr>
              <w:t>①制造商生产经营情况简介；</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②生产工艺流程，主要包括</w:t>
            </w:r>
            <w:r>
              <w:rPr>
                <w:rFonts w:hint="eastAsia" w:eastAsia="仿宋" w:cs="Times New Roman"/>
                <w:color w:val="auto"/>
                <w:sz w:val="24"/>
                <w:szCs w:val="22"/>
                <w:highlight w:val="none"/>
                <w:lang w:val="en-US" w:eastAsia="zh-CN"/>
              </w:rPr>
              <w:t>生产制造流程</w:t>
            </w:r>
            <w:r>
              <w:rPr>
                <w:rFonts w:hint="eastAsia" w:eastAsia="仿宋" w:cs="Times New Roman"/>
                <w:color w:val="auto"/>
                <w:sz w:val="24"/>
                <w:szCs w:val="22"/>
                <w:highlight w:val="none"/>
              </w:rPr>
              <w:t>图、生产步骤</w:t>
            </w:r>
            <w:r>
              <w:rPr>
                <w:rFonts w:hint="eastAsia" w:eastAsia="仿宋" w:cs="Times New Roman"/>
                <w:color w:val="auto"/>
                <w:sz w:val="24"/>
                <w:szCs w:val="22"/>
                <w:highlight w:val="none"/>
                <w:lang w:eastAsia="zh-CN"/>
              </w:rPr>
              <w:t>（应含</w:t>
            </w:r>
            <w:r>
              <w:rPr>
                <w:rFonts w:hint="eastAsia" w:eastAsia="仿宋" w:cs="Times New Roman"/>
                <w:color w:val="auto"/>
                <w:sz w:val="24"/>
                <w:szCs w:val="22"/>
                <w:highlight w:val="none"/>
                <w:lang w:val="en-US" w:eastAsia="zh-CN"/>
              </w:rPr>
              <w:t>生产车间环境及实际生产照片</w:t>
            </w:r>
            <w:r>
              <w:rPr>
                <w:rFonts w:hint="eastAsia" w:eastAsia="仿宋" w:cs="Times New Roman"/>
                <w:color w:val="auto"/>
                <w:sz w:val="24"/>
                <w:szCs w:val="22"/>
                <w:highlight w:val="none"/>
                <w:lang w:eastAsia="zh-CN"/>
              </w:rPr>
              <w:t>）</w:t>
            </w:r>
            <w:r>
              <w:rPr>
                <w:rFonts w:hint="eastAsia" w:eastAsia="仿宋" w:cs="Times New Roman"/>
                <w:color w:val="auto"/>
                <w:sz w:val="24"/>
                <w:szCs w:val="22"/>
                <w:highlight w:val="none"/>
              </w:rPr>
              <w:t>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③产品检验流程，包括主要检验设备</w:t>
            </w:r>
            <w:r>
              <w:rPr>
                <w:rFonts w:hint="eastAsia" w:eastAsia="仿宋" w:cs="Times New Roman"/>
                <w:color w:val="auto"/>
                <w:sz w:val="24"/>
                <w:szCs w:val="22"/>
                <w:highlight w:val="none"/>
                <w:lang w:eastAsia="zh-CN"/>
              </w:rPr>
              <w:t>（应提供图片）</w:t>
            </w:r>
            <w:r>
              <w:rPr>
                <w:rFonts w:hint="eastAsia" w:eastAsia="仿宋" w:cs="Times New Roman"/>
                <w:color w:val="auto"/>
                <w:sz w:val="24"/>
                <w:szCs w:val="22"/>
                <w:highlight w:val="none"/>
              </w:rPr>
              <w:t>、检验步骤等相关情况描述；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④人员配备：相关专业技术</w:t>
            </w:r>
            <w:r>
              <w:rPr>
                <w:rFonts w:hint="eastAsia" w:eastAsia="仿宋" w:cs="Times New Roman"/>
                <w:color w:val="auto"/>
                <w:sz w:val="24"/>
                <w:szCs w:val="22"/>
                <w:highlight w:val="none"/>
                <w:lang w:eastAsia="zh-CN"/>
              </w:rPr>
              <w:t>职称</w:t>
            </w:r>
            <w:r>
              <w:rPr>
                <w:rFonts w:hint="eastAsia" w:eastAsia="仿宋" w:cs="Times New Roman"/>
                <w:color w:val="auto"/>
                <w:sz w:val="24"/>
                <w:szCs w:val="22"/>
                <w:highlight w:val="none"/>
              </w:rPr>
              <w:t>人员配置情况</w:t>
            </w:r>
            <w:r>
              <w:rPr>
                <w:rFonts w:hint="eastAsia" w:eastAsia="仿宋" w:cs="Times New Roman"/>
                <w:color w:val="auto"/>
                <w:sz w:val="24"/>
                <w:szCs w:val="22"/>
                <w:highlight w:val="none"/>
                <w:lang w:eastAsia="zh-CN"/>
              </w:rPr>
              <w:t>；</w:t>
            </w:r>
            <w:r>
              <w:rPr>
                <w:rFonts w:hint="eastAsia" w:eastAsia="仿宋" w:cs="Times New Roman"/>
                <w:color w:val="auto"/>
                <w:sz w:val="24"/>
                <w:szCs w:val="22"/>
                <w:highlight w:val="none"/>
              </w:rPr>
              <w:t>各原材料采购、生产、检验、仓储、运输等环节的人员配备情况；</w:t>
            </w:r>
          </w:p>
          <w:p>
            <w:pPr>
              <w:pageBreakBefore w:val="0"/>
              <w:kinsoku/>
              <w:wordWrap/>
              <w:overflowPunct/>
              <w:topLinePunct w:val="0"/>
              <w:autoSpaceDE/>
              <w:autoSpaceDN/>
              <w:bidi w:val="0"/>
              <w:adjustRightInd/>
              <w:snapToGrid/>
              <w:spacing w:line="460" w:lineRule="exact"/>
              <w:rPr>
                <w:rFonts w:hint="eastAsia" w:eastAsia="仿宋" w:cs="Times New Roman"/>
                <w:b/>
                <w:bCs/>
                <w:color w:val="auto"/>
                <w:sz w:val="24"/>
                <w:szCs w:val="22"/>
                <w:highlight w:val="none"/>
              </w:rPr>
            </w:pPr>
            <w:r>
              <w:rPr>
                <w:rFonts w:hint="eastAsia" w:eastAsia="仿宋" w:cs="Times New Roman"/>
                <w:b/>
                <w:bCs/>
                <w:color w:val="auto"/>
                <w:sz w:val="24"/>
                <w:szCs w:val="22"/>
                <w:highlight w:val="none"/>
              </w:rPr>
              <w:t>评审依据：</w:t>
            </w:r>
            <w:r>
              <w:rPr>
                <w:rFonts w:hint="eastAsia" w:eastAsia="仿宋" w:cs="Times New Roman"/>
                <w:b/>
                <w:bCs/>
                <w:color w:val="auto"/>
                <w:sz w:val="24"/>
                <w:szCs w:val="22"/>
                <w:highlight w:val="none"/>
                <w:lang w:val="en-US" w:eastAsia="zh-CN"/>
              </w:rPr>
              <w:t>根据</w:t>
            </w:r>
            <w:r>
              <w:rPr>
                <w:rFonts w:hint="eastAsia" w:eastAsia="仿宋" w:cs="Times New Roman"/>
                <w:b/>
                <w:bCs/>
                <w:color w:val="auto"/>
                <w:sz w:val="24"/>
                <w:szCs w:val="22"/>
                <w:highlight w:val="none"/>
              </w:rPr>
              <w:t>投标人提</w:t>
            </w:r>
            <w:r>
              <w:rPr>
                <w:rFonts w:hint="eastAsia" w:eastAsia="仿宋" w:cs="Times New Roman"/>
                <w:b/>
                <w:bCs/>
                <w:color w:val="auto"/>
                <w:sz w:val="24"/>
                <w:szCs w:val="22"/>
                <w:highlight w:val="none"/>
                <w:lang w:val="en-US" w:eastAsia="zh-CN"/>
              </w:rPr>
              <w:t>供的生产制造履约能力方案内容完整性、组织性、关联性和可操作性进行评审</w:t>
            </w:r>
            <w:r>
              <w:rPr>
                <w:rFonts w:hint="eastAsia" w:eastAsia="仿宋" w:cs="Times New Roman"/>
                <w:b/>
                <w:bCs/>
                <w:color w:val="auto"/>
                <w:sz w:val="24"/>
                <w:szCs w:val="22"/>
                <w:highlight w:val="none"/>
              </w:rPr>
              <w:t>。</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1、所投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制造商具备较强自主研发能力及先进的生产工艺，生产车间环境及生产线先进规范，生产步骤完整周详，技术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检验设备配置齐全、检验步骤严密无纰漏，生产制造履约能力</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分；</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制造商有自主研发能力和生产工艺较完整，生产车间环境及生产线常规，生产步骤较完整周详，技术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eastAsia="zh-CN"/>
              </w:rPr>
              <w:t>相对</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检验设备配置较齐全、检验步骤相对完备，生产制造履约能力</w:t>
            </w:r>
            <w:r>
              <w:rPr>
                <w:rFonts w:hint="eastAsia" w:ascii="仿宋" w:hAnsi="仿宋" w:eastAsia="仿宋" w:cs="仿宋"/>
                <w:b/>
                <w:bCs/>
                <w:color w:val="auto"/>
                <w:sz w:val="24"/>
                <w:szCs w:val="24"/>
                <w:highlight w:val="none"/>
                <w:lang w:eastAsia="zh-CN"/>
              </w:rPr>
              <w:t>较</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3、所投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制造商有自主研发能力和生产工艺薄弱，生产车间环境及生产线粗糙落后，生产步骤简单，技术</w:t>
            </w:r>
            <w:r>
              <w:rPr>
                <w:rFonts w:hint="eastAsia" w:ascii="仿宋" w:hAnsi="仿宋" w:eastAsia="仿宋" w:cs="仿宋"/>
                <w:b/>
                <w:bCs/>
                <w:color w:val="auto"/>
                <w:sz w:val="24"/>
                <w:szCs w:val="24"/>
                <w:highlight w:val="none"/>
              </w:rPr>
              <w:t>人员</w:t>
            </w:r>
            <w:r>
              <w:rPr>
                <w:rFonts w:hint="eastAsia" w:ascii="仿宋" w:hAnsi="仿宋" w:eastAsia="仿宋" w:cs="仿宋"/>
                <w:b/>
                <w:bCs/>
                <w:color w:val="auto"/>
                <w:sz w:val="24"/>
                <w:szCs w:val="24"/>
                <w:highlight w:val="none"/>
                <w:lang w:eastAsia="zh-CN"/>
              </w:rPr>
              <w:t>综合实力一般，</w:t>
            </w:r>
            <w:r>
              <w:rPr>
                <w:rFonts w:hint="eastAsia" w:ascii="仿宋" w:hAnsi="仿宋" w:eastAsia="仿宋" w:cs="仿宋"/>
                <w:b/>
                <w:bCs/>
                <w:color w:val="auto"/>
                <w:sz w:val="24"/>
                <w:szCs w:val="24"/>
                <w:highlight w:val="none"/>
                <w:lang w:val="en-US" w:eastAsia="zh-CN"/>
              </w:rPr>
              <w:t>检验设备配置简单落后，检验步骤普通，生产制造履约能力</w:t>
            </w:r>
            <w:r>
              <w:rPr>
                <w:rFonts w:hint="eastAsia" w:ascii="仿宋" w:hAnsi="仿宋" w:eastAsia="仿宋" w:cs="仿宋"/>
                <w:b/>
                <w:bCs/>
                <w:color w:val="auto"/>
                <w:sz w:val="24"/>
                <w:szCs w:val="24"/>
                <w:highlight w:val="none"/>
                <w:lang w:eastAsia="zh-CN"/>
              </w:rPr>
              <w:t>弱</w:t>
            </w:r>
            <w:r>
              <w:rPr>
                <w:rFonts w:hint="eastAsia" w:ascii="仿宋" w:hAnsi="仿宋" w:eastAsia="仿宋" w:cs="仿宋"/>
                <w:b/>
                <w:bCs/>
                <w:color w:val="auto"/>
                <w:sz w:val="24"/>
                <w:szCs w:val="24"/>
                <w:highlight w:val="none"/>
              </w:rPr>
              <w:t>的得</w:t>
            </w: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未提供证明材料或证明材料有缺项的不得分。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3</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质量保证和保修</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eastAsia="仿宋"/>
                <w:color w:val="auto"/>
                <w:sz w:val="24"/>
                <w:szCs w:val="22"/>
                <w:highlight w:val="none"/>
              </w:rPr>
            </w:pPr>
            <w:r>
              <w:rPr>
                <w:rFonts w:eastAsia="仿宋"/>
                <w:color w:val="auto"/>
                <w:sz w:val="24"/>
                <w:szCs w:val="22"/>
                <w:highlight w:val="none"/>
              </w:rPr>
              <w:t>在招标文件商务要求中“质保期”和“保修期”要求基础上，承诺“质保期”和“保修期”均每延长一年的加2分，最多加4分。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eastAsia="仿宋"/>
                <w:b/>
                <w:color w:val="auto"/>
                <w:sz w:val="24"/>
                <w:szCs w:val="22"/>
                <w:highlight w:val="none"/>
              </w:rPr>
              <w:t>评审依据：投标文件中提供“质保期”和“保修期”均延长的承诺函原件。</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类似销售</w:t>
            </w:r>
          </w:p>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案例</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投标人自</w:t>
            </w:r>
            <w:r>
              <w:rPr>
                <w:rFonts w:eastAsia="仿宋" w:cs="Times New Roman"/>
                <w:color w:val="auto"/>
                <w:sz w:val="24"/>
                <w:szCs w:val="22"/>
                <w:highlight w:val="none"/>
              </w:rPr>
              <w:t>20</w:t>
            </w:r>
            <w:r>
              <w:rPr>
                <w:rFonts w:hint="eastAsia" w:eastAsia="仿宋" w:cs="Times New Roman"/>
                <w:color w:val="auto"/>
                <w:sz w:val="24"/>
                <w:szCs w:val="22"/>
                <w:highlight w:val="none"/>
              </w:rPr>
              <w:t>2</w:t>
            </w:r>
            <w:r>
              <w:rPr>
                <w:rFonts w:hint="eastAsia" w:eastAsia="仿宋" w:cs="Times New Roman"/>
                <w:color w:val="auto"/>
                <w:sz w:val="24"/>
                <w:szCs w:val="22"/>
                <w:highlight w:val="none"/>
                <w:lang w:val="en-US" w:eastAsia="zh-CN"/>
              </w:rPr>
              <w:t>1</w:t>
            </w:r>
            <w:r>
              <w:rPr>
                <w:rFonts w:hint="eastAsia" w:eastAsia="仿宋" w:cs="Times New Roman"/>
                <w:color w:val="auto"/>
                <w:sz w:val="24"/>
                <w:szCs w:val="22"/>
                <w:highlight w:val="none"/>
              </w:rPr>
              <w:t>年</w:t>
            </w:r>
            <w:r>
              <w:rPr>
                <w:rFonts w:eastAsia="仿宋" w:cs="Times New Roman"/>
                <w:color w:val="auto"/>
                <w:sz w:val="24"/>
                <w:szCs w:val="22"/>
                <w:highlight w:val="none"/>
              </w:rPr>
              <w:t>1月1日至今（以签订合同时间为准）具有类似</w:t>
            </w:r>
            <w:r>
              <w:rPr>
                <w:rFonts w:hint="eastAsia" w:eastAsia="仿宋" w:cs="Times New Roman"/>
                <w:color w:val="auto"/>
                <w:sz w:val="24"/>
                <w:szCs w:val="22"/>
                <w:highlight w:val="none"/>
                <w:lang w:eastAsia="zh-CN"/>
              </w:rPr>
              <w:t>核心</w:t>
            </w:r>
            <w:r>
              <w:rPr>
                <w:rFonts w:eastAsia="仿宋" w:cs="Times New Roman"/>
                <w:color w:val="auto"/>
                <w:sz w:val="24"/>
                <w:szCs w:val="22"/>
                <w:highlight w:val="none"/>
              </w:rPr>
              <w:t>产品销售案例，每提供1份销售案例加</w:t>
            </w:r>
            <w:r>
              <w:rPr>
                <w:rFonts w:hint="eastAsia" w:eastAsia="仿宋" w:cs="Times New Roman"/>
                <w:color w:val="auto"/>
                <w:sz w:val="24"/>
                <w:szCs w:val="22"/>
                <w:highlight w:val="none"/>
                <w:lang w:val="en-US" w:eastAsia="zh-CN"/>
              </w:rPr>
              <w:t>2</w:t>
            </w:r>
            <w:r>
              <w:rPr>
                <w:rFonts w:hint="eastAsia" w:eastAsia="仿宋" w:cs="Times New Roman"/>
                <w:color w:val="auto"/>
                <w:sz w:val="24"/>
                <w:szCs w:val="22"/>
                <w:highlight w:val="none"/>
              </w:rPr>
              <w:t>分，本项最多加</w:t>
            </w:r>
            <w:r>
              <w:rPr>
                <w:rFonts w:hint="eastAsia" w:eastAsia="仿宋" w:cs="Times New Roman"/>
                <w:color w:val="auto"/>
                <w:sz w:val="24"/>
                <w:szCs w:val="22"/>
                <w:highlight w:val="none"/>
                <w:lang w:val="en-US" w:eastAsia="zh-CN"/>
              </w:rPr>
              <w:t>6</w:t>
            </w:r>
            <w:r>
              <w:rPr>
                <w:rFonts w:hint="eastAsia" w:eastAsia="仿宋" w:cs="Times New Roman"/>
                <w:color w:val="auto"/>
                <w:sz w:val="24"/>
                <w:szCs w:val="22"/>
                <w:highlight w:val="none"/>
              </w:rPr>
              <w:t>分。</w:t>
            </w:r>
          </w:p>
          <w:p>
            <w:pPr>
              <w:pageBreakBefore w:val="0"/>
              <w:kinsoku/>
              <w:wordWrap/>
              <w:overflowPunct/>
              <w:topLinePunct w:val="0"/>
              <w:autoSpaceDE/>
              <w:autoSpaceDN/>
              <w:bidi w:val="0"/>
              <w:adjustRightInd/>
              <w:snapToGrid/>
              <w:spacing w:line="460" w:lineRule="exact"/>
              <w:jc w:val="left"/>
              <w:rPr>
                <w:rFonts w:eastAsia="仿宋"/>
                <w:b/>
                <w:bCs/>
                <w:color w:val="auto"/>
                <w:sz w:val="24"/>
                <w:szCs w:val="22"/>
                <w:highlight w:val="none"/>
              </w:rPr>
            </w:pPr>
            <w:r>
              <w:rPr>
                <w:rFonts w:hint="eastAsia" w:eastAsia="仿宋" w:cs="Times New Roman"/>
                <w:b/>
                <w:bCs/>
                <w:color w:val="auto"/>
                <w:sz w:val="24"/>
                <w:szCs w:val="22"/>
                <w:highlight w:val="none"/>
              </w:rPr>
              <w:t>评审依据：①投标文件中提供销售案例明细表（销售案例明细表包含</w:t>
            </w:r>
            <w:r>
              <w:rPr>
                <w:rFonts w:eastAsia="仿宋" w:cs="Times New Roman"/>
                <w:b/>
                <w:bCs/>
                <w:color w:val="auto"/>
                <w:sz w:val="24"/>
                <w:szCs w:val="22"/>
                <w:highlight w:val="none"/>
              </w:rPr>
              <w:t>:发布网站名称、网页链接地址、采购项目名称、采购单位名称和联系方式、采购代理机构名称和联系方式）；</w:t>
            </w:r>
            <w:r>
              <w:rPr>
                <w:rFonts w:hint="eastAsia" w:eastAsia="仿宋" w:cs="Times New Roman"/>
                <w:b/>
                <w:bCs/>
                <w:color w:val="auto"/>
                <w:sz w:val="24"/>
                <w:szCs w:val="22"/>
                <w:highlight w:val="none"/>
              </w:rPr>
              <w:t>②</w:t>
            </w:r>
            <w:r>
              <w:rPr>
                <w:rFonts w:hint="eastAsia" w:eastAsia="仿宋" w:cs="Times New Roman"/>
                <w:b/>
                <w:bCs/>
                <w:color w:val="auto"/>
                <w:sz w:val="24"/>
                <w:szCs w:val="22"/>
                <w:highlight w:val="none"/>
                <w:lang w:eastAsia="zh-CN"/>
              </w:rPr>
              <w:t>中标（成交）公告截图（打印网页）、中标通知书复印件和合同复印件（中标通知书或合同复印件应体现类似销售案例的货物），合同签订方必须是投标人本身。</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hint="eastAsia" w:eastAsia="仿宋"/>
                <w:color w:val="auto"/>
                <w:sz w:val="24"/>
                <w:szCs w:val="22"/>
                <w:highlight w:val="none"/>
                <w:lang w:val="en-US" w:eastAsia="zh-CN"/>
              </w:rPr>
              <w:t>6</w:t>
            </w:r>
            <w:r>
              <w:rPr>
                <w:rFonts w:eastAsia="仿宋"/>
                <w:color w:val="auto"/>
                <w:sz w:val="24"/>
                <w:szCs w:val="22"/>
                <w:highlight w:val="none"/>
              </w:rPr>
              <w:t>分</w:t>
            </w:r>
          </w:p>
        </w:tc>
      </w:tr>
    </w:tbl>
    <w:p>
      <w:pPr>
        <w:keepNext w:val="0"/>
        <w:keepLines w:val="0"/>
        <w:pageBreakBefore w:val="0"/>
        <w:widowControl w:val="0"/>
        <w:kinsoku/>
        <w:wordWrap/>
        <w:overflowPunct/>
        <w:topLinePunct w:val="0"/>
        <w:autoSpaceDE/>
        <w:autoSpaceDN/>
        <w:bidi w:val="0"/>
        <w:adjustRightInd/>
        <w:snapToGrid/>
        <w:spacing w:line="460" w:lineRule="exact"/>
        <w:jc w:val="left"/>
        <w:textAlignment w:val="auto"/>
        <w:outlineLvl w:val="1"/>
        <w:rPr>
          <w:rFonts w:hint="eastAsia" w:ascii="仿宋" w:hAnsi="仿宋" w:eastAsia="仿宋" w:cs="Times New Roman"/>
          <w:b/>
          <w:bCs/>
          <w:color w:val="auto"/>
          <w:sz w:val="28"/>
          <w:szCs w:val="28"/>
          <w:highlight w:val="none"/>
          <w:lang w:eastAsia="zh-CN"/>
        </w:rPr>
      </w:pPr>
      <w:r>
        <w:rPr>
          <w:rFonts w:hint="eastAsia" w:ascii="仿宋" w:hAnsi="仿宋" w:eastAsia="仿宋" w:cs="Times New Roman"/>
          <w:b/>
          <w:bCs/>
          <w:color w:val="auto"/>
          <w:sz w:val="28"/>
          <w:szCs w:val="28"/>
          <w:highlight w:val="none"/>
          <w:lang w:val="en-US" w:eastAsia="zh-CN"/>
        </w:rPr>
        <w:br w:type="page"/>
      </w:r>
      <w:bookmarkStart w:id="648" w:name="_Toc3755"/>
      <w:bookmarkStart w:id="649" w:name="_Toc24589"/>
      <w:bookmarkStart w:id="650" w:name="_Toc17132"/>
      <w:bookmarkStart w:id="651" w:name="_Toc24547"/>
      <w:r>
        <w:rPr>
          <w:rFonts w:hint="eastAsia" w:ascii="仿宋" w:hAnsi="仿宋" w:eastAsia="仿宋" w:cs="Times New Roman"/>
          <w:b/>
          <w:bCs/>
          <w:color w:val="auto"/>
          <w:sz w:val="28"/>
          <w:szCs w:val="28"/>
          <w:highlight w:val="none"/>
          <w:lang w:val="en-US" w:eastAsia="zh-CN"/>
        </w:rPr>
        <w:t>13包</w:t>
      </w:r>
      <w:r>
        <w:rPr>
          <w:rFonts w:hint="eastAsia" w:ascii="仿宋" w:hAnsi="仿宋" w:eastAsia="仿宋" w:cs="Times New Roman"/>
          <w:b/>
          <w:bCs/>
          <w:color w:val="auto"/>
          <w:sz w:val="28"/>
          <w:szCs w:val="28"/>
          <w:highlight w:val="none"/>
        </w:rPr>
        <w:t>：</w:t>
      </w:r>
      <w:r>
        <w:rPr>
          <w:rFonts w:hint="eastAsia" w:ascii="仿宋" w:hAnsi="仿宋" w:eastAsia="仿宋" w:cs="Times New Roman"/>
          <w:b/>
          <w:bCs/>
          <w:color w:val="auto"/>
          <w:sz w:val="28"/>
          <w:szCs w:val="28"/>
          <w:highlight w:val="none"/>
          <w:lang w:val="en-US" w:eastAsia="zh-CN"/>
        </w:rPr>
        <w:t>机动链锯【核心产品】、</w:t>
      </w:r>
      <w:r>
        <w:rPr>
          <w:rFonts w:hint="eastAsia" w:ascii="仿宋" w:hAnsi="仿宋" w:eastAsia="仿宋" w:cs="Times New Roman"/>
          <w:b/>
          <w:bCs/>
          <w:color w:val="auto"/>
          <w:sz w:val="28"/>
          <w:szCs w:val="28"/>
          <w:highlight w:val="none"/>
        </w:rPr>
        <w:t>电动链锯</w:t>
      </w:r>
      <w:bookmarkEnd w:id="648"/>
      <w:bookmarkEnd w:id="649"/>
      <w:bookmarkEnd w:id="650"/>
      <w:bookmarkEnd w:id="651"/>
    </w:p>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hint="eastAsia" w:ascii="仿宋" w:hAnsi="仿宋" w:eastAsia="仿宋"/>
          <w:b/>
          <w:color w:val="auto"/>
          <w:sz w:val="24"/>
          <w:highlight w:val="none"/>
        </w:rPr>
        <w:t>一、价格部分（</w:t>
      </w:r>
      <w:r>
        <w:rPr>
          <w:rFonts w:ascii="仿宋" w:hAnsi="仿宋" w:eastAsia="仿宋"/>
          <w:b/>
          <w:color w:val="auto"/>
          <w:sz w:val="24"/>
          <w:highlight w:val="none"/>
        </w:rPr>
        <w:t>30分）</w:t>
      </w:r>
    </w:p>
    <w:tbl>
      <w:tblPr>
        <w:tblStyle w:val="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1"/>
        <w:gridCol w:w="1449"/>
        <w:gridCol w:w="5672"/>
        <w:gridCol w:w="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评审因素</w:t>
            </w:r>
          </w:p>
        </w:tc>
        <w:tc>
          <w:tcPr>
            <w:tcW w:w="3327" w:type="pct"/>
            <w:vAlign w:val="center"/>
          </w:tcPr>
          <w:p>
            <w:pPr>
              <w:pageBreakBefore w:val="0"/>
              <w:kinsoku/>
              <w:wordWrap/>
              <w:overflowPunct/>
              <w:topLinePunct w:val="0"/>
              <w:autoSpaceDE/>
              <w:autoSpaceDN/>
              <w:bidi w:val="0"/>
              <w:adjustRightInd/>
              <w:snapToGrid/>
              <w:spacing w:line="460" w:lineRule="exact"/>
              <w:jc w:val="center"/>
              <w:textAlignment w:val="center"/>
              <w:rPr>
                <w:rFonts w:ascii="仿宋" w:hAnsi="仿宋" w:eastAsia="仿宋" w:cs="仿宋"/>
                <w:b/>
                <w:color w:val="auto"/>
                <w:sz w:val="24"/>
                <w:highlight w:val="none"/>
              </w:rPr>
            </w:pPr>
            <w:r>
              <w:rPr>
                <w:rFonts w:hint="eastAsia" w:ascii="仿宋" w:hAnsi="仿宋" w:eastAsia="仿宋" w:cs="仿宋"/>
                <w:b/>
                <w:bCs/>
                <w:color w:val="auto"/>
                <w:sz w:val="24"/>
                <w:highlight w:val="none"/>
              </w:rPr>
              <w:t>评分标准</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价格分</w:t>
            </w:r>
          </w:p>
        </w:tc>
        <w:tc>
          <w:tcPr>
            <w:tcW w:w="3327" w:type="pct"/>
            <w:vAlign w:val="center"/>
          </w:tcPr>
          <w:p>
            <w:pPr>
              <w:pageBreakBefore w:val="0"/>
              <w:kinsoku/>
              <w:wordWrap/>
              <w:overflowPunct/>
              <w:topLinePunct w:val="0"/>
              <w:autoSpaceDE/>
              <w:autoSpaceDN/>
              <w:bidi w:val="0"/>
              <w:adjustRightInd/>
              <w:snapToGrid/>
              <w:spacing w:line="460" w:lineRule="exact"/>
              <w:jc w:val="left"/>
              <w:textAlignment w:val="center"/>
              <w:rPr>
                <w:rFonts w:ascii="仿宋" w:hAnsi="仿宋" w:eastAsia="仿宋" w:cs="仿宋"/>
                <w:color w:val="auto"/>
                <w:sz w:val="24"/>
                <w:highlight w:val="none"/>
              </w:rPr>
            </w:pPr>
            <w:r>
              <w:rPr>
                <w:rFonts w:hint="eastAsia" w:ascii="仿宋" w:hAnsi="仿宋" w:eastAsia="仿宋" w:cs="仿宋"/>
                <w:color w:val="auto"/>
                <w:sz w:val="24"/>
                <w:highlight w:val="none"/>
              </w:rPr>
              <w:t>根据综合评分法，满足招标文件要求且投标价格最低的投标报价为评标基准价，投标报价得分</w:t>
            </w:r>
            <w:r>
              <w:rPr>
                <w:rFonts w:ascii="仿宋" w:hAnsi="仿宋" w:eastAsia="仿宋" w:cs="仿宋"/>
                <w:color w:val="auto"/>
                <w:sz w:val="24"/>
                <w:highlight w:val="none"/>
              </w:rPr>
              <w:t>=（评标基准价／投标报价）</w:t>
            </w:r>
            <w:r>
              <w:rPr>
                <w:rFonts w:hint="eastAsia" w:ascii="仿宋" w:hAnsi="仿宋" w:eastAsia="仿宋" w:cs="仿宋"/>
                <w:color w:val="auto"/>
                <w:sz w:val="24"/>
                <w:highlight w:val="none"/>
              </w:rPr>
              <w:t>×</w:t>
            </w:r>
            <w:r>
              <w:rPr>
                <w:rFonts w:ascii="仿宋" w:hAnsi="仿宋" w:eastAsia="仿宋" w:cs="仿宋"/>
                <w:color w:val="auto"/>
                <w:sz w:val="24"/>
                <w:highlight w:val="none"/>
              </w:rPr>
              <w:t>30%×100，计算分数时四舍五入取小数点后两位。</w:t>
            </w:r>
          </w:p>
          <w:p>
            <w:pPr>
              <w:pageBreakBefore w:val="0"/>
              <w:kinsoku/>
              <w:wordWrap/>
              <w:overflowPunct/>
              <w:topLinePunct w:val="0"/>
              <w:autoSpaceDE/>
              <w:autoSpaceDN/>
              <w:bidi w:val="0"/>
              <w:adjustRightInd/>
              <w:snapToGrid/>
              <w:spacing w:line="460" w:lineRule="exact"/>
              <w:ind w:firstLine="482" w:firstLineChars="200"/>
              <w:jc w:val="left"/>
              <w:textAlignment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注：</w:t>
            </w:r>
            <w:r>
              <w:rPr>
                <w:rFonts w:ascii="仿宋" w:hAnsi="仿宋" w:eastAsia="仿宋" w:cs="仿宋"/>
                <w:b/>
                <w:bCs/>
                <w:color w:val="auto"/>
                <w:sz w:val="24"/>
                <w:highlight w:val="none"/>
              </w:rPr>
              <w:t>小、微型企业或残疾人福利性单位产品或监狱产品的价格给予10%的扣除，用扣除后的价格参与评审。但残疾人福利性单位本身属于小型、微型企业的，不重复享受政策。</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30分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二、技术部分（5</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3"/>
        <w:gridCol w:w="740"/>
        <w:gridCol w:w="866"/>
        <w:gridCol w:w="5569"/>
        <w:gridCol w:w="7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54"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942" w:type="pct"/>
            <w:gridSpan w:val="2"/>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3268"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评分标准</w:t>
            </w:r>
          </w:p>
        </w:tc>
        <w:tc>
          <w:tcPr>
            <w:tcW w:w="434"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354"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942"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技术参数及要求</w:t>
            </w:r>
          </w:p>
        </w:tc>
        <w:tc>
          <w:tcPr>
            <w:tcW w:w="3268" w:type="pct"/>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一、重大负偏离评审依据：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1、带★条款的响应，不满足招标文件要求的，或有缺项、漏项的，视为重大负偏离；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2、一般参数和带“▲”参数共有四项及以上（含本数）的负偏离，视为重大负偏离；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3、所投产品一般参数或带“▲”参数有一项低于招标文件要求，该项视为负偏离；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4、所投产品一般参数或带“▲”参数有一项缺项、漏项的，该项视为负偏离。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注：“一般参数”为非标“★”号参数和非标“▲”号参数。</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①投标文件中提供的技术条款响应表；</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②所投产品技术参数完全满足招标文件要求得</w:t>
            </w:r>
            <w:r>
              <w:rPr>
                <w:rFonts w:hint="eastAsia" w:ascii="仿宋" w:hAnsi="仿宋" w:eastAsia="仿宋" w:cs="仿宋"/>
                <w:b/>
                <w:bCs/>
                <w:color w:val="auto"/>
                <w:sz w:val="24"/>
                <w:highlight w:val="none"/>
                <w:lang w:val="en-US" w:eastAsia="zh-CN"/>
              </w:rPr>
              <w:t>30</w:t>
            </w:r>
            <w:r>
              <w:rPr>
                <w:rFonts w:hint="eastAsia" w:ascii="仿宋" w:hAnsi="仿宋" w:eastAsia="仿宋" w:cs="仿宋"/>
                <w:b/>
                <w:bCs/>
                <w:color w:val="auto"/>
                <w:sz w:val="24"/>
                <w:highlight w:val="none"/>
              </w:rPr>
              <w:t>分；重大负偏离则视为无效投标；一般参数或带“▲”参数每有一项负偏离减5分，最多减15分，四项或以上负偏离视为无效投标。</w:t>
            </w:r>
          </w:p>
        </w:tc>
        <w:tc>
          <w:tcPr>
            <w:tcW w:w="434" w:type="pct"/>
            <w:vAlign w:val="center"/>
          </w:tcPr>
          <w:p>
            <w:pPr>
              <w:pageBreakBefore w:val="0"/>
              <w:kinsoku/>
              <w:wordWrap/>
              <w:overflowPunct/>
              <w:topLinePunct w:val="0"/>
              <w:autoSpaceDE/>
              <w:autoSpaceDN/>
              <w:bidi w:val="0"/>
              <w:adjustRightInd/>
              <w:snapToGrid/>
              <w:spacing w:line="460" w:lineRule="exact"/>
              <w:jc w:val="center"/>
              <w:textAlignment w:val="center"/>
              <w:rPr>
                <w:rFonts w:hint="default"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54"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434" w:type="pct"/>
            <w:vMerge w:val="restar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机动链锯</w:t>
            </w:r>
          </w:p>
        </w:tc>
        <w:tc>
          <w:tcPr>
            <w:tcW w:w="508"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▲3.3功率：≥2.4KW</w:t>
            </w:r>
          </w:p>
        </w:tc>
        <w:tc>
          <w:tcPr>
            <w:tcW w:w="3268"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highlight w:val="none"/>
                <w:lang w:val="en-US" w:eastAsia="zh-CN"/>
              </w:rPr>
              <w:t>功率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功率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val="en-US" w:eastAsia="zh-CN"/>
              </w:rPr>
              <w:t>功率</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szCs w:val="24"/>
                <w:highlight w:val="none"/>
              </w:rPr>
              <w:t>注：最优表示功率最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，次优表示功率仅次于最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值。</w:t>
            </w:r>
          </w:p>
        </w:tc>
        <w:tc>
          <w:tcPr>
            <w:tcW w:w="43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54"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434" w:type="pct"/>
            <w:vMerge w:val="continue"/>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p>
        </w:tc>
        <w:tc>
          <w:tcPr>
            <w:tcW w:w="508"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▲3.4重量（不含导板、链条）≤5kg</w:t>
            </w:r>
          </w:p>
        </w:tc>
        <w:tc>
          <w:tcPr>
            <w:tcW w:w="3268"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highlight w:val="none"/>
                <w:lang w:val="en-US" w:eastAsia="zh-CN"/>
              </w:rPr>
              <w:t>重量（不含导板、链条）</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重量（不含导板、链条）</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val="en-US" w:eastAsia="zh-CN"/>
              </w:rPr>
              <w:t>重量（不含导板、链条）</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注：最优表示重量（不含导板、链条）最</w:t>
            </w:r>
            <w:r>
              <w:rPr>
                <w:rFonts w:hint="eastAsia" w:ascii="仿宋" w:hAnsi="仿宋" w:eastAsia="仿宋" w:cs="仿宋"/>
                <w:b/>
                <w:bCs/>
                <w:color w:val="auto"/>
                <w:sz w:val="24"/>
                <w:szCs w:val="24"/>
                <w:highlight w:val="none"/>
                <w:lang w:val="en-US" w:eastAsia="zh-CN"/>
              </w:rPr>
              <w:t>小</w:t>
            </w:r>
            <w:r>
              <w:rPr>
                <w:rFonts w:hint="eastAsia" w:ascii="仿宋" w:hAnsi="仿宋" w:eastAsia="仿宋" w:cs="仿宋"/>
                <w:b/>
                <w:bCs/>
                <w:color w:val="auto"/>
                <w:sz w:val="24"/>
                <w:szCs w:val="24"/>
                <w:highlight w:val="none"/>
              </w:rPr>
              <w:t>，次优表示重量（不含导板、链条）仅次于最</w:t>
            </w:r>
            <w:r>
              <w:rPr>
                <w:rFonts w:hint="eastAsia" w:ascii="仿宋" w:hAnsi="仿宋" w:eastAsia="仿宋" w:cs="仿宋"/>
                <w:b/>
                <w:bCs/>
                <w:color w:val="auto"/>
                <w:sz w:val="24"/>
                <w:szCs w:val="24"/>
                <w:highlight w:val="none"/>
                <w:lang w:val="en-US" w:eastAsia="zh-CN"/>
              </w:rPr>
              <w:t>小</w:t>
            </w:r>
            <w:r>
              <w:rPr>
                <w:rFonts w:hint="eastAsia" w:ascii="仿宋" w:hAnsi="仿宋" w:eastAsia="仿宋" w:cs="仿宋"/>
                <w:b/>
                <w:bCs/>
                <w:color w:val="auto"/>
                <w:sz w:val="24"/>
                <w:szCs w:val="24"/>
                <w:highlight w:val="none"/>
              </w:rPr>
              <w:t>值。</w:t>
            </w:r>
          </w:p>
        </w:tc>
        <w:tc>
          <w:tcPr>
            <w:tcW w:w="43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54"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434" w:type="pct"/>
            <w:vMerge w:val="restar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电动链锯</w:t>
            </w:r>
          </w:p>
        </w:tc>
        <w:tc>
          <w:tcPr>
            <w:tcW w:w="508"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▲3.5额定功率：≥1.2KW</w:t>
            </w:r>
          </w:p>
        </w:tc>
        <w:tc>
          <w:tcPr>
            <w:tcW w:w="3268"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highlight w:val="none"/>
                <w:lang w:val="en-US" w:eastAsia="zh-CN"/>
              </w:rPr>
              <w:t>额定功率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额定功率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val="en-US" w:eastAsia="zh-CN"/>
              </w:rPr>
              <w:t>额定功率</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注：最优表示额定功率最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，次优表示额定功率仅次于最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值。</w:t>
            </w:r>
          </w:p>
        </w:tc>
        <w:tc>
          <w:tcPr>
            <w:tcW w:w="43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54"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434" w:type="pct"/>
            <w:vMerge w:val="continue"/>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p>
        </w:tc>
        <w:tc>
          <w:tcPr>
            <w:tcW w:w="508"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▲3.7重量：≤10kg</w:t>
            </w:r>
          </w:p>
        </w:tc>
        <w:tc>
          <w:tcPr>
            <w:tcW w:w="3268"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highlight w:val="none"/>
                <w:lang w:val="en-US" w:eastAsia="zh-CN"/>
              </w:rPr>
              <w:t>重量</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重量</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val="en-US" w:eastAsia="zh-CN"/>
              </w:rPr>
              <w:t>重量</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注：最优表示重量最</w:t>
            </w:r>
            <w:r>
              <w:rPr>
                <w:rFonts w:hint="eastAsia" w:ascii="仿宋" w:hAnsi="仿宋" w:eastAsia="仿宋" w:cs="仿宋"/>
                <w:b/>
                <w:bCs/>
                <w:color w:val="auto"/>
                <w:sz w:val="24"/>
                <w:szCs w:val="24"/>
                <w:highlight w:val="none"/>
                <w:lang w:val="en-US" w:eastAsia="zh-CN"/>
              </w:rPr>
              <w:t>小</w:t>
            </w:r>
            <w:r>
              <w:rPr>
                <w:rFonts w:hint="eastAsia" w:ascii="仿宋" w:hAnsi="仿宋" w:eastAsia="仿宋" w:cs="仿宋"/>
                <w:b/>
                <w:bCs/>
                <w:color w:val="auto"/>
                <w:sz w:val="24"/>
                <w:szCs w:val="24"/>
                <w:highlight w:val="none"/>
              </w:rPr>
              <w:t>，次优表示重量仅次于最</w:t>
            </w:r>
            <w:r>
              <w:rPr>
                <w:rFonts w:hint="eastAsia" w:ascii="仿宋" w:hAnsi="仿宋" w:eastAsia="仿宋" w:cs="仿宋"/>
                <w:b/>
                <w:bCs/>
                <w:color w:val="auto"/>
                <w:sz w:val="24"/>
                <w:szCs w:val="24"/>
                <w:highlight w:val="none"/>
                <w:lang w:val="en-US" w:eastAsia="zh-CN"/>
              </w:rPr>
              <w:t>小</w:t>
            </w:r>
            <w:r>
              <w:rPr>
                <w:rFonts w:hint="eastAsia" w:ascii="仿宋" w:hAnsi="仿宋" w:eastAsia="仿宋" w:cs="仿宋"/>
                <w:b/>
                <w:bCs/>
                <w:color w:val="auto"/>
                <w:sz w:val="24"/>
                <w:szCs w:val="24"/>
                <w:highlight w:val="none"/>
              </w:rPr>
              <w:t>值。</w:t>
            </w:r>
          </w:p>
        </w:tc>
        <w:tc>
          <w:tcPr>
            <w:tcW w:w="43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54"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942"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一般参数</w:t>
            </w:r>
          </w:p>
        </w:tc>
        <w:tc>
          <w:tcPr>
            <w:tcW w:w="3268"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在完全满足招标文件“</w:t>
            </w:r>
            <w:r>
              <w:rPr>
                <w:rFonts w:hint="eastAsia" w:ascii="仿宋" w:hAnsi="仿宋" w:eastAsia="仿宋" w:cs="仿宋"/>
                <w:color w:val="auto"/>
                <w:sz w:val="24"/>
                <w:highlight w:val="none"/>
                <w:lang w:eastAsia="zh-CN"/>
              </w:rPr>
              <w:t>所有参数</w:t>
            </w:r>
            <w:r>
              <w:rPr>
                <w:rFonts w:hint="eastAsia" w:ascii="仿宋" w:hAnsi="仿宋" w:eastAsia="仿宋" w:cs="仿宋"/>
                <w:color w:val="auto"/>
                <w:sz w:val="24"/>
                <w:highlight w:val="none"/>
              </w:rPr>
              <w:t>”要求的基础上，每有一条“一般参数”优于的加1分，本项最多加</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分。（加分只针对具有“≥”或“≤”的数值，数值更加优于的进行加分；文字内容或其他内容优于的不加分）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注：“一般参数”为非标“★”号参数和非标“▲”号参数。</w:t>
            </w:r>
          </w:p>
        </w:tc>
        <w:tc>
          <w:tcPr>
            <w:tcW w:w="43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54" w:type="pct"/>
            <w:vMerge w:val="continue"/>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645" w:type="pct"/>
            <w:gridSpan w:val="4"/>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评审依据：提供技术条款响应表和技术支撑文件</w:t>
            </w:r>
            <w:r>
              <w:rPr>
                <w:rFonts w:hint="eastAsia" w:ascii="仿宋" w:hAnsi="仿宋" w:eastAsia="仿宋" w:cs="仿宋"/>
                <w:b/>
                <w:bCs/>
                <w:color w:val="auto"/>
                <w:sz w:val="24"/>
                <w:highlight w:val="none"/>
                <w:lang w:eastAsia="zh-CN"/>
              </w:rPr>
              <w:t>。</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hint="eastAsia"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hint="eastAsia"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hint="eastAsia"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③制造商出具的技术参数证明材料并加盖制造商公章。]</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注：①供应商应认真提供技术支撑文件，若提供多份技术支撑文件，技术支撑文件佐证不一致时，优先级为：产品检测报告复印件＞制造商公开发布的印刷资料＞制造商出具的技术参数证明</w:t>
            </w:r>
            <w:r>
              <w:rPr>
                <w:rFonts w:hint="eastAsia" w:ascii="仿宋" w:hAnsi="仿宋" w:eastAsia="仿宋" w:cs="仿宋"/>
                <w:b/>
                <w:bCs/>
                <w:color w:val="auto"/>
                <w:sz w:val="24"/>
                <w:highlight w:val="none"/>
                <w:lang w:val="en-US" w:eastAsia="zh-CN"/>
              </w:rPr>
              <w:t>材料</w:t>
            </w:r>
            <w:r>
              <w:rPr>
                <w:rFonts w:hint="eastAsia" w:ascii="仿宋" w:hAnsi="仿宋" w:eastAsia="仿宋" w:cs="仿宋"/>
                <w:b/>
                <w:bCs/>
                <w:color w:val="auto"/>
                <w:sz w:val="24"/>
                <w:highlight w:val="none"/>
              </w:rPr>
              <w:t>；②技术支撑文件</w:t>
            </w:r>
            <w:r>
              <w:rPr>
                <w:rFonts w:hint="eastAsia" w:ascii="仿宋" w:hAnsi="仿宋" w:eastAsia="仿宋" w:cs="仿宋"/>
                <w:b/>
                <w:bCs/>
                <w:color w:val="auto"/>
                <w:sz w:val="24"/>
                <w:highlight w:val="none"/>
                <w:lang w:val="en-US" w:eastAsia="zh-CN"/>
              </w:rPr>
              <w:t>与</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不一致，则</w:t>
            </w:r>
            <w:r>
              <w:rPr>
                <w:rFonts w:hint="eastAsia" w:ascii="仿宋" w:hAnsi="仿宋" w:eastAsia="仿宋" w:cs="仿宋"/>
                <w:b/>
                <w:bCs/>
                <w:color w:val="auto"/>
                <w:sz w:val="24"/>
                <w:highlight w:val="none"/>
              </w:rPr>
              <w:t>该点不加分</w:t>
            </w:r>
            <w:r>
              <w:rPr>
                <w:rFonts w:hint="eastAsia" w:ascii="仿宋" w:hAnsi="仿宋" w:eastAsia="仿宋" w:cs="仿宋"/>
                <w:b/>
                <w:bCs/>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54"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942"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整体结构与外观</w:t>
            </w:r>
          </w:p>
        </w:tc>
        <w:tc>
          <w:tcPr>
            <w:tcW w:w="3268"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根据视频文件对核心产品的外观构造、内部结构、设计理念等进行评审。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设计理念先进，外部构造和内部结构科学合理，整体结构外观与实战紧贴程度高的，得3分；设计理念较为先进，外部构造和内部结构较为合理，整体结构外观与实战紧贴程度较高的，得2分；设计理念一般，外观构造和内部结构基本合理，整体结构外观与实战紧贴程度不高的，得1分；未提供证明材料或证明材料有缺项的不得分。</w:t>
            </w:r>
          </w:p>
        </w:tc>
        <w:tc>
          <w:tcPr>
            <w:tcW w:w="43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54"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942"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工艺</w:t>
            </w:r>
          </w:p>
        </w:tc>
        <w:tc>
          <w:tcPr>
            <w:tcW w:w="3268"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根据视频文件对核心产品的安全性、耐用性、实用性等进行评审。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性能高、耐用性能好、实用性能强，工艺符合实战需求程度高的，得3分；安全性能较高、耐用性能良好、实用性能较强，工艺符合实战需求程度较高的，得2分；安全性能不高、耐用性能普通、实用性能一般，工艺符合实战需求程度不高的，得1分；未提供证明材料或证明材料有缺项的不得分。</w:t>
            </w:r>
          </w:p>
        </w:tc>
        <w:tc>
          <w:tcPr>
            <w:tcW w:w="43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54"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942"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操作使用性能</w:t>
            </w:r>
          </w:p>
        </w:tc>
        <w:tc>
          <w:tcPr>
            <w:tcW w:w="3268"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根据视频文件对核心产品的可靠性、便捷性、稳定性等进行评审。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可靠性高、便捷性好、稳定性好，操作使用性能提升战斗力程度高的，得4分；可靠性较高、便捷性较好、稳定性良好，操作使用性能提升战斗力程度较高的，得2分；可靠性不高、便捷性和稳定性一般，操作使用性能提升战斗力程度不高的，得1分；未提供证明材料或证明材料有缺项的不得分。</w:t>
            </w:r>
          </w:p>
        </w:tc>
        <w:tc>
          <w:tcPr>
            <w:tcW w:w="43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54" w:type="pct"/>
            <w:vMerge w:val="continue"/>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645" w:type="pct"/>
            <w:gridSpan w:val="4"/>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lang w:eastAsia="zh-CN"/>
              </w:rPr>
            </w:pPr>
            <w:r>
              <w:rPr>
                <w:rFonts w:hint="eastAsia" w:ascii="仿宋" w:hAnsi="仿宋" w:eastAsia="仿宋" w:cs="仿宋"/>
                <w:b/>
                <w:bCs/>
                <w:color w:val="auto"/>
                <w:sz w:val="24"/>
                <w:highlight w:val="none"/>
              </w:rPr>
              <w:t>以上评审依据：根据视频文件对产品的整体结构与外观、工艺、操作使用性能进行综合评审，视频文件需对以上三点评审内容进行介绍（包含但不限于以上三点）。视频文件[视频文件格式须为通用格式，佐证视频时长不得超过5分钟，视频清晰度应至少保证所摄的界面文字清晰易辨、画面完整连贯、播放速度正常]应存储于U盘内（单独密封在信封中）与投标文件同时递交，逾期递交不予接收，</w:t>
            </w:r>
            <w:r>
              <w:rPr>
                <w:rFonts w:hint="eastAsia" w:ascii="仿宋" w:hAnsi="仿宋" w:eastAsia="仿宋" w:cs="仿宋"/>
                <w:b/>
                <w:bCs/>
                <w:color w:val="auto"/>
                <w:sz w:val="24"/>
                <w:highlight w:val="none"/>
                <w:lang w:eastAsia="zh-CN"/>
              </w:rPr>
              <w:t>U盘由采购代理机构封存，不予退回。未提供视频或视频无法打开的，得0分。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三、商务部分（1</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3"/>
        <w:gridCol w:w="1202"/>
        <w:gridCol w:w="5776"/>
        <w:gridCol w:w="8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序号</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评审因素</w:t>
            </w:r>
          </w:p>
        </w:tc>
        <w:tc>
          <w:tcPr>
            <w:tcW w:w="3389"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评分标准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1</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bCs/>
                <w:color w:val="auto"/>
                <w:sz w:val="24"/>
                <w:szCs w:val="22"/>
                <w:highlight w:val="none"/>
              </w:rPr>
            </w:pPr>
            <w:r>
              <w:rPr>
                <w:rFonts w:hint="eastAsia" w:ascii="仿宋" w:hAnsi="仿宋" w:eastAsia="仿宋" w:cs="仿宋"/>
                <w:color w:val="auto"/>
                <w:sz w:val="24"/>
                <w:highlight w:val="none"/>
              </w:rPr>
              <w:t>符合性评审</w:t>
            </w:r>
          </w:p>
        </w:tc>
        <w:tc>
          <w:tcPr>
            <w:tcW w:w="3887" w:type="pct"/>
            <w:gridSpan w:val="2"/>
            <w:vAlign w:val="center"/>
          </w:tcPr>
          <w:p>
            <w:pPr>
              <w:pageBreakBefore w:val="0"/>
              <w:kinsoku/>
              <w:wordWrap/>
              <w:overflowPunct/>
              <w:topLinePunct w:val="0"/>
              <w:autoSpaceDE/>
              <w:autoSpaceDN/>
              <w:bidi w:val="0"/>
              <w:adjustRightInd/>
              <w:snapToGrid/>
              <w:spacing w:line="460" w:lineRule="exact"/>
              <w:rPr>
                <w:rFonts w:eastAsia="仿宋" w:cs="Times New Roman"/>
                <w:color w:val="auto"/>
                <w:sz w:val="24"/>
                <w:szCs w:val="22"/>
                <w:highlight w:val="none"/>
              </w:rPr>
            </w:pPr>
            <w:r>
              <w:rPr>
                <w:rFonts w:hint="eastAsia" w:eastAsia="仿宋" w:cs="Times New Roman"/>
                <w:color w:val="auto"/>
                <w:sz w:val="24"/>
                <w:szCs w:val="22"/>
                <w:highlight w:val="none"/>
              </w:rPr>
              <w:t>投标人必须完全满足招标文件“商务要求”</w:t>
            </w:r>
            <w:r>
              <w:rPr>
                <w:rFonts w:hint="eastAsia" w:eastAsia="仿宋" w:cs="Times New Roman"/>
                <w:color w:val="auto"/>
                <w:sz w:val="24"/>
                <w:szCs w:val="22"/>
                <w:highlight w:val="none"/>
                <w:lang w:val="en-US" w:eastAsia="zh-CN"/>
              </w:rPr>
              <w:t>所有</w:t>
            </w:r>
            <w:r>
              <w:rPr>
                <w:rFonts w:hint="eastAsia" w:eastAsia="仿宋" w:cs="Times New Roman"/>
                <w:color w:val="auto"/>
                <w:sz w:val="24"/>
                <w:szCs w:val="22"/>
                <w:highlight w:val="none"/>
              </w:rPr>
              <w:t>实质性条款，任意一项不满足作无效投标处理。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eastAsia="仿宋" w:cs="Times New Roman"/>
                <w:b/>
                <w:bCs/>
                <w:color w:val="auto"/>
                <w:sz w:val="24"/>
                <w:szCs w:val="22"/>
                <w:highlight w:val="none"/>
              </w:rPr>
              <w:t>评审依据：投标文件中提供的商务条款响应表。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2</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hint="eastAsia" w:eastAsia="仿宋"/>
                <w:color w:val="auto"/>
                <w:sz w:val="24"/>
                <w:szCs w:val="22"/>
                <w:highlight w:val="none"/>
                <w:lang w:eastAsia="zh-CN"/>
              </w:rPr>
            </w:pPr>
            <w:r>
              <w:rPr>
                <w:rFonts w:hint="eastAsia" w:eastAsia="仿宋"/>
                <w:color w:val="auto"/>
                <w:sz w:val="24"/>
                <w:szCs w:val="22"/>
                <w:highlight w:val="none"/>
                <w:lang w:eastAsia="zh-CN"/>
              </w:rPr>
              <w:t>生产制造履约能力</w:t>
            </w:r>
          </w:p>
        </w:tc>
        <w:tc>
          <w:tcPr>
            <w:tcW w:w="3389" w:type="pct"/>
            <w:vAlign w:val="center"/>
          </w:tcPr>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val="en-US" w:eastAsia="zh-CN"/>
              </w:rPr>
              <w:t>投标人提供所投核心产品制造商的证明材料（应加盖制造商公章）</w:t>
            </w:r>
            <w:r>
              <w:rPr>
                <w:rFonts w:hint="eastAsia" w:eastAsia="仿宋" w:cs="Times New Roman"/>
                <w:color w:val="auto"/>
                <w:sz w:val="24"/>
                <w:szCs w:val="22"/>
                <w:highlight w:val="none"/>
              </w:rPr>
              <w:t>对</w:t>
            </w:r>
            <w:r>
              <w:rPr>
                <w:rFonts w:hint="eastAsia" w:eastAsia="仿宋" w:cs="Times New Roman"/>
                <w:color w:val="auto"/>
                <w:sz w:val="24"/>
                <w:szCs w:val="22"/>
                <w:highlight w:val="none"/>
                <w:lang w:eastAsia="zh-CN"/>
              </w:rPr>
              <w:t>生产制造履约能力</w:t>
            </w:r>
            <w:r>
              <w:rPr>
                <w:rFonts w:hint="eastAsia" w:eastAsia="仿宋" w:cs="Times New Roman"/>
                <w:color w:val="auto"/>
                <w:sz w:val="24"/>
                <w:szCs w:val="22"/>
                <w:highlight w:val="none"/>
              </w:rPr>
              <w:t>进行评审，包含但不限于</w:t>
            </w:r>
            <w:r>
              <w:rPr>
                <w:rFonts w:hint="eastAsia" w:eastAsia="仿宋" w:cs="Times New Roman"/>
                <w:color w:val="auto"/>
                <w:sz w:val="24"/>
                <w:szCs w:val="22"/>
                <w:highlight w:val="none"/>
                <w:lang w:eastAsia="zh-CN"/>
              </w:rPr>
              <w:t>：</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eastAsia="zh-CN"/>
              </w:rPr>
              <w:t>①制造商生产经营情况简介；</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②</w:t>
            </w:r>
            <w:r>
              <w:rPr>
                <w:rFonts w:hint="eastAsia" w:eastAsia="仿宋" w:cs="Times New Roman"/>
                <w:color w:val="auto"/>
                <w:sz w:val="24"/>
                <w:szCs w:val="22"/>
                <w:highlight w:val="none"/>
                <w:lang w:eastAsia="zh-CN"/>
              </w:rPr>
              <w:t>生产工艺流程，主要包括生产制造流程图、生产步骤（应含生产车间环境及实际生产照片）等相关情况描述；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③产品检验流程，包括主要检验设备</w:t>
            </w:r>
            <w:r>
              <w:rPr>
                <w:rFonts w:hint="eastAsia" w:eastAsia="仿宋" w:cs="Times New Roman"/>
                <w:color w:val="auto"/>
                <w:sz w:val="24"/>
                <w:szCs w:val="22"/>
                <w:highlight w:val="none"/>
                <w:lang w:eastAsia="zh-CN"/>
              </w:rPr>
              <w:t>（应提供图片）</w:t>
            </w:r>
            <w:r>
              <w:rPr>
                <w:rFonts w:hint="eastAsia" w:eastAsia="仿宋" w:cs="Times New Roman"/>
                <w:color w:val="auto"/>
                <w:sz w:val="24"/>
                <w:szCs w:val="22"/>
                <w:highlight w:val="none"/>
              </w:rPr>
              <w:t>、检验步骤等相关情况描述；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④人员配备：相关专业技术</w:t>
            </w:r>
            <w:r>
              <w:rPr>
                <w:rFonts w:hint="eastAsia" w:eastAsia="仿宋" w:cs="Times New Roman"/>
                <w:color w:val="auto"/>
                <w:sz w:val="24"/>
                <w:szCs w:val="22"/>
                <w:highlight w:val="none"/>
                <w:lang w:eastAsia="zh-CN"/>
              </w:rPr>
              <w:t>职称</w:t>
            </w:r>
            <w:r>
              <w:rPr>
                <w:rFonts w:hint="eastAsia" w:eastAsia="仿宋" w:cs="Times New Roman"/>
                <w:color w:val="auto"/>
                <w:sz w:val="24"/>
                <w:szCs w:val="22"/>
                <w:highlight w:val="none"/>
              </w:rPr>
              <w:t>人员配置情况</w:t>
            </w:r>
            <w:r>
              <w:rPr>
                <w:rFonts w:hint="eastAsia" w:eastAsia="仿宋" w:cs="Times New Roman"/>
                <w:color w:val="auto"/>
                <w:sz w:val="24"/>
                <w:szCs w:val="22"/>
                <w:highlight w:val="none"/>
                <w:lang w:eastAsia="zh-CN"/>
              </w:rPr>
              <w:t>；</w:t>
            </w:r>
            <w:r>
              <w:rPr>
                <w:rFonts w:hint="eastAsia" w:eastAsia="仿宋" w:cs="Times New Roman"/>
                <w:color w:val="auto"/>
                <w:sz w:val="24"/>
                <w:szCs w:val="22"/>
                <w:highlight w:val="none"/>
              </w:rPr>
              <w:t>各原材料采购、生产、检验、仓储、运输等环节的人员配备情况；</w:t>
            </w:r>
          </w:p>
          <w:p>
            <w:pPr>
              <w:pageBreakBefore w:val="0"/>
              <w:kinsoku/>
              <w:wordWrap/>
              <w:overflowPunct/>
              <w:topLinePunct w:val="0"/>
              <w:autoSpaceDE/>
              <w:autoSpaceDN/>
              <w:bidi w:val="0"/>
              <w:adjustRightInd/>
              <w:snapToGrid/>
              <w:spacing w:line="460" w:lineRule="exact"/>
              <w:rPr>
                <w:rFonts w:hint="eastAsia" w:eastAsia="仿宋" w:cs="Times New Roman"/>
                <w:b/>
                <w:bCs/>
                <w:color w:val="auto"/>
                <w:sz w:val="24"/>
                <w:szCs w:val="22"/>
                <w:highlight w:val="none"/>
              </w:rPr>
            </w:pPr>
            <w:r>
              <w:rPr>
                <w:rFonts w:hint="eastAsia" w:eastAsia="仿宋" w:cs="Times New Roman"/>
                <w:b/>
                <w:bCs/>
                <w:color w:val="auto"/>
                <w:sz w:val="24"/>
                <w:szCs w:val="22"/>
                <w:highlight w:val="none"/>
              </w:rPr>
              <w:t>评审依据：</w:t>
            </w:r>
            <w:r>
              <w:rPr>
                <w:rFonts w:hint="eastAsia" w:eastAsia="仿宋" w:cs="Times New Roman"/>
                <w:b/>
                <w:bCs/>
                <w:color w:val="auto"/>
                <w:sz w:val="24"/>
                <w:szCs w:val="22"/>
                <w:highlight w:val="none"/>
                <w:lang w:val="en-US" w:eastAsia="zh-CN"/>
              </w:rPr>
              <w:t>根据</w:t>
            </w:r>
            <w:r>
              <w:rPr>
                <w:rFonts w:hint="eastAsia" w:eastAsia="仿宋" w:cs="Times New Roman"/>
                <w:b/>
                <w:bCs/>
                <w:color w:val="auto"/>
                <w:sz w:val="24"/>
                <w:szCs w:val="22"/>
                <w:highlight w:val="none"/>
              </w:rPr>
              <w:t>投标人提</w:t>
            </w:r>
            <w:r>
              <w:rPr>
                <w:rFonts w:hint="eastAsia" w:eastAsia="仿宋" w:cs="Times New Roman"/>
                <w:b/>
                <w:bCs/>
                <w:color w:val="auto"/>
                <w:sz w:val="24"/>
                <w:szCs w:val="22"/>
                <w:highlight w:val="none"/>
                <w:lang w:val="en-US" w:eastAsia="zh-CN"/>
              </w:rPr>
              <w:t>供的生产制造履约能力方案内容完整性、组织性、关联性和可操作性进行评审</w:t>
            </w:r>
            <w:r>
              <w:rPr>
                <w:rFonts w:hint="eastAsia" w:eastAsia="仿宋" w:cs="Times New Roman"/>
                <w:b/>
                <w:bCs/>
                <w:color w:val="auto"/>
                <w:sz w:val="24"/>
                <w:szCs w:val="22"/>
                <w:highlight w:val="none"/>
              </w:rPr>
              <w:t>。</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1、所投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制造商具备较强自主研发能力及先进的生产工艺，生产车间环境及生产线先进规范，生产步骤完整周详，技术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检验设备配置齐全、检验步骤严密无纰漏，生产制造履约能力</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分；</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制造商有自主研发能力和生产工艺较完整，生产车间环境及生产线常规，生产步骤较完整周详，技术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eastAsia="zh-CN"/>
              </w:rPr>
              <w:t>相对</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检验设备配置较齐全、检验步骤相对完备，生产制造履约能力</w:t>
            </w:r>
            <w:r>
              <w:rPr>
                <w:rFonts w:hint="eastAsia" w:ascii="仿宋" w:hAnsi="仿宋" w:eastAsia="仿宋" w:cs="仿宋"/>
                <w:b/>
                <w:bCs/>
                <w:color w:val="auto"/>
                <w:sz w:val="24"/>
                <w:szCs w:val="24"/>
                <w:highlight w:val="none"/>
                <w:lang w:eastAsia="zh-CN"/>
              </w:rPr>
              <w:t>较</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3、所投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制造商有自主研发能力和生产工艺薄弱，生产车间环境及生产线粗糙落后，生产步骤简单，技术</w:t>
            </w:r>
            <w:r>
              <w:rPr>
                <w:rFonts w:hint="eastAsia" w:ascii="仿宋" w:hAnsi="仿宋" w:eastAsia="仿宋" w:cs="仿宋"/>
                <w:b/>
                <w:bCs/>
                <w:color w:val="auto"/>
                <w:sz w:val="24"/>
                <w:szCs w:val="24"/>
                <w:highlight w:val="none"/>
              </w:rPr>
              <w:t>人员</w:t>
            </w:r>
            <w:r>
              <w:rPr>
                <w:rFonts w:hint="eastAsia" w:ascii="仿宋" w:hAnsi="仿宋" w:eastAsia="仿宋" w:cs="仿宋"/>
                <w:b/>
                <w:bCs/>
                <w:color w:val="auto"/>
                <w:sz w:val="24"/>
                <w:szCs w:val="24"/>
                <w:highlight w:val="none"/>
                <w:lang w:eastAsia="zh-CN"/>
              </w:rPr>
              <w:t>综合实力一般，</w:t>
            </w:r>
            <w:r>
              <w:rPr>
                <w:rFonts w:hint="eastAsia" w:ascii="仿宋" w:hAnsi="仿宋" w:eastAsia="仿宋" w:cs="仿宋"/>
                <w:b/>
                <w:bCs/>
                <w:color w:val="auto"/>
                <w:sz w:val="24"/>
                <w:szCs w:val="24"/>
                <w:highlight w:val="none"/>
                <w:lang w:val="en-US" w:eastAsia="zh-CN"/>
              </w:rPr>
              <w:t>检验设备配置简单落后，检验步骤普通，生产制造履约能力</w:t>
            </w:r>
            <w:r>
              <w:rPr>
                <w:rFonts w:hint="eastAsia" w:ascii="仿宋" w:hAnsi="仿宋" w:eastAsia="仿宋" w:cs="仿宋"/>
                <w:b/>
                <w:bCs/>
                <w:color w:val="auto"/>
                <w:sz w:val="24"/>
                <w:szCs w:val="24"/>
                <w:highlight w:val="none"/>
                <w:lang w:eastAsia="zh-CN"/>
              </w:rPr>
              <w:t>弱</w:t>
            </w:r>
            <w:r>
              <w:rPr>
                <w:rFonts w:hint="eastAsia" w:ascii="仿宋" w:hAnsi="仿宋" w:eastAsia="仿宋" w:cs="仿宋"/>
                <w:b/>
                <w:bCs/>
                <w:color w:val="auto"/>
                <w:sz w:val="24"/>
                <w:szCs w:val="24"/>
                <w:highlight w:val="none"/>
              </w:rPr>
              <w:t>的得</w:t>
            </w: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未提供证明材料或证明材料有缺项的不得分。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3</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质量保证和保修</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eastAsia="仿宋"/>
                <w:color w:val="auto"/>
                <w:sz w:val="24"/>
                <w:szCs w:val="22"/>
                <w:highlight w:val="none"/>
              </w:rPr>
            </w:pPr>
            <w:r>
              <w:rPr>
                <w:rFonts w:eastAsia="仿宋"/>
                <w:color w:val="auto"/>
                <w:sz w:val="24"/>
                <w:szCs w:val="22"/>
                <w:highlight w:val="none"/>
              </w:rPr>
              <w:t>在招标文件商务要求中“质保期”和“保修期”要求基础上，承诺“质保期”和“保修期”均每延长一年的加2分，最多加4分。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eastAsia="仿宋"/>
                <w:b/>
                <w:color w:val="auto"/>
                <w:sz w:val="24"/>
                <w:szCs w:val="22"/>
                <w:highlight w:val="none"/>
              </w:rPr>
              <w:t>评审依据：投标文件中提供“质保期”和“保修期”均延长的承诺函原件。</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类似销售</w:t>
            </w:r>
          </w:p>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案例</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投标人自</w:t>
            </w:r>
            <w:r>
              <w:rPr>
                <w:rFonts w:eastAsia="仿宋" w:cs="Times New Roman"/>
                <w:color w:val="auto"/>
                <w:sz w:val="24"/>
                <w:szCs w:val="22"/>
                <w:highlight w:val="none"/>
              </w:rPr>
              <w:t>20</w:t>
            </w:r>
            <w:r>
              <w:rPr>
                <w:rFonts w:hint="eastAsia" w:eastAsia="仿宋" w:cs="Times New Roman"/>
                <w:color w:val="auto"/>
                <w:sz w:val="24"/>
                <w:szCs w:val="22"/>
                <w:highlight w:val="none"/>
              </w:rPr>
              <w:t>2</w:t>
            </w:r>
            <w:r>
              <w:rPr>
                <w:rFonts w:hint="eastAsia" w:eastAsia="仿宋" w:cs="Times New Roman"/>
                <w:color w:val="auto"/>
                <w:sz w:val="24"/>
                <w:szCs w:val="22"/>
                <w:highlight w:val="none"/>
                <w:lang w:val="en-US" w:eastAsia="zh-CN"/>
              </w:rPr>
              <w:t>1</w:t>
            </w:r>
            <w:r>
              <w:rPr>
                <w:rFonts w:hint="eastAsia" w:eastAsia="仿宋" w:cs="Times New Roman"/>
                <w:color w:val="auto"/>
                <w:sz w:val="24"/>
                <w:szCs w:val="22"/>
                <w:highlight w:val="none"/>
              </w:rPr>
              <w:t>年</w:t>
            </w:r>
            <w:r>
              <w:rPr>
                <w:rFonts w:eastAsia="仿宋" w:cs="Times New Roman"/>
                <w:color w:val="auto"/>
                <w:sz w:val="24"/>
                <w:szCs w:val="22"/>
                <w:highlight w:val="none"/>
              </w:rPr>
              <w:t>1月1日至今（以签订合同时间为准）具有类似</w:t>
            </w:r>
            <w:r>
              <w:rPr>
                <w:rFonts w:hint="eastAsia" w:eastAsia="仿宋" w:cs="Times New Roman"/>
                <w:color w:val="auto"/>
                <w:sz w:val="24"/>
                <w:szCs w:val="22"/>
                <w:highlight w:val="none"/>
                <w:lang w:eastAsia="zh-CN"/>
              </w:rPr>
              <w:t>核心</w:t>
            </w:r>
            <w:r>
              <w:rPr>
                <w:rFonts w:eastAsia="仿宋" w:cs="Times New Roman"/>
                <w:color w:val="auto"/>
                <w:sz w:val="24"/>
                <w:szCs w:val="22"/>
                <w:highlight w:val="none"/>
              </w:rPr>
              <w:t>产品销售案例，每提供1份销售案例加</w:t>
            </w:r>
            <w:r>
              <w:rPr>
                <w:rFonts w:hint="eastAsia" w:eastAsia="仿宋" w:cs="Times New Roman"/>
                <w:color w:val="auto"/>
                <w:sz w:val="24"/>
                <w:szCs w:val="22"/>
                <w:highlight w:val="none"/>
                <w:lang w:val="en-US" w:eastAsia="zh-CN"/>
              </w:rPr>
              <w:t>2</w:t>
            </w:r>
            <w:r>
              <w:rPr>
                <w:rFonts w:hint="eastAsia" w:eastAsia="仿宋" w:cs="Times New Roman"/>
                <w:color w:val="auto"/>
                <w:sz w:val="24"/>
                <w:szCs w:val="22"/>
                <w:highlight w:val="none"/>
              </w:rPr>
              <w:t>分，本项最多加</w:t>
            </w:r>
            <w:r>
              <w:rPr>
                <w:rFonts w:hint="eastAsia" w:eastAsia="仿宋" w:cs="Times New Roman"/>
                <w:color w:val="auto"/>
                <w:sz w:val="24"/>
                <w:szCs w:val="22"/>
                <w:highlight w:val="none"/>
                <w:lang w:val="en-US" w:eastAsia="zh-CN"/>
              </w:rPr>
              <w:t>6</w:t>
            </w:r>
            <w:r>
              <w:rPr>
                <w:rFonts w:hint="eastAsia" w:eastAsia="仿宋" w:cs="Times New Roman"/>
                <w:color w:val="auto"/>
                <w:sz w:val="24"/>
                <w:szCs w:val="22"/>
                <w:highlight w:val="none"/>
              </w:rPr>
              <w:t>分。</w:t>
            </w:r>
          </w:p>
          <w:p>
            <w:pPr>
              <w:pageBreakBefore w:val="0"/>
              <w:kinsoku/>
              <w:wordWrap/>
              <w:overflowPunct/>
              <w:topLinePunct w:val="0"/>
              <w:autoSpaceDE/>
              <w:autoSpaceDN/>
              <w:bidi w:val="0"/>
              <w:adjustRightInd/>
              <w:snapToGrid/>
              <w:spacing w:line="460" w:lineRule="exact"/>
              <w:jc w:val="left"/>
              <w:rPr>
                <w:rFonts w:eastAsia="仿宋"/>
                <w:b/>
                <w:bCs/>
                <w:color w:val="auto"/>
                <w:sz w:val="24"/>
                <w:szCs w:val="22"/>
                <w:highlight w:val="none"/>
              </w:rPr>
            </w:pPr>
            <w:r>
              <w:rPr>
                <w:rFonts w:hint="eastAsia" w:eastAsia="仿宋" w:cs="Times New Roman"/>
                <w:b/>
                <w:bCs/>
                <w:color w:val="auto"/>
                <w:sz w:val="24"/>
                <w:szCs w:val="22"/>
                <w:highlight w:val="none"/>
              </w:rPr>
              <w:t>评审依据：①投标文件中提供销售案例明细表（销售案例明细表包含</w:t>
            </w:r>
            <w:r>
              <w:rPr>
                <w:rFonts w:eastAsia="仿宋" w:cs="Times New Roman"/>
                <w:b/>
                <w:bCs/>
                <w:color w:val="auto"/>
                <w:sz w:val="24"/>
                <w:szCs w:val="22"/>
                <w:highlight w:val="none"/>
              </w:rPr>
              <w:t>:发布网站名称、网页链接地址、采购项目名称、采购单位名称和联系方式、采购代理机构名称和联系方式）；</w:t>
            </w:r>
            <w:r>
              <w:rPr>
                <w:rFonts w:hint="eastAsia" w:eastAsia="仿宋" w:cs="Times New Roman"/>
                <w:b/>
                <w:bCs/>
                <w:color w:val="auto"/>
                <w:sz w:val="24"/>
                <w:szCs w:val="22"/>
                <w:highlight w:val="none"/>
              </w:rPr>
              <w:t>②</w:t>
            </w:r>
            <w:r>
              <w:rPr>
                <w:rFonts w:hint="eastAsia" w:eastAsia="仿宋" w:cs="Times New Roman"/>
                <w:b/>
                <w:bCs/>
                <w:color w:val="auto"/>
                <w:sz w:val="24"/>
                <w:szCs w:val="22"/>
                <w:highlight w:val="none"/>
                <w:lang w:eastAsia="zh-CN"/>
              </w:rPr>
              <w:t>中标（成交）公告截图（打印网页）、中标通知书复印件和合同复印件（中标通知书或合同复印件应体现类似销售案例的货物），合同签订方必须是投标人本身。</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hint="eastAsia" w:eastAsia="仿宋"/>
                <w:color w:val="auto"/>
                <w:sz w:val="24"/>
                <w:szCs w:val="22"/>
                <w:highlight w:val="none"/>
                <w:lang w:val="en-US" w:eastAsia="zh-CN"/>
              </w:rPr>
              <w:t>6</w:t>
            </w:r>
            <w:r>
              <w:rPr>
                <w:rFonts w:eastAsia="仿宋"/>
                <w:color w:val="auto"/>
                <w:sz w:val="24"/>
                <w:szCs w:val="22"/>
                <w:highlight w:val="none"/>
              </w:rPr>
              <w:t>分</w:t>
            </w:r>
          </w:p>
        </w:tc>
      </w:tr>
    </w:tbl>
    <w:p>
      <w:pPr>
        <w:pageBreakBefore w:val="0"/>
        <w:kinsoku/>
        <w:wordWrap/>
        <w:overflowPunct/>
        <w:topLinePunct w:val="0"/>
        <w:autoSpaceDE/>
        <w:autoSpaceDN/>
        <w:bidi w:val="0"/>
        <w:adjustRightInd/>
        <w:snapToGrid/>
        <w:spacing w:line="460" w:lineRule="exact"/>
        <w:rPr>
          <w:rFonts w:hint="eastAsia" w:ascii="仿宋" w:hAnsi="仿宋" w:eastAsia="仿宋" w:cs="Times New Roman"/>
          <w:b/>
          <w:bCs/>
          <w:color w:val="auto"/>
          <w:sz w:val="28"/>
          <w:szCs w:val="28"/>
          <w:highlight w:val="none"/>
          <w:lang w:val="en-US" w:eastAsia="zh-CN"/>
        </w:rPr>
      </w:pPr>
      <w:r>
        <w:rPr>
          <w:rFonts w:hint="eastAsia" w:ascii="仿宋" w:hAnsi="仿宋" w:eastAsia="仿宋" w:cs="Times New Roman"/>
          <w:b/>
          <w:bCs/>
          <w:color w:val="auto"/>
          <w:sz w:val="28"/>
          <w:szCs w:val="28"/>
          <w:highlight w:val="none"/>
          <w:lang w:val="en-US" w:eastAsia="zh-CN"/>
        </w:rPr>
        <w:br w:type="page"/>
      </w:r>
    </w:p>
    <w:p>
      <w:pPr>
        <w:keepNext w:val="0"/>
        <w:keepLines w:val="0"/>
        <w:pageBreakBefore w:val="0"/>
        <w:widowControl w:val="0"/>
        <w:kinsoku/>
        <w:wordWrap/>
        <w:overflowPunct/>
        <w:topLinePunct w:val="0"/>
        <w:autoSpaceDE/>
        <w:autoSpaceDN/>
        <w:bidi w:val="0"/>
        <w:adjustRightInd/>
        <w:snapToGrid/>
        <w:spacing w:line="460" w:lineRule="exact"/>
        <w:jc w:val="left"/>
        <w:textAlignment w:val="auto"/>
        <w:outlineLvl w:val="1"/>
        <w:rPr>
          <w:rFonts w:hint="eastAsia" w:ascii="仿宋" w:hAnsi="仿宋" w:eastAsia="仿宋" w:cs="Times New Roman"/>
          <w:b/>
          <w:bCs/>
          <w:color w:val="auto"/>
          <w:sz w:val="28"/>
          <w:szCs w:val="28"/>
          <w:highlight w:val="none"/>
          <w:lang w:eastAsia="zh-CN"/>
        </w:rPr>
      </w:pPr>
      <w:bookmarkStart w:id="652" w:name="_Toc11979"/>
      <w:bookmarkStart w:id="653" w:name="_Toc10416"/>
      <w:bookmarkStart w:id="654" w:name="_Toc5487"/>
      <w:bookmarkStart w:id="655" w:name="_Toc18293"/>
      <w:r>
        <w:rPr>
          <w:rFonts w:hint="eastAsia" w:ascii="仿宋" w:hAnsi="仿宋" w:eastAsia="仿宋" w:cs="Times New Roman"/>
          <w:b/>
          <w:bCs/>
          <w:color w:val="auto"/>
          <w:sz w:val="28"/>
          <w:szCs w:val="28"/>
          <w:highlight w:val="none"/>
          <w:lang w:val="en-US" w:eastAsia="zh-CN"/>
        </w:rPr>
        <w:t>17包</w:t>
      </w:r>
      <w:r>
        <w:rPr>
          <w:rFonts w:hint="eastAsia" w:ascii="仿宋" w:hAnsi="仿宋" w:eastAsia="仿宋" w:cs="Times New Roman"/>
          <w:b/>
          <w:bCs/>
          <w:color w:val="auto"/>
          <w:sz w:val="28"/>
          <w:szCs w:val="28"/>
          <w:highlight w:val="none"/>
        </w:rPr>
        <w:t>：</w:t>
      </w:r>
      <w:r>
        <w:rPr>
          <w:rFonts w:hint="eastAsia" w:ascii="仿宋" w:hAnsi="仿宋" w:eastAsia="仿宋" w:cs="Times New Roman"/>
          <w:b/>
          <w:bCs/>
          <w:color w:val="auto"/>
          <w:sz w:val="28"/>
          <w:szCs w:val="28"/>
          <w:highlight w:val="none"/>
          <w:lang w:val="en-US" w:eastAsia="zh-CN"/>
        </w:rPr>
        <w:t>绳锯</w:t>
      </w:r>
      <w:bookmarkEnd w:id="652"/>
      <w:bookmarkEnd w:id="653"/>
      <w:bookmarkEnd w:id="654"/>
      <w:bookmarkEnd w:id="655"/>
    </w:p>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hint="eastAsia" w:ascii="仿宋" w:hAnsi="仿宋" w:eastAsia="仿宋"/>
          <w:b/>
          <w:color w:val="auto"/>
          <w:sz w:val="24"/>
          <w:highlight w:val="none"/>
        </w:rPr>
        <w:t>一、价格部分（</w:t>
      </w:r>
      <w:r>
        <w:rPr>
          <w:rFonts w:ascii="仿宋" w:hAnsi="仿宋" w:eastAsia="仿宋"/>
          <w:b/>
          <w:color w:val="auto"/>
          <w:sz w:val="24"/>
          <w:highlight w:val="none"/>
        </w:rPr>
        <w:t>30分）</w:t>
      </w:r>
    </w:p>
    <w:tbl>
      <w:tblPr>
        <w:tblStyle w:val="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1"/>
        <w:gridCol w:w="1449"/>
        <w:gridCol w:w="5672"/>
        <w:gridCol w:w="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评审因素</w:t>
            </w:r>
          </w:p>
        </w:tc>
        <w:tc>
          <w:tcPr>
            <w:tcW w:w="3327" w:type="pct"/>
            <w:vAlign w:val="center"/>
          </w:tcPr>
          <w:p>
            <w:pPr>
              <w:pageBreakBefore w:val="0"/>
              <w:kinsoku/>
              <w:wordWrap/>
              <w:overflowPunct/>
              <w:topLinePunct w:val="0"/>
              <w:autoSpaceDE/>
              <w:autoSpaceDN/>
              <w:bidi w:val="0"/>
              <w:adjustRightInd/>
              <w:snapToGrid/>
              <w:spacing w:line="460" w:lineRule="exact"/>
              <w:jc w:val="center"/>
              <w:textAlignment w:val="center"/>
              <w:rPr>
                <w:rFonts w:ascii="仿宋" w:hAnsi="仿宋" w:eastAsia="仿宋" w:cs="仿宋"/>
                <w:b/>
                <w:color w:val="auto"/>
                <w:sz w:val="24"/>
                <w:highlight w:val="none"/>
              </w:rPr>
            </w:pPr>
            <w:r>
              <w:rPr>
                <w:rFonts w:hint="eastAsia" w:ascii="仿宋" w:hAnsi="仿宋" w:eastAsia="仿宋" w:cs="仿宋"/>
                <w:b/>
                <w:bCs/>
                <w:color w:val="auto"/>
                <w:sz w:val="24"/>
                <w:highlight w:val="none"/>
              </w:rPr>
              <w:t>评分标准</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价格分</w:t>
            </w:r>
          </w:p>
        </w:tc>
        <w:tc>
          <w:tcPr>
            <w:tcW w:w="3327" w:type="pct"/>
            <w:vAlign w:val="center"/>
          </w:tcPr>
          <w:p>
            <w:pPr>
              <w:pageBreakBefore w:val="0"/>
              <w:kinsoku/>
              <w:wordWrap/>
              <w:overflowPunct/>
              <w:topLinePunct w:val="0"/>
              <w:autoSpaceDE/>
              <w:autoSpaceDN/>
              <w:bidi w:val="0"/>
              <w:adjustRightInd/>
              <w:snapToGrid/>
              <w:spacing w:line="460" w:lineRule="exact"/>
              <w:jc w:val="left"/>
              <w:textAlignment w:val="center"/>
              <w:rPr>
                <w:rFonts w:ascii="仿宋" w:hAnsi="仿宋" w:eastAsia="仿宋" w:cs="仿宋"/>
                <w:color w:val="auto"/>
                <w:sz w:val="24"/>
                <w:highlight w:val="none"/>
              </w:rPr>
            </w:pPr>
            <w:r>
              <w:rPr>
                <w:rFonts w:hint="eastAsia" w:ascii="仿宋" w:hAnsi="仿宋" w:eastAsia="仿宋" w:cs="仿宋"/>
                <w:color w:val="auto"/>
                <w:sz w:val="24"/>
                <w:highlight w:val="none"/>
              </w:rPr>
              <w:t>根据综合评分法，满足招标文件要求且投标价格最低的投标报价为评标基准价，投标报价得分</w:t>
            </w:r>
            <w:r>
              <w:rPr>
                <w:rFonts w:ascii="仿宋" w:hAnsi="仿宋" w:eastAsia="仿宋" w:cs="仿宋"/>
                <w:color w:val="auto"/>
                <w:sz w:val="24"/>
                <w:highlight w:val="none"/>
              </w:rPr>
              <w:t>=（评标基准价／投标报价）</w:t>
            </w:r>
            <w:r>
              <w:rPr>
                <w:rFonts w:hint="eastAsia" w:ascii="仿宋" w:hAnsi="仿宋" w:eastAsia="仿宋" w:cs="仿宋"/>
                <w:color w:val="auto"/>
                <w:sz w:val="24"/>
                <w:highlight w:val="none"/>
              </w:rPr>
              <w:t>×</w:t>
            </w:r>
            <w:r>
              <w:rPr>
                <w:rFonts w:ascii="仿宋" w:hAnsi="仿宋" w:eastAsia="仿宋" w:cs="仿宋"/>
                <w:color w:val="auto"/>
                <w:sz w:val="24"/>
                <w:highlight w:val="none"/>
              </w:rPr>
              <w:t>30%×100，计算分数时四舍五入取小数点后两位。</w:t>
            </w:r>
          </w:p>
          <w:p>
            <w:pPr>
              <w:pageBreakBefore w:val="0"/>
              <w:kinsoku/>
              <w:wordWrap/>
              <w:overflowPunct/>
              <w:topLinePunct w:val="0"/>
              <w:autoSpaceDE/>
              <w:autoSpaceDN/>
              <w:bidi w:val="0"/>
              <w:adjustRightInd/>
              <w:snapToGrid/>
              <w:spacing w:line="460" w:lineRule="exact"/>
              <w:ind w:firstLine="482" w:firstLineChars="200"/>
              <w:jc w:val="left"/>
              <w:textAlignment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注：</w:t>
            </w:r>
            <w:r>
              <w:rPr>
                <w:rFonts w:ascii="仿宋" w:hAnsi="仿宋" w:eastAsia="仿宋" w:cs="仿宋"/>
                <w:b/>
                <w:bCs/>
                <w:color w:val="auto"/>
                <w:sz w:val="24"/>
                <w:highlight w:val="none"/>
              </w:rPr>
              <w:t>小、微型企业或残疾人福利性单位产品或监狱产品的价格给予10%的扣除，用扣除后的价格参与评审。但残疾人福利性单位本身属于小型、微型企业的，不重复享受政策。</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30分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二、技术部分（5</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7"/>
        <w:gridCol w:w="1637"/>
        <w:gridCol w:w="5684"/>
        <w:gridCol w:w="7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960"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3336"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评分标准</w:t>
            </w:r>
          </w:p>
        </w:tc>
        <w:tc>
          <w:tcPr>
            <w:tcW w:w="434"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268"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960"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技术参数及要求</w:t>
            </w:r>
          </w:p>
        </w:tc>
        <w:tc>
          <w:tcPr>
            <w:tcW w:w="3336" w:type="pct"/>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一、重大负偏离评审依据：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1、带★条款的响应，不满足招标文件要求的，或有缺项、漏项的，视为重大负偏离；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2、一般参数和带“▲”参数共有四项及以上（含本数）的负偏离，视为重大负偏离；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3、所投产品一般参数或带“▲”参数有一项低于招标文件要求，该项视为负偏离；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4、所投产品一般参数或带“▲”参数有一项缺项、漏项的，该项视为负偏离。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注：“一般参数”为非标“★”号参数和非标“▲”号参数。</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①投标文件中提供的技术条款响应表；</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②所投产品技术参数完全满足招标文件要求得</w:t>
            </w:r>
            <w:r>
              <w:rPr>
                <w:rFonts w:hint="eastAsia" w:ascii="仿宋" w:hAnsi="仿宋" w:eastAsia="仿宋" w:cs="仿宋"/>
                <w:b/>
                <w:bCs/>
                <w:color w:val="auto"/>
                <w:sz w:val="24"/>
                <w:highlight w:val="none"/>
                <w:lang w:val="en-US" w:eastAsia="zh-CN"/>
              </w:rPr>
              <w:t>33</w:t>
            </w:r>
            <w:r>
              <w:rPr>
                <w:rFonts w:hint="eastAsia" w:ascii="仿宋" w:hAnsi="仿宋" w:eastAsia="仿宋" w:cs="仿宋"/>
                <w:b/>
                <w:bCs/>
                <w:color w:val="auto"/>
                <w:sz w:val="24"/>
                <w:highlight w:val="none"/>
              </w:rPr>
              <w:t>分；重大负偏离则视为无效投标；一般参数或带“▲”参数每有一项负偏离减5分，最多减15分，四项或以上负偏离视为无效投标。</w:t>
            </w:r>
          </w:p>
        </w:tc>
        <w:tc>
          <w:tcPr>
            <w:tcW w:w="434" w:type="pct"/>
            <w:vAlign w:val="center"/>
          </w:tcPr>
          <w:p>
            <w:pPr>
              <w:pageBreakBefore w:val="0"/>
              <w:kinsoku/>
              <w:wordWrap/>
              <w:overflowPunct/>
              <w:topLinePunct w:val="0"/>
              <w:autoSpaceDE/>
              <w:autoSpaceDN/>
              <w:bidi w:val="0"/>
              <w:adjustRightInd/>
              <w:snapToGrid/>
              <w:spacing w:line="460" w:lineRule="exact"/>
              <w:jc w:val="center"/>
              <w:textAlignment w:val="center"/>
              <w:rPr>
                <w:rFonts w:hint="default"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33分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960"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▲3.3液压泵功率≥15KW</w:t>
            </w:r>
          </w:p>
        </w:tc>
        <w:tc>
          <w:tcPr>
            <w:tcW w:w="3336"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highlight w:val="none"/>
              </w:rPr>
              <w:t>液压泵功率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rPr>
              <w:t>液压泵功率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rPr>
              <w:t>液压泵功率</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szCs w:val="24"/>
                <w:highlight w:val="none"/>
              </w:rPr>
              <w:t>注：最优表示液压泵功率最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，次优表示液压泵功率仅次于最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值。</w:t>
            </w:r>
          </w:p>
        </w:tc>
        <w:tc>
          <w:tcPr>
            <w:tcW w:w="43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960"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▲3.3</w:t>
            </w:r>
            <w:r>
              <w:rPr>
                <w:rFonts w:hint="eastAsia" w:ascii="仿宋" w:hAnsi="仿宋" w:eastAsia="仿宋" w:cs="仿宋"/>
                <w:color w:val="auto"/>
                <w:sz w:val="24"/>
                <w:highlight w:val="none"/>
                <w:lang w:val="en-US" w:eastAsia="zh-CN"/>
              </w:rPr>
              <w:t>液压系统压力≥12MPa</w:t>
            </w:r>
          </w:p>
        </w:tc>
        <w:tc>
          <w:tcPr>
            <w:tcW w:w="3336"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highlight w:val="none"/>
                <w:lang w:val="en-US" w:eastAsia="zh-CN"/>
              </w:rPr>
              <w:t>液压系统压力</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液压系统压力</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val="en-US" w:eastAsia="zh-CN"/>
              </w:rPr>
              <w:t>液压系统压力</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val="en-US" w:eastAsia="zh-CN"/>
              </w:rPr>
              <w:t>液压系统压力</w:t>
            </w:r>
            <w:r>
              <w:rPr>
                <w:rFonts w:hint="eastAsia" w:ascii="仿宋" w:hAnsi="仿宋" w:eastAsia="仿宋" w:cs="仿宋"/>
                <w:b/>
                <w:bCs/>
                <w:color w:val="auto"/>
                <w:sz w:val="24"/>
                <w:szCs w:val="24"/>
                <w:highlight w:val="none"/>
              </w:rPr>
              <w:t>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，次优表示</w:t>
            </w:r>
            <w:r>
              <w:rPr>
                <w:rFonts w:hint="eastAsia" w:ascii="仿宋" w:hAnsi="仿宋" w:eastAsia="仿宋" w:cs="仿宋"/>
                <w:b/>
                <w:bCs/>
                <w:color w:val="auto"/>
                <w:sz w:val="24"/>
                <w:szCs w:val="24"/>
                <w:highlight w:val="none"/>
                <w:lang w:val="en-US" w:eastAsia="zh-CN"/>
              </w:rPr>
              <w:t>液压系统压力</w:t>
            </w:r>
            <w:r>
              <w:rPr>
                <w:rFonts w:hint="eastAsia" w:ascii="仿宋" w:hAnsi="仿宋" w:eastAsia="仿宋" w:cs="仿宋"/>
                <w:b/>
                <w:bCs/>
                <w:color w:val="auto"/>
                <w:sz w:val="24"/>
                <w:szCs w:val="24"/>
                <w:highlight w:val="none"/>
              </w:rPr>
              <w:t>仅次于最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值。</w:t>
            </w:r>
          </w:p>
        </w:tc>
        <w:tc>
          <w:tcPr>
            <w:tcW w:w="43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960"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▲3.4串珠绳长度≥20m</w:t>
            </w:r>
          </w:p>
        </w:tc>
        <w:tc>
          <w:tcPr>
            <w:tcW w:w="3336"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highlight w:val="none"/>
              </w:rPr>
              <w:t>串珠绳长度</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rPr>
              <w:t>串珠绳长度</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rPr>
              <w:t>串珠绳长度</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注：最优表示串珠绳长度最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，次优表示串珠绳长度仅次于最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值。</w:t>
            </w:r>
          </w:p>
        </w:tc>
        <w:tc>
          <w:tcPr>
            <w:tcW w:w="43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960"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▲3.5切割性能：切断400mm×400mm×400mm的花岗岩所需时间≤20min</w:t>
            </w:r>
          </w:p>
        </w:tc>
        <w:tc>
          <w:tcPr>
            <w:tcW w:w="3336"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highlight w:val="none"/>
              </w:rPr>
              <w:t>切割性能</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rPr>
              <w:t>切割性能</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分，切割性能次优的加2分，其余加1分。（可并列得分）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注：最优表示切断400mm×400mm×400mm的花岗岩所需时间最</w:t>
            </w:r>
            <w:r>
              <w:rPr>
                <w:rFonts w:hint="eastAsia" w:ascii="仿宋" w:hAnsi="仿宋" w:eastAsia="仿宋" w:cs="仿宋"/>
                <w:b/>
                <w:bCs/>
                <w:color w:val="auto"/>
                <w:sz w:val="24"/>
                <w:szCs w:val="24"/>
                <w:highlight w:val="none"/>
                <w:lang w:val="en-US" w:eastAsia="zh-CN"/>
              </w:rPr>
              <w:t>小</w:t>
            </w:r>
            <w:r>
              <w:rPr>
                <w:rFonts w:hint="eastAsia" w:ascii="仿宋" w:hAnsi="仿宋" w:eastAsia="仿宋" w:cs="仿宋"/>
                <w:b/>
                <w:bCs/>
                <w:color w:val="auto"/>
                <w:sz w:val="24"/>
                <w:szCs w:val="24"/>
                <w:highlight w:val="none"/>
              </w:rPr>
              <w:t>，次优表示切断400mm×400mm×400mm的花岗岩所需时间仅次于最</w:t>
            </w:r>
            <w:r>
              <w:rPr>
                <w:rFonts w:hint="eastAsia" w:ascii="仿宋" w:hAnsi="仿宋" w:eastAsia="仿宋" w:cs="仿宋"/>
                <w:b/>
                <w:bCs/>
                <w:color w:val="auto"/>
                <w:sz w:val="24"/>
                <w:szCs w:val="24"/>
                <w:highlight w:val="none"/>
                <w:lang w:val="en-US" w:eastAsia="zh-CN"/>
              </w:rPr>
              <w:t>小</w:t>
            </w:r>
            <w:r>
              <w:rPr>
                <w:rFonts w:hint="eastAsia" w:ascii="仿宋" w:hAnsi="仿宋" w:eastAsia="仿宋" w:cs="仿宋"/>
                <w:b/>
                <w:bCs/>
                <w:color w:val="auto"/>
                <w:sz w:val="24"/>
                <w:szCs w:val="24"/>
                <w:highlight w:val="none"/>
              </w:rPr>
              <w:t>值。</w:t>
            </w:r>
          </w:p>
        </w:tc>
        <w:tc>
          <w:tcPr>
            <w:tcW w:w="43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268" w:type="pct"/>
            <w:vMerge w:val="continue"/>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731" w:type="pct"/>
            <w:gridSpan w:val="3"/>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评审依据：提供技术条款响应表和技术支撑文件</w:t>
            </w:r>
            <w:r>
              <w:rPr>
                <w:rFonts w:hint="eastAsia" w:ascii="仿宋" w:hAnsi="仿宋" w:eastAsia="仿宋" w:cs="仿宋"/>
                <w:b/>
                <w:bCs/>
                <w:color w:val="auto"/>
                <w:sz w:val="24"/>
                <w:highlight w:val="none"/>
                <w:lang w:eastAsia="zh-CN"/>
              </w:rPr>
              <w:t>。</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hint="eastAsia"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hint="eastAsia"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hint="eastAsia"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③制造商出具的技术参数证明材料并加盖制造商公章。]</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注：①供应商应认真提供技术支撑文件，若提供多份技术支撑文件，技术支撑文件佐证不一致时，优先级为：产品检测报告复印件＞制造商公开发布的印刷资料＞制造商出具的技术参数证明</w:t>
            </w:r>
            <w:r>
              <w:rPr>
                <w:rFonts w:hint="eastAsia" w:ascii="仿宋" w:hAnsi="仿宋" w:eastAsia="仿宋" w:cs="仿宋"/>
                <w:b/>
                <w:bCs/>
                <w:color w:val="auto"/>
                <w:sz w:val="24"/>
                <w:highlight w:val="none"/>
                <w:lang w:val="en-US" w:eastAsia="zh-CN"/>
              </w:rPr>
              <w:t>材料</w:t>
            </w:r>
            <w:r>
              <w:rPr>
                <w:rFonts w:hint="eastAsia" w:ascii="仿宋" w:hAnsi="仿宋" w:eastAsia="仿宋" w:cs="仿宋"/>
                <w:b/>
                <w:bCs/>
                <w:color w:val="auto"/>
                <w:sz w:val="24"/>
                <w:highlight w:val="none"/>
              </w:rPr>
              <w:t>；②技术支撑文件</w:t>
            </w:r>
            <w:r>
              <w:rPr>
                <w:rFonts w:hint="eastAsia" w:ascii="仿宋" w:hAnsi="仿宋" w:eastAsia="仿宋" w:cs="仿宋"/>
                <w:b/>
                <w:bCs/>
                <w:color w:val="auto"/>
                <w:sz w:val="24"/>
                <w:highlight w:val="none"/>
                <w:lang w:val="en-US" w:eastAsia="zh-CN"/>
              </w:rPr>
              <w:t>与</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不一致，则</w:t>
            </w:r>
            <w:r>
              <w:rPr>
                <w:rFonts w:hint="eastAsia" w:ascii="仿宋" w:hAnsi="仿宋" w:eastAsia="仿宋" w:cs="仿宋"/>
                <w:b/>
                <w:bCs/>
                <w:color w:val="auto"/>
                <w:sz w:val="24"/>
                <w:highlight w:val="none"/>
              </w:rPr>
              <w:t>该点不加分</w:t>
            </w:r>
            <w:r>
              <w:rPr>
                <w:rFonts w:hint="eastAsia" w:ascii="仿宋" w:hAnsi="仿宋" w:eastAsia="仿宋" w:cs="仿宋"/>
                <w:b/>
                <w:bCs/>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68"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960"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整体结构与外观</w:t>
            </w:r>
          </w:p>
        </w:tc>
        <w:tc>
          <w:tcPr>
            <w:tcW w:w="3336"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根据视频文件对产品的外观构造、内部结构、设计理念等进行评审。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设计理念先进，外部构造和内部结构科学合理，整体结构外观与实战紧贴程度高的，得3分；设计理念较为先进，外部构造和内部结构较为合理，整体结构外观与实战紧贴程度较高的，得2分；设计理念一般，外观构造和内部结构基本合理，整体结构外观与实战紧贴程度不高的，得1分；未提供证明材料或证明材料有缺项的不得分。</w:t>
            </w:r>
          </w:p>
        </w:tc>
        <w:tc>
          <w:tcPr>
            <w:tcW w:w="43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960"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工艺</w:t>
            </w:r>
          </w:p>
        </w:tc>
        <w:tc>
          <w:tcPr>
            <w:tcW w:w="3336"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根据视频文件对产品的安全性、耐用性、实用性等进行评审。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性能高、耐用性能好、实用性能强，工艺符合实战需求程度高的，得3分；安全性能较高、耐用性能良好、实用性能较强，工艺符合实战需求程度较高的，得2分；安全性能不高、耐用性能普通、实用性能一般，工艺符合实战需求程度不高的，得1分；未提供证明材料或证明材料有缺项的不得分。</w:t>
            </w:r>
          </w:p>
        </w:tc>
        <w:tc>
          <w:tcPr>
            <w:tcW w:w="43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960"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操作使用性能</w:t>
            </w:r>
          </w:p>
        </w:tc>
        <w:tc>
          <w:tcPr>
            <w:tcW w:w="3336"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根据视频文件对产品的可靠性、便捷性、稳定性等进行评审。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可靠性高、便捷性好、稳定性好，操作使用性能提升战斗力程度高的，得4分；可靠性较高、便捷性较好、稳定性良好，操作使用性能提升战斗力程度较高的，得2分；可靠性不高、便捷性和稳定性一般，操作使用性能提升战斗力程度不高的，得1分；未提供证明材料或证明材料有缺项的不得分。</w:t>
            </w:r>
          </w:p>
        </w:tc>
        <w:tc>
          <w:tcPr>
            <w:tcW w:w="43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731" w:type="pct"/>
            <w:gridSpan w:val="3"/>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lang w:eastAsia="zh-CN"/>
              </w:rPr>
            </w:pPr>
            <w:r>
              <w:rPr>
                <w:rFonts w:hint="eastAsia" w:ascii="仿宋" w:hAnsi="仿宋" w:eastAsia="仿宋" w:cs="仿宋"/>
                <w:b/>
                <w:bCs/>
                <w:color w:val="auto"/>
                <w:sz w:val="24"/>
                <w:highlight w:val="none"/>
              </w:rPr>
              <w:t>以上评审依据：根据视频文件对产品的整体结构与外观、工艺、操作使用性能进行综合评审，视频文件需对以上三点评审内容进行介绍（包含但不限于以上三点）。视频文件[视频文件格式须为通用格式，佐证视频时长不得超过5分钟，视频清晰度应至少保证所摄的界面文字清晰易辨、画面完整连贯、播放速度正常]应存储于U盘内（单独密封在信封中）与投标文件同时递交，逾期递交不予接收，</w:t>
            </w:r>
            <w:r>
              <w:rPr>
                <w:rFonts w:hint="eastAsia" w:ascii="仿宋" w:hAnsi="仿宋" w:eastAsia="仿宋" w:cs="仿宋"/>
                <w:b/>
                <w:bCs/>
                <w:color w:val="auto"/>
                <w:sz w:val="24"/>
                <w:highlight w:val="none"/>
                <w:lang w:eastAsia="zh-CN"/>
              </w:rPr>
              <w:t>U盘由采购代理机构封存，不予退回。未提供视频或视频无法打开的，得0分。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三、商务部分（1</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3"/>
        <w:gridCol w:w="1202"/>
        <w:gridCol w:w="5776"/>
        <w:gridCol w:w="8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序号</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评审因素</w:t>
            </w:r>
          </w:p>
        </w:tc>
        <w:tc>
          <w:tcPr>
            <w:tcW w:w="3389"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评分标准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1</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bCs/>
                <w:color w:val="auto"/>
                <w:sz w:val="24"/>
                <w:szCs w:val="22"/>
                <w:highlight w:val="none"/>
              </w:rPr>
            </w:pPr>
            <w:r>
              <w:rPr>
                <w:rFonts w:hint="eastAsia" w:ascii="仿宋" w:hAnsi="仿宋" w:eastAsia="仿宋" w:cs="仿宋"/>
                <w:color w:val="auto"/>
                <w:sz w:val="24"/>
                <w:highlight w:val="none"/>
              </w:rPr>
              <w:t>符合性评审</w:t>
            </w:r>
          </w:p>
        </w:tc>
        <w:tc>
          <w:tcPr>
            <w:tcW w:w="3887" w:type="pct"/>
            <w:gridSpan w:val="2"/>
            <w:vAlign w:val="center"/>
          </w:tcPr>
          <w:p>
            <w:pPr>
              <w:pageBreakBefore w:val="0"/>
              <w:kinsoku/>
              <w:wordWrap/>
              <w:overflowPunct/>
              <w:topLinePunct w:val="0"/>
              <w:autoSpaceDE/>
              <w:autoSpaceDN/>
              <w:bidi w:val="0"/>
              <w:adjustRightInd/>
              <w:snapToGrid/>
              <w:spacing w:line="460" w:lineRule="exact"/>
              <w:rPr>
                <w:rFonts w:eastAsia="仿宋" w:cs="Times New Roman"/>
                <w:color w:val="auto"/>
                <w:sz w:val="24"/>
                <w:szCs w:val="22"/>
                <w:highlight w:val="none"/>
              </w:rPr>
            </w:pPr>
            <w:r>
              <w:rPr>
                <w:rFonts w:hint="eastAsia" w:eastAsia="仿宋" w:cs="Times New Roman"/>
                <w:color w:val="auto"/>
                <w:sz w:val="24"/>
                <w:szCs w:val="22"/>
                <w:highlight w:val="none"/>
              </w:rPr>
              <w:t>投标人必须完全满足招标文件“商务要求”</w:t>
            </w:r>
            <w:r>
              <w:rPr>
                <w:rFonts w:hint="eastAsia" w:eastAsia="仿宋" w:cs="Times New Roman"/>
                <w:color w:val="auto"/>
                <w:sz w:val="24"/>
                <w:szCs w:val="22"/>
                <w:highlight w:val="none"/>
                <w:lang w:val="en-US" w:eastAsia="zh-CN"/>
              </w:rPr>
              <w:t>所有</w:t>
            </w:r>
            <w:r>
              <w:rPr>
                <w:rFonts w:hint="eastAsia" w:eastAsia="仿宋" w:cs="Times New Roman"/>
                <w:color w:val="auto"/>
                <w:sz w:val="24"/>
                <w:szCs w:val="22"/>
                <w:highlight w:val="none"/>
              </w:rPr>
              <w:t>实质性条款，任意一项不满足作无效投标处理。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eastAsia="仿宋" w:cs="Times New Roman"/>
                <w:b/>
                <w:bCs/>
                <w:color w:val="auto"/>
                <w:sz w:val="24"/>
                <w:szCs w:val="22"/>
                <w:highlight w:val="none"/>
              </w:rPr>
              <w:t>评审依据：投标文件中提供的商务条款响应表。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2</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hint="eastAsia" w:eastAsia="仿宋"/>
                <w:color w:val="auto"/>
                <w:sz w:val="24"/>
                <w:szCs w:val="22"/>
                <w:highlight w:val="none"/>
                <w:lang w:eastAsia="zh-CN"/>
              </w:rPr>
            </w:pPr>
            <w:r>
              <w:rPr>
                <w:rFonts w:hint="eastAsia" w:eastAsia="仿宋"/>
                <w:color w:val="auto"/>
                <w:sz w:val="24"/>
                <w:szCs w:val="22"/>
                <w:highlight w:val="none"/>
                <w:lang w:eastAsia="zh-CN"/>
              </w:rPr>
              <w:t>生产制造履约能力</w:t>
            </w:r>
          </w:p>
        </w:tc>
        <w:tc>
          <w:tcPr>
            <w:tcW w:w="3389" w:type="pct"/>
            <w:vAlign w:val="center"/>
          </w:tcPr>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val="en-US" w:eastAsia="zh-CN"/>
              </w:rPr>
              <w:t>投标人提供所投产品制造商的证明材料（应加盖制造商公章）</w:t>
            </w:r>
            <w:r>
              <w:rPr>
                <w:rFonts w:hint="eastAsia" w:eastAsia="仿宋" w:cs="Times New Roman"/>
                <w:color w:val="auto"/>
                <w:sz w:val="24"/>
                <w:szCs w:val="22"/>
                <w:highlight w:val="none"/>
              </w:rPr>
              <w:t>对</w:t>
            </w:r>
            <w:r>
              <w:rPr>
                <w:rFonts w:hint="eastAsia" w:eastAsia="仿宋" w:cs="Times New Roman"/>
                <w:color w:val="auto"/>
                <w:sz w:val="24"/>
                <w:szCs w:val="22"/>
                <w:highlight w:val="none"/>
                <w:lang w:eastAsia="zh-CN"/>
              </w:rPr>
              <w:t>生产制造履约能力</w:t>
            </w:r>
            <w:r>
              <w:rPr>
                <w:rFonts w:hint="eastAsia" w:eastAsia="仿宋" w:cs="Times New Roman"/>
                <w:color w:val="auto"/>
                <w:sz w:val="24"/>
                <w:szCs w:val="22"/>
                <w:highlight w:val="none"/>
              </w:rPr>
              <w:t>进行评审，包含但不限于</w:t>
            </w:r>
            <w:r>
              <w:rPr>
                <w:rFonts w:hint="eastAsia" w:eastAsia="仿宋" w:cs="Times New Roman"/>
                <w:color w:val="auto"/>
                <w:sz w:val="24"/>
                <w:szCs w:val="22"/>
                <w:highlight w:val="none"/>
                <w:lang w:eastAsia="zh-CN"/>
              </w:rPr>
              <w:t>：</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eastAsia="zh-CN"/>
              </w:rPr>
              <w:t>①制造商生产经营情况简介；</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②</w:t>
            </w:r>
            <w:r>
              <w:rPr>
                <w:rFonts w:hint="eastAsia" w:eastAsia="仿宋" w:cs="Times New Roman"/>
                <w:color w:val="auto"/>
                <w:sz w:val="24"/>
                <w:szCs w:val="22"/>
                <w:highlight w:val="none"/>
                <w:lang w:eastAsia="zh-CN"/>
              </w:rPr>
              <w:t>生产工艺流程，主要包括生产制造流程图、生产步骤（应含生产车间环境及实际生产照片）等相关情况描述；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③产品检验流程，包括主要检验设备</w:t>
            </w:r>
            <w:r>
              <w:rPr>
                <w:rFonts w:hint="eastAsia" w:eastAsia="仿宋" w:cs="Times New Roman"/>
                <w:color w:val="auto"/>
                <w:sz w:val="24"/>
                <w:szCs w:val="22"/>
                <w:highlight w:val="none"/>
                <w:lang w:eastAsia="zh-CN"/>
              </w:rPr>
              <w:t>（应提供图片）</w:t>
            </w:r>
            <w:r>
              <w:rPr>
                <w:rFonts w:hint="eastAsia" w:eastAsia="仿宋" w:cs="Times New Roman"/>
                <w:color w:val="auto"/>
                <w:sz w:val="24"/>
                <w:szCs w:val="22"/>
                <w:highlight w:val="none"/>
              </w:rPr>
              <w:t>、检验步骤等相关情况描述；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④人员配备：相关专业技术</w:t>
            </w:r>
            <w:r>
              <w:rPr>
                <w:rFonts w:hint="eastAsia" w:eastAsia="仿宋" w:cs="Times New Roman"/>
                <w:color w:val="auto"/>
                <w:sz w:val="24"/>
                <w:szCs w:val="22"/>
                <w:highlight w:val="none"/>
                <w:lang w:eastAsia="zh-CN"/>
              </w:rPr>
              <w:t>职称</w:t>
            </w:r>
            <w:r>
              <w:rPr>
                <w:rFonts w:hint="eastAsia" w:eastAsia="仿宋" w:cs="Times New Roman"/>
                <w:color w:val="auto"/>
                <w:sz w:val="24"/>
                <w:szCs w:val="22"/>
                <w:highlight w:val="none"/>
              </w:rPr>
              <w:t>人员配置情况</w:t>
            </w:r>
            <w:r>
              <w:rPr>
                <w:rFonts w:hint="eastAsia" w:eastAsia="仿宋" w:cs="Times New Roman"/>
                <w:color w:val="auto"/>
                <w:sz w:val="24"/>
                <w:szCs w:val="22"/>
                <w:highlight w:val="none"/>
                <w:lang w:eastAsia="zh-CN"/>
              </w:rPr>
              <w:t>；</w:t>
            </w:r>
            <w:r>
              <w:rPr>
                <w:rFonts w:hint="eastAsia" w:eastAsia="仿宋" w:cs="Times New Roman"/>
                <w:color w:val="auto"/>
                <w:sz w:val="24"/>
                <w:szCs w:val="22"/>
                <w:highlight w:val="none"/>
              </w:rPr>
              <w:t>各原材料采购、生产、检验、仓储、运输等环节的人员配备情况；</w:t>
            </w:r>
          </w:p>
          <w:p>
            <w:pPr>
              <w:pageBreakBefore w:val="0"/>
              <w:kinsoku/>
              <w:wordWrap/>
              <w:overflowPunct/>
              <w:topLinePunct w:val="0"/>
              <w:autoSpaceDE/>
              <w:autoSpaceDN/>
              <w:bidi w:val="0"/>
              <w:adjustRightInd/>
              <w:snapToGrid/>
              <w:spacing w:line="460" w:lineRule="exact"/>
              <w:rPr>
                <w:rFonts w:hint="eastAsia" w:eastAsia="仿宋" w:cs="Times New Roman"/>
                <w:b/>
                <w:bCs/>
                <w:color w:val="auto"/>
                <w:sz w:val="24"/>
                <w:szCs w:val="22"/>
                <w:highlight w:val="none"/>
              </w:rPr>
            </w:pPr>
            <w:r>
              <w:rPr>
                <w:rFonts w:hint="eastAsia" w:eastAsia="仿宋" w:cs="Times New Roman"/>
                <w:b/>
                <w:bCs/>
                <w:color w:val="auto"/>
                <w:sz w:val="24"/>
                <w:szCs w:val="22"/>
                <w:highlight w:val="none"/>
              </w:rPr>
              <w:t>评审依据：</w:t>
            </w:r>
            <w:r>
              <w:rPr>
                <w:rFonts w:hint="eastAsia" w:eastAsia="仿宋" w:cs="Times New Roman"/>
                <w:b/>
                <w:bCs/>
                <w:color w:val="auto"/>
                <w:sz w:val="24"/>
                <w:szCs w:val="22"/>
                <w:highlight w:val="none"/>
                <w:lang w:val="en-US" w:eastAsia="zh-CN"/>
              </w:rPr>
              <w:t>根据</w:t>
            </w:r>
            <w:r>
              <w:rPr>
                <w:rFonts w:hint="eastAsia" w:eastAsia="仿宋" w:cs="Times New Roman"/>
                <w:b/>
                <w:bCs/>
                <w:color w:val="auto"/>
                <w:sz w:val="24"/>
                <w:szCs w:val="22"/>
                <w:highlight w:val="none"/>
              </w:rPr>
              <w:t>投标人提</w:t>
            </w:r>
            <w:r>
              <w:rPr>
                <w:rFonts w:hint="eastAsia" w:eastAsia="仿宋" w:cs="Times New Roman"/>
                <w:b/>
                <w:bCs/>
                <w:color w:val="auto"/>
                <w:sz w:val="24"/>
                <w:szCs w:val="22"/>
                <w:highlight w:val="none"/>
                <w:lang w:val="en-US" w:eastAsia="zh-CN"/>
              </w:rPr>
              <w:t>供的生产制造履约能力方案内容完整性、组织性、关联性和可操作性进行评审</w:t>
            </w:r>
            <w:r>
              <w:rPr>
                <w:rFonts w:hint="eastAsia" w:eastAsia="仿宋" w:cs="Times New Roman"/>
                <w:b/>
                <w:bCs/>
                <w:color w:val="auto"/>
                <w:sz w:val="24"/>
                <w:szCs w:val="22"/>
                <w:highlight w:val="none"/>
              </w:rPr>
              <w:t>。</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1、所投</w:t>
            </w:r>
            <w:r>
              <w:rPr>
                <w:rFonts w:hint="eastAsia" w:eastAsia="仿宋" w:cs="Times New Roman"/>
                <w:b/>
                <w:bCs/>
                <w:color w:val="auto"/>
                <w:sz w:val="24"/>
                <w:szCs w:val="22"/>
                <w:highlight w:val="none"/>
                <w:lang w:val="en-US" w:eastAsia="zh-CN"/>
              </w:rPr>
              <w:t>产品</w:t>
            </w:r>
            <w:r>
              <w:rPr>
                <w:rFonts w:hint="eastAsia" w:ascii="仿宋" w:hAnsi="仿宋" w:eastAsia="仿宋" w:cs="仿宋"/>
                <w:b/>
                <w:bCs/>
                <w:color w:val="auto"/>
                <w:sz w:val="24"/>
                <w:szCs w:val="24"/>
                <w:highlight w:val="none"/>
                <w:lang w:val="en-US" w:eastAsia="zh-CN"/>
              </w:rPr>
              <w:t>制造商具备较强自主研发能力及先进的生产工艺，生产车间环境及生产线先进规范，生产步骤完整周详，技术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检验设备配置齐全、检验步骤严密无纰漏，生产制造履约能力</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分；</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2、所投</w:t>
            </w:r>
            <w:r>
              <w:rPr>
                <w:rFonts w:hint="eastAsia" w:eastAsia="仿宋" w:cs="Times New Roman"/>
                <w:b/>
                <w:bCs/>
                <w:color w:val="auto"/>
                <w:sz w:val="24"/>
                <w:szCs w:val="22"/>
                <w:highlight w:val="none"/>
                <w:lang w:val="en-US" w:eastAsia="zh-CN"/>
              </w:rPr>
              <w:t>产品</w:t>
            </w:r>
            <w:r>
              <w:rPr>
                <w:rFonts w:hint="eastAsia" w:ascii="仿宋" w:hAnsi="仿宋" w:eastAsia="仿宋" w:cs="仿宋"/>
                <w:b/>
                <w:bCs/>
                <w:color w:val="auto"/>
                <w:sz w:val="24"/>
                <w:szCs w:val="24"/>
                <w:highlight w:val="none"/>
                <w:lang w:val="en-US" w:eastAsia="zh-CN"/>
              </w:rPr>
              <w:t>制造商有自主研发能力和生产工艺较完整，生产车间环境及生产线常规，生产步骤较完整周详，技术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eastAsia="zh-CN"/>
              </w:rPr>
              <w:t>相对</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检验设备配置较齐全、检验步骤相对完备，生产制造履约能力</w:t>
            </w:r>
            <w:r>
              <w:rPr>
                <w:rFonts w:hint="eastAsia" w:ascii="仿宋" w:hAnsi="仿宋" w:eastAsia="仿宋" w:cs="仿宋"/>
                <w:b/>
                <w:bCs/>
                <w:color w:val="auto"/>
                <w:sz w:val="24"/>
                <w:szCs w:val="24"/>
                <w:highlight w:val="none"/>
                <w:lang w:eastAsia="zh-CN"/>
              </w:rPr>
              <w:t>较</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3、所投</w:t>
            </w:r>
            <w:r>
              <w:rPr>
                <w:rFonts w:hint="eastAsia" w:eastAsia="仿宋" w:cs="Times New Roman"/>
                <w:b/>
                <w:bCs/>
                <w:color w:val="auto"/>
                <w:sz w:val="24"/>
                <w:szCs w:val="22"/>
                <w:highlight w:val="none"/>
                <w:lang w:val="en-US" w:eastAsia="zh-CN"/>
              </w:rPr>
              <w:t>产品</w:t>
            </w:r>
            <w:r>
              <w:rPr>
                <w:rFonts w:hint="eastAsia" w:ascii="仿宋" w:hAnsi="仿宋" w:eastAsia="仿宋" w:cs="仿宋"/>
                <w:b/>
                <w:bCs/>
                <w:color w:val="auto"/>
                <w:sz w:val="24"/>
                <w:szCs w:val="24"/>
                <w:highlight w:val="none"/>
                <w:lang w:val="en-US" w:eastAsia="zh-CN"/>
              </w:rPr>
              <w:t>制造商有自主研发能力和生产工艺薄弱，生产车间环境及生产线粗糙落后，生产步骤简单，技术</w:t>
            </w:r>
            <w:r>
              <w:rPr>
                <w:rFonts w:hint="eastAsia" w:ascii="仿宋" w:hAnsi="仿宋" w:eastAsia="仿宋" w:cs="仿宋"/>
                <w:b/>
                <w:bCs/>
                <w:color w:val="auto"/>
                <w:sz w:val="24"/>
                <w:szCs w:val="24"/>
                <w:highlight w:val="none"/>
              </w:rPr>
              <w:t>人员</w:t>
            </w:r>
            <w:r>
              <w:rPr>
                <w:rFonts w:hint="eastAsia" w:ascii="仿宋" w:hAnsi="仿宋" w:eastAsia="仿宋" w:cs="仿宋"/>
                <w:b/>
                <w:bCs/>
                <w:color w:val="auto"/>
                <w:sz w:val="24"/>
                <w:szCs w:val="24"/>
                <w:highlight w:val="none"/>
                <w:lang w:eastAsia="zh-CN"/>
              </w:rPr>
              <w:t>综合实力一般，</w:t>
            </w:r>
            <w:r>
              <w:rPr>
                <w:rFonts w:hint="eastAsia" w:ascii="仿宋" w:hAnsi="仿宋" w:eastAsia="仿宋" w:cs="仿宋"/>
                <w:b/>
                <w:bCs/>
                <w:color w:val="auto"/>
                <w:sz w:val="24"/>
                <w:szCs w:val="24"/>
                <w:highlight w:val="none"/>
                <w:lang w:val="en-US" w:eastAsia="zh-CN"/>
              </w:rPr>
              <w:t>检验设备配置简单落后，检验步骤普通，生产制造履约能力</w:t>
            </w:r>
            <w:r>
              <w:rPr>
                <w:rFonts w:hint="eastAsia" w:ascii="仿宋" w:hAnsi="仿宋" w:eastAsia="仿宋" w:cs="仿宋"/>
                <w:b/>
                <w:bCs/>
                <w:color w:val="auto"/>
                <w:sz w:val="24"/>
                <w:szCs w:val="24"/>
                <w:highlight w:val="none"/>
                <w:lang w:eastAsia="zh-CN"/>
              </w:rPr>
              <w:t>弱</w:t>
            </w:r>
            <w:r>
              <w:rPr>
                <w:rFonts w:hint="eastAsia" w:ascii="仿宋" w:hAnsi="仿宋" w:eastAsia="仿宋" w:cs="仿宋"/>
                <w:b/>
                <w:bCs/>
                <w:color w:val="auto"/>
                <w:sz w:val="24"/>
                <w:szCs w:val="24"/>
                <w:highlight w:val="none"/>
              </w:rPr>
              <w:t>的得</w:t>
            </w: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未提供证明材料或证明材料有缺项的不得分。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3</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质量保证和保修</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eastAsia="仿宋"/>
                <w:color w:val="auto"/>
                <w:sz w:val="24"/>
                <w:szCs w:val="22"/>
                <w:highlight w:val="none"/>
              </w:rPr>
            </w:pPr>
            <w:r>
              <w:rPr>
                <w:rFonts w:eastAsia="仿宋"/>
                <w:color w:val="auto"/>
                <w:sz w:val="24"/>
                <w:szCs w:val="22"/>
                <w:highlight w:val="none"/>
              </w:rPr>
              <w:t>在招标文件商务要求中“质保期”和“保修期”要求基础上，承诺“质保期”和“保修期”均每延长一年的加2分，最多加4分。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eastAsia="仿宋"/>
                <w:b/>
                <w:color w:val="auto"/>
                <w:sz w:val="24"/>
                <w:szCs w:val="22"/>
                <w:highlight w:val="none"/>
              </w:rPr>
              <w:t>评审依据：投标文件中提供“质保期”和“保修期”均延长的承诺函原件。</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类似销售</w:t>
            </w:r>
          </w:p>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案例</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投标人自</w:t>
            </w:r>
            <w:r>
              <w:rPr>
                <w:rFonts w:eastAsia="仿宋" w:cs="Times New Roman"/>
                <w:color w:val="auto"/>
                <w:sz w:val="24"/>
                <w:szCs w:val="22"/>
                <w:highlight w:val="none"/>
              </w:rPr>
              <w:t>20</w:t>
            </w:r>
            <w:r>
              <w:rPr>
                <w:rFonts w:hint="eastAsia" w:eastAsia="仿宋" w:cs="Times New Roman"/>
                <w:color w:val="auto"/>
                <w:sz w:val="24"/>
                <w:szCs w:val="22"/>
                <w:highlight w:val="none"/>
              </w:rPr>
              <w:t>2</w:t>
            </w:r>
            <w:r>
              <w:rPr>
                <w:rFonts w:hint="eastAsia" w:eastAsia="仿宋" w:cs="Times New Roman"/>
                <w:color w:val="auto"/>
                <w:sz w:val="24"/>
                <w:szCs w:val="22"/>
                <w:highlight w:val="none"/>
                <w:lang w:val="en-US" w:eastAsia="zh-CN"/>
              </w:rPr>
              <w:t>1</w:t>
            </w:r>
            <w:r>
              <w:rPr>
                <w:rFonts w:hint="eastAsia" w:eastAsia="仿宋" w:cs="Times New Roman"/>
                <w:color w:val="auto"/>
                <w:sz w:val="24"/>
                <w:szCs w:val="22"/>
                <w:highlight w:val="none"/>
              </w:rPr>
              <w:t>年</w:t>
            </w:r>
            <w:r>
              <w:rPr>
                <w:rFonts w:eastAsia="仿宋" w:cs="Times New Roman"/>
                <w:color w:val="auto"/>
                <w:sz w:val="24"/>
                <w:szCs w:val="22"/>
                <w:highlight w:val="none"/>
              </w:rPr>
              <w:t>1月1日至今（以签订合同时间为准）具有类似产品销售案例，每提供1份销售案例加</w:t>
            </w:r>
            <w:r>
              <w:rPr>
                <w:rFonts w:hint="eastAsia" w:eastAsia="仿宋" w:cs="Times New Roman"/>
                <w:color w:val="auto"/>
                <w:sz w:val="24"/>
                <w:szCs w:val="22"/>
                <w:highlight w:val="none"/>
                <w:lang w:val="en-US" w:eastAsia="zh-CN"/>
              </w:rPr>
              <w:t>2</w:t>
            </w:r>
            <w:r>
              <w:rPr>
                <w:rFonts w:hint="eastAsia" w:eastAsia="仿宋" w:cs="Times New Roman"/>
                <w:color w:val="auto"/>
                <w:sz w:val="24"/>
                <w:szCs w:val="22"/>
                <w:highlight w:val="none"/>
              </w:rPr>
              <w:t>分，本项最多加</w:t>
            </w:r>
            <w:r>
              <w:rPr>
                <w:rFonts w:hint="eastAsia" w:eastAsia="仿宋" w:cs="Times New Roman"/>
                <w:color w:val="auto"/>
                <w:sz w:val="24"/>
                <w:szCs w:val="22"/>
                <w:highlight w:val="none"/>
                <w:lang w:val="en-US" w:eastAsia="zh-CN"/>
              </w:rPr>
              <w:t>6</w:t>
            </w:r>
            <w:r>
              <w:rPr>
                <w:rFonts w:hint="eastAsia" w:eastAsia="仿宋" w:cs="Times New Roman"/>
                <w:color w:val="auto"/>
                <w:sz w:val="24"/>
                <w:szCs w:val="22"/>
                <w:highlight w:val="none"/>
              </w:rPr>
              <w:t>分。</w:t>
            </w:r>
          </w:p>
          <w:p>
            <w:pPr>
              <w:pageBreakBefore w:val="0"/>
              <w:kinsoku/>
              <w:wordWrap/>
              <w:overflowPunct/>
              <w:topLinePunct w:val="0"/>
              <w:autoSpaceDE/>
              <w:autoSpaceDN/>
              <w:bidi w:val="0"/>
              <w:adjustRightInd/>
              <w:snapToGrid/>
              <w:spacing w:line="460" w:lineRule="exact"/>
              <w:jc w:val="left"/>
              <w:rPr>
                <w:rFonts w:eastAsia="仿宋"/>
                <w:b/>
                <w:bCs/>
                <w:color w:val="auto"/>
                <w:sz w:val="24"/>
                <w:szCs w:val="22"/>
                <w:highlight w:val="none"/>
              </w:rPr>
            </w:pPr>
            <w:r>
              <w:rPr>
                <w:rFonts w:hint="eastAsia" w:eastAsia="仿宋" w:cs="Times New Roman"/>
                <w:b/>
                <w:bCs/>
                <w:color w:val="auto"/>
                <w:sz w:val="24"/>
                <w:szCs w:val="22"/>
                <w:highlight w:val="none"/>
              </w:rPr>
              <w:t>评审依据：①投标文件中提供销售案例明细表（销售案例明细表包含</w:t>
            </w:r>
            <w:r>
              <w:rPr>
                <w:rFonts w:eastAsia="仿宋" w:cs="Times New Roman"/>
                <w:b/>
                <w:bCs/>
                <w:color w:val="auto"/>
                <w:sz w:val="24"/>
                <w:szCs w:val="22"/>
                <w:highlight w:val="none"/>
              </w:rPr>
              <w:t>:发布网站名称、网页链接地址、采购项目名称、采购单位名称和联系方式、采购代理机构名称和联系方式）；</w:t>
            </w:r>
            <w:r>
              <w:rPr>
                <w:rFonts w:hint="eastAsia" w:eastAsia="仿宋" w:cs="Times New Roman"/>
                <w:b/>
                <w:bCs/>
                <w:color w:val="auto"/>
                <w:sz w:val="24"/>
                <w:szCs w:val="22"/>
                <w:highlight w:val="none"/>
              </w:rPr>
              <w:t>②</w:t>
            </w:r>
            <w:r>
              <w:rPr>
                <w:rFonts w:hint="eastAsia" w:eastAsia="仿宋" w:cs="Times New Roman"/>
                <w:b/>
                <w:bCs/>
                <w:color w:val="auto"/>
                <w:sz w:val="24"/>
                <w:szCs w:val="22"/>
                <w:highlight w:val="none"/>
                <w:lang w:eastAsia="zh-CN"/>
              </w:rPr>
              <w:t>中标（成交）公告截图（打印网页）、中标通知书复印件和合同复印件（中标通知书或合同复印件应体现类似销售案例的货物），合同签订方必须是投标人本身。</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hint="eastAsia" w:eastAsia="仿宋"/>
                <w:color w:val="auto"/>
                <w:sz w:val="24"/>
                <w:szCs w:val="22"/>
                <w:highlight w:val="none"/>
                <w:lang w:val="en-US" w:eastAsia="zh-CN"/>
              </w:rPr>
              <w:t>6</w:t>
            </w:r>
            <w:r>
              <w:rPr>
                <w:rFonts w:eastAsia="仿宋"/>
                <w:color w:val="auto"/>
                <w:sz w:val="24"/>
                <w:szCs w:val="22"/>
                <w:highlight w:val="none"/>
              </w:rPr>
              <w:t>分</w:t>
            </w:r>
          </w:p>
        </w:tc>
      </w:tr>
    </w:tbl>
    <w:p>
      <w:pPr>
        <w:pageBreakBefore w:val="0"/>
        <w:kinsoku/>
        <w:wordWrap/>
        <w:overflowPunct/>
        <w:topLinePunct w:val="0"/>
        <w:autoSpaceDE/>
        <w:autoSpaceDN/>
        <w:bidi w:val="0"/>
        <w:adjustRightInd/>
        <w:snapToGrid/>
        <w:spacing w:line="460" w:lineRule="exact"/>
        <w:rPr>
          <w:color w:val="auto"/>
          <w:highlight w:val="none"/>
        </w:rPr>
        <w:sectPr>
          <w:pgSz w:w="11906" w:h="16838"/>
          <w:pgMar w:top="1440" w:right="1800" w:bottom="1440" w:left="1800" w:header="851" w:footer="992" w:gutter="0"/>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460" w:lineRule="exact"/>
        <w:jc w:val="left"/>
        <w:textAlignment w:val="auto"/>
        <w:outlineLvl w:val="1"/>
        <w:rPr>
          <w:rFonts w:hint="eastAsia" w:ascii="仿宋" w:hAnsi="仿宋" w:eastAsia="仿宋" w:cs="Times New Roman"/>
          <w:b/>
          <w:bCs/>
          <w:color w:val="auto"/>
          <w:sz w:val="28"/>
          <w:szCs w:val="28"/>
          <w:highlight w:val="none"/>
          <w:lang w:eastAsia="zh-CN"/>
        </w:rPr>
      </w:pPr>
      <w:bookmarkStart w:id="656" w:name="_Toc3475"/>
      <w:bookmarkStart w:id="657" w:name="_Toc23050"/>
      <w:bookmarkStart w:id="658" w:name="_Toc18252"/>
      <w:bookmarkStart w:id="659" w:name="_Toc25533"/>
      <w:r>
        <w:rPr>
          <w:rFonts w:hint="eastAsia" w:ascii="仿宋" w:hAnsi="仿宋" w:eastAsia="仿宋" w:cs="Times New Roman"/>
          <w:b/>
          <w:bCs/>
          <w:color w:val="auto"/>
          <w:sz w:val="28"/>
          <w:szCs w:val="28"/>
          <w:highlight w:val="none"/>
          <w:lang w:val="en-US" w:eastAsia="zh-CN"/>
        </w:rPr>
        <w:t>20包</w:t>
      </w:r>
      <w:r>
        <w:rPr>
          <w:rFonts w:hint="eastAsia" w:ascii="仿宋" w:hAnsi="仿宋" w:eastAsia="仿宋" w:cs="Times New Roman"/>
          <w:b/>
          <w:bCs/>
          <w:color w:val="auto"/>
          <w:sz w:val="28"/>
          <w:szCs w:val="28"/>
          <w:highlight w:val="none"/>
        </w:rPr>
        <w:t>：</w:t>
      </w:r>
      <w:r>
        <w:rPr>
          <w:rFonts w:hint="eastAsia" w:ascii="仿宋" w:hAnsi="仿宋" w:eastAsia="仿宋" w:cs="Times New Roman"/>
          <w:b/>
          <w:bCs/>
          <w:color w:val="auto"/>
          <w:sz w:val="28"/>
          <w:szCs w:val="28"/>
          <w:highlight w:val="none"/>
          <w:lang w:val="en-US" w:eastAsia="zh-CN"/>
        </w:rPr>
        <w:t>电动液压剪扩组</w:t>
      </w:r>
      <w:bookmarkEnd w:id="656"/>
      <w:bookmarkEnd w:id="657"/>
      <w:bookmarkEnd w:id="658"/>
      <w:bookmarkEnd w:id="659"/>
    </w:p>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hint="eastAsia" w:ascii="仿宋" w:hAnsi="仿宋" w:eastAsia="仿宋"/>
          <w:b/>
          <w:color w:val="auto"/>
          <w:sz w:val="24"/>
          <w:highlight w:val="none"/>
        </w:rPr>
        <w:t>一、价格部分（</w:t>
      </w:r>
      <w:r>
        <w:rPr>
          <w:rFonts w:ascii="仿宋" w:hAnsi="仿宋" w:eastAsia="仿宋"/>
          <w:b/>
          <w:color w:val="auto"/>
          <w:sz w:val="24"/>
          <w:highlight w:val="none"/>
        </w:rPr>
        <w:t>30分）</w:t>
      </w:r>
    </w:p>
    <w:tbl>
      <w:tblPr>
        <w:tblStyle w:val="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1"/>
        <w:gridCol w:w="1449"/>
        <w:gridCol w:w="5672"/>
        <w:gridCol w:w="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评审因素</w:t>
            </w:r>
          </w:p>
        </w:tc>
        <w:tc>
          <w:tcPr>
            <w:tcW w:w="3327" w:type="pct"/>
            <w:vAlign w:val="center"/>
          </w:tcPr>
          <w:p>
            <w:pPr>
              <w:pageBreakBefore w:val="0"/>
              <w:kinsoku/>
              <w:wordWrap/>
              <w:overflowPunct/>
              <w:topLinePunct w:val="0"/>
              <w:autoSpaceDE/>
              <w:autoSpaceDN/>
              <w:bidi w:val="0"/>
              <w:adjustRightInd/>
              <w:snapToGrid/>
              <w:spacing w:line="460" w:lineRule="exact"/>
              <w:jc w:val="center"/>
              <w:textAlignment w:val="center"/>
              <w:rPr>
                <w:rFonts w:ascii="仿宋" w:hAnsi="仿宋" w:eastAsia="仿宋" w:cs="仿宋"/>
                <w:b/>
                <w:color w:val="auto"/>
                <w:sz w:val="24"/>
                <w:highlight w:val="none"/>
              </w:rPr>
            </w:pPr>
            <w:r>
              <w:rPr>
                <w:rFonts w:hint="eastAsia" w:ascii="仿宋" w:hAnsi="仿宋" w:eastAsia="仿宋" w:cs="仿宋"/>
                <w:b/>
                <w:bCs/>
                <w:color w:val="auto"/>
                <w:sz w:val="24"/>
                <w:highlight w:val="none"/>
              </w:rPr>
              <w:t>评分标准</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价格分</w:t>
            </w:r>
          </w:p>
        </w:tc>
        <w:tc>
          <w:tcPr>
            <w:tcW w:w="3327" w:type="pct"/>
            <w:vAlign w:val="center"/>
          </w:tcPr>
          <w:p>
            <w:pPr>
              <w:pageBreakBefore w:val="0"/>
              <w:kinsoku/>
              <w:wordWrap/>
              <w:overflowPunct/>
              <w:topLinePunct w:val="0"/>
              <w:autoSpaceDE/>
              <w:autoSpaceDN/>
              <w:bidi w:val="0"/>
              <w:adjustRightInd/>
              <w:snapToGrid/>
              <w:spacing w:line="460" w:lineRule="exact"/>
              <w:jc w:val="left"/>
              <w:textAlignment w:val="center"/>
              <w:rPr>
                <w:rFonts w:ascii="仿宋" w:hAnsi="仿宋" w:eastAsia="仿宋" w:cs="仿宋"/>
                <w:color w:val="auto"/>
                <w:sz w:val="24"/>
                <w:highlight w:val="none"/>
              </w:rPr>
            </w:pPr>
            <w:r>
              <w:rPr>
                <w:rFonts w:hint="eastAsia" w:ascii="仿宋" w:hAnsi="仿宋" w:eastAsia="仿宋" w:cs="仿宋"/>
                <w:color w:val="auto"/>
                <w:sz w:val="24"/>
                <w:highlight w:val="none"/>
              </w:rPr>
              <w:t>根据综合评分法，满足招标文件要求且投标价格最低的投标报价为评标基准价，投标报价得分</w:t>
            </w:r>
            <w:r>
              <w:rPr>
                <w:rFonts w:ascii="仿宋" w:hAnsi="仿宋" w:eastAsia="仿宋" w:cs="仿宋"/>
                <w:color w:val="auto"/>
                <w:sz w:val="24"/>
                <w:highlight w:val="none"/>
              </w:rPr>
              <w:t>=（评标基准价／投标报价）</w:t>
            </w:r>
            <w:r>
              <w:rPr>
                <w:rFonts w:hint="eastAsia" w:ascii="仿宋" w:hAnsi="仿宋" w:eastAsia="仿宋" w:cs="仿宋"/>
                <w:color w:val="auto"/>
                <w:sz w:val="24"/>
                <w:highlight w:val="none"/>
              </w:rPr>
              <w:t>×</w:t>
            </w:r>
            <w:r>
              <w:rPr>
                <w:rFonts w:ascii="仿宋" w:hAnsi="仿宋" w:eastAsia="仿宋" w:cs="仿宋"/>
                <w:color w:val="auto"/>
                <w:sz w:val="24"/>
                <w:highlight w:val="none"/>
              </w:rPr>
              <w:t>30%×100，计算分数时四舍五入取小数点后两位。</w:t>
            </w:r>
          </w:p>
          <w:p>
            <w:pPr>
              <w:pageBreakBefore w:val="0"/>
              <w:kinsoku/>
              <w:wordWrap/>
              <w:overflowPunct/>
              <w:topLinePunct w:val="0"/>
              <w:autoSpaceDE/>
              <w:autoSpaceDN/>
              <w:bidi w:val="0"/>
              <w:adjustRightInd/>
              <w:snapToGrid/>
              <w:spacing w:line="460" w:lineRule="exact"/>
              <w:ind w:firstLine="482" w:firstLineChars="200"/>
              <w:jc w:val="left"/>
              <w:textAlignment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注：</w:t>
            </w:r>
            <w:r>
              <w:rPr>
                <w:rFonts w:ascii="仿宋" w:hAnsi="仿宋" w:eastAsia="仿宋" w:cs="仿宋"/>
                <w:b/>
                <w:bCs/>
                <w:color w:val="auto"/>
                <w:sz w:val="24"/>
                <w:highlight w:val="none"/>
              </w:rPr>
              <w:t>小、微型企业或残疾人福利性单位产品或监狱产品的价格给予10%的扣除，用扣除后的价格参与评审。但残疾人福利性单位本身属于小型、微型企业的，不重复享受政策。</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30分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二、技术部分（5</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1"/>
        <w:gridCol w:w="1491"/>
        <w:gridCol w:w="5682"/>
        <w:gridCol w:w="7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53"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875"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3334"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评分标准</w:t>
            </w:r>
          </w:p>
        </w:tc>
        <w:tc>
          <w:tcPr>
            <w:tcW w:w="436"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353"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75"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技术参数及要求</w:t>
            </w:r>
          </w:p>
        </w:tc>
        <w:tc>
          <w:tcPr>
            <w:tcW w:w="3334" w:type="pct"/>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一、重大负偏离评审依据：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1、带★条款的响应，不满足招标文件要求的，或有缺项、漏项的，视为重大负偏离；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2、一般参数和带“▲”参数共有四项及以上（含本数）的负偏离，视为重大负偏离；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3、所投产品一般参数或带“▲”参数有一项低于招标文件要求，该项视为负偏离；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4、所投产品一般参数或带“▲”参数有一项缺项、漏项的，该项视为负偏离。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注：“一般参数”为非标“★”号参数和非标“▲”号参数。</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①投标文件中提供的技术条款响应表；</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②所投产品技术参数完全满足招标文件要求得</w:t>
            </w:r>
            <w:r>
              <w:rPr>
                <w:rFonts w:hint="eastAsia" w:ascii="仿宋" w:hAnsi="仿宋" w:eastAsia="仿宋" w:cs="仿宋"/>
                <w:b/>
                <w:bCs/>
                <w:color w:val="auto"/>
                <w:sz w:val="24"/>
                <w:highlight w:val="none"/>
                <w:lang w:val="en-US" w:eastAsia="zh-CN"/>
              </w:rPr>
              <w:t>23</w:t>
            </w:r>
            <w:r>
              <w:rPr>
                <w:rFonts w:hint="eastAsia" w:ascii="仿宋" w:hAnsi="仿宋" w:eastAsia="仿宋" w:cs="仿宋"/>
                <w:b/>
                <w:bCs/>
                <w:color w:val="auto"/>
                <w:sz w:val="24"/>
                <w:highlight w:val="none"/>
              </w:rPr>
              <w:t>分；重大负偏离则视为无效投标；一般参数或带“▲”参数每有一项负偏离减5分，最多减15分，四项或以上负偏离视为无效投标。</w:t>
            </w:r>
          </w:p>
        </w:tc>
        <w:tc>
          <w:tcPr>
            <w:tcW w:w="436" w:type="pct"/>
            <w:vAlign w:val="center"/>
          </w:tcPr>
          <w:p>
            <w:pPr>
              <w:pageBreakBefore w:val="0"/>
              <w:kinsoku/>
              <w:wordWrap/>
              <w:overflowPunct/>
              <w:topLinePunct w:val="0"/>
              <w:autoSpaceDE/>
              <w:autoSpaceDN/>
              <w:bidi w:val="0"/>
              <w:adjustRightInd/>
              <w:snapToGrid/>
              <w:spacing w:line="460" w:lineRule="exact"/>
              <w:jc w:val="center"/>
              <w:textAlignment w:val="center"/>
              <w:rPr>
                <w:rFonts w:hint="default"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23分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53"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875"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▲3.3.1</w:t>
            </w:r>
            <w:r>
              <w:rPr>
                <w:rFonts w:hint="eastAsia" w:ascii="仿宋" w:hAnsi="仿宋" w:eastAsia="仿宋" w:cs="仿宋"/>
                <w:bCs/>
                <w:i w:val="0"/>
                <w:iCs w:val="0"/>
                <w:caps w:val="0"/>
                <w:color w:val="auto"/>
                <w:spacing w:val="0"/>
                <w:sz w:val="24"/>
                <w:szCs w:val="24"/>
                <w:highlight w:val="none"/>
                <w:shd w:val="clear" w:color="auto" w:fill="auto"/>
              </w:rPr>
              <w:t>电动扩张器：</w:t>
            </w:r>
            <w:r>
              <w:rPr>
                <w:rFonts w:hint="eastAsia" w:ascii="仿宋" w:hAnsi="仿宋" w:eastAsia="仿宋" w:cs="仿宋"/>
                <w:color w:val="auto"/>
                <w:sz w:val="24"/>
                <w:highlight w:val="none"/>
                <w:lang w:val="en-US" w:eastAsia="zh-CN"/>
              </w:rPr>
              <w:t>额定压力≥72MPa</w:t>
            </w:r>
          </w:p>
        </w:tc>
        <w:tc>
          <w:tcPr>
            <w:tcW w:w="5682" w:type="dxa"/>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i w:val="0"/>
                <w:iCs w:val="0"/>
                <w:color w:val="auto"/>
                <w:kern w:val="0"/>
                <w:sz w:val="24"/>
                <w:szCs w:val="24"/>
                <w:highlight w:val="none"/>
                <w:u w:val="none"/>
                <w:lang w:val="en-US" w:eastAsia="zh-CN" w:bidi="ar"/>
              </w:rPr>
              <w:t>额定压力</w:t>
            </w:r>
            <w:r>
              <w:rPr>
                <w:rFonts w:hint="eastAsia" w:ascii="仿宋" w:hAnsi="仿宋" w:eastAsia="仿宋" w:cs="仿宋"/>
                <w:color w:val="auto"/>
                <w:sz w:val="24"/>
                <w:szCs w:val="24"/>
                <w:highlight w:val="none"/>
              </w:rPr>
              <w:t>优于招标文件要求的，</w:t>
            </w:r>
            <w:r>
              <w:rPr>
                <w:rFonts w:hint="eastAsia" w:ascii="仿宋" w:hAnsi="仿宋" w:eastAsia="仿宋" w:cs="仿宋"/>
                <w:i w:val="0"/>
                <w:iCs w:val="0"/>
                <w:color w:val="auto"/>
                <w:kern w:val="0"/>
                <w:sz w:val="24"/>
                <w:szCs w:val="24"/>
                <w:highlight w:val="none"/>
                <w:u w:val="none"/>
                <w:lang w:val="en-US" w:eastAsia="zh-CN" w:bidi="ar"/>
              </w:rPr>
              <w:t>额定压力</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i w:val="0"/>
                <w:iCs w:val="0"/>
                <w:color w:val="auto"/>
                <w:kern w:val="0"/>
                <w:sz w:val="24"/>
                <w:szCs w:val="24"/>
                <w:highlight w:val="none"/>
                <w:u w:val="none"/>
                <w:lang w:val="en-US" w:eastAsia="zh-CN" w:bidi="ar"/>
              </w:rPr>
              <w:t>额定压力</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szCs w:val="24"/>
                <w:highlight w:val="none"/>
              </w:rPr>
              <w:t>注：最优表示额定压力最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，次优表示额定压力仅次于最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值。</w:t>
            </w:r>
          </w:p>
        </w:tc>
        <w:tc>
          <w:tcPr>
            <w:tcW w:w="43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53"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875"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▲3.3.4</w:t>
            </w:r>
            <w:r>
              <w:rPr>
                <w:rFonts w:hint="eastAsia" w:ascii="仿宋" w:hAnsi="仿宋" w:eastAsia="仿宋" w:cs="仿宋"/>
                <w:bCs/>
                <w:i w:val="0"/>
                <w:iCs w:val="0"/>
                <w:caps w:val="0"/>
                <w:color w:val="auto"/>
                <w:spacing w:val="0"/>
                <w:sz w:val="24"/>
                <w:szCs w:val="24"/>
                <w:highlight w:val="none"/>
                <w:shd w:val="clear" w:color="auto" w:fill="auto"/>
              </w:rPr>
              <w:t>电动扩张器：</w:t>
            </w:r>
            <w:r>
              <w:rPr>
                <w:rFonts w:hint="eastAsia" w:ascii="仿宋" w:hAnsi="仿宋" w:eastAsia="仿宋" w:cs="仿宋"/>
                <w:color w:val="auto"/>
                <w:sz w:val="24"/>
                <w:highlight w:val="none"/>
                <w:lang w:val="en-US" w:eastAsia="zh-CN"/>
              </w:rPr>
              <w:t>最大扩张力≥280kN</w:t>
            </w:r>
          </w:p>
        </w:tc>
        <w:tc>
          <w:tcPr>
            <w:tcW w:w="5682" w:type="dxa"/>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i w:val="0"/>
                <w:iCs w:val="0"/>
                <w:color w:val="auto"/>
                <w:kern w:val="0"/>
                <w:sz w:val="24"/>
                <w:szCs w:val="24"/>
                <w:highlight w:val="none"/>
                <w:u w:val="none"/>
                <w:lang w:val="en-US" w:eastAsia="zh-CN" w:bidi="ar"/>
              </w:rPr>
              <w:t>最大扩张力</w:t>
            </w:r>
            <w:r>
              <w:rPr>
                <w:rFonts w:hint="eastAsia" w:ascii="仿宋" w:hAnsi="仿宋" w:eastAsia="仿宋" w:cs="仿宋"/>
                <w:color w:val="auto"/>
                <w:sz w:val="24"/>
                <w:szCs w:val="24"/>
                <w:highlight w:val="none"/>
              </w:rPr>
              <w:t>优于招标文件要求的，</w:t>
            </w:r>
            <w:r>
              <w:rPr>
                <w:rFonts w:hint="eastAsia" w:ascii="仿宋" w:hAnsi="仿宋" w:eastAsia="仿宋" w:cs="仿宋"/>
                <w:i w:val="0"/>
                <w:iCs w:val="0"/>
                <w:color w:val="auto"/>
                <w:kern w:val="0"/>
                <w:sz w:val="24"/>
                <w:szCs w:val="24"/>
                <w:highlight w:val="none"/>
                <w:u w:val="none"/>
                <w:lang w:val="en-US" w:eastAsia="zh-CN" w:bidi="ar"/>
              </w:rPr>
              <w:t>最大扩张力</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i w:val="0"/>
                <w:iCs w:val="0"/>
                <w:color w:val="auto"/>
                <w:kern w:val="0"/>
                <w:sz w:val="24"/>
                <w:szCs w:val="24"/>
                <w:highlight w:val="none"/>
                <w:u w:val="none"/>
                <w:lang w:val="en-US" w:eastAsia="zh-CN" w:bidi="ar"/>
              </w:rPr>
              <w:t>最大扩张力</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注：最优表示最大扩张力最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，次优表示最大扩张力仅次于最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值。</w:t>
            </w:r>
          </w:p>
        </w:tc>
        <w:tc>
          <w:tcPr>
            <w:tcW w:w="43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53"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875"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▲3.4.5</w:t>
            </w:r>
            <w:r>
              <w:rPr>
                <w:rFonts w:hint="eastAsia" w:ascii="仿宋" w:hAnsi="仿宋" w:eastAsia="仿宋" w:cs="仿宋"/>
                <w:bCs/>
                <w:i w:val="0"/>
                <w:iCs w:val="0"/>
                <w:caps w:val="0"/>
                <w:color w:val="auto"/>
                <w:spacing w:val="0"/>
                <w:sz w:val="24"/>
                <w:szCs w:val="24"/>
                <w:highlight w:val="none"/>
                <w:shd w:val="clear" w:color="auto" w:fill="auto"/>
              </w:rPr>
              <w:t>电动剪扩器：</w:t>
            </w:r>
            <w:r>
              <w:rPr>
                <w:rFonts w:hint="eastAsia" w:ascii="仿宋" w:hAnsi="仿宋" w:eastAsia="仿宋" w:cs="仿宋"/>
                <w:color w:val="auto"/>
                <w:sz w:val="24"/>
                <w:highlight w:val="none"/>
                <w:lang w:val="en-US" w:eastAsia="zh-CN"/>
              </w:rPr>
              <w:t>最大剪切力≥650kN</w:t>
            </w:r>
          </w:p>
        </w:tc>
        <w:tc>
          <w:tcPr>
            <w:tcW w:w="5682" w:type="dxa"/>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i w:val="0"/>
                <w:iCs w:val="0"/>
                <w:color w:val="auto"/>
                <w:kern w:val="0"/>
                <w:sz w:val="24"/>
                <w:szCs w:val="24"/>
                <w:highlight w:val="none"/>
                <w:u w:val="none"/>
                <w:lang w:val="en-US" w:eastAsia="zh-CN" w:bidi="ar"/>
              </w:rPr>
              <w:t>最大</w:t>
            </w:r>
            <w:r>
              <w:rPr>
                <w:rFonts w:hint="eastAsia" w:ascii="仿宋" w:hAnsi="仿宋" w:eastAsia="仿宋" w:cs="仿宋"/>
                <w:color w:val="auto"/>
                <w:sz w:val="24"/>
                <w:highlight w:val="none"/>
                <w:lang w:val="en-US" w:eastAsia="zh-CN"/>
              </w:rPr>
              <w:t>剪切力</w:t>
            </w:r>
            <w:r>
              <w:rPr>
                <w:rFonts w:hint="eastAsia" w:ascii="仿宋" w:hAnsi="仿宋" w:eastAsia="仿宋" w:cs="仿宋"/>
                <w:color w:val="auto"/>
                <w:sz w:val="24"/>
                <w:szCs w:val="24"/>
                <w:highlight w:val="none"/>
              </w:rPr>
              <w:t>优于招标文件要求的，</w:t>
            </w:r>
            <w:r>
              <w:rPr>
                <w:rFonts w:hint="eastAsia" w:ascii="仿宋" w:hAnsi="仿宋" w:eastAsia="仿宋" w:cs="仿宋"/>
                <w:i w:val="0"/>
                <w:iCs w:val="0"/>
                <w:color w:val="auto"/>
                <w:kern w:val="0"/>
                <w:sz w:val="24"/>
                <w:szCs w:val="24"/>
                <w:highlight w:val="none"/>
                <w:u w:val="none"/>
                <w:lang w:val="en-US" w:eastAsia="zh-CN" w:bidi="ar"/>
              </w:rPr>
              <w:t>最大</w:t>
            </w:r>
            <w:r>
              <w:rPr>
                <w:rFonts w:hint="eastAsia" w:ascii="仿宋" w:hAnsi="仿宋" w:eastAsia="仿宋" w:cs="仿宋"/>
                <w:color w:val="auto"/>
                <w:sz w:val="24"/>
                <w:highlight w:val="none"/>
                <w:lang w:val="en-US" w:eastAsia="zh-CN"/>
              </w:rPr>
              <w:t>剪切力</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i w:val="0"/>
                <w:iCs w:val="0"/>
                <w:color w:val="auto"/>
                <w:kern w:val="0"/>
                <w:sz w:val="24"/>
                <w:szCs w:val="24"/>
                <w:highlight w:val="none"/>
                <w:u w:val="none"/>
                <w:lang w:val="en-US" w:eastAsia="zh-CN" w:bidi="ar"/>
              </w:rPr>
              <w:t>最大</w:t>
            </w:r>
            <w:r>
              <w:rPr>
                <w:rFonts w:hint="eastAsia" w:ascii="仿宋" w:hAnsi="仿宋" w:eastAsia="仿宋" w:cs="仿宋"/>
                <w:color w:val="auto"/>
                <w:sz w:val="24"/>
                <w:highlight w:val="none"/>
                <w:lang w:val="en-US" w:eastAsia="zh-CN"/>
              </w:rPr>
              <w:t>剪切力</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注：最优表示最大剪切力最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，次优表示最大剪切力仅次于最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值。</w:t>
            </w:r>
          </w:p>
        </w:tc>
        <w:tc>
          <w:tcPr>
            <w:tcW w:w="43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53"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875"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▲3.4.6</w:t>
            </w:r>
            <w:r>
              <w:rPr>
                <w:rFonts w:hint="eastAsia" w:ascii="仿宋" w:hAnsi="仿宋" w:eastAsia="仿宋" w:cs="仿宋"/>
                <w:bCs/>
                <w:i w:val="0"/>
                <w:iCs w:val="0"/>
                <w:caps w:val="0"/>
                <w:color w:val="auto"/>
                <w:spacing w:val="0"/>
                <w:sz w:val="24"/>
                <w:szCs w:val="24"/>
                <w:highlight w:val="none"/>
                <w:shd w:val="clear" w:color="auto" w:fill="auto"/>
              </w:rPr>
              <w:t>电动剪扩器：</w:t>
            </w:r>
            <w:r>
              <w:rPr>
                <w:rFonts w:hint="eastAsia" w:ascii="仿宋" w:hAnsi="仿宋" w:eastAsia="仿宋" w:cs="仿宋"/>
                <w:color w:val="auto"/>
                <w:sz w:val="24"/>
                <w:highlight w:val="none"/>
                <w:lang w:val="en-US" w:eastAsia="zh-CN"/>
              </w:rPr>
              <w:t>扩张力≥40KN</w:t>
            </w:r>
          </w:p>
        </w:tc>
        <w:tc>
          <w:tcPr>
            <w:tcW w:w="5682" w:type="dxa"/>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所投产品扩张力优于招标文件要求的，扩张力最优的加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分，扩张力次优的加2分，其余加1分。（可并列得分）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注：最优表示扩张力最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，次优表示扩张力仅次于最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值。</w:t>
            </w:r>
          </w:p>
        </w:tc>
        <w:tc>
          <w:tcPr>
            <w:tcW w:w="43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53"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875"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一般参数</w:t>
            </w:r>
          </w:p>
        </w:tc>
        <w:tc>
          <w:tcPr>
            <w:tcW w:w="3334"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在完全满足招标文件“</w:t>
            </w:r>
            <w:r>
              <w:rPr>
                <w:rFonts w:hint="eastAsia" w:ascii="仿宋" w:hAnsi="仿宋" w:eastAsia="仿宋" w:cs="仿宋"/>
                <w:color w:val="auto"/>
                <w:sz w:val="24"/>
                <w:highlight w:val="none"/>
                <w:lang w:eastAsia="zh-CN"/>
              </w:rPr>
              <w:t>所有参数</w:t>
            </w:r>
            <w:r>
              <w:rPr>
                <w:rFonts w:hint="eastAsia" w:ascii="仿宋" w:hAnsi="仿宋" w:eastAsia="仿宋" w:cs="仿宋"/>
                <w:color w:val="auto"/>
                <w:sz w:val="24"/>
                <w:highlight w:val="none"/>
              </w:rPr>
              <w:t>”要求的基础上，每有一条“一般参数”优于的加1分，本项最多加</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分。（加分只针对具有“≥”或“≤”的数值，数值更加优于的进行加分；文字内容或其他内容优于的不加分）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注：“一般参数”为非标“★”号参数和非标“▲”号参数。</w:t>
            </w:r>
          </w:p>
        </w:tc>
        <w:tc>
          <w:tcPr>
            <w:tcW w:w="43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53" w:type="pct"/>
            <w:vMerge w:val="continue"/>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646" w:type="pct"/>
            <w:gridSpan w:val="3"/>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评审依据：提供技术条款响应表和技术支撑文件</w:t>
            </w:r>
            <w:r>
              <w:rPr>
                <w:rFonts w:hint="eastAsia" w:ascii="仿宋" w:hAnsi="仿宋" w:eastAsia="仿宋" w:cs="仿宋"/>
                <w:b/>
                <w:bCs/>
                <w:color w:val="auto"/>
                <w:sz w:val="24"/>
                <w:highlight w:val="none"/>
                <w:lang w:eastAsia="zh-CN"/>
              </w:rPr>
              <w:t>。</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hint="eastAsia"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hint="eastAsia"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hint="eastAsia"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③制造商出具的技术参数证明材料并加盖制造商公章。]</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注：①供应商应认真提供技术支撑文件，若提供多份技术支撑文件，技术支撑文件佐证不一致时，优先级为：产品检测报告复印件＞制造商公开发布的印刷资料＞制造商出具的技术参数证明</w:t>
            </w:r>
            <w:r>
              <w:rPr>
                <w:rFonts w:hint="eastAsia" w:ascii="仿宋" w:hAnsi="仿宋" w:eastAsia="仿宋" w:cs="仿宋"/>
                <w:b/>
                <w:bCs/>
                <w:color w:val="auto"/>
                <w:sz w:val="24"/>
                <w:highlight w:val="none"/>
                <w:lang w:val="en-US" w:eastAsia="zh-CN"/>
              </w:rPr>
              <w:t>材料</w:t>
            </w:r>
            <w:r>
              <w:rPr>
                <w:rFonts w:hint="eastAsia" w:ascii="仿宋" w:hAnsi="仿宋" w:eastAsia="仿宋" w:cs="仿宋"/>
                <w:b/>
                <w:bCs/>
                <w:color w:val="auto"/>
                <w:sz w:val="24"/>
                <w:highlight w:val="none"/>
              </w:rPr>
              <w:t>；②技术支撑文件</w:t>
            </w:r>
            <w:r>
              <w:rPr>
                <w:rFonts w:hint="eastAsia" w:ascii="仿宋" w:hAnsi="仿宋" w:eastAsia="仿宋" w:cs="仿宋"/>
                <w:b/>
                <w:bCs/>
                <w:color w:val="auto"/>
                <w:sz w:val="24"/>
                <w:highlight w:val="none"/>
                <w:lang w:val="en-US" w:eastAsia="zh-CN"/>
              </w:rPr>
              <w:t>与</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不一致，则</w:t>
            </w:r>
            <w:r>
              <w:rPr>
                <w:rFonts w:hint="eastAsia" w:ascii="仿宋" w:hAnsi="仿宋" w:eastAsia="仿宋" w:cs="仿宋"/>
                <w:b/>
                <w:bCs/>
                <w:color w:val="auto"/>
                <w:sz w:val="24"/>
                <w:highlight w:val="none"/>
              </w:rPr>
              <w:t>该点不加分</w:t>
            </w:r>
            <w:r>
              <w:rPr>
                <w:rFonts w:hint="eastAsia" w:ascii="仿宋" w:hAnsi="仿宋" w:eastAsia="仿宋" w:cs="仿宋"/>
                <w:b/>
                <w:bCs/>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53"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875"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整体结构与外观</w:t>
            </w:r>
          </w:p>
        </w:tc>
        <w:tc>
          <w:tcPr>
            <w:tcW w:w="3334"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根据视频文件对产品的外观构造、内部结构、设计理念等进行评审。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设计理念先进，外部构造和内部结构科学合理，整体结构外观与实战紧贴程度高的，得3分；设计理念较为先进，外部构造和内部结构较为合理，整体结构外观与实战紧贴程度较高的，得2分；设计理念一般，外观构造和内部结构基本合理，整体结构外观与实战紧贴程度不高的，得1分；未提供证明材料或证明材料有缺项的不得分。</w:t>
            </w:r>
          </w:p>
        </w:tc>
        <w:tc>
          <w:tcPr>
            <w:tcW w:w="43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53"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875"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工艺</w:t>
            </w:r>
          </w:p>
        </w:tc>
        <w:tc>
          <w:tcPr>
            <w:tcW w:w="3334"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根据视频文件对产品的安全性、耐用性、实用性等进行评审。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性能高、耐用性能好、实用性能强，工艺符合实战需求程度高的，得3分；安全性能较高、耐用性能良好、实用性能较强，工艺符合实战需求程度较高的，得2分；安全性能不高、耐用性能普通、实用性能一般，工艺符合实战需求程度不高的，得1分；未提供证明材料或证明材料有缺项的不得分。</w:t>
            </w:r>
          </w:p>
        </w:tc>
        <w:tc>
          <w:tcPr>
            <w:tcW w:w="43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53"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875"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操作使用性能</w:t>
            </w:r>
          </w:p>
        </w:tc>
        <w:tc>
          <w:tcPr>
            <w:tcW w:w="3334"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根据视频文件对产品的可靠性、便捷性、稳定性等进行评审。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可靠性高、便捷性好、稳定性好，操作使用性能提升战斗力程度高的，得4分；可靠性较高、便捷性较好、稳定性良好，操作使用性能提升战斗力程度较高的，得2分；可靠性不高、便捷性和稳定性一般，操作使用性能提升战斗力程度不高的，得1分；未提供证明材料或证明材料有缺项的不得分。</w:t>
            </w:r>
          </w:p>
        </w:tc>
        <w:tc>
          <w:tcPr>
            <w:tcW w:w="43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53" w:type="pct"/>
            <w:vMerge w:val="continue"/>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646" w:type="pct"/>
            <w:gridSpan w:val="3"/>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lang w:eastAsia="zh-CN"/>
              </w:rPr>
            </w:pPr>
            <w:r>
              <w:rPr>
                <w:rFonts w:hint="eastAsia" w:ascii="仿宋" w:hAnsi="仿宋" w:eastAsia="仿宋" w:cs="仿宋"/>
                <w:b/>
                <w:bCs/>
                <w:color w:val="auto"/>
                <w:sz w:val="24"/>
                <w:highlight w:val="none"/>
              </w:rPr>
              <w:t>以上评审依据：根据视频文件对产品的整体结构与外观、工艺、操作使用性能进行综合评审，视频文件需对以上三点评审内容进行介绍（包含但不限于以上三点）。视频文件[视频文件格式须为通用格式，佐证视频时长不得超过5分钟，视频清晰度应至少保证所摄的界面文字清晰易辨、画面完整连贯、播放速度正常]应存储于U盘内（单独密封在信封中）与投标文件同时递交，逾期递交不予接收，</w:t>
            </w:r>
            <w:r>
              <w:rPr>
                <w:rFonts w:hint="eastAsia" w:ascii="仿宋" w:hAnsi="仿宋" w:eastAsia="仿宋" w:cs="仿宋"/>
                <w:b/>
                <w:bCs/>
                <w:color w:val="auto"/>
                <w:sz w:val="24"/>
                <w:highlight w:val="none"/>
                <w:lang w:eastAsia="zh-CN"/>
              </w:rPr>
              <w:t>U盘由采购代理机构封存，不予退回。未提供视频或视频无法打开的，得0分。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三、商务部分（1</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3"/>
        <w:gridCol w:w="1202"/>
        <w:gridCol w:w="5776"/>
        <w:gridCol w:w="8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序号</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评审因素</w:t>
            </w:r>
          </w:p>
        </w:tc>
        <w:tc>
          <w:tcPr>
            <w:tcW w:w="3389"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评分标准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1</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bCs/>
                <w:color w:val="auto"/>
                <w:sz w:val="24"/>
                <w:szCs w:val="22"/>
                <w:highlight w:val="none"/>
              </w:rPr>
            </w:pPr>
            <w:r>
              <w:rPr>
                <w:rFonts w:hint="eastAsia" w:ascii="仿宋" w:hAnsi="仿宋" w:eastAsia="仿宋" w:cs="仿宋"/>
                <w:color w:val="auto"/>
                <w:sz w:val="24"/>
                <w:highlight w:val="none"/>
              </w:rPr>
              <w:t>符合性评审</w:t>
            </w:r>
          </w:p>
        </w:tc>
        <w:tc>
          <w:tcPr>
            <w:tcW w:w="3887" w:type="pct"/>
            <w:gridSpan w:val="2"/>
            <w:vAlign w:val="center"/>
          </w:tcPr>
          <w:p>
            <w:pPr>
              <w:pageBreakBefore w:val="0"/>
              <w:kinsoku/>
              <w:wordWrap/>
              <w:overflowPunct/>
              <w:topLinePunct w:val="0"/>
              <w:autoSpaceDE/>
              <w:autoSpaceDN/>
              <w:bidi w:val="0"/>
              <w:adjustRightInd/>
              <w:snapToGrid/>
              <w:spacing w:line="460" w:lineRule="exact"/>
              <w:rPr>
                <w:rFonts w:eastAsia="仿宋" w:cs="Times New Roman"/>
                <w:color w:val="auto"/>
                <w:sz w:val="24"/>
                <w:szCs w:val="22"/>
                <w:highlight w:val="none"/>
              </w:rPr>
            </w:pPr>
            <w:r>
              <w:rPr>
                <w:rFonts w:hint="eastAsia" w:eastAsia="仿宋" w:cs="Times New Roman"/>
                <w:color w:val="auto"/>
                <w:sz w:val="24"/>
                <w:szCs w:val="22"/>
                <w:highlight w:val="none"/>
              </w:rPr>
              <w:t>投标人必须完全满足招标文件“商务要求”</w:t>
            </w:r>
            <w:r>
              <w:rPr>
                <w:rFonts w:hint="eastAsia" w:eastAsia="仿宋" w:cs="Times New Roman"/>
                <w:color w:val="auto"/>
                <w:sz w:val="24"/>
                <w:szCs w:val="22"/>
                <w:highlight w:val="none"/>
                <w:lang w:val="en-US" w:eastAsia="zh-CN"/>
              </w:rPr>
              <w:t>所有</w:t>
            </w:r>
            <w:r>
              <w:rPr>
                <w:rFonts w:hint="eastAsia" w:eastAsia="仿宋" w:cs="Times New Roman"/>
                <w:color w:val="auto"/>
                <w:sz w:val="24"/>
                <w:szCs w:val="22"/>
                <w:highlight w:val="none"/>
              </w:rPr>
              <w:t>实质性条款，任意一项不满足作无效投标处理。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eastAsia="仿宋" w:cs="Times New Roman"/>
                <w:b/>
                <w:bCs/>
                <w:color w:val="auto"/>
                <w:sz w:val="24"/>
                <w:szCs w:val="22"/>
                <w:highlight w:val="none"/>
              </w:rPr>
              <w:t>评审依据：投标文件中提供的商务条款响应表。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2</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hint="eastAsia" w:eastAsia="仿宋"/>
                <w:color w:val="auto"/>
                <w:sz w:val="24"/>
                <w:szCs w:val="22"/>
                <w:highlight w:val="none"/>
                <w:lang w:eastAsia="zh-CN"/>
              </w:rPr>
            </w:pPr>
            <w:r>
              <w:rPr>
                <w:rFonts w:hint="eastAsia" w:eastAsia="仿宋"/>
                <w:color w:val="auto"/>
                <w:sz w:val="24"/>
                <w:szCs w:val="22"/>
                <w:highlight w:val="none"/>
                <w:lang w:eastAsia="zh-CN"/>
              </w:rPr>
              <w:t>生产制造履约能力</w:t>
            </w:r>
          </w:p>
        </w:tc>
        <w:tc>
          <w:tcPr>
            <w:tcW w:w="3389" w:type="pct"/>
            <w:vAlign w:val="center"/>
          </w:tcPr>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val="en-US" w:eastAsia="zh-CN"/>
              </w:rPr>
              <w:t>投标人提供所投产品制造商的证明材料（应加盖制造商公章）</w:t>
            </w:r>
            <w:r>
              <w:rPr>
                <w:rFonts w:hint="eastAsia" w:eastAsia="仿宋" w:cs="Times New Roman"/>
                <w:color w:val="auto"/>
                <w:sz w:val="24"/>
                <w:szCs w:val="22"/>
                <w:highlight w:val="none"/>
              </w:rPr>
              <w:t>对</w:t>
            </w:r>
            <w:r>
              <w:rPr>
                <w:rFonts w:hint="eastAsia" w:eastAsia="仿宋" w:cs="Times New Roman"/>
                <w:color w:val="auto"/>
                <w:sz w:val="24"/>
                <w:szCs w:val="22"/>
                <w:highlight w:val="none"/>
                <w:lang w:eastAsia="zh-CN"/>
              </w:rPr>
              <w:t>生产制造履约能力</w:t>
            </w:r>
            <w:r>
              <w:rPr>
                <w:rFonts w:hint="eastAsia" w:eastAsia="仿宋" w:cs="Times New Roman"/>
                <w:color w:val="auto"/>
                <w:sz w:val="24"/>
                <w:szCs w:val="22"/>
                <w:highlight w:val="none"/>
              </w:rPr>
              <w:t>进行评审，包含但不限于</w:t>
            </w:r>
            <w:r>
              <w:rPr>
                <w:rFonts w:hint="eastAsia" w:eastAsia="仿宋" w:cs="Times New Roman"/>
                <w:color w:val="auto"/>
                <w:sz w:val="24"/>
                <w:szCs w:val="22"/>
                <w:highlight w:val="none"/>
                <w:lang w:eastAsia="zh-CN"/>
              </w:rPr>
              <w:t>：</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eastAsia="zh-CN"/>
              </w:rPr>
              <w:t>①制造商生产经营情况简介；</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②</w:t>
            </w:r>
            <w:r>
              <w:rPr>
                <w:rFonts w:hint="eastAsia" w:eastAsia="仿宋" w:cs="Times New Roman"/>
                <w:color w:val="auto"/>
                <w:sz w:val="24"/>
                <w:szCs w:val="22"/>
                <w:highlight w:val="none"/>
                <w:lang w:eastAsia="zh-CN"/>
              </w:rPr>
              <w:t>生产工艺流程，主要包括生产制造流程图、生产步骤（应含生产车间环境及实际生产照片）等相关情况描述；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③产品检验流程，包括主要检验设备</w:t>
            </w:r>
            <w:r>
              <w:rPr>
                <w:rFonts w:hint="eastAsia" w:eastAsia="仿宋" w:cs="Times New Roman"/>
                <w:color w:val="auto"/>
                <w:sz w:val="24"/>
                <w:szCs w:val="22"/>
                <w:highlight w:val="none"/>
                <w:lang w:eastAsia="zh-CN"/>
              </w:rPr>
              <w:t>（应提供图片）</w:t>
            </w:r>
            <w:r>
              <w:rPr>
                <w:rFonts w:hint="eastAsia" w:eastAsia="仿宋" w:cs="Times New Roman"/>
                <w:color w:val="auto"/>
                <w:sz w:val="24"/>
                <w:szCs w:val="22"/>
                <w:highlight w:val="none"/>
              </w:rPr>
              <w:t>、检验步骤等相关情况描述；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④人员配备：相关专业技术</w:t>
            </w:r>
            <w:r>
              <w:rPr>
                <w:rFonts w:hint="eastAsia" w:eastAsia="仿宋" w:cs="Times New Roman"/>
                <w:color w:val="auto"/>
                <w:sz w:val="24"/>
                <w:szCs w:val="22"/>
                <w:highlight w:val="none"/>
                <w:lang w:eastAsia="zh-CN"/>
              </w:rPr>
              <w:t>职称</w:t>
            </w:r>
            <w:r>
              <w:rPr>
                <w:rFonts w:hint="eastAsia" w:eastAsia="仿宋" w:cs="Times New Roman"/>
                <w:color w:val="auto"/>
                <w:sz w:val="24"/>
                <w:szCs w:val="22"/>
                <w:highlight w:val="none"/>
              </w:rPr>
              <w:t>人员配置情况</w:t>
            </w:r>
            <w:r>
              <w:rPr>
                <w:rFonts w:hint="eastAsia" w:eastAsia="仿宋" w:cs="Times New Roman"/>
                <w:color w:val="auto"/>
                <w:sz w:val="24"/>
                <w:szCs w:val="22"/>
                <w:highlight w:val="none"/>
                <w:lang w:eastAsia="zh-CN"/>
              </w:rPr>
              <w:t>；</w:t>
            </w:r>
            <w:r>
              <w:rPr>
                <w:rFonts w:hint="eastAsia" w:eastAsia="仿宋" w:cs="Times New Roman"/>
                <w:color w:val="auto"/>
                <w:sz w:val="24"/>
                <w:szCs w:val="22"/>
                <w:highlight w:val="none"/>
              </w:rPr>
              <w:t>各原材料采购、生产、检验、仓储、运输等环节的人员配备情况；</w:t>
            </w:r>
          </w:p>
          <w:p>
            <w:pPr>
              <w:pageBreakBefore w:val="0"/>
              <w:kinsoku/>
              <w:wordWrap/>
              <w:overflowPunct/>
              <w:topLinePunct w:val="0"/>
              <w:autoSpaceDE/>
              <w:autoSpaceDN/>
              <w:bidi w:val="0"/>
              <w:adjustRightInd/>
              <w:snapToGrid/>
              <w:spacing w:line="460" w:lineRule="exact"/>
              <w:rPr>
                <w:rFonts w:hint="eastAsia" w:eastAsia="仿宋" w:cs="Times New Roman"/>
                <w:b/>
                <w:bCs/>
                <w:color w:val="auto"/>
                <w:sz w:val="24"/>
                <w:szCs w:val="22"/>
                <w:highlight w:val="none"/>
              </w:rPr>
            </w:pPr>
            <w:r>
              <w:rPr>
                <w:rFonts w:hint="eastAsia" w:eastAsia="仿宋" w:cs="Times New Roman"/>
                <w:b/>
                <w:bCs/>
                <w:color w:val="auto"/>
                <w:sz w:val="24"/>
                <w:szCs w:val="22"/>
                <w:highlight w:val="none"/>
              </w:rPr>
              <w:t>评审依据：</w:t>
            </w:r>
            <w:r>
              <w:rPr>
                <w:rFonts w:hint="eastAsia" w:eastAsia="仿宋" w:cs="Times New Roman"/>
                <w:b/>
                <w:bCs/>
                <w:color w:val="auto"/>
                <w:sz w:val="24"/>
                <w:szCs w:val="22"/>
                <w:highlight w:val="none"/>
                <w:lang w:val="en-US" w:eastAsia="zh-CN"/>
              </w:rPr>
              <w:t>根据</w:t>
            </w:r>
            <w:r>
              <w:rPr>
                <w:rFonts w:hint="eastAsia" w:eastAsia="仿宋" w:cs="Times New Roman"/>
                <w:b/>
                <w:bCs/>
                <w:color w:val="auto"/>
                <w:sz w:val="24"/>
                <w:szCs w:val="22"/>
                <w:highlight w:val="none"/>
              </w:rPr>
              <w:t>投标人提</w:t>
            </w:r>
            <w:r>
              <w:rPr>
                <w:rFonts w:hint="eastAsia" w:eastAsia="仿宋" w:cs="Times New Roman"/>
                <w:b/>
                <w:bCs/>
                <w:color w:val="auto"/>
                <w:sz w:val="24"/>
                <w:szCs w:val="22"/>
                <w:highlight w:val="none"/>
                <w:lang w:val="en-US" w:eastAsia="zh-CN"/>
              </w:rPr>
              <w:t>供的生产制造履约能力方案内容完整性、组织性、关联性和可操作性进行评审</w:t>
            </w:r>
            <w:r>
              <w:rPr>
                <w:rFonts w:hint="eastAsia" w:eastAsia="仿宋" w:cs="Times New Roman"/>
                <w:b/>
                <w:bCs/>
                <w:color w:val="auto"/>
                <w:sz w:val="24"/>
                <w:szCs w:val="22"/>
                <w:highlight w:val="none"/>
              </w:rPr>
              <w:t>。</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1、所投</w:t>
            </w:r>
            <w:r>
              <w:rPr>
                <w:rFonts w:hint="eastAsia" w:eastAsia="仿宋" w:cs="Times New Roman"/>
                <w:b/>
                <w:bCs/>
                <w:color w:val="auto"/>
                <w:sz w:val="24"/>
                <w:szCs w:val="22"/>
                <w:highlight w:val="none"/>
                <w:lang w:val="en-US" w:eastAsia="zh-CN"/>
              </w:rPr>
              <w:t>产品</w:t>
            </w:r>
            <w:r>
              <w:rPr>
                <w:rFonts w:hint="eastAsia" w:ascii="仿宋" w:hAnsi="仿宋" w:eastAsia="仿宋" w:cs="仿宋"/>
                <w:b/>
                <w:bCs/>
                <w:color w:val="auto"/>
                <w:sz w:val="24"/>
                <w:szCs w:val="24"/>
                <w:highlight w:val="none"/>
                <w:lang w:val="en-US" w:eastAsia="zh-CN"/>
              </w:rPr>
              <w:t>制造商具备较强自主研发能力及先进的生产工艺，生产车间环境及生产线先进规范，生产步骤完整周详，技术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检验设备配置齐全、检验步骤严密无纰漏，生产制造履约能力</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分；</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2、所投</w:t>
            </w:r>
            <w:r>
              <w:rPr>
                <w:rFonts w:hint="eastAsia" w:eastAsia="仿宋" w:cs="Times New Roman"/>
                <w:b/>
                <w:bCs/>
                <w:color w:val="auto"/>
                <w:sz w:val="24"/>
                <w:szCs w:val="22"/>
                <w:highlight w:val="none"/>
                <w:lang w:val="en-US" w:eastAsia="zh-CN"/>
              </w:rPr>
              <w:t>产品</w:t>
            </w:r>
            <w:r>
              <w:rPr>
                <w:rFonts w:hint="eastAsia" w:ascii="仿宋" w:hAnsi="仿宋" w:eastAsia="仿宋" w:cs="仿宋"/>
                <w:b/>
                <w:bCs/>
                <w:color w:val="auto"/>
                <w:sz w:val="24"/>
                <w:szCs w:val="24"/>
                <w:highlight w:val="none"/>
                <w:lang w:val="en-US" w:eastAsia="zh-CN"/>
              </w:rPr>
              <w:t>制造商有自主研发能力和生产工艺较完整，生产车间环境及生产线常规，生产步骤较完整周详，技术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eastAsia="zh-CN"/>
              </w:rPr>
              <w:t>相对</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检验设备配置较齐全、检验步骤相对完备，生产制造履约能力</w:t>
            </w:r>
            <w:r>
              <w:rPr>
                <w:rFonts w:hint="eastAsia" w:ascii="仿宋" w:hAnsi="仿宋" w:eastAsia="仿宋" w:cs="仿宋"/>
                <w:b/>
                <w:bCs/>
                <w:color w:val="auto"/>
                <w:sz w:val="24"/>
                <w:szCs w:val="24"/>
                <w:highlight w:val="none"/>
                <w:lang w:eastAsia="zh-CN"/>
              </w:rPr>
              <w:t>较</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3、所投</w:t>
            </w:r>
            <w:r>
              <w:rPr>
                <w:rFonts w:hint="eastAsia" w:eastAsia="仿宋" w:cs="Times New Roman"/>
                <w:b/>
                <w:bCs/>
                <w:color w:val="auto"/>
                <w:sz w:val="24"/>
                <w:szCs w:val="22"/>
                <w:highlight w:val="none"/>
                <w:lang w:val="en-US" w:eastAsia="zh-CN"/>
              </w:rPr>
              <w:t>产品</w:t>
            </w:r>
            <w:r>
              <w:rPr>
                <w:rFonts w:hint="eastAsia" w:ascii="仿宋" w:hAnsi="仿宋" w:eastAsia="仿宋" w:cs="仿宋"/>
                <w:b/>
                <w:bCs/>
                <w:color w:val="auto"/>
                <w:sz w:val="24"/>
                <w:szCs w:val="24"/>
                <w:highlight w:val="none"/>
                <w:lang w:val="en-US" w:eastAsia="zh-CN"/>
              </w:rPr>
              <w:t>制造商有自主研发能力和生产工艺薄弱，生产车间环境及生产线粗糙落后，生产步骤简单，技术</w:t>
            </w:r>
            <w:r>
              <w:rPr>
                <w:rFonts w:hint="eastAsia" w:ascii="仿宋" w:hAnsi="仿宋" w:eastAsia="仿宋" w:cs="仿宋"/>
                <w:b/>
                <w:bCs/>
                <w:color w:val="auto"/>
                <w:sz w:val="24"/>
                <w:szCs w:val="24"/>
                <w:highlight w:val="none"/>
              </w:rPr>
              <w:t>人员</w:t>
            </w:r>
            <w:r>
              <w:rPr>
                <w:rFonts w:hint="eastAsia" w:ascii="仿宋" w:hAnsi="仿宋" w:eastAsia="仿宋" w:cs="仿宋"/>
                <w:b/>
                <w:bCs/>
                <w:color w:val="auto"/>
                <w:sz w:val="24"/>
                <w:szCs w:val="24"/>
                <w:highlight w:val="none"/>
                <w:lang w:eastAsia="zh-CN"/>
              </w:rPr>
              <w:t>综合实力一般，</w:t>
            </w:r>
            <w:r>
              <w:rPr>
                <w:rFonts w:hint="eastAsia" w:ascii="仿宋" w:hAnsi="仿宋" w:eastAsia="仿宋" w:cs="仿宋"/>
                <w:b/>
                <w:bCs/>
                <w:color w:val="auto"/>
                <w:sz w:val="24"/>
                <w:szCs w:val="24"/>
                <w:highlight w:val="none"/>
                <w:lang w:val="en-US" w:eastAsia="zh-CN"/>
              </w:rPr>
              <w:t>检验设备配置简单落后，检验步骤普通，生产制造履约能力</w:t>
            </w:r>
            <w:r>
              <w:rPr>
                <w:rFonts w:hint="eastAsia" w:ascii="仿宋" w:hAnsi="仿宋" w:eastAsia="仿宋" w:cs="仿宋"/>
                <w:b/>
                <w:bCs/>
                <w:color w:val="auto"/>
                <w:sz w:val="24"/>
                <w:szCs w:val="24"/>
                <w:highlight w:val="none"/>
                <w:lang w:eastAsia="zh-CN"/>
              </w:rPr>
              <w:t>弱</w:t>
            </w:r>
            <w:r>
              <w:rPr>
                <w:rFonts w:hint="eastAsia" w:ascii="仿宋" w:hAnsi="仿宋" w:eastAsia="仿宋" w:cs="仿宋"/>
                <w:b/>
                <w:bCs/>
                <w:color w:val="auto"/>
                <w:sz w:val="24"/>
                <w:szCs w:val="24"/>
                <w:highlight w:val="none"/>
              </w:rPr>
              <w:t>的得</w:t>
            </w: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未提供证明材料或证明材料有缺项的不得分。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3</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质量保证和保修</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eastAsia="仿宋"/>
                <w:color w:val="auto"/>
                <w:sz w:val="24"/>
                <w:szCs w:val="22"/>
                <w:highlight w:val="none"/>
              </w:rPr>
            </w:pPr>
            <w:r>
              <w:rPr>
                <w:rFonts w:eastAsia="仿宋"/>
                <w:color w:val="auto"/>
                <w:sz w:val="24"/>
                <w:szCs w:val="22"/>
                <w:highlight w:val="none"/>
              </w:rPr>
              <w:t>在招标文件商务要求中“质保期”和“保修期”要求基础上，承诺“质保期”和“保修期”均每延长一年的加2分，最多加4分。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eastAsia="仿宋"/>
                <w:b/>
                <w:color w:val="auto"/>
                <w:sz w:val="24"/>
                <w:szCs w:val="22"/>
                <w:highlight w:val="none"/>
              </w:rPr>
              <w:t>评审依据：投标文件中提供“质保期”和“保修期”均延长的承诺函原件。</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类似销售</w:t>
            </w:r>
          </w:p>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案例</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投标人自</w:t>
            </w:r>
            <w:r>
              <w:rPr>
                <w:rFonts w:eastAsia="仿宋" w:cs="Times New Roman"/>
                <w:color w:val="auto"/>
                <w:sz w:val="24"/>
                <w:szCs w:val="22"/>
                <w:highlight w:val="none"/>
              </w:rPr>
              <w:t>20</w:t>
            </w:r>
            <w:r>
              <w:rPr>
                <w:rFonts w:hint="eastAsia" w:eastAsia="仿宋" w:cs="Times New Roman"/>
                <w:color w:val="auto"/>
                <w:sz w:val="24"/>
                <w:szCs w:val="22"/>
                <w:highlight w:val="none"/>
              </w:rPr>
              <w:t>2</w:t>
            </w:r>
            <w:r>
              <w:rPr>
                <w:rFonts w:hint="eastAsia" w:eastAsia="仿宋" w:cs="Times New Roman"/>
                <w:color w:val="auto"/>
                <w:sz w:val="24"/>
                <w:szCs w:val="22"/>
                <w:highlight w:val="none"/>
                <w:lang w:val="en-US" w:eastAsia="zh-CN"/>
              </w:rPr>
              <w:t>1</w:t>
            </w:r>
            <w:r>
              <w:rPr>
                <w:rFonts w:hint="eastAsia" w:eastAsia="仿宋" w:cs="Times New Roman"/>
                <w:color w:val="auto"/>
                <w:sz w:val="24"/>
                <w:szCs w:val="22"/>
                <w:highlight w:val="none"/>
              </w:rPr>
              <w:t>年</w:t>
            </w:r>
            <w:r>
              <w:rPr>
                <w:rFonts w:eastAsia="仿宋" w:cs="Times New Roman"/>
                <w:color w:val="auto"/>
                <w:sz w:val="24"/>
                <w:szCs w:val="22"/>
                <w:highlight w:val="none"/>
              </w:rPr>
              <w:t>1月1日至今（以签订合同时间为准）具有类似产品销售案例，每提供1份销售案例加</w:t>
            </w:r>
            <w:r>
              <w:rPr>
                <w:rFonts w:hint="eastAsia" w:eastAsia="仿宋" w:cs="Times New Roman"/>
                <w:color w:val="auto"/>
                <w:sz w:val="24"/>
                <w:szCs w:val="22"/>
                <w:highlight w:val="none"/>
                <w:lang w:val="en-US" w:eastAsia="zh-CN"/>
              </w:rPr>
              <w:t>2</w:t>
            </w:r>
            <w:r>
              <w:rPr>
                <w:rFonts w:hint="eastAsia" w:eastAsia="仿宋" w:cs="Times New Roman"/>
                <w:color w:val="auto"/>
                <w:sz w:val="24"/>
                <w:szCs w:val="22"/>
                <w:highlight w:val="none"/>
              </w:rPr>
              <w:t>分，本项最多加</w:t>
            </w:r>
            <w:r>
              <w:rPr>
                <w:rFonts w:hint="eastAsia" w:eastAsia="仿宋" w:cs="Times New Roman"/>
                <w:color w:val="auto"/>
                <w:sz w:val="24"/>
                <w:szCs w:val="22"/>
                <w:highlight w:val="none"/>
                <w:lang w:val="en-US" w:eastAsia="zh-CN"/>
              </w:rPr>
              <w:t>6</w:t>
            </w:r>
            <w:r>
              <w:rPr>
                <w:rFonts w:hint="eastAsia" w:eastAsia="仿宋" w:cs="Times New Roman"/>
                <w:color w:val="auto"/>
                <w:sz w:val="24"/>
                <w:szCs w:val="22"/>
                <w:highlight w:val="none"/>
              </w:rPr>
              <w:t>分。</w:t>
            </w:r>
          </w:p>
          <w:p>
            <w:pPr>
              <w:pageBreakBefore w:val="0"/>
              <w:kinsoku/>
              <w:wordWrap/>
              <w:overflowPunct/>
              <w:topLinePunct w:val="0"/>
              <w:autoSpaceDE/>
              <w:autoSpaceDN/>
              <w:bidi w:val="0"/>
              <w:adjustRightInd/>
              <w:snapToGrid/>
              <w:spacing w:line="460" w:lineRule="exact"/>
              <w:jc w:val="left"/>
              <w:rPr>
                <w:rFonts w:eastAsia="仿宋"/>
                <w:b/>
                <w:bCs/>
                <w:color w:val="auto"/>
                <w:sz w:val="24"/>
                <w:szCs w:val="22"/>
                <w:highlight w:val="none"/>
              </w:rPr>
            </w:pPr>
            <w:r>
              <w:rPr>
                <w:rFonts w:hint="eastAsia" w:eastAsia="仿宋" w:cs="Times New Roman"/>
                <w:b/>
                <w:bCs/>
                <w:color w:val="auto"/>
                <w:sz w:val="24"/>
                <w:szCs w:val="22"/>
                <w:highlight w:val="none"/>
              </w:rPr>
              <w:t>评审依据：①投标文件中提供销售案例明细表（销售案例明细表包含</w:t>
            </w:r>
            <w:r>
              <w:rPr>
                <w:rFonts w:eastAsia="仿宋" w:cs="Times New Roman"/>
                <w:b/>
                <w:bCs/>
                <w:color w:val="auto"/>
                <w:sz w:val="24"/>
                <w:szCs w:val="22"/>
                <w:highlight w:val="none"/>
              </w:rPr>
              <w:t>:发布网站名称、网页链接地址、采购项目名称、采购单位名称和联系方式、采购代理机构名称和联系方式）；</w:t>
            </w:r>
            <w:r>
              <w:rPr>
                <w:rFonts w:hint="eastAsia" w:eastAsia="仿宋" w:cs="Times New Roman"/>
                <w:b/>
                <w:bCs/>
                <w:color w:val="auto"/>
                <w:sz w:val="24"/>
                <w:szCs w:val="22"/>
                <w:highlight w:val="none"/>
              </w:rPr>
              <w:t>②</w:t>
            </w:r>
            <w:r>
              <w:rPr>
                <w:rFonts w:hint="eastAsia" w:eastAsia="仿宋" w:cs="Times New Roman"/>
                <w:b/>
                <w:bCs/>
                <w:color w:val="auto"/>
                <w:sz w:val="24"/>
                <w:szCs w:val="22"/>
                <w:highlight w:val="none"/>
                <w:lang w:eastAsia="zh-CN"/>
              </w:rPr>
              <w:t>中标（成交）公告截图（打印网页）、中标通知书复印件和合同复印件（中标通知书或合同复印件应体现类似销售案例的货物），合同签订方必须是投标人本身。</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hint="eastAsia" w:eastAsia="仿宋"/>
                <w:color w:val="auto"/>
                <w:sz w:val="24"/>
                <w:szCs w:val="22"/>
                <w:highlight w:val="none"/>
                <w:lang w:val="en-US" w:eastAsia="zh-CN"/>
              </w:rPr>
              <w:t>6</w:t>
            </w:r>
            <w:r>
              <w:rPr>
                <w:rFonts w:eastAsia="仿宋"/>
                <w:color w:val="auto"/>
                <w:sz w:val="24"/>
                <w:szCs w:val="22"/>
                <w:highlight w:val="none"/>
              </w:rPr>
              <w:t>分</w:t>
            </w:r>
          </w:p>
        </w:tc>
      </w:tr>
    </w:tbl>
    <w:p>
      <w:pPr>
        <w:pageBreakBefore w:val="0"/>
        <w:kinsoku/>
        <w:wordWrap/>
        <w:overflowPunct/>
        <w:topLinePunct w:val="0"/>
        <w:autoSpaceDE/>
        <w:autoSpaceDN/>
        <w:bidi w:val="0"/>
        <w:adjustRightInd/>
        <w:snapToGrid/>
        <w:spacing w:line="460" w:lineRule="exact"/>
        <w:jc w:val="left"/>
        <w:outlineLvl w:val="1"/>
        <w:rPr>
          <w:rFonts w:hint="eastAsia" w:ascii="仿宋" w:hAnsi="仿宋" w:eastAsia="仿宋" w:cs="Times New Roman"/>
          <w:b/>
          <w:bCs/>
          <w:color w:val="auto"/>
          <w:sz w:val="28"/>
          <w:szCs w:val="28"/>
          <w:highlight w:val="none"/>
          <w:lang w:eastAsia="zh-CN"/>
        </w:rPr>
      </w:pPr>
      <w:r>
        <w:rPr>
          <w:color w:val="auto"/>
          <w:highlight w:val="none"/>
        </w:rPr>
        <w:br w:type="page"/>
      </w:r>
      <w:bookmarkStart w:id="660" w:name="_Toc301"/>
      <w:bookmarkStart w:id="661" w:name="_Toc28092"/>
      <w:bookmarkStart w:id="662" w:name="_Toc7960"/>
      <w:bookmarkStart w:id="663" w:name="_Toc32344"/>
      <w:r>
        <w:rPr>
          <w:rFonts w:hint="eastAsia" w:ascii="仿宋" w:hAnsi="仿宋" w:eastAsia="仿宋" w:cs="Times New Roman"/>
          <w:b/>
          <w:bCs/>
          <w:color w:val="auto"/>
          <w:sz w:val="28"/>
          <w:szCs w:val="28"/>
          <w:highlight w:val="none"/>
          <w:lang w:val="en-US" w:eastAsia="zh-CN"/>
        </w:rPr>
        <w:t>22包</w:t>
      </w:r>
      <w:r>
        <w:rPr>
          <w:rFonts w:hint="eastAsia" w:ascii="仿宋" w:hAnsi="仿宋" w:eastAsia="仿宋" w:cs="Times New Roman"/>
          <w:b/>
          <w:bCs/>
          <w:color w:val="auto"/>
          <w:sz w:val="28"/>
          <w:szCs w:val="28"/>
          <w:highlight w:val="none"/>
        </w:rPr>
        <w:t>：</w:t>
      </w:r>
      <w:r>
        <w:rPr>
          <w:rFonts w:hint="eastAsia" w:ascii="仿宋" w:hAnsi="仿宋" w:eastAsia="仿宋" w:cs="Times New Roman"/>
          <w:b/>
          <w:bCs/>
          <w:color w:val="auto"/>
          <w:sz w:val="28"/>
          <w:szCs w:val="28"/>
          <w:highlight w:val="none"/>
          <w:lang w:val="en-US" w:eastAsia="zh-CN"/>
        </w:rPr>
        <w:t>等离子切割机【核心产品】、氧炔气焊切割设备</w:t>
      </w:r>
      <w:bookmarkEnd w:id="660"/>
      <w:bookmarkEnd w:id="661"/>
      <w:bookmarkEnd w:id="662"/>
      <w:bookmarkEnd w:id="663"/>
    </w:p>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hint="eastAsia" w:ascii="仿宋" w:hAnsi="仿宋" w:eastAsia="仿宋"/>
          <w:b/>
          <w:color w:val="auto"/>
          <w:sz w:val="24"/>
          <w:highlight w:val="none"/>
        </w:rPr>
        <w:t>一、价格部分（</w:t>
      </w:r>
      <w:r>
        <w:rPr>
          <w:rFonts w:ascii="仿宋" w:hAnsi="仿宋" w:eastAsia="仿宋"/>
          <w:b/>
          <w:color w:val="auto"/>
          <w:sz w:val="24"/>
          <w:highlight w:val="none"/>
        </w:rPr>
        <w:t>30分）</w:t>
      </w:r>
    </w:p>
    <w:tbl>
      <w:tblPr>
        <w:tblStyle w:val="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1"/>
        <w:gridCol w:w="1449"/>
        <w:gridCol w:w="5672"/>
        <w:gridCol w:w="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评审因素</w:t>
            </w:r>
          </w:p>
        </w:tc>
        <w:tc>
          <w:tcPr>
            <w:tcW w:w="3327" w:type="pct"/>
            <w:vAlign w:val="center"/>
          </w:tcPr>
          <w:p>
            <w:pPr>
              <w:pageBreakBefore w:val="0"/>
              <w:kinsoku/>
              <w:wordWrap/>
              <w:overflowPunct/>
              <w:topLinePunct w:val="0"/>
              <w:autoSpaceDE/>
              <w:autoSpaceDN/>
              <w:bidi w:val="0"/>
              <w:adjustRightInd/>
              <w:snapToGrid/>
              <w:spacing w:line="460" w:lineRule="exact"/>
              <w:jc w:val="center"/>
              <w:textAlignment w:val="center"/>
              <w:rPr>
                <w:rFonts w:ascii="仿宋" w:hAnsi="仿宋" w:eastAsia="仿宋" w:cs="仿宋"/>
                <w:b/>
                <w:color w:val="auto"/>
                <w:sz w:val="24"/>
                <w:highlight w:val="none"/>
              </w:rPr>
            </w:pPr>
            <w:r>
              <w:rPr>
                <w:rFonts w:hint="eastAsia" w:ascii="仿宋" w:hAnsi="仿宋" w:eastAsia="仿宋" w:cs="仿宋"/>
                <w:b/>
                <w:bCs/>
                <w:color w:val="auto"/>
                <w:sz w:val="24"/>
                <w:highlight w:val="none"/>
              </w:rPr>
              <w:t>评分标准</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价格分</w:t>
            </w:r>
          </w:p>
        </w:tc>
        <w:tc>
          <w:tcPr>
            <w:tcW w:w="3327" w:type="pct"/>
            <w:vAlign w:val="center"/>
          </w:tcPr>
          <w:p>
            <w:pPr>
              <w:pageBreakBefore w:val="0"/>
              <w:kinsoku/>
              <w:wordWrap/>
              <w:overflowPunct/>
              <w:topLinePunct w:val="0"/>
              <w:autoSpaceDE/>
              <w:autoSpaceDN/>
              <w:bidi w:val="0"/>
              <w:adjustRightInd/>
              <w:snapToGrid/>
              <w:spacing w:line="460" w:lineRule="exact"/>
              <w:jc w:val="left"/>
              <w:textAlignment w:val="center"/>
              <w:rPr>
                <w:rFonts w:ascii="仿宋" w:hAnsi="仿宋" w:eastAsia="仿宋" w:cs="仿宋"/>
                <w:color w:val="auto"/>
                <w:sz w:val="24"/>
                <w:highlight w:val="none"/>
              </w:rPr>
            </w:pPr>
            <w:r>
              <w:rPr>
                <w:rFonts w:hint="eastAsia" w:ascii="仿宋" w:hAnsi="仿宋" w:eastAsia="仿宋" w:cs="仿宋"/>
                <w:color w:val="auto"/>
                <w:sz w:val="24"/>
                <w:highlight w:val="none"/>
              </w:rPr>
              <w:t>根据综合评分法，满足招标文件要求且投标价格最低的投标报价为评标基准价，投标报价得分</w:t>
            </w:r>
            <w:r>
              <w:rPr>
                <w:rFonts w:ascii="仿宋" w:hAnsi="仿宋" w:eastAsia="仿宋" w:cs="仿宋"/>
                <w:color w:val="auto"/>
                <w:sz w:val="24"/>
                <w:highlight w:val="none"/>
              </w:rPr>
              <w:t>=（评标基准价／投标报价）</w:t>
            </w:r>
            <w:r>
              <w:rPr>
                <w:rFonts w:hint="eastAsia" w:ascii="仿宋" w:hAnsi="仿宋" w:eastAsia="仿宋" w:cs="仿宋"/>
                <w:color w:val="auto"/>
                <w:sz w:val="24"/>
                <w:highlight w:val="none"/>
              </w:rPr>
              <w:t>×</w:t>
            </w:r>
            <w:r>
              <w:rPr>
                <w:rFonts w:ascii="仿宋" w:hAnsi="仿宋" w:eastAsia="仿宋" w:cs="仿宋"/>
                <w:color w:val="auto"/>
                <w:sz w:val="24"/>
                <w:highlight w:val="none"/>
              </w:rPr>
              <w:t>30%×100，计算分数时四舍五入取小数点后两位。</w:t>
            </w:r>
          </w:p>
          <w:p>
            <w:pPr>
              <w:pageBreakBefore w:val="0"/>
              <w:kinsoku/>
              <w:wordWrap/>
              <w:overflowPunct/>
              <w:topLinePunct w:val="0"/>
              <w:autoSpaceDE/>
              <w:autoSpaceDN/>
              <w:bidi w:val="0"/>
              <w:adjustRightInd/>
              <w:snapToGrid/>
              <w:spacing w:line="460" w:lineRule="exact"/>
              <w:ind w:firstLine="482" w:firstLineChars="200"/>
              <w:jc w:val="left"/>
              <w:textAlignment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注：</w:t>
            </w:r>
            <w:r>
              <w:rPr>
                <w:rFonts w:ascii="仿宋" w:hAnsi="仿宋" w:eastAsia="仿宋" w:cs="仿宋"/>
                <w:b/>
                <w:bCs/>
                <w:color w:val="auto"/>
                <w:sz w:val="24"/>
                <w:highlight w:val="none"/>
              </w:rPr>
              <w:t>小、微型企业或残疾人福利性单位产品或监狱产品的价格给予10%的扣除，用扣除后的价格参与评审。但残疾人福利性单位本身属于小型、微型企业的，不重复享受政策。</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30分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二、技术部分（5</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8"/>
        <w:gridCol w:w="691"/>
        <w:gridCol w:w="1056"/>
        <w:gridCol w:w="5433"/>
        <w:gridCol w:w="7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28"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1025" w:type="pct"/>
            <w:gridSpan w:val="2"/>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3188"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评分标准</w:t>
            </w:r>
          </w:p>
        </w:tc>
        <w:tc>
          <w:tcPr>
            <w:tcW w:w="457"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328"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025"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技术参数及要求</w:t>
            </w:r>
          </w:p>
        </w:tc>
        <w:tc>
          <w:tcPr>
            <w:tcW w:w="3188" w:type="pct"/>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一、重大负偏离评审依据：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1、带★条款的响应，不满足招标文件要求的，或有缺项、漏项的，视为重大负偏离；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2、一般参数和带“▲”参数共有四项及以上（含本数）的负偏离，视为重大负偏离；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3、所投产品一般参数或带“▲”参数有一项低于招标文件要求，该项视为负偏离；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4、所投产品一般参数或带“▲”参数有一项缺项、漏项的，该项视为负偏离。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注：“一般参数”为非标“★”号参数和非标“▲”号参数。</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①投标文件中提供的技术条款响应表；</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②所投产品技术参数完全满足招标文件要求得</w:t>
            </w:r>
            <w:r>
              <w:rPr>
                <w:rFonts w:hint="eastAsia" w:ascii="仿宋" w:hAnsi="仿宋" w:eastAsia="仿宋" w:cs="仿宋"/>
                <w:b/>
                <w:bCs/>
                <w:color w:val="auto"/>
                <w:sz w:val="24"/>
                <w:highlight w:val="none"/>
                <w:lang w:val="en-US" w:eastAsia="zh-CN"/>
              </w:rPr>
              <w:t>33</w:t>
            </w:r>
            <w:r>
              <w:rPr>
                <w:rFonts w:hint="eastAsia" w:ascii="仿宋" w:hAnsi="仿宋" w:eastAsia="仿宋" w:cs="仿宋"/>
                <w:b/>
                <w:bCs/>
                <w:color w:val="auto"/>
                <w:sz w:val="24"/>
                <w:highlight w:val="none"/>
              </w:rPr>
              <w:t>分；重大负偏离则视为无效投标；一般参数或带“▲”参数每有一项负偏离减5分，最多减15分，四项或以上负偏离视为无效投标。</w:t>
            </w:r>
          </w:p>
        </w:tc>
        <w:tc>
          <w:tcPr>
            <w:tcW w:w="457" w:type="pct"/>
            <w:vAlign w:val="center"/>
          </w:tcPr>
          <w:p>
            <w:pPr>
              <w:pageBreakBefore w:val="0"/>
              <w:kinsoku/>
              <w:wordWrap/>
              <w:overflowPunct/>
              <w:topLinePunct w:val="0"/>
              <w:autoSpaceDE/>
              <w:autoSpaceDN/>
              <w:bidi w:val="0"/>
              <w:adjustRightInd/>
              <w:snapToGrid/>
              <w:spacing w:line="460" w:lineRule="exact"/>
              <w:jc w:val="center"/>
              <w:textAlignment w:val="center"/>
              <w:rPr>
                <w:rFonts w:hint="default"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33分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28"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406" w:type="pct"/>
            <w:vMerge w:val="restar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等离子切割机</w:t>
            </w:r>
          </w:p>
        </w:tc>
        <w:tc>
          <w:tcPr>
            <w:tcW w:w="619"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▲3.2重量：≤7kg</w:t>
            </w:r>
          </w:p>
        </w:tc>
        <w:tc>
          <w:tcPr>
            <w:tcW w:w="3188"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的重量</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szCs w:val="24"/>
                <w:highlight w:val="none"/>
                <w:lang w:val="en-US" w:eastAsia="zh-CN"/>
              </w:rPr>
              <w:t>重量</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val="en-US" w:eastAsia="zh-CN"/>
              </w:rPr>
              <w:t>重量</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val="en-US" w:eastAsia="zh-CN"/>
              </w:rPr>
              <w:t>重量</w:t>
            </w:r>
            <w:r>
              <w:rPr>
                <w:rFonts w:hint="eastAsia" w:ascii="仿宋" w:hAnsi="仿宋" w:eastAsia="仿宋" w:cs="仿宋"/>
                <w:b/>
                <w:bCs/>
                <w:color w:val="auto"/>
                <w:sz w:val="24"/>
                <w:szCs w:val="24"/>
                <w:highlight w:val="none"/>
              </w:rPr>
              <w:t>最</w:t>
            </w:r>
            <w:r>
              <w:rPr>
                <w:rFonts w:hint="eastAsia" w:ascii="仿宋" w:hAnsi="仿宋" w:eastAsia="仿宋" w:cs="仿宋"/>
                <w:b/>
                <w:bCs/>
                <w:color w:val="auto"/>
                <w:sz w:val="24"/>
                <w:szCs w:val="24"/>
                <w:highlight w:val="none"/>
                <w:lang w:val="en-US" w:eastAsia="zh-CN"/>
              </w:rPr>
              <w:t>小</w:t>
            </w:r>
            <w:r>
              <w:rPr>
                <w:rFonts w:hint="eastAsia" w:ascii="仿宋" w:hAnsi="仿宋" w:eastAsia="仿宋" w:cs="仿宋"/>
                <w:b/>
                <w:bCs/>
                <w:color w:val="auto"/>
                <w:sz w:val="24"/>
                <w:szCs w:val="24"/>
                <w:highlight w:val="none"/>
              </w:rPr>
              <w:t>，次优表示</w:t>
            </w:r>
            <w:r>
              <w:rPr>
                <w:rFonts w:hint="eastAsia" w:ascii="仿宋" w:hAnsi="仿宋" w:eastAsia="仿宋" w:cs="仿宋"/>
                <w:b/>
                <w:bCs/>
                <w:color w:val="auto"/>
                <w:sz w:val="24"/>
                <w:szCs w:val="24"/>
                <w:highlight w:val="none"/>
                <w:lang w:val="en-US" w:eastAsia="zh-CN"/>
              </w:rPr>
              <w:t>重量</w:t>
            </w:r>
            <w:r>
              <w:rPr>
                <w:rFonts w:hint="eastAsia" w:ascii="仿宋" w:hAnsi="仿宋" w:eastAsia="仿宋" w:cs="仿宋"/>
                <w:b/>
                <w:bCs/>
                <w:color w:val="auto"/>
                <w:sz w:val="24"/>
                <w:szCs w:val="24"/>
                <w:highlight w:val="none"/>
              </w:rPr>
              <w:t>仅次于最</w:t>
            </w:r>
            <w:r>
              <w:rPr>
                <w:rFonts w:hint="eastAsia" w:ascii="仿宋" w:hAnsi="仿宋" w:eastAsia="仿宋" w:cs="仿宋"/>
                <w:b/>
                <w:bCs/>
                <w:color w:val="auto"/>
                <w:sz w:val="24"/>
                <w:szCs w:val="24"/>
                <w:highlight w:val="none"/>
                <w:lang w:val="en-US" w:eastAsia="zh-CN"/>
              </w:rPr>
              <w:t>小</w:t>
            </w:r>
            <w:r>
              <w:rPr>
                <w:rFonts w:hint="eastAsia" w:ascii="仿宋" w:hAnsi="仿宋" w:eastAsia="仿宋" w:cs="仿宋"/>
                <w:b/>
                <w:bCs/>
                <w:color w:val="auto"/>
                <w:sz w:val="24"/>
                <w:szCs w:val="24"/>
                <w:highlight w:val="none"/>
              </w:rPr>
              <w:t>值。</w:t>
            </w:r>
          </w:p>
        </w:tc>
        <w:tc>
          <w:tcPr>
            <w:tcW w:w="457"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2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406" w:type="pct"/>
            <w:vMerge w:val="continue"/>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p>
        </w:tc>
        <w:tc>
          <w:tcPr>
            <w:tcW w:w="619"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▲3.3连续工作时间：≥30min/1次加水</w:t>
            </w:r>
          </w:p>
        </w:tc>
        <w:tc>
          <w:tcPr>
            <w:tcW w:w="3188"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仿宋"/>
                <w:color w:val="auto"/>
                <w:sz w:val="24"/>
                <w:szCs w:val="24"/>
                <w:highlight w:val="none"/>
                <w:lang w:val="en-US" w:eastAsia="zh-CN"/>
              </w:rPr>
              <w:t>产品的</w:t>
            </w:r>
            <w:r>
              <w:rPr>
                <w:rFonts w:hint="eastAsia" w:ascii="仿宋" w:hAnsi="仿宋" w:eastAsia="仿宋" w:cs="仿宋"/>
                <w:color w:val="auto"/>
                <w:sz w:val="24"/>
                <w:szCs w:val="24"/>
                <w:highlight w:val="none"/>
                <w:lang w:eastAsia="zh-CN"/>
              </w:rPr>
              <w:t>连续工作时间</w:t>
            </w:r>
            <w:r>
              <w:rPr>
                <w:rFonts w:hint="eastAsia" w:ascii="仿宋" w:hAnsi="仿宋" w:eastAsia="仿宋" w:cs="仿宋"/>
                <w:color w:val="auto"/>
                <w:sz w:val="24"/>
                <w:szCs w:val="24"/>
                <w:highlight w:val="none"/>
              </w:rPr>
              <w:t>优于招标文件要求的，连续工作时间最优的加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分，连续工作时间次优的加2分，其余加1分。（可并列得分）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eastAsia="zh-CN"/>
              </w:rPr>
              <w:t>连续工作时间</w:t>
            </w:r>
            <w:r>
              <w:rPr>
                <w:rFonts w:hint="eastAsia" w:ascii="仿宋" w:hAnsi="仿宋" w:eastAsia="仿宋" w:cs="仿宋"/>
                <w:b/>
                <w:bCs/>
                <w:color w:val="auto"/>
                <w:sz w:val="24"/>
                <w:szCs w:val="24"/>
                <w:highlight w:val="none"/>
              </w:rPr>
              <w:t>最</w:t>
            </w:r>
            <w:r>
              <w:rPr>
                <w:rFonts w:hint="eastAsia" w:ascii="仿宋" w:hAnsi="仿宋" w:eastAsia="仿宋" w:cs="仿宋"/>
                <w:b/>
                <w:bCs/>
                <w:color w:val="auto"/>
                <w:sz w:val="24"/>
                <w:szCs w:val="24"/>
                <w:highlight w:val="none"/>
                <w:lang w:val="en-US" w:eastAsia="zh-CN"/>
              </w:rPr>
              <w:t>长</w:t>
            </w:r>
            <w:r>
              <w:rPr>
                <w:rFonts w:hint="eastAsia" w:ascii="仿宋" w:hAnsi="仿宋" w:eastAsia="仿宋" w:cs="仿宋"/>
                <w:b/>
                <w:bCs/>
                <w:color w:val="auto"/>
                <w:sz w:val="24"/>
                <w:szCs w:val="24"/>
                <w:highlight w:val="none"/>
              </w:rPr>
              <w:t>，次优表示</w:t>
            </w:r>
            <w:r>
              <w:rPr>
                <w:rFonts w:hint="eastAsia" w:ascii="仿宋" w:hAnsi="仿宋" w:eastAsia="仿宋" w:cs="仿宋"/>
                <w:b/>
                <w:bCs/>
                <w:color w:val="auto"/>
                <w:sz w:val="24"/>
                <w:szCs w:val="24"/>
                <w:highlight w:val="none"/>
                <w:lang w:eastAsia="zh-CN"/>
              </w:rPr>
              <w:t>连续工作时间</w:t>
            </w:r>
            <w:r>
              <w:rPr>
                <w:rFonts w:hint="eastAsia" w:ascii="仿宋" w:hAnsi="仿宋" w:eastAsia="仿宋" w:cs="仿宋"/>
                <w:b/>
                <w:bCs/>
                <w:color w:val="auto"/>
                <w:sz w:val="24"/>
                <w:szCs w:val="24"/>
                <w:highlight w:val="none"/>
              </w:rPr>
              <w:t>仅次于最大值。</w:t>
            </w:r>
          </w:p>
        </w:tc>
        <w:tc>
          <w:tcPr>
            <w:tcW w:w="457"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2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406" w:type="pct"/>
            <w:vMerge w:val="continue"/>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p>
        </w:tc>
        <w:tc>
          <w:tcPr>
            <w:tcW w:w="619"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▲3.4钢板最大切割厚度：≥17毫米</w:t>
            </w:r>
          </w:p>
        </w:tc>
        <w:tc>
          <w:tcPr>
            <w:tcW w:w="3188"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仿宋"/>
                <w:color w:val="auto"/>
                <w:sz w:val="24"/>
                <w:szCs w:val="24"/>
                <w:highlight w:val="none"/>
                <w:lang w:val="en-US" w:eastAsia="zh-CN"/>
              </w:rPr>
              <w:t>产品</w:t>
            </w:r>
            <w:r>
              <w:rPr>
                <w:rFonts w:hint="eastAsia" w:ascii="仿宋" w:hAnsi="仿宋" w:eastAsia="仿宋" w:cs="仿宋"/>
                <w:color w:val="auto"/>
                <w:sz w:val="24"/>
                <w:szCs w:val="24"/>
                <w:highlight w:val="none"/>
                <w:lang w:eastAsia="zh-CN"/>
              </w:rPr>
              <w:t>的钢板最大切割厚度</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szCs w:val="24"/>
                <w:highlight w:val="none"/>
                <w:lang w:eastAsia="zh-CN"/>
              </w:rPr>
              <w:t>钢板最大切割厚度</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钢板最大切割厚度</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eastAsia="zh-CN"/>
              </w:rPr>
              <w:t>钢板最大切割厚度</w:t>
            </w:r>
            <w:r>
              <w:rPr>
                <w:rFonts w:hint="eastAsia" w:ascii="仿宋" w:hAnsi="仿宋" w:eastAsia="仿宋" w:cs="仿宋"/>
                <w:b/>
                <w:bCs/>
                <w:color w:val="auto"/>
                <w:sz w:val="24"/>
                <w:szCs w:val="24"/>
                <w:highlight w:val="none"/>
              </w:rPr>
              <w:t>最大，次优表示</w:t>
            </w:r>
            <w:r>
              <w:rPr>
                <w:rFonts w:hint="eastAsia" w:ascii="仿宋" w:hAnsi="仿宋" w:eastAsia="仿宋" w:cs="仿宋"/>
                <w:b/>
                <w:bCs/>
                <w:color w:val="auto"/>
                <w:sz w:val="24"/>
                <w:szCs w:val="24"/>
                <w:highlight w:val="none"/>
                <w:lang w:eastAsia="zh-CN"/>
              </w:rPr>
              <w:t>钢板最大切割厚度</w:t>
            </w:r>
            <w:r>
              <w:rPr>
                <w:rFonts w:hint="eastAsia" w:ascii="仿宋" w:hAnsi="仿宋" w:eastAsia="仿宋" w:cs="仿宋"/>
                <w:b/>
                <w:bCs/>
                <w:color w:val="auto"/>
                <w:sz w:val="24"/>
                <w:szCs w:val="24"/>
                <w:highlight w:val="none"/>
              </w:rPr>
              <w:t>仅次于最大值。</w:t>
            </w:r>
          </w:p>
        </w:tc>
        <w:tc>
          <w:tcPr>
            <w:tcW w:w="457"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2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025"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一般参数</w:t>
            </w:r>
          </w:p>
        </w:tc>
        <w:tc>
          <w:tcPr>
            <w:tcW w:w="3188"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在完全满足招标文件“</w:t>
            </w:r>
            <w:r>
              <w:rPr>
                <w:rFonts w:hint="eastAsia" w:ascii="仿宋" w:hAnsi="仿宋" w:eastAsia="仿宋" w:cs="仿宋"/>
                <w:color w:val="auto"/>
                <w:sz w:val="24"/>
                <w:highlight w:val="none"/>
                <w:lang w:eastAsia="zh-CN"/>
              </w:rPr>
              <w:t>所有参数</w:t>
            </w:r>
            <w:r>
              <w:rPr>
                <w:rFonts w:hint="eastAsia" w:ascii="仿宋" w:hAnsi="仿宋" w:eastAsia="仿宋" w:cs="仿宋"/>
                <w:color w:val="auto"/>
                <w:sz w:val="24"/>
                <w:highlight w:val="none"/>
              </w:rPr>
              <w:t>”要求的基础上，每有一条“一般参数”优于的加1分，本项最多加</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分。（加分只针对具有“≥”或“≤”的数值，数值更加优于的进行加分；文字内容或其他内容优于的不加分）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注：“一般参数”为非标“★”号参数和非标“▲”号参数。</w:t>
            </w:r>
          </w:p>
        </w:tc>
        <w:tc>
          <w:tcPr>
            <w:tcW w:w="457"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28" w:type="pct"/>
            <w:vMerge w:val="continue"/>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671" w:type="pct"/>
            <w:gridSpan w:val="4"/>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评审依据：提供技术条款响应表和技术支撑文件</w:t>
            </w:r>
            <w:r>
              <w:rPr>
                <w:rFonts w:hint="eastAsia" w:ascii="仿宋" w:hAnsi="仿宋" w:eastAsia="仿宋" w:cs="仿宋"/>
                <w:b/>
                <w:bCs/>
                <w:color w:val="auto"/>
                <w:sz w:val="24"/>
                <w:highlight w:val="none"/>
                <w:lang w:eastAsia="zh-CN"/>
              </w:rPr>
              <w:t>。</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hint="eastAsia"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hint="eastAsia"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hint="eastAsia"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③制造商出具的技术参数证明材料并加盖制造商公章。]</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注：①供应商应认真提供技术支撑文件，若提供多份技术支撑文件，技术支撑文件佐证不一致时，优先级为：产品检测报告复印件＞制造商公开发布的印刷资料＞制造商出具的技术参数证明</w:t>
            </w:r>
            <w:r>
              <w:rPr>
                <w:rFonts w:hint="eastAsia" w:ascii="仿宋" w:hAnsi="仿宋" w:eastAsia="仿宋" w:cs="仿宋"/>
                <w:b/>
                <w:bCs/>
                <w:color w:val="auto"/>
                <w:sz w:val="24"/>
                <w:highlight w:val="none"/>
                <w:lang w:val="en-US" w:eastAsia="zh-CN"/>
              </w:rPr>
              <w:t>材料</w:t>
            </w:r>
            <w:r>
              <w:rPr>
                <w:rFonts w:hint="eastAsia" w:ascii="仿宋" w:hAnsi="仿宋" w:eastAsia="仿宋" w:cs="仿宋"/>
                <w:b/>
                <w:bCs/>
                <w:color w:val="auto"/>
                <w:sz w:val="24"/>
                <w:highlight w:val="none"/>
              </w:rPr>
              <w:t>；②技术支撑文件</w:t>
            </w:r>
            <w:r>
              <w:rPr>
                <w:rFonts w:hint="eastAsia" w:ascii="仿宋" w:hAnsi="仿宋" w:eastAsia="仿宋" w:cs="仿宋"/>
                <w:b/>
                <w:bCs/>
                <w:color w:val="auto"/>
                <w:sz w:val="24"/>
                <w:highlight w:val="none"/>
                <w:lang w:val="en-US" w:eastAsia="zh-CN"/>
              </w:rPr>
              <w:t>与</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不一致，则</w:t>
            </w:r>
            <w:r>
              <w:rPr>
                <w:rFonts w:hint="eastAsia" w:ascii="仿宋" w:hAnsi="仿宋" w:eastAsia="仿宋" w:cs="仿宋"/>
                <w:b/>
                <w:bCs/>
                <w:color w:val="auto"/>
                <w:sz w:val="24"/>
                <w:highlight w:val="none"/>
              </w:rPr>
              <w:t>该点不加分</w:t>
            </w:r>
            <w:r>
              <w:rPr>
                <w:rFonts w:hint="eastAsia" w:ascii="仿宋" w:hAnsi="仿宋" w:eastAsia="仿宋" w:cs="仿宋"/>
                <w:b/>
                <w:bCs/>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28"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025"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整体结构与外观</w:t>
            </w:r>
          </w:p>
        </w:tc>
        <w:tc>
          <w:tcPr>
            <w:tcW w:w="3188"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根据视频文件对核心产品的外观构造、内部结构、设计理念等进行评审。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设计理念先进，外部构造和内部结构科学合理，整体结构外观与实战紧贴程度高的，得3分；设计理念较为先进，外部构造和内部结构较为合理，整体结构外观与实战紧贴程度较高的，得2分；设计理念一般，外观构造和内部结构基本合理，整体结构外观与实战紧贴程度不高的，得1分；未提供证明材料或证明材料有缺项的不得分。</w:t>
            </w:r>
          </w:p>
        </w:tc>
        <w:tc>
          <w:tcPr>
            <w:tcW w:w="457"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2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025"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工艺</w:t>
            </w:r>
          </w:p>
        </w:tc>
        <w:tc>
          <w:tcPr>
            <w:tcW w:w="3188"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根据视频文件对核心产品的安全性、耐用性、实用性等进行评审。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性能高、耐用性能好、实用性能强，工艺符合实战需求程度高的，得3分；安全性能较高、耐用性能良好、实用性能较强，工艺符合实战需求程度较高的，得2分；安全性能不高、耐用性能普通、实用性能一般，工艺符合实战需求程度不高的，得1分；未提供证明材料或证明材料有缺项的不得分。</w:t>
            </w:r>
          </w:p>
        </w:tc>
        <w:tc>
          <w:tcPr>
            <w:tcW w:w="457"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2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025"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操作使用性能</w:t>
            </w:r>
          </w:p>
        </w:tc>
        <w:tc>
          <w:tcPr>
            <w:tcW w:w="3188"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根据视频文件对核心产品的可靠性、便捷性、稳定性等进行评审。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可靠性高、便捷性好、稳定性好，操作使用性能提升战斗力程度高的，得4分；可靠性较高、便捷性较好、稳定性良好，操作使用性能提升战斗力程度较高的，得2分；可靠性不高、便捷性和稳定性一般，操作使用性能提升战斗力程度不高的，得1分；未提供证明材料或证明材料有缺项的不得分。</w:t>
            </w:r>
          </w:p>
        </w:tc>
        <w:tc>
          <w:tcPr>
            <w:tcW w:w="457"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28" w:type="pct"/>
            <w:vMerge w:val="continue"/>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671" w:type="pct"/>
            <w:gridSpan w:val="4"/>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lang w:eastAsia="zh-CN"/>
              </w:rPr>
            </w:pPr>
            <w:r>
              <w:rPr>
                <w:rFonts w:hint="eastAsia" w:ascii="仿宋" w:hAnsi="仿宋" w:eastAsia="仿宋" w:cs="仿宋"/>
                <w:b/>
                <w:bCs/>
                <w:color w:val="auto"/>
                <w:sz w:val="24"/>
                <w:highlight w:val="none"/>
              </w:rPr>
              <w:t>以上评审依据：根据视频文件对产品的整体结构与外观、工艺、操作使用性能进行综合评审，视频文件需对以上三点评审内容进行介绍（包含但不限于以上三点）。视频文件[视频文件格式须为通用格式，佐证视频时长不得超过5分钟，视频清晰度应至少保证所摄的界面文字清晰易辨、画面完整连贯、播放速度正常]应存储于U盘内（单独密封在信封中）与投标文件同时递交，逾期递交不予接收，</w:t>
            </w:r>
            <w:r>
              <w:rPr>
                <w:rFonts w:hint="eastAsia" w:ascii="仿宋" w:hAnsi="仿宋" w:eastAsia="仿宋" w:cs="仿宋"/>
                <w:b/>
                <w:bCs/>
                <w:color w:val="auto"/>
                <w:sz w:val="24"/>
                <w:highlight w:val="none"/>
                <w:lang w:eastAsia="zh-CN"/>
              </w:rPr>
              <w:t>U盘由采购代理机构封存，不予退回。未提供视频或视频无法打开的，得0分。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三、商务部分（1</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3"/>
        <w:gridCol w:w="1202"/>
        <w:gridCol w:w="5776"/>
        <w:gridCol w:w="8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序号</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评审因素</w:t>
            </w:r>
          </w:p>
        </w:tc>
        <w:tc>
          <w:tcPr>
            <w:tcW w:w="3389"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评分标准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1</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bCs/>
                <w:color w:val="auto"/>
                <w:sz w:val="24"/>
                <w:szCs w:val="22"/>
                <w:highlight w:val="none"/>
              </w:rPr>
            </w:pPr>
            <w:r>
              <w:rPr>
                <w:rFonts w:hint="eastAsia" w:ascii="仿宋" w:hAnsi="仿宋" w:eastAsia="仿宋" w:cs="仿宋"/>
                <w:color w:val="auto"/>
                <w:sz w:val="24"/>
                <w:highlight w:val="none"/>
              </w:rPr>
              <w:t>符合性评审</w:t>
            </w:r>
          </w:p>
        </w:tc>
        <w:tc>
          <w:tcPr>
            <w:tcW w:w="3887" w:type="pct"/>
            <w:gridSpan w:val="2"/>
            <w:vAlign w:val="center"/>
          </w:tcPr>
          <w:p>
            <w:pPr>
              <w:pageBreakBefore w:val="0"/>
              <w:kinsoku/>
              <w:wordWrap/>
              <w:overflowPunct/>
              <w:topLinePunct w:val="0"/>
              <w:autoSpaceDE/>
              <w:autoSpaceDN/>
              <w:bidi w:val="0"/>
              <w:adjustRightInd/>
              <w:snapToGrid/>
              <w:spacing w:line="460" w:lineRule="exact"/>
              <w:rPr>
                <w:rFonts w:eastAsia="仿宋" w:cs="Times New Roman"/>
                <w:color w:val="auto"/>
                <w:sz w:val="24"/>
                <w:szCs w:val="22"/>
                <w:highlight w:val="none"/>
              </w:rPr>
            </w:pPr>
            <w:r>
              <w:rPr>
                <w:rFonts w:hint="eastAsia" w:eastAsia="仿宋" w:cs="Times New Roman"/>
                <w:color w:val="auto"/>
                <w:sz w:val="24"/>
                <w:szCs w:val="22"/>
                <w:highlight w:val="none"/>
              </w:rPr>
              <w:t>投标人必须完全满足招标文件“商务要求”</w:t>
            </w:r>
            <w:r>
              <w:rPr>
                <w:rFonts w:hint="eastAsia" w:eastAsia="仿宋" w:cs="Times New Roman"/>
                <w:color w:val="auto"/>
                <w:sz w:val="24"/>
                <w:szCs w:val="22"/>
                <w:highlight w:val="none"/>
                <w:lang w:val="en-US" w:eastAsia="zh-CN"/>
              </w:rPr>
              <w:t>所有</w:t>
            </w:r>
            <w:r>
              <w:rPr>
                <w:rFonts w:hint="eastAsia" w:eastAsia="仿宋" w:cs="Times New Roman"/>
                <w:color w:val="auto"/>
                <w:sz w:val="24"/>
                <w:szCs w:val="22"/>
                <w:highlight w:val="none"/>
              </w:rPr>
              <w:t>实质性条款，任意一项不满足作无效投标处理。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eastAsia="仿宋" w:cs="Times New Roman"/>
                <w:b/>
                <w:bCs/>
                <w:color w:val="auto"/>
                <w:sz w:val="24"/>
                <w:szCs w:val="22"/>
                <w:highlight w:val="none"/>
              </w:rPr>
              <w:t>评审依据：投标文件中提供的商务条款响应表。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2</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hint="eastAsia" w:eastAsia="仿宋"/>
                <w:color w:val="auto"/>
                <w:sz w:val="24"/>
                <w:szCs w:val="22"/>
                <w:highlight w:val="none"/>
                <w:lang w:eastAsia="zh-CN"/>
              </w:rPr>
            </w:pPr>
            <w:r>
              <w:rPr>
                <w:rFonts w:hint="eastAsia" w:eastAsia="仿宋"/>
                <w:color w:val="auto"/>
                <w:sz w:val="24"/>
                <w:szCs w:val="22"/>
                <w:highlight w:val="none"/>
                <w:lang w:eastAsia="zh-CN"/>
              </w:rPr>
              <w:t>生产制造履约能力</w:t>
            </w:r>
          </w:p>
        </w:tc>
        <w:tc>
          <w:tcPr>
            <w:tcW w:w="3389" w:type="pct"/>
            <w:vAlign w:val="center"/>
          </w:tcPr>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val="en-US" w:eastAsia="zh-CN"/>
              </w:rPr>
              <w:t>投标人提供所投核心产品制造商的证明材料（应加盖制造商公章）</w:t>
            </w:r>
            <w:r>
              <w:rPr>
                <w:rFonts w:hint="eastAsia" w:eastAsia="仿宋" w:cs="Times New Roman"/>
                <w:color w:val="auto"/>
                <w:sz w:val="24"/>
                <w:szCs w:val="22"/>
                <w:highlight w:val="none"/>
              </w:rPr>
              <w:t>对</w:t>
            </w:r>
            <w:r>
              <w:rPr>
                <w:rFonts w:hint="eastAsia" w:eastAsia="仿宋" w:cs="Times New Roman"/>
                <w:color w:val="auto"/>
                <w:sz w:val="24"/>
                <w:szCs w:val="22"/>
                <w:highlight w:val="none"/>
                <w:lang w:eastAsia="zh-CN"/>
              </w:rPr>
              <w:t>生产制造履约能力</w:t>
            </w:r>
            <w:r>
              <w:rPr>
                <w:rFonts w:hint="eastAsia" w:eastAsia="仿宋" w:cs="Times New Roman"/>
                <w:color w:val="auto"/>
                <w:sz w:val="24"/>
                <w:szCs w:val="22"/>
                <w:highlight w:val="none"/>
              </w:rPr>
              <w:t>进行评审，包含但不限于</w:t>
            </w:r>
            <w:r>
              <w:rPr>
                <w:rFonts w:hint="eastAsia" w:eastAsia="仿宋" w:cs="Times New Roman"/>
                <w:color w:val="auto"/>
                <w:sz w:val="24"/>
                <w:szCs w:val="22"/>
                <w:highlight w:val="none"/>
                <w:lang w:eastAsia="zh-CN"/>
              </w:rPr>
              <w:t>：</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eastAsia="zh-CN"/>
              </w:rPr>
              <w:t>①制造商生产经营情况简介；</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②</w:t>
            </w:r>
            <w:r>
              <w:rPr>
                <w:rFonts w:hint="eastAsia" w:eastAsia="仿宋" w:cs="Times New Roman"/>
                <w:color w:val="auto"/>
                <w:sz w:val="24"/>
                <w:szCs w:val="22"/>
                <w:highlight w:val="none"/>
                <w:lang w:eastAsia="zh-CN"/>
              </w:rPr>
              <w:t>生产工艺流程，主要包括生产制造流程图、生产步骤（应含生产车间环境及实际生产照片）等相关情况描述；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③产品检验流程，包括主要检验设备</w:t>
            </w:r>
            <w:r>
              <w:rPr>
                <w:rFonts w:hint="eastAsia" w:eastAsia="仿宋" w:cs="Times New Roman"/>
                <w:color w:val="auto"/>
                <w:sz w:val="24"/>
                <w:szCs w:val="22"/>
                <w:highlight w:val="none"/>
                <w:lang w:eastAsia="zh-CN"/>
              </w:rPr>
              <w:t>（应提供图片）</w:t>
            </w:r>
            <w:r>
              <w:rPr>
                <w:rFonts w:hint="eastAsia" w:eastAsia="仿宋" w:cs="Times New Roman"/>
                <w:color w:val="auto"/>
                <w:sz w:val="24"/>
                <w:szCs w:val="22"/>
                <w:highlight w:val="none"/>
              </w:rPr>
              <w:t>、检验步骤等相关情况描述；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④人员配备：相关专业技术</w:t>
            </w:r>
            <w:r>
              <w:rPr>
                <w:rFonts w:hint="eastAsia" w:eastAsia="仿宋" w:cs="Times New Roman"/>
                <w:color w:val="auto"/>
                <w:sz w:val="24"/>
                <w:szCs w:val="22"/>
                <w:highlight w:val="none"/>
                <w:lang w:eastAsia="zh-CN"/>
              </w:rPr>
              <w:t>职称</w:t>
            </w:r>
            <w:r>
              <w:rPr>
                <w:rFonts w:hint="eastAsia" w:eastAsia="仿宋" w:cs="Times New Roman"/>
                <w:color w:val="auto"/>
                <w:sz w:val="24"/>
                <w:szCs w:val="22"/>
                <w:highlight w:val="none"/>
              </w:rPr>
              <w:t>人员配置情况</w:t>
            </w:r>
            <w:r>
              <w:rPr>
                <w:rFonts w:hint="eastAsia" w:eastAsia="仿宋" w:cs="Times New Roman"/>
                <w:color w:val="auto"/>
                <w:sz w:val="24"/>
                <w:szCs w:val="22"/>
                <w:highlight w:val="none"/>
                <w:lang w:eastAsia="zh-CN"/>
              </w:rPr>
              <w:t>；</w:t>
            </w:r>
            <w:r>
              <w:rPr>
                <w:rFonts w:hint="eastAsia" w:eastAsia="仿宋" w:cs="Times New Roman"/>
                <w:color w:val="auto"/>
                <w:sz w:val="24"/>
                <w:szCs w:val="22"/>
                <w:highlight w:val="none"/>
              </w:rPr>
              <w:t>各原材料采购、生产、检验、仓储、运输等环节的人员配备情况；</w:t>
            </w:r>
          </w:p>
          <w:p>
            <w:pPr>
              <w:pageBreakBefore w:val="0"/>
              <w:kinsoku/>
              <w:wordWrap/>
              <w:overflowPunct/>
              <w:topLinePunct w:val="0"/>
              <w:autoSpaceDE/>
              <w:autoSpaceDN/>
              <w:bidi w:val="0"/>
              <w:adjustRightInd/>
              <w:snapToGrid/>
              <w:spacing w:line="460" w:lineRule="exact"/>
              <w:rPr>
                <w:rFonts w:hint="eastAsia" w:eastAsia="仿宋" w:cs="Times New Roman"/>
                <w:b/>
                <w:bCs/>
                <w:color w:val="auto"/>
                <w:sz w:val="24"/>
                <w:szCs w:val="22"/>
                <w:highlight w:val="none"/>
              </w:rPr>
            </w:pPr>
            <w:r>
              <w:rPr>
                <w:rFonts w:hint="eastAsia" w:eastAsia="仿宋" w:cs="Times New Roman"/>
                <w:b/>
                <w:bCs/>
                <w:color w:val="auto"/>
                <w:sz w:val="24"/>
                <w:szCs w:val="22"/>
                <w:highlight w:val="none"/>
              </w:rPr>
              <w:t>评审依据：</w:t>
            </w:r>
            <w:r>
              <w:rPr>
                <w:rFonts w:hint="eastAsia" w:eastAsia="仿宋" w:cs="Times New Roman"/>
                <w:b/>
                <w:bCs/>
                <w:color w:val="auto"/>
                <w:sz w:val="24"/>
                <w:szCs w:val="22"/>
                <w:highlight w:val="none"/>
                <w:lang w:val="en-US" w:eastAsia="zh-CN"/>
              </w:rPr>
              <w:t>根据</w:t>
            </w:r>
            <w:r>
              <w:rPr>
                <w:rFonts w:hint="eastAsia" w:eastAsia="仿宋" w:cs="Times New Roman"/>
                <w:b/>
                <w:bCs/>
                <w:color w:val="auto"/>
                <w:sz w:val="24"/>
                <w:szCs w:val="22"/>
                <w:highlight w:val="none"/>
              </w:rPr>
              <w:t>投标人提</w:t>
            </w:r>
            <w:r>
              <w:rPr>
                <w:rFonts w:hint="eastAsia" w:eastAsia="仿宋" w:cs="Times New Roman"/>
                <w:b/>
                <w:bCs/>
                <w:color w:val="auto"/>
                <w:sz w:val="24"/>
                <w:szCs w:val="22"/>
                <w:highlight w:val="none"/>
                <w:lang w:val="en-US" w:eastAsia="zh-CN"/>
              </w:rPr>
              <w:t>供的生产制造履约能力方案内容完整性、组织性、关联性和可操作性进行评审</w:t>
            </w:r>
            <w:r>
              <w:rPr>
                <w:rFonts w:hint="eastAsia" w:eastAsia="仿宋" w:cs="Times New Roman"/>
                <w:b/>
                <w:bCs/>
                <w:color w:val="auto"/>
                <w:sz w:val="24"/>
                <w:szCs w:val="22"/>
                <w:highlight w:val="none"/>
              </w:rPr>
              <w:t>。</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1、所投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制造商具备较强自主研发能力及先进的生产工艺，生产车间环境及生产线先进规范，生产步骤完整周详，技术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检验设备配置齐全、检验步骤严密无纰漏，生产制造履约能力</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分；</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制造商有自主研发能力和生产工艺较完整，生产车间环境及生产线常规，生产步骤较完整周详，技术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eastAsia="zh-CN"/>
              </w:rPr>
              <w:t>相对</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检验设备配置较齐全、检验步骤相对完备，生产制造履约能力</w:t>
            </w:r>
            <w:r>
              <w:rPr>
                <w:rFonts w:hint="eastAsia" w:ascii="仿宋" w:hAnsi="仿宋" w:eastAsia="仿宋" w:cs="仿宋"/>
                <w:b/>
                <w:bCs/>
                <w:color w:val="auto"/>
                <w:sz w:val="24"/>
                <w:szCs w:val="24"/>
                <w:highlight w:val="none"/>
                <w:lang w:eastAsia="zh-CN"/>
              </w:rPr>
              <w:t>较</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3、所投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制造商有自主研发能力和生产工艺薄弱，生产车间环境及生产线粗糙落后，生产步骤简单，技术</w:t>
            </w:r>
            <w:r>
              <w:rPr>
                <w:rFonts w:hint="eastAsia" w:ascii="仿宋" w:hAnsi="仿宋" w:eastAsia="仿宋" w:cs="仿宋"/>
                <w:b/>
                <w:bCs/>
                <w:color w:val="auto"/>
                <w:sz w:val="24"/>
                <w:szCs w:val="24"/>
                <w:highlight w:val="none"/>
              </w:rPr>
              <w:t>人员</w:t>
            </w:r>
            <w:r>
              <w:rPr>
                <w:rFonts w:hint="eastAsia" w:ascii="仿宋" w:hAnsi="仿宋" w:eastAsia="仿宋" w:cs="仿宋"/>
                <w:b/>
                <w:bCs/>
                <w:color w:val="auto"/>
                <w:sz w:val="24"/>
                <w:szCs w:val="24"/>
                <w:highlight w:val="none"/>
                <w:lang w:eastAsia="zh-CN"/>
              </w:rPr>
              <w:t>综合实力一般，</w:t>
            </w:r>
            <w:r>
              <w:rPr>
                <w:rFonts w:hint="eastAsia" w:ascii="仿宋" w:hAnsi="仿宋" w:eastAsia="仿宋" w:cs="仿宋"/>
                <w:b/>
                <w:bCs/>
                <w:color w:val="auto"/>
                <w:sz w:val="24"/>
                <w:szCs w:val="24"/>
                <w:highlight w:val="none"/>
                <w:lang w:val="en-US" w:eastAsia="zh-CN"/>
              </w:rPr>
              <w:t>检验设备配置简单落后，检验步骤普通，生产制造履约能力</w:t>
            </w:r>
            <w:r>
              <w:rPr>
                <w:rFonts w:hint="eastAsia" w:ascii="仿宋" w:hAnsi="仿宋" w:eastAsia="仿宋" w:cs="仿宋"/>
                <w:b/>
                <w:bCs/>
                <w:color w:val="auto"/>
                <w:sz w:val="24"/>
                <w:szCs w:val="24"/>
                <w:highlight w:val="none"/>
                <w:lang w:eastAsia="zh-CN"/>
              </w:rPr>
              <w:t>弱</w:t>
            </w:r>
            <w:r>
              <w:rPr>
                <w:rFonts w:hint="eastAsia" w:ascii="仿宋" w:hAnsi="仿宋" w:eastAsia="仿宋" w:cs="仿宋"/>
                <w:b/>
                <w:bCs/>
                <w:color w:val="auto"/>
                <w:sz w:val="24"/>
                <w:szCs w:val="24"/>
                <w:highlight w:val="none"/>
              </w:rPr>
              <w:t>的得</w:t>
            </w: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未提供证明材料或证明材料有缺项的不得分。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3</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质量保证和保修</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eastAsia="仿宋"/>
                <w:color w:val="auto"/>
                <w:sz w:val="24"/>
                <w:szCs w:val="22"/>
                <w:highlight w:val="none"/>
              </w:rPr>
            </w:pPr>
            <w:r>
              <w:rPr>
                <w:rFonts w:eastAsia="仿宋"/>
                <w:color w:val="auto"/>
                <w:sz w:val="24"/>
                <w:szCs w:val="22"/>
                <w:highlight w:val="none"/>
              </w:rPr>
              <w:t>在招标文件商务要求中“质保期”和“保修期”要求基础上，承诺“质保期”和“保修期”均每延长一年的加2分，最多加4分。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eastAsia="仿宋"/>
                <w:b/>
                <w:color w:val="auto"/>
                <w:sz w:val="24"/>
                <w:szCs w:val="22"/>
                <w:highlight w:val="none"/>
              </w:rPr>
              <w:t>评审依据：投标文件中提供“质保期”和“保修期”均延长的承诺函原件。</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类似销售</w:t>
            </w:r>
          </w:p>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案例</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投标人自</w:t>
            </w:r>
            <w:r>
              <w:rPr>
                <w:rFonts w:eastAsia="仿宋" w:cs="Times New Roman"/>
                <w:color w:val="auto"/>
                <w:sz w:val="24"/>
                <w:szCs w:val="22"/>
                <w:highlight w:val="none"/>
              </w:rPr>
              <w:t>20</w:t>
            </w:r>
            <w:r>
              <w:rPr>
                <w:rFonts w:hint="eastAsia" w:eastAsia="仿宋" w:cs="Times New Roman"/>
                <w:color w:val="auto"/>
                <w:sz w:val="24"/>
                <w:szCs w:val="22"/>
                <w:highlight w:val="none"/>
              </w:rPr>
              <w:t>2</w:t>
            </w:r>
            <w:r>
              <w:rPr>
                <w:rFonts w:hint="eastAsia" w:eastAsia="仿宋" w:cs="Times New Roman"/>
                <w:color w:val="auto"/>
                <w:sz w:val="24"/>
                <w:szCs w:val="22"/>
                <w:highlight w:val="none"/>
                <w:lang w:val="en-US" w:eastAsia="zh-CN"/>
              </w:rPr>
              <w:t>1</w:t>
            </w:r>
            <w:r>
              <w:rPr>
                <w:rFonts w:hint="eastAsia" w:eastAsia="仿宋" w:cs="Times New Roman"/>
                <w:color w:val="auto"/>
                <w:sz w:val="24"/>
                <w:szCs w:val="22"/>
                <w:highlight w:val="none"/>
              </w:rPr>
              <w:t>年</w:t>
            </w:r>
            <w:r>
              <w:rPr>
                <w:rFonts w:eastAsia="仿宋" w:cs="Times New Roman"/>
                <w:color w:val="auto"/>
                <w:sz w:val="24"/>
                <w:szCs w:val="22"/>
                <w:highlight w:val="none"/>
              </w:rPr>
              <w:t>1月1日至今（以签订合同时间为准）具有类似</w:t>
            </w:r>
            <w:r>
              <w:rPr>
                <w:rFonts w:hint="eastAsia" w:eastAsia="仿宋" w:cs="Times New Roman"/>
                <w:color w:val="auto"/>
                <w:sz w:val="24"/>
                <w:szCs w:val="22"/>
                <w:highlight w:val="none"/>
                <w:lang w:eastAsia="zh-CN"/>
              </w:rPr>
              <w:t>核心</w:t>
            </w:r>
            <w:r>
              <w:rPr>
                <w:rFonts w:eastAsia="仿宋" w:cs="Times New Roman"/>
                <w:color w:val="auto"/>
                <w:sz w:val="24"/>
                <w:szCs w:val="22"/>
                <w:highlight w:val="none"/>
              </w:rPr>
              <w:t>产品销售案例，每提供1份销售案例加</w:t>
            </w:r>
            <w:r>
              <w:rPr>
                <w:rFonts w:hint="eastAsia" w:eastAsia="仿宋" w:cs="Times New Roman"/>
                <w:color w:val="auto"/>
                <w:sz w:val="24"/>
                <w:szCs w:val="22"/>
                <w:highlight w:val="none"/>
                <w:lang w:val="en-US" w:eastAsia="zh-CN"/>
              </w:rPr>
              <w:t>2</w:t>
            </w:r>
            <w:r>
              <w:rPr>
                <w:rFonts w:hint="eastAsia" w:eastAsia="仿宋" w:cs="Times New Roman"/>
                <w:color w:val="auto"/>
                <w:sz w:val="24"/>
                <w:szCs w:val="22"/>
                <w:highlight w:val="none"/>
              </w:rPr>
              <w:t>分，本项最多加</w:t>
            </w:r>
            <w:r>
              <w:rPr>
                <w:rFonts w:hint="eastAsia" w:eastAsia="仿宋" w:cs="Times New Roman"/>
                <w:color w:val="auto"/>
                <w:sz w:val="24"/>
                <w:szCs w:val="22"/>
                <w:highlight w:val="none"/>
                <w:lang w:val="en-US" w:eastAsia="zh-CN"/>
              </w:rPr>
              <w:t>6</w:t>
            </w:r>
            <w:r>
              <w:rPr>
                <w:rFonts w:hint="eastAsia" w:eastAsia="仿宋" w:cs="Times New Roman"/>
                <w:color w:val="auto"/>
                <w:sz w:val="24"/>
                <w:szCs w:val="22"/>
                <w:highlight w:val="none"/>
              </w:rPr>
              <w:t>分。</w:t>
            </w:r>
          </w:p>
          <w:p>
            <w:pPr>
              <w:pageBreakBefore w:val="0"/>
              <w:kinsoku/>
              <w:wordWrap/>
              <w:overflowPunct/>
              <w:topLinePunct w:val="0"/>
              <w:autoSpaceDE/>
              <w:autoSpaceDN/>
              <w:bidi w:val="0"/>
              <w:adjustRightInd/>
              <w:snapToGrid/>
              <w:spacing w:line="460" w:lineRule="exact"/>
              <w:jc w:val="left"/>
              <w:rPr>
                <w:rFonts w:eastAsia="仿宋"/>
                <w:b/>
                <w:bCs/>
                <w:color w:val="auto"/>
                <w:sz w:val="24"/>
                <w:szCs w:val="22"/>
                <w:highlight w:val="none"/>
              </w:rPr>
            </w:pPr>
            <w:r>
              <w:rPr>
                <w:rFonts w:hint="eastAsia" w:eastAsia="仿宋" w:cs="Times New Roman"/>
                <w:b/>
                <w:bCs/>
                <w:color w:val="auto"/>
                <w:sz w:val="24"/>
                <w:szCs w:val="22"/>
                <w:highlight w:val="none"/>
              </w:rPr>
              <w:t>评审依据：①投标文件中提供销售案例明细表（销售案例明细表包含</w:t>
            </w:r>
            <w:r>
              <w:rPr>
                <w:rFonts w:eastAsia="仿宋" w:cs="Times New Roman"/>
                <w:b/>
                <w:bCs/>
                <w:color w:val="auto"/>
                <w:sz w:val="24"/>
                <w:szCs w:val="22"/>
                <w:highlight w:val="none"/>
              </w:rPr>
              <w:t>:发布网站名称、网页链接地址、采购项目名称、采购单位名称和联系方式、采购代理机构名称和联系方式）；</w:t>
            </w:r>
            <w:r>
              <w:rPr>
                <w:rFonts w:hint="eastAsia" w:eastAsia="仿宋" w:cs="Times New Roman"/>
                <w:b/>
                <w:bCs/>
                <w:color w:val="auto"/>
                <w:sz w:val="24"/>
                <w:szCs w:val="22"/>
                <w:highlight w:val="none"/>
              </w:rPr>
              <w:t>②</w:t>
            </w:r>
            <w:r>
              <w:rPr>
                <w:rFonts w:hint="eastAsia" w:eastAsia="仿宋" w:cs="Times New Roman"/>
                <w:b/>
                <w:bCs/>
                <w:color w:val="auto"/>
                <w:sz w:val="24"/>
                <w:szCs w:val="22"/>
                <w:highlight w:val="none"/>
                <w:lang w:eastAsia="zh-CN"/>
              </w:rPr>
              <w:t>中标（成交）公告截图（打印网页）、中标通知书复印件和合同复印件（中标通知书或合同复印件应体现类似销售案例的货物），合同签订方必须是投标人本身。</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hint="eastAsia" w:eastAsia="仿宋"/>
                <w:color w:val="auto"/>
                <w:sz w:val="24"/>
                <w:szCs w:val="22"/>
                <w:highlight w:val="none"/>
                <w:lang w:val="en-US" w:eastAsia="zh-CN"/>
              </w:rPr>
              <w:t>6</w:t>
            </w:r>
            <w:r>
              <w:rPr>
                <w:rFonts w:eastAsia="仿宋"/>
                <w:color w:val="auto"/>
                <w:sz w:val="24"/>
                <w:szCs w:val="22"/>
                <w:highlight w:val="none"/>
              </w:rPr>
              <w:t>分</w:t>
            </w:r>
          </w:p>
        </w:tc>
      </w:tr>
    </w:tbl>
    <w:p>
      <w:pPr>
        <w:pageBreakBefore w:val="0"/>
        <w:kinsoku/>
        <w:wordWrap/>
        <w:overflowPunct/>
        <w:topLinePunct w:val="0"/>
        <w:autoSpaceDE/>
        <w:autoSpaceDN/>
        <w:bidi w:val="0"/>
        <w:adjustRightInd/>
        <w:snapToGrid/>
        <w:spacing w:line="460" w:lineRule="exact"/>
        <w:rPr>
          <w:color w:val="auto"/>
          <w:highlight w:val="none"/>
        </w:rPr>
      </w:pPr>
      <w:r>
        <w:rPr>
          <w:color w:val="auto"/>
          <w:highlight w:val="none"/>
        </w:rPr>
        <w:br w:type="page"/>
      </w:r>
    </w:p>
    <w:p>
      <w:pPr>
        <w:pageBreakBefore w:val="0"/>
        <w:kinsoku/>
        <w:wordWrap/>
        <w:overflowPunct/>
        <w:topLinePunct w:val="0"/>
        <w:autoSpaceDE/>
        <w:autoSpaceDN/>
        <w:bidi w:val="0"/>
        <w:adjustRightInd/>
        <w:snapToGrid/>
        <w:spacing w:line="460" w:lineRule="exact"/>
        <w:jc w:val="left"/>
        <w:outlineLvl w:val="1"/>
        <w:rPr>
          <w:rFonts w:hint="eastAsia" w:ascii="仿宋" w:hAnsi="仿宋" w:eastAsia="仿宋" w:cs="Times New Roman"/>
          <w:b/>
          <w:bCs/>
          <w:color w:val="auto"/>
          <w:sz w:val="28"/>
          <w:szCs w:val="28"/>
          <w:highlight w:val="none"/>
          <w:lang w:eastAsia="zh-CN"/>
        </w:rPr>
      </w:pPr>
      <w:bookmarkStart w:id="664" w:name="_Toc10661"/>
      <w:bookmarkStart w:id="665" w:name="_Toc27824"/>
      <w:bookmarkStart w:id="666" w:name="_Toc11779"/>
      <w:bookmarkStart w:id="667" w:name="_Toc26336"/>
      <w:r>
        <w:rPr>
          <w:rFonts w:hint="eastAsia" w:ascii="仿宋" w:hAnsi="仿宋" w:eastAsia="仿宋" w:cs="Times New Roman"/>
          <w:b/>
          <w:bCs/>
          <w:color w:val="auto"/>
          <w:sz w:val="28"/>
          <w:szCs w:val="28"/>
          <w:highlight w:val="none"/>
          <w:lang w:val="en-US" w:eastAsia="zh-CN"/>
        </w:rPr>
        <w:t>25包</w:t>
      </w:r>
      <w:r>
        <w:rPr>
          <w:rFonts w:hint="eastAsia" w:ascii="仿宋" w:hAnsi="仿宋" w:eastAsia="仿宋" w:cs="Times New Roman"/>
          <w:b/>
          <w:bCs/>
          <w:color w:val="auto"/>
          <w:sz w:val="28"/>
          <w:szCs w:val="28"/>
          <w:highlight w:val="none"/>
        </w:rPr>
        <w:t>：</w:t>
      </w:r>
      <w:r>
        <w:rPr>
          <w:rFonts w:hint="eastAsia" w:ascii="仿宋" w:hAnsi="仿宋" w:eastAsia="仿宋" w:cs="Times New Roman"/>
          <w:b/>
          <w:bCs/>
          <w:color w:val="auto"/>
          <w:sz w:val="28"/>
          <w:szCs w:val="28"/>
          <w:highlight w:val="none"/>
          <w:lang w:val="en-US" w:eastAsia="zh-CN"/>
        </w:rPr>
        <w:t>牵拉器、木锯切割机、液压千斤顶、气动切割刀、毁锁器【核心产品】</w:t>
      </w:r>
      <w:bookmarkEnd w:id="664"/>
      <w:bookmarkEnd w:id="665"/>
      <w:bookmarkEnd w:id="666"/>
      <w:bookmarkEnd w:id="667"/>
    </w:p>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hint="eastAsia" w:ascii="仿宋" w:hAnsi="仿宋" w:eastAsia="仿宋"/>
          <w:b/>
          <w:color w:val="auto"/>
          <w:sz w:val="24"/>
          <w:highlight w:val="none"/>
        </w:rPr>
        <w:t>一、价格部分（</w:t>
      </w:r>
      <w:r>
        <w:rPr>
          <w:rFonts w:ascii="仿宋" w:hAnsi="仿宋" w:eastAsia="仿宋"/>
          <w:b/>
          <w:color w:val="auto"/>
          <w:sz w:val="24"/>
          <w:highlight w:val="none"/>
        </w:rPr>
        <w:t>30分）</w:t>
      </w:r>
    </w:p>
    <w:tbl>
      <w:tblPr>
        <w:tblStyle w:val="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1"/>
        <w:gridCol w:w="1449"/>
        <w:gridCol w:w="5672"/>
        <w:gridCol w:w="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评审因素</w:t>
            </w:r>
          </w:p>
        </w:tc>
        <w:tc>
          <w:tcPr>
            <w:tcW w:w="3327" w:type="pct"/>
            <w:vAlign w:val="center"/>
          </w:tcPr>
          <w:p>
            <w:pPr>
              <w:pageBreakBefore w:val="0"/>
              <w:kinsoku/>
              <w:wordWrap/>
              <w:overflowPunct/>
              <w:topLinePunct w:val="0"/>
              <w:autoSpaceDE/>
              <w:autoSpaceDN/>
              <w:bidi w:val="0"/>
              <w:adjustRightInd/>
              <w:snapToGrid/>
              <w:spacing w:line="460" w:lineRule="exact"/>
              <w:jc w:val="center"/>
              <w:textAlignment w:val="center"/>
              <w:rPr>
                <w:rFonts w:ascii="仿宋" w:hAnsi="仿宋" w:eastAsia="仿宋" w:cs="仿宋"/>
                <w:b/>
                <w:color w:val="auto"/>
                <w:sz w:val="24"/>
                <w:highlight w:val="none"/>
              </w:rPr>
            </w:pPr>
            <w:r>
              <w:rPr>
                <w:rFonts w:hint="eastAsia" w:ascii="仿宋" w:hAnsi="仿宋" w:eastAsia="仿宋" w:cs="仿宋"/>
                <w:b/>
                <w:bCs/>
                <w:color w:val="auto"/>
                <w:sz w:val="24"/>
                <w:highlight w:val="none"/>
              </w:rPr>
              <w:t>评分标准</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价格分</w:t>
            </w:r>
          </w:p>
        </w:tc>
        <w:tc>
          <w:tcPr>
            <w:tcW w:w="3327" w:type="pct"/>
            <w:vAlign w:val="center"/>
          </w:tcPr>
          <w:p>
            <w:pPr>
              <w:pageBreakBefore w:val="0"/>
              <w:kinsoku/>
              <w:wordWrap/>
              <w:overflowPunct/>
              <w:topLinePunct w:val="0"/>
              <w:autoSpaceDE/>
              <w:autoSpaceDN/>
              <w:bidi w:val="0"/>
              <w:adjustRightInd/>
              <w:snapToGrid/>
              <w:spacing w:line="460" w:lineRule="exact"/>
              <w:jc w:val="left"/>
              <w:textAlignment w:val="center"/>
              <w:rPr>
                <w:rFonts w:ascii="仿宋" w:hAnsi="仿宋" w:eastAsia="仿宋" w:cs="仿宋"/>
                <w:color w:val="auto"/>
                <w:sz w:val="24"/>
                <w:highlight w:val="none"/>
              </w:rPr>
            </w:pPr>
            <w:r>
              <w:rPr>
                <w:rFonts w:hint="eastAsia" w:ascii="仿宋" w:hAnsi="仿宋" w:eastAsia="仿宋" w:cs="仿宋"/>
                <w:color w:val="auto"/>
                <w:sz w:val="24"/>
                <w:highlight w:val="none"/>
              </w:rPr>
              <w:t>根据综合评分法，满足招标文件要求且投标价格最低的投标报价为评标基准价，投标报价得分</w:t>
            </w:r>
            <w:r>
              <w:rPr>
                <w:rFonts w:ascii="仿宋" w:hAnsi="仿宋" w:eastAsia="仿宋" w:cs="仿宋"/>
                <w:color w:val="auto"/>
                <w:sz w:val="24"/>
                <w:highlight w:val="none"/>
              </w:rPr>
              <w:t>=（评标基准价／投标报价）</w:t>
            </w:r>
            <w:r>
              <w:rPr>
                <w:rFonts w:hint="eastAsia" w:ascii="仿宋" w:hAnsi="仿宋" w:eastAsia="仿宋" w:cs="仿宋"/>
                <w:color w:val="auto"/>
                <w:sz w:val="24"/>
                <w:highlight w:val="none"/>
              </w:rPr>
              <w:t>×</w:t>
            </w:r>
            <w:r>
              <w:rPr>
                <w:rFonts w:ascii="仿宋" w:hAnsi="仿宋" w:eastAsia="仿宋" w:cs="仿宋"/>
                <w:color w:val="auto"/>
                <w:sz w:val="24"/>
                <w:highlight w:val="none"/>
              </w:rPr>
              <w:t>30%×100，计算分数时四舍五入取小数点后两位。</w:t>
            </w:r>
          </w:p>
          <w:p>
            <w:pPr>
              <w:pageBreakBefore w:val="0"/>
              <w:kinsoku/>
              <w:wordWrap/>
              <w:overflowPunct/>
              <w:topLinePunct w:val="0"/>
              <w:autoSpaceDE/>
              <w:autoSpaceDN/>
              <w:bidi w:val="0"/>
              <w:adjustRightInd/>
              <w:snapToGrid/>
              <w:spacing w:line="460" w:lineRule="exact"/>
              <w:ind w:firstLine="482" w:firstLineChars="200"/>
              <w:jc w:val="left"/>
              <w:textAlignment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注：</w:t>
            </w:r>
            <w:r>
              <w:rPr>
                <w:rFonts w:ascii="仿宋" w:hAnsi="仿宋" w:eastAsia="仿宋" w:cs="仿宋"/>
                <w:b/>
                <w:bCs/>
                <w:color w:val="auto"/>
                <w:sz w:val="24"/>
                <w:highlight w:val="none"/>
              </w:rPr>
              <w:t>小、微型企业或残疾人福利性单位产品或监狱产品的价格给予10%的扣除，用扣除后的价格参与评审。但残疾人福利性单位本身属于小型、微型企业的，不重复享受政策。</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30分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二、技术部分（5</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7"/>
        <w:gridCol w:w="692"/>
        <w:gridCol w:w="1055"/>
        <w:gridCol w:w="5452"/>
        <w:gridCol w:w="7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27"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1025" w:type="pct"/>
            <w:gridSpan w:val="2"/>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3199"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评分标准</w:t>
            </w:r>
          </w:p>
        </w:tc>
        <w:tc>
          <w:tcPr>
            <w:tcW w:w="447"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327"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025"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技术参数及要求</w:t>
            </w:r>
          </w:p>
        </w:tc>
        <w:tc>
          <w:tcPr>
            <w:tcW w:w="3199" w:type="pct"/>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一、重大负偏离评审依据：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1、带★条款的响应，不满足招标文件要求的，或有缺项、漏项的，视为重大负偏离；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2、一般参数和带“▲”参数共有四项及以上（含本数）的负偏离，视为重大负偏离；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3、所投产品一般参数或带“▲”参数有一项低于招标文件要求，该项视为负偏离；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4、所投产品一般参数或带“▲”参数有一项缺项、漏项的，该项视为负偏离。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注：“一般参数”为非标“★”号参数和非标“▲”号参数。</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①投标文件中提供的技术条款响应表；</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②所投产品技术参数完全满足招标文件要求得</w:t>
            </w:r>
            <w:r>
              <w:rPr>
                <w:rFonts w:hint="eastAsia" w:ascii="仿宋" w:hAnsi="仿宋" w:eastAsia="仿宋" w:cs="仿宋"/>
                <w:b/>
                <w:bCs/>
                <w:color w:val="auto"/>
                <w:sz w:val="24"/>
                <w:highlight w:val="none"/>
                <w:lang w:val="en-US" w:eastAsia="zh-CN"/>
              </w:rPr>
              <w:t>28</w:t>
            </w:r>
            <w:r>
              <w:rPr>
                <w:rFonts w:hint="eastAsia" w:ascii="仿宋" w:hAnsi="仿宋" w:eastAsia="仿宋" w:cs="仿宋"/>
                <w:b/>
                <w:bCs/>
                <w:color w:val="auto"/>
                <w:sz w:val="24"/>
                <w:highlight w:val="none"/>
              </w:rPr>
              <w:t>分；重大负偏离则视为无效投标；一般参数或带“▲”参数每有一项负偏离减5分，最多减15分，四项或以上负偏离视为无效投标。</w:t>
            </w:r>
          </w:p>
        </w:tc>
        <w:tc>
          <w:tcPr>
            <w:tcW w:w="447" w:type="pct"/>
            <w:vAlign w:val="center"/>
          </w:tcPr>
          <w:p>
            <w:pPr>
              <w:pageBreakBefore w:val="0"/>
              <w:kinsoku/>
              <w:wordWrap/>
              <w:overflowPunct/>
              <w:topLinePunct w:val="0"/>
              <w:autoSpaceDE/>
              <w:autoSpaceDN/>
              <w:bidi w:val="0"/>
              <w:adjustRightInd/>
              <w:snapToGrid/>
              <w:spacing w:line="460" w:lineRule="exact"/>
              <w:jc w:val="center"/>
              <w:textAlignment w:val="center"/>
              <w:rPr>
                <w:rFonts w:hint="default"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28分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27"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406" w:type="pct"/>
            <w:vMerge w:val="restar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牵拉器</w:t>
            </w:r>
          </w:p>
        </w:tc>
        <w:tc>
          <w:tcPr>
            <w:tcW w:w="619"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▲3.3最大牵引力：≥4T</w:t>
            </w:r>
          </w:p>
        </w:tc>
        <w:tc>
          <w:tcPr>
            <w:tcW w:w="3199"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的最大牵引力</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szCs w:val="24"/>
                <w:highlight w:val="none"/>
                <w:lang w:val="en-US" w:eastAsia="zh-CN"/>
              </w:rPr>
              <w:t>最大牵引力</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val="en-US" w:eastAsia="zh-CN"/>
              </w:rPr>
              <w:t>最大牵引力</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val="en-US" w:eastAsia="zh-CN"/>
              </w:rPr>
              <w:t>最大牵引力</w:t>
            </w:r>
            <w:r>
              <w:rPr>
                <w:rFonts w:hint="eastAsia" w:ascii="仿宋" w:hAnsi="仿宋" w:eastAsia="仿宋" w:cs="仿宋"/>
                <w:b/>
                <w:bCs/>
                <w:color w:val="auto"/>
                <w:sz w:val="24"/>
                <w:szCs w:val="24"/>
                <w:highlight w:val="none"/>
              </w:rPr>
              <w:t>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，次优表示</w:t>
            </w:r>
            <w:r>
              <w:rPr>
                <w:rFonts w:hint="eastAsia" w:ascii="仿宋" w:hAnsi="仿宋" w:eastAsia="仿宋" w:cs="仿宋"/>
                <w:b/>
                <w:bCs/>
                <w:color w:val="auto"/>
                <w:sz w:val="24"/>
                <w:szCs w:val="24"/>
                <w:highlight w:val="none"/>
                <w:lang w:val="en-US" w:eastAsia="zh-CN"/>
              </w:rPr>
              <w:t>最大牵引力</w:t>
            </w:r>
            <w:r>
              <w:rPr>
                <w:rFonts w:hint="eastAsia" w:ascii="仿宋" w:hAnsi="仿宋" w:eastAsia="仿宋" w:cs="仿宋"/>
                <w:b/>
                <w:bCs/>
                <w:color w:val="auto"/>
                <w:sz w:val="24"/>
                <w:szCs w:val="24"/>
                <w:highlight w:val="none"/>
              </w:rPr>
              <w:t>仅次于最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值。</w:t>
            </w:r>
          </w:p>
        </w:tc>
        <w:tc>
          <w:tcPr>
            <w:tcW w:w="447"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27"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406" w:type="pct"/>
            <w:vMerge w:val="continue"/>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p>
        </w:tc>
        <w:tc>
          <w:tcPr>
            <w:tcW w:w="619"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▲3.4牵引有效行程：≥2.5m</w:t>
            </w:r>
          </w:p>
        </w:tc>
        <w:tc>
          <w:tcPr>
            <w:tcW w:w="3199"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仿宋"/>
                <w:color w:val="auto"/>
                <w:sz w:val="24"/>
                <w:szCs w:val="24"/>
                <w:highlight w:val="none"/>
                <w:lang w:val="en-US" w:eastAsia="zh-CN"/>
              </w:rPr>
              <w:t>产品的</w:t>
            </w:r>
            <w:r>
              <w:rPr>
                <w:rFonts w:hint="eastAsia" w:ascii="仿宋" w:hAnsi="仿宋" w:eastAsia="仿宋" w:cs="仿宋"/>
                <w:color w:val="auto"/>
                <w:sz w:val="24"/>
                <w:szCs w:val="24"/>
                <w:highlight w:val="none"/>
                <w:lang w:eastAsia="zh-CN"/>
              </w:rPr>
              <w:t>牵引有效行程</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szCs w:val="24"/>
                <w:highlight w:val="none"/>
                <w:lang w:eastAsia="zh-CN"/>
              </w:rPr>
              <w:t>牵引有效行程</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牵引有效行程</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eastAsia="zh-CN"/>
              </w:rPr>
              <w:t>牵引有效行程</w:t>
            </w:r>
            <w:r>
              <w:rPr>
                <w:rFonts w:hint="eastAsia" w:ascii="仿宋" w:hAnsi="仿宋" w:eastAsia="仿宋" w:cs="仿宋"/>
                <w:b/>
                <w:bCs/>
                <w:color w:val="auto"/>
                <w:sz w:val="24"/>
                <w:szCs w:val="24"/>
                <w:highlight w:val="none"/>
              </w:rPr>
              <w:t>最大，次优表示</w:t>
            </w:r>
            <w:r>
              <w:rPr>
                <w:rFonts w:hint="eastAsia" w:ascii="仿宋" w:hAnsi="仿宋" w:eastAsia="仿宋" w:cs="仿宋"/>
                <w:b/>
                <w:bCs/>
                <w:color w:val="auto"/>
                <w:sz w:val="24"/>
                <w:szCs w:val="24"/>
                <w:highlight w:val="none"/>
                <w:lang w:eastAsia="zh-CN"/>
              </w:rPr>
              <w:t>牵引有效行程</w:t>
            </w:r>
            <w:r>
              <w:rPr>
                <w:rFonts w:hint="eastAsia" w:ascii="仿宋" w:hAnsi="仿宋" w:eastAsia="仿宋" w:cs="仿宋"/>
                <w:b/>
                <w:bCs/>
                <w:color w:val="auto"/>
                <w:sz w:val="24"/>
                <w:szCs w:val="24"/>
                <w:highlight w:val="none"/>
              </w:rPr>
              <w:t>仅次于最大值。</w:t>
            </w:r>
          </w:p>
        </w:tc>
        <w:tc>
          <w:tcPr>
            <w:tcW w:w="447"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27"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406" w:type="pct"/>
            <w:vMerge w:val="restar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液压千斤顶</w:t>
            </w:r>
          </w:p>
        </w:tc>
        <w:tc>
          <w:tcPr>
            <w:tcW w:w="619"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▲3.4使用手柄起升额定重量时，起重重量≥20吨</w:t>
            </w:r>
          </w:p>
        </w:tc>
        <w:tc>
          <w:tcPr>
            <w:tcW w:w="3199"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仿宋"/>
                <w:color w:val="auto"/>
                <w:sz w:val="24"/>
                <w:szCs w:val="24"/>
                <w:highlight w:val="none"/>
                <w:lang w:val="en-US" w:eastAsia="zh-CN"/>
              </w:rPr>
              <w:t>产品的</w:t>
            </w:r>
            <w:r>
              <w:rPr>
                <w:rFonts w:hint="eastAsia" w:ascii="仿宋" w:hAnsi="仿宋" w:eastAsia="仿宋" w:cs="仿宋"/>
                <w:color w:val="auto"/>
                <w:sz w:val="24"/>
                <w:szCs w:val="24"/>
                <w:highlight w:val="none"/>
                <w:lang w:eastAsia="zh-CN"/>
              </w:rPr>
              <w:t>起重重量</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szCs w:val="24"/>
                <w:highlight w:val="none"/>
                <w:lang w:eastAsia="zh-CN"/>
              </w:rPr>
              <w:t>起重重量</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起重重量</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eastAsia="zh-CN"/>
              </w:rPr>
              <w:t>起重重量</w:t>
            </w:r>
            <w:r>
              <w:rPr>
                <w:rFonts w:hint="eastAsia" w:ascii="仿宋" w:hAnsi="仿宋" w:eastAsia="仿宋" w:cs="仿宋"/>
                <w:b/>
                <w:bCs/>
                <w:color w:val="auto"/>
                <w:sz w:val="24"/>
                <w:szCs w:val="24"/>
                <w:highlight w:val="none"/>
              </w:rPr>
              <w:t>最大，次优表示</w:t>
            </w:r>
            <w:r>
              <w:rPr>
                <w:rFonts w:hint="eastAsia" w:ascii="仿宋" w:hAnsi="仿宋" w:eastAsia="仿宋" w:cs="仿宋"/>
                <w:b/>
                <w:bCs/>
                <w:color w:val="auto"/>
                <w:sz w:val="24"/>
                <w:szCs w:val="24"/>
                <w:highlight w:val="none"/>
                <w:lang w:eastAsia="zh-CN"/>
              </w:rPr>
              <w:t>起重重量</w:t>
            </w:r>
            <w:r>
              <w:rPr>
                <w:rFonts w:hint="eastAsia" w:ascii="仿宋" w:hAnsi="仿宋" w:eastAsia="仿宋" w:cs="仿宋"/>
                <w:b/>
                <w:bCs/>
                <w:color w:val="auto"/>
                <w:sz w:val="24"/>
                <w:szCs w:val="24"/>
                <w:highlight w:val="none"/>
              </w:rPr>
              <w:t>仅次于最大值。</w:t>
            </w:r>
          </w:p>
        </w:tc>
        <w:tc>
          <w:tcPr>
            <w:tcW w:w="447"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27"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406" w:type="pct"/>
            <w:vMerge w:val="continue"/>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p>
        </w:tc>
        <w:tc>
          <w:tcPr>
            <w:tcW w:w="619"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▲3.5起重高度:≥140mm</w:t>
            </w:r>
          </w:p>
        </w:tc>
        <w:tc>
          <w:tcPr>
            <w:tcW w:w="3199"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仿宋"/>
                <w:color w:val="auto"/>
                <w:sz w:val="24"/>
                <w:szCs w:val="24"/>
                <w:highlight w:val="none"/>
                <w:lang w:val="en-US" w:eastAsia="zh-CN"/>
              </w:rPr>
              <w:t>产品</w:t>
            </w:r>
            <w:r>
              <w:rPr>
                <w:rFonts w:hint="eastAsia" w:ascii="仿宋" w:hAnsi="仿宋" w:eastAsia="仿宋" w:cs="仿宋"/>
                <w:color w:val="auto"/>
                <w:sz w:val="24"/>
                <w:szCs w:val="24"/>
                <w:highlight w:val="none"/>
                <w:lang w:eastAsia="zh-CN"/>
              </w:rPr>
              <w:t>的起重高度</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szCs w:val="24"/>
                <w:highlight w:val="none"/>
                <w:lang w:eastAsia="zh-CN"/>
              </w:rPr>
              <w:t>起重高度</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起重高度</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eastAsia="zh-CN"/>
              </w:rPr>
              <w:t>起重高度</w:t>
            </w:r>
            <w:r>
              <w:rPr>
                <w:rFonts w:hint="eastAsia" w:ascii="仿宋" w:hAnsi="仿宋" w:eastAsia="仿宋" w:cs="仿宋"/>
                <w:b/>
                <w:bCs/>
                <w:color w:val="auto"/>
                <w:sz w:val="24"/>
                <w:szCs w:val="24"/>
                <w:highlight w:val="none"/>
              </w:rPr>
              <w:t>最大，次优表示</w:t>
            </w:r>
            <w:r>
              <w:rPr>
                <w:rFonts w:hint="eastAsia" w:ascii="仿宋" w:hAnsi="仿宋" w:eastAsia="仿宋" w:cs="仿宋"/>
                <w:b/>
                <w:bCs/>
                <w:color w:val="auto"/>
                <w:sz w:val="24"/>
                <w:szCs w:val="24"/>
                <w:highlight w:val="none"/>
                <w:lang w:eastAsia="zh-CN"/>
              </w:rPr>
              <w:t>起重高度</w:t>
            </w:r>
            <w:r>
              <w:rPr>
                <w:rFonts w:hint="eastAsia" w:ascii="仿宋" w:hAnsi="仿宋" w:eastAsia="仿宋" w:cs="仿宋"/>
                <w:b/>
                <w:bCs/>
                <w:color w:val="auto"/>
                <w:sz w:val="24"/>
                <w:szCs w:val="24"/>
                <w:highlight w:val="none"/>
              </w:rPr>
              <w:t>仅次于最大值。</w:t>
            </w:r>
          </w:p>
        </w:tc>
        <w:tc>
          <w:tcPr>
            <w:tcW w:w="447"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27"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025"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一般参数</w:t>
            </w:r>
          </w:p>
        </w:tc>
        <w:tc>
          <w:tcPr>
            <w:tcW w:w="3199"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在完全满足招标文件“</w:t>
            </w:r>
            <w:r>
              <w:rPr>
                <w:rFonts w:hint="eastAsia" w:ascii="仿宋" w:hAnsi="仿宋" w:eastAsia="仿宋" w:cs="仿宋"/>
                <w:color w:val="auto"/>
                <w:sz w:val="24"/>
                <w:highlight w:val="none"/>
                <w:lang w:eastAsia="zh-CN"/>
              </w:rPr>
              <w:t>所有参数</w:t>
            </w:r>
            <w:r>
              <w:rPr>
                <w:rFonts w:hint="eastAsia" w:ascii="仿宋" w:hAnsi="仿宋" w:eastAsia="仿宋" w:cs="仿宋"/>
                <w:color w:val="auto"/>
                <w:sz w:val="24"/>
                <w:highlight w:val="none"/>
              </w:rPr>
              <w:t>”要求的基础上，每有一条“一般参数”优于的加1分，本项最多加</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分。（加分只针对具有“≥”或“≤”的数值，数值更加优于的进行加分；文字内容或其他内容优于的不加分）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注：“一般参数”为非标“★”号参数和非标“▲”号参数。</w:t>
            </w:r>
          </w:p>
        </w:tc>
        <w:tc>
          <w:tcPr>
            <w:tcW w:w="447"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27" w:type="pct"/>
            <w:vMerge w:val="continue"/>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672" w:type="pct"/>
            <w:gridSpan w:val="4"/>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评审依据：提供技术条款响应表和技术支撑文件</w:t>
            </w:r>
            <w:r>
              <w:rPr>
                <w:rFonts w:hint="eastAsia" w:ascii="仿宋" w:hAnsi="仿宋" w:eastAsia="仿宋" w:cs="仿宋"/>
                <w:b/>
                <w:bCs/>
                <w:color w:val="auto"/>
                <w:sz w:val="24"/>
                <w:highlight w:val="none"/>
                <w:lang w:eastAsia="zh-CN"/>
              </w:rPr>
              <w:t>。</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hint="eastAsia"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hint="eastAsia"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hint="eastAsia"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③制造商出具的技术参数证明材料并加盖制造商公章。]</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注：①供应商应认真提供技术支撑文件，若提供多份技术支撑文件，技术支撑文件佐证不一致时，优先级为：产品检测报告复印件＞制造商公开发布的印刷资料＞制造商出具的技术参数证明</w:t>
            </w:r>
            <w:r>
              <w:rPr>
                <w:rFonts w:hint="eastAsia" w:ascii="仿宋" w:hAnsi="仿宋" w:eastAsia="仿宋" w:cs="仿宋"/>
                <w:b/>
                <w:bCs/>
                <w:color w:val="auto"/>
                <w:sz w:val="24"/>
                <w:highlight w:val="none"/>
                <w:lang w:val="en-US" w:eastAsia="zh-CN"/>
              </w:rPr>
              <w:t>材料</w:t>
            </w:r>
            <w:r>
              <w:rPr>
                <w:rFonts w:hint="eastAsia" w:ascii="仿宋" w:hAnsi="仿宋" w:eastAsia="仿宋" w:cs="仿宋"/>
                <w:b/>
                <w:bCs/>
                <w:color w:val="auto"/>
                <w:sz w:val="24"/>
                <w:highlight w:val="none"/>
              </w:rPr>
              <w:t>；②技术支撑文件</w:t>
            </w:r>
            <w:r>
              <w:rPr>
                <w:rFonts w:hint="eastAsia" w:ascii="仿宋" w:hAnsi="仿宋" w:eastAsia="仿宋" w:cs="仿宋"/>
                <w:b/>
                <w:bCs/>
                <w:color w:val="auto"/>
                <w:sz w:val="24"/>
                <w:highlight w:val="none"/>
                <w:lang w:val="en-US" w:eastAsia="zh-CN"/>
              </w:rPr>
              <w:t>与</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不一致，则</w:t>
            </w:r>
            <w:r>
              <w:rPr>
                <w:rFonts w:hint="eastAsia" w:ascii="仿宋" w:hAnsi="仿宋" w:eastAsia="仿宋" w:cs="仿宋"/>
                <w:b/>
                <w:bCs/>
                <w:color w:val="auto"/>
                <w:sz w:val="24"/>
                <w:highlight w:val="none"/>
              </w:rPr>
              <w:t>该点不加分</w:t>
            </w:r>
            <w:r>
              <w:rPr>
                <w:rFonts w:hint="eastAsia" w:ascii="仿宋" w:hAnsi="仿宋" w:eastAsia="仿宋" w:cs="仿宋"/>
                <w:b/>
                <w:bCs/>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27"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025"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整体结构与外观</w:t>
            </w:r>
          </w:p>
        </w:tc>
        <w:tc>
          <w:tcPr>
            <w:tcW w:w="3199"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根据视频文件对核心产品的外观构造、内部结构、设计理念等进行评审。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设计理念先进，外部构造和内部结构科学合理，整体结构外观与实战紧贴程度高的，得3分；设计理念较为先进，外部构造和内部结构较为合理，整体结构外观与实战紧贴程度较高的，得2分；设计理念一般，外观构造和内部结构基本合理，整体结构外观与实战紧贴程度不高的，得1分；未提供证明材料或证明材料有缺项的不得分。</w:t>
            </w:r>
          </w:p>
        </w:tc>
        <w:tc>
          <w:tcPr>
            <w:tcW w:w="447"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27"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025"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工艺</w:t>
            </w:r>
          </w:p>
        </w:tc>
        <w:tc>
          <w:tcPr>
            <w:tcW w:w="3199"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根据视频文件对核心产品的安全性、耐用性、实用性等进行评审。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性能高、耐用性能好、实用性能强，工艺符合实战需求程度高的，得3分；安全性能较高、耐用性能良好、实用性能较强，工艺符合实战需求程度较高的，得2分；安全性能不高、耐用性能普通、实用性能一般，工艺符合实战需求程度不高的，得1分；未提供证明材料或证明材料有缺项的不得分。</w:t>
            </w:r>
          </w:p>
        </w:tc>
        <w:tc>
          <w:tcPr>
            <w:tcW w:w="447"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27"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025"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操作使用性能</w:t>
            </w:r>
          </w:p>
        </w:tc>
        <w:tc>
          <w:tcPr>
            <w:tcW w:w="3199"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根据视频文件对核心产品的可靠性、便捷性、稳定性等进行评审。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可靠性高、便捷性好、稳定性好，操作使用性能提升战斗力程度高的，得4分；可靠性较高、便捷性较好、稳定性良好，操作使用性能提升战斗力程度较高的，得2分；可靠性不高、便捷性和稳定性一般，操作使用性能提升战斗力程度不高的，得1分；未提供证明材料或证明材料有缺项的不得分。</w:t>
            </w:r>
          </w:p>
        </w:tc>
        <w:tc>
          <w:tcPr>
            <w:tcW w:w="447"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27" w:type="pct"/>
            <w:vMerge w:val="continue"/>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672" w:type="pct"/>
            <w:gridSpan w:val="4"/>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lang w:eastAsia="zh-CN"/>
              </w:rPr>
            </w:pPr>
            <w:r>
              <w:rPr>
                <w:rFonts w:hint="eastAsia" w:ascii="仿宋" w:hAnsi="仿宋" w:eastAsia="仿宋" w:cs="仿宋"/>
                <w:b/>
                <w:bCs/>
                <w:color w:val="auto"/>
                <w:sz w:val="24"/>
                <w:highlight w:val="none"/>
              </w:rPr>
              <w:t>以上评审依据：根据视频文件对产品的整体结构与外观、工艺、操作使用性能进行综合评审，视频文件需对以上三点评审内容进行介绍（包含但不限于以上三点）。视频文件[视频文件格式须为通用格式，佐证视频时长不得超过5分钟，视频清晰度应至少保证所摄的界面文字清晰易辨、画面完整连贯、播放速度正常]应存储于U盘内（单独密封在信封中）与投标文件同时递交，逾期递交不予接收，</w:t>
            </w:r>
            <w:r>
              <w:rPr>
                <w:rFonts w:hint="eastAsia" w:ascii="仿宋" w:hAnsi="仿宋" w:eastAsia="仿宋" w:cs="仿宋"/>
                <w:b/>
                <w:bCs/>
                <w:color w:val="auto"/>
                <w:sz w:val="24"/>
                <w:highlight w:val="none"/>
                <w:lang w:eastAsia="zh-CN"/>
              </w:rPr>
              <w:t>U盘由采购代理机构封存，不予退回。未提供视频或视频无法打开的，得0分。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三、商务部分（1</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3"/>
        <w:gridCol w:w="1202"/>
        <w:gridCol w:w="5776"/>
        <w:gridCol w:w="8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序号</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评审因素</w:t>
            </w:r>
          </w:p>
        </w:tc>
        <w:tc>
          <w:tcPr>
            <w:tcW w:w="3389"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评分标准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1</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bCs/>
                <w:color w:val="auto"/>
                <w:sz w:val="24"/>
                <w:szCs w:val="22"/>
                <w:highlight w:val="none"/>
              </w:rPr>
            </w:pPr>
            <w:r>
              <w:rPr>
                <w:rFonts w:hint="eastAsia" w:ascii="仿宋" w:hAnsi="仿宋" w:eastAsia="仿宋" w:cs="仿宋"/>
                <w:color w:val="auto"/>
                <w:sz w:val="24"/>
                <w:highlight w:val="none"/>
              </w:rPr>
              <w:t>符合性评审</w:t>
            </w:r>
          </w:p>
        </w:tc>
        <w:tc>
          <w:tcPr>
            <w:tcW w:w="3887" w:type="pct"/>
            <w:gridSpan w:val="2"/>
            <w:vAlign w:val="center"/>
          </w:tcPr>
          <w:p>
            <w:pPr>
              <w:pageBreakBefore w:val="0"/>
              <w:kinsoku/>
              <w:wordWrap/>
              <w:overflowPunct/>
              <w:topLinePunct w:val="0"/>
              <w:autoSpaceDE/>
              <w:autoSpaceDN/>
              <w:bidi w:val="0"/>
              <w:adjustRightInd/>
              <w:snapToGrid/>
              <w:spacing w:line="460" w:lineRule="exact"/>
              <w:rPr>
                <w:rFonts w:eastAsia="仿宋" w:cs="Times New Roman"/>
                <w:color w:val="auto"/>
                <w:sz w:val="24"/>
                <w:szCs w:val="22"/>
                <w:highlight w:val="none"/>
              </w:rPr>
            </w:pPr>
            <w:r>
              <w:rPr>
                <w:rFonts w:hint="eastAsia" w:eastAsia="仿宋" w:cs="Times New Roman"/>
                <w:color w:val="auto"/>
                <w:sz w:val="24"/>
                <w:szCs w:val="22"/>
                <w:highlight w:val="none"/>
              </w:rPr>
              <w:t>投标人必须完全满足招标文件“商务要求”</w:t>
            </w:r>
            <w:r>
              <w:rPr>
                <w:rFonts w:hint="eastAsia" w:eastAsia="仿宋" w:cs="Times New Roman"/>
                <w:color w:val="auto"/>
                <w:sz w:val="24"/>
                <w:szCs w:val="22"/>
                <w:highlight w:val="none"/>
                <w:lang w:val="en-US" w:eastAsia="zh-CN"/>
              </w:rPr>
              <w:t>所有</w:t>
            </w:r>
            <w:r>
              <w:rPr>
                <w:rFonts w:hint="eastAsia" w:eastAsia="仿宋" w:cs="Times New Roman"/>
                <w:color w:val="auto"/>
                <w:sz w:val="24"/>
                <w:szCs w:val="22"/>
                <w:highlight w:val="none"/>
              </w:rPr>
              <w:t>实质性条款，任意一项不满足作无效投标处理。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eastAsia="仿宋" w:cs="Times New Roman"/>
                <w:b/>
                <w:bCs/>
                <w:color w:val="auto"/>
                <w:sz w:val="24"/>
                <w:szCs w:val="22"/>
                <w:highlight w:val="none"/>
              </w:rPr>
              <w:t>评审依据：投标文件中提供的商务条款响应表。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2</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hint="eastAsia" w:eastAsia="仿宋"/>
                <w:color w:val="auto"/>
                <w:sz w:val="24"/>
                <w:szCs w:val="22"/>
                <w:highlight w:val="none"/>
                <w:lang w:eastAsia="zh-CN"/>
              </w:rPr>
            </w:pPr>
            <w:r>
              <w:rPr>
                <w:rFonts w:hint="eastAsia" w:eastAsia="仿宋"/>
                <w:color w:val="auto"/>
                <w:sz w:val="24"/>
                <w:szCs w:val="22"/>
                <w:highlight w:val="none"/>
                <w:lang w:eastAsia="zh-CN"/>
              </w:rPr>
              <w:t>生产制造履约能力</w:t>
            </w:r>
          </w:p>
        </w:tc>
        <w:tc>
          <w:tcPr>
            <w:tcW w:w="3389" w:type="pct"/>
            <w:vAlign w:val="center"/>
          </w:tcPr>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val="en-US" w:eastAsia="zh-CN"/>
              </w:rPr>
              <w:t>投标人提供所投核心产品制造商的证明材料（应加盖制造商公章）</w:t>
            </w:r>
            <w:r>
              <w:rPr>
                <w:rFonts w:hint="eastAsia" w:eastAsia="仿宋" w:cs="Times New Roman"/>
                <w:color w:val="auto"/>
                <w:sz w:val="24"/>
                <w:szCs w:val="22"/>
                <w:highlight w:val="none"/>
              </w:rPr>
              <w:t>对</w:t>
            </w:r>
            <w:r>
              <w:rPr>
                <w:rFonts w:hint="eastAsia" w:eastAsia="仿宋" w:cs="Times New Roman"/>
                <w:color w:val="auto"/>
                <w:sz w:val="24"/>
                <w:szCs w:val="22"/>
                <w:highlight w:val="none"/>
                <w:lang w:eastAsia="zh-CN"/>
              </w:rPr>
              <w:t>生产制造履约能力</w:t>
            </w:r>
            <w:r>
              <w:rPr>
                <w:rFonts w:hint="eastAsia" w:eastAsia="仿宋" w:cs="Times New Roman"/>
                <w:color w:val="auto"/>
                <w:sz w:val="24"/>
                <w:szCs w:val="22"/>
                <w:highlight w:val="none"/>
              </w:rPr>
              <w:t>进行评审，包含但不限于</w:t>
            </w:r>
            <w:r>
              <w:rPr>
                <w:rFonts w:hint="eastAsia" w:eastAsia="仿宋" w:cs="Times New Roman"/>
                <w:color w:val="auto"/>
                <w:sz w:val="24"/>
                <w:szCs w:val="22"/>
                <w:highlight w:val="none"/>
                <w:lang w:eastAsia="zh-CN"/>
              </w:rPr>
              <w:t>：</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eastAsia="zh-CN"/>
              </w:rPr>
              <w:t>①制造商生产经营情况简介；</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②</w:t>
            </w:r>
            <w:r>
              <w:rPr>
                <w:rFonts w:hint="eastAsia" w:eastAsia="仿宋" w:cs="Times New Roman"/>
                <w:color w:val="auto"/>
                <w:sz w:val="24"/>
                <w:szCs w:val="22"/>
                <w:highlight w:val="none"/>
                <w:lang w:eastAsia="zh-CN"/>
              </w:rPr>
              <w:t>生产工艺流程，主要包括生产制造流程图、生产步骤（应含生产车间环境及实际生产照片）等相关情况描述；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③产品检验流程，包括主要检验设备</w:t>
            </w:r>
            <w:r>
              <w:rPr>
                <w:rFonts w:hint="eastAsia" w:eastAsia="仿宋" w:cs="Times New Roman"/>
                <w:color w:val="auto"/>
                <w:sz w:val="24"/>
                <w:szCs w:val="22"/>
                <w:highlight w:val="none"/>
                <w:lang w:eastAsia="zh-CN"/>
              </w:rPr>
              <w:t>（应提供图片）</w:t>
            </w:r>
            <w:r>
              <w:rPr>
                <w:rFonts w:hint="eastAsia" w:eastAsia="仿宋" w:cs="Times New Roman"/>
                <w:color w:val="auto"/>
                <w:sz w:val="24"/>
                <w:szCs w:val="22"/>
                <w:highlight w:val="none"/>
              </w:rPr>
              <w:t>、检验步骤等相关情况描述；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④人员配备：相关专业技术</w:t>
            </w:r>
            <w:r>
              <w:rPr>
                <w:rFonts w:hint="eastAsia" w:eastAsia="仿宋" w:cs="Times New Roman"/>
                <w:color w:val="auto"/>
                <w:sz w:val="24"/>
                <w:szCs w:val="22"/>
                <w:highlight w:val="none"/>
                <w:lang w:eastAsia="zh-CN"/>
              </w:rPr>
              <w:t>职称</w:t>
            </w:r>
            <w:r>
              <w:rPr>
                <w:rFonts w:hint="eastAsia" w:eastAsia="仿宋" w:cs="Times New Roman"/>
                <w:color w:val="auto"/>
                <w:sz w:val="24"/>
                <w:szCs w:val="22"/>
                <w:highlight w:val="none"/>
              </w:rPr>
              <w:t>人员配置情况</w:t>
            </w:r>
            <w:r>
              <w:rPr>
                <w:rFonts w:hint="eastAsia" w:eastAsia="仿宋" w:cs="Times New Roman"/>
                <w:color w:val="auto"/>
                <w:sz w:val="24"/>
                <w:szCs w:val="22"/>
                <w:highlight w:val="none"/>
                <w:lang w:eastAsia="zh-CN"/>
              </w:rPr>
              <w:t>；</w:t>
            </w:r>
            <w:r>
              <w:rPr>
                <w:rFonts w:hint="eastAsia" w:eastAsia="仿宋" w:cs="Times New Roman"/>
                <w:color w:val="auto"/>
                <w:sz w:val="24"/>
                <w:szCs w:val="22"/>
                <w:highlight w:val="none"/>
              </w:rPr>
              <w:t>各原材料采购、生产、检验、仓储、运输等环节的人员配备情况；</w:t>
            </w:r>
          </w:p>
          <w:p>
            <w:pPr>
              <w:pageBreakBefore w:val="0"/>
              <w:kinsoku/>
              <w:wordWrap/>
              <w:overflowPunct/>
              <w:topLinePunct w:val="0"/>
              <w:autoSpaceDE/>
              <w:autoSpaceDN/>
              <w:bidi w:val="0"/>
              <w:adjustRightInd/>
              <w:snapToGrid/>
              <w:spacing w:line="460" w:lineRule="exact"/>
              <w:rPr>
                <w:rFonts w:hint="eastAsia" w:eastAsia="仿宋" w:cs="Times New Roman"/>
                <w:b/>
                <w:bCs/>
                <w:color w:val="auto"/>
                <w:sz w:val="24"/>
                <w:szCs w:val="22"/>
                <w:highlight w:val="none"/>
              </w:rPr>
            </w:pPr>
            <w:r>
              <w:rPr>
                <w:rFonts w:hint="eastAsia" w:eastAsia="仿宋" w:cs="Times New Roman"/>
                <w:b/>
                <w:bCs/>
                <w:color w:val="auto"/>
                <w:sz w:val="24"/>
                <w:szCs w:val="22"/>
                <w:highlight w:val="none"/>
              </w:rPr>
              <w:t>评审依据：</w:t>
            </w:r>
            <w:r>
              <w:rPr>
                <w:rFonts w:hint="eastAsia" w:eastAsia="仿宋" w:cs="Times New Roman"/>
                <w:b/>
                <w:bCs/>
                <w:color w:val="auto"/>
                <w:sz w:val="24"/>
                <w:szCs w:val="22"/>
                <w:highlight w:val="none"/>
                <w:lang w:val="en-US" w:eastAsia="zh-CN"/>
              </w:rPr>
              <w:t>根据</w:t>
            </w:r>
            <w:r>
              <w:rPr>
                <w:rFonts w:hint="eastAsia" w:eastAsia="仿宋" w:cs="Times New Roman"/>
                <w:b/>
                <w:bCs/>
                <w:color w:val="auto"/>
                <w:sz w:val="24"/>
                <w:szCs w:val="22"/>
                <w:highlight w:val="none"/>
              </w:rPr>
              <w:t>投标人提</w:t>
            </w:r>
            <w:r>
              <w:rPr>
                <w:rFonts w:hint="eastAsia" w:eastAsia="仿宋" w:cs="Times New Roman"/>
                <w:b/>
                <w:bCs/>
                <w:color w:val="auto"/>
                <w:sz w:val="24"/>
                <w:szCs w:val="22"/>
                <w:highlight w:val="none"/>
                <w:lang w:val="en-US" w:eastAsia="zh-CN"/>
              </w:rPr>
              <w:t>供的生产制造履约能力方案内容完整性、组织性、关联性和可操作性进行评审</w:t>
            </w:r>
            <w:r>
              <w:rPr>
                <w:rFonts w:hint="eastAsia" w:eastAsia="仿宋" w:cs="Times New Roman"/>
                <w:b/>
                <w:bCs/>
                <w:color w:val="auto"/>
                <w:sz w:val="24"/>
                <w:szCs w:val="22"/>
                <w:highlight w:val="none"/>
              </w:rPr>
              <w:t>。</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1、所投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制造商具备较强自主研发能力及先进的生产工艺，生产车间环境及生产线先进规范，生产步骤完整周详，技术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检验设备配置齐全、检验步骤严密无纰漏，生产制造履约能力</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分；</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制造商有自主研发能力和生产工艺较完整，生产车间环境及生产线常规，生产步骤较完整周详，技术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eastAsia="zh-CN"/>
              </w:rPr>
              <w:t>相对</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检验设备配置较齐全、检验步骤相对完备，生产制造履约能力</w:t>
            </w:r>
            <w:r>
              <w:rPr>
                <w:rFonts w:hint="eastAsia" w:ascii="仿宋" w:hAnsi="仿宋" w:eastAsia="仿宋" w:cs="仿宋"/>
                <w:b/>
                <w:bCs/>
                <w:color w:val="auto"/>
                <w:sz w:val="24"/>
                <w:szCs w:val="24"/>
                <w:highlight w:val="none"/>
                <w:lang w:eastAsia="zh-CN"/>
              </w:rPr>
              <w:t>较</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3、所投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制造商有自主研发能力和生产工艺薄弱，生产车间环境及生产线粗糙落后，生产步骤简单，技术</w:t>
            </w:r>
            <w:r>
              <w:rPr>
                <w:rFonts w:hint="eastAsia" w:ascii="仿宋" w:hAnsi="仿宋" w:eastAsia="仿宋" w:cs="仿宋"/>
                <w:b/>
                <w:bCs/>
                <w:color w:val="auto"/>
                <w:sz w:val="24"/>
                <w:szCs w:val="24"/>
                <w:highlight w:val="none"/>
              </w:rPr>
              <w:t>人员</w:t>
            </w:r>
            <w:r>
              <w:rPr>
                <w:rFonts w:hint="eastAsia" w:ascii="仿宋" w:hAnsi="仿宋" w:eastAsia="仿宋" w:cs="仿宋"/>
                <w:b/>
                <w:bCs/>
                <w:color w:val="auto"/>
                <w:sz w:val="24"/>
                <w:szCs w:val="24"/>
                <w:highlight w:val="none"/>
                <w:lang w:eastAsia="zh-CN"/>
              </w:rPr>
              <w:t>综合实力一般，</w:t>
            </w:r>
            <w:r>
              <w:rPr>
                <w:rFonts w:hint="eastAsia" w:ascii="仿宋" w:hAnsi="仿宋" w:eastAsia="仿宋" w:cs="仿宋"/>
                <w:b/>
                <w:bCs/>
                <w:color w:val="auto"/>
                <w:sz w:val="24"/>
                <w:szCs w:val="24"/>
                <w:highlight w:val="none"/>
                <w:lang w:val="en-US" w:eastAsia="zh-CN"/>
              </w:rPr>
              <w:t>检验设备配置简单落后，检验步骤普通，生产制造履约能力</w:t>
            </w:r>
            <w:r>
              <w:rPr>
                <w:rFonts w:hint="eastAsia" w:ascii="仿宋" w:hAnsi="仿宋" w:eastAsia="仿宋" w:cs="仿宋"/>
                <w:b/>
                <w:bCs/>
                <w:color w:val="auto"/>
                <w:sz w:val="24"/>
                <w:szCs w:val="24"/>
                <w:highlight w:val="none"/>
                <w:lang w:eastAsia="zh-CN"/>
              </w:rPr>
              <w:t>弱</w:t>
            </w:r>
            <w:r>
              <w:rPr>
                <w:rFonts w:hint="eastAsia" w:ascii="仿宋" w:hAnsi="仿宋" w:eastAsia="仿宋" w:cs="仿宋"/>
                <w:b/>
                <w:bCs/>
                <w:color w:val="auto"/>
                <w:sz w:val="24"/>
                <w:szCs w:val="24"/>
                <w:highlight w:val="none"/>
              </w:rPr>
              <w:t>的得</w:t>
            </w: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未提供证明材料或证明材料有缺项的不得分。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3</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质量保证和保修</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eastAsia="仿宋"/>
                <w:color w:val="auto"/>
                <w:sz w:val="24"/>
                <w:szCs w:val="22"/>
                <w:highlight w:val="none"/>
              </w:rPr>
            </w:pPr>
            <w:r>
              <w:rPr>
                <w:rFonts w:eastAsia="仿宋"/>
                <w:color w:val="auto"/>
                <w:sz w:val="24"/>
                <w:szCs w:val="22"/>
                <w:highlight w:val="none"/>
              </w:rPr>
              <w:t>在招标文件商务要求中“质保期”和“保修期”要求基础上，承诺“质保期”和“保修期”均每延长一年的加2分，最多加4分。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eastAsia="仿宋"/>
                <w:b/>
                <w:color w:val="auto"/>
                <w:sz w:val="24"/>
                <w:szCs w:val="22"/>
                <w:highlight w:val="none"/>
              </w:rPr>
              <w:t>评审依据：投标文件中提供“质保期”和“保修期”均延长的承诺函原件。</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类似销售</w:t>
            </w:r>
          </w:p>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案例</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投标人自</w:t>
            </w:r>
            <w:r>
              <w:rPr>
                <w:rFonts w:eastAsia="仿宋" w:cs="Times New Roman"/>
                <w:color w:val="auto"/>
                <w:sz w:val="24"/>
                <w:szCs w:val="22"/>
                <w:highlight w:val="none"/>
              </w:rPr>
              <w:t>20</w:t>
            </w:r>
            <w:r>
              <w:rPr>
                <w:rFonts w:hint="eastAsia" w:eastAsia="仿宋" w:cs="Times New Roman"/>
                <w:color w:val="auto"/>
                <w:sz w:val="24"/>
                <w:szCs w:val="22"/>
                <w:highlight w:val="none"/>
              </w:rPr>
              <w:t>2</w:t>
            </w:r>
            <w:r>
              <w:rPr>
                <w:rFonts w:hint="eastAsia" w:eastAsia="仿宋" w:cs="Times New Roman"/>
                <w:color w:val="auto"/>
                <w:sz w:val="24"/>
                <w:szCs w:val="22"/>
                <w:highlight w:val="none"/>
                <w:lang w:val="en-US" w:eastAsia="zh-CN"/>
              </w:rPr>
              <w:t>1</w:t>
            </w:r>
            <w:r>
              <w:rPr>
                <w:rFonts w:hint="eastAsia" w:eastAsia="仿宋" w:cs="Times New Roman"/>
                <w:color w:val="auto"/>
                <w:sz w:val="24"/>
                <w:szCs w:val="22"/>
                <w:highlight w:val="none"/>
              </w:rPr>
              <w:t>年</w:t>
            </w:r>
            <w:r>
              <w:rPr>
                <w:rFonts w:eastAsia="仿宋" w:cs="Times New Roman"/>
                <w:color w:val="auto"/>
                <w:sz w:val="24"/>
                <w:szCs w:val="22"/>
                <w:highlight w:val="none"/>
              </w:rPr>
              <w:t>1月1日至今（以签订合同时间为准）具有类似</w:t>
            </w:r>
            <w:r>
              <w:rPr>
                <w:rFonts w:hint="eastAsia" w:eastAsia="仿宋" w:cs="Times New Roman"/>
                <w:color w:val="auto"/>
                <w:sz w:val="24"/>
                <w:szCs w:val="22"/>
                <w:highlight w:val="none"/>
                <w:lang w:eastAsia="zh-CN"/>
              </w:rPr>
              <w:t>核心</w:t>
            </w:r>
            <w:r>
              <w:rPr>
                <w:rFonts w:eastAsia="仿宋" w:cs="Times New Roman"/>
                <w:color w:val="auto"/>
                <w:sz w:val="24"/>
                <w:szCs w:val="22"/>
                <w:highlight w:val="none"/>
              </w:rPr>
              <w:t>产品销售案例，每提供1份销售案例加</w:t>
            </w:r>
            <w:r>
              <w:rPr>
                <w:rFonts w:hint="eastAsia" w:eastAsia="仿宋" w:cs="Times New Roman"/>
                <w:color w:val="auto"/>
                <w:sz w:val="24"/>
                <w:szCs w:val="22"/>
                <w:highlight w:val="none"/>
                <w:lang w:val="en-US" w:eastAsia="zh-CN"/>
              </w:rPr>
              <w:t>2</w:t>
            </w:r>
            <w:r>
              <w:rPr>
                <w:rFonts w:hint="eastAsia" w:eastAsia="仿宋" w:cs="Times New Roman"/>
                <w:color w:val="auto"/>
                <w:sz w:val="24"/>
                <w:szCs w:val="22"/>
                <w:highlight w:val="none"/>
              </w:rPr>
              <w:t>分，本项最多加</w:t>
            </w:r>
            <w:r>
              <w:rPr>
                <w:rFonts w:hint="eastAsia" w:eastAsia="仿宋" w:cs="Times New Roman"/>
                <w:color w:val="auto"/>
                <w:sz w:val="24"/>
                <w:szCs w:val="22"/>
                <w:highlight w:val="none"/>
                <w:lang w:val="en-US" w:eastAsia="zh-CN"/>
              </w:rPr>
              <w:t>6</w:t>
            </w:r>
            <w:r>
              <w:rPr>
                <w:rFonts w:hint="eastAsia" w:eastAsia="仿宋" w:cs="Times New Roman"/>
                <w:color w:val="auto"/>
                <w:sz w:val="24"/>
                <w:szCs w:val="22"/>
                <w:highlight w:val="none"/>
              </w:rPr>
              <w:t>分。</w:t>
            </w:r>
          </w:p>
          <w:p>
            <w:pPr>
              <w:pageBreakBefore w:val="0"/>
              <w:kinsoku/>
              <w:wordWrap/>
              <w:overflowPunct/>
              <w:topLinePunct w:val="0"/>
              <w:autoSpaceDE/>
              <w:autoSpaceDN/>
              <w:bidi w:val="0"/>
              <w:adjustRightInd/>
              <w:snapToGrid/>
              <w:spacing w:line="460" w:lineRule="exact"/>
              <w:jc w:val="left"/>
              <w:rPr>
                <w:rFonts w:eastAsia="仿宋"/>
                <w:b/>
                <w:bCs/>
                <w:color w:val="auto"/>
                <w:sz w:val="24"/>
                <w:szCs w:val="22"/>
                <w:highlight w:val="none"/>
              </w:rPr>
            </w:pPr>
            <w:r>
              <w:rPr>
                <w:rFonts w:hint="eastAsia" w:eastAsia="仿宋" w:cs="Times New Roman"/>
                <w:b/>
                <w:bCs/>
                <w:color w:val="auto"/>
                <w:sz w:val="24"/>
                <w:szCs w:val="22"/>
                <w:highlight w:val="none"/>
              </w:rPr>
              <w:t>评审依据：①投标文件中提供销售案例明细表（销售案例明细表包含</w:t>
            </w:r>
            <w:r>
              <w:rPr>
                <w:rFonts w:eastAsia="仿宋" w:cs="Times New Roman"/>
                <w:b/>
                <w:bCs/>
                <w:color w:val="auto"/>
                <w:sz w:val="24"/>
                <w:szCs w:val="22"/>
                <w:highlight w:val="none"/>
              </w:rPr>
              <w:t>:发布网站名称、网页链接地址、采购项目名称、采购单位名称和联系方式、采购代理机构名称和联系方式）；</w:t>
            </w:r>
            <w:r>
              <w:rPr>
                <w:rFonts w:hint="eastAsia" w:eastAsia="仿宋" w:cs="Times New Roman"/>
                <w:b/>
                <w:bCs/>
                <w:color w:val="auto"/>
                <w:sz w:val="24"/>
                <w:szCs w:val="22"/>
                <w:highlight w:val="none"/>
              </w:rPr>
              <w:t>②</w:t>
            </w:r>
            <w:r>
              <w:rPr>
                <w:rFonts w:hint="eastAsia" w:eastAsia="仿宋" w:cs="Times New Roman"/>
                <w:b/>
                <w:bCs/>
                <w:color w:val="auto"/>
                <w:sz w:val="24"/>
                <w:szCs w:val="22"/>
                <w:highlight w:val="none"/>
                <w:lang w:eastAsia="zh-CN"/>
              </w:rPr>
              <w:t>中标（成交）公告截图（打印网页）、中标通知书复印件和合同复印件（中标通知书或合同复印件应体现类似销售案例的货物），合同签订方必须是投标人本身。</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hint="eastAsia" w:eastAsia="仿宋"/>
                <w:color w:val="auto"/>
                <w:sz w:val="24"/>
                <w:szCs w:val="22"/>
                <w:highlight w:val="none"/>
                <w:lang w:val="en-US" w:eastAsia="zh-CN"/>
              </w:rPr>
              <w:t>6</w:t>
            </w:r>
            <w:r>
              <w:rPr>
                <w:rFonts w:eastAsia="仿宋"/>
                <w:color w:val="auto"/>
                <w:sz w:val="24"/>
                <w:szCs w:val="22"/>
                <w:highlight w:val="none"/>
              </w:rPr>
              <w:t>分</w:t>
            </w:r>
          </w:p>
        </w:tc>
      </w:tr>
    </w:tbl>
    <w:p>
      <w:pPr>
        <w:pageBreakBefore w:val="0"/>
        <w:kinsoku/>
        <w:wordWrap/>
        <w:overflowPunct/>
        <w:topLinePunct w:val="0"/>
        <w:autoSpaceDE/>
        <w:autoSpaceDN/>
        <w:bidi w:val="0"/>
        <w:adjustRightInd/>
        <w:snapToGrid/>
        <w:spacing w:line="460" w:lineRule="exact"/>
        <w:rPr>
          <w:color w:val="auto"/>
          <w:highlight w:val="none"/>
        </w:rPr>
      </w:pPr>
      <w:r>
        <w:rPr>
          <w:color w:val="auto"/>
          <w:highlight w:val="none"/>
        </w:rPr>
        <w:br w:type="page"/>
      </w:r>
    </w:p>
    <w:p>
      <w:pPr>
        <w:pageBreakBefore w:val="0"/>
        <w:kinsoku/>
        <w:wordWrap/>
        <w:overflowPunct/>
        <w:topLinePunct w:val="0"/>
        <w:autoSpaceDE/>
        <w:autoSpaceDN/>
        <w:bidi w:val="0"/>
        <w:adjustRightInd/>
        <w:snapToGrid/>
        <w:spacing w:line="460" w:lineRule="exact"/>
        <w:jc w:val="left"/>
        <w:outlineLvl w:val="1"/>
        <w:rPr>
          <w:rFonts w:hint="eastAsia" w:ascii="仿宋" w:hAnsi="仿宋" w:eastAsia="仿宋" w:cs="Times New Roman"/>
          <w:b/>
          <w:bCs/>
          <w:color w:val="auto"/>
          <w:sz w:val="28"/>
          <w:szCs w:val="28"/>
          <w:highlight w:val="none"/>
          <w:lang w:eastAsia="zh-CN"/>
        </w:rPr>
      </w:pPr>
      <w:bookmarkStart w:id="668" w:name="_Toc4794"/>
      <w:bookmarkStart w:id="669" w:name="_Toc6280"/>
      <w:bookmarkStart w:id="670" w:name="_Toc15739"/>
      <w:bookmarkStart w:id="671" w:name="_Toc12330"/>
      <w:r>
        <w:rPr>
          <w:rFonts w:hint="eastAsia" w:ascii="仿宋" w:hAnsi="仿宋" w:eastAsia="仿宋" w:cs="Times New Roman"/>
          <w:b/>
          <w:bCs/>
          <w:color w:val="auto"/>
          <w:sz w:val="28"/>
          <w:szCs w:val="28"/>
          <w:highlight w:val="none"/>
          <w:lang w:val="en-US" w:eastAsia="zh-CN"/>
        </w:rPr>
        <w:t>28包</w:t>
      </w:r>
      <w:r>
        <w:rPr>
          <w:rFonts w:hint="eastAsia" w:ascii="仿宋" w:hAnsi="仿宋" w:eastAsia="仿宋" w:cs="Times New Roman"/>
          <w:b/>
          <w:bCs/>
          <w:color w:val="auto"/>
          <w:sz w:val="28"/>
          <w:szCs w:val="28"/>
          <w:highlight w:val="none"/>
        </w:rPr>
        <w:t>：狭小空间排烟机、强制送风呼吸器、坑道小型空气输送机、水驱动排烟机【核心产品】</w:t>
      </w:r>
      <w:bookmarkEnd w:id="668"/>
      <w:bookmarkEnd w:id="669"/>
      <w:bookmarkEnd w:id="670"/>
      <w:bookmarkEnd w:id="671"/>
    </w:p>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cs="Times New Roman"/>
          <w:b/>
          <w:color w:val="auto"/>
          <w:sz w:val="24"/>
          <w:highlight w:val="none"/>
        </w:rPr>
      </w:pPr>
      <w:r>
        <w:rPr>
          <w:rFonts w:hint="eastAsia" w:ascii="仿宋" w:hAnsi="仿宋" w:eastAsia="仿宋" w:cs="Times New Roman"/>
          <w:b/>
          <w:color w:val="auto"/>
          <w:sz w:val="24"/>
          <w:highlight w:val="none"/>
        </w:rPr>
        <w:t>一、价格部分（</w:t>
      </w:r>
      <w:r>
        <w:rPr>
          <w:rFonts w:ascii="仿宋" w:hAnsi="仿宋" w:eastAsia="仿宋" w:cs="Times New Roman"/>
          <w:b/>
          <w:color w:val="auto"/>
          <w:sz w:val="24"/>
          <w:highlight w:val="none"/>
        </w:rPr>
        <w:t>30分）</w:t>
      </w:r>
    </w:p>
    <w:tbl>
      <w:tblPr>
        <w:tblStyle w:val="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1"/>
        <w:gridCol w:w="1449"/>
        <w:gridCol w:w="5672"/>
        <w:gridCol w:w="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评审因素</w:t>
            </w:r>
          </w:p>
        </w:tc>
        <w:tc>
          <w:tcPr>
            <w:tcW w:w="3327" w:type="pct"/>
            <w:vAlign w:val="center"/>
          </w:tcPr>
          <w:p>
            <w:pPr>
              <w:pageBreakBefore w:val="0"/>
              <w:kinsoku/>
              <w:wordWrap/>
              <w:overflowPunct/>
              <w:topLinePunct w:val="0"/>
              <w:autoSpaceDE/>
              <w:autoSpaceDN/>
              <w:bidi w:val="0"/>
              <w:adjustRightInd/>
              <w:snapToGrid/>
              <w:spacing w:line="460" w:lineRule="exact"/>
              <w:jc w:val="center"/>
              <w:textAlignment w:val="center"/>
              <w:rPr>
                <w:rFonts w:ascii="仿宋" w:hAnsi="仿宋" w:eastAsia="仿宋" w:cs="仿宋"/>
                <w:b/>
                <w:color w:val="auto"/>
                <w:sz w:val="24"/>
                <w:highlight w:val="none"/>
              </w:rPr>
            </w:pPr>
            <w:r>
              <w:rPr>
                <w:rFonts w:hint="eastAsia" w:ascii="仿宋" w:hAnsi="仿宋" w:eastAsia="仿宋" w:cs="仿宋"/>
                <w:b/>
                <w:bCs/>
                <w:color w:val="auto"/>
                <w:sz w:val="24"/>
                <w:highlight w:val="none"/>
              </w:rPr>
              <w:t>评分标准</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价格分</w:t>
            </w:r>
          </w:p>
        </w:tc>
        <w:tc>
          <w:tcPr>
            <w:tcW w:w="3327" w:type="pct"/>
            <w:vAlign w:val="center"/>
          </w:tcPr>
          <w:p>
            <w:pPr>
              <w:pageBreakBefore w:val="0"/>
              <w:kinsoku/>
              <w:wordWrap/>
              <w:overflowPunct/>
              <w:topLinePunct w:val="0"/>
              <w:autoSpaceDE/>
              <w:autoSpaceDN/>
              <w:bidi w:val="0"/>
              <w:adjustRightInd/>
              <w:snapToGrid/>
              <w:spacing w:line="460" w:lineRule="exact"/>
              <w:jc w:val="left"/>
              <w:textAlignment w:val="center"/>
              <w:rPr>
                <w:rFonts w:ascii="仿宋" w:hAnsi="仿宋" w:eastAsia="仿宋" w:cs="仿宋"/>
                <w:color w:val="auto"/>
                <w:sz w:val="24"/>
                <w:highlight w:val="none"/>
              </w:rPr>
            </w:pPr>
            <w:r>
              <w:rPr>
                <w:rFonts w:hint="eastAsia" w:ascii="仿宋" w:hAnsi="仿宋" w:eastAsia="仿宋" w:cs="仿宋"/>
                <w:color w:val="auto"/>
                <w:sz w:val="24"/>
                <w:highlight w:val="none"/>
              </w:rPr>
              <w:t>根据综合评分法，满足招标文件要求且投标价格最低的投标报价为评标基准价，投标报价得分</w:t>
            </w:r>
            <w:r>
              <w:rPr>
                <w:rFonts w:ascii="仿宋" w:hAnsi="仿宋" w:eastAsia="仿宋" w:cs="仿宋"/>
                <w:color w:val="auto"/>
                <w:sz w:val="24"/>
                <w:highlight w:val="none"/>
              </w:rPr>
              <w:t>=（评标基准价／投标报价）</w:t>
            </w:r>
            <w:r>
              <w:rPr>
                <w:rFonts w:hint="eastAsia" w:ascii="仿宋" w:hAnsi="仿宋" w:eastAsia="仿宋" w:cs="仿宋"/>
                <w:color w:val="auto"/>
                <w:sz w:val="24"/>
                <w:highlight w:val="none"/>
              </w:rPr>
              <w:t>×</w:t>
            </w:r>
            <w:r>
              <w:rPr>
                <w:rFonts w:ascii="仿宋" w:hAnsi="仿宋" w:eastAsia="仿宋" w:cs="仿宋"/>
                <w:color w:val="auto"/>
                <w:sz w:val="24"/>
                <w:highlight w:val="none"/>
              </w:rPr>
              <w:t>30%×100，计算分数时四舍五入取小数点后两位。</w:t>
            </w:r>
          </w:p>
          <w:p>
            <w:pPr>
              <w:pageBreakBefore w:val="0"/>
              <w:kinsoku/>
              <w:wordWrap/>
              <w:overflowPunct/>
              <w:topLinePunct w:val="0"/>
              <w:autoSpaceDE/>
              <w:autoSpaceDN/>
              <w:bidi w:val="0"/>
              <w:adjustRightInd/>
              <w:snapToGrid/>
              <w:spacing w:line="460" w:lineRule="exact"/>
              <w:ind w:firstLine="482" w:firstLineChars="200"/>
              <w:jc w:val="left"/>
              <w:textAlignment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注：</w:t>
            </w:r>
            <w:r>
              <w:rPr>
                <w:rFonts w:ascii="仿宋" w:hAnsi="仿宋" w:eastAsia="仿宋" w:cs="仿宋"/>
                <w:b/>
                <w:bCs/>
                <w:color w:val="auto"/>
                <w:sz w:val="24"/>
                <w:highlight w:val="none"/>
              </w:rPr>
              <w:t>小、微型企业或残疾人福利性单位产品或监狱产品的价格给予10%的扣除，用扣除后的价格参与评审。但残疾人福利性单位本身属于小型、微型企业的，不重复享受政策。</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30分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cs="Times New Roman"/>
          <w:b/>
          <w:color w:val="auto"/>
          <w:sz w:val="24"/>
          <w:highlight w:val="none"/>
        </w:rPr>
      </w:pPr>
      <w:r>
        <w:rPr>
          <w:rFonts w:ascii="仿宋" w:hAnsi="仿宋" w:eastAsia="仿宋" w:cs="Times New Roman"/>
          <w:b/>
          <w:color w:val="auto"/>
          <w:sz w:val="24"/>
          <w:highlight w:val="none"/>
        </w:rPr>
        <w:t>二、技术部分（5</w:t>
      </w:r>
      <w:r>
        <w:rPr>
          <w:rFonts w:hint="eastAsia" w:ascii="仿宋" w:hAnsi="仿宋" w:eastAsia="仿宋" w:cs="Times New Roman"/>
          <w:b/>
          <w:color w:val="auto"/>
          <w:sz w:val="24"/>
          <w:highlight w:val="none"/>
          <w:lang w:val="en-US" w:eastAsia="zh-CN"/>
        </w:rPr>
        <w:t>5</w:t>
      </w:r>
      <w:r>
        <w:rPr>
          <w:rFonts w:ascii="仿宋" w:hAnsi="仿宋" w:eastAsia="仿宋" w:cs="Times New Roman"/>
          <w:b/>
          <w:color w:val="auto"/>
          <w:sz w:val="24"/>
          <w:highlight w:val="none"/>
        </w:rPr>
        <w:t>分）</w:t>
      </w:r>
    </w:p>
    <w:tbl>
      <w:tblPr>
        <w:tblStyle w:val="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566"/>
        <w:gridCol w:w="1496"/>
        <w:gridCol w:w="5274"/>
        <w:gridCol w:w="7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1210" w:type="pct"/>
            <w:gridSpan w:val="2"/>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3095"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评分标准</w:t>
            </w:r>
          </w:p>
        </w:tc>
        <w:tc>
          <w:tcPr>
            <w:tcW w:w="426"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268"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210"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技术参数及要求</w:t>
            </w:r>
          </w:p>
        </w:tc>
        <w:tc>
          <w:tcPr>
            <w:tcW w:w="3095" w:type="pct"/>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一、重大负偏离评审依据：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1、带★条款的响应，不满足招标文件要求的，或有缺项、漏项的，视为重大负偏离；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2、一般参数和带“▲”参数共有四项及以上（含本数）的负偏离，视为重大负偏离；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3、所投产品一般参数或带“▲”参数有一项低于招标文件要求，该项视为负偏离；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4、所投产品一般参数或带“▲”参数有一项缺项、漏项的，该项视为负偏离。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注：“一般参数”为非标“★”号参数和非标“▲”号参数。</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①投标文件中提供的技术条款响应表；</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②所投产品技术参数完全满足招标文件要求得</w:t>
            </w:r>
            <w:r>
              <w:rPr>
                <w:rFonts w:hint="eastAsia" w:ascii="仿宋" w:hAnsi="仿宋" w:eastAsia="仿宋" w:cs="仿宋"/>
                <w:b/>
                <w:bCs/>
                <w:color w:val="auto"/>
                <w:sz w:val="24"/>
                <w:highlight w:val="none"/>
                <w:lang w:val="en-US" w:eastAsia="zh-CN"/>
              </w:rPr>
              <w:t>15</w:t>
            </w:r>
            <w:r>
              <w:rPr>
                <w:rFonts w:hint="eastAsia" w:ascii="仿宋" w:hAnsi="仿宋" w:eastAsia="仿宋" w:cs="仿宋"/>
                <w:b/>
                <w:bCs/>
                <w:color w:val="auto"/>
                <w:sz w:val="24"/>
                <w:highlight w:val="none"/>
              </w:rPr>
              <w:t>分；重大负偏离则视为无效投标；一般参数或带“▲”参数每有一项负偏离减5分，最多减15分，四项或以上负偏离视为无效投标。</w:t>
            </w:r>
          </w:p>
        </w:tc>
        <w:tc>
          <w:tcPr>
            <w:tcW w:w="426" w:type="pct"/>
            <w:vAlign w:val="center"/>
          </w:tcPr>
          <w:p>
            <w:pPr>
              <w:pageBreakBefore w:val="0"/>
              <w:kinsoku/>
              <w:wordWrap/>
              <w:overflowPunct/>
              <w:topLinePunct w:val="0"/>
              <w:autoSpaceDE/>
              <w:autoSpaceDN/>
              <w:bidi w:val="0"/>
              <w:adjustRightInd/>
              <w:snapToGrid/>
              <w:spacing w:line="460" w:lineRule="exact"/>
              <w:jc w:val="center"/>
              <w:textAlignment w:val="center"/>
              <w:rPr>
                <w:rFonts w:hint="default"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332" w:type="pct"/>
            <w:vMerge w:val="restar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狭小空间排烟机</w:t>
            </w:r>
          </w:p>
        </w:tc>
        <w:tc>
          <w:tcPr>
            <w:tcW w:w="878"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▲3.4风量：≥35m³/min</w:t>
            </w:r>
          </w:p>
        </w:tc>
        <w:tc>
          <w:tcPr>
            <w:tcW w:w="3095"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highlight w:val="none"/>
              </w:rPr>
              <w:t>风量</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rPr>
              <w:t>风量</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rPr>
              <w:t>风量</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szCs w:val="24"/>
                <w:highlight w:val="none"/>
              </w:rPr>
              <w:t>注：最优表示风量最大，次优表示风量仅次于最大值。</w:t>
            </w:r>
          </w:p>
        </w:tc>
        <w:tc>
          <w:tcPr>
            <w:tcW w:w="42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332" w:type="pct"/>
            <w:vMerge w:val="continue"/>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p>
        </w:tc>
        <w:tc>
          <w:tcPr>
            <w:tcW w:w="878"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▲3.6功率：≥400W</w:t>
            </w:r>
          </w:p>
        </w:tc>
        <w:tc>
          <w:tcPr>
            <w:tcW w:w="3095"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highlight w:val="none"/>
              </w:rPr>
              <w:t>功率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rPr>
              <w:t>功率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rPr>
              <w:t>功率</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b/>
                <w:bCs/>
                <w:color w:val="auto"/>
                <w:sz w:val="24"/>
                <w:szCs w:val="24"/>
                <w:highlight w:val="none"/>
              </w:rPr>
              <w:t>注：最优表示功率最大，次优表示功率仅次于最大值。</w:t>
            </w:r>
          </w:p>
        </w:tc>
        <w:tc>
          <w:tcPr>
            <w:tcW w:w="42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332" w:type="pct"/>
            <w:vMerge w:val="restar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强制送风呼吸器</w:t>
            </w:r>
          </w:p>
        </w:tc>
        <w:tc>
          <w:tcPr>
            <w:tcW w:w="878"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▲3.3送风量：≥95L/min</w:t>
            </w:r>
          </w:p>
        </w:tc>
        <w:tc>
          <w:tcPr>
            <w:tcW w:w="3095"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所投产品送风量优于招标文件要求的，送风量最优的加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分，送风量次优的加2分，其余加1分。（可并列得分）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注：最优表示送风量最大，次优表示送风量仅次于最大值。</w:t>
            </w:r>
          </w:p>
        </w:tc>
        <w:tc>
          <w:tcPr>
            <w:tcW w:w="42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332" w:type="pct"/>
            <w:vMerge w:val="continue"/>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p>
        </w:tc>
        <w:tc>
          <w:tcPr>
            <w:tcW w:w="878"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▲3.4全面罩总视野：≥70%</w:t>
            </w:r>
          </w:p>
        </w:tc>
        <w:tc>
          <w:tcPr>
            <w:tcW w:w="3095"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highlight w:val="none"/>
              </w:rPr>
              <w:t>全面罩总视野</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rPr>
              <w:t>全面罩总视野</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rPr>
              <w:t>全面罩总视野</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szCs w:val="24"/>
                <w:highlight w:val="none"/>
              </w:rPr>
              <w:t>注：最优表示全面罩总视野最大，次优表示全面罩总视野仅次于最大值。</w:t>
            </w:r>
          </w:p>
        </w:tc>
        <w:tc>
          <w:tcPr>
            <w:tcW w:w="42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332" w:type="pct"/>
            <w:vMerge w:val="continue"/>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p>
        </w:tc>
        <w:tc>
          <w:tcPr>
            <w:tcW w:w="878"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▲3.7综合防护过滤元件过滤效率≥95%</w:t>
            </w:r>
          </w:p>
        </w:tc>
        <w:tc>
          <w:tcPr>
            <w:tcW w:w="3095"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highlight w:val="none"/>
                <w:lang w:eastAsia="zh-CN"/>
              </w:rPr>
              <w:t>综合防护过滤元件过滤效率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eastAsia="zh-CN"/>
              </w:rPr>
              <w:t>综合防护过滤元件过滤效率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eastAsia="zh-CN"/>
              </w:rPr>
              <w:t>综合防护过滤元件过滤效率</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eastAsia="zh-CN"/>
              </w:rPr>
              <w:t>综合防护过滤元件过滤效率</w:t>
            </w:r>
            <w:r>
              <w:rPr>
                <w:rFonts w:hint="eastAsia" w:ascii="仿宋" w:hAnsi="仿宋" w:eastAsia="仿宋" w:cs="仿宋"/>
                <w:b/>
                <w:bCs/>
                <w:color w:val="auto"/>
                <w:sz w:val="24"/>
                <w:szCs w:val="24"/>
                <w:highlight w:val="none"/>
              </w:rPr>
              <w:t>最</w:t>
            </w:r>
            <w:r>
              <w:rPr>
                <w:rFonts w:hint="eastAsia" w:ascii="仿宋" w:hAnsi="仿宋" w:eastAsia="仿宋" w:cs="仿宋"/>
                <w:b/>
                <w:bCs/>
                <w:color w:val="auto"/>
                <w:sz w:val="24"/>
                <w:szCs w:val="24"/>
                <w:highlight w:val="none"/>
                <w:lang w:val="en-US" w:eastAsia="zh-CN"/>
              </w:rPr>
              <w:t>高</w:t>
            </w:r>
            <w:r>
              <w:rPr>
                <w:rFonts w:hint="eastAsia" w:ascii="仿宋" w:hAnsi="仿宋" w:eastAsia="仿宋" w:cs="仿宋"/>
                <w:b/>
                <w:bCs/>
                <w:color w:val="auto"/>
                <w:sz w:val="24"/>
                <w:szCs w:val="24"/>
                <w:highlight w:val="none"/>
              </w:rPr>
              <w:t>，次优表示</w:t>
            </w:r>
            <w:r>
              <w:rPr>
                <w:rFonts w:hint="eastAsia" w:ascii="仿宋" w:hAnsi="仿宋" w:eastAsia="仿宋" w:cs="仿宋"/>
                <w:b/>
                <w:bCs/>
                <w:color w:val="auto"/>
                <w:sz w:val="24"/>
                <w:szCs w:val="24"/>
                <w:highlight w:val="none"/>
                <w:lang w:eastAsia="zh-CN"/>
              </w:rPr>
              <w:t>综合防护过滤元件过滤效率</w:t>
            </w:r>
            <w:r>
              <w:rPr>
                <w:rFonts w:hint="eastAsia" w:ascii="仿宋" w:hAnsi="仿宋" w:eastAsia="仿宋" w:cs="仿宋"/>
                <w:b/>
                <w:bCs/>
                <w:color w:val="auto"/>
                <w:sz w:val="24"/>
                <w:szCs w:val="24"/>
                <w:highlight w:val="none"/>
              </w:rPr>
              <w:t>仅次于最大值。</w:t>
            </w:r>
          </w:p>
        </w:tc>
        <w:tc>
          <w:tcPr>
            <w:tcW w:w="42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332" w:type="pct"/>
            <w:vMerge w:val="restar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坑道小型空气输送机</w:t>
            </w:r>
          </w:p>
        </w:tc>
        <w:tc>
          <w:tcPr>
            <w:tcW w:w="878"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▲3.5风量：≥2800m³/h</w:t>
            </w:r>
          </w:p>
        </w:tc>
        <w:tc>
          <w:tcPr>
            <w:tcW w:w="3095"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highlight w:val="none"/>
                <w:lang w:eastAsia="zh-CN"/>
              </w:rPr>
              <w:t>风量</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eastAsia="zh-CN"/>
              </w:rPr>
              <w:t>风量</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eastAsia="zh-CN"/>
              </w:rPr>
              <w:t>风量</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eastAsia="zh-CN"/>
              </w:rPr>
              <w:t>风量</w:t>
            </w:r>
            <w:r>
              <w:rPr>
                <w:rFonts w:hint="eastAsia" w:ascii="仿宋" w:hAnsi="仿宋" w:eastAsia="仿宋" w:cs="仿宋"/>
                <w:b/>
                <w:bCs/>
                <w:color w:val="auto"/>
                <w:sz w:val="24"/>
                <w:szCs w:val="24"/>
                <w:highlight w:val="none"/>
              </w:rPr>
              <w:t>最大，次优表示</w:t>
            </w:r>
            <w:r>
              <w:rPr>
                <w:rFonts w:hint="eastAsia" w:ascii="仿宋" w:hAnsi="仿宋" w:eastAsia="仿宋" w:cs="仿宋"/>
                <w:b/>
                <w:bCs/>
                <w:color w:val="auto"/>
                <w:sz w:val="24"/>
                <w:szCs w:val="24"/>
                <w:highlight w:val="none"/>
                <w:lang w:eastAsia="zh-CN"/>
              </w:rPr>
              <w:t>风量</w:t>
            </w:r>
            <w:r>
              <w:rPr>
                <w:rFonts w:hint="eastAsia" w:ascii="仿宋" w:hAnsi="仿宋" w:eastAsia="仿宋" w:cs="仿宋"/>
                <w:b/>
                <w:bCs/>
                <w:color w:val="auto"/>
                <w:sz w:val="24"/>
                <w:szCs w:val="24"/>
                <w:highlight w:val="none"/>
              </w:rPr>
              <w:t>仅次于最大值。</w:t>
            </w:r>
          </w:p>
        </w:tc>
        <w:tc>
          <w:tcPr>
            <w:tcW w:w="42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332" w:type="pct"/>
            <w:vMerge w:val="continue"/>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p>
        </w:tc>
        <w:tc>
          <w:tcPr>
            <w:tcW w:w="878"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▲3.7功率：≥400W</w:t>
            </w:r>
          </w:p>
        </w:tc>
        <w:tc>
          <w:tcPr>
            <w:tcW w:w="3095"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highlight w:val="none"/>
                <w:lang w:eastAsia="zh-CN"/>
              </w:rPr>
              <w:t>功率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eastAsia="zh-CN"/>
              </w:rPr>
              <w:t>功率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eastAsia="zh-CN"/>
              </w:rPr>
              <w:t>功率</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eastAsia="zh-CN"/>
              </w:rPr>
              <w:t>功率</w:t>
            </w:r>
            <w:r>
              <w:rPr>
                <w:rFonts w:hint="eastAsia" w:ascii="仿宋" w:hAnsi="仿宋" w:eastAsia="仿宋" w:cs="仿宋"/>
                <w:b/>
                <w:bCs/>
                <w:color w:val="auto"/>
                <w:sz w:val="24"/>
                <w:szCs w:val="24"/>
                <w:highlight w:val="none"/>
              </w:rPr>
              <w:t>最大，次优表示</w:t>
            </w:r>
            <w:r>
              <w:rPr>
                <w:rFonts w:hint="eastAsia" w:ascii="仿宋" w:hAnsi="仿宋" w:eastAsia="仿宋" w:cs="仿宋"/>
                <w:b/>
                <w:bCs/>
                <w:color w:val="auto"/>
                <w:sz w:val="24"/>
                <w:szCs w:val="24"/>
                <w:highlight w:val="none"/>
                <w:lang w:eastAsia="zh-CN"/>
              </w:rPr>
              <w:t>功率</w:t>
            </w:r>
            <w:r>
              <w:rPr>
                <w:rFonts w:hint="eastAsia" w:ascii="仿宋" w:hAnsi="仿宋" w:eastAsia="仿宋" w:cs="仿宋"/>
                <w:b/>
                <w:bCs/>
                <w:color w:val="auto"/>
                <w:sz w:val="24"/>
                <w:szCs w:val="24"/>
                <w:highlight w:val="none"/>
              </w:rPr>
              <w:t>仅次于最大值。</w:t>
            </w:r>
          </w:p>
        </w:tc>
        <w:tc>
          <w:tcPr>
            <w:tcW w:w="42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332" w:type="pct"/>
            <w:vMerge w:val="continue"/>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p>
        </w:tc>
        <w:tc>
          <w:tcPr>
            <w:tcW w:w="878"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▲3.9重量：≤18kg</w:t>
            </w:r>
          </w:p>
        </w:tc>
        <w:tc>
          <w:tcPr>
            <w:tcW w:w="3095"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highlight w:val="none"/>
                <w:lang w:eastAsia="zh-CN"/>
              </w:rPr>
              <w:t>重量</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eastAsia="zh-CN"/>
              </w:rPr>
              <w:t>重量</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eastAsia="zh-CN"/>
              </w:rPr>
              <w:t>重量</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eastAsia="zh-CN"/>
              </w:rPr>
              <w:t>重量</w:t>
            </w:r>
            <w:r>
              <w:rPr>
                <w:rFonts w:hint="eastAsia" w:ascii="仿宋" w:hAnsi="仿宋" w:eastAsia="仿宋" w:cs="仿宋"/>
                <w:b/>
                <w:bCs/>
                <w:color w:val="auto"/>
                <w:sz w:val="24"/>
                <w:szCs w:val="24"/>
                <w:highlight w:val="none"/>
              </w:rPr>
              <w:t>最</w:t>
            </w:r>
            <w:r>
              <w:rPr>
                <w:rFonts w:hint="eastAsia" w:ascii="仿宋" w:hAnsi="仿宋" w:eastAsia="仿宋" w:cs="仿宋"/>
                <w:b/>
                <w:bCs/>
                <w:color w:val="auto"/>
                <w:sz w:val="24"/>
                <w:szCs w:val="24"/>
                <w:highlight w:val="none"/>
                <w:lang w:val="en-US" w:eastAsia="zh-CN"/>
              </w:rPr>
              <w:t>小</w:t>
            </w:r>
            <w:r>
              <w:rPr>
                <w:rFonts w:hint="eastAsia" w:ascii="仿宋" w:hAnsi="仿宋" w:eastAsia="仿宋" w:cs="仿宋"/>
                <w:b/>
                <w:bCs/>
                <w:color w:val="auto"/>
                <w:sz w:val="24"/>
                <w:szCs w:val="24"/>
                <w:highlight w:val="none"/>
              </w:rPr>
              <w:t>，次优表示</w:t>
            </w:r>
            <w:r>
              <w:rPr>
                <w:rFonts w:hint="eastAsia" w:ascii="仿宋" w:hAnsi="仿宋" w:eastAsia="仿宋" w:cs="仿宋"/>
                <w:b/>
                <w:bCs/>
                <w:color w:val="auto"/>
                <w:sz w:val="24"/>
                <w:szCs w:val="24"/>
                <w:highlight w:val="none"/>
                <w:lang w:eastAsia="zh-CN"/>
              </w:rPr>
              <w:t>重量</w:t>
            </w:r>
            <w:r>
              <w:rPr>
                <w:rFonts w:hint="eastAsia" w:ascii="仿宋" w:hAnsi="仿宋" w:eastAsia="仿宋" w:cs="仿宋"/>
                <w:b/>
                <w:bCs/>
                <w:color w:val="auto"/>
                <w:sz w:val="24"/>
                <w:szCs w:val="24"/>
                <w:highlight w:val="none"/>
              </w:rPr>
              <w:t>仅次于最</w:t>
            </w:r>
            <w:r>
              <w:rPr>
                <w:rFonts w:hint="eastAsia" w:ascii="仿宋" w:hAnsi="仿宋" w:eastAsia="仿宋" w:cs="仿宋"/>
                <w:b/>
                <w:bCs/>
                <w:color w:val="auto"/>
                <w:sz w:val="24"/>
                <w:szCs w:val="24"/>
                <w:highlight w:val="none"/>
                <w:lang w:val="en-US" w:eastAsia="zh-CN"/>
              </w:rPr>
              <w:t>小</w:t>
            </w:r>
            <w:r>
              <w:rPr>
                <w:rFonts w:hint="eastAsia" w:ascii="仿宋" w:hAnsi="仿宋" w:eastAsia="仿宋" w:cs="仿宋"/>
                <w:b/>
                <w:bCs/>
                <w:color w:val="auto"/>
                <w:sz w:val="24"/>
                <w:szCs w:val="24"/>
                <w:highlight w:val="none"/>
              </w:rPr>
              <w:t>值。</w:t>
            </w:r>
          </w:p>
        </w:tc>
        <w:tc>
          <w:tcPr>
            <w:tcW w:w="42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332" w:type="pct"/>
            <w:vMerge w:val="restar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水驱动排烟机</w:t>
            </w:r>
          </w:p>
        </w:tc>
        <w:tc>
          <w:tcPr>
            <w:tcW w:w="878"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▲3.3额定风量：≥42000m³/h</w:t>
            </w:r>
          </w:p>
        </w:tc>
        <w:tc>
          <w:tcPr>
            <w:tcW w:w="3095"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highlight w:val="none"/>
                <w:lang w:eastAsia="zh-CN"/>
              </w:rPr>
              <w:t>额定风量</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eastAsia="zh-CN"/>
              </w:rPr>
              <w:t>额定风量</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eastAsia="zh-CN"/>
              </w:rPr>
              <w:t>额定风量</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eastAsia="zh-CN"/>
              </w:rPr>
              <w:t>额定风量</w:t>
            </w:r>
            <w:r>
              <w:rPr>
                <w:rFonts w:hint="eastAsia" w:ascii="仿宋" w:hAnsi="仿宋" w:eastAsia="仿宋" w:cs="仿宋"/>
                <w:b/>
                <w:bCs/>
                <w:color w:val="auto"/>
                <w:sz w:val="24"/>
                <w:szCs w:val="24"/>
                <w:highlight w:val="none"/>
              </w:rPr>
              <w:t>最大，次优表示</w:t>
            </w:r>
            <w:r>
              <w:rPr>
                <w:rFonts w:hint="eastAsia" w:ascii="仿宋" w:hAnsi="仿宋" w:eastAsia="仿宋" w:cs="仿宋"/>
                <w:b/>
                <w:bCs/>
                <w:color w:val="auto"/>
                <w:sz w:val="24"/>
                <w:szCs w:val="24"/>
                <w:highlight w:val="none"/>
                <w:lang w:eastAsia="zh-CN"/>
              </w:rPr>
              <w:t>额定风量</w:t>
            </w:r>
            <w:r>
              <w:rPr>
                <w:rFonts w:hint="eastAsia" w:ascii="仿宋" w:hAnsi="仿宋" w:eastAsia="仿宋" w:cs="仿宋"/>
                <w:b/>
                <w:bCs/>
                <w:color w:val="auto"/>
                <w:sz w:val="24"/>
                <w:szCs w:val="24"/>
                <w:highlight w:val="none"/>
              </w:rPr>
              <w:t>仅次于最大值。</w:t>
            </w:r>
          </w:p>
        </w:tc>
        <w:tc>
          <w:tcPr>
            <w:tcW w:w="42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332" w:type="pct"/>
            <w:vMerge w:val="continue"/>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p>
        </w:tc>
        <w:tc>
          <w:tcPr>
            <w:tcW w:w="878"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▲3.5质量：≤55kg</w:t>
            </w:r>
          </w:p>
        </w:tc>
        <w:tc>
          <w:tcPr>
            <w:tcW w:w="3095"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highlight w:val="none"/>
                <w:lang w:eastAsia="zh-CN"/>
              </w:rPr>
              <w:t>质量</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eastAsia="zh-CN"/>
              </w:rPr>
              <w:t>质量</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eastAsia="zh-CN"/>
              </w:rPr>
              <w:t>质量</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eastAsia="zh-CN"/>
              </w:rPr>
              <w:t>质量</w:t>
            </w:r>
            <w:r>
              <w:rPr>
                <w:rFonts w:hint="eastAsia" w:ascii="仿宋" w:hAnsi="仿宋" w:eastAsia="仿宋" w:cs="仿宋"/>
                <w:b/>
                <w:bCs/>
                <w:color w:val="auto"/>
                <w:sz w:val="24"/>
                <w:szCs w:val="24"/>
                <w:highlight w:val="none"/>
              </w:rPr>
              <w:t>最</w:t>
            </w:r>
            <w:r>
              <w:rPr>
                <w:rFonts w:hint="eastAsia" w:ascii="仿宋" w:hAnsi="仿宋" w:eastAsia="仿宋" w:cs="仿宋"/>
                <w:b/>
                <w:bCs/>
                <w:color w:val="auto"/>
                <w:sz w:val="24"/>
                <w:szCs w:val="24"/>
                <w:highlight w:val="none"/>
                <w:lang w:val="en-US" w:eastAsia="zh-CN"/>
              </w:rPr>
              <w:t>小</w:t>
            </w:r>
            <w:r>
              <w:rPr>
                <w:rFonts w:hint="eastAsia" w:ascii="仿宋" w:hAnsi="仿宋" w:eastAsia="仿宋" w:cs="仿宋"/>
                <w:b/>
                <w:bCs/>
                <w:color w:val="auto"/>
                <w:sz w:val="24"/>
                <w:szCs w:val="24"/>
                <w:highlight w:val="none"/>
              </w:rPr>
              <w:t>，次优表示</w:t>
            </w:r>
            <w:r>
              <w:rPr>
                <w:rFonts w:hint="eastAsia" w:ascii="仿宋" w:hAnsi="仿宋" w:eastAsia="仿宋" w:cs="仿宋"/>
                <w:b/>
                <w:bCs/>
                <w:color w:val="auto"/>
                <w:sz w:val="24"/>
                <w:szCs w:val="24"/>
                <w:highlight w:val="none"/>
                <w:lang w:eastAsia="zh-CN"/>
              </w:rPr>
              <w:t>质量</w:t>
            </w:r>
            <w:r>
              <w:rPr>
                <w:rFonts w:hint="eastAsia" w:ascii="仿宋" w:hAnsi="仿宋" w:eastAsia="仿宋" w:cs="仿宋"/>
                <w:b/>
                <w:bCs/>
                <w:color w:val="auto"/>
                <w:sz w:val="24"/>
                <w:szCs w:val="24"/>
                <w:highlight w:val="none"/>
              </w:rPr>
              <w:t>仅次于最</w:t>
            </w:r>
            <w:r>
              <w:rPr>
                <w:rFonts w:hint="eastAsia" w:ascii="仿宋" w:hAnsi="仿宋" w:eastAsia="仿宋" w:cs="仿宋"/>
                <w:b/>
                <w:bCs/>
                <w:color w:val="auto"/>
                <w:sz w:val="24"/>
                <w:szCs w:val="24"/>
                <w:highlight w:val="none"/>
                <w:lang w:val="en-US" w:eastAsia="zh-CN"/>
              </w:rPr>
              <w:t>小</w:t>
            </w:r>
            <w:r>
              <w:rPr>
                <w:rFonts w:hint="eastAsia" w:ascii="仿宋" w:hAnsi="仿宋" w:eastAsia="仿宋" w:cs="仿宋"/>
                <w:b/>
                <w:bCs/>
                <w:color w:val="auto"/>
                <w:sz w:val="24"/>
                <w:szCs w:val="24"/>
                <w:highlight w:val="none"/>
              </w:rPr>
              <w:t>值。</w:t>
            </w:r>
          </w:p>
        </w:tc>
        <w:tc>
          <w:tcPr>
            <w:tcW w:w="42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268" w:type="pct"/>
            <w:vMerge w:val="continue"/>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731" w:type="pct"/>
            <w:gridSpan w:val="4"/>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评审依据：提供技术条款响应表和技术支撑文件</w:t>
            </w:r>
            <w:r>
              <w:rPr>
                <w:rFonts w:hint="eastAsia" w:ascii="仿宋" w:hAnsi="仿宋" w:eastAsia="仿宋" w:cs="仿宋"/>
                <w:b/>
                <w:bCs/>
                <w:color w:val="auto"/>
                <w:sz w:val="24"/>
                <w:highlight w:val="none"/>
                <w:lang w:eastAsia="zh-CN"/>
              </w:rPr>
              <w:t>。</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hint="eastAsia"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hint="eastAsia"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hint="eastAsia"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③制造商出具的技术参数证明材料并加盖制造商公章。]</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注：①供应商应认真提供技术支撑文件，若提供多份技术支撑文件，技术支撑文件佐证不一致时，优先级为：产品检测报告复印件＞制造商公开发布的印刷资料＞制造商出具的技术参数证明</w:t>
            </w:r>
            <w:r>
              <w:rPr>
                <w:rFonts w:hint="eastAsia" w:ascii="仿宋" w:hAnsi="仿宋" w:eastAsia="仿宋" w:cs="仿宋"/>
                <w:b/>
                <w:bCs/>
                <w:color w:val="auto"/>
                <w:sz w:val="24"/>
                <w:highlight w:val="none"/>
                <w:lang w:val="en-US" w:eastAsia="zh-CN"/>
              </w:rPr>
              <w:t>材料</w:t>
            </w:r>
            <w:r>
              <w:rPr>
                <w:rFonts w:hint="eastAsia" w:ascii="仿宋" w:hAnsi="仿宋" w:eastAsia="仿宋" w:cs="仿宋"/>
                <w:b/>
                <w:bCs/>
                <w:color w:val="auto"/>
                <w:sz w:val="24"/>
                <w:highlight w:val="none"/>
              </w:rPr>
              <w:t>；②技术支撑文件</w:t>
            </w:r>
            <w:r>
              <w:rPr>
                <w:rFonts w:hint="eastAsia" w:ascii="仿宋" w:hAnsi="仿宋" w:eastAsia="仿宋" w:cs="仿宋"/>
                <w:b/>
                <w:bCs/>
                <w:color w:val="auto"/>
                <w:sz w:val="24"/>
                <w:highlight w:val="none"/>
                <w:lang w:val="en-US" w:eastAsia="zh-CN"/>
              </w:rPr>
              <w:t>与</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不一致，则</w:t>
            </w:r>
            <w:r>
              <w:rPr>
                <w:rFonts w:hint="eastAsia" w:ascii="仿宋" w:hAnsi="仿宋" w:eastAsia="仿宋" w:cs="仿宋"/>
                <w:b/>
                <w:bCs/>
                <w:color w:val="auto"/>
                <w:sz w:val="24"/>
                <w:highlight w:val="none"/>
              </w:rPr>
              <w:t>该点不加分</w:t>
            </w:r>
            <w:r>
              <w:rPr>
                <w:rFonts w:hint="eastAsia" w:ascii="仿宋" w:hAnsi="仿宋" w:eastAsia="仿宋" w:cs="仿宋"/>
                <w:b/>
                <w:bCs/>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68"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210"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整体结构与外观</w:t>
            </w:r>
          </w:p>
        </w:tc>
        <w:tc>
          <w:tcPr>
            <w:tcW w:w="3095"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根据视频文件对核心产品的外观构造、内部结构、设计理念等进行评审。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设计理念先进，外部构造和内部结构科学合理，整体结构外观与实战紧贴程度高的，得3分；设计理念较为先进，外部构造和内部结构较为合理，整体结构外观与实战紧贴程度较高的，得2分；设计理念一般，外观构造和内部结构基本合理，整体结构外观与实战紧贴程度不高的，得1分；未提供证明材料或证明材料有缺项的不得分。</w:t>
            </w:r>
          </w:p>
        </w:tc>
        <w:tc>
          <w:tcPr>
            <w:tcW w:w="42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210"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工艺</w:t>
            </w:r>
          </w:p>
        </w:tc>
        <w:tc>
          <w:tcPr>
            <w:tcW w:w="3095"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根据视频文件对核心产品的安全性、耐用性、实用性等进行评审。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性能高、耐用性能好、实用性能强，工艺符合实战需求程度高的，得3分；安全性能较高、耐用性能良好、实用性能较强，工艺符合实战需求程度较高的，得2分；安全性能不高、耐用性能普通、实用性能一般，工艺符合实战需求程度不高的，得1分；未提供证明材料或证明材料有缺项的不得分。</w:t>
            </w:r>
          </w:p>
        </w:tc>
        <w:tc>
          <w:tcPr>
            <w:tcW w:w="42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210"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操作使用性能</w:t>
            </w:r>
          </w:p>
        </w:tc>
        <w:tc>
          <w:tcPr>
            <w:tcW w:w="3095"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根据视频文件对核心产品的可靠性、便捷性、稳定性等进行评审。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可靠性高、便捷性好、稳定性好，操作使用性能提升战斗力程度高的，得4分；可靠性较高、便捷性较好、稳定性良好，操作使用性能提升战斗力程度较高的，得2分；可靠性不高、便捷性和稳定性一般，操作使用性能提升战斗力程度不高的，得1分；未提供证明材料或证明材料有缺项的不得分。</w:t>
            </w:r>
          </w:p>
        </w:tc>
        <w:tc>
          <w:tcPr>
            <w:tcW w:w="42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731" w:type="pct"/>
            <w:gridSpan w:val="4"/>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lang w:eastAsia="zh-CN"/>
              </w:rPr>
            </w:pPr>
            <w:r>
              <w:rPr>
                <w:rFonts w:hint="eastAsia" w:ascii="仿宋" w:hAnsi="仿宋" w:eastAsia="仿宋" w:cs="仿宋"/>
                <w:b/>
                <w:bCs/>
                <w:color w:val="auto"/>
                <w:sz w:val="24"/>
                <w:highlight w:val="none"/>
              </w:rPr>
              <w:t>以上评审依据：根据视频文件对产品的整体结构与外观、工艺、操作使用性能进行综合评审，视频文件需对以上三点评审内容进行介绍（包含但不限于以上三点）。视频文件[视频文件格式须为通用格式，佐证视频时长不得超过5分钟，视频清晰度应至少保证所摄的界面文字清晰易辨、画面完整连贯、播放速度正常]应存储于U盘内（单独密封在信封中）与投标文件同时递交，逾期递交不予接收，</w:t>
            </w:r>
            <w:r>
              <w:rPr>
                <w:rFonts w:hint="eastAsia" w:ascii="仿宋" w:hAnsi="仿宋" w:eastAsia="仿宋" w:cs="仿宋"/>
                <w:b/>
                <w:bCs/>
                <w:color w:val="auto"/>
                <w:sz w:val="24"/>
                <w:highlight w:val="none"/>
                <w:lang w:eastAsia="zh-CN"/>
              </w:rPr>
              <w:t>U盘由采购代理机构封存，不予退回。未提供视频或视频无法打开的，得0分。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cs="Times New Roman"/>
          <w:b/>
          <w:color w:val="auto"/>
          <w:sz w:val="24"/>
          <w:highlight w:val="none"/>
        </w:rPr>
      </w:pPr>
      <w:r>
        <w:rPr>
          <w:rFonts w:ascii="仿宋" w:hAnsi="仿宋" w:eastAsia="仿宋" w:cs="Times New Roman"/>
          <w:b/>
          <w:color w:val="auto"/>
          <w:sz w:val="24"/>
          <w:highlight w:val="none"/>
        </w:rPr>
        <w:t>三、商务部分（1</w:t>
      </w:r>
      <w:r>
        <w:rPr>
          <w:rFonts w:hint="eastAsia" w:ascii="仿宋" w:hAnsi="仿宋" w:eastAsia="仿宋" w:cs="Times New Roman"/>
          <w:b/>
          <w:color w:val="auto"/>
          <w:sz w:val="24"/>
          <w:highlight w:val="none"/>
          <w:lang w:val="en-US" w:eastAsia="zh-CN"/>
        </w:rPr>
        <w:t>5</w:t>
      </w:r>
      <w:r>
        <w:rPr>
          <w:rFonts w:ascii="仿宋" w:hAnsi="仿宋" w:eastAsia="仿宋" w:cs="Times New Roman"/>
          <w:b/>
          <w:color w:val="auto"/>
          <w:sz w:val="24"/>
          <w:highlight w:val="none"/>
        </w:rPr>
        <w:t>分）</w:t>
      </w:r>
    </w:p>
    <w:tbl>
      <w:tblPr>
        <w:tblStyle w:val="4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3"/>
        <w:gridCol w:w="1202"/>
        <w:gridCol w:w="5776"/>
        <w:gridCol w:w="8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s="Times New Roman"/>
                <w:color w:val="auto"/>
                <w:sz w:val="24"/>
                <w:szCs w:val="22"/>
                <w:highlight w:val="none"/>
              </w:rPr>
            </w:pPr>
            <w:r>
              <w:rPr>
                <w:rFonts w:eastAsia="仿宋" w:cs="Times New Roman"/>
                <w:b/>
                <w:bCs/>
                <w:color w:val="auto"/>
                <w:sz w:val="24"/>
                <w:szCs w:val="22"/>
                <w:highlight w:val="none"/>
              </w:rPr>
              <w:t>序号</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s="Times New Roman"/>
                <w:color w:val="auto"/>
                <w:sz w:val="24"/>
                <w:szCs w:val="22"/>
                <w:highlight w:val="none"/>
              </w:rPr>
            </w:pPr>
            <w:r>
              <w:rPr>
                <w:rFonts w:eastAsia="仿宋" w:cs="Times New Roman"/>
                <w:b/>
                <w:bCs/>
                <w:color w:val="auto"/>
                <w:sz w:val="24"/>
                <w:szCs w:val="22"/>
                <w:highlight w:val="none"/>
              </w:rPr>
              <w:t>评审因素</w:t>
            </w:r>
          </w:p>
        </w:tc>
        <w:tc>
          <w:tcPr>
            <w:tcW w:w="3389" w:type="pct"/>
            <w:vAlign w:val="center"/>
          </w:tcPr>
          <w:p>
            <w:pPr>
              <w:pageBreakBefore w:val="0"/>
              <w:kinsoku/>
              <w:wordWrap/>
              <w:overflowPunct/>
              <w:topLinePunct w:val="0"/>
              <w:autoSpaceDE/>
              <w:autoSpaceDN/>
              <w:bidi w:val="0"/>
              <w:adjustRightInd/>
              <w:snapToGrid/>
              <w:spacing w:line="460" w:lineRule="exact"/>
              <w:jc w:val="center"/>
              <w:rPr>
                <w:rFonts w:eastAsia="仿宋" w:cs="Times New Roman"/>
                <w:color w:val="auto"/>
                <w:sz w:val="24"/>
                <w:szCs w:val="22"/>
                <w:highlight w:val="none"/>
              </w:rPr>
            </w:pPr>
            <w:r>
              <w:rPr>
                <w:rFonts w:eastAsia="仿宋" w:cs="Times New Roman"/>
                <w:b/>
                <w:bCs/>
                <w:color w:val="auto"/>
                <w:sz w:val="24"/>
                <w:szCs w:val="22"/>
                <w:highlight w:val="none"/>
              </w:rPr>
              <w:t>评分标准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s="Times New Roman"/>
                <w:color w:val="auto"/>
                <w:sz w:val="24"/>
                <w:szCs w:val="22"/>
                <w:highlight w:val="none"/>
              </w:rPr>
            </w:pPr>
            <w:r>
              <w:rPr>
                <w:rFonts w:eastAsia="仿宋" w:cs="Times New Roman"/>
                <w:b/>
                <w:bCs/>
                <w:color w:val="auto"/>
                <w:sz w:val="24"/>
                <w:szCs w:val="22"/>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s="Times New Roman"/>
                <w:color w:val="auto"/>
                <w:sz w:val="24"/>
                <w:szCs w:val="22"/>
                <w:highlight w:val="none"/>
              </w:rPr>
            </w:pPr>
            <w:r>
              <w:rPr>
                <w:rFonts w:eastAsia="仿宋" w:cs="Times New Roman"/>
                <w:color w:val="auto"/>
                <w:sz w:val="24"/>
                <w:szCs w:val="22"/>
                <w:highlight w:val="none"/>
              </w:rPr>
              <w:t>1</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s="Times New Roman"/>
                <w:bCs/>
                <w:color w:val="auto"/>
                <w:sz w:val="24"/>
                <w:szCs w:val="22"/>
                <w:highlight w:val="none"/>
              </w:rPr>
            </w:pPr>
            <w:r>
              <w:rPr>
                <w:rFonts w:hint="eastAsia" w:ascii="仿宋" w:hAnsi="仿宋" w:eastAsia="仿宋" w:cs="仿宋"/>
                <w:color w:val="auto"/>
                <w:sz w:val="24"/>
                <w:highlight w:val="none"/>
              </w:rPr>
              <w:t>符合性评审</w:t>
            </w:r>
          </w:p>
        </w:tc>
        <w:tc>
          <w:tcPr>
            <w:tcW w:w="3887" w:type="pct"/>
            <w:gridSpan w:val="2"/>
            <w:vAlign w:val="center"/>
          </w:tcPr>
          <w:p>
            <w:pPr>
              <w:pageBreakBefore w:val="0"/>
              <w:kinsoku/>
              <w:wordWrap/>
              <w:overflowPunct/>
              <w:topLinePunct w:val="0"/>
              <w:autoSpaceDE/>
              <w:autoSpaceDN/>
              <w:bidi w:val="0"/>
              <w:adjustRightInd/>
              <w:snapToGrid/>
              <w:spacing w:line="460" w:lineRule="exact"/>
              <w:rPr>
                <w:rFonts w:eastAsia="仿宋" w:cs="Times New Roman"/>
                <w:color w:val="auto"/>
                <w:sz w:val="24"/>
                <w:szCs w:val="22"/>
                <w:highlight w:val="none"/>
              </w:rPr>
            </w:pPr>
            <w:r>
              <w:rPr>
                <w:rFonts w:hint="eastAsia" w:eastAsia="仿宋" w:cs="Times New Roman"/>
                <w:color w:val="auto"/>
                <w:sz w:val="24"/>
                <w:szCs w:val="22"/>
                <w:highlight w:val="none"/>
              </w:rPr>
              <w:t>投标人必须完全满足招标文件“商务要求”</w:t>
            </w:r>
            <w:r>
              <w:rPr>
                <w:rFonts w:hint="eastAsia" w:eastAsia="仿宋" w:cs="Times New Roman"/>
                <w:color w:val="auto"/>
                <w:sz w:val="24"/>
                <w:szCs w:val="22"/>
                <w:highlight w:val="none"/>
                <w:lang w:val="en-US" w:eastAsia="zh-CN"/>
              </w:rPr>
              <w:t>所有</w:t>
            </w:r>
            <w:r>
              <w:rPr>
                <w:rFonts w:hint="eastAsia" w:eastAsia="仿宋" w:cs="Times New Roman"/>
                <w:color w:val="auto"/>
                <w:sz w:val="24"/>
                <w:szCs w:val="22"/>
                <w:highlight w:val="none"/>
              </w:rPr>
              <w:t>实质性条款，任意一项不满足作无效投标处理。</w:t>
            </w:r>
          </w:p>
          <w:p>
            <w:pPr>
              <w:pageBreakBefore w:val="0"/>
              <w:kinsoku/>
              <w:wordWrap/>
              <w:overflowPunct/>
              <w:topLinePunct w:val="0"/>
              <w:autoSpaceDE/>
              <w:autoSpaceDN/>
              <w:bidi w:val="0"/>
              <w:adjustRightInd/>
              <w:snapToGrid/>
              <w:spacing w:line="460" w:lineRule="exact"/>
              <w:rPr>
                <w:rFonts w:eastAsia="仿宋" w:cs="Times New Roman"/>
                <w:color w:val="auto"/>
                <w:sz w:val="24"/>
                <w:szCs w:val="22"/>
                <w:highlight w:val="none"/>
              </w:rPr>
            </w:pPr>
            <w:r>
              <w:rPr>
                <w:rFonts w:hint="eastAsia" w:eastAsia="仿宋" w:cs="Times New Roman"/>
                <w:b/>
                <w:bCs/>
                <w:color w:val="auto"/>
                <w:sz w:val="24"/>
                <w:szCs w:val="22"/>
                <w:highlight w:val="none"/>
              </w:rPr>
              <w:t>评审依据：投标文件中提供的商务条款响应表。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s="Times New Roman"/>
                <w:color w:val="auto"/>
                <w:sz w:val="24"/>
                <w:szCs w:val="22"/>
                <w:highlight w:val="none"/>
              </w:rPr>
            </w:pPr>
            <w:r>
              <w:rPr>
                <w:rFonts w:eastAsia="仿宋" w:cs="Times New Roman"/>
                <w:color w:val="auto"/>
                <w:sz w:val="24"/>
                <w:szCs w:val="22"/>
                <w:highlight w:val="none"/>
              </w:rPr>
              <w:t>2</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eastAsia="zh-CN"/>
              </w:rPr>
              <w:t>生产制造履约能力</w:t>
            </w:r>
          </w:p>
        </w:tc>
        <w:tc>
          <w:tcPr>
            <w:tcW w:w="3389" w:type="pct"/>
            <w:vAlign w:val="center"/>
          </w:tcPr>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val="en-US" w:eastAsia="zh-CN"/>
              </w:rPr>
              <w:t>投标人提供所投核心产品制造商的证明材料（应加盖制造商公章）</w:t>
            </w:r>
            <w:r>
              <w:rPr>
                <w:rFonts w:hint="eastAsia" w:eastAsia="仿宋" w:cs="Times New Roman"/>
                <w:color w:val="auto"/>
                <w:sz w:val="24"/>
                <w:szCs w:val="22"/>
                <w:highlight w:val="none"/>
              </w:rPr>
              <w:t>对</w:t>
            </w:r>
            <w:r>
              <w:rPr>
                <w:rFonts w:hint="eastAsia" w:eastAsia="仿宋" w:cs="Times New Roman"/>
                <w:color w:val="auto"/>
                <w:sz w:val="24"/>
                <w:szCs w:val="22"/>
                <w:highlight w:val="none"/>
                <w:lang w:eastAsia="zh-CN"/>
              </w:rPr>
              <w:t>生产制造履约能力</w:t>
            </w:r>
            <w:r>
              <w:rPr>
                <w:rFonts w:hint="eastAsia" w:eastAsia="仿宋" w:cs="Times New Roman"/>
                <w:color w:val="auto"/>
                <w:sz w:val="24"/>
                <w:szCs w:val="22"/>
                <w:highlight w:val="none"/>
              </w:rPr>
              <w:t>进行评审，包含但不限于</w:t>
            </w:r>
            <w:r>
              <w:rPr>
                <w:rFonts w:hint="eastAsia" w:eastAsia="仿宋" w:cs="Times New Roman"/>
                <w:color w:val="auto"/>
                <w:sz w:val="24"/>
                <w:szCs w:val="22"/>
                <w:highlight w:val="none"/>
                <w:lang w:eastAsia="zh-CN"/>
              </w:rPr>
              <w:t>：</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eastAsia="zh-CN"/>
              </w:rPr>
              <w:t>①制造商生产经营情况简介；</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②</w:t>
            </w:r>
            <w:r>
              <w:rPr>
                <w:rFonts w:hint="eastAsia" w:eastAsia="仿宋" w:cs="Times New Roman"/>
                <w:color w:val="auto"/>
                <w:sz w:val="24"/>
                <w:szCs w:val="22"/>
                <w:highlight w:val="none"/>
                <w:lang w:eastAsia="zh-CN"/>
              </w:rPr>
              <w:t>生产工艺流程，主要包括生产制造流程图、生产步骤（应含生产车间环境及实际生产照片）等相关情况描述；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③产品检验流程，包括主要检验设备</w:t>
            </w:r>
            <w:r>
              <w:rPr>
                <w:rFonts w:hint="eastAsia" w:eastAsia="仿宋" w:cs="Times New Roman"/>
                <w:color w:val="auto"/>
                <w:sz w:val="24"/>
                <w:szCs w:val="22"/>
                <w:highlight w:val="none"/>
                <w:lang w:eastAsia="zh-CN"/>
              </w:rPr>
              <w:t>（应提供图片）</w:t>
            </w:r>
            <w:r>
              <w:rPr>
                <w:rFonts w:hint="eastAsia" w:eastAsia="仿宋" w:cs="Times New Roman"/>
                <w:color w:val="auto"/>
                <w:sz w:val="24"/>
                <w:szCs w:val="22"/>
                <w:highlight w:val="none"/>
              </w:rPr>
              <w:t>、检验步骤等相关情况描述；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④人员配备：相关专业技术</w:t>
            </w:r>
            <w:r>
              <w:rPr>
                <w:rFonts w:hint="eastAsia" w:eastAsia="仿宋" w:cs="Times New Roman"/>
                <w:color w:val="auto"/>
                <w:sz w:val="24"/>
                <w:szCs w:val="22"/>
                <w:highlight w:val="none"/>
                <w:lang w:eastAsia="zh-CN"/>
              </w:rPr>
              <w:t>职称</w:t>
            </w:r>
            <w:r>
              <w:rPr>
                <w:rFonts w:hint="eastAsia" w:eastAsia="仿宋" w:cs="Times New Roman"/>
                <w:color w:val="auto"/>
                <w:sz w:val="24"/>
                <w:szCs w:val="22"/>
                <w:highlight w:val="none"/>
              </w:rPr>
              <w:t>人员配置情况</w:t>
            </w:r>
            <w:r>
              <w:rPr>
                <w:rFonts w:hint="eastAsia" w:eastAsia="仿宋" w:cs="Times New Roman"/>
                <w:color w:val="auto"/>
                <w:sz w:val="24"/>
                <w:szCs w:val="22"/>
                <w:highlight w:val="none"/>
                <w:lang w:eastAsia="zh-CN"/>
              </w:rPr>
              <w:t>；</w:t>
            </w:r>
            <w:r>
              <w:rPr>
                <w:rFonts w:hint="eastAsia" w:eastAsia="仿宋" w:cs="Times New Roman"/>
                <w:color w:val="auto"/>
                <w:sz w:val="24"/>
                <w:szCs w:val="22"/>
                <w:highlight w:val="none"/>
              </w:rPr>
              <w:t>各原材料采购、生产、检验、仓储、运输等环节的人员配备情况；</w:t>
            </w:r>
          </w:p>
          <w:p>
            <w:pPr>
              <w:pageBreakBefore w:val="0"/>
              <w:kinsoku/>
              <w:wordWrap/>
              <w:overflowPunct/>
              <w:topLinePunct w:val="0"/>
              <w:autoSpaceDE/>
              <w:autoSpaceDN/>
              <w:bidi w:val="0"/>
              <w:adjustRightInd/>
              <w:snapToGrid/>
              <w:spacing w:line="460" w:lineRule="exact"/>
              <w:rPr>
                <w:rFonts w:hint="eastAsia" w:eastAsia="仿宋" w:cs="Times New Roman"/>
                <w:b/>
                <w:bCs/>
                <w:color w:val="auto"/>
                <w:sz w:val="24"/>
                <w:szCs w:val="22"/>
                <w:highlight w:val="none"/>
              </w:rPr>
            </w:pPr>
            <w:r>
              <w:rPr>
                <w:rFonts w:hint="eastAsia" w:eastAsia="仿宋" w:cs="Times New Roman"/>
                <w:b/>
                <w:bCs/>
                <w:color w:val="auto"/>
                <w:sz w:val="24"/>
                <w:szCs w:val="22"/>
                <w:highlight w:val="none"/>
              </w:rPr>
              <w:t>评审依据：</w:t>
            </w:r>
            <w:r>
              <w:rPr>
                <w:rFonts w:hint="eastAsia" w:eastAsia="仿宋" w:cs="Times New Roman"/>
                <w:b/>
                <w:bCs/>
                <w:color w:val="auto"/>
                <w:sz w:val="24"/>
                <w:szCs w:val="22"/>
                <w:highlight w:val="none"/>
                <w:lang w:val="en-US" w:eastAsia="zh-CN"/>
              </w:rPr>
              <w:t>根据</w:t>
            </w:r>
            <w:r>
              <w:rPr>
                <w:rFonts w:hint="eastAsia" w:eastAsia="仿宋" w:cs="Times New Roman"/>
                <w:b/>
                <w:bCs/>
                <w:color w:val="auto"/>
                <w:sz w:val="24"/>
                <w:szCs w:val="22"/>
                <w:highlight w:val="none"/>
              </w:rPr>
              <w:t>投标人提</w:t>
            </w:r>
            <w:r>
              <w:rPr>
                <w:rFonts w:hint="eastAsia" w:eastAsia="仿宋" w:cs="Times New Roman"/>
                <w:b/>
                <w:bCs/>
                <w:color w:val="auto"/>
                <w:sz w:val="24"/>
                <w:szCs w:val="22"/>
                <w:highlight w:val="none"/>
                <w:lang w:val="en-US" w:eastAsia="zh-CN"/>
              </w:rPr>
              <w:t>供的生产制造履约能力方案内容完整性、组织性、关联性和可操作性进行评审</w:t>
            </w:r>
            <w:r>
              <w:rPr>
                <w:rFonts w:hint="eastAsia" w:eastAsia="仿宋" w:cs="Times New Roman"/>
                <w:b/>
                <w:bCs/>
                <w:color w:val="auto"/>
                <w:sz w:val="24"/>
                <w:szCs w:val="22"/>
                <w:highlight w:val="none"/>
              </w:rPr>
              <w:t>。</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1、所投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制造商具备较强自主研发能力及先进的生产工艺，生产车间环境及生产线先进规范，生产步骤完整周详，技术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检验设备配置齐全、检验步骤严密无纰漏，生产制造履约能力</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分；</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制造商有自主研发能力和生产工艺较完整，生产车间环境及生产线常规，生产步骤较完整周详，技术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eastAsia="zh-CN"/>
              </w:rPr>
              <w:t>相对</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检验设备配置较齐全、检验步骤相对完备，生产制造履约能力</w:t>
            </w:r>
            <w:r>
              <w:rPr>
                <w:rFonts w:hint="eastAsia" w:ascii="仿宋" w:hAnsi="仿宋" w:eastAsia="仿宋" w:cs="仿宋"/>
                <w:b/>
                <w:bCs/>
                <w:color w:val="auto"/>
                <w:sz w:val="24"/>
                <w:szCs w:val="24"/>
                <w:highlight w:val="none"/>
                <w:lang w:eastAsia="zh-CN"/>
              </w:rPr>
              <w:t>较</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3、所投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制造商有自主研发能力和生产工艺薄弱，生产车间环境及生产线粗糙落后，生产步骤简单，技术</w:t>
            </w:r>
            <w:r>
              <w:rPr>
                <w:rFonts w:hint="eastAsia" w:ascii="仿宋" w:hAnsi="仿宋" w:eastAsia="仿宋" w:cs="仿宋"/>
                <w:b/>
                <w:bCs/>
                <w:color w:val="auto"/>
                <w:sz w:val="24"/>
                <w:szCs w:val="24"/>
                <w:highlight w:val="none"/>
              </w:rPr>
              <w:t>人员</w:t>
            </w:r>
            <w:r>
              <w:rPr>
                <w:rFonts w:hint="eastAsia" w:ascii="仿宋" w:hAnsi="仿宋" w:eastAsia="仿宋" w:cs="仿宋"/>
                <w:b/>
                <w:bCs/>
                <w:color w:val="auto"/>
                <w:sz w:val="24"/>
                <w:szCs w:val="24"/>
                <w:highlight w:val="none"/>
                <w:lang w:eastAsia="zh-CN"/>
              </w:rPr>
              <w:t>综合实力一般，</w:t>
            </w:r>
            <w:r>
              <w:rPr>
                <w:rFonts w:hint="eastAsia" w:ascii="仿宋" w:hAnsi="仿宋" w:eastAsia="仿宋" w:cs="仿宋"/>
                <w:b/>
                <w:bCs/>
                <w:color w:val="auto"/>
                <w:sz w:val="24"/>
                <w:szCs w:val="24"/>
                <w:highlight w:val="none"/>
                <w:lang w:val="en-US" w:eastAsia="zh-CN"/>
              </w:rPr>
              <w:t>检验设备配置简单落后，检验步骤普通，生产制造履约能力</w:t>
            </w:r>
            <w:r>
              <w:rPr>
                <w:rFonts w:hint="eastAsia" w:ascii="仿宋" w:hAnsi="仿宋" w:eastAsia="仿宋" w:cs="仿宋"/>
                <w:b/>
                <w:bCs/>
                <w:color w:val="auto"/>
                <w:sz w:val="24"/>
                <w:szCs w:val="24"/>
                <w:highlight w:val="none"/>
                <w:lang w:eastAsia="zh-CN"/>
              </w:rPr>
              <w:t>弱</w:t>
            </w:r>
            <w:r>
              <w:rPr>
                <w:rFonts w:hint="eastAsia" w:ascii="仿宋" w:hAnsi="仿宋" w:eastAsia="仿宋" w:cs="仿宋"/>
                <w:b/>
                <w:bCs/>
                <w:color w:val="auto"/>
                <w:sz w:val="24"/>
                <w:szCs w:val="24"/>
                <w:highlight w:val="none"/>
              </w:rPr>
              <w:t>的得</w:t>
            </w: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eastAsia="仿宋" w:cs="Times New Roman"/>
                <w:color w:val="auto"/>
                <w:sz w:val="24"/>
                <w:szCs w:val="22"/>
                <w:highlight w:val="none"/>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未提供证明材料或证明材料有缺项的不得分。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s="Times New Roman"/>
                <w:color w:val="auto"/>
                <w:sz w:val="24"/>
                <w:szCs w:val="22"/>
                <w:highlight w:val="none"/>
              </w:rPr>
            </w:pPr>
            <w:r>
              <w:rPr>
                <w:rFonts w:eastAsia="仿宋" w:cs="Times New Roman"/>
                <w:color w:val="auto"/>
                <w:sz w:val="24"/>
                <w:szCs w:val="22"/>
                <w:highlight w:val="none"/>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s="Times New Roman"/>
                <w:color w:val="auto"/>
                <w:sz w:val="24"/>
                <w:szCs w:val="22"/>
                <w:highlight w:val="none"/>
              </w:rPr>
            </w:pPr>
            <w:r>
              <w:rPr>
                <w:rFonts w:eastAsia="仿宋" w:cs="Times New Roman"/>
                <w:color w:val="auto"/>
                <w:sz w:val="24"/>
                <w:szCs w:val="22"/>
                <w:highlight w:val="none"/>
              </w:rPr>
              <w:t>3</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s="Times New Roman"/>
                <w:color w:val="auto"/>
                <w:sz w:val="24"/>
                <w:szCs w:val="22"/>
                <w:highlight w:val="none"/>
              </w:rPr>
            </w:pPr>
            <w:r>
              <w:rPr>
                <w:rFonts w:eastAsia="仿宋" w:cs="Times New Roman"/>
                <w:color w:val="auto"/>
                <w:sz w:val="24"/>
                <w:szCs w:val="22"/>
                <w:highlight w:val="none"/>
              </w:rPr>
              <w:t>质量保证和保修</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eastAsia="仿宋" w:cs="Times New Roman"/>
                <w:color w:val="auto"/>
                <w:sz w:val="24"/>
                <w:szCs w:val="22"/>
                <w:highlight w:val="none"/>
              </w:rPr>
            </w:pPr>
            <w:r>
              <w:rPr>
                <w:rFonts w:eastAsia="仿宋" w:cs="Times New Roman"/>
                <w:color w:val="auto"/>
                <w:sz w:val="24"/>
                <w:szCs w:val="22"/>
                <w:highlight w:val="none"/>
              </w:rPr>
              <w:t>在招标文件商务要求中“质保期”和“保修期”要求基础上，承诺“质保期”和“保修期”均每延长一年的加2分，最多加4分。</w:t>
            </w:r>
          </w:p>
          <w:p>
            <w:pPr>
              <w:pageBreakBefore w:val="0"/>
              <w:kinsoku/>
              <w:wordWrap/>
              <w:overflowPunct/>
              <w:topLinePunct w:val="0"/>
              <w:autoSpaceDE/>
              <w:autoSpaceDN/>
              <w:bidi w:val="0"/>
              <w:adjustRightInd/>
              <w:snapToGrid/>
              <w:spacing w:line="460" w:lineRule="exact"/>
              <w:rPr>
                <w:rFonts w:eastAsia="仿宋" w:cs="Times New Roman"/>
                <w:color w:val="auto"/>
                <w:sz w:val="24"/>
                <w:szCs w:val="22"/>
                <w:highlight w:val="none"/>
              </w:rPr>
            </w:pPr>
            <w:r>
              <w:rPr>
                <w:rFonts w:eastAsia="仿宋" w:cs="Times New Roman"/>
                <w:b/>
                <w:color w:val="auto"/>
                <w:sz w:val="24"/>
                <w:szCs w:val="22"/>
                <w:highlight w:val="none"/>
              </w:rPr>
              <w:t>评审依据：投标文件中提供“质保期”和“保修期”均延长的承诺函原件。</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s="Times New Roman"/>
                <w:color w:val="auto"/>
                <w:sz w:val="24"/>
                <w:szCs w:val="22"/>
                <w:highlight w:val="none"/>
              </w:rPr>
            </w:pPr>
            <w:r>
              <w:rPr>
                <w:rFonts w:eastAsia="仿宋" w:cs="Times New Roman"/>
                <w:color w:val="auto"/>
                <w:sz w:val="24"/>
                <w:szCs w:val="22"/>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s="Times New Roman"/>
                <w:color w:val="auto"/>
                <w:sz w:val="24"/>
                <w:szCs w:val="22"/>
                <w:highlight w:val="none"/>
              </w:rPr>
            </w:pPr>
            <w:r>
              <w:rPr>
                <w:rFonts w:eastAsia="仿宋" w:cs="Times New Roman"/>
                <w:color w:val="auto"/>
                <w:sz w:val="24"/>
                <w:szCs w:val="22"/>
                <w:highlight w:val="none"/>
              </w:rPr>
              <w:t>4</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s="Times New Roman"/>
                <w:color w:val="auto"/>
                <w:sz w:val="24"/>
                <w:szCs w:val="22"/>
                <w:highlight w:val="none"/>
              </w:rPr>
            </w:pPr>
            <w:r>
              <w:rPr>
                <w:rFonts w:eastAsia="仿宋" w:cs="Times New Roman"/>
                <w:color w:val="auto"/>
                <w:sz w:val="24"/>
                <w:szCs w:val="22"/>
                <w:highlight w:val="none"/>
              </w:rPr>
              <w:t>类似销售</w:t>
            </w:r>
          </w:p>
          <w:p>
            <w:pPr>
              <w:pageBreakBefore w:val="0"/>
              <w:kinsoku/>
              <w:wordWrap/>
              <w:overflowPunct/>
              <w:topLinePunct w:val="0"/>
              <w:autoSpaceDE/>
              <w:autoSpaceDN/>
              <w:bidi w:val="0"/>
              <w:adjustRightInd/>
              <w:snapToGrid/>
              <w:spacing w:line="460" w:lineRule="exact"/>
              <w:jc w:val="center"/>
              <w:rPr>
                <w:rFonts w:eastAsia="仿宋" w:cs="Times New Roman"/>
                <w:color w:val="auto"/>
                <w:sz w:val="24"/>
                <w:szCs w:val="22"/>
                <w:highlight w:val="none"/>
              </w:rPr>
            </w:pPr>
            <w:r>
              <w:rPr>
                <w:rFonts w:eastAsia="仿宋" w:cs="Times New Roman"/>
                <w:color w:val="auto"/>
                <w:sz w:val="24"/>
                <w:szCs w:val="22"/>
                <w:highlight w:val="none"/>
              </w:rPr>
              <w:t>案例</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投标人自</w:t>
            </w:r>
            <w:r>
              <w:rPr>
                <w:rFonts w:eastAsia="仿宋" w:cs="Times New Roman"/>
                <w:color w:val="auto"/>
                <w:sz w:val="24"/>
                <w:szCs w:val="22"/>
                <w:highlight w:val="none"/>
              </w:rPr>
              <w:t>20</w:t>
            </w:r>
            <w:r>
              <w:rPr>
                <w:rFonts w:hint="eastAsia" w:eastAsia="仿宋" w:cs="Times New Roman"/>
                <w:color w:val="auto"/>
                <w:sz w:val="24"/>
                <w:szCs w:val="22"/>
                <w:highlight w:val="none"/>
              </w:rPr>
              <w:t>2</w:t>
            </w:r>
            <w:r>
              <w:rPr>
                <w:rFonts w:hint="eastAsia" w:eastAsia="仿宋" w:cs="Times New Roman"/>
                <w:color w:val="auto"/>
                <w:sz w:val="24"/>
                <w:szCs w:val="22"/>
                <w:highlight w:val="none"/>
                <w:lang w:val="en-US" w:eastAsia="zh-CN"/>
              </w:rPr>
              <w:t>1</w:t>
            </w:r>
            <w:r>
              <w:rPr>
                <w:rFonts w:hint="eastAsia" w:eastAsia="仿宋" w:cs="Times New Roman"/>
                <w:color w:val="auto"/>
                <w:sz w:val="24"/>
                <w:szCs w:val="22"/>
                <w:highlight w:val="none"/>
              </w:rPr>
              <w:t>年</w:t>
            </w:r>
            <w:r>
              <w:rPr>
                <w:rFonts w:eastAsia="仿宋" w:cs="Times New Roman"/>
                <w:color w:val="auto"/>
                <w:sz w:val="24"/>
                <w:szCs w:val="22"/>
                <w:highlight w:val="none"/>
              </w:rPr>
              <w:t>1月1日至今（以签订合同时间为准）具有类似</w:t>
            </w:r>
            <w:r>
              <w:rPr>
                <w:rFonts w:hint="eastAsia" w:eastAsia="仿宋" w:cs="Times New Roman"/>
                <w:color w:val="auto"/>
                <w:sz w:val="24"/>
                <w:szCs w:val="22"/>
                <w:highlight w:val="none"/>
                <w:lang w:eastAsia="zh-CN"/>
              </w:rPr>
              <w:t>核心</w:t>
            </w:r>
            <w:r>
              <w:rPr>
                <w:rFonts w:eastAsia="仿宋" w:cs="Times New Roman"/>
                <w:color w:val="auto"/>
                <w:sz w:val="24"/>
                <w:szCs w:val="22"/>
                <w:highlight w:val="none"/>
              </w:rPr>
              <w:t>产品销售案例，每提供1份销售案例加</w:t>
            </w:r>
            <w:r>
              <w:rPr>
                <w:rFonts w:hint="eastAsia" w:eastAsia="仿宋" w:cs="Times New Roman"/>
                <w:color w:val="auto"/>
                <w:sz w:val="24"/>
                <w:szCs w:val="22"/>
                <w:highlight w:val="none"/>
                <w:lang w:val="en-US" w:eastAsia="zh-CN"/>
              </w:rPr>
              <w:t>2</w:t>
            </w:r>
            <w:r>
              <w:rPr>
                <w:rFonts w:hint="eastAsia" w:eastAsia="仿宋" w:cs="Times New Roman"/>
                <w:color w:val="auto"/>
                <w:sz w:val="24"/>
                <w:szCs w:val="22"/>
                <w:highlight w:val="none"/>
              </w:rPr>
              <w:t>分，本项最多加</w:t>
            </w:r>
            <w:r>
              <w:rPr>
                <w:rFonts w:hint="eastAsia" w:eastAsia="仿宋" w:cs="Times New Roman"/>
                <w:color w:val="auto"/>
                <w:sz w:val="24"/>
                <w:szCs w:val="22"/>
                <w:highlight w:val="none"/>
                <w:lang w:val="en-US" w:eastAsia="zh-CN"/>
              </w:rPr>
              <w:t>6</w:t>
            </w:r>
            <w:r>
              <w:rPr>
                <w:rFonts w:hint="eastAsia" w:eastAsia="仿宋" w:cs="Times New Roman"/>
                <w:color w:val="auto"/>
                <w:sz w:val="24"/>
                <w:szCs w:val="22"/>
                <w:highlight w:val="none"/>
              </w:rPr>
              <w:t>分。</w:t>
            </w:r>
          </w:p>
          <w:p>
            <w:pPr>
              <w:pageBreakBefore w:val="0"/>
              <w:kinsoku/>
              <w:wordWrap/>
              <w:overflowPunct/>
              <w:topLinePunct w:val="0"/>
              <w:autoSpaceDE/>
              <w:autoSpaceDN/>
              <w:bidi w:val="0"/>
              <w:adjustRightInd/>
              <w:snapToGrid/>
              <w:spacing w:line="460" w:lineRule="exact"/>
              <w:jc w:val="left"/>
              <w:rPr>
                <w:rFonts w:eastAsia="仿宋" w:cs="Times New Roman"/>
                <w:b/>
                <w:bCs/>
                <w:color w:val="auto"/>
                <w:sz w:val="24"/>
                <w:szCs w:val="22"/>
                <w:highlight w:val="none"/>
              </w:rPr>
            </w:pPr>
            <w:r>
              <w:rPr>
                <w:rFonts w:hint="eastAsia" w:eastAsia="仿宋" w:cs="Times New Roman"/>
                <w:b/>
                <w:bCs/>
                <w:color w:val="auto"/>
                <w:sz w:val="24"/>
                <w:szCs w:val="22"/>
                <w:highlight w:val="none"/>
              </w:rPr>
              <w:t>评审依据：①投标文件中提供销售案例明细表（销售案例明细表包含</w:t>
            </w:r>
            <w:r>
              <w:rPr>
                <w:rFonts w:eastAsia="仿宋" w:cs="Times New Roman"/>
                <w:b/>
                <w:bCs/>
                <w:color w:val="auto"/>
                <w:sz w:val="24"/>
                <w:szCs w:val="22"/>
                <w:highlight w:val="none"/>
              </w:rPr>
              <w:t>:发布网站名称、网页链接地址、采购项目名称、采购单位名称和联系方式、采购代理机构名称和联系方式）；</w:t>
            </w:r>
            <w:r>
              <w:rPr>
                <w:rFonts w:hint="eastAsia" w:eastAsia="仿宋" w:cs="Times New Roman"/>
                <w:b/>
                <w:bCs/>
                <w:color w:val="auto"/>
                <w:sz w:val="24"/>
                <w:szCs w:val="22"/>
                <w:highlight w:val="none"/>
              </w:rPr>
              <w:t>②</w:t>
            </w:r>
            <w:r>
              <w:rPr>
                <w:rFonts w:hint="eastAsia" w:eastAsia="仿宋" w:cs="Times New Roman"/>
                <w:b/>
                <w:bCs/>
                <w:color w:val="auto"/>
                <w:sz w:val="24"/>
                <w:szCs w:val="22"/>
                <w:highlight w:val="none"/>
                <w:lang w:eastAsia="zh-CN"/>
              </w:rPr>
              <w:t>中标（成交）公告截图（打印网页）、中标通知书复印件和合同复印件（中标通知书或合同复印件应体现类似销售案例的货物），合同签订方必须是投标人本身。</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s="Times New Roman"/>
                <w:color w:val="auto"/>
                <w:sz w:val="24"/>
                <w:szCs w:val="22"/>
                <w:highlight w:val="none"/>
              </w:rPr>
            </w:pPr>
            <w:r>
              <w:rPr>
                <w:rFonts w:hint="eastAsia" w:eastAsia="仿宋" w:cs="Times New Roman"/>
                <w:color w:val="auto"/>
                <w:sz w:val="24"/>
                <w:szCs w:val="22"/>
                <w:highlight w:val="none"/>
                <w:lang w:val="en-US" w:eastAsia="zh-CN"/>
              </w:rPr>
              <w:t>6</w:t>
            </w:r>
            <w:r>
              <w:rPr>
                <w:rFonts w:eastAsia="仿宋" w:cs="Times New Roman"/>
                <w:color w:val="auto"/>
                <w:sz w:val="24"/>
                <w:szCs w:val="22"/>
                <w:highlight w:val="none"/>
              </w:rPr>
              <w:t>分</w:t>
            </w:r>
          </w:p>
        </w:tc>
      </w:tr>
    </w:tbl>
    <w:p>
      <w:pPr>
        <w:pageBreakBefore w:val="0"/>
        <w:kinsoku/>
        <w:wordWrap/>
        <w:overflowPunct/>
        <w:topLinePunct w:val="0"/>
        <w:autoSpaceDE/>
        <w:autoSpaceDN/>
        <w:bidi w:val="0"/>
        <w:adjustRightInd/>
        <w:snapToGrid/>
        <w:spacing w:line="460" w:lineRule="exact"/>
        <w:jc w:val="left"/>
        <w:outlineLvl w:val="1"/>
        <w:rPr>
          <w:rFonts w:hint="eastAsia" w:ascii="仿宋" w:hAnsi="仿宋" w:eastAsia="仿宋" w:cs="Times New Roman"/>
          <w:b/>
          <w:bCs/>
          <w:color w:val="auto"/>
          <w:sz w:val="28"/>
          <w:szCs w:val="28"/>
          <w:highlight w:val="none"/>
          <w:lang w:val="en-US" w:eastAsia="zh-CN"/>
        </w:rPr>
        <w:sectPr>
          <w:pgSz w:w="11906" w:h="16838"/>
          <w:pgMar w:top="1440" w:right="1800" w:bottom="1440" w:left="1800" w:header="851" w:footer="992" w:gutter="0"/>
          <w:cols w:space="425" w:num="1"/>
          <w:docGrid w:type="lines" w:linePitch="312" w:charSpace="0"/>
        </w:sectPr>
      </w:pPr>
    </w:p>
    <w:p>
      <w:pPr>
        <w:pageBreakBefore w:val="0"/>
        <w:kinsoku/>
        <w:wordWrap/>
        <w:overflowPunct/>
        <w:topLinePunct w:val="0"/>
        <w:autoSpaceDE/>
        <w:autoSpaceDN/>
        <w:bidi w:val="0"/>
        <w:adjustRightInd/>
        <w:snapToGrid/>
        <w:spacing w:line="460" w:lineRule="exact"/>
        <w:jc w:val="left"/>
        <w:outlineLvl w:val="1"/>
        <w:rPr>
          <w:rFonts w:hint="eastAsia" w:ascii="仿宋" w:hAnsi="仿宋" w:eastAsia="仿宋" w:cs="Times New Roman"/>
          <w:b/>
          <w:bCs/>
          <w:color w:val="auto"/>
          <w:sz w:val="28"/>
          <w:szCs w:val="28"/>
          <w:highlight w:val="none"/>
          <w:lang w:eastAsia="zh-CN"/>
        </w:rPr>
      </w:pPr>
      <w:bookmarkStart w:id="672" w:name="_Toc29790"/>
      <w:bookmarkStart w:id="673" w:name="_Toc18754"/>
      <w:bookmarkStart w:id="674" w:name="_Toc8697"/>
      <w:bookmarkStart w:id="675" w:name="_Toc2009"/>
      <w:r>
        <w:rPr>
          <w:rFonts w:hint="eastAsia" w:ascii="仿宋" w:hAnsi="仿宋" w:eastAsia="仿宋" w:cs="Times New Roman"/>
          <w:b/>
          <w:bCs/>
          <w:color w:val="auto"/>
          <w:sz w:val="28"/>
          <w:szCs w:val="28"/>
          <w:highlight w:val="none"/>
          <w:lang w:val="en-US" w:eastAsia="zh-CN"/>
        </w:rPr>
        <w:t>33包：救生抛投器【核心产品】、救援三角架</w:t>
      </w:r>
      <w:bookmarkEnd w:id="672"/>
      <w:bookmarkEnd w:id="673"/>
      <w:bookmarkEnd w:id="674"/>
      <w:bookmarkEnd w:id="675"/>
    </w:p>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cs="Times New Roman"/>
          <w:b/>
          <w:color w:val="auto"/>
          <w:sz w:val="24"/>
          <w:highlight w:val="none"/>
        </w:rPr>
      </w:pPr>
      <w:r>
        <w:rPr>
          <w:rFonts w:hint="eastAsia" w:ascii="仿宋" w:hAnsi="仿宋" w:eastAsia="仿宋" w:cs="Times New Roman"/>
          <w:b/>
          <w:color w:val="auto"/>
          <w:sz w:val="24"/>
          <w:highlight w:val="none"/>
        </w:rPr>
        <w:t>一、价格部分（</w:t>
      </w:r>
      <w:r>
        <w:rPr>
          <w:rFonts w:ascii="仿宋" w:hAnsi="仿宋" w:eastAsia="仿宋" w:cs="Times New Roman"/>
          <w:b/>
          <w:color w:val="auto"/>
          <w:sz w:val="24"/>
          <w:highlight w:val="none"/>
        </w:rPr>
        <w:t>30分）</w:t>
      </w:r>
    </w:p>
    <w:tbl>
      <w:tblPr>
        <w:tblStyle w:val="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1"/>
        <w:gridCol w:w="1449"/>
        <w:gridCol w:w="5672"/>
        <w:gridCol w:w="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评审因素</w:t>
            </w:r>
          </w:p>
        </w:tc>
        <w:tc>
          <w:tcPr>
            <w:tcW w:w="3327" w:type="pct"/>
            <w:vAlign w:val="center"/>
          </w:tcPr>
          <w:p>
            <w:pPr>
              <w:pageBreakBefore w:val="0"/>
              <w:kinsoku/>
              <w:wordWrap/>
              <w:overflowPunct/>
              <w:topLinePunct w:val="0"/>
              <w:autoSpaceDE/>
              <w:autoSpaceDN/>
              <w:bidi w:val="0"/>
              <w:adjustRightInd/>
              <w:snapToGrid/>
              <w:spacing w:line="460" w:lineRule="exact"/>
              <w:jc w:val="center"/>
              <w:textAlignment w:val="center"/>
              <w:rPr>
                <w:rFonts w:ascii="仿宋" w:hAnsi="仿宋" w:eastAsia="仿宋" w:cs="仿宋"/>
                <w:b/>
                <w:color w:val="auto"/>
                <w:sz w:val="24"/>
                <w:highlight w:val="none"/>
              </w:rPr>
            </w:pPr>
            <w:r>
              <w:rPr>
                <w:rFonts w:hint="eastAsia" w:ascii="仿宋" w:hAnsi="仿宋" w:eastAsia="仿宋" w:cs="仿宋"/>
                <w:b/>
                <w:bCs/>
                <w:color w:val="auto"/>
                <w:sz w:val="24"/>
                <w:highlight w:val="none"/>
              </w:rPr>
              <w:t>评分标准</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价格分</w:t>
            </w:r>
          </w:p>
        </w:tc>
        <w:tc>
          <w:tcPr>
            <w:tcW w:w="3327" w:type="pct"/>
            <w:vAlign w:val="center"/>
          </w:tcPr>
          <w:p>
            <w:pPr>
              <w:pageBreakBefore w:val="0"/>
              <w:kinsoku/>
              <w:wordWrap/>
              <w:overflowPunct/>
              <w:topLinePunct w:val="0"/>
              <w:autoSpaceDE/>
              <w:autoSpaceDN/>
              <w:bidi w:val="0"/>
              <w:adjustRightInd/>
              <w:snapToGrid/>
              <w:spacing w:line="460" w:lineRule="exact"/>
              <w:jc w:val="left"/>
              <w:textAlignment w:val="center"/>
              <w:rPr>
                <w:rFonts w:ascii="仿宋" w:hAnsi="仿宋" w:eastAsia="仿宋" w:cs="仿宋"/>
                <w:color w:val="auto"/>
                <w:sz w:val="24"/>
                <w:highlight w:val="none"/>
              </w:rPr>
            </w:pPr>
            <w:r>
              <w:rPr>
                <w:rFonts w:hint="eastAsia" w:ascii="仿宋" w:hAnsi="仿宋" w:eastAsia="仿宋" w:cs="仿宋"/>
                <w:color w:val="auto"/>
                <w:sz w:val="24"/>
                <w:highlight w:val="none"/>
              </w:rPr>
              <w:t>根据综合评分法，满足招标文件要求且投标价格最低的投标报价为评标基准价，投标报价得分</w:t>
            </w:r>
            <w:r>
              <w:rPr>
                <w:rFonts w:ascii="仿宋" w:hAnsi="仿宋" w:eastAsia="仿宋" w:cs="仿宋"/>
                <w:color w:val="auto"/>
                <w:sz w:val="24"/>
                <w:highlight w:val="none"/>
              </w:rPr>
              <w:t>=（评标基准价／投标报价）</w:t>
            </w:r>
            <w:r>
              <w:rPr>
                <w:rFonts w:hint="eastAsia" w:ascii="仿宋" w:hAnsi="仿宋" w:eastAsia="仿宋" w:cs="仿宋"/>
                <w:color w:val="auto"/>
                <w:sz w:val="24"/>
                <w:highlight w:val="none"/>
              </w:rPr>
              <w:t>×</w:t>
            </w:r>
            <w:r>
              <w:rPr>
                <w:rFonts w:ascii="仿宋" w:hAnsi="仿宋" w:eastAsia="仿宋" w:cs="仿宋"/>
                <w:color w:val="auto"/>
                <w:sz w:val="24"/>
                <w:highlight w:val="none"/>
              </w:rPr>
              <w:t>30%×100，计算分数时四舍五入取小数点后两位。</w:t>
            </w:r>
          </w:p>
          <w:p>
            <w:pPr>
              <w:pageBreakBefore w:val="0"/>
              <w:kinsoku/>
              <w:wordWrap/>
              <w:overflowPunct/>
              <w:topLinePunct w:val="0"/>
              <w:autoSpaceDE/>
              <w:autoSpaceDN/>
              <w:bidi w:val="0"/>
              <w:adjustRightInd/>
              <w:snapToGrid/>
              <w:spacing w:line="460" w:lineRule="exact"/>
              <w:ind w:firstLine="482" w:firstLineChars="200"/>
              <w:jc w:val="left"/>
              <w:textAlignment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注：</w:t>
            </w:r>
            <w:r>
              <w:rPr>
                <w:rFonts w:ascii="仿宋" w:hAnsi="仿宋" w:eastAsia="仿宋" w:cs="仿宋"/>
                <w:b/>
                <w:bCs/>
                <w:color w:val="auto"/>
                <w:sz w:val="24"/>
                <w:highlight w:val="none"/>
              </w:rPr>
              <w:t>小、微型企业或残疾人福利性单位产品或监狱产品的价格给予10%的扣除，用扣除后的价格参与评审。但残疾人福利性单位本身属于小型、微型企业的，不重复享受政策。</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30分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cs="Times New Roman"/>
          <w:b/>
          <w:color w:val="auto"/>
          <w:sz w:val="24"/>
          <w:highlight w:val="none"/>
        </w:rPr>
      </w:pPr>
      <w:r>
        <w:rPr>
          <w:rFonts w:ascii="仿宋" w:hAnsi="仿宋" w:eastAsia="仿宋" w:cs="Times New Roman"/>
          <w:b/>
          <w:color w:val="auto"/>
          <w:sz w:val="24"/>
          <w:highlight w:val="none"/>
        </w:rPr>
        <w:t>二、技术部分（5</w:t>
      </w:r>
      <w:r>
        <w:rPr>
          <w:rFonts w:hint="eastAsia" w:ascii="仿宋" w:hAnsi="仿宋" w:eastAsia="仿宋" w:cs="Times New Roman"/>
          <w:b/>
          <w:color w:val="auto"/>
          <w:sz w:val="24"/>
          <w:highlight w:val="none"/>
          <w:lang w:val="en-US" w:eastAsia="zh-CN"/>
        </w:rPr>
        <w:t>5</w:t>
      </w:r>
      <w:r>
        <w:rPr>
          <w:rFonts w:ascii="仿宋" w:hAnsi="仿宋" w:eastAsia="仿宋" w:cs="Times New Roman"/>
          <w:b/>
          <w:color w:val="auto"/>
          <w:sz w:val="24"/>
          <w:highlight w:val="none"/>
        </w:rPr>
        <w:t>分）</w:t>
      </w:r>
    </w:p>
    <w:tbl>
      <w:tblPr>
        <w:tblStyle w:val="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564"/>
        <w:gridCol w:w="1496"/>
        <w:gridCol w:w="5201"/>
        <w:gridCol w:w="8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1209" w:type="pct"/>
            <w:gridSpan w:val="2"/>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3052"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评分标准</w:t>
            </w:r>
          </w:p>
        </w:tc>
        <w:tc>
          <w:tcPr>
            <w:tcW w:w="470"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268"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209"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技术参数及要求</w:t>
            </w:r>
          </w:p>
        </w:tc>
        <w:tc>
          <w:tcPr>
            <w:tcW w:w="3052" w:type="pct"/>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一、重大负偏离评审依据：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1、带★条款的响应，不满足招标文件要求的，或有缺项、漏项的，视为重大负偏离；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2、一般参数和带“▲”参数共有四项及以上（含本数）的负偏离，视为重大负偏离；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3、所投产品一般参数或带“▲”参数有一项低于招标文件要求，该项视为负偏离；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4、所投产品一般参数或带“▲”参数有一项缺项、漏项的，该项视为负偏离。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注：“一般参数”为非标“★”号参数和非标“▲”号参数。</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①投标文件中提供的技术条款响应表；</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②所投产品技术参数完全满足招标文件要求得</w:t>
            </w:r>
            <w:r>
              <w:rPr>
                <w:rFonts w:hint="eastAsia" w:ascii="仿宋" w:hAnsi="仿宋" w:eastAsia="仿宋" w:cs="仿宋"/>
                <w:b/>
                <w:bCs/>
                <w:color w:val="auto"/>
                <w:sz w:val="24"/>
                <w:highlight w:val="none"/>
                <w:lang w:val="en-US" w:eastAsia="zh-CN"/>
              </w:rPr>
              <w:t>30</w:t>
            </w:r>
            <w:r>
              <w:rPr>
                <w:rFonts w:hint="eastAsia" w:ascii="仿宋" w:hAnsi="仿宋" w:eastAsia="仿宋" w:cs="仿宋"/>
                <w:b/>
                <w:bCs/>
                <w:color w:val="auto"/>
                <w:sz w:val="24"/>
                <w:highlight w:val="none"/>
              </w:rPr>
              <w:t>分；重大负偏离则视为无效投标；一般参数或带“▲”参数每有一项负偏离减5分，最多减15分，四项或以上负偏离视为无效投标。</w:t>
            </w:r>
          </w:p>
        </w:tc>
        <w:tc>
          <w:tcPr>
            <w:tcW w:w="470" w:type="pct"/>
            <w:vAlign w:val="center"/>
          </w:tcPr>
          <w:p>
            <w:pPr>
              <w:pageBreakBefore w:val="0"/>
              <w:kinsoku/>
              <w:wordWrap/>
              <w:overflowPunct/>
              <w:topLinePunct w:val="0"/>
              <w:autoSpaceDE/>
              <w:autoSpaceDN/>
              <w:bidi w:val="0"/>
              <w:adjustRightInd/>
              <w:snapToGrid/>
              <w:spacing w:line="460" w:lineRule="exact"/>
              <w:jc w:val="center"/>
              <w:textAlignment w:val="center"/>
              <w:rPr>
                <w:rFonts w:hint="default"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331" w:type="pct"/>
            <w:vMerge w:val="restar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救生抛投器</w:t>
            </w:r>
          </w:p>
        </w:tc>
        <w:tc>
          <w:tcPr>
            <w:tcW w:w="878"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▲3.2最大工作压力:≥6MPa</w:t>
            </w:r>
          </w:p>
        </w:tc>
        <w:tc>
          <w:tcPr>
            <w:tcW w:w="3052"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highlight w:val="none"/>
                <w:lang w:eastAsia="zh-CN"/>
              </w:rPr>
              <w:t>最大工作压力</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eastAsia="zh-CN"/>
              </w:rPr>
              <w:t>最大工作压力</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3分</w:t>
            </w:r>
            <w:r>
              <w:rPr>
                <w:rFonts w:hint="eastAsia" w:ascii="仿宋" w:hAnsi="仿宋" w:eastAsia="仿宋" w:cs="仿宋"/>
                <w:color w:val="auto"/>
                <w:sz w:val="24"/>
                <w:szCs w:val="24"/>
                <w:highlight w:val="none"/>
              </w:rPr>
              <w:t>，</w:t>
            </w:r>
            <w:r>
              <w:rPr>
                <w:rFonts w:hint="eastAsia" w:ascii="仿宋" w:hAnsi="仿宋" w:eastAsia="仿宋" w:cs="仿宋"/>
                <w:color w:val="auto"/>
                <w:sz w:val="24"/>
                <w:highlight w:val="none"/>
                <w:lang w:eastAsia="zh-CN"/>
              </w:rPr>
              <w:t>最大工作压力</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eastAsia="zh-CN"/>
              </w:rPr>
              <w:t>最大工作压力</w:t>
            </w:r>
            <w:r>
              <w:rPr>
                <w:rFonts w:hint="eastAsia" w:ascii="仿宋" w:hAnsi="仿宋" w:eastAsia="仿宋" w:cs="仿宋"/>
                <w:b/>
                <w:bCs/>
                <w:color w:val="auto"/>
                <w:sz w:val="24"/>
                <w:szCs w:val="24"/>
                <w:highlight w:val="none"/>
              </w:rPr>
              <w:t>最大，次优表示</w:t>
            </w:r>
            <w:r>
              <w:rPr>
                <w:rFonts w:hint="eastAsia" w:ascii="仿宋" w:hAnsi="仿宋" w:eastAsia="仿宋" w:cs="仿宋"/>
                <w:b/>
                <w:bCs/>
                <w:color w:val="auto"/>
                <w:sz w:val="24"/>
                <w:szCs w:val="24"/>
                <w:highlight w:val="none"/>
                <w:lang w:eastAsia="zh-CN"/>
              </w:rPr>
              <w:t>最大工作压力</w:t>
            </w:r>
            <w:r>
              <w:rPr>
                <w:rFonts w:hint="eastAsia" w:ascii="仿宋" w:hAnsi="仿宋" w:eastAsia="仿宋" w:cs="仿宋"/>
                <w:b/>
                <w:bCs/>
                <w:color w:val="auto"/>
                <w:sz w:val="24"/>
                <w:szCs w:val="24"/>
                <w:highlight w:val="none"/>
              </w:rPr>
              <w:t>仅次于最大值。</w:t>
            </w:r>
          </w:p>
        </w:tc>
        <w:tc>
          <w:tcPr>
            <w:tcW w:w="470"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331" w:type="pct"/>
            <w:vMerge w:val="continue"/>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p>
        </w:tc>
        <w:tc>
          <w:tcPr>
            <w:tcW w:w="878"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▲3.3水用时抛射自动充气救生圈距离≥210米</w:t>
            </w:r>
          </w:p>
        </w:tc>
        <w:tc>
          <w:tcPr>
            <w:tcW w:w="3052"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highlight w:val="none"/>
                <w:lang w:eastAsia="zh-CN"/>
              </w:rPr>
              <w:t>水用时抛射自动充气救生圈距离</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eastAsia="zh-CN"/>
              </w:rPr>
              <w:t>水用时抛射自动充气救生圈距离</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3分</w:t>
            </w:r>
            <w:r>
              <w:rPr>
                <w:rFonts w:hint="eastAsia" w:ascii="仿宋" w:hAnsi="仿宋" w:eastAsia="仿宋" w:cs="仿宋"/>
                <w:color w:val="auto"/>
                <w:sz w:val="24"/>
                <w:szCs w:val="24"/>
                <w:highlight w:val="none"/>
              </w:rPr>
              <w:t>，</w:t>
            </w:r>
            <w:r>
              <w:rPr>
                <w:rFonts w:hint="eastAsia" w:ascii="仿宋" w:hAnsi="仿宋" w:eastAsia="仿宋" w:cs="仿宋"/>
                <w:color w:val="auto"/>
                <w:sz w:val="24"/>
                <w:highlight w:val="none"/>
                <w:lang w:eastAsia="zh-CN"/>
              </w:rPr>
              <w:t>水用时抛射自动充气救生圈距离</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eastAsia="zh-CN"/>
              </w:rPr>
              <w:t>水用时抛射自动充气救生圈距离</w:t>
            </w:r>
            <w:r>
              <w:rPr>
                <w:rFonts w:hint="eastAsia" w:ascii="仿宋" w:hAnsi="仿宋" w:eastAsia="仿宋" w:cs="仿宋"/>
                <w:b/>
                <w:bCs/>
                <w:color w:val="auto"/>
                <w:sz w:val="24"/>
                <w:szCs w:val="24"/>
                <w:highlight w:val="none"/>
              </w:rPr>
              <w:t>最大，次优表示</w:t>
            </w:r>
            <w:r>
              <w:rPr>
                <w:rFonts w:hint="eastAsia" w:ascii="仿宋" w:hAnsi="仿宋" w:eastAsia="仿宋" w:cs="仿宋"/>
                <w:b/>
                <w:bCs/>
                <w:color w:val="auto"/>
                <w:sz w:val="24"/>
                <w:szCs w:val="24"/>
                <w:highlight w:val="none"/>
                <w:lang w:eastAsia="zh-CN"/>
              </w:rPr>
              <w:t>水用时抛射自动充气救生圈距离</w:t>
            </w:r>
            <w:r>
              <w:rPr>
                <w:rFonts w:hint="eastAsia" w:ascii="仿宋" w:hAnsi="仿宋" w:eastAsia="仿宋" w:cs="仿宋"/>
                <w:b/>
                <w:bCs/>
                <w:color w:val="auto"/>
                <w:sz w:val="24"/>
                <w:szCs w:val="24"/>
                <w:highlight w:val="none"/>
              </w:rPr>
              <w:t>仅次于最大值。</w:t>
            </w:r>
          </w:p>
        </w:tc>
        <w:tc>
          <w:tcPr>
            <w:tcW w:w="470"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331" w:type="pct"/>
            <w:vMerge w:val="continue"/>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p>
        </w:tc>
        <w:tc>
          <w:tcPr>
            <w:tcW w:w="878"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▲3.3陆用时抛射距离≥230米</w:t>
            </w:r>
          </w:p>
        </w:tc>
        <w:tc>
          <w:tcPr>
            <w:tcW w:w="3052"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highlight w:val="none"/>
                <w:lang w:val="en-US" w:eastAsia="zh-CN"/>
              </w:rPr>
              <w:t>陆用时抛射距离</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陆用时抛射距离</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3分</w:t>
            </w:r>
            <w:r>
              <w:rPr>
                <w:rFonts w:hint="eastAsia" w:ascii="仿宋" w:hAnsi="仿宋" w:eastAsia="仿宋" w:cs="仿宋"/>
                <w:color w:val="auto"/>
                <w:sz w:val="24"/>
                <w:szCs w:val="24"/>
                <w:highlight w:val="none"/>
              </w:rPr>
              <w:t>，</w:t>
            </w:r>
            <w:r>
              <w:rPr>
                <w:rFonts w:hint="eastAsia" w:ascii="仿宋" w:hAnsi="仿宋" w:eastAsia="仿宋" w:cs="仿宋"/>
                <w:color w:val="auto"/>
                <w:sz w:val="24"/>
                <w:highlight w:val="none"/>
                <w:lang w:val="en-US" w:eastAsia="zh-CN"/>
              </w:rPr>
              <w:t>陆用时抛射距离</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val="en-US" w:eastAsia="zh-CN"/>
              </w:rPr>
              <w:t>陆用时抛射距离</w:t>
            </w:r>
            <w:r>
              <w:rPr>
                <w:rFonts w:hint="eastAsia" w:ascii="仿宋" w:hAnsi="仿宋" w:eastAsia="仿宋" w:cs="仿宋"/>
                <w:b/>
                <w:bCs/>
                <w:color w:val="auto"/>
                <w:sz w:val="24"/>
                <w:szCs w:val="24"/>
                <w:highlight w:val="none"/>
              </w:rPr>
              <w:t>最大，次优表示</w:t>
            </w:r>
            <w:r>
              <w:rPr>
                <w:rFonts w:hint="eastAsia" w:ascii="仿宋" w:hAnsi="仿宋" w:eastAsia="仿宋" w:cs="仿宋"/>
                <w:b/>
                <w:bCs/>
                <w:color w:val="auto"/>
                <w:sz w:val="24"/>
                <w:szCs w:val="24"/>
                <w:highlight w:val="none"/>
                <w:lang w:val="en-US" w:eastAsia="zh-CN"/>
              </w:rPr>
              <w:t>陆用时抛射距离</w:t>
            </w:r>
            <w:r>
              <w:rPr>
                <w:rFonts w:hint="eastAsia" w:ascii="仿宋" w:hAnsi="仿宋" w:eastAsia="仿宋" w:cs="仿宋"/>
                <w:b/>
                <w:bCs/>
                <w:color w:val="auto"/>
                <w:sz w:val="24"/>
                <w:szCs w:val="24"/>
                <w:highlight w:val="none"/>
              </w:rPr>
              <w:t>仅次于最大值。</w:t>
            </w:r>
          </w:p>
        </w:tc>
        <w:tc>
          <w:tcPr>
            <w:tcW w:w="470"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331" w:type="pc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救援三角架</w:t>
            </w:r>
          </w:p>
        </w:tc>
        <w:tc>
          <w:tcPr>
            <w:tcW w:w="878"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▲3.4最大载重≥150kg</w:t>
            </w:r>
          </w:p>
        </w:tc>
        <w:tc>
          <w:tcPr>
            <w:tcW w:w="3052"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highlight w:val="none"/>
                <w:lang w:eastAsia="zh-CN"/>
              </w:rPr>
              <w:t>最大载重</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eastAsia="zh-CN"/>
              </w:rPr>
              <w:t>最大载重</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3分</w:t>
            </w:r>
            <w:r>
              <w:rPr>
                <w:rFonts w:hint="eastAsia" w:ascii="仿宋" w:hAnsi="仿宋" w:eastAsia="仿宋" w:cs="仿宋"/>
                <w:color w:val="auto"/>
                <w:sz w:val="24"/>
                <w:szCs w:val="24"/>
                <w:highlight w:val="none"/>
              </w:rPr>
              <w:t>，</w:t>
            </w:r>
            <w:r>
              <w:rPr>
                <w:rFonts w:hint="eastAsia" w:ascii="仿宋" w:hAnsi="仿宋" w:eastAsia="仿宋" w:cs="仿宋"/>
                <w:color w:val="auto"/>
                <w:sz w:val="24"/>
                <w:highlight w:val="none"/>
                <w:lang w:eastAsia="zh-CN"/>
              </w:rPr>
              <w:t>最大载重</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eastAsia="zh-CN"/>
              </w:rPr>
              <w:t>最大载重</w:t>
            </w:r>
            <w:r>
              <w:rPr>
                <w:rFonts w:hint="eastAsia" w:ascii="仿宋" w:hAnsi="仿宋" w:eastAsia="仿宋" w:cs="仿宋"/>
                <w:b/>
                <w:bCs/>
                <w:color w:val="auto"/>
                <w:sz w:val="24"/>
                <w:szCs w:val="24"/>
                <w:highlight w:val="none"/>
              </w:rPr>
              <w:t>最大，次优表示</w:t>
            </w:r>
            <w:r>
              <w:rPr>
                <w:rFonts w:hint="eastAsia" w:ascii="仿宋" w:hAnsi="仿宋" w:eastAsia="仿宋" w:cs="仿宋"/>
                <w:b/>
                <w:bCs/>
                <w:color w:val="auto"/>
                <w:sz w:val="24"/>
                <w:szCs w:val="24"/>
                <w:highlight w:val="none"/>
                <w:lang w:eastAsia="zh-CN"/>
              </w:rPr>
              <w:t>最大载重</w:t>
            </w:r>
            <w:r>
              <w:rPr>
                <w:rFonts w:hint="eastAsia" w:ascii="仿宋" w:hAnsi="仿宋" w:eastAsia="仿宋" w:cs="仿宋"/>
                <w:b/>
                <w:bCs/>
                <w:color w:val="auto"/>
                <w:sz w:val="24"/>
                <w:szCs w:val="24"/>
                <w:highlight w:val="none"/>
              </w:rPr>
              <w:t>仅次于最大值。</w:t>
            </w:r>
          </w:p>
        </w:tc>
        <w:tc>
          <w:tcPr>
            <w:tcW w:w="470"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209"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一般参数</w:t>
            </w:r>
          </w:p>
        </w:tc>
        <w:tc>
          <w:tcPr>
            <w:tcW w:w="3052"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在完全满足招标文件“</w:t>
            </w:r>
            <w:r>
              <w:rPr>
                <w:rFonts w:hint="eastAsia" w:ascii="仿宋" w:hAnsi="仿宋" w:eastAsia="仿宋" w:cs="仿宋"/>
                <w:color w:val="auto"/>
                <w:sz w:val="24"/>
                <w:highlight w:val="none"/>
                <w:lang w:eastAsia="zh-CN"/>
              </w:rPr>
              <w:t>所有参数</w:t>
            </w:r>
            <w:r>
              <w:rPr>
                <w:rFonts w:hint="eastAsia" w:ascii="仿宋" w:hAnsi="仿宋" w:eastAsia="仿宋" w:cs="仿宋"/>
                <w:color w:val="auto"/>
                <w:sz w:val="24"/>
                <w:highlight w:val="none"/>
              </w:rPr>
              <w:t>”要求的基础上，每有一条“一般参数”优于的加1分，本项最多加</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分。（加分只针对具有“≥”或“≤”的数值，数值更加优于的进行加分；文字内容或其他内容优于的不加分）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注：“一般参数”为非标“★”号参数和非标“▲”号参数。</w:t>
            </w:r>
          </w:p>
        </w:tc>
        <w:tc>
          <w:tcPr>
            <w:tcW w:w="470"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268" w:type="pct"/>
            <w:vMerge w:val="continue"/>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731" w:type="pct"/>
            <w:gridSpan w:val="4"/>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评审依据：提供技术条款响应表和技术支撑文件</w:t>
            </w:r>
            <w:r>
              <w:rPr>
                <w:rFonts w:hint="eastAsia" w:ascii="仿宋" w:hAnsi="仿宋" w:eastAsia="仿宋" w:cs="仿宋"/>
                <w:b/>
                <w:bCs/>
                <w:color w:val="auto"/>
                <w:sz w:val="24"/>
                <w:highlight w:val="none"/>
                <w:lang w:eastAsia="zh-CN"/>
              </w:rPr>
              <w:t>。</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hint="eastAsia"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hint="eastAsia"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hint="eastAsia"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③制造商出具的技术参数证明材料并加盖制造商公章。]</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注：①供应商应认真提供技术支撑文件，若提供多份技术支撑文件，技术支撑文件佐证不一致时，优先级为：产品检测报告复印件＞制造商公开发布的印刷资料＞制造商出具的技术参数证明</w:t>
            </w:r>
            <w:r>
              <w:rPr>
                <w:rFonts w:hint="eastAsia" w:ascii="仿宋" w:hAnsi="仿宋" w:eastAsia="仿宋" w:cs="仿宋"/>
                <w:b/>
                <w:bCs/>
                <w:color w:val="auto"/>
                <w:sz w:val="24"/>
                <w:highlight w:val="none"/>
                <w:lang w:val="en-US" w:eastAsia="zh-CN"/>
              </w:rPr>
              <w:t>材料</w:t>
            </w:r>
            <w:r>
              <w:rPr>
                <w:rFonts w:hint="eastAsia" w:ascii="仿宋" w:hAnsi="仿宋" w:eastAsia="仿宋" w:cs="仿宋"/>
                <w:b/>
                <w:bCs/>
                <w:color w:val="auto"/>
                <w:sz w:val="24"/>
                <w:highlight w:val="none"/>
              </w:rPr>
              <w:t>；②技术支撑文件</w:t>
            </w:r>
            <w:r>
              <w:rPr>
                <w:rFonts w:hint="eastAsia" w:ascii="仿宋" w:hAnsi="仿宋" w:eastAsia="仿宋" w:cs="仿宋"/>
                <w:b/>
                <w:bCs/>
                <w:color w:val="auto"/>
                <w:sz w:val="24"/>
                <w:highlight w:val="none"/>
                <w:lang w:val="en-US" w:eastAsia="zh-CN"/>
              </w:rPr>
              <w:t>与</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不一致，则</w:t>
            </w:r>
            <w:r>
              <w:rPr>
                <w:rFonts w:hint="eastAsia" w:ascii="仿宋" w:hAnsi="仿宋" w:eastAsia="仿宋" w:cs="仿宋"/>
                <w:b/>
                <w:bCs/>
                <w:color w:val="auto"/>
                <w:sz w:val="24"/>
                <w:highlight w:val="none"/>
              </w:rPr>
              <w:t>该点不加分</w:t>
            </w:r>
            <w:r>
              <w:rPr>
                <w:rFonts w:hint="eastAsia" w:ascii="仿宋" w:hAnsi="仿宋" w:eastAsia="仿宋" w:cs="仿宋"/>
                <w:b/>
                <w:bCs/>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68"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209"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整体结构与外观</w:t>
            </w:r>
          </w:p>
        </w:tc>
        <w:tc>
          <w:tcPr>
            <w:tcW w:w="3052"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根据视频文件对核心产品的外观构造、内部结构、设计理念等进行评审。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设计理念先进，外部构造和内部结构科学合理，整体结构外观与实战紧贴程度高的，得3分；设计理念较为先进，外部构造和内部结构较为合理，整体结构外观与实战紧贴程度较高的，得2分；设计理念一般，外观构造和内部结构基本合理，整体结构外观与实战紧贴程度不高的，得1分；未提供证明材料或证明材料有缺项的不得分。</w:t>
            </w:r>
          </w:p>
        </w:tc>
        <w:tc>
          <w:tcPr>
            <w:tcW w:w="470"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209"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工艺</w:t>
            </w:r>
          </w:p>
        </w:tc>
        <w:tc>
          <w:tcPr>
            <w:tcW w:w="3052"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根据视频文件对核心产品的安全性、耐用性、实用性等进行评审。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性能高、耐用性能好、实用性能强，工艺符合实战需求程度高的，得3分；安全性能较高、耐用性能良好、实用性能较强，工艺符合实战需求程度较高的，得2分；安全性能不高、耐用性能普通、实用性能一般，工艺符合实战需求程度不高的，得1分；未提供证明材料或证明材料有缺项的不得分。</w:t>
            </w:r>
          </w:p>
        </w:tc>
        <w:tc>
          <w:tcPr>
            <w:tcW w:w="470"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209"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操作使用性能</w:t>
            </w:r>
          </w:p>
        </w:tc>
        <w:tc>
          <w:tcPr>
            <w:tcW w:w="3052"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根据视频文件对核心产品的可靠性、便捷性、稳定性等进行评审。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可靠性高、便捷性好、稳定性好，操作使用性能提升战斗力程度高的，得4分；可靠性较高、便捷性较好、稳定性良好，操作使用性能提升战斗力程度较高的，得2分；可靠性不高、便捷性和稳定性一般，操作使用性能提升战斗力程度不高的，得1分；未提供证明材料或证明材料有缺项的不得分。</w:t>
            </w:r>
          </w:p>
        </w:tc>
        <w:tc>
          <w:tcPr>
            <w:tcW w:w="470"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731" w:type="pct"/>
            <w:gridSpan w:val="4"/>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lang w:eastAsia="zh-CN"/>
              </w:rPr>
            </w:pPr>
            <w:r>
              <w:rPr>
                <w:rFonts w:hint="eastAsia" w:ascii="仿宋" w:hAnsi="仿宋" w:eastAsia="仿宋" w:cs="仿宋"/>
                <w:b/>
                <w:bCs/>
                <w:color w:val="auto"/>
                <w:sz w:val="24"/>
                <w:highlight w:val="none"/>
              </w:rPr>
              <w:t>以上评审依据：根据视频文件对产品的整体结构与外观、工艺、操作使用性能进行综合评审，视频文件需对以上三点评审内容进行介绍（包含但不限于以上三点）。视频文件[视频文件格式须为通用格式，佐证视频时长不得超过5分钟，视频清晰度应至少保证所摄的界面文字清晰易辨、画面完整连贯、播放速度正常]应存储于U盘内（单独密封在信封中）与投标文件同时递交，逾期递交不予接收，</w:t>
            </w:r>
            <w:r>
              <w:rPr>
                <w:rFonts w:hint="eastAsia" w:ascii="仿宋" w:hAnsi="仿宋" w:eastAsia="仿宋" w:cs="仿宋"/>
                <w:b/>
                <w:bCs/>
                <w:color w:val="auto"/>
                <w:sz w:val="24"/>
                <w:highlight w:val="none"/>
                <w:lang w:eastAsia="zh-CN"/>
              </w:rPr>
              <w:t>U盘由采购代理机构封存，不予退回。未提供视频或视频无法打开的，得0分。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cs="Times New Roman"/>
          <w:b/>
          <w:color w:val="auto"/>
          <w:sz w:val="24"/>
          <w:highlight w:val="none"/>
        </w:rPr>
      </w:pPr>
      <w:r>
        <w:rPr>
          <w:rFonts w:ascii="仿宋" w:hAnsi="仿宋" w:eastAsia="仿宋" w:cs="Times New Roman"/>
          <w:b/>
          <w:color w:val="auto"/>
          <w:sz w:val="24"/>
          <w:highlight w:val="none"/>
        </w:rPr>
        <w:t>三、商务部分（1</w:t>
      </w:r>
      <w:r>
        <w:rPr>
          <w:rFonts w:hint="eastAsia" w:ascii="仿宋" w:hAnsi="仿宋" w:eastAsia="仿宋" w:cs="Times New Roman"/>
          <w:b/>
          <w:color w:val="auto"/>
          <w:sz w:val="24"/>
          <w:highlight w:val="none"/>
          <w:lang w:val="en-US" w:eastAsia="zh-CN"/>
        </w:rPr>
        <w:t>5</w:t>
      </w:r>
      <w:r>
        <w:rPr>
          <w:rFonts w:ascii="仿宋" w:hAnsi="仿宋" w:eastAsia="仿宋" w:cs="Times New Roman"/>
          <w:b/>
          <w:color w:val="auto"/>
          <w:sz w:val="24"/>
          <w:highlight w:val="none"/>
        </w:rPr>
        <w:t>分）</w:t>
      </w:r>
    </w:p>
    <w:tbl>
      <w:tblPr>
        <w:tblStyle w:val="4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3"/>
        <w:gridCol w:w="1202"/>
        <w:gridCol w:w="5776"/>
        <w:gridCol w:w="8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s="Times New Roman"/>
                <w:color w:val="auto"/>
                <w:sz w:val="24"/>
                <w:szCs w:val="22"/>
                <w:highlight w:val="none"/>
              </w:rPr>
            </w:pPr>
            <w:r>
              <w:rPr>
                <w:rFonts w:eastAsia="仿宋" w:cs="Times New Roman"/>
                <w:b/>
                <w:bCs/>
                <w:color w:val="auto"/>
                <w:sz w:val="24"/>
                <w:szCs w:val="22"/>
                <w:highlight w:val="none"/>
              </w:rPr>
              <w:t>序号</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s="Times New Roman"/>
                <w:color w:val="auto"/>
                <w:sz w:val="24"/>
                <w:szCs w:val="22"/>
                <w:highlight w:val="none"/>
              </w:rPr>
            </w:pPr>
            <w:r>
              <w:rPr>
                <w:rFonts w:eastAsia="仿宋" w:cs="Times New Roman"/>
                <w:b/>
                <w:bCs/>
                <w:color w:val="auto"/>
                <w:sz w:val="24"/>
                <w:szCs w:val="22"/>
                <w:highlight w:val="none"/>
              </w:rPr>
              <w:t>评审因素</w:t>
            </w:r>
          </w:p>
        </w:tc>
        <w:tc>
          <w:tcPr>
            <w:tcW w:w="3389" w:type="pct"/>
            <w:vAlign w:val="center"/>
          </w:tcPr>
          <w:p>
            <w:pPr>
              <w:pageBreakBefore w:val="0"/>
              <w:kinsoku/>
              <w:wordWrap/>
              <w:overflowPunct/>
              <w:topLinePunct w:val="0"/>
              <w:autoSpaceDE/>
              <w:autoSpaceDN/>
              <w:bidi w:val="0"/>
              <w:adjustRightInd/>
              <w:snapToGrid/>
              <w:spacing w:line="460" w:lineRule="exact"/>
              <w:jc w:val="center"/>
              <w:rPr>
                <w:rFonts w:eastAsia="仿宋" w:cs="Times New Roman"/>
                <w:color w:val="auto"/>
                <w:sz w:val="24"/>
                <w:szCs w:val="22"/>
                <w:highlight w:val="none"/>
              </w:rPr>
            </w:pPr>
            <w:r>
              <w:rPr>
                <w:rFonts w:eastAsia="仿宋" w:cs="Times New Roman"/>
                <w:b/>
                <w:bCs/>
                <w:color w:val="auto"/>
                <w:sz w:val="24"/>
                <w:szCs w:val="22"/>
                <w:highlight w:val="none"/>
              </w:rPr>
              <w:t>评分标准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s="Times New Roman"/>
                <w:color w:val="auto"/>
                <w:sz w:val="24"/>
                <w:szCs w:val="22"/>
                <w:highlight w:val="none"/>
              </w:rPr>
            </w:pPr>
            <w:r>
              <w:rPr>
                <w:rFonts w:eastAsia="仿宋" w:cs="Times New Roman"/>
                <w:b/>
                <w:bCs/>
                <w:color w:val="auto"/>
                <w:sz w:val="24"/>
                <w:szCs w:val="22"/>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s="Times New Roman"/>
                <w:color w:val="auto"/>
                <w:sz w:val="24"/>
                <w:szCs w:val="22"/>
                <w:highlight w:val="none"/>
              </w:rPr>
            </w:pPr>
            <w:r>
              <w:rPr>
                <w:rFonts w:eastAsia="仿宋" w:cs="Times New Roman"/>
                <w:color w:val="auto"/>
                <w:sz w:val="24"/>
                <w:szCs w:val="22"/>
                <w:highlight w:val="none"/>
              </w:rPr>
              <w:t>1</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s="Times New Roman"/>
                <w:bCs/>
                <w:color w:val="auto"/>
                <w:sz w:val="24"/>
                <w:szCs w:val="22"/>
                <w:highlight w:val="none"/>
              </w:rPr>
            </w:pPr>
            <w:r>
              <w:rPr>
                <w:rFonts w:hint="eastAsia" w:ascii="仿宋" w:hAnsi="仿宋" w:eastAsia="仿宋" w:cs="仿宋"/>
                <w:color w:val="auto"/>
                <w:sz w:val="24"/>
                <w:highlight w:val="none"/>
              </w:rPr>
              <w:t>符合性评审</w:t>
            </w:r>
          </w:p>
        </w:tc>
        <w:tc>
          <w:tcPr>
            <w:tcW w:w="3887" w:type="pct"/>
            <w:gridSpan w:val="2"/>
            <w:vAlign w:val="center"/>
          </w:tcPr>
          <w:p>
            <w:pPr>
              <w:pageBreakBefore w:val="0"/>
              <w:kinsoku/>
              <w:wordWrap/>
              <w:overflowPunct/>
              <w:topLinePunct w:val="0"/>
              <w:autoSpaceDE/>
              <w:autoSpaceDN/>
              <w:bidi w:val="0"/>
              <w:adjustRightInd/>
              <w:snapToGrid/>
              <w:spacing w:line="460" w:lineRule="exact"/>
              <w:rPr>
                <w:rFonts w:eastAsia="仿宋" w:cs="Times New Roman"/>
                <w:color w:val="auto"/>
                <w:sz w:val="24"/>
                <w:szCs w:val="22"/>
                <w:highlight w:val="none"/>
              </w:rPr>
            </w:pPr>
            <w:r>
              <w:rPr>
                <w:rFonts w:hint="eastAsia" w:eastAsia="仿宋" w:cs="Times New Roman"/>
                <w:color w:val="auto"/>
                <w:sz w:val="24"/>
                <w:szCs w:val="22"/>
                <w:highlight w:val="none"/>
              </w:rPr>
              <w:t>投标人必须完全满足招标文件“商务要求”</w:t>
            </w:r>
            <w:r>
              <w:rPr>
                <w:rFonts w:hint="eastAsia" w:eastAsia="仿宋" w:cs="Times New Roman"/>
                <w:color w:val="auto"/>
                <w:sz w:val="24"/>
                <w:szCs w:val="22"/>
                <w:highlight w:val="none"/>
                <w:lang w:val="en-US" w:eastAsia="zh-CN"/>
              </w:rPr>
              <w:t>所有</w:t>
            </w:r>
            <w:r>
              <w:rPr>
                <w:rFonts w:hint="eastAsia" w:eastAsia="仿宋" w:cs="Times New Roman"/>
                <w:color w:val="auto"/>
                <w:sz w:val="24"/>
                <w:szCs w:val="22"/>
                <w:highlight w:val="none"/>
              </w:rPr>
              <w:t>实质性条款，任意一项不满足作无效投标处理。</w:t>
            </w:r>
          </w:p>
          <w:p>
            <w:pPr>
              <w:pageBreakBefore w:val="0"/>
              <w:kinsoku/>
              <w:wordWrap/>
              <w:overflowPunct/>
              <w:topLinePunct w:val="0"/>
              <w:autoSpaceDE/>
              <w:autoSpaceDN/>
              <w:bidi w:val="0"/>
              <w:adjustRightInd/>
              <w:snapToGrid/>
              <w:spacing w:line="460" w:lineRule="exact"/>
              <w:rPr>
                <w:rFonts w:eastAsia="仿宋" w:cs="Times New Roman"/>
                <w:color w:val="auto"/>
                <w:sz w:val="24"/>
                <w:szCs w:val="22"/>
                <w:highlight w:val="none"/>
              </w:rPr>
            </w:pPr>
            <w:r>
              <w:rPr>
                <w:rFonts w:hint="eastAsia" w:eastAsia="仿宋" w:cs="Times New Roman"/>
                <w:b/>
                <w:bCs/>
                <w:color w:val="auto"/>
                <w:sz w:val="24"/>
                <w:szCs w:val="22"/>
                <w:highlight w:val="none"/>
              </w:rPr>
              <w:t>评审依据：投标文件中提供的商务条款响应表。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s="Times New Roman"/>
                <w:color w:val="auto"/>
                <w:sz w:val="24"/>
                <w:szCs w:val="22"/>
                <w:highlight w:val="none"/>
              </w:rPr>
            </w:pPr>
            <w:r>
              <w:rPr>
                <w:rFonts w:eastAsia="仿宋" w:cs="Times New Roman"/>
                <w:color w:val="auto"/>
                <w:sz w:val="24"/>
                <w:szCs w:val="22"/>
                <w:highlight w:val="none"/>
              </w:rPr>
              <w:t>2</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eastAsia="zh-CN"/>
              </w:rPr>
              <w:t>生产制造履约能力</w:t>
            </w:r>
          </w:p>
        </w:tc>
        <w:tc>
          <w:tcPr>
            <w:tcW w:w="3389" w:type="pct"/>
            <w:vAlign w:val="center"/>
          </w:tcPr>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val="en-US" w:eastAsia="zh-CN"/>
              </w:rPr>
              <w:t>投标人提供所投核心产品制造商的证明材料（应加盖制造商公章）</w:t>
            </w:r>
            <w:r>
              <w:rPr>
                <w:rFonts w:hint="eastAsia" w:eastAsia="仿宋" w:cs="Times New Roman"/>
                <w:color w:val="auto"/>
                <w:sz w:val="24"/>
                <w:szCs w:val="22"/>
                <w:highlight w:val="none"/>
              </w:rPr>
              <w:t>对</w:t>
            </w:r>
            <w:r>
              <w:rPr>
                <w:rFonts w:hint="eastAsia" w:eastAsia="仿宋" w:cs="Times New Roman"/>
                <w:color w:val="auto"/>
                <w:sz w:val="24"/>
                <w:szCs w:val="22"/>
                <w:highlight w:val="none"/>
                <w:lang w:eastAsia="zh-CN"/>
              </w:rPr>
              <w:t>生产制造履约能力</w:t>
            </w:r>
            <w:r>
              <w:rPr>
                <w:rFonts w:hint="eastAsia" w:eastAsia="仿宋" w:cs="Times New Roman"/>
                <w:color w:val="auto"/>
                <w:sz w:val="24"/>
                <w:szCs w:val="22"/>
                <w:highlight w:val="none"/>
              </w:rPr>
              <w:t>进行评审，包含但不限于</w:t>
            </w:r>
            <w:r>
              <w:rPr>
                <w:rFonts w:hint="eastAsia" w:eastAsia="仿宋" w:cs="Times New Roman"/>
                <w:color w:val="auto"/>
                <w:sz w:val="24"/>
                <w:szCs w:val="22"/>
                <w:highlight w:val="none"/>
                <w:lang w:eastAsia="zh-CN"/>
              </w:rPr>
              <w:t>：</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eastAsia="zh-CN"/>
              </w:rPr>
              <w:t>①制造商生产经营情况简介；</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②</w:t>
            </w:r>
            <w:r>
              <w:rPr>
                <w:rFonts w:hint="eastAsia" w:eastAsia="仿宋" w:cs="Times New Roman"/>
                <w:color w:val="auto"/>
                <w:sz w:val="24"/>
                <w:szCs w:val="22"/>
                <w:highlight w:val="none"/>
                <w:lang w:eastAsia="zh-CN"/>
              </w:rPr>
              <w:t>生产工艺流程，主要包括生产制造流程图、生产步骤（应含生产车间环境及实际生产照片）等相关情况描述；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③产品检验流程，包括主要检验设备</w:t>
            </w:r>
            <w:r>
              <w:rPr>
                <w:rFonts w:hint="eastAsia" w:eastAsia="仿宋" w:cs="Times New Roman"/>
                <w:color w:val="auto"/>
                <w:sz w:val="24"/>
                <w:szCs w:val="22"/>
                <w:highlight w:val="none"/>
                <w:lang w:eastAsia="zh-CN"/>
              </w:rPr>
              <w:t>（应提供图片）</w:t>
            </w:r>
            <w:r>
              <w:rPr>
                <w:rFonts w:hint="eastAsia" w:eastAsia="仿宋" w:cs="Times New Roman"/>
                <w:color w:val="auto"/>
                <w:sz w:val="24"/>
                <w:szCs w:val="22"/>
                <w:highlight w:val="none"/>
              </w:rPr>
              <w:t>、检验步骤等相关情况描述；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④人员配备：相关专业技术</w:t>
            </w:r>
            <w:r>
              <w:rPr>
                <w:rFonts w:hint="eastAsia" w:eastAsia="仿宋" w:cs="Times New Roman"/>
                <w:color w:val="auto"/>
                <w:sz w:val="24"/>
                <w:szCs w:val="22"/>
                <w:highlight w:val="none"/>
                <w:lang w:eastAsia="zh-CN"/>
              </w:rPr>
              <w:t>职称</w:t>
            </w:r>
            <w:r>
              <w:rPr>
                <w:rFonts w:hint="eastAsia" w:eastAsia="仿宋" w:cs="Times New Roman"/>
                <w:color w:val="auto"/>
                <w:sz w:val="24"/>
                <w:szCs w:val="22"/>
                <w:highlight w:val="none"/>
              </w:rPr>
              <w:t>人员配置情况</w:t>
            </w:r>
            <w:r>
              <w:rPr>
                <w:rFonts w:hint="eastAsia" w:eastAsia="仿宋" w:cs="Times New Roman"/>
                <w:color w:val="auto"/>
                <w:sz w:val="24"/>
                <w:szCs w:val="22"/>
                <w:highlight w:val="none"/>
                <w:lang w:eastAsia="zh-CN"/>
              </w:rPr>
              <w:t>；</w:t>
            </w:r>
            <w:r>
              <w:rPr>
                <w:rFonts w:hint="eastAsia" w:eastAsia="仿宋" w:cs="Times New Roman"/>
                <w:color w:val="auto"/>
                <w:sz w:val="24"/>
                <w:szCs w:val="22"/>
                <w:highlight w:val="none"/>
              </w:rPr>
              <w:t>各原材料采购、生产、检验、仓储、运输等环节的人员配备情况；</w:t>
            </w:r>
          </w:p>
          <w:p>
            <w:pPr>
              <w:pageBreakBefore w:val="0"/>
              <w:kinsoku/>
              <w:wordWrap/>
              <w:overflowPunct/>
              <w:topLinePunct w:val="0"/>
              <w:autoSpaceDE/>
              <w:autoSpaceDN/>
              <w:bidi w:val="0"/>
              <w:adjustRightInd/>
              <w:snapToGrid/>
              <w:spacing w:line="460" w:lineRule="exact"/>
              <w:rPr>
                <w:rFonts w:hint="eastAsia" w:eastAsia="仿宋" w:cs="Times New Roman"/>
                <w:b/>
                <w:bCs/>
                <w:color w:val="auto"/>
                <w:sz w:val="24"/>
                <w:szCs w:val="22"/>
                <w:highlight w:val="none"/>
              </w:rPr>
            </w:pPr>
            <w:r>
              <w:rPr>
                <w:rFonts w:hint="eastAsia" w:eastAsia="仿宋" w:cs="Times New Roman"/>
                <w:b/>
                <w:bCs/>
                <w:color w:val="auto"/>
                <w:sz w:val="24"/>
                <w:szCs w:val="22"/>
                <w:highlight w:val="none"/>
              </w:rPr>
              <w:t>评审依据：</w:t>
            </w:r>
            <w:r>
              <w:rPr>
                <w:rFonts w:hint="eastAsia" w:eastAsia="仿宋" w:cs="Times New Roman"/>
                <w:b/>
                <w:bCs/>
                <w:color w:val="auto"/>
                <w:sz w:val="24"/>
                <w:szCs w:val="22"/>
                <w:highlight w:val="none"/>
                <w:lang w:val="en-US" w:eastAsia="zh-CN"/>
              </w:rPr>
              <w:t>根据</w:t>
            </w:r>
            <w:r>
              <w:rPr>
                <w:rFonts w:hint="eastAsia" w:eastAsia="仿宋" w:cs="Times New Roman"/>
                <w:b/>
                <w:bCs/>
                <w:color w:val="auto"/>
                <w:sz w:val="24"/>
                <w:szCs w:val="22"/>
                <w:highlight w:val="none"/>
              </w:rPr>
              <w:t>投标人提</w:t>
            </w:r>
            <w:r>
              <w:rPr>
                <w:rFonts w:hint="eastAsia" w:eastAsia="仿宋" w:cs="Times New Roman"/>
                <w:b/>
                <w:bCs/>
                <w:color w:val="auto"/>
                <w:sz w:val="24"/>
                <w:szCs w:val="22"/>
                <w:highlight w:val="none"/>
                <w:lang w:val="en-US" w:eastAsia="zh-CN"/>
              </w:rPr>
              <w:t>供的生产制造履约能力方案内容完整性、组织性、关联性和可操作性进行评审</w:t>
            </w:r>
            <w:r>
              <w:rPr>
                <w:rFonts w:hint="eastAsia" w:eastAsia="仿宋" w:cs="Times New Roman"/>
                <w:b/>
                <w:bCs/>
                <w:color w:val="auto"/>
                <w:sz w:val="24"/>
                <w:szCs w:val="22"/>
                <w:highlight w:val="none"/>
              </w:rPr>
              <w:t>。</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1、所投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制造商具备较强自主研发能力及先进的生产工艺，生产车间环境及生产线先进规范，生产步骤完整周详，技术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检验设备配置齐全、检验步骤严密无纰漏，生产制造履约能力</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分；</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制造商有自主研发能力和生产工艺较完整，生产车间环境及生产线常规，生产步骤较完整周详，技术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eastAsia="zh-CN"/>
              </w:rPr>
              <w:t>相对</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检验设备配置较齐全、检验步骤相对完备，生产制造履约能力</w:t>
            </w:r>
            <w:r>
              <w:rPr>
                <w:rFonts w:hint="eastAsia" w:ascii="仿宋" w:hAnsi="仿宋" w:eastAsia="仿宋" w:cs="仿宋"/>
                <w:b/>
                <w:bCs/>
                <w:color w:val="auto"/>
                <w:sz w:val="24"/>
                <w:szCs w:val="24"/>
                <w:highlight w:val="none"/>
                <w:lang w:eastAsia="zh-CN"/>
              </w:rPr>
              <w:t>较</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3、所投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制造商有自主研发能力和生产工艺薄弱，生产车间环境及生产线粗糙落后，生产步骤简单，技术</w:t>
            </w:r>
            <w:r>
              <w:rPr>
                <w:rFonts w:hint="eastAsia" w:ascii="仿宋" w:hAnsi="仿宋" w:eastAsia="仿宋" w:cs="仿宋"/>
                <w:b/>
                <w:bCs/>
                <w:color w:val="auto"/>
                <w:sz w:val="24"/>
                <w:szCs w:val="24"/>
                <w:highlight w:val="none"/>
              </w:rPr>
              <w:t>人员</w:t>
            </w:r>
            <w:r>
              <w:rPr>
                <w:rFonts w:hint="eastAsia" w:ascii="仿宋" w:hAnsi="仿宋" w:eastAsia="仿宋" w:cs="仿宋"/>
                <w:b/>
                <w:bCs/>
                <w:color w:val="auto"/>
                <w:sz w:val="24"/>
                <w:szCs w:val="24"/>
                <w:highlight w:val="none"/>
                <w:lang w:eastAsia="zh-CN"/>
              </w:rPr>
              <w:t>综合实力一般，</w:t>
            </w:r>
            <w:r>
              <w:rPr>
                <w:rFonts w:hint="eastAsia" w:ascii="仿宋" w:hAnsi="仿宋" w:eastAsia="仿宋" w:cs="仿宋"/>
                <w:b/>
                <w:bCs/>
                <w:color w:val="auto"/>
                <w:sz w:val="24"/>
                <w:szCs w:val="24"/>
                <w:highlight w:val="none"/>
                <w:lang w:val="en-US" w:eastAsia="zh-CN"/>
              </w:rPr>
              <w:t>检验设备配置简单落后，检验步骤普通，生产制造履约能力</w:t>
            </w:r>
            <w:r>
              <w:rPr>
                <w:rFonts w:hint="eastAsia" w:ascii="仿宋" w:hAnsi="仿宋" w:eastAsia="仿宋" w:cs="仿宋"/>
                <w:b/>
                <w:bCs/>
                <w:color w:val="auto"/>
                <w:sz w:val="24"/>
                <w:szCs w:val="24"/>
                <w:highlight w:val="none"/>
                <w:lang w:eastAsia="zh-CN"/>
              </w:rPr>
              <w:t>弱</w:t>
            </w:r>
            <w:r>
              <w:rPr>
                <w:rFonts w:hint="eastAsia" w:ascii="仿宋" w:hAnsi="仿宋" w:eastAsia="仿宋" w:cs="仿宋"/>
                <w:b/>
                <w:bCs/>
                <w:color w:val="auto"/>
                <w:sz w:val="24"/>
                <w:szCs w:val="24"/>
                <w:highlight w:val="none"/>
              </w:rPr>
              <w:t>的得</w:t>
            </w: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eastAsia="仿宋" w:cs="Times New Roman"/>
                <w:color w:val="auto"/>
                <w:sz w:val="24"/>
                <w:szCs w:val="22"/>
                <w:highlight w:val="none"/>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未提供证明材料或证明材料有缺项的不得分。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s="Times New Roman"/>
                <w:color w:val="auto"/>
                <w:sz w:val="24"/>
                <w:szCs w:val="22"/>
                <w:highlight w:val="none"/>
              </w:rPr>
            </w:pPr>
            <w:r>
              <w:rPr>
                <w:rFonts w:eastAsia="仿宋" w:cs="Times New Roman"/>
                <w:color w:val="auto"/>
                <w:sz w:val="24"/>
                <w:szCs w:val="22"/>
                <w:highlight w:val="none"/>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s="Times New Roman"/>
                <w:color w:val="auto"/>
                <w:sz w:val="24"/>
                <w:szCs w:val="22"/>
                <w:highlight w:val="none"/>
              </w:rPr>
            </w:pPr>
            <w:r>
              <w:rPr>
                <w:rFonts w:eastAsia="仿宋" w:cs="Times New Roman"/>
                <w:color w:val="auto"/>
                <w:sz w:val="24"/>
                <w:szCs w:val="22"/>
                <w:highlight w:val="none"/>
              </w:rPr>
              <w:t>3</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s="Times New Roman"/>
                <w:color w:val="auto"/>
                <w:sz w:val="24"/>
                <w:szCs w:val="22"/>
                <w:highlight w:val="none"/>
              </w:rPr>
            </w:pPr>
            <w:r>
              <w:rPr>
                <w:rFonts w:eastAsia="仿宋" w:cs="Times New Roman"/>
                <w:color w:val="auto"/>
                <w:sz w:val="24"/>
                <w:szCs w:val="22"/>
                <w:highlight w:val="none"/>
              </w:rPr>
              <w:t>质量保证和保修</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eastAsia="仿宋" w:cs="Times New Roman"/>
                <w:color w:val="auto"/>
                <w:sz w:val="24"/>
                <w:szCs w:val="22"/>
                <w:highlight w:val="none"/>
              </w:rPr>
            </w:pPr>
            <w:r>
              <w:rPr>
                <w:rFonts w:eastAsia="仿宋" w:cs="Times New Roman"/>
                <w:color w:val="auto"/>
                <w:sz w:val="24"/>
                <w:szCs w:val="22"/>
                <w:highlight w:val="none"/>
              </w:rPr>
              <w:t>在招标文件商务要求中“质保期”和“保修期”要求基础上，承诺“质保期”和“保修期”均每延长一年的加2分，最多加4分。</w:t>
            </w:r>
          </w:p>
          <w:p>
            <w:pPr>
              <w:pageBreakBefore w:val="0"/>
              <w:kinsoku/>
              <w:wordWrap/>
              <w:overflowPunct/>
              <w:topLinePunct w:val="0"/>
              <w:autoSpaceDE/>
              <w:autoSpaceDN/>
              <w:bidi w:val="0"/>
              <w:adjustRightInd/>
              <w:snapToGrid/>
              <w:spacing w:line="460" w:lineRule="exact"/>
              <w:rPr>
                <w:rFonts w:eastAsia="仿宋" w:cs="Times New Roman"/>
                <w:color w:val="auto"/>
                <w:sz w:val="24"/>
                <w:szCs w:val="22"/>
                <w:highlight w:val="none"/>
              </w:rPr>
            </w:pPr>
            <w:r>
              <w:rPr>
                <w:rFonts w:eastAsia="仿宋" w:cs="Times New Roman"/>
                <w:b/>
                <w:color w:val="auto"/>
                <w:sz w:val="24"/>
                <w:szCs w:val="22"/>
                <w:highlight w:val="none"/>
              </w:rPr>
              <w:t>评审依据：投标文件中提供“质保期”和“保修期”均延长的承诺函原件。</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s="Times New Roman"/>
                <w:color w:val="auto"/>
                <w:sz w:val="24"/>
                <w:szCs w:val="22"/>
                <w:highlight w:val="none"/>
              </w:rPr>
            </w:pPr>
            <w:r>
              <w:rPr>
                <w:rFonts w:eastAsia="仿宋" w:cs="Times New Roman"/>
                <w:color w:val="auto"/>
                <w:sz w:val="24"/>
                <w:szCs w:val="22"/>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s="Times New Roman"/>
                <w:color w:val="auto"/>
                <w:sz w:val="24"/>
                <w:szCs w:val="22"/>
                <w:highlight w:val="none"/>
              </w:rPr>
            </w:pPr>
            <w:r>
              <w:rPr>
                <w:rFonts w:eastAsia="仿宋" w:cs="Times New Roman"/>
                <w:color w:val="auto"/>
                <w:sz w:val="24"/>
                <w:szCs w:val="22"/>
                <w:highlight w:val="none"/>
              </w:rPr>
              <w:t>4</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s="Times New Roman"/>
                <w:color w:val="auto"/>
                <w:sz w:val="24"/>
                <w:szCs w:val="22"/>
                <w:highlight w:val="none"/>
              </w:rPr>
            </w:pPr>
            <w:r>
              <w:rPr>
                <w:rFonts w:eastAsia="仿宋" w:cs="Times New Roman"/>
                <w:color w:val="auto"/>
                <w:sz w:val="24"/>
                <w:szCs w:val="22"/>
                <w:highlight w:val="none"/>
              </w:rPr>
              <w:t>类似销售</w:t>
            </w:r>
          </w:p>
          <w:p>
            <w:pPr>
              <w:pageBreakBefore w:val="0"/>
              <w:kinsoku/>
              <w:wordWrap/>
              <w:overflowPunct/>
              <w:topLinePunct w:val="0"/>
              <w:autoSpaceDE/>
              <w:autoSpaceDN/>
              <w:bidi w:val="0"/>
              <w:adjustRightInd/>
              <w:snapToGrid/>
              <w:spacing w:line="460" w:lineRule="exact"/>
              <w:jc w:val="center"/>
              <w:rPr>
                <w:rFonts w:eastAsia="仿宋" w:cs="Times New Roman"/>
                <w:color w:val="auto"/>
                <w:sz w:val="24"/>
                <w:szCs w:val="22"/>
                <w:highlight w:val="none"/>
              </w:rPr>
            </w:pPr>
            <w:r>
              <w:rPr>
                <w:rFonts w:eastAsia="仿宋" w:cs="Times New Roman"/>
                <w:color w:val="auto"/>
                <w:sz w:val="24"/>
                <w:szCs w:val="22"/>
                <w:highlight w:val="none"/>
              </w:rPr>
              <w:t>案例</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投标人自</w:t>
            </w:r>
            <w:r>
              <w:rPr>
                <w:rFonts w:eastAsia="仿宋" w:cs="Times New Roman"/>
                <w:color w:val="auto"/>
                <w:sz w:val="24"/>
                <w:szCs w:val="22"/>
                <w:highlight w:val="none"/>
              </w:rPr>
              <w:t>20</w:t>
            </w:r>
            <w:r>
              <w:rPr>
                <w:rFonts w:hint="eastAsia" w:eastAsia="仿宋" w:cs="Times New Roman"/>
                <w:color w:val="auto"/>
                <w:sz w:val="24"/>
                <w:szCs w:val="22"/>
                <w:highlight w:val="none"/>
              </w:rPr>
              <w:t>2</w:t>
            </w:r>
            <w:r>
              <w:rPr>
                <w:rFonts w:hint="eastAsia" w:eastAsia="仿宋" w:cs="Times New Roman"/>
                <w:color w:val="auto"/>
                <w:sz w:val="24"/>
                <w:szCs w:val="22"/>
                <w:highlight w:val="none"/>
                <w:lang w:val="en-US" w:eastAsia="zh-CN"/>
              </w:rPr>
              <w:t>1</w:t>
            </w:r>
            <w:r>
              <w:rPr>
                <w:rFonts w:hint="eastAsia" w:eastAsia="仿宋" w:cs="Times New Roman"/>
                <w:color w:val="auto"/>
                <w:sz w:val="24"/>
                <w:szCs w:val="22"/>
                <w:highlight w:val="none"/>
              </w:rPr>
              <w:t>年</w:t>
            </w:r>
            <w:r>
              <w:rPr>
                <w:rFonts w:eastAsia="仿宋" w:cs="Times New Roman"/>
                <w:color w:val="auto"/>
                <w:sz w:val="24"/>
                <w:szCs w:val="22"/>
                <w:highlight w:val="none"/>
              </w:rPr>
              <w:t>1月1日至今（以签订合同时间为准）具有类似</w:t>
            </w:r>
            <w:r>
              <w:rPr>
                <w:rFonts w:hint="eastAsia" w:eastAsia="仿宋" w:cs="Times New Roman"/>
                <w:color w:val="auto"/>
                <w:sz w:val="24"/>
                <w:szCs w:val="22"/>
                <w:highlight w:val="none"/>
                <w:lang w:eastAsia="zh-CN"/>
              </w:rPr>
              <w:t>核心</w:t>
            </w:r>
            <w:r>
              <w:rPr>
                <w:rFonts w:eastAsia="仿宋" w:cs="Times New Roman"/>
                <w:color w:val="auto"/>
                <w:sz w:val="24"/>
                <w:szCs w:val="22"/>
                <w:highlight w:val="none"/>
              </w:rPr>
              <w:t>产品销售案例，每提供1份销售案例加</w:t>
            </w:r>
            <w:r>
              <w:rPr>
                <w:rFonts w:hint="eastAsia" w:eastAsia="仿宋" w:cs="Times New Roman"/>
                <w:color w:val="auto"/>
                <w:sz w:val="24"/>
                <w:szCs w:val="22"/>
                <w:highlight w:val="none"/>
                <w:lang w:val="en-US" w:eastAsia="zh-CN"/>
              </w:rPr>
              <w:t>2</w:t>
            </w:r>
            <w:r>
              <w:rPr>
                <w:rFonts w:hint="eastAsia" w:eastAsia="仿宋" w:cs="Times New Roman"/>
                <w:color w:val="auto"/>
                <w:sz w:val="24"/>
                <w:szCs w:val="22"/>
                <w:highlight w:val="none"/>
              </w:rPr>
              <w:t>分，本项最多加</w:t>
            </w:r>
            <w:r>
              <w:rPr>
                <w:rFonts w:hint="eastAsia" w:eastAsia="仿宋" w:cs="Times New Roman"/>
                <w:color w:val="auto"/>
                <w:sz w:val="24"/>
                <w:szCs w:val="22"/>
                <w:highlight w:val="none"/>
                <w:lang w:val="en-US" w:eastAsia="zh-CN"/>
              </w:rPr>
              <w:t>6</w:t>
            </w:r>
            <w:r>
              <w:rPr>
                <w:rFonts w:hint="eastAsia" w:eastAsia="仿宋" w:cs="Times New Roman"/>
                <w:color w:val="auto"/>
                <w:sz w:val="24"/>
                <w:szCs w:val="22"/>
                <w:highlight w:val="none"/>
              </w:rPr>
              <w:t>分。</w:t>
            </w:r>
          </w:p>
          <w:p>
            <w:pPr>
              <w:pageBreakBefore w:val="0"/>
              <w:kinsoku/>
              <w:wordWrap/>
              <w:overflowPunct/>
              <w:topLinePunct w:val="0"/>
              <w:autoSpaceDE/>
              <w:autoSpaceDN/>
              <w:bidi w:val="0"/>
              <w:adjustRightInd/>
              <w:snapToGrid/>
              <w:spacing w:line="460" w:lineRule="exact"/>
              <w:jc w:val="left"/>
              <w:rPr>
                <w:rFonts w:eastAsia="仿宋" w:cs="Times New Roman"/>
                <w:b/>
                <w:bCs/>
                <w:color w:val="auto"/>
                <w:sz w:val="24"/>
                <w:szCs w:val="22"/>
                <w:highlight w:val="none"/>
              </w:rPr>
            </w:pPr>
            <w:r>
              <w:rPr>
                <w:rFonts w:hint="eastAsia" w:eastAsia="仿宋" w:cs="Times New Roman"/>
                <w:b/>
                <w:bCs/>
                <w:color w:val="auto"/>
                <w:sz w:val="24"/>
                <w:szCs w:val="22"/>
                <w:highlight w:val="none"/>
              </w:rPr>
              <w:t>评审依据：①投标文件中提供销售案例明细表（销售案例明细表包含</w:t>
            </w:r>
            <w:r>
              <w:rPr>
                <w:rFonts w:eastAsia="仿宋" w:cs="Times New Roman"/>
                <w:b/>
                <w:bCs/>
                <w:color w:val="auto"/>
                <w:sz w:val="24"/>
                <w:szCs w:val="22"/>
                <w:highlight w:val="none"/>
              </w:rPr>
              <w:t>:发布网站名称、网页链接地址、采购项目名称、采购单位名称和联系方式、采购代理机构名称和联系方式）；</w:t>
            </w:r>
            <w:r>
              <w:rPr>
                <w:rFonts w:hint="eastAsia" w:eastAsia="仿宋" w:cs="Times New Roman"/>
                <w:b/>
                <w:bCs/>
                <w:color w:val="auto"/>
                <w:sz w:val="24"/>
                <w:szCs w:val="22"/>
                <w:highlight w:val="none"/>
              </w:rPr>
              <w:t>②</w:t>
            </w:r>
            <w:r>
              <w:rPr>
                <w:rFonts w:hint="eastAsia" w:eastAsia="仿宋" w:cs="Times New Roman"/>
                <w:b/>
                <w:bCs/>
                <w:color w:val="auto"/>
                <w:sz w:val="24"/>
                <w:szCs w:val="22"/>
                <w:highlight w:val="none"/>
                <w:lang w:eastAsia="zh-CN"/>
              </w:rPr>
              <w:t>中标（成交）公告截图（打印网页）、中标通知书复印件和合同复印件（中标通知书或合同复印件应体现类似销售案例的货物），合同签订方必须是投标人本身。</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s="Times New Roman"/>
                <w:color w:val="auto"/>
                <w:sz w:val="24"/>
                <w:szCs w:val="22"/>
                <w:highlight w:val="none"/>
              </w:rPr>
            </w:pPr>
            <w:r>
              <w:rPr>
                <w:rFonts w:hint="eastAsia" w:eastAsia="仿宋" w:cs="Times New Roman"/>
                <w:color w:val="auto"/>
                <w:sz w:val="24"/>
                <w:szCs w:val="22"/>
                <w:highlight w:val="none"/>
                <w:lang w:val="en-US" w:eastAsia="zh-CN"/>
              </w:rPr>
              <w:t>6</w:t>
            </w:r>
            <w:r>
              <w:rPr>
                <w:rFonts w:eastAsia="仿宋" w:cs="Times New Roman"/>
                <w:color w:val="auto"/>
                <w:sz w:val="24"/>
                <w:szCs w:val="22"/>
                <w:highlight w:val="none"/>
              </w:rPr>
              <w:t>分</w:t>
            </w:r>
          </w:p>
        </w:tc>
      </w:tr>
    </w:tbl>
    <w:p>
      <w:pPr>
        <w:pageBreakBefore w:val="0"/>
        <w:kinsoku/>
        <w:wordWrap/>
        <w:overflowPunct/>
        <w:topLinePunct w:val="0"/>
        <w:autoSpaceDE/>
        <w:autoSpaceDN/>
        <w:bidi w:val="0"/>
        <w:adjustRightInd/>
        <w:snapToGrid/>
        <w:spacing w:line="460" w:lineRule="exact"/>
        <w:rPr>
          <w:color w:val="auto"/>
          <w:highlight w:val="none"/>
        </w:rPr>
        <w:sectPr>
          <w:pgSz w:w="11906" w:h="16838"/>
          <w:pgMar w:top="1440" w:right="1800" w:bottom="1440" w:left="1800" w:header="851" w:footer="992" w:gutter="0"/>
          <w:cols w:space="425" w:num="1"/>
          <w:docGrid w:type="lines" w:linePitch="312" w:charSpace="0"/>
        </w:sectPr>
      </w:pPr>
    </w:p>
    <w:p>
      <w:pPr>
        <w:pStyle w:val="2"/>
        <w:pageBreakBefore w:val="0"/>
        <w:kinsoku/>
        <w:wordWrap/>
        <w:overflowPunct/>
        <w:topLinePunct w:val="0"/>
        <w:autoSpaceDE/>
        <w:autoSpaceDN/>
        <w:bidi w:val="0"/>
        <w:adjustRightInd/>
        <w:snapToGrid/>
        <w:spacing w:beforeLines="0" w:afterLines="0" w:line="460" w:lineRule="exact"/>
        <w:rPr>
          <w:rFonts w:hint="eastAsia" w:ascii="仿宋" w:hAnsi="仿宋" w:eastAsia="仿宋" w:cs="Times New Roman"/>
          <w:color w:val="auto"/>
          <w:sz w:val="32"/>
          <w:szCs w:val="28"/>
          <w:lang w:eastAsia="zh-CN"/>
        </w:rPr>
      </w:pPr>
      <w:bookmarkStart w:id="676" w:name="_Toc16107"/>
      <w:bookmarkStart w:id="677" w:name="_Toc24282"/>
      <w:bookmarkStart w:id="678" w:name="_Toc8245"/>
      <w:bookmarkStart w:id="679" w:name="_Toc8171"/>
      <w:bookmarkStart w:id="680" w:name="_Toc29081"/>
      <w:r>
        <w:rPr>
          <w:rFonts w:hint="eastAsia" w:ascii="仿宋" w:hAnsi="仿宋" w:eastAsia="仿宋" w:cs="仿宋"/>
          <w:color w:val="auto"/>
          <w:sz w:val="28"/>
          <w:szCs w:val="28"/>
          <w:lang w:val="en-US" w:eastAsia="zh-CN"/>
        </w:rPr>
        <w:t>34包</w:t>
      </w:r>
      <w:r>
        <w:rPr>
          <w:rFonts w:hint="eastAsia" w:ascii="仿宋" w:hAnsi="仿宋" w:eastAsia="仿宋" w:cs="仿宋"/>
          <w:color w:val="auto"/>
          <w:sz w:val="28"/>
          <w:szCs w:val="28"/>
        </w:rPr>
        <w:t>：消防艇</w:t>
      </w:r>
      <w:bookmarkEnd w:id="676"/>
      <w:bookmarkEnd w:id="677"/>
      <w:bookmarkEnd w:id="678"/>
      <w:bookmarkEnd w:id="679"/>
      <w:bookmarkEnd w:id="680"/>
    </w:p>
    <w:p>
      <w:pPr>
        <w:pageBreakBefore w:val="0"/>
        <w:kinsoku/>
        <w:wordWrap/>
        <w:overflowPunct/>
        <w:topLinePunct w:val="0"/>
        <w:autoSpaceDE/>
        <w:autoSpaceDN/>
        <w:bidi w:val="0"/>
        <w:adjustRightInd/>
        <w:snapToGrid/>
        <w:spacing w:beforeLines="0" w:afterLines="0" w:line="460" w:lineRule="exact"/>
        <w:ind w:firstLine="482" w:firstLineChars="200"/>
        <w:jc w:val="left"/>
        <w:rPr>
          <w:rFonts w:hint="eastAsia" w:ascii="仿宋" w:hAnsi="仿宋" w:eastAsia="仿宋" w:cs="Times New Roman"/>
          <w:b/>
          <w:color w:val="auto"/>
          <w:sz w:val="24"/>
          <w:szCs w:val="24"/>
        </w:rPr>
      </w:pPr>
      <w:r>
        <w:rPr>
          <w:rFonts w:hint="eastAsia" w:ascii="仿宋" w:hAnsi="仿宋" w:eastAsia="仿宋" w:cs="Times New Roman"/>
          <w:b/>
          <w:color w:val="auto"/>
          <w:sz w:val="24"/>
          <w:szCs w:val="24"/>
        </w:rPr>
        <w:t>一、价格部分（30分）</w:t>
      </w:r>
    </w:p>
    <w:tbl>
      <w:tblPr>
        <w:tblStyle w:val="4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1579"/>
        <w:gridCol w:w="6182"/>
        <w:gridCol w:w="8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76"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序号</w:t>
            </w:r>
          </w:p>
        </w:tc>
        <w:tc>
          <w:tcPr>
            <w:tcW w:w="850"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评审因素</w:t>
            </w:r>
          </w:p>
        </w:tc>
        <w:tc>
          <w:tcPr>
            <w:tcW w:w="332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评分标准</w:t>
            </w:r>
          </w:p>
        </w:tc>
        <w:tc>
          <w:tcPr>
            <w:tcW w:w="444"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b/>
                <w:color w:val="auto"/>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6"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850"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价格分</w:t>
            </w:r>
          </w:p>
        </w:tc>
        <w:tc>
          <w:tcPr>
            <w:tcW w:w="332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根据综合评分法，满足招标文件要求且投标价格最低的投标报价为评标基准价，投标报价得分=（评标基准价／投标报价）×30%×100，计算分数时四舍五入取小数点后两位。</w:t>
            </w:r>
          </w:p>
          <w:p>
            <w:pPr>
              <w:pageBreakBefore w:val="0"/>
              <w:kinsoku/>
              <w:wordWrap/>
              <w:overflowPunct/>
              <w:topLinePunct w:val="0"/>
              <w:autoSpaceDE/>
              <w:autoSpaceDN/>
              <w:bidi w:val="0"/>
              <w:adjustRightInd/>
              <w:snapToGrid/>
              <w:spacing w:beforeLines="0" w:afterLines="0" w:line="460" w:lineRule="exact"/>
              <w:ind w:firstLine="482" w:firstLineChars="200"/>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注：小、微型企业或残疾人福利性单位产品或监狱产品的价格给予10%的扣除，用扣除后的价格参与评审。但残疾人福利性单位本身属于小型、微型企业的，不重复享受政策。</w:t>
            </w:r>
          </w:p>
        </w:tc>
        <w:tc>
          <w:tcPr>
            <w:tcW w:w="444"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30分</w:t>
            </w:r>
          </w:p>
        </w:tc>
      </w:tr>
    </w:tbl>
    <w:p>
      <w:pPr>
        <w:pageBreakBefore w:val="0"/>
        <w:kinsoku/>
        <w:wordWrap/>
        <w:overflowPunct/>
        <w:topLinePunct w:val="0"/>
        <w:autoSpaceDE/>
        <w:autoSpaceDN/>
        <w:bidi w:val="0"/>
        <w:adjustRightInd/>
        <w:snapToGrid/>
        <w:spacing w:beforeLines="0" w:afterLines="0" w:line="460" w:lineRule="exact"/>
        <w:ind w:firstLine="482" w:firstLineChars="200"/>
        <w:jc w:val="left"/>
        <w:rPr>
          <w:rFonts w:hint="eastAsia" w:ascii="仿宋" w:hAnsi="仿宋" w:eastAsia="仿宋" w:cs="Times New Roman"/>
          <w:b/>
          <w:color w:val="auto"/>
          <w:sz w:val="24"/>
          <w:szCs w:val="24"/>
        </w:rPr>
      </w:pPr>
      <w:r>
        <w:rPr>
          <w:rFonts w:hint="eastAsia" w:ascii="仿宋" w:hAnsi="仿宋" w:eastAsia="仿宋" w:cs="Times New Roman"/>
          <w:b/>
          <w:color w:val="auto"/>
          <w:sz w:val="24"/>
          <w:szCs w:val="24"/>
        </w:rPr>
        <w:t>二、技术部分（5</w:t>
      </w:r>
      <w:r>
        <w:rPr>
          <w:rFonts w:hint="eastAsia" w:ascii="仿宋" w:hAnsi="仿宋" w:eastAsia="仿宋" w:cs="Times New Roman"/>
          <w:b/>
          <w:color w:val="auto"/>
          <w:sz w:val="24"/>
          <w:szCs w:val="24"/>
          <w:lang w:val="en-US" w:eastAsia="zh-CN"/>
        </w:rPr>
        <w:t>5</w:t>
      </w:r>
      <w:r>
        <w:rPr>
          <w:rFonts w:hint="eastAsia" w:ascii="仿宋" w:hAnsi="仿宋" w:eastAsia="仿宋" w:cs="Times New Roman"/>
          <w:b/>
          <w:color w:val="auto"/>
          <w:sz w:val="24"/>
          <w:szCs w:val="24"/>
        </w:rPr>
        <w:t>分）</w:t>
      </w:r>
    </w:p>
    <w:tbl>
      <w:tblPr>
        <w:tblStyle w:val="4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0"/>
        <w:gridCol w:w="1807"/>
        <w:gridCol w:w="5901"/>
        <w:gridCol w:w="9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4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序号</w:t>
            </w:r>
          </w:p>
        </w:tc>
        <w:tc>
          <w:tcPr>
            <w:tcW w:w="97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评审因素</w:t>
            </w:r>
          </w:p>
        </w:tc>
        <w:tc>
          <w:tcPr>
            <w:tcW w:w="317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评分标准</w:t>
            </w:r>
          </w:p>
        </w:tc>
        <w:tc>
          <w:tcPr>
            <w:tcW w:w="50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34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97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技术参数及要求</w:t>
            </w:r>
          </w:p>
        </w:tc>
        <w:tc>
          <w:tcPr>
            <w:tcW w:w="3178" w:type="pct"/>
            <w:tcBorders>
              <w:top w:val="single" w:color="auto" w:sz="4" w:space="0"/>
              <w:left w:val="single" w:color="auto" w:sz="4" w:space="0"/>
              <w:bottom w:val="single" w:color="auto" w:sz="4" w:space="0"/>
              <w:right w:val="single" w:color="auto" w:sz="4" w:space="0"/>
              <w:tl2br w:val="nil"/>
              <w:tr2bl w:val="nil"/>
            </w:tcBorders>
            <w:noWrap w:val="0"/>
            <w:vAlign w:val="top"/>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一、重大负偏离评审依据：</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1、带★条款的响应，不满足招标文件要求的，或有缺项、漏项的，视为重大负偏离；</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2、一般参数和带“▲”参数共有四项及以上（含本数）的负偏离，视为重大负偏离；</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二、负偏离评审依据：</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3、所投产品一般参数或带“▲”参数有一项低于招标文件要求，该项视为负偏离；</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4、所投产品一般参数或带“▲”参数有一项缺项、漏项的，该项视为负偏离。</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注：“一般参数”为非标“★”号参数和非标“▲”号参数。</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评审依据：</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①投标文件中提供的技术条款响应表；</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b/>
                <w:color w:val="auto"/>
                <w:sz w:val="24"/>
                <w:szCs w:val="24"/>
              </w:rPr>
              <w:t>②所投产品技术参数完全满足招标文件要求得</w:t>
            </w:r>
            <w:r>
              <w:rPr>
                <w:rFonts w:hint="eastAsia" w:ascii="仿宋" w:hAnsi="仿宋" w:eastAsia="仿宋" w:cs="仿宋"/>
                <w:b/>
                <w:color w:val="auto"/>
                <w:sz w:val="24"/>
                <w:szCs w:val="24"/>
                <w:lang w:val="en-US" w:eastAsia="zh-CN"/>
              </w:rPr>
              <w:t>35</w:t>
            </w:r>
            <w:r>
              <w:rPr>
                <w:rFonts w:hint="eastAsia" w:ascii="仿宋" w:hAnsi="仿宋" w:eastAsia="仿宋" w:cs="仿宋"/>
                <w:b/>
                <w:color w:val="auto"/>
                <w:sz w:val="24"/>
                <w:szCs w:val="24"/>
              </w:rPr>
              <w:t>分；重大负偏离则视为无效投标；一般参数或带“▲”参数每有一项负偏离减5分，最多减15分，四项或以上负偏离视为无效投标。</w:t>
            </w:r>
          </w:p>
        </w:tc>
        <w:tc>
          <w:tcPr>
            <w:tcW w:w="50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rPr>
              <w:t>35分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45" w:type="pct"/>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97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▲3.4航速≥23KM</w:t>
            </w:r>
          </w:p>
        </w:tc>
        <w:tc>
          <w:tcPr>
            <w:tcW w:w="317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所投产品</w:t>
            </w:r>
            <w:r>
              <w:rPr>
                <w:rFonts w:hint="eastAsia" w:ascii="仿宋" w:hAnsi="仿宋" w:eastAsia="仿宋" w:cs="仿宋"/>
                <w:color w:val="auto"/>
                <w:sz w:val="24"/>
                <w:szCs w:val="24"/>
                <w:lang w:val="en-US" w:eastAsia="zh-CN"/>
              </w:rPr>
              <w:t>的航速</w:t>
            </w:r>
            <w:r>
              <w:rPr>
                <w:rFonts w:hint="eastAsia" w:ascii="仿宋" w:hAnsi="仿宋" w:eastAsia="仿宋" w:cs="仿宋"/>
                <w:color w:val="auto"/>
                <w:sz w:val="24"/>
                <w:szCs w:val="24"/>
              </w:rPr>
              <w:t>优于招标文件要求的，</w:t>
            </w:r>
            <w:r>
              <w:rPr>
                <w:rFonts w:hint="eastAsia" w:ascii="仿宋" w:hAnsi="仿宋" w:eastAsia="仿宋" w:cs="仿宋"/>
                <w:color w:val="auto"/>
                <w:sz w:val="24"/>
                <w:szCs w:val="24"/>
                <w:lang w:val="en-US" w:eastAsia="zh-CN"/>
              </w:rPr>
              <w:t>航速</w:t>
            </w:r>
            <w:r>
              <w:rPr>
                <w:rFonts w:hint="eastAsia" w:ascii="仿宋" w:hAnsi="仿宋" w:eastAsia="仿宋" w:cs="仿宋"/>
                <w:color w:val="auto"/>
                <w:sz w:val="24"/>
                <w:szCs w:val="24"/>
              </w:rPr>
              <w:t>最优的加</w:t>
            </w:r>
            <w:r>
              <w:rPr>
                <w:rFonts w:hint="eastAsia" w:ascii="仿宋" w:hAnsi="仿宋" w:eastAsia="仿宋" w:cs="仿宋"/>
                <w:color w:val="auto"/>
                <w:sz w:val="24"/>
                <w:szCs w:val="24"/>
                <w:lang w:val="en-US" w:eastAsia="zh-CN"/>
              </w:rPr>
              <w:t>3分</w:t>
            </w:r>
            <w:r>
              <w:rPr>
                <w:rFonts w:hint="eastAsia" w:ascii="仿宋" w:hAnsi="仿宋" w:eastAsia="仿宋" w:cs="仿宋"/>
                <w:color w:val="auto"/>
                <w:sz w:val="24"/>
                <w:szCs w:val="24"/>
              </w:rPr>
              <w:t>，航速次优的加2分，其余加1分。（可并列得分）</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b/>
                <w:color w:val="auto"/>
                <w:sz w:val="24"/>
                <w:szCs w:val="24"/>
              </w:rPr>
              <w:t>注：最优表示航速最大，次优表示航速仅次于最大值。</w:t>
            </w:r>
          </w:p>
        </w:tc>
        <w:tc>
          <w:tcPr>
            <w:tcW w:w="50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45"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97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▲3.5承员数≥16人</w:t>
            </w:r>
          </w:p>
        </w:tc>
        <w:tc>
          <w:tcPr>
            <w:tcW w:w="317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所投</w:t>
            </w:r>
            <w:r>
              <w:rPr>
                <w:rFonts w:hint="eastAsia" w:ascii="仿宋" w:hAnsi="仿宋" w:eastAsia="仿宋" w:cs="仿宋"/>
                <w:color w:val="auto"/>
                <w:sz w:val="24"/>
                <w:szCs w:val="24"/>
                <w:lang w:val="en-US" w:eastAsia="zh-CN"/>
              </w:rPr>
              <w:t>产品的</w:t>
            </w:r>
            <w:r>
              <w:rPr>
                <w:rFonts w:hint="eastAsia" w:ascii="仿宋" w:hAnsi="仿宋" w:eastAsia="仿宋" w:cs="仿宋"/>
                <w:color w:val="auto"/>
                <w:sz w:val="24"/>
                <w:szCs w:val="24"/>
              </w:rPr>
              <w:t>承员数优于招标文件要求的，承员数最优的加</w:t>
            </w:r>
            <w:r>
              <w:rPr>
                <w:rFonts w:hint="eastAsia" w:ascii="仿宋" w:hAnsi="仿宋" w:eastAsia="仿宋" w:cs="仿宋"/>
                <w:color w:val="auto"/>
                <w:sz w:val="24"/>
                <w:szCs w:val="24"/>
                <w:lang w:val="en-US" w:eastAsia="zh-CN"/>
              </w:rPr>
              <w:t>3分</w:t>
            </w:r>
            <w:r>
              <w:rPr>
                <w:rFonts w:hint="eastAsia" w:ascii="仿宋" w:hAnsi="仿宋" w:eastAsia="仿宋" w:cs="仿宋"/>
                <w:color w:val="auto"/>
                <w:sz w:val="24"/>
                <w:szCs w:val="24"/>
              </w:rPr>
              <w:t>，承员数次优的加2分，其余加1分。（可并列得分）</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注：最优表示承员数最大，次优表示承员数仅次于最大值。</w:t>
            </w:r>
          </w:p>
        </w:tc>
        <w:tc>
          <w:tcPr>
            <w:tcW w:w="50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45"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97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numPr>
                <w:ilvl w:val="0"/>
                <w:numId w:val="0"/>
              </w:numPr>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▲3.6艇身动力配置：每台发动机额定输出功率≥275HP</w:t>
            </w:r>
          </w:p>
        </w:tc>
        <w:tc>
          <w:tcPr>
            <w:tcW w:w="317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所投</w:t>
            </w:r>
            <w:r>
              <w:rPr>
                <w:rFonts w:hint="eastAsia" w:ascii="仿宋" w:hAnsi="仿宋" w:eastAsia="仿宋" w:cs="仿宋"/>
                <w:color w:val="auto"/>
                <w:sz w:val="24"/>
                <w:szCs w:val="24"/>
                <w:lang w:val="en-US" w:eastAsia="zh-CN"/>
              </w:rPr>
              <w:t>产品的艇身动力配置中每台发动机额定输出功率</w:t>
            </w:r>
            <w:r>
              <w:rPr>
                <w:rFonts w:hint="eastAsia" w:ascii="仿宋" w:hAnsi="仿宋" w:eastAsia="仿宋" w:cs="仿宋"/>
                <w:color w:val="auto"/>
                <w:sz w:val="24"/>
                <w:szCs w:val="24"/>
              </w:rPr>
              <w:t>优于招标文件要求的，</w:t>
            </w:r>
            <w:r>
              <w:rPr>
                <w:rFonts w:hint="eastAsia" w:ascii="仿宋" w:hAnsi="仿宋" w:eastAsia="仿宋" w:cs="仿宋"/>
                <w:color w:val="auto"/>
                <w:sz w:val="24"/>
                <w:szCs w:val="24"/>
                <w:lang w:val="en-US" w:eastAsia="zh-CN"/>
              </w:rPr>
              <w:t>额定输出功率</w:t>
            </w:r>
            <w:r>
              <w:rPr>
                <w:rFonts w:hint="eastAsia" w:ascii="仿宋" w:hAnsi="仿宋" w:eastAsia="仿宋" w:cs="仿宋"/>
                <w:color w:val="auto"/>
                <w:sz w:val="24"/>
                <w:szCs w:val="24"/>
              </w:rPr>
              <w:t>最优的加</w:t>
            </w:r>
            <w:r>
              <w:rPr>
                <w:rFonts w:hint="eastAsia" w:ascii="仿宋" w:hAnsi="仿宋" w:eastAsia="仿宋" w:cs="仿宋"/>
                <w:color w:val="auto"/>
                <w:sz w:val="24"/>
                <w:szCs w:val="24"/>
                <w:lang w:val="en-US" w:eastAsia="zh-CN"/>
              </w:rPr>
              <w:t>3分</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额定输出功率</w:t>
            </w:r>
            <w:r>
              <w:rPr>
                <w:rFonts w:hint="eastAsia" w:ascii="仿宋" w:hAnsi="仿宋" w:eastAsia="仿宋" w:cs="仿宋"/>
                <w:color w:val="auto"/>
                <w:sz w:val="24"/>
                <w:szCs w:val="24"/>
              </w:rPr>
              <w:t>次优的加2分，其余加1分。（可并列得分）</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注：最优表示艇身动力配置</w:t>
            </w:r>
            <w:r>
              <w:rPr>
                <w:rFonts w:hint="eastAsia" w:ascii="仿宋" w:hAnsi="仿宋" w:eastAsia="仿宋" w:cs="仿宋"/>
                <w:b/>
                <w:color w:val="auto"/>
                <w:sz w:val="24"/>
                <w:szCs w:val="24"/>
                <w:lang w:val="en-US" w:eastAsia="zh-CN"/>
              </w:rPr>
              <w:t>中</w:t>
            </w:r>
            <w:r>
              <w:rPr>
                <w:rFonts w:hint="eastAsia" w:ascii="仿宋" w:hAnsi="仿宋" w:eastAsia="仿宋" w:cs="仿宋"/>
                <w:b/>
                <w:color w:val="auto"/>
                <w:sz w:val="24"/>
                <w:szCs w:val="24"/>
              </w:rPr>
              <w:t>每台发动机额定输出功率最大，次优表示艇身动力配置</w:t>
            </w:r>
            <w:r>
              <w:rPr>
                <w:rFonts w:hint="eastAsia" w:ascii="仿宋" w:hAnsi="仿宋" w:eastAsia="仿宋" w:cs="仿宋"/>
                <w:b/>
                <w:color w:val="auto"/>
                <w:sz w:val="24"/>
                <w:szCs w:val="24"/>
                <w:lang w:eastAsia="zh-CN"/>
              </w:rPr>
              <w:t>中</w:t>
            </w:r>
            <w:r>
              <w:rPr>
                <w:rFonts w:hint="eastAsia" w:ascii="仿宋" w:hAnsi="仿宋" w:eastAsia="仿宋" w:cs="仿宋"/>
                <w:b/>
                <w:color w:val="auto"/>
                <w:sz w:val="24"/>
                <w:szCs w:val="24"/>
              </w:rPr>
              <w:t>每台发动机额定输出功率仅次于最大值。</w:t>
            </w:r>
          </w:p>
        </w:tc>
        <w:tc>
          <w:tcPr>
            <w:tcW w:w="50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45"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97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▲3.6艇身动力配置：续航力≥6h</w:t>
            </w:r>
          </w:p>
        </w:tc>
        <w:tc>
          <w:tcPr>
            <w:tcW w:w="317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所投</w:t>
            </w:r>
            <w:r>
              <w:rPr>
                <w:rFonts w:hint="eastAsia" w:ascii="仿宋" w:hAnsi="仿宋" w:eastAsia="仿宋" w:cs="仿宋"/>
                <w:color w:val="auto"/>
                <w:sz w:val="24"/>
                <w:szCs w:val="24"/>
                <w:lang w:val="en-US" w:eastAsia="zh-CN"/>
              </w:rPr>
              <w:t>产品的艇身动力配置中每台发动机续航力</w:t>
            </w:r>
            <w:r>
              <w:rPr>
                <w:rFonts w:hint="eastAsia" w:ascii="仿宋" w:hAnsi="仿宋" w:eastAsia="仿宋" w:cs="仿宋"/>
                <w:color w:val="auto"/>
                <w:sz w:val="24"/>
                <w:szCs w:val="24"/>
              </w:rPr>
              <w:t>优于招标文件要求的，</w:t>
            </w:r>
            <w:r>
              <w:rPr>
                <w:rFonts w:hint="eastAsia" w:ascii="仿宋" w:hAnsi="仿宋" w:eastAsia="仿宋" w:cs="仿宋"/>
                <w:color w:val="auto"/>
                <w:sz w:val="24"/>
                <w:szCs w:val="24"/>
                <w:lang w:val="en-US" w:eastAsia="zh-CN"/>
              </w:rPr>
              <w:t>续航力</w:t>
            </w:r>
            <w:r>
              <w:rPr>
                <w:rFonts w:hint="eastAsia" w:ascii="仿宋" w:hAnsi="仿宋" w:eastAsia="仿宋" w:cs="仿宋"/>
                <w:color w:val="auto"/>
                <w:sz w:val="24"/>
                <w:szCs w:val="24"/>
              </w:rPr>
              <w:t>最优的加</w:t>
            </w:r>
            <w:r>
              <w:rPr>
                <w:rFonts w:hint="eastAsia" w:ascii="仿宋" w:hAnsi="仿宋" w:eastAsia="仿宋" w:cs="仿宋"/>
                <w:color w:val="auto"/>
                <w:sz w:val="24"/>
                <w:szCs w:val="24"/>
                <w:lang w:val="en-US" w:eastAsia="zh-CN"/>
              </w:rPr>
              <w:t>3分</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续航力</w:t>
            </w:r>
            <w:r>
              <w:rPr>
                <w:rFonts w:hint="eastAsia" w:ascii="仿宋" w:hAnsi="仿宋" w:eastAsia="仿宋" w:cs="仿宋"/>
                <w:color w:val="auto"/>
                <w:sz w:val="24"/>
                <w:szCs w:val="24"/>
              </w:rPr>
              <w:t>次优的加2分，其余加1分。（可并列得分）</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注：最优表示艇身动力配置</w:t>
            </w:r>
            <w:r>
              <w:rPr>
                <w:rFonts w:hint="eastAsia" w:ascii="仿宋" w:hAnsi="仿宋" w:eastAsia="仿宋" w:cs="仿宋"/>
                <w:b/>
                <w:color w:val="auto"/>
                <w:sz w:val="24"/>
                <w:szCs w:val="24"/>
                <w:lang w:val="en-US" w:eastAsia="zh-CN"/>
              </w:rPr>
              <w:t>中</w:t>
            </w:r>
            <w:r>
              <w:rPr>
                <w:rFonts w:hint="eastAsia" w:ascii="仿宋" w:hAnsi="仿宋" w:eastAsia="仿宋" w:cs="仿宋"/>
                <w:b/>
                <w:color w:val="auto"/>
                <w:sz w:val="24"/>
                <w:szCs w:val="24"/>
              </w:rPr>
              <w:t>每台发动机</w:t>
            </w:r>
            <w:r>
              <w:rPr>
                <w:rFonts w:hint="eastAsia" w:ascii="仿宋" w:hAnsi="仿宋" w:eastAsia="仿宋" w:cs="仿宋"/>
                <w:b/>
                <w:color w:val="auto"/>
                <w:sz w:val="24"/>
                <w:szCs w:val="24"/>
                <w:lang w:val="en-US" w:eastAsia="zh-CN"/>
              </w:rPr>
              <w:t>续航力</w:t>
            </w:r>
            <w:r>
              <w:rPr>
                <w:rFonts w:hint="eastAsia" w:ascii="仿宋" w:hAnsi="仿宋" w:eastAsia="仿宋" w:cs="仿宋"/>
                <w:b/>
                <w:color w:val="auto"/>
                <w:sz w:val="24"/>
                <w:szCs w:val="24"/>
              </w:rPr>
              <w:t>最大，次优表示艇身动力配置</w:t>
            </w:r>
            <w:r>
              <w:rPr>
                <w:rFonts w:hint="eastAsia" w:ascii="仿宋" w:hAnsi="仿宋" w:eastAsia="仿宋" w:cs="仿宋"/>
                <w:b/>
                <w:color w:val="auto"/>
                <w:sz w:val="24"/>
                <w:szCs w:val="24"/>
                <w:lang w:eastAsia="zh-CN"/>
              </w:rPr>
              <w:t>中</w:t>
            </w:r>
            <w:r>
              <w:rPr>
                <w:rFonts w:hint="eastAsia" w:ascii="仿宋" w:hAnsi="仿宋" w:eastAsia="仿宋" w:cs="仿宋"/>
                <w:b/>
                <w:color w:val="auto"/>
                <w:sz w:val="24"/>
                <w:szCs w:val="24"/>
              </w:rPr>
              <w:t>每台发动机</w:t>
            </w:r>
            <w:r>
              <w:rPr>
                <w:rFonts w:hint="eastAsia" w:ascii="仿宋" w:hAnsi="仿宋" w:eastAsia="仿宋" w:cs="仿宋"/>
                <w:b/>
                <w:color w:val="auto"/>
                <w:sz w:val="24"/>
                <w:szCs w:val="24"/>
                <w:lang w:val="en-US" w:eastAsia="zh-CN"/>
              </w:rPr>
              <w:t>续航力</w:t>
            </w:r>
            <w:r>
              <w:rPr>
                <w:rFonts w:hint="eastAsia" w:ascii="仿宋" w:hAnsi="仿宋" w:eastAsia="仿宋" w:cs="仿宋"/>
                <w:b/>
                <w:color w:val="auto"/>
                <w:sz w:val="24"/>
                <w:szCs w:val="24"/>
              </w:rPr>
              <w:t>仅次于最大值。</w:t>
            </w:r>
          </w:p>
        </w:tc>
        <w:tc>
          <w:tcPr>
            <w:tcW w:w="50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45"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97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▲3.11整船配备1套消防水炮，扬程≥30M</w:t>
            </w:r>
          </w:p>
        </w:tc>
        <w:tc>
          <w:tcPr>
            <w:tcW w:w="317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所投整船配备</w:t>
            </w:r>
            <w:r>
              <w:rPr>
                <w:rFonts w:hint="eastAsia" w:ascii="仿宋" w:hAnsi="仿宋" w:eastAsia="仿宋" w:cs="仿宋"/>
                <w:color w:val="auto"/>
                <w:sz w:val="24"/>
                <w:szCs w:val="24"/>
                <w:lang w:val="en-US" w:eastAsia="zh-CN"/>
              </w:rPr>
              <w:t>的</w:t>
            </w:r>
            <w:r>
              <w:rPr>
                <w:rFonts w:hint="eastAsia" w:ascii="仿宋" w:hAnsi="仿宋" w:eastAsia="仿宋" w:cs="仿宋"/>
                <w:color w:val="auto"/>
                <w:sz w:val="24"/>
                <w:szCs w:val="24"/>
              </w:rPr>
              <w:t>消防水炮扬程优于招标文件要求的，扬程最优的加</w:t>
            </w:r>
            <w:r>
              <w:rPr>
                <w:rFonts w:hint="eastAsia" w:ascii="仿宋" w:hAnsi="仿宋" w:eastAsia="仿宋" w:cs="仿宋"/>
                <w:color w:val="auto"/>
                <w:sz w:val="24"/>
                <w:szCs w:val="24"/>
                <w:lang w:val="en-US" w:eastAsia="zh-CN"/>
              </w:rPr>
              <w:t>3分</w:t>
            </w:r>
            <w:r>
              <w:rPr>
                <w:rFonts w:hint="eastAsia" w:ascii="仿宋" w:hAnsi="仿宋" w:eastAsia="仿宋" w:cs="仿宋"/>
                <w:color w:val="auto"/>
                <w:sz w:val="24"/>
                <w:szCs w:val="24"/>
              </w:rPr>
              <w:t>，扬程次优的加2分，其余加1分。（可并列得分）</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b/>
                <w:color w:val="auto"/>
                <w:sz w:val="24"/>
                <w:szCs w:val="24"/>
              </w:rPr>
              <w:t>注：最优表示扬程最大，次优表示扬程仅次于最大值。</w:t>
            </w:r>
          </w:p>
        </w:tc>
        <w:tc>
          <w:tcPr>
            <w:tcW w:w="50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45"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97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一般参数</w:t>
            </w:r>
          </w:p>
        </w:tc>
        <w:tc>
          <w:tcPr>
            <w:tcW w:w="317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在完全满足招标文件“</w:t>
            </w:r>
            <w:r>
              <w:rPr>
                <w:rFonts w:hint="eastAsia" w:ascii="仿宋" w:hAnsi="仿宋" w:eastAsia="仿宋" w:cs="仿宋"/>
                <w:color w:val="auto"/>
                <w:sz w:val="24"/>
                <w:szCs w:val="24"/>
                <w:lang w:eastAsia="zh-CN"/>
              </w:rPr>
              <w:t>所有参数</w:t>
            </w:r>
            <w:r>
              <w:rPr>
                <w:rFonts w:hint="eastAsia" w:ascii="仿宋" w:hAnsi="仿宋" w:eastAsia="仿宋" w:cs="仿宋"/>
                <w:color w:val="auto"/>
                <w:sz w:val="24"/>
                <w:szCs w:val="24"/>
              </w:rPr>
              <w:t>”要求的基础上，每有一条“一般参数”优于的加1分，本项最多加</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分。（加分只针对具有“≥”或“≤”的数值，数值更加优于的进行加分；文字内容或其他内容优于的不加分）</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b/>
                <w:color w:val="auto"/>
                <w:sz w:val="24"/>
                <w:szCs w:val="24"/>
              </w:rPr>
              <w:t>注：“一般参数”为非标“★”号参数和非标“▲”号参数。</w:t>
            </w:r>
          </w:p>
        </w:tc>
        <w:tc>
          <w:tcPr>
            <w:tcW w:w="50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45" w:type="pct"/>
            <w:vMerge w:val="continue"/>
            <w:tcBorders>
              <w:top w:val="single" w:color="auto" w:sz="4" w:space="0"/>
              <w:left w:val="single" w:color="auto" w:sz="4" w:space="0"/>
              <w:bottom w:val="single" w:color="auto" w:sz="4" w:space="0"/>
              <w:right w:val="single" w:color="auto" w:sz="4" w:space="0"/>
              <w:tl2br w:val="nil"/>
              <w:tr2bl w:val="nil"/>
            </w:tcBorders>
            <w:noWrap w:val="0"/>
            <w:vAlign w:val="top"/>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p>
        </w:tc>
        <w:tc>
          <w:tcPr>
            <w:tcW w:w="4654" w:type="pct"/>
            <w:gridSpan w:val="3"/>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lang w:eastAsia="zh-CN"/>
              </w:rPr>
            </w:pPr>
            <w:r>
              <w:rPr>
                <w:rFonts w:hint="eastAsia" w:ascii="仿宋" w:hAnsi="仿宋" w:eastAsia="仿宋" w:cs="仿宋"/>
                <w:b/>
                <w:color w:val="auto"/>
                <w:sz w:val="24"/>
                <w:szCs w:val="24"/>
              </w:rPr>
              <w:t>评审依据：提供技术条款响应表和技术支撑文件</w:t>
            </w:r>
            <w:r>
              <w:rPr>
                <w:rFonts w:hint="eastAsia" w:ascii="仿宋" w:hAnsi="仿宋" w:eastAsia="仿宋" w:cs="仿宋"/>
                <w:b/>
                <w:color w:val="auto"/>
                <w:sz w:val="24"/>
                <w:szCs w:val="24"/>
                <w:lang w:eastAsia="zh-CN"/>
              </w:rPr>
              <w:t>。</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w:t>
            </w:r>
            <w:r>
              <w:rPr>
                <w:rFonts w:hint="eastAsia" w:ascii="仿宋" w:hAnsi="仿宋" w:eastAsia="仿宋" w:cs="仿宋"/>
                <w:b/>
                <w:color w:val="auto"/>
                <w:sz w:val="24"/>
                <w:szCs w:val="24"/>
                <w:lang w:val="en-US" w:eastAsia="zh-CN"/>
              </w:rPr>
              <w:t>说明：技术支撑文件为以下任意3种材料中的其中1种材料：</w:t>
            </w:r>
            <w:r>
              <w:rPr>
                <w:rFonts w:hint="eastAsia" w:ascii="仿宋" w:hAnsi="仿宋" w:eastAsia="仿宋" w:cs="仿宋"/>
                <w:b/>
                <w:color w:val="auto"/>
                <w:sz w:val="24"/>
                <w:szCs w:val="24"/>
              </w:rPr>
              <w:t>①</w:t>
            </w:r>
            <w:r>
              <w:rPr>
                <w:rFonts w:hint="eastAsia" w:ascii="仿宋" w:hAnsi="仿宋" w:eastAsia="仿宋" w:cs="仿宋"/>
                <w:b/>
                <w:color w:val="auto"/>
                <w:sz w:val="24"/>
                <w:szCs w:val="24"/>
                <w:lang w:val="en-US" w:eastAsia="zh-CN"/>
              </w:rPr>
              <w:t>所投</w:t>
            </w:r>
            <w:r>
              <w:rPr>
                <w:rFonts w:hint="eastAsia" w:ascii="仿宋" w:hAnsi="仿宋" w:eastAsia="仿宋" w:cs="仿宋"/>
                <w:b/>
                <w:color w:val="auto"/>
                <w:sz w:val="24"/>
                <w:szCs w:val="24"/>
              </w:rPr>
              <w:t>产品检测报告复印件</w:t>
            </w:r>
            <w:r>
              <w:rPr>
                <w:rFonts w:hint="eastAsia" w:ascii="仿宋" w:hAnsi="仿宋" w:eastAsia="仿宋" w:cs="仿宋"/>
                <w:b/>
                <w:color w:val="auto"/>
                <w:sz w:val="24"/>
                <w:szCs w:val="24"/>
                <w:lang w:val="en-US" w:eastAsia="zh-CN"/>
              </w:rPr>
              <w:t>；</w:t>
            </w:r>
            <w:r>
              <w:rPr>
                <w:rFonts w:hint="eastAsia" w:ascii="仿宋" w:hAnsi="仿宋" w:eastAsia="仿宋" w:cs="仿宋"/>
                <w:b/>
                <w:color w:val="auto"/>
                <w:sz w:val="24"/>
                <w:szCs w:val="24"/>
              </w:rPr>
              <w:t>②</w:t>
            </w:r>
            <w:r>
              <w:rPr>
                <w:rFonts w:hint="eastAsia" w:ascii="仿宋" w:hAnsi="仿宋" w:eastAsia="仿宋" w:cs="仿宋"/>
                <w:b/>
                <w:color w:val="auto"/>
                <w:sz w:val="24"/>
                <w:szCs w:val="24"/>
                <w:lang w:val="en-US" w:eastAsia="zh-CN"/>
              </w:rPr>
              <w:t>制造商公开发布的</w:t>
            </w:r>
            <w:r>
              <w:rPr>
                <w:rFonts w:hint="eastAsia" w:ascii="仿宋" w:hAnsi="仿宋" w:eastAsia="仿宋" w:cs="仿宋"/>
                <w:b/>
                <w:color w:val="auto"/>
                <w:sz w:val="24"/>
                <w:szCs w:val="24"/>
              </w:rPr>
              <w:t>产品</w:t>
            </w:r>
            <w:r>
              <w:rPr>
                <w:rFonts w:hint="eastAsia" w:ascii="仿宋" w:hAnsi="仿宋" w:eastAsia="仿宋" w:cs="仿宋"/>
                <w:b/>
                <w:color w:val="auto"/>
                <w:sz w:val="24"/>
                <w:szCs w:val="24"/>
                <w:lang w:val="en-US" w:eastAsia="zh-CN"/>
              </w:rPr>
              <w:t>印刷资料</w:t>
            </w:r>
            <w:r>
              <w:rPr>
                <w:rFonts w:hint="eastAsia" w:ascii="仿宋" w:hAnsi="仿宋" w:eastAsia="仿宋" w:cs="仿宋"/>
                <w:b/>
                <w:color w:val="auto"/>
                <w:sz w:val="24"/>
                <w:szCs w:val="24"/>
              </w:rPr>
              <w:t>并加盖制造商公章</w:t>
            </w:r>
            <w:r>
              <w:rPr>
                <w:rFonts w:hint="eastAsia" w:ascii="仿宋" w:hAnsi="仿宋" w:eastAsia="仿宋" w:cs="仿宋"/>
                <w:b/>
                <w:color w:val="auto"/>
                <w:sz w:val="24"/>
                <w:szCs w:val="24"/>
                <w:lang w:val="en-US" w:eastAsia="zh-CN"/>
              </w:rPr>
              <w:t>；</w:t>
            </w:r>
            <w:r>
              <w:rPr>
                <w:rFonts w:hint="eastAsia" w:ascii="仿宋" w:hAnsi="仿宋" w:eastAsia="仿宋" w:cs="仿宋"/>
                <w:b/>
                <w:color w:val="auto"/>
                <w:sz w:val="24"/>
                <w:szCs w:val="24"/>
              </w:rPr>
              <w:t>③制造商出具的技术参数证明材料并加盖制造商公章。]</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b/>
                <w:color w:val="auto"/>
                <w:sz w:val="24"/>
                <w:szCs w:val="24"/>
              </w:rPr>
              <w:t>注：①供应商应认真提供技术支撑文件，若提供多份技术支撑文件，技术支撑文件佐证不一致时，优先级为：产品检测报告复印件＞制造商公开发布的印刷资料＞制造商出具的技术参数证明</w:t>
            </w:r>
            <w:r>
              <w:rPr>
                <w:rFonts w:hint="eastAsia" w:ascii="仿宋" w:hAnsi="仿宋" w:eastAsia="仿宋" w:cs="仿宋"/>
                <w:b/>
                <w:color w:val="auto"/>
                <w:sz w:val="24"/>
                <w:szCs w:val="24"/>
                <w:lang w:val="en-US" w:eastAsia="zh-CN"/>
              </w:rPr>
              <w:t>材料</w:t>
            </w:r>
            <w:r>
              <w:rPr>
                <w:rFonts w:hint="eastAsia" w:ascii="仿宋" w:hAnsi="仿宋" w:eastAsia="仿宋" w:cs="仿宋"/>
                <w:b/>
                <w:color w:val="auto"/>
                <w:sz w:val="24"/>
                <w:szCs w:val="24"/>
              </w:rPr>
              <w:t>；②技术支撑文件</w:t>
            </w:r>
            <w:r>
              <w:rPr>
                <w:rFonts w:hint="eastAsia" w:ascii="仿宋" w:hAnsi="仿宋" w:eastAsia="仿宋" w:cs="仿宋"/>
                <w:b/>
                <w:color w:val="auto"/>
                <w:sz w:val="24"/>
                <w:szCs w:val="24"/>
                <w:lang w:val="en-US" w:eastAsia="zh-CN"/>
              </w:rPr>
              <w:t>与</w:t>
            </w:r>
            <w:r>
              <w:rPr>
                <w:rFonts w:hint="eastAsia" w:ascii="仿宋" w:hAnsi="仿宋" w:eastAsia="仿宋" w:cs="仿宋"/>
                <w:b/>
                <w:color w:val="auto"/>
                <w:sz w:val="24"/>
                <w:szCs w:val="24"/>
              </w:rPr>
              <w:t>技术条款响应表</w:t>
            </w:r>
            <w:r>
              <w:rPr>
                <w:rFonts w:hint="eastAsia" w:ascii="仿宋" w:hAnsi="仿宋" w:eastAsia="仿宋" w:cs="仿宋"/>
                <w:b/>
                <w:color w:val="auto"/>
                <w:sz w:val="24"/>
                <w:szCs w:val="24"/>
                <w:lang w:eastAsia="zh-CN"/>
              </w:rPr>
              <w:t>不一致，则</w:t>
            </w:r>
            <w:r>
              <w:rPr>
                <w:rFonts w:hint="eastAsia" w:ascii="仿宋" w:hAnsi="仿宋" w:eastAsia="仿宋" w:cs="仿宋"/>
                <w:b/>
                <w:color w:val="auto"/>
                <w:sz w:val="24"/>
                <w:szCs w:val="24"/>
              </w:rPr>
              <w:t>该点不加分</w:t>
            </w:r>
            <w:r>
              <w:rPr>
                <w:rFonts w:hint="eastAsia" w:ascii="仿宋" w:hAnsi="仿宋" w:eastAsia="仿宋" w:cs="仿宋"/>
                <w:b/>
                <w:color w:val="auto"/>
                <w:sz w:val="24"/>
                <w:szCs w:val="24"/>
                <w:lang w:val="en-US" w:eastAsia="zh-CN"/>
              </w:rPr>
              <w:t>。</w:t>
            </w:r>
          </w:p>
        </w:tc>
      </w:tr>
    </w:tbl>
    <w:p>
      <w:pPr>
        <w:pageBreakBefore w:val="0"/>
        <w:kinsoku/>
        <w:wordWrap/>
        <w:overflowPunct/>
        <w:topLinePunct w:val="0"/>
        <w:autoSpaceDE/>
        <w:autoSpaceDN/>
        <w:bidi w:val="0"/>
        <w:adjustRightInd/>
        <w:snapToGrid/>
        <w:spacing w:beforeLines="0" w:afterLines="0" w:line="460" w:lineRule="exact"/>
        <w:ind w:firstLine="482" w:firstLineChars="200"/>
        <w:jc w:val="left"/>
        <w:rPr>
          <w:rFonts w:hint="eastAsia" w:ascii="仿宋" w:hAnsi="仿宋" w:eastAsia="仿宋" w:cs="Times New Roman"/>
          <w:b/>
          <w:color w:val="auto"/>
          <w:sz w:val="24"/>
          <w:szCs w:val="24"/>
        </w:rPr>
      </w:pPr>
      <w:r>
        <w:rPr>
          <w:rFonts w:hint="eastAsia" w:ascii="仿宋" w:hAnsi="仿宋" w:eastAsia="仿宋" w:cs="Times New Roman"/>
          <w:b/>
          <w:color w:val="auto"/>
          <w:sz w:val="24"/>
          <w:szCs w:val="24"/>
        </w:rPr>
        <w:t>三、商务部分（1</w:t>
      </w:r>
      <w:r>
        <w:rPr>
          <w:rFonts w:hint="eastAsia" w:ascii="仿宋" w:hAnsi="仿宋" w:eastAsia="仿宋" w:cs="Times New Roman"/>
          <w:b/>
          <w:color w:val="auto"/>
          <w:sz w:val="24"/>
          <w:szCs w:val="24"/>
          <w:lang w:val="en-US" w:eastAsia="zh-CN"/>
        </w:rPr>
        <w:t>5</w:t>
      </w:r>
      <w:r>
        <w:rPr>
          <w:rFonts w:hint="eastAsia" w:ascii="仿宋" w:hAnsi="仿宋" w:eastAsia="仿宋" w:cs="Times New Roman"/>
          <w:b/>
          <w:color w:val="auto"/>
          <w:sz w:val="24"/>
          <w:szCs w:val="24"/>
        </w:rPr>
        <w:t>分）</w:t>
      </w:r>
    </w:p>
    <w:tbl>
      <w:tblPr>
        <w:tblStyle w:val="4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1310"/>
        <w:gridCol w:w="6295"/>
        <w:gridCol w:w="9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eastAsia="仿宋" w:cs="Times New Roman"/>
                <w:b/>
                <w:color w:val="auto"/>
                <w:sz w:val="24"/>
                <w:szCs w:val="22"/>
              </w:rPr>
              <w:t>序号</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eastAsia="仿宋" w:cs="Times New Roman"/>
                <w:b/>
                <w:color w:val="auto"/>
                <w:sz w:val="24"/>
                <w:szCs w:val="22"/>
              </w:rPr>
              <w:t>评审因素</w:t>
            </w:r>
          </w:p>
        </w:tc>
        <w:tc>
          <w:tcPr>
            <w:tcW w:w="338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eastAsia="仿宋" w:cs="Times New Roman"/>
                <w:b/>
                <w:color w:val="auto"/>
                <w:sz w:val="24"/>
                <w:szCs w:val="22"/>
              </w:rPr>
              <w:t>评分标准</w:t>
            </w:r>
          </w:p>
        </w:tc>
        <w:tc>
          <w:tcPr>
            <w:tcW w:w="49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eastAsia="仿宋" w:cs="Times New Roman"/>
                <w:b/>
                <w:color w:val="auto"/>
                <w:sz w:val="24"/>
                <w:szCs w:val="22"/>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cs="Times New Roman"/>
                <w:color w:val="auto"/>
                <w:sz w:val="24"/>
                <w:szCs w:val="22"/>
              </w:rPr>
              <w:t>1</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ascii="仿宋" w:hAnsi="仿宋" w:eastAsia="仿宋" w:cs="仿宋"/>
                <w:color w:val="auto"/>
                <w:sz w:val="24"/>
                <w:szCs w:val="24"/>
              </w:rPr>
              <w:t>符合性评审</w:t>
            </w:r>
          </w:p>
        </w:tc>
        <w:tc>
          <w:tcPr>
            <w:tcW w:w="3887"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cs="Times New Roman"/>
                <w:color w:val="auto"/>
                <w:sz w:val="24"/>
                <w:szCs w:val="22"/>
              </w:rPr>
            </w:pPr>
            <w:r>
              <w:rPr>
                <w:rFonts w:hint="eastAsia" w:eastAsia="仿宋" w:cs="Times New Roman"/>
                <w:color w:val="auto"/>
                <w:sz w:val="24"/>
                <w:szCs w:val="22"/>
              </w:rPr>
              <w:t>投标人必须完全满足招标文件“商务要求”</w:t>
            </w:r>
            <w:r>
              <w:rPr>
                <w:rFonts w:hint="eastAsia" w:eastAsia="仿宋" w:cs="Times New Roman"/>
                <w:color w:val="auto"/>
                <w:sz w:val="24"/>
                <w:szCs w:val="22"/>
                <w:lang w:val="en-US" w:eastAsia="zh-CN"/>
              </w:rPr>
              <w:t>所有</w:t>
            </w:r>
            <w:r>
              <w:rPr>
                <w:rFonts w:hint="eastAsia" w:eastAsia="仿宋" w:cs="Times New Roman"/>
                <w:color w:val="auto"/>
                <w:sz w:val="24"/>
                <w:szCs w:val="22"/>
              </w:rPr>
              <w:t>实质性条款，任意一项不满足作无效投标处理。</w:t>
            </w:r>
          </w:p>
          <w:p>
            <w:pPr>
              <w:pageBreakBefore w:val="0"/>
              <w:kinsoku/>
              <w:wordWrap/>
              <w:overflowPunct/>
              <w:topLinePunct w:val="0"/>
              <w:autoSpaceDE/>
              <w:autoSpaceDN/>
              <w:bidi w:val="0"/>
              <w:adjustRightInd/>
              <w:snapToGrid/>
              <w:spacing w:beforeLines="0" w:afterLines="0" w:line="460" w:lineRule="exact"/>
              <w:rPr>
                <w:rFonts w:hint="eastAsia" w:cs="Times New Roman"/>
                <w:color w:val="auto"/>
                <w:sz w:val="24"/>
                <w:szCs w:val="22"/>
              </w:rPr>
            </w:pPr>
            <w:r>
              <w:rPr>
                <w:rFonts w:hint="eastAsia" w:eastAsia="仿宋" w:cs="Times New Roman"/>
                <w:b/>
                <w:color w:val="auto"/>
                <w:sz w:val="24"/>
                <w:szCs w:val="22"/>
              </w:rPr>
              <w:t>评审依据：投标文件中提供的商务条款响应表。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cs="Times New Roman"/>
                <w:color w:val="auto"/>
                <w:sz w:val="24"/>
                <w:szCs w:val="22"/>
              </w:rPr>
              <w:t>2</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eastAsia="仿宋" w:cs="Times New Roman"/>
                <w:color w:val="auto"/>
                <w:sz w:val="24"/>
                <w:szCs w:val="22"/>
                <w:lang w:eastAsia="zh-CN"/>
              </w:rPr>
            </w:pPr>
            <w:r>
              <w:rPr>
                <w:rFonts w:hint="eastAsia" w:eastAsia="仿宋" w:cs="Times New Roman"/>
                <w:color w:val="auto"/>
                <w:sz w:val="24"/>
                <w:szCs w:val="22"/>
                <w:lang w:eastAsia="zh-CN"/>
              </w:rPr>
              <w:t>生产制造履约能力</w:t>
            </w:r>
          </w:p>
        </w:tc>
        <w:tc>
          <w:tcPr>
            <w:tcW w:w="338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lang w:eastAsia="zh-CN"/>
              </w:rPr>
            </w:pPr>
            <w:r>
              <w:rPr>
                <w:rFonts w:hint="eastAsia" w:eastAsia="仿宋" w:cs="Times New Roman"/>
                <w:color w:val="auto"/>
                <w:sz w:val="24"/>
                <w:szCs w:val="22"/>
                <w:lang w:val="en-US" w:eastAsia="zh-CN"/>
              </w:rPr>
              <w:t>投标人提供所投产品制造商的证明材料（应加盖制造商公章）</w:t>
            </w:r>
            <w:r>
              <w:rPr>
                <w:rFonts w:hint="eastAsia" w:eastAsia="仿宋" w:cs="Times New Roman"/>
                <w:color w:val="auto"/>
                <w:sz w:val="24"/>
                <w:szCs w:val="22"/>
              </w:rPr>
              <w:t>对</w:t>
            </w:r>
            <w:r>
              <w:rPr>
                <w:rFonts w:hint="eastAsia" w:eastAsia="仿宋" w:cs="Times New Roman"/>
                <w:color w:val="auto"/>
                <w:sz w:val="24"/>
                <w:szCs w:val="22"/>
                <w:lang w:eastAsia="zh-CN"/>
              </w:rPr>
              <w:t>生产制造履约能力</w:t>
            </w:r>
            <w:r>
              <w:rPr>
                <w:rFonts w:hint="eastAsia" w:eastAsia="仿宋" w:cs="Times New Roman"/>
                <w:color w:val="auto"/>
                <w:sz w:val="24"/>
                <w:szCs w:val="22"/>
              </w:rPr>
              <w:t>进行评审，包含但不限于</w:t>
            </w:r>
            <w:r>
              <w:rPr>
                <w:rFonts w:hint="eastAsia" w:eastAsia="仿宋" w:cs="Times New Roman"/>
                <w:color w:val="auto"/>
                <w:sz w:val="24"/>
                <w:szCs w:val="22"/>
                <w:lang w:eastAsia="zh-CN"/>
              </w:rPr>
              <w:t>：</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lang w:eastAsia="zh-CN"/>
              </w:rPr>
            </w:pPr>
            <w:r>
              <w:rPr>
                <w:rFonts w:hint="eastAsia" w:eastAsia="仿宋" w:cs="Times New Roman"/>
                <w:color w:val="auto"/>
                <w:sz w:val="24"/>
                <w:szCs w:val="22"/>
                <w:lang w:eastAsia="zh-CN"/>
              </w:rPr>
              <w:t>①制造商生产经营情况简介；</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lang w:eastAsia="zh-CN"/>
              </w:rPr>
            </w:pPr>
            <w:r>
              <w:rPr>
                <w:rFonts w:hint="eastAsia" w:eastAsia="仿宋" w:cs="Times New Roman"/>
                <w:color w:val="auto"/>
                <w:sz w:val="24"/>
                <w:szCs w:val="22"/>
              </w:rPr>
              <w:t>②</w:t>
            </w:r>
            <w:r>
              <w:rPr>
                <w:rFonts w:hint="eastAsia" w:eastAsia="仿宋" w:cs="Times New Roman"/>
                <w:color w:val="auto"/>
                <w:sz w:val="24"/>
                <w:szCs w:val="22"/>
                <w:lang w:eastAsia="zh-CN"/>
              </w:rPr>
              <w:t>生产工艺流程，主要包括生产制造流程图、生产步骤（应含生产车间环境及实际生产照片）等相关情况描述；</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rPr>
            </w:pPr>
            <w:r>
              <w:rPr>
                <w:rFonts w:hint="eastAsia" w:eastAsia="仿宋" w:cs="Times New Roman"/>
                <w:color w:val="auto"/>
                <w:sz w:val="24"/>
                <w:szCs w:val="22"/>
              </w:rPr>
              <w:t>③产品检验流程，包括主要检验设备</w:t>
            </w:r>
            <w:r>
              <w:rPr>
                <w:rFonts w:hint="eastAsia" w:eastAsia="仿宋" w:cs="Times New Roman"/>
                <w:color w:val="auto"/>
                <w:sz w:val="24"/>
                <w:szCs w:val="22"/>
                <w:lang w:eastAsia="zh-CN"/>
              </w:rPr>
              <w:t>（应提供图片）</w:t>
            </w:r>
            <w:r>
              <w:rPr>
                <w:rFonts w:hint="eastAsia" w:eastAsia="仿宋" w:cs="Times New Roman"/>
                <w:color w:val="auto"/>
                <w:sz w:val="24"/>
                <w:szCs w:val="22"/>
              </w:rPr>
              <w:t>、检验步骤等相关情况描述；</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rPr>
            </w:pPr>
            <w:r>
              <w:rPr>
                <w:rFonts w:hint="eastAsia" w:eastAsia="仿宋" w:cs="Times New Roman"/>
                <w:color w:val="auto"/>
                <w:sz w:val="24"/>
                <w:szCs w:val="22"/>
              </w:rPr>
              <w:t>④人员配备：相关专业技术</w:t>
            </w:r>
            <w:r>
              <w:rPr>
                <w:rFonts w:hint="eastAsia" w:eastAsia="仿宋" w:cs="Times New Roman"/>
                <w:color w:val="auto"/>
                <w:sz w:val="24"/>
                <w:szCs w:val="22"/>
                <w:lang w:eastAsia="zh-CN"/>
              </w:rPr>
              <w:t>职称</w:t>
            </w:r>
            <w:r>
              <w:rPr>
                <w:rFonts w:hint="eastAsia" w:eastAsia="仿宋" w:cs="Times New Roman"/>
                <w:color w:val="auto"/>
                <w:sz w:val="24"/>
                <w:szCs w:val="22"/>
              </w:rPr>
              <w:t>人员配置情况</w:t>
            </w:r>
            <w:r>
              <w:rPr>
                <w:rFonts w:hint="eastAsia" w:eastAsia="仿宋" w:cs="Times New Roman"/>
                <w:color w:val="auto"/>
                <w:sz w:val="24"/>
                <w:szCs w:val="22"/>
                <w:lang w:eastAsia="zh-CN"/>
              </w:rPr>
              <w:t>；</w:t>
            </w:r>
            <w:r>
              <w:rPr>
                <w:rFonts w:hint="eastAsia" w:eastAsia="仿宋" w:cs="Times New Roman"/>
                <w:color w:val="auto"/>
                <w:sz w:val="24"/>
                <w:szCs w:val="22"/>
              </w:rPr>
              <w:t>各原材料采购、生产、检验、仓储、运输等环节的人员配备情况；</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b/>
                <w:color w:val="auto"/>
                <w:sz w:val="24"/>
                <w:szCs w:val="22"/>
              </w:rPr>
            </w:pPr>
            <w:r>
              <w:rPr>
                <w:rFonts w:hint="eastAsia" w:eastAsia="仿宋" w:cs="Times New Roman"/>
                <w:b/>
                <w:color w:val="auto"/>
                <w:sz w:val="24"/>
                <w:szCs w:val="22"/>
              </w:rPr>
              <w:t>评审依据：</w:t>
            </w:r>
            <w:r>
              <w:rPr>
                <w:rFonts w:hint="eastAsia" w:eastAsia="仿宋" w:cs="Times New Roman"/>
                <w:b/>
                <w:color w:val="auto"/>
                <w:sz w:val="24"/>
                <w:szCs w:val="22"/>
                <w:lang w:val="en-US" w:eastAsia="zh-CN"/>
              </w:rPr>
              <w:t>根据</w:t>
            </w:r>
            <w:r>
              <w:rPr>
                <w:rFonts w:hint="eastAsia" w:eastAsia="仿宋" w:cs="Times New Roman"/>
                <w:b/>
                <w:color w:val="auto"/>
                <w:sz w:val="24"/>
                <w:szCs w:val="22"/>
              </w:rPr>
              <w:t>投标人提</w:t>
            </w:r>
            <w:r>
              <w:rPr>
                <w:rFonts w:hint="eastAsia" w:eastAsia="仿宋" w:cs="Times New Roman"/>
                <w:b/>
                <w:color w:val="auto"/>
                <w:sz w:val="24"/>
                <w:szCs w:val="22"/>
                <w:lang w:val="en-US" w:eastAsia="zh-CN"/>
              </w:rPr>
              <w:t>供的生产制造履约能力方案内容完整性、组织性、关联性和可操作性进行评审</w:t>
            </w:r>
            <w:r>
              <w:rPr>
                <w:rFonts w:hint="eastAsia" w:eastAsia="仿宋" w:cs="Times New Roman"/>
                <w:b/>
                <w:color w:val="auto"/>
                <w:sz w:val="24"/>
                <w:szCs w:val="22"/>
              </w:rPr>
              <w:t>。</w:t>
            </w:r>
          </w:p>
          <w:p>
            <w:pPr>
              <w:pageBreakBefore w:val="0"/>
              <w:numPr>
                <w:ilvl w:val="0"/>
                <w:numId w:val="0"/>
              </w:numPr>
              <w:kinsoku/>
              <w:wordWrap/>
              <w:overflowPunct/>
              <w:topLinePunct w:val="0"/>
              <w:autoSpaceDE/>
              <w:autoSpaceDN/>
              <w:bidi w:val="0"/>
              <w:adjustRightInd/>
              <w:snapToGrid/>
              <w:spacing w:beforeLines="0" w:afterLines="0" w:line="460" w:lineRule="exact"/>
              <w:rPr>
                <w:rFonts w:hint="eastAsia" w:ascii="仿宋" w:hAnsi="仿宋" w:eastAsia="仿宋" w:cs="仿宋"/>
                <w:b/>
                <w:color w:val="auto"/>
                <w:sz w:val="24"/>
                <w:szCs w:val="24"/>
              </w:rPr>
            </w:pPr>
            <w:r>
              <w:rPr>
                <w:rFonts w:hint="eastAsia" w:ascii="仿宋" w:hAnsi="仿宋" w:eastAsia="仿宋" w:cs="仿宋"/>
                <w:b/>
                <w:color w:val="auto"/>
                <w:sz w:val="24"/>
                <w:szCs w:val="24"/>
                <w:lang w:val="en-US" w:eastAsia="zh-CN"/>
              </w:rPr>
              <w:t>1、所投</w:t>
            </w:r>
            <w:r>
              <w:rPr>
                <w:rFonts w:hint="eastAsia" w:eastAsia="仿宋" w:cs="Times New Roman"/>
                <w:b/>
                <w:color w:val="auto"/>
                <w:sz w:val="24"/>
                <w:szCs w:val="22"/>
                <w:lang w:val="en-US" w:eastAsia="zh-CN"/>
              </w:rPr>
              <w:t>产品</w:t>
            </w:r>
            <w:r>
              <w:rPr>
                <w:rFonts w:hint="eastAsia" w:ascii="仿宋" w:hAnsi="仿宋" w:eastAsia="仿宋" w:cs="仿宋"/>
                <w:b/>
                <w:color w:val="auto"/>
                <w:sz w:val="24"/>
                <w:szCs w:val="24"/>
                <w:lang w:val="en-US" w:eastAsia="zh-CN"/>
              </w:rPr>
              <w:t>制造商具备较强自主研发能力及先进的生产工艺，生产车间环境及生产线先进规范，生产步骤完整周详，技术</w:t>
            </w:r>
            <w:r>
              <w:rPr>
                <w:rFonts w:hint="eastAsia" w:ascii="仿宋" w:hAnsi="仿宋" w:eastAsia="仿宋" w:cs="仿宋"/>
                <w:b/>
                <w:color w:val="auto"/>
                <w:sz w:val="24"/>
                <w:szCs w:val="24"/>
              </w:rPr>
              <w:t>人员配备</w:t>
            </w:r>
            <w:r>
              <w:rPr>
                <w:rFonts w:hint="eastAsia" w:ascii="仿宋" w:hAnsi="仿宋" w:eastAsia="仿宋" w:cs="仿宋"/>
                <w:b/>
                <w:color w:val="auto"/>
                <w:sz w:val="24"/>
                <w:szCs w:val="24"/>
                <w:lang w:val="en-US" w:eastAsia="zh-CN"/>
              </w:rPr>
              <w:t>合理专业齐全</w:t>
            </w:r>
            <w:r>
              <w:rPr>
                <w:rFonts w:hint="eastAsia" w:ascii="仿宋" w:hAnsi="仿宋" w:eastAsia="仿宋" w:cs="仿宋"/>
                <w:b/>
                <w:color w:val="auto"/>
                <w:sz w:val="24"/>
                <w:szCs w:val="24"/>
              </w:rPr>
              <w:t>，</w:t>
            </w:r>
            <w:r>
              <w:rPr>
                <w:rFonts w:hint="eastAsia" w:ascii="仿宋" w:hAnsi="仿宋" w:eastAsia="仿宋" w:cs="仿宋"/>
                <w:b/>
                <w:color w:val="auto"/>
                <w:sz w:val="24"/>
                <w:szCs w:val="24"/>
                <w:lang w:val="en-US" w:eastAsia="zh-CN"/>
              </w:rPr>
              <w:t>检验设备配置齐全、检验步骤严密无纰漏，生产制造履约能力</w:t>
            </w:r>
            <w:r>
              <w:rPr>
                <w:rFonts w:hint="eastAsia" w:ascii="仿宋" w:hAnsi="仿宋" w:eastAsia="仿宋" w:cs="仿宋"/>
                <w:b/>
                <w:color w:val="auto"/>
                <w:sz w:val="24"/>
                <w:szCs w:val="24"/>
              </w:rPr>
              <w:t>高的得</w:t>
            </w:r>
            <w:r>
              <w:rPr>
                <w:rFonts w:hint="eastAsia" w:ascii="仿宋" w:hAnsi="仿宋" w:eastAsia="仿宋" w:cs="仿宋"/>
                <w:b/>
                <w:color w:val="auto"/>
                <w:sz w:val="24"/>
                <w:szCs w:val="24"/>
                <w:lang w:val="en-US" w:eastAsia="zh-CN"/>
              </w:rPr>
              <w:t>5</w:t>
            </w:r>
            <w:r>
              <w:rPr>
                <w:rFonts w:hint="eastAsia" w:ascii="仿宋" w:hAnsi="仿宋" w:eastAsia="仿宋" w:cs="仿宋"/>
                <w:b/>
                <w:color w:val="auto"/>
                <w:sz w:val="24"/>
                <w:szCs w:val="24"/>
              </w:rPr>
              <w:t>分；</w:t>
            </w:r>
          </w:p>
          <w:p>
            <w:pPr>
              <w:pageBreakBefore w:val="0"/>
              <w:numPr>
                <w:ilvl w:val="0"/>
                <w:numId w:val="0"/>
              </w:numPr>
              <w:kinsoku/>
              <w:wordWrap/>
              <w:overflowPunct/>
              <w:topLinePunct w:val="0"/>
              <w:autoSpaceDE/>
              <w:autoSpaceDN/>
              <w:bidi w:val="0"/>
              <w:adjustRightInd/>
              <w:snapToGrid/>
              <w:spacing w:beforeLines="0" w:afterLines="0" w:line="460" w:lineRule="exact"/>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2、所投</w:t>
            </w:r>
            <w:r>
              <w:rPr>
                <w:rFonts w:hint="eastAsia" w:eastAsia="仿宋" w:cs="Times New Roman"/>
                <w:b/>
                <w:color w:val="auto"/>
                <w:sz w:val="24"/>
                <w:szCs w:val="22"/>
                <w:lang w:val="en-US" w:eastAsia="zh-CN"/>
              </w:rPr>
              <w:t>产品</w:t>
            </w:r>
            <w:r>
              <w:rPr>
                <w:rFonts w:hint="eastAsia" w:ascii="仿宋" w:hAnsi="仿宋" w:eastAsia="仿宋" w:cs="仿宋"/>
                <w:b/>
                <w:color w:val="auto"/>
                <w:sz w:val="24"/>
                <w:szCs w:val="24"/>
                <w:lang w:val="en-US" w:eastAsia="zh-CN"/>
              </w:rPr>
              <w:t>制造商有自主研发能力和生产工艺较完整，生产车间环境及生产线常规，生产步骤较完整周详，技术</w:t>
            </w:r>
            <w:r>
              <w:rPr>
                <w:rFonts w:hint="eastAsia" w:ascii="仿宋" w:hAnsi="仿宋" w:eastAsia="仿宋" w:cs="仿宋"/>
                <w:b/>
                <w:color w:val="auto"/>
                <w:sz w:val="24"/>
                <w:szCs w:val="24"/>
              </w:rPr>
              <w:t>人员配备</w:t>
            </w:r>
            <w:r>
              <w:rPr>
                <w:rFonts w:hint="eastAsia" w:ascii="仿宋" w:hAnsi="仿宋" w:eastAsia="仿宋" w:cs="仿宋"/>
                <w:b/>
                <w:color w:val="auto"/>
                <w:sz w:val="24"/>
                <w:szCs w:val="24"/>
                <w:lang w:eastAsia="zh-CN"/>
              </w:rPr>
              <w:t>相对</w:t>
            </w:r>
            <w:r>
              <w:rPr>
                <w:rFonts w:hint="eastAsia" w:ascii="仿宋" w:hAnsi="仿宋" w:eastAsia="仿宋" w:cs="仿宋"/>
                <w:b/>
                <w:color w:val="auto"/>
                <w:sz w:val="24"/>
                <w:szCs w:val="24"/>
                <w:lang w:val="en-US" w:eastAsia="zh-CN"/>
              </w:rPr>
              <w:t>合理专业齐全</w:t>
            </w:r>
            <w:r>
              <w:rPr>
                <w:rFonts w:hint="eastAsia" w:ascii="仿宋" w:hAnsi="仿宋" w:eastAsia="仿宋" w:cs="仿宋"/>
                <w:b/>
                <w:color w:val="auto"/>
                <w:sz w:val="24"/>
                <w:szCs w:val="24"/>
              </w:rPr>
              <w:t>，</w:t>
            </w:r>
            <w:r>
              <w:rPr>
                <w:rFonts w:hint="eastAsia" w:ascii="仿宋" w:hAnsi="仿宋" w:eastAsia="仿宋" w:cs="仿宋"/>
                <w:b/>
                <w:color w:val="auto"/>
                <w:sz w:val="24"/>
                <w:szCs w:val="24"/>
                <w:lang w:val="en-US" w:eastAsia="zh-CN"/>
              </w:rPr>
              <w:t>检验设备配置较齐全、检验步骤相对完备，生产制造履约能力</w:t>
            </w:r>
            <w:r>
              <w:rPr>
                <w:rFonts w:hint="eastAsia" w:ascii="仿宋" w:hAnsi="仿宋" w:eastAsia="仿宋" w:cs="仿宋"/>
                <w:b/>
                <w:color w:val="auto"/>
                <w:sz w:val="24"/>
                <w:szCs w:val="24"/>
                <w:lang w:eastAsia="zh-CN"/>
              </w:rPr>
              <w:t>较</w:t>
            </w:r>
            <w:r>
              <w:rPr>
                <w:rFonts w:hint="eastAsia" w:ascii="仿宋" w:hAnsi="仿宋" w:eastAsia="仿宋" w:cs="仿宋"/>
                <w:b/>
                <w:color w:val="auto"/>
                <w:sz w:val="24"/>
                <w:szCs w:val="24"/>
              </w:rPr>
              <w:t>高的得</w:t>
            </w:r>
            <w:r>
              <w:rPr>
                <w:rFonts w:hint="eastAsia" w:ascii="仿宋" w:hAnsi="仿宋" w:eastAsia="仿宋" w:cs="仿宋"/>
                <w:b/>
                <w:color w:val="auto"/>
                <w:sz w:val="24"/>
                <w:szCs w:val="24"/>
                <w:lang w:val="en-US" w:eastAsia="zh-CN"/>
              </w:rPr>
              <w:t>3</w:t>
            </w:r>
            <w:r>
              <w:rPr>
                <w:rFonts w:hint="eastAsia" w:ascii="仿宋" w:hAnsi="仿宋" w:eastAsia="仿宋" w:cs="仿宋"/>
                <w:b/>
                <w:color w:val="auto"/>
                <w:sz w:val="24"/>
                <w:szCs w:val="24"/>
              </w:rPr>
              <w:t>分</w:t>
            </w:r>
            <w:r>
              <w:rPr>
                <w:rFonts w:hint="eastAsia" w:ascii="仿宋" w:hAnsi="仿宋" w:eastAsia="仿宋" w:cs="仿宋"/>
                <w:b/>
                <w:color w:val="auto"/>
                <w:sz w:val="24"/>
                <w:szCs w:val="24"/>
                <w:lang w:eastAsia="zh-CN"/>
              </w:rPr>
              <w:t>；</w:t>
            </w:r>
          </w:p>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b/>
                <w:color w:val="auto"/>
                <w:sz w:val="24"/>
                <w:szCs w:val="24"/>
                <w:lang w:eastAsia="zh-CN"/>
              </w:rPr>
            </w:pPr>
            <w:r>
              <w:rPr>
                <w:rFonts w:hint="eastAsia" w:ascii="仿宋" w:hAnsi="仿宋" w:eastAsia="仿宋" w:cs="仿宋"/>
                <w:b/>
                <w:color w:val="auto"/>
                <w:sz w:val="24"/>
                <w:szCs w:val="24"/>
                <w:lang w:val="en-US" w:eastAsia="zh-CN"/>
              </w:rPr>
              <w:t>3、所投</w:t>
            </w:r>
            <w:r>
              <w:rPr>
                <w:rFonts w:hint="eastAsia" w:eastAsia="仿宋" w:cs="Times New Roman"/>
                <w:b/>
                <w:color w:val="auto"/>
                <w:sz w:val="24"/>
                <w:szCs w:val="22"/>
                <w:lang w:val="en-US" w:eastAsia="zh-CN"/>
              </w:rPr>
              <w:t>产品</w:t>
            </w:r>
            <w:r>
              <w:rPr>
                <w:rFonts w:hint="eastAsia" w:ascii="仿宋" w:hAnsi="仿宋" w:eastAsia="仿宋" w:cs="仿宋"/>
                <w:b/>
                <w:color w:val="auto"/>
                <w:sz w:val="24"/>
                <w:szCs w:val="24"/>
                <w:lang w:val="en-US" w:eastAsia="zh-CN"/>
              </w:rPr>
              <w:t>制造商有自主研发能力和生产工艺薄弱，生产车间环境及生产线粗糙落后，生产步骤简单，技术</w:t>
            </w:r>
            <w:r>
              <w:rPr>
                <w:rFonts w:hint="eastAsia" w:ascii="仿宋" w:hAnsi="仿宋" w:eastAsia="仿宋" w:cs="仿宋"/>
                <w:b/>
                <w:color w:val="auto"/>
                <w:sz w:val="24"/>
                <w:szCs w:val="24"/>
              </w:rPr>
              <w:t>人员</w:t>
            </w:r>
            <w:r>
              <w:rPr>
                <w:rFonts w:hint="eastAsia" w:ascii="仿宋" w:hAnsi="仿宋" w:eastAsia="仿宋" w:cs="仿宋"/>
                <w:b/>
                <w:color w:val="auto"/>
                <w:sz w:val="24"/>
                <w:szCs w:val="24"/>
                <w:lang w:eastAsia="zh-CN"/>
              </w:rPr>
              <w:t>综合实力一般，</w:t>
            </w:r>
            <w:r>
              <w:rPr>
                <w:rFonts w:hint="eastAsia" w:ascii="仿宋" w:hAnsi="仿宋" w:eastAsia="仿宋" w:cs="仿宋"/>
                <w:b/>
                <w:color w:val="auto"/>
                <w:sz w:val="24"/>
                <w:szCs w:val="24"/>
                <w:lang w:val="en-US" w:eastAsia="zh-CN"/>
              </w:rPr>
              <w:t>检验设备配置简单落后，检验步骤普通，生产制造履约能力</w:t>
            </w:r>
            <w:r>
              <w:rPr>
                <w:rFonts w:hint="eastAsia" w:ascii="仿宋" w:hAnsi="仿宋" w:eastAsia="仿宋" w:cs="仿宋"/>
                <w:b/>
                <w:color w:val="auto"/>
                <w:sz w:val="24"/>
                <w:szCs w:val="24"/>
                <w:lang w:eastAsia="zh-CN"/>
              </w:rPr>
              <w:t>弱</w:t>
            </w:r>
            <w:r>
              <w:rPr>
                <w:rFonts w:hint="eastAsia" w:ascii="仿宋" w:hAnsi="仿宋" w:eastAsia="仿宋" w:cs="仿宋"/>
                <w:b/>
                <w:color w:val="auto"/>
                <w:sz w:val="24"/>
                <w:szCs w:val="24"/>
              </w:rPr>
              <w:t>的得</w:t>
            </w:r>
            <w:r>
              <w:rPr>
                <w:rFonts w:hint="eastAsia" w:ascii="仿宋" w:hAnsi="仿宋" w:eastAsia="仿宋" w:cs="仿宋"/>
                <w:b/>
                <w:color w:val="auto"/>
                <w:sz w:val="24"/>
                <w:szCs w:val="24"/>
                <w:lang w:val="en-US" w:eastAsia="zh-CN"/>
              </w:rPr>
              <w:t>1</w:t>
            </w:r>
            <w:r>
              <w:rPr>
                <w:rFonts w:hint="eastAsia" w:ascii="仿宋" w:hAnsi="仿宋" w:eastAsia="仿宋" w:cs="仿宋"/>
                <w:b/>
                <w:color w:val="auto"/>
                <w:sz w:val="24"/>
                <w:szCs w:val="24"/>
              </w:rPr>
              <w:t>分</w:t>
            </w:r>
            <w:r>
              <w:rPr>
                <w:rFonts w:hint="eastAsia" w:ascii="仿宋" w:hAnsi="仿宋" w:eastAsia="仿宋" w:cs="仿宋"/>
                <w:b/>
                <w:color w:val="auto"/>
                <w:sz w:val="24"/>
                <w:szCs w:val="24"/>
                <w:lang w:eastAsia="zh-CN"/>
              </w:rPr>
              <w:t>；</w:t>
            </w:r>
          </w:p>
          <w:p>
            <w:pPr>
              <w:pageBreakBefore w:val="0"/>
              <w:kinsoku/>
              <w:wordWrap/>
              <w:overflowPunct/>
              <w:topLinePunct w:val="0"/>
              <w:autoSpaceDE/>
              <w:autoSpaceDN/>
              <w:bidi w:val="0"/>
              <w:adjustRightInd/>
              <w:snapToGrid/>
              <w:spacing w:beforeLines="0" w:afterLines="0" w:line="460" w:lineRule="exact"/>
              <w:rPr>
                <w:rFonts w:hint="eastAsia" w:cs="Times New Roman"/>
                <w:color w:val="auto"/>
                <w:sz w:val="24"/>
                <w:szCs w:val="22"/>
              </w:rPr>
            </w:pPr>
            <w:r>
              <w:rPr>
                <w:rFonts w:hint="eastAsia" w:ascii="仿宋" w:hAnsi="仿宋" w:eastAsia="仿宋" w:cs="仿宋"/>
                <w:b/>
                <w:color w:val="auto"/>
                <w:sz w:val="24"/>
                <w:szCs w:val="24"/>
                <w:lang w:val="en-US" w:eastAsia="zh-CN"/>
              </w:rPr>
              <w:t>4、</w:t>
            </w:r>
            <w:r>
              <w:rPr>
                <w:rFonts w:hint="eastAsia" w:ascii="仿宋" w:hAnsi="仿宋" w:eastAsia="仿宋" w:cs="仿宋"/>
                <w:b/>
                <w:color w:val="auto"/>
                <w:sz w:val="24"/>
                <w:szCs w:val="24"/>
              </w:rPr>
              <w:t>未提供证明材料或证明材料有缺项的不得分。</w:t>
            </w:r>
          </w:p>
        </w:tc>
        <w:tc>
          <w:tcPr>
            <w:tcW w:w="49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cs="Times New Roman"/>
                <w:color w:val="auto"/>
                <w:sz w:val="24"/>
                <w:szCs w:val="22"/>
              </w:rPr>
              <w:t>5</w:t>
            </w:r>
            <w:r>
              <w:rPr>
                <w:rFonts w:hint="eastAsia" w:eastAsia="仿宋" w:cs="Times New Roman"/>
                <w:color w:val="auto"/>
                <w:sz w:val="24"/>
                <w:szCs w:val="22"/>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cs="Times New Roman"/>
                <w:color w:val="auto"/>
                <w:sz w:val="24"/>
                <w:szCs w:val="22"/>
              </w:rPr>
              <w:t>3</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eastAsia="仿宋" w:cs="Times New Roman"/>
                <w:color w:val="auto"/>
                <w:sz w:val="24"/>
                <w:szCs w:val="22"/>
              </w:rPr>
              <w:t>质量保证和保修</w:t>
            </w:r>
          </w:p>
        </w:tc>
        <w:tc>
          <w:tcPr>
            <w:tcW w:w="338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rPr>
                <w:rFonts w:hint="eastAsia" w:cs="Times New Roman"/>
                <w:color w:val="auto"/>
                <w:sz w:val="24"/>
                <w:szCs w:val="22"/>
              </w:rPr>
            </w:pPr>
            <w:r>
              <w:rPr>
                <w:rFonts w:hint="eastAsia" w:eastAsia="仿宋" w:cs="Times New Roman"/>
                <w:color w:val="auto"/>
                <w:sz w:val="24"/>
                <w:szCs w:val="22"/>
              </w:rPr>
              <w:t>在招标文件商务要求中“质保期”和“保修期”要求基础上，承诺“质保期”和“保修期”均每延长一年的加2分，最多加4分。</w:t>
            </w:r>
          </w:p>
          <w:p>
            <w:pPr>
              <w:pageBreakBefore w:val="0"/>
              <w:kinsoku/>
              <w:wordWrap/>
              <w:overflowPunct/>
              <w:topLinePunct w:val="0"/>
              <w:autoSpaceDE/>
              <w:autoSpaceDN/>
              <w:bidi w:val="0"/>
              <w:adjustRightInd/>
              <w:snapToGrid/>
              <w:spacing w:beforeLines="0" w:afterLines="0" w:line="460" w:lineRule="exact"/>
              <w:rPr>
                <w:rFonts w:hint="eastAsia" w:cs="Times New Roman"/>
                <w:color w:val="auto"/>
                <w:sz w:val="24"/>
                <w:szCs w:val="22"/>
              </w:rPr>
            </w:pPr>
            <w:r>
              <w:rPr>
                <w:rFonts w:hint="eastAsia" w:eastAsia="仿宋" w:cs="Times New Roman"/>
                <w:b/>
                <w:color w:val="auto"/>
                <w:sz w:val="24"/>
                <w:szCs w:val="22"/>
              </w:rPr>
              <w:t>评审依据：投标文件中提供“质保期”和“保修期”均延长的承诺函原件。</w:t>
            </w:r>
          </w:p>
        </w:tc>
        <w:tc>
          <w:tcPr>
            <w:tcW w:w="49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cs="Times New Roman"/>
                <w:color w:val="auto"/>
                <w:sz w:val="24"/>
                <w:szCs w:val="22"/>
              </w:rPr>
              <w:t>4</w:t>
            </w:r>
            <w:r>
              <w:rPr>
                <w:rFonts w:hint="eastAsia" w:eastAsia="仿宋" w:cs="Times New Roman"/>
                <w:color w:val="auto"/>
                <w:sz w:val="24"/>
                <w:szCs w:val="22"/>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cs="Times New Roman"/>
                <w:color w:val="auto"/>
                <w:sz w:val="24"/>
                <w:szCs w:val="22"/>
              </w:rPr>
              <w:t>4</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eastAsia="仿宋" w:cs="Times New Roman"/>
                <w:color w:val="auto"/>
                <w:sz w:val="24"/>
                <w:szCs w:val="22"/>
              </w:rPr>
              <w:t>类似销售</w:t>
            </w:r>
          </w:p>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eastAsia="仿宋" w:cs="Times New Roman"/>
                <w:color w:val="auto"/>
                <w:sz w:val="24"/>
                <w:szCs w:val="22"/>
              </w:rPr>
              <w:t>案例</w:t>
            </w:r>
          </w:p>
        </w:tc>
        <w:tc>
          <w:tcPr>
            <w:tcW w:w="338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rPr>
                <w:rFonts w:hint="eastAsia" w:eastAsia="仿宋" w:cs="Times New Roman"/>
                <w:color w:val="auto"/>
                <w:sz w:val="24"/>
                <w:szCs w:val="22"/>
                <w:lang w:eastAsia="zh-CN"/>
              </w:rPr>
            </w:pPr>
            <w:r>
              <w:rPr>
                <w:rFonts w:hint="eastAsia" w:eastAsia="仿宋" w:cs="Times New Roman"/>
                <w:color w:val="auto"/>
                <w:sz w:val="24"/>
                <w:szCs w:val="22"/>
              </w:rPr>
              <w:t>投标人自</w:t>
            </w:r>
            <w:r>
              <w:rPr>
                <w:rFonts w:hint="eastAsia" w:cs="Times New Roman"/>
                <w:color w:val="auto"/>
                <w:sz w:val="24"/>
                <w:szCs w:val="22"/>
              </w:rPr>
              <w:t>20</w:t>
            </w:r>
            <w:r>
              <w:rPr>
                <w:rFonts w:hint="eastAsia" w:eastAsia="仿宋" w:cs="Times New Roman"/>
                <w:color w:val="auto"/>
                <w:sz w:val="24"/>
                <w:szCs w:val="22"/>
              </w:rPr>
              <w:t>2</w:t>
            </w:r>
            <w:r>
              <w:rPr>
                <w:rFonts w:hint="eastAsia" w:eastAsia="仿宋" w:cs="Times New Roman"/>
                <w:color w:val="auto"/>
                <w:sz w:val="24"/>
                <w:szCs w:val="22"/>
                <w:lang w:val="en-US" w:eastAsia="zh-CN"/>
              </w:rPr>
              <w:t>1</w:t>
            </w:r>
            <w:r>
              <w:rPr>
                <w:rFonts w:hint="eastAsia" w:eastAsia="仿宋" w:cs="Times New Roman"/>
                <w:color w:val="auto"/>
                <w:sz w:val="24"/>
                <w:szCs w:val="22"/>
              </w:rPr>
              <w:t>年</w:t>
            </w:r>
            <w:r>
              <w:rPr>
                <w:rFonts w:hint="eastAsia" w:cs="Times New Roman"/>
                <w:color w:val="auto"/>
                <w:sz w:val="24"/>
                <w:szCs w:val="22"/>
              </w:rPr>
              <w:t>1</w:t>
            </w:r>
            <w:r>
              <w:rPr>
                <w:rFonts w:hint="eastAsia" w:eastAsia="仿宋" w:cs="Times New Roman"/>
                <w:color w:val="auto"/>
                <w:sz w:val="24"/>
                <w:szCs w:val="22"/>
              </w:rPr>
              <w:t>月1日至今（以签订合同时间为准）具有类似</w:t>
            </w:r>
            <w:r>
              <w:rPr>
                <w:rFonts w:hint="eastAsia" w:eastAsia="仿宋" w:cs="Times New Roman"/>
                <w:color w:val="auto"/>
                <w:sz w:val="24"/>
                <w:szCs w:val="22"/>
                <w:lang w:eastAsia="zh-CN"/>
              </w:rPr>
              <w:t>产品</w:t>
            </w:r>
            <w:r>
              <w:rPr>
                <w:rFonts w:hint="eastAsia" w:eastAsia="仿宋" w:cs="Times New Roman"/>
                <w:color w:val="auto"/>
                <w:sz w:val="24"/>
                <w:szCs w:val="22"/>
              </w:rPr>
              <w:t>销售案例，每提供1份销售案例加</w:t>
            </w:r>
            <w:r>
              <w:rPr>
                <w:rFonts w:hint="eastAsia" w:eastAsia="仿宋" w:cs="Times New Roman"/>
                <w:color w:val="auto"/>
                <w:sz w:val="24"/>
                <w:szCs w:val="22"/>
                <w:lang w:val="en-US" w:eastAsia="zh-CN"/>
              </w:rPr>
              <w:t>2</w:t>
            </w:r>
            <w:r>
              <w:rPr>
                <w:rFonts w:hint="eastAsia" w:eastAsia="仿宋" w:cs="Times New Roman"/>
                <w:color w:val="auto"/>
                <w:sz w:val="24"/>
                <w:szCs w:val="22"/>
              </w:rPr>
              <w:t>分，本项最多加</w:t>
            </w:r>
            <w:r>
              <w:rPr>
                <w:rFonts w:hint="eastAsia" w:eastAsia="仿宋" w:cs="Times New Roman"/>
                <w:color w:val="auto"/>
                <w:sz w:val="24"/>
                <w:szCs w:val="22"/>
                <w:lang w:val="en-US" w:eastAsia="zh-CN"/>
              </w:rPr>
              <w:t>6</w:t>
            </w:r>
            <w:r>
              <w:rPr>
                <w:rFonts w:hint="eastAsia" w:eastAsia="仿宋" w:cs="Times New Roman"/>
                <w:color w:val="auto"/>
                <w:sz w:val="24"/>
                <w:szCs w:val="22"/>
              </w:rPr>
              <w:t>分。</w:t>
            </w:r>
          </w:p>
          <w:p>
            <w:pPr>
              <w:pageBreakBefore w:val="0"/>
              <w:kinsoku/>
              <w:wordWrap/>
              <w:overflowPunct/>
              <w:topLinePunct w:val="0"/>
              <w:autoSpaceDE/>
              <w:autoSpaceDN/>
              <w:bidi w:val="0"/>
              <w:adjustRightInd/>
              <w:snapToGrid/>
              <w:spacing w:beforeLines="0" w:afterLines="0" w:line="460" w:lineRule="exact"/>
              <w:jc w:val="left"/>
              <w:rPr>
                <w:rFonts w:hint="eastAsia" w:cs="Times New Roman"/>
                <w:b/>
                <w:color w:val="auto"/>
                <w:sz w:val="24"/>
                <w:szCs w:val="22"/>
              </w:rPr>
            </w:pPr>
            <w:r>
              <w:rPr>
                <w:rFonts w:hint="eastAsia" w:eastAsia="仿宋" w:cs="Times New Roman"/>
                <w:b/>
                <w:color w:val="auto"/>
                <w:sz w:val="24"/>
                <w:szCs w:val="22"/>
              </w:rPr>
              <w:t>评审依据：①投标文件中提供销售案例明细表（销售案例明细表包含</w:t>
            </w:r>
            <w:r>
              <w:rPr>
                <w:rFonts w:hint="eastAsia" w:cs="Times New Roman"/>
                <w:b/>
                <w:color w:val="auto"/>
                <w:sz w:val="24"/>
                <w:szCs w:val="22"/>
              </w:rPr>
              <w:t>:</w:t>
            </w:r>
            <w:r>
              <w:rPr>
                <w:rFonts w:hint="eastAsia" w:eastAsia="仿宋" w:cs="Times New Roman"/>
                <w:b/>
                <w:color w:val="auto"/>
                <w:sz w:val="24"/>
                <w:szCs w:val="22"/>
              </w:rPr>
              <w:t>发布网站名称、网页链接地址、采购项目名称、采购单位名称和联系方式、采购代理机构名称和联系方式）；②</w:t>
            </w:r>
            <w:r>
              <w:rPr>
                <w:rFonts w:hint="eastAsia" w:eastAsia="仿宋" w:cs="Times New Roman"/>
                <w:b/>
                <w:color w:val="auto"/>
                <w:sz w:val="24"/>
                <w:szCs w:val="22"/>
                <w:lang w:eastAsia="zh-CN"/>
              </w:rPr>
              <w:t>中标（成交）公告截图（打印网页）、中标通知书复印件和合同复印件（中标通知书或合同复印件应体现类似销售案例的货物），合同签订方必须是投标人本身。</w:t>
            </w:r>
          </w:p>
        </w:tc>
        <w:tc>
          <w:tcPr>
            <w:tcW w:w="49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eastAsia="仿宋" w:cs="Times New Roman"/>
                <w:color w:val="auto"/>
                <w:sz w:val="24"/>
                <w:szCs w:val="22"/>
                <w:lang w:val="en-US" w:eastAsia="zh-CN"/>
              </w:rPr>
              <w:t>6</w:t>
            </w:r>
            <w:r>
              <w:rPr>
                <w:rFonts w:hint="eastAsia" w:eastAsia="仿宋" w:cs="Times New Roman"/>
                <w:color w:val="auto"/>
                <w:sz w:val="24"/>
                <w:szCs w:val="22"/>
              </w:rPr>
              <w:t>分</w:t>
            </w:r>
          </w:p>
        </w:tc>
      </w:tr>
    </w:tbl>
    <w:p>
      <w:pPr>
        <w:pageBreakBefore w:val="0"/>
        <w:kinsoku/>
        <w:wordWrap/>
        <w:overflowPunct/>
        <w:topLinePunct w:val="0"/>
        <w:autoSpaceDE/>
        <w:autoSpaceDN/>
        <w:bidi w:val="0"/>
        <w:adjustRightInd/>
        <w:snapToGrid/>
        <w:spacing w:beforeLines="0" w:afterLines="0" w:line="460" w:lineRule="exact"/>
        <w:rPr>
          <w:rFonts w:hint="eastAsia" w:cs="Times New Roman"/>
          <w:color w:val="auto"/>
          <w:sz w:val="21"/>
          <w:szCs w:val="24"/>
        </w:rPr>
      </w:pPr>
      <w:r>
        <w:rPr>
          <w:rFonts w:hint="eastAsia" w:cs="Times New Roman"/>
          <w:color w:val="auto"/>
          <w:sz w:val="21"/>
          <w:szCs w:val="24"/>
        </w:rPr>
        <w:br w:type="page"/>
      </w:r>
    </w:p>
    <w:p>
      <w:pPr>
        <w:pStyle w:val="2"/>
        <w:pageBreakBefore w:val="0"/>
        <w:kinsoku/>
        <w:wordWrap/>
        <w:overflowPunct/>
        <w:topLinePunct w:val="0"/>
        <w:autoSpaceDE/>
        <w:autoSpaceDN/>
        <w:bidi w:val="0"/>
        <w:adjustRightInd/>
        <w:snapToGrid/>
        <w:spacing w:beforeLines="0" w:afterLines="0" w:line="460" w:lineRule="exact"/>
        <w:rPr>
          <w:rFonts w:hint="eastAsia" w:ascii="仿宋" w:hAnsi="仿宋" w:eastAsia="仿宋" w:cs="Times New Roman"/>
          <w:color w:val="auto"/>
          <w:sz w:val="32"/>
          <w:szCs w:val="28"/>
        </w:rPr>
      </w:pPr>
      <w:bookmarkStart w:id="681" w:name="_Toc23867"/>
      <w:bookmarkStart w:id="682" w:name="_Toc16291"/>
      <w:bookmarkStart w:id="683" w:name="_Toc11103"/>
      <w:bookmarkStart w:id="684" w:name="_Toc4385"/>
      <w:bookmarkStart w:id="685" w:name="_Toc32677"/>
      <w:r>
        <w:rPr>
          <w:rFonts w:hint="eastAsia" w:ascii="仿宋" w:hAnsi="仿宋" w:eastAsia="仿宋" w:cs="仿宋"/>
          <w:color w:val="auto"/>
          <w:sz w:val="28"/>
          <w:szCs w:val="21"/>
          <w:lang w:val="en-US" w:eastAsia="zh-CN"/>
        </w:rPr>
        <w:t>35包：</w:t>
      </w:r>
      <w:bookmarkEnd w:id="681"/>
      <w:bookmarkEnd w:id="682"/>
      <w:bookmarkEnd w:id="683"/>
      <w:r>
        <w:rPr>
          <w:rFonts w:hint="eastAsia" w:ascii="仿宋" w:hAnsi="仿宋" w:eastAsia="仿宋" w:cs="仿宋"/>
          <w:color w:val="auto"/>
          <w:sz w:val="28"/>
          <w:szCs w:val="21"/>
          <w:lang w:val="en-US" w:eastAsia="zh-CN"/>
        </w:rPr>
        <w:t>充气救援艇（配舷外机）（核心产品：橡皮艇)</w:t>
      </w:r>
      <w:bookmarkEnd w:id="684"/>
      <w:bookmarkEnd w:id="685"/>
    </w:p>
    <w:p>
      <w:pPr>
        <w:pageBreakBefore w:val="0"/>
        <w:kinsoku/>
        <w:wordWrap/>
        <w:overflowPunct/>
        <w:topLinePunct w:val="0"/>
        <w:autoSpaceDE/>
        <w:autoSpaceDN/>
        <w:bidi w:val="0"/>
        <w:adjustRightInd/>
        <w:snapToGrid/>
        <w:spacing w:beforeLines="0" w:afterLines="0" w:line="460" w:lineRule="exact"/>
        <w:ind w:firstLine="482" w:firstLineChars="200"/>
        <w:jc w:val="left"/>
        <w:rPr>
          <w:rFonts w:hint="eastAsia" w:ascii="仿宋" w:hAnsi="仿宋" w:eastAsia="仿宋" w:cs="Times New Roman"/>
          <w:b/>
          <w:color w:val="auto"/>
          <w:sz w:val="24"/>
          <w:szCs w:val="24"/>
        </w:rPr>
      </w:pPr>
      <w:r>
        <w:rPr>
          <w:rFonts w:hint="eastAsia" w:ascii="仿宋" w:hAnsi="仿宋" w:eastAsia="仿宋" w:cs="Times New Roman"/>
          <w:b/>
          <w:color w:val="auto"/>
          <w:sz w:val="24"/>
          <w:szCs w:val="24"/>
        </w:rPr>
        <w:t>一、价格部分（30分）</w:t>
      </w:r>
    </w:p>
    <w:tbl>
      <w:tblPr>
        <w:tblStyle w:val="4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1579"/>
        <w:gridCol w:w="6182"/>
        <w:gridCol w:w="8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76"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序号</w:t>
            </w:r>
          </w:p>
        </w:tc>
        <w:tc>
          <w:tcPr>
            <w:tcW w:w="850"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评审因素</w:t>
            </w:r>
          </w:p>
        </w:tc>
        <w:tc>
          <w:tcPr>
            <w:tcW w:w="332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评分标准</w:t>
            </w:r>
          </w:p>
        </w:tc>
        <w:tc>
          <w:tcPr>
            <w:tcW w:w="444"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b/>
                <w:color w:val="auto"/>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6"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850"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价格分</w:t>
            </w:r>
          </w:p>
        </w:tc>
        <w:tc>
          <w:tcPr>
            <w:tcW w:w="332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根据综合评分法，满足招标文件要求且投标价格最低的投标报价为评标基准价，投标报价得分=（评标基准价／投标报价）×30%×100，计算分数时四舍五入取小数点后两位。</w:t>
            </w:r>
          </w:p>
          <w:p>
            <w:pPr>
              <w:pageBreakBefore w:val="0"/>
              <w:kinsoku/>
              <w:wordWrap/>
              <w:overflowPunct/>
              <w:topLinePunct w:val="0"/>
              <w:autoSpaceDE/>
              <w:autoSpaceDN/>
              <w:bidi w:val="0"/>
              <w:adjustRightInd/>
              <w:snapToGrid/>
              <w:spacing w:beforeLines="0" w:afterLines="0" w:line="460" w:lineRule="exact"/>
              <w:ind w:firstLine="482" w:firstLineChars="200"/>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注：小、微型企业或残疾人福利性单位产品或监狱产品的价格给予10%的扣除，用扣除后的价格参与评审。但残疾人福利性单位本身属于小型、微型企业的，不重复享受政策。</w:t>
            </w:r>
          </w:p>
        </w:tc>
        <w:tc>
          <w:tcPr>
            <w:tcW w:w="444"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30分</w:t>
            </w:r>
          </w:p>
        </w:tc>
      </w:tr>
    </w:tbl>
    <w:p>
      <w:pPr>
        <w:pageBreakBefore w:val="0"/>
        <w:kinsoku/>
        <w:wordWrap/>
        <w:overflowPunct/>
        <w:topLinePunct w:val="0"/>
        <w:autoSpaceDE/>
        <w:autoSpaceDN/>
        <w:bidi w:val="0"/>
        <w:adjustRightInd/>
        <w:snapToGrid/>
        <w:spacing w:beforeLines="0" w:afterLines="0" w:line="460" w:lineRule="exact"/>
        <w:ind w:firstLine="482" w:firstLineChars="200"/>
        <w:jc w:val="left"/>
        <w:rPr>
          <w:rFonts w:hint="eastAsia" w:ascii="仿宋" w:hAnsi="仿宋" w:eastAsia="仿宋" w:cs="Times New Roman"/>
          <w:b/>
          <w:color w:val="auto"/>
          <w:sz w:val="24"/>
          <w:szCs w:val="24"/>
        </w:rPr>
      </w:pPr>
      <w:r>
        <w:rPr>
          <w:rFonts w:hint="eastAsia" w:ascii="仿宋" w:hAnsi="仿宋" w:eastAsia="仿宋" w:cs="Times New Roman"/>
          <w:b/>
          <w:color w:val="auto"/>
          <w:sz w:val="24"/>
          <w:szCs w:val="24"/>
        </w:rPr>
        <w:t>二、技术部分（5</w:t>
      </w:r>
      <w:r>
        <w:rPr>
          <w:rFonts w:hint="eastAsia" w:ascii="仿宋" w:hAnsi="仿宋" w:eastAsia="仿宋" w:cs="Times New Roman"/>
          <w:b/>
          <w:color w:val="auto"/>
          <w:sz w:val="24"/>
          <w:szCs w:val="24"/>
          <w:lang w:val="en-US" w:eastAsia="zh-CN"/>
        </w:rPr>
        <w:t>5</w:t>
      </w:r>
      <w:r>
        <w:rPr>
          <w:rFonts w:hint="eastAsia" w:ascii="仿宋" w:hAnsi="仿宋" w:eastAsia="仿宋" w:cs="Times New Roman"/>
          <w:b/>
          <w:color w:val="auto"/>
          <w:sz w:val="24"/>
          <w:szCs w:val="24"/>
        </w:rPr>
        <w:t>分）</w:t>
      </w:r>
    </w:p>
    <w:tbl>
      <w:tblPr>
        <w:tblStyle w:val="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9"/>
        <w:gridCol w:w="687"/>
        <w:gridCol w:w="1413"/>
        <w:gridCol w:w="5833"/>
        <w:gridCol w:w="8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90"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序号</w:t>
            </w:r>
          </w:p>
        </w:tc>
        <w:tc>
          <w:tcPr>
            <w:tcW w:w="1131"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评审因素</w:t>
            </w:r>
          </w:p>
        </w:tc>
        <w:tc>
          <w:tcPr>
            <w:tcW w:w="3141"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评分标准</w:t>
            </w:r>
          </w:p>
        </w:tc>
        <w:tc>
          <w:tcPr>
            <w:tcW w:w="436"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290"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131"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技术参数及要求</w:t>
            </w:r>
          </w:p>
        </w:tc>
        <w:tc>
          <w:tcPr>
            <w:tcW w:w="3141" w:type="pct"/>
            <w:tcBorders>
              <w:top w:val="single" w:color="auto" w:sz="4" w:space="0"/>
              <w:left w:val="single" w:color="auto" w:sz="4" w:space="0"/>
              <w:bottom w:val="single" w:color="auto" w:sz="4" w:space="0"/>
              <w:right w:val="single" w:color="auto" w:sz="4" w:space="0"/>
              <w:tl2br w:val="nil"/>
              <w:tr2bl w:val="nil"/>
            </w:tcBorders>
            <w:noWrap w:val="0"/>
            <w:vAlign w:val="top"/>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一、重大负偏离评审依据：</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1、带★条款的响应，不满足招标文件要求的，或有缺项、漏项的，视为重大负偏离；</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2、一般参数和带“▲”参数共有四项及以上（含本数）的负偏离，视为重大负偏离；</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二、负偏离评审依据：</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3、所投产品一般参数或带“▲”参数有一项低于招标文件要求，该项视为负偏离；</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4、所投产品一般参数或带“▲”参数有一项缺项、漏项的，该项视为负偏离。</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注：“一般参数”为非标“★”号参数和非标“▲”号参数。</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评审依据：</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①投标文件中提供的技术条款响应表；</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b/>
                <w:color w:val="auto"/>
                <w:sz w:val="24"/>
                <w:szCs w:val="24"/>
              </w:rPr>
              <w:t>②所投产品技术参数完全满足招标文件要求得</w:t>
            </w:r>
            <w:r>
              <w:rPr>
                <w:rFonts w:hint="eastAsia" w:ascii="仿宋" w:hAnsi="仿宋" w:eastAsia="仿宋" w:cs="仿宋"/>
                <w:b/>
                <w:color w:val="auto"/>
                <w:sz w:val="24"/>
                <w:szCs w:val="24"/>
                <w:lang w:val="en-US" w:eastAsia="zh-CN"/>
              </w:rPr>
              <w:t>28</w:t>
            </w:r>
            <w:r>
              <w:rPr>
                <w:rFonts w:hint="eastAsia" w:ascii="仿宋" w:hAnsi="仿宋" w:eastAsia="仿宋" w:cs="仿宋"/>
                <w:b/>
                <w:color w:val="auto"/>
                <w:sz w:val="24"/>
                <w:szCs w:val="24"/>
              </w:rPr>
              <w:t>分；重大负偏离则视为无效投标；一般参数或带“▲”参数每有一项负偏离减5分，最多减15分，四项或以上负偏离视为无效投标。</w:t>
            </w:r>
          </w:p>
        </w:tc>
        <w:tc>
          <w:tcPr>
            <w:tcW w:w="436"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rPr>
              <w:t>28分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90" w:type="pct"/>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370" w:type="pct"/>
            <w:vMerge w:val="restart"/>
            <w:tcBorders>
              <w:top w:val="single" w:color="auto" w:sz="4" w:space="0"/>
              <w:left w:val="single" w:color="auto" w:sz="4" w:space="0"/>
              <w:bottom w:val="single" w:color="auto" w:sz="4" w:space="0"/>
              <w:right w:val="single" w:color="000000"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Hans"/>
              </w:rPr>
            </w:pPr>
            <w:r>
              <w:rPr>
                <w:rFonts w:hint="eastAsia" w:ascii="仿宋" w:hAnsi="仿宋" w:eastAsia="仿宋" w:cs="仿宋"/>
                <w:color w:val="auto"/>
                <w:sz w:val="24"/>
                <w:szCs w:val="24"/>
                <w:lang w:val="en-US" w:eastAsia="zh-Hans"/>
              </w:rPr>
              <w:t>橡皮艇</w:t>
            </w:r>
          </w:p>
        </w:tc>
        <w:tc>
          <w:tcPr>
            <w:tcW w:w="761" w:type="pct"/>
            <w:tcBorders>
              <w:top w:val="single" w:color="auto" w:sz="4" w:space="0"/>
              <w:left w:val="single" w:color="000000"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▲3.2.1材质：气室材料经向抗拉强度≥3200N/5cm</w:t>
            </w:r>
          </w:p>
        </w:tc>
        <w:tc>
          <w:tcPr>
            <w:tcW w:w="3141"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所投产品</w:t>
            </w:r>
            <w:r>
              <w:rPr>
                <w:rFonts w:hint="eastAsia" w:ascii="仿宋" w:hAnsi="仿宋" w:eastAsia="仿宋" w:cs="仿宋"/>
                <w:color w:val="auto"/>
                <w:sz w:val="24"/>
                <w:szCs w:val="24"/>
                <w:lang w:val="en-US" w:eastAsia="zh-CN"/>
              </w:rPr>
              <w:t>的</w:t>
            </w:r>
            <w:r>
              <w:rPr>
                <w:rFonts w:hint="eastAsia" w:ascii="仿宋" w:hAnsi="仿宋" w:eastAsia="仿宋" w:cs="仿宋"/>
                <w:color w:val="auto"/>
                <w:sz w:val="24"/>
                <w:szCs w:val="24"/>
              </w:rPr>
              <w:t>气室材料经向抗拉强度优于招标文件要求的，经向抗拉强度最优的加</w:t>
            </w:r>
            <w:r>
              <w:rPr>
                <w:rFonts w:hint="eastAsia" w:ascii="仿宋" w:hAnsi="仿宋" w:eastAsia="仿宋" w:cs="仿宋"/>
                <w:color w:val="auto"/>
                <w:sz w:val="24"/>
                <w:szCs w:val="24"/>
                <w:lang w:val="en-US" w:eastAsia="zh-CN"/>
              </w:rPr>
              <w:t>3分</w:t>
            </w:r>
            <w:r>
              <w:rPr>
                <w:rFonts w:hint="eastAsia" w:ascii="仿宋" w:hAnsi="仿宋" w:eastAsia="仿宋" w:cs="仿宋"/>
                <w:color w:val="auto"/>
                <w:sz w:val="24"/>
                <w:szCs w:val="24"/>
              </w:rPr>
              <w:t>，经向抗拉强度次优的加2分，其余加1分。（可并列得分）</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b/>
                <w:color w:val="auto"/>
                <w:sz w:val="24"/>
                <w:szCs w:val="24"/>
              </w:rPr>
              <w:t>注：最优表示经向抗拉强度最大，次优表示经向抗拉强度仅次于最大值。</w:t>
            </w:r>
          </w:p>
        </w:tc>
        <w:tc>
          <w:tcPr>
            <w:tcW w:w="436"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90"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370" w:type="pct"/>
            <w:vMerge w:val="continue"/>
            <w:tcBorders>
              <w:top w:val="single" w:color="auto" w:sz="4" w:space="0"/>
              <w:left w:val="single" w:color="auto" w:sz="4" w:space="0"/>
              <w:bottom w:val="single" w:color="auto" w:sz="4" w:space="0"/>
              <w:right w:val="single" w:color="000000"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Hans"/>
              </w:rPr>
            </w:pPr>
          </w:p>
        </w:tc>
        <w:tc>
          <w:tcPr>
            <w:tcW w:w="761" w:type="pct"/>
            <w:tcBorders>
              <w:top w:val="single" w:color="auto" w:sz="4" w:space="0"/>
              <w:left w:val="single" w:color="000000"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▲3.2.1材质：气室材料经向撕破强力≥360N</w:t>
            </w:r>
          </w:p>
        </w:tc>
        <w:tc>
          <w:tcPr>
            <w:tcW w:w="3141"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所投</w:t>
            </w:r>
            <w:r>
              <w:rPr>
                <w:rFonts w:hint="eastAsia" w:ascii="仿宋" w:hAnsi="仿宋" w:eastAsia="仿宋" w:cs="仿宋"/>
                <w:color w:val="auto"/>
                <w:sz w:val="24"/>
                <w:szCs w:val="24"/>
                <w:lang w:val="en-US" w:eastAsia="zh-CN"/>
              </w:rPr>
              <w:t>产品的气室材料经向撕破强力</w:t>
            </w:r>
            <w:r>
              <w:rPr>
                <w:rFonts w:hint="eastAsia" w:ascii="仿宋" w:hAnsi="仿宋" w:eastAsia="仿宋" w:cs="仿宋"/>
                <w:color w:val="auto"/>
                <w:sz w:val="24"/>
                <w:szCs w:val="24"/>
              </w:rPr>
              <w:t>优于招标文件要求的，</w:t>
            </w:r>
            <w:r>
              <w:rPr>
                <w:rFonts w:hint="eastAsia" w:ascii="仿宋" w:hAnsi="仿宋" w:eastAsia="仿宋" w:cs="仿宋"/>
                <w:color w:val="auto"/>
                <w:sz w:val="24"/>
                <w:szCs w:val="24"/>
                <w:lang w:val="en-US" w:eastAsia="zh-CN"/>
              </w:rPr>
              <w:t>经向撕破强力</w:t>
            </w:r>
            <w:r>
              <w:rPr>
                <w:rFonts w:hint="eastAsia" w:ascii="仿宋" w:hAnsi="仿宋" w:eastAsia="仿宋" w:cs="仿宋"/>
                <w:color w:val="auto"/>
                <w:sz w:val="24"/>
                <w:szCs w:val="24"/>
              </w:rPr>
              <w:t>最优的加</w:t>
            </w:r>
            <w:r>
              <w:rPr>
                <w:rFonts w:hint="eastAsia" w:ascii="仿宋" w:hAnsi="仿宋" w:eastAsia="仿宋" w:cs="仿宋"/>
                <w:color w:val="auto"/>
                <w:sz w:val="24"/>
                <w:szCs w:val="24"/>
                <w:lang w:val="en-US" w:eastAsia="zh-CN"/>
              </w:rPr>
              <w:t>3分</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经向撕破强力</w:t>
            </w:r>
            <w:r>
              <w:rPr>
                <w:rFonts w:hint="eastAsia" w:ascii="仿宋" w:hAnsi="仿宋" w:eastAsia="仿宋" w:cs="仿宋"/>
                <w:color w:val="auto"/>
                <w:sz w:val="24"/>
                <w:szCs w:val="24"/>
              </w:rPr>
              <w:t>次优的加2分，其余加1分。（可并列得分）</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注：最优</w:t>
            </w:r>
            <w:r>
              <w:rPr>
                <w:rFonts w:hint="eastAsia" w:ascii="仿宋" w:hAnsi="仿宋" w:eastAsia="仿宋" w:cs="仿宋"/>
                <w:b/>
                <w:color w:val="auto"/>
                <w:sz w:val="24"/>
                <w:szCs w:val="24"/>
                <w:lang w:val="en-US" w:eastAsia="zh-CN"/>
              </w:rPr>
              <w:t>表示经向</w:t>
            </w:r>
            <w:r>
              <w:rPr>
                <w:rFonts w:hint="eastAsia" w:ascii="仿宋" w:hAnsi="仿宋" w:eastAsia="仿宋" w:cs="仿宋"/>
                <w:b/>
                <w:color w:val="auto"/>
                <w:sz w:val="24"/>
                <w:szCs w:val="24"/>
              </w:rPr>
              <w:t>撕破强力最大，次优表示</w:t>
            </w:r>
            <w:r>
              <w:rPr>
                <w:rFonts w:hint="eastAsia" w:ascii="仿宋" w:hAnsi="仿宋" w:eastAsia="仿宋" w:cs="仿宋"/>
                <w:b/>
                <w:color w:val="auto"/>
                <w:sz w:val="24"/>
                <w:szCs w:val="24"/>
                <w:lang w:val="en-US" w:eastAsia="zh-CN"/>
              </w:rPr>
              <w:t>经向</w:t>
            </w:r>
            <w:r>
              <w:rPr>
                <w:rFonts w:hint="eastAsia" w:ascii="仿宋" w:hAnsi="仿宋" w:eastAsia="仿宋" w:cs="仿宋"/>
                <w:b/>
                <w:color w:val="auto"/>
                <w:sz w:val="24"/>
                <w:szCs w:val="24"/>
              </w:rPr>
              <w:t>撕破强力仅次于最大值。</w:t>
            </w:r>
          </w:p>
        </w:tc>
        <w:tc>
          <w:tcPr>
            <w:tcW w:w="436"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90"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370" w:type="pct"/>
            <w:vMerge w:val="continue"/>
            <w:tcBorders>
              <w:top w:val="single" w:color="auto" w:sz="4" w:space="0"/>
              <w:left w:val="single" w:color="auto" w:sz="4" w:space="0"/>
              <w:bottom w:val="single" w:color="auto" w:sz="4" w:space="0"/>
              <w:right w:val="single" w:color="000000"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Hans"/>
              </w:rPr>
            </w:pPr>
          </w:p>
        </w:tc>
        <w:tc>
          <w:tcPr>
            <w:tcW w:w="761" w:type="pct"/>
            <w:tcBorders>
              <w:top w:val="single" w:color="auto" w:sz="4" w:space="0"/>
              <w:left w:val="single" w:color="000000"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▲3.2.4最大载重量：≥500kg</w:t>
            </w:r>
          </w:p>
        </w:tc>
        <w:tc>
          <w:tcPr>
            <w:tcW w:w="3141"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所投</w:t>
            </w:r>
            <w:r>
              <w:rPr>
                <w:rFonts w:hint="eastAsia" w:ascii="仿宋" w:hAnsi="仿宋" w:eastAsia="仿宋" w:cs="仿宋"/>
                <w:color w:val="auto"/>
                <w:sz w:val="24"/>
                <w:szCs w:val="24"/>
                <w:lang w:val="en-US" w:eastAsia="zh-CN"/>
              </w:rPr>
              <w:t>产品的最大载重量</w:t>
            </w:r>
            <w:r>
              <w:rPr>
                <w:rFonts w:hint="eastAsia" w:ascii="仿宋" w:hAnsi="仿宋" w:eastAsia="仿宋" w:cs="仿宋"/>
                <w:color w:val="auto"/>
                <w:sz w:val="24"/>
                <w:szCs w:val="24"/>
              </w:rPr>
              <w:t>优于招标文件要求的，</w:t>
            </w:r>
            <w:r>
              <w:rPr>
                <w:rFonts w:hint="eastAsia" w:ascii="仿宋" w:hAnsi="仿宋" w:eastAsia="仿宋" w:cs="仿宋"/>
                <w:color w:val="auto"/>
                <w:sz w:val="24"/>
                <w:szCs w:val="24"/>
                <w:lang w:val="en-US" w:eastAsia="zh-CN"/>
              </w:rPr>
              <w:t>最大载重量</w:t>
            </w:r>
            <w:r>
              <w:rPr>
                <w:rFonts w:hint="eastAsia" w:ascii="仿宋" w:hAnsi="仿宋" w:eastAsia="仿宋" w:cs="仿宋"/>
                <w:color w:val="auto"/>
                <w:sz w:val="24"/>
                <w:szCs w:val="24"/>
              </w:rPr>
              <w:t>最优的加</w:t>
            </w:r>
            <w:r>
              <w:rPr>
                <w:rFonts w:hint="eastAsia" w:ascii="仿宋" w:hAnsi="仿宋" w:eastAsia="仿宋" w:cs="仿宋"/>
                <w:color w:val="auto"/>
                <w:sz w:val="24"/>
                <w:szCs w:val="24"/>
                <w:lang w:val="en-US" w:eastAsia="zh-CN"/>
              </w:rPr>
              <w:t>3分</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最大载重量</w:t>
            </w:r>
            <w:r>
              <w:rPr>
                <w:rFonts w:hint="eastAsia" w:ascii="仿宋" w:hAnsi="仿宋" w:eastAsia="仿宋" w:cs="仿宋"/>
                <w:color w:val="auto"/>
                <w:sz w:val="24"/>
                <w:szCs w:val="24"/>
              </w:rPr>
              <w:t>次优的加2分，其余加1分。（可并列得分）</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注：最优表示最大载重量最大，次优表示最大载重量仅次于最大值。</w:t>
            </w:r>
          </w:p>
        </w:tc>
        <w:tc>
          <w:tcPr>
            <w:tcW w:w="436"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90"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370" w:type="pct"/>
            <w:tcBorders>
              <w:top w:val="single" w:color="auto" w:sz="4" w:space="0"/>
              <w:left w:val="single" w:color="auto" w:sz="4" w:space="0"/>
              <w:bottom w:val="single" w:color="auto" w:sz="4" w:space="0"/>
              <w:right w:val="single" w:color="000000"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Hans"/>
              </w:rPr>
            </w:pPr>
            <w:r>
              <w:rPr>
                <w:rFonts w:hint="eastAsia" w:ascii="仿宋" w:hAnsi="仿宋" w:eastAsia="仿宋" w:cs="仿宋"/>
                <w:color w:val="auto"/>
                <w:sz w:val="24"/>
                <w:szCs w:val="24"/>
                <w:lang w:val="en-US" w:eastAsia="zh-Hans"/>
              </w:rPr>
              <w:t>舷外机</w:t>
            </w:r>
          </w:p>
        </w:tc>
        <w:tc>
          <w:tcPr>
            <w:tcW w:w="761" w:type="pct"/>
            <w:tcBorders>
              <w:top w:val="single" w:color="auto" w:sz="4" w:space="0"/>
              <w:left w:val="single" w:color="000000"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▲3.3.2</w:t>
            </w:r>
            <w:r>
              <w:rPr>
                <w:rFonts w:hint="eastAsia" w:ascii="仿宋" w:hAnsi="仿宋" w:eastAsia="仿宋" w:cs="仿宋"/>
                <w:color w:val="auto"/>
                <w:sz w:val="24"/>
                <w:szCs w:val="24"/>
                <w:lang w:val="en-US" w:eastAsia="zh-CN"/>
              </w:rPr>
              <w:t>最大功率：≥20Kw</w:t>
            </w:r>
          </w:p>
        </w:tc>
        <w:tc>
          <w:tcPr>
            <w:tcW w:w="3141"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所投</w:t>
            </w:r>
            <w:r>
              <w:rPr>
                <w:rFonts w:hint="eastAsia" w:ascii="仿宋" w:hAnsi="仿宋" w:eastAsia="仿宋" w:cs="仿宋"/>
                <w:color w:val="auto"/>
                <w:sz w:val="24"/>
                <w:szCs w:val="24"/>
                <w:lang w:val="en-US" w:eastAsia="zh-CN"/>
              </w:rPr>
              <w:t>产品的</w:t>
            </w:r>
            <w:r>
              <w:rPr>
                <w:rFonts w:hint="eastAsia" w:ascii="仿宋" w:hAnsi="仿宋" w:eastAsia="仿宋" w:cs="仿宋"/>
                <w:color w:val="auto"/>
                <w:sz w:val="24"/>
                <w:szCs w:val="24"/>
              </w:rPr>
              <w:t>最大功率优于招标文件要求的，最大功率最优的加</w:t>
            </w:r>
            <w:r>
              <w:rPr>
                <w:rFonts w:hint="eastAsia" w:ascii="仿宋" w:hAnsi="仿宋" w:eastAsia="仿宋" w:cs="仿宋"/>
                <w:color w:val="auto"/>
                <w:sz w:val="24"/>
                <w:szCs w:val="24"/>
                <w:lang w:val="en-US" w:eastAsia="zh-CN"/>
              </w:rPr>
              <w:t>3分</w:t>
            </w:r>
            <w:r>
              <w:rPr>
                <w:rFonts w:hint="eastAsia" w:ascii="仿宋" w:hAnsi="仿宋" w:eastAsia="仿宋" w:cs="仿宋"/>
                <w:color w:val="auto"/>
                <w:sz w:val="24"/>
                <w:szCs w:val="24"/>
              </w:rPr>
              <w:t>，最大功率次优的加2分，其余加1分。（可并列得分）</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b/>
                <w:color w:val="auto"/>
                <w:sz w:val="24"/>
                <w:szCs w:val="24"/>
              </w:rPr>
              <w:t>注：最优表示最大功率最大，次优表示最大功率仅次于最大值。</w:t>
            </w:r>
          </w:p>
        </w:tc>
        <w:tc>
          <w:tcPr>
            <w:tcW w:w="436"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90"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1131"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一般参数</w:t>
            </w:r>
          </w:p>
        </w:tc>
        <w:tc>
          <w:tcPr>
            <w:tcW w:w="3141"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在完全满足招标文件“</w:t>
            </w:r>
            <w:r>
              <w:rPr>
                <w:rFonts w:hint="eastAsia" w:ascii="仿宋" w:hAnsi="仿宋" w:eastAsia="仿宋" w:cs="仿宋"/>
                <w:color w:val="auto"/>
                <w:sz w:val="24"/>
                <w:szCs w:val="24"/>
                <w:lang w:eastAsia="zh-CN"/>
              </w:rPr>
              <w:t>所有参数</w:t>
            </w:r>
            <w:r>
              <w:rPr>
                <w:rFonts w:hint="eastAsia" w:ascii="仿宋" w:hAnsi="仿宋" w:eastAsia="仿宋" w:cs="仿宋"/>
                <w:color w:val="auto"/>
                <w:sz w:val="24"/>
                <w:szCs w:val="24"/>
              </w:rPr>
              <w:t>”要求的基础上，每有一条“一般参数”优于的加1分，本项最多加</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分。（加分只针对具有“≥”或“≤”的数值，数值更加优于的进行加分；文字内容或其他内容优于的不加分）</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b/>
                <w:color w:val="auto"/>
                <w:sz w:val="24"/>
                <w:szCs w:val="24"/>
              </w:rPr>
              <w:t>注：“一般参数”为非标“★”号参数和非标“▲”号参数。</w:t>
            </w:r>
          </w:p>
        </w:tc>
        <w:tc>
          <w:tcPr>
            <w:tcW w:w="436"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290" w:type="pct"/>
            <w:vMerge w:val="continue"/>
            <w:tcBorders>
              <w:top w:val="single" w:color="auto" w:sz="4" w:space="0"/>
              <w:left w:val="single" w:color="auto" w:sz="4" w:space="0"/>
              <w:bottom w:val="single" w:color="auto" w:sz="4" w:space="0"/>
              <w:right w:val="single" w:color="auto" w:sz="4" w:space="0"/>
              <w:tl2br w:val="nil"/>
              <w:tr2bl w:val="nil"/>
            </w:tcBorders>
            <w:noWrap w:val="0"/>
            <w:vAlign w:val="top"/>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p>
        </w:tc>
        <w:tc>
          <w:tcPr>
            <w:tcW w:w="4709" w:type="pct"/>
            <w:gridSpan w:val="4"/>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lang w:eastAsia="zh-CN"/>
              </w:rPr>
            </w:pPr>
            <w:r>
              <w:rPr>
                <w:rFonts w:hint="eastAsia" w:ascii="仿宋" w:hAnsi="仿宋" w:eastAsia="仿宋" w:cs="仿宋"/>
                <w:b/>
                <w:color w:val="auto"/>
                <w:sz w:val="24"/>
                <w:szCs w:val="24"/>
              </w:rPr>
              <w:t>评审依据：提供技术条款响应表和技术支撑文件</w:t>
            </w:r>
            <w:r>
              <w:rPr>
                <w:rFonts w:hint="eastAsia" w:ascii="仿宋" w:hAnsi="仿宋" w:eastAsia="仿宋" w:cs="仿宋"/>
                <w:b/>
                <w:color w:val="auto"/>
                <w:sz w:val="24"/>
                <w:szCs w:val="24"/>
                <w:lang w:eastAsia="zh-CN"/>
              </w:rPr>
              <w:t>。</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w:t>
            </w:r>
            <w:r>
              <w:rPr>
                <w:rFonts w:hint="eastAsia" w:ascii="仿宋" w:hAnsi="仿宋" w:eastAsia="仿宋" w:cs="仿宋"/>
                <w:b/>
                <w:color w:val="auto"/>
                <w:sz w:val="24"/>
                <w:szCs w:val="24"/>
                <w:lang w:val="en-US" w:eastAsia="zh-CN"/>
              </w:rPr>
              <w:t>说明：技术支撑文件为以下任意3种材料中的其中1种材料：</w:t>
            </w:r>
            <w:r>
              <w:rPr>
                <w:rFonts w:hint="eastAsia" w:ascii="仿宋" w:hAnsi="仿宋" w:eastAsia="仿宋" w:cs="仿宋"/>
                <w:b/>
                <w:color w:val="auto"/>
                <w:sz w:val="24"/>
                <w:szCs w:val="24"/>
              </w:rPr>
              <w:t>①</w:t>
            </w:r>
            <w:r>
              <w:rPr>
                <w:rFonts w:hint="eastAsia" w:ascii="仿宋" w:hAnsi="仿宋" w:eastAsia="仿宋" w:cs="仿宋"/>
                <w:b/>
                <w:color w:val="auto"/>
                <w:sz w:val="24"/>
                <w:szCs w:val="24"/>
                <w:lang w:val="en-US" w:eastAsia="zh-CN"/>
              </w:rPr>
              <w:t>所投</w:t>
            </w:r>
            <w:r>
              <w:rPr>
                <w:rFonts w:hint="eastAsia" w:ascii="仿宋" w:hAnsi="仿宋" w:eastAsia="仿宋" w:cs="仿宋"/>
                <w:b/>
                <w:color w:val="auto"/>
                <w:sz w:val="24"/>
                <w:szCs w:val="24"/>
              </w:rPr>
              <w:t>产品检测报告复印件</w:t>
            </w:r>
            <w:r>
              <w:rPr>
                <w:rFonts w:hint="eastAsia" w:ascii="仿宋" w:hAnsi="仿宋" w:eastAsia="仿宋" w:cs="仿宋"/>
                <w:b/>
                <w:color w:val="auto"/>
                <w:sz w:val="24"/>
                <w:szCs w:val="24"/>
                <w:lang w:val="en-US" w:eastAsia="zh-CN"/>
              </w:rPr>
              <w:t>；</w:t>
            </w:r>
            <w:r>
              <w:rPr>
                <w:rFonts w:hint="eastAsia" w:ascii="仿宋" w:hAnsi="仿宋" w:eastAsia="仿宋" w:cs="仿宋"/>
                <w:b/>
                <w:color w:val="auto"/>
                <w:sz w:val="24"/>
                <w:szCs w:val="24"/>
              </w:rPr>
              <w:t>②</w:t>
            </w:r>
            <w:r>
              <w:rPr>
                <w:rFonts w:hint="eastAsia" w:ascii="仿宋" w:hAnsi="仿宋" w:eastAsia="仿宋" w:cs="仿宋"/>
                <w:b/>
                <w:color w:val="auto"/>
                <w:sz w:val="24"/>
                <w:szCs w:val="24"/>
                <w:lang w:val="en-US" w:eastAsia="zh-CN"/>
              </w:rPr>
              <w:t>制造商公开发布的</w:t>
            </w:r>
            <w:r>
              <w:rPr>
                <w:rFonts w:hint="eastAsia" w:ascii="仿宋" w:hAnsi="仿宋" w:eastAsia="仿宋" w:cs="仿宋"/>
                <w:b/>
                <w:color w:val="auto"/>
                <w:sz w:val="24"/>
                <w:szCs w:val="24"/>
              </w:rPr>
              <w:t>产品</w:t>
            </w:r>
            <w:r>
              <w:rPr>
                <w:rFonts w:hint="eastAsia" w:ascii="仿宋" w:hAnsi="仿宋" w:eastAsia="仿宋" w:cs="仿宋"/>
                <w:b/>
                <w:color w:val="auto"/>
                <w:sz w:val="24"/>
                <w:szCs w:val="24"/>
                <w:lang w:val="en-US" w:eastAsia="zh-CN"/>
              </w:rPr>
              <w:t>印刷资料</w:t>
            </w:r>
            <w:r>
              <w:rPr>
                <w:rFonts w:hint="eastAsia" w:ascii="仿宋" w:hAnsi="仿宋" w:eastAsia="仿宋" w:cs="仿宋"/>
                <w:b/>
                <w:color w:val="auto"/>
                <w:sz w:val="24"/>
                <w:szCs w:val="24"/>
              </w:rPr>
              <w:t>并加盖制造商公章</w:t>
            </w:r>
            <w:r>
              <w:rPr>
                <w:rFonts w:hint="eastAsia" w:ascii="仿宋" w:hAnsi="仿宋" w:eastAsia="仿宋" w:cs="仿宋"/>
                <w:b/>
                <w:color w:val="auto"/>
                <w:sz w:val="24"/>
                <w:szCs w:val="24"/>
                <w:lang w:val="en-US" w:eastAsia="zh-CN"/>
              </w:rPr>
              <w:t>；</w:t>
            </w:r>
            <w:r>
              <w:rPr>
                <w:rFonts w:hint="eastAsia" w:ascii="仿宋" w:hAnsi="仿宋" w:eastAsia="仿宋" w:cs="仿宋"/>
                <w:b/>
                <w:color w:val="auto"/>
                <w:sz w:val="24"/>
                <w:szCs w:val="24"/>
              </w:rPr>
              <w:t>③制造商出具的技术参数证明材料并加盖制造商公章。]</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b/>
                <w:color w:val="auto"/>
                <w:sz w:val="24"/>
                <w:szCs w:val="24"/>
              </w:rPr>
              <w:t>注：①供应商应认真提供技术支撑文件，若提供多份技术支撑文件，技术支撑文件佐证不一致时，优先级为：产品检测报告复印件＞制造商公开发布的印刷资料＞制造商出具的技术参数证明</w:t>
            </w:r>
            <w:r>
              <w:rPr>
                <w:rFonts w:hint="eastAsia" w:ascii="仿宋" w:hAnsi="仿宋" w:eastAsia="仿宋" w:cs="仿宋"/>
                <w:b/>
                <w:color w:val="auto"/>
                <w:sz w:val="24"/>
                <w:szCs w:val="24"/>
                <w:lang w:val="en-US" w:eastAsia="zh-CN"/>
              </w:rPr>
              <w:t>材料</w:t>
            </w:r>
            <w:r>
              <w:rPr>
                <w:rFonts w:hint="eastAsia" w:ascii="仿宋" w:hAnsi="仿宋" w:eastAsia="仿宋" w:cs="仿宋"/>
                <w:b/>
                <w:color w:val="auto"/>
                <w:sz w:val="24"/>
                <w:szCs w:val="24"/>
              </w:rPr>
              <w:t>；②技术支撑文件</w:t>
            </w:r>
            <w:r>
              <w:rPr>
                <w:rFonts w:hint="eastAsia" w:ascii="仿宋" w:hAnsi="仿宋" w:eastAsia="仿宋" w:cs="仿宋"/>
                <w:b/>
                <w:color w:val="auto"/>
                <w:sz w:val="24"/>
                <w:szCs w:val="24"/>
                <w:lang w:val="en-US" w:eastAsia="zh-CN"/>
              </w:rPr>
              <w:t>与</w:t>
            </w:r>
            <w:r>
              <w:rPr>
                <w:rFonts w:hint="eastAsia" w:ascii="仿宋" w:hAnsi="仿宋" w:eastAsia="仿宋" w:cs="仿宋"/>
                <w:b/>
                <w:color w:val="auto"/>
                <w:sz w:val="24"/>
                <w:szCs w:val="24"/>
              </w:rPr>
              <w:t>技术条款响应表</w:t>
            </w:r>
            <w:r>
              <w:rPr>
                <w:rFonts w:hint="eastAsia" w:ascii="仿宋" w:hAnsi="仿宋" w:eastAsia="仿宋" w:cs="仿宋"/>
                <w:b/>
                <w:color w:val="auto"/>
                <w:sz w:val="24"/>
                <w:szCs w:val="24"/>
                <w:lang w:eastAsia="zh-CN"/>
              </w:rPr>
              <w:t>不一致，则</w:t>
            </w:r>
            <w:r>
              <w:rPr>
                <w:rFonts w:hint="eastAsia" w:ascii="仿宋" w:hAnsi="仿宋" w:eastAsia="仿宋" w:cs="仿宋"/>
                <w:b/>
                <w:color w:val="auto"/>
                <w:sz w:val="24"/>
                <w:szCs w:val="24"/>
              </w:rPr>
              <w:t>该点不加分</w:t>
            </w:r>
            <w:r>
              <w:rPr>
                <w:rFonts w:hint="eastAsia" w:ascii="仿宋" w:hAnsi="仿宋" w:eastAsia="仿宋" w:cs="仿宋"/>
                <w:b/>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90" w:type="pct"/>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1131"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整体结构与外观</w:t>
            </w:r>
          </w:p>
        </w:tc>
        <w:tc>
          <w:tcPr>
            <w:tcW w:w="3141"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根据视频文件对</w:t>
            </w:r>
            <w:r>
              <w:rPr>
                <w:rFonts w:hint="eastAsia" w:ascii="仿宋" w:hAnsi="仿宋" w:eastAsia="仿宋" w:cs="仿宋"/>
                <w:color w:val="auto"/>
                <w:sz w:val="24"/>
                <w:szCs w:val="24"/>
                <w:lang w:val="en-US" w:eastAsia="zh-Hans"/>
              </w:rPr>
              <w:t>橡皮艇</w:t>
            </w:r>
            <w:r>
              <w:rPr>
                <w:rFonts w:hint="eastAsia" w:ascii="仿宋" w:hAnsi="仿宋" w:eastAsia="仿宋" w:cs="仿宋"/>
                <w:color w:val="auto"/>
                <w:sz w:val="24"/>
                <w:szCs w:val="24"/>
                <w:lang w:val="en-US" w:eastAsia="zh-CN"/>
              </w:rPr>
              <w:t>、舷外机</w:t>
            </w:r>
            <w:r>
              <w:rPr>
                <w:rFonts w:hint="eastAsia" w:ascii="仿宋" w:hAnsi="仿宋" w:eastAsia="仿宋" w:cs="仿宋"/>
                <w:color w:val="auto"/>
                <w:sz w:val="24"/>
                <w:szCs w:val="24"/>
              </w:rPr>
              <w:t>的外观构造、内部结构、设计理念等进行评审。</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设计理念先进，外部构造和内部结构科学合理，整体结构外观与实战紧贴程度高的，得3分；设计理念较为先进，外部构造和内部结构较为合理，整体结构外观与实战紧贴程度较高的，得2分；设计理念一般，外观构造和内部结构基本合理，整体结构外观与实战紧贴程度不高的，得1分；未提供证明材料或证明材料有缺项的不得分。</w:t>
            </w:r>
          </w:p>
        </w:tc>
        <w:tc>
          <w:tcPr>
            <w:tcW w:w="436"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90"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1131"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工艺</w:t>
            </w:r>
          </w:p>
        </w:tc>
        <w:tc>
          <w:tcPr>
            <w:tcW w:w="3141"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根据视频文件对</w:t>
            </w:r>
            <w:r>
              <w:rPr>
                <w:rFonts w:hint="eastAsia" w:ascii="仿宋" w:hAnsi="仿宋" w:eastAsia="仿宋" w:cs="仿宋"/>
                <w:color w:val="auto"/>
                <w:sz w:val="24"/>
                <w:szCs w:val="24"/>
                <w:lang w:val="en-US" w:eastAsia="zh-Hans"/>
              </w:rPr>
              <w:t>橡皮艇</w:t>
            </w:r>
            <w:r>
              <w:rPr>
                <w:rFonts w:hint="eastAsia" w:ascii="仿宋" w:hAnsi="仿宋" w:eastAsia="仿宋" w:cs="仿宋"/>
                <w:color w:val="auto"/>
                <w:sz w:val="24"/>
                <w:szCs w:val="24"/>
                <w:lang w:val="en-US" w:eastAsia="zh-CN"/>
              </w:rPr>
              <w:t>、舷外机</w:t>
            </w:r>
            <w:r>
              <w:rPr>
                <w:rFonts w:hint="eastAsia" w:ascii="仿宋" w:hAnsi="仿宋" w:eastAsia="仿宋" w:cs="仿宋"/>
                <w:color w:val="auto"/>
                <w:sz w:val="24"/>
                <w:szCs w:val="24"/>
              </w:rPr>
              <w:t>的安全性、耐用性、实用性等进行评审。</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安全性能高、耐用性能好、实用性能强，工艺符合实战需求程度高的，得3分；安全性能较高、耐用性能良好、实用性能较强，工艺符合实战需求程度较高的，得2分；安全性能不高、耐用性能普通、实用性能一般，工艺符合实战需求程度不高的，得1分；未提供证明材料或证明材料有缺项的不得分。</w:t>
            </w:r>
          </w:p>
        </w:tc>
        <w:tc>
          <w:tcPr>
            <w:tcW w:w="436"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90"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1131"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操作使用性能</w:t>
            </w:r>
          </w:p>
        </w:tc>
        <w:tc>
          <w:tcPr>
            <w:tcW w:w="3141"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根据视频文件对</w:t>
            </w:r>
            <w:r>
              <w:rPr>
                <w:rFonts w:hint="eastAsia" w:ascii="仿宋" w:hAnsi="仿宋" w:eastAsia="仿宋" w:cs="仿宋"/>
                <w:color w:val="auto"/>
                <w:sz w:val="24"/>
                <w:szCs w:val="24"/>
                <w:lang w:val="en-US" w:eastAsia="zh-Hans"/>
              </w:rPr>
              <w:t>橡皮艇</w:t>
            </w:r>
            <w:r>
              <w:rPr>
                <w:rFonts w:hint="eastAsia" w:ascii="仿宋" w:hAnsi="仿宋" w:eastAsia="仿宋" w:cs="仿宋"/>
                <w:color w:val="auto"/>
                <w:sz w:val="24"/>
                <w:szCs w:val="24"/>
                <w:lang w:val="en-US" w:eastAsia="zh-CN"/>
              </w:rPr>
              <w:t>、舷外机</w:t>
            </w:r>
            <w:r>
              <w:rPr>
                <w:rFonts w:hint="eastAsia" w:ascii="仿宋" w:hAnsi="仿宋" w:eastAsia="仿宋" w:cs="仿宋"/>
                <w:color w:val="auto"/>
                <w:sz w:val="24"/>
                <w:szCs w:val="24"/>
              </w:rPr>
              <w:t>的可靠性、便捷性、稳定性等进行评审。</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可靠性高、便捷性好、稳定性好，操作使用性能提升战斗力程度高的，得4分；可靠性较高、便捷性较好、稳定性良好，操作使用性能提升战斗力程度较高的，得2分；可靠性不高、便捷性和稳定性一般，操作使用性能提升战斗力程度不高的，得1分；未提供证明材料或证明材料有缺项的不得分。</w:t>
            </w:r>
          </w:p>
        </w:tc>
        <w:tc>
          <w:tcPr>
            <w:tcW w:w="436"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90"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p>
        </w:tc>
        <w:tc>
          <w:tcPr>
            <w:tcW w:w="4709" w:type="pct"/>
            <w:gridSpan w:val="4"/>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lang w:eastAsia="zh-CN"/>
              </w:rPr>
            </w:pPr>
            <w:r>
              <w:rPr>
                <w:rFonts w:hint="eastAsia" w:ascii="仿宋" w:hAnsi="仿宋" w:eastAsia="仿宋" w:cs="仿宋"/>
                <w:b/>
                <w:color w:val="auto"/>
                <w:sz w:val="24"/>
                <w:szCs w:val="24"/>
              </w:rPr>
              <w:t>以上评审依据：根据视频文件对</w:t>
            </w:r>
            <w:r>
              <w:rPr>
                <w:rFonts w:hint="eastAsia" w:ascii="仿宋" w:hAnsi="仿宋" w:eastAsia="仿宋" w:cs="仿宋"/>
                <w:b/>
                <w:color w:val="auto"/>
                <w:sz w:val="24"/>
                <w:szCs w:val="24"/>
                <w:lang w:val="en-US" w:eastAsia="zh-Hans"/>
              </w:rPr>
              <w:t>橡皮艇</w:t>
            </w:r>
            <w:r>
              <w:rPr>
                <w:rFonts w:hint="eastAsia" w:ascii="仿宋" w:hAnsi="仿宋" w:eastAsia="仿宋" w:cs="仿宋"/>
                <w:b/>
                <w:color w:val="auto"/>
                <w:sz w:val="24"/>
                <w:szCs w:val="24"/>
                <w:lang w:val="en-US" w:eastAsia="zh-CN"/>
              </w:rPr>
              <w:t>、舷外机</w:t>
            </w:r>
            <w:r>
              <w:rPr>
                <w:rFonts w:hint="eastAsia" w:ascii="仿宋" w:hAnsi="仿宋" w:eastAsia="仿宋" w:cs="仿宋"/>
                <w:b/>
                <w:color w:val="auto"/>
                <w:sz w:val="24"/>
                <w:szCs w:val="24"/>
              </w:rPr>
              <w:t>的整体结构与外观、工艺、操作使用性能进行综合评审，视频文件需对以上三点评审内容进行介绍（包含但不限于以上三点）。视频文件[视频文件格式须为通用格式，佐证视频时长不得超过</w:t>
            </w:r>
            <w:r>
              <w:rPr>
                <w:rFonts w:hint="eastAsia" w:ascii="仿宋" w:hAnsi="仿宋" w:eastAsia="仿宋" w:cs="仿宋"/>
                <w:b/>
                <w:color w:val="auto"/>
                <w:sz w:val="24"/>
                <w:szCs w:val="24"/>
                <w:lang w:val="en-US" w:eastAsia="zh-CN"/>
              </w:rPr>
              <w:t>8</w:t>
            </w:r>
            <w:r>
              <w:rPr>
                <w:rFonts w:hint="eastAsia" w:ascii="仿宋" w:hAnsi="仿宋" w:eastAsia="仿宋" w:cs="仿宋"/>
                <w:b/>
                <w:color w:val="auto"/>
                <w:sz w:val="24"/>
                <w:szCs w:val="24"/>
              </w:rPr>
              <w:t>分钟，视频清晰度应至少保证所摄的界面文字清晰易辨、画面完整连贯、播放速度正常]应存储于U盘内（单独密封在信封中）与投标文件同时递交，逾期递交不予接收，</w:t>
            </w:r>
            <w:r>
              <w:rPr>
                <w:rFonts w:hint="eastAsia" w:ascii="仿宋" w:hAnsi="仿宋" w:eastAsia="仿宋" w:cs="仿宋"/>
                <w:b/>
                <w:color w:val="auto"/>
                <w:sz w:val="24"/>
                <w:szCs w:val="24"/>
                <w:lang w:eastAsia="zh-CN"/>
              </w:rPr>
              <w:t>U盘由采购代理机构封存，不予退回。未提供视频或视频无法打开的，得0分。</w:t>
            </w:r>
          </w:p>
        </w:tc>
      </w:tr>
    </w:tbl>
    <w:p>
      <w:pPr>
        <w:pageBreakBefore w:val="0"/>
        <w:kinsoku/>
        <w:wordWrap/>
        <w:overflowPunct/>
        <w:topLinePunct w:val="0"/>
        <w:autoSpaceDE/>
        <w:autoSpaceDN/>
        <w:bidi w:val="0"/>
        <w:adjustRightInd/>
        <w:snapToGrid/>
        <w:spacing w:beforeLines="0" w:afterLines="0" w:line="460" w:lineRule="exact"/>
        <w:ind w:firstLine="482" w:firstLineChars="200"/>
        <w:jc w:val="left"/>
        <w:rPr>
          <w:rFonts w:hint="eastAsia" w:ascii="仿宋" w:hAnsi="仿宋" w:eastAsia="仿宋" w:cs="Times New Roman"/>
          <w:b/>
          <w:color w:val="auto"/>
          <w:sz w:val="24"/>
          <w:szCs w:val="24"/>
        </w:rPr>
      </w:pPr>
      <w:r>
        <w:rPr>
          <w:rFonts w:hint="eastAsia" w:ascii="仿宋" w:hAnsi="仿宋" w:eastAsia="仿宋" w:cs="Times New Roman"/>
          <w:b/>
          <w:color w:val="auto"/>
          <w:sz w:val="24"/>
          <w:szCs w:val="24"/>
        </w:rPr>
        <w:t>三、商务部分（1</w:t>
      </w:r>
      <w:r>
        <w:rPr>
          <w:rFonts w:hint="eastAsia" w:ascii="仿宋" w:hAnsi="仿宋" w:eastAsia="仿宋" w:cs="Times New Roman"/>
          <w:b/>
          <w:color w:val="auto"/>
          <w:sz w:val="24"/>
          <w:szCs w:val="24"/>
          <w:lang w:val="en-US" w:eastAsia="zh-CN"/>
        </w:rPr>
        <w:t>5</w:t>
      </w:r>
      <w:r>
        <w:rPr>
          <w:rFonts w:hint="eastAsia" w:ascii="仿宋" w:hAnsi="仿宋" w:eastAsia="仿宋" w:cs="Times New Roman"/>
          <w:b/>
          <w:color w:val="auto"/>
          <w:sz w:val="24"/>
          <w:szCs w:val="24"/>
        </w:rPr>
        <w:t>分）</w:t>
      </w:r>
    </w:p>
    <w:tbl>
      <w:tblPr>
        <w:tblStyle w:val="4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1310"/>
        <w:gridCol w:w="6295"/>
        <w:gridCol w:w="9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eastAsia="仿宋" w:cs="Times New Roman"/>
                <w:b/>
                <w:color w:val="auto"/>
                <w:sz w:val="24"/>
                <w:szCs w:val="22"/>
              </w:rPr>
              <w:t>序号</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eastAsia="仿宋" w:cs="Times New Roman"/>
                <w:b/>
                <w:color w:val="auto"/>
                <w:sz w:val="24"/>
                <w:szCs w:val="22"/>
              </w:rPr>
              <w:t>评审因素</w:t>
            </w:r>
          </w:p>
        </w:tc>
        <w:tc>
          <w:tcPr>
            <w:tcW w:w="338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eastAsia="仿宋" w:cs="Times New Roman"/>
                <w:b/>
                <w:color w:val="auto"/>
                <w:sz w:val="24"/>
                <w:szCs w:val="22"/>
              </w:rPr>
              <w:t>评分标准</w:t>
            </w:r>
          </w:p>
        </w:tc>
        <w:tc>
          <w:tcPr>
            <w:tcW w:w="49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eastAsia="仿宋" w:cs="Times New Roman"/>
                <w:b/>
                <w:color w:val="auto"/>
                <w:sz w:val="24"/>
                <w:szCs w:val="22"/>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cs="Times New Roman"/>
                <w:color w:val="auto"/>
                <w:sz w:val="24"/>
                <w:szCs w:val="22"/>
              </w:rPr>
              <w:t>1</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ascii="仿宋" w:hAnsi="仿宋" w:eastAsia="仿宋" w:cs="仿宋"/>
                <w:color w:val="auto"/>
                <w:sz w:val="24"/>
                <w:szCs w:val="24"/>
              </w:rPr>
              <w:t>符合性评审</w:t>
            </w:r>
          </w:p>
        </w:tc>
        <w:tc>
          <w:tcPr>
            <w:tcW w:w="3887"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cs="Times New Roman"/>
                <w:color w:val="auto"/>
                <w:sz w:val="24"/>
                <w:szCs w:val="22"/>
              </w:rPr>
            </w:pPr>
            <w:r>
              <w:rPr>
                <w:rFonts w:hint="eastAsia" w:eastAsia="仿宋" w:cs="Times New Roman"/>
                <w:color w:val="auto"/>
                <w:sz w:val="24"/>
                <w:szCs w:val="22"/>
              </w:rPr>
              <w:t>投标人必须完全满足招标文件“商务要求”</w:t>
            </w:r>
            <w:r>
              <w:rPr>
                <w:rFonts w:hint="eastAsia" w:eastAsia="仿宋" w:cs="Times New Roman"/>
                <w:color w:val="auto"/>
                <w:sz w:val="24"/>
                <w:szCs w:val="22"/>
                <w:lang w:val="en-US" w:eastAsia="zh-CN"/>
              </w:rPr>
              <w:t>所有</w:t>
            </w:r>
            <w:r>
              <w:rPr>
                <w:rFonts w:hint="eastAsia" w:eastAsia="仿宋" w:cs="Times New Roman"/>
                <w:color w:val="auto"/>
                <w:sz w:val="24"/>
                <w:szCs w:val="22"/>
              </w:rPr>
              <w:t>实质性条款，任意一项不满足作无效投标处理。</w:t>
            </w:r>
          </w:p>
          <w:p>
            <w:pPr>
              <w:pageBreakBefore w:val="0"/>
              <w:kinsoku/>
              <w:wordWrap/>
              <w:overflowPunct/>
              <w:topLinePunct w:val="0"/>
              <w:autoSpaceDE/>
              <w:autoSpaceDN/>
              <w:bidi w:val="0"/>
              <w:adjustRightInd/>
              <w:snapToGrid/>
              <w:spacing w:beforeLines="0" w:afterLines="0" w:line="460" w:lineRule="exact"/>
              <w:rPr>
                <w:rFonts w:hint="eastAsia" w:cs="Times New Roman"/>
                <w:color w:val="auto"/>
                <w:sz w:val="24"/>
                <w:szCs w:val="22"/>
              </w:rPr>
            </w:pPr>
            <w:r>
              <w:rPr>
                <w:rFonts w:hint="eastAsia" w:eastAsia="仿宋" w:cs="Times New Roman"/>
                <w:b/>
                <w:color w:val="auto"/>
                <w:sz w:val="24"/>
                <w:szCs w:val="22"/>
              </w:rPr>
              <w:t>评审依据：投标文件中提供的商务条款响应表。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cs="Times New Roman"/>
                <w:color w:val="auto"/>
                <w:sz w:val="24"/>
                <w:szCs w:val="22"/>
              </w:rPr>
              <w:t>2</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eastAsia="仿宋" w:cs="Times New Roman"/>
                <w:color w:val="auto"/>
                <w:sz w:val="24"/>
                <w:szCs w:val="22"/>
                <w:lang w:eastAsia="zh-CN"/>
              </w:rPr>
            </w:pPr>
            <w:r>
              <w:rPr>
                <w:rFonts w:hint="eastAsia" w:eastAsia="仿宋" w:cs="Times New Roman"/>
                <w:color w:val="auto"/>
                <w:sz w:val="24"/>
                <w:szCs w:val="22"/>
                <w:lang w:eastAsia="zh-CN"/>
              </w:rPr>
              <w:t>生产制造履约能力</w:t>
            </w:r>
          </w:p>
        </w:tc>
        <w:tc>
          <w:tcPr>
            <w:tcW w:w="338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lang w:eastAsia="zh-CN"/>
              </w:rPr>
            </w:pPr>
            <w:r>
              <w:rPr>
                <w:rFonts w:hint="eastAsia" w:eastAsia="仿宋" w:cs="Times New Roman"/>
                <w:color w:val="auto"/>
                <w:sz w:val="24"/>
                <w:szCs w:val="22"/>
                <w:lang w:val="en-US" w:eastAsia="zh-CN"/>
              </w:rPr>
              <w:t>投标人提供所投</w:t>
            </w:r>
            <w:r>
              <w:rPr>
                <w:rFonts w:hint="eastAsia" w:ascii="仿宋" w:hAnsi="仿宋" w:eastAsia="仿宋" w:cs="仿宋"/>
                <w:b w:val="0"/>
                <w:bCs w:val="0"/>
                <w:color w:val="auto"/>
                <w:sz w:val="24"/>
                <w:szCs w:val="24"/>
                <w:lang w:val="en-US" w:eastAsia="zh-CN"/>
              </w:rPr>
              <w:t>舷外机</w:t>
            </w:r>
            <w:r>
              <w:rPr>
                <w:rFonts w:hint="eastAsia" w:eastAsia="仿宋" w:cs="Times New Roman"/>
                <w:b w:val="0"/>
                <w:bCs w:val="0"/>
                <w:color w:val="auto"/>
                <w:sz w:val="24"/>
                <w:szCs w:val="22"/>
                <w:lang w:val="en-US" w:eastAsia="zh-CN"/>
              </w:rPr>
              <w:t>制</w:t>
            </w:r>
            <w:r>
              <w:rPr>
                <w:rFonts w:hint="eastAsia" w:eastAsia="仿宋" w:cs="Times New Roman"/>
                <w:color w:val="auto"/>
                <w:sz w:val="24"/>
                <w:szCs w:val="22"/>
                <w:lang w:val="en-US" w:eastAsia="zh-CN"/>
              </w:rPr>
              <w:t>造商的证明材料（应加盖制造商公章）</w:t>
            </w:r>
            <w:r>
              <w:rPr>
                <w:rFonts w:hint="eastAsia" w:eastAsia="仿宋" w:cs="Times New Roman"/>
                <w:color w:val="auto"/>
                <w:sz w:val="24"/>
                <w:szCs w:val="22"/>
              </w:rPr>
              <w:t>对</w:t>
            </w:r>
            <w:r>
              <w:rPr>
                <w:rFonts w:hint="eastAsia" w:eastAsia="仿宋" w:cs="Times New Roman"/>
                <w:color w:val="auto"/>
                <w:sz w:val="24"/>
                <w:szCs w:val="22"/>
                <w:lang w:eastAsia="zh-CN"/>
              </w:rPr>
              <w:t>生产制造履约能力</w:t>
            </w:r>
            <w:r>
              <w:rPr>
                <w:rFonts w:hint="eastAsia" w:eastAsia="仿宋" w:cs="Times New Roman"/>
                <w:color w:val="auto"/>
                <w:sz w:val="24"/>
                <w:szCs w:val="22"/>
              </w:rPr>
              <w:t>进行评审，包含但不限于</w:t>
            </w:r>
            <w:r>
              <w:rPr>
                <w:rFonts w:hint="eastAsia" w:eastAsia="仿宋" w:cs="Times New Roman"/>
                <w:color w:val="auto"/>
                <w:sz w:val="24"/>
                <w:szCs w:val="22"/>
                <w:lang w:eastAsia="zh-CN"/>
              </w:rPr>
              <w:t>：</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lang w:eastAsia="zh-CN"/>
              </w:rPr>
            </w:pPr>
            <w:r>
              <w:rPr>
                <w:rFonts w:hint="eastAsia" w:eastAsia="仿宋" w:cs="Times New Roman"/>
                <w:color w:val="auto"/>
                <w:sz w:val="24"/>
                <w:szCs w:val="22"/>
                <w:lang w:eastAsia="zh-CN"/>
              </w:rPr>
              <w:t>①制造商生产经营情况简介；</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lang w:eastAsia="zh-CN"/>
              </w:rPr>
            </w:pPr>
            <w:r>
              <w:rPr>
                <w:rFonts w:hint="eastAsia" w:eastAsia="仿宋" w:cs="Times New Roman"/>
                <w:color w:val="auto"/>
                <w:sz w:val="24"/>
                <w:szCs w:val="22"/>
              </w:rPr>
              <w:t>②</w:t>
            </w:r>
            <w:r>
              <w:rPr>
                <w:rFonts w:hint="eastAsia" w:eastAsia="仿宋" w:cs="Times New Roman"/>
                <w:color w:val="auto"/>
                <w:sz w:val="24"/>
                <w:szCs w:val="22"/>
                <w:lang w:eastAsia="zh-CN"/>
              </w:rPr>
              <w:t>生产工艺流程，主要包括生产制造流程图、生产步骤（应含生产车间环境及实际生产照片）等相关情况描述；</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rPr>
            </w:pPr>
            <w:r>
              <w:rPr>
                <w:rFonts w:hint="eastAsia" w:eastAsia="仿宋" w:cs="Times New Roman"/>
                <w:color w:val="auto"/>
                <w:sz w:val="24"/>
                <w:szCs w:val="22"/>
              </w:rPr>
              <w:t>③产品检验流程，包括主要检验设备</w:t>
            </w:r>
            <w:r>
              <w:rPr>
                <w:rFonts w:hint="eastAsia" w:eastAsia="仿宋" w:cs="Times New Roman"/>
                <w:color w:val="auto"/>
                <w:sz w:val="24"/>
                <w:szCs w:val="22"/>
                <w:lang w:eastAsia="zh-CN"/>
              </w:rPr>
              <w:t>（应提供图片）</w:t>
            </w:r>
            <w:r>
              <w:rPr>
                <w:rFonts w:hint="eastAsia" w:eastAsia="仿宋" w:cs="Times New Roman"/>
                <w:color w:val="auto"/>
                <w:sz w:val="24"/>
                <w:szCs w:val="22"/>
              </w:rPr>
              <w:t>、检验步骤等相关情况描述；</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rPr>
            </w:pPr>
            <w:r>
              <w:rPr>
                <w:rFonts w:hint="eastAsia" w:eastAsia="仿宋" w:cs="Times New Roman"/>
                <w:color w:val="auto"/>
                <w:sz w:val="24"/>
                <w:szCs w:val="22"/>
              </w:rPr>
              <w:t>④人员配备：相关专业技术</w:t>
            </w:r>
            <w:r>
              <w:rPr>
                <w:rFonts w:hint="eastAsia" w:eastAsia="仿宋" w:cs="Times New Roman"/>
                <w:color w:val="auto"/>
                <w:sz w:val="24"/>
                <w:szCs w:val="22"/>
                <w:lang w:eastAsia="zh-CN"/>
              </w:rPr>
              <w:t>职称</w:t>
            </w:r>
            <w:r>
              <w:rPr>
                <w:rFonts w:hint="eastAsia" w:eastAsia="仿宋" w:cs="Times New Roman"/>
                <w:color w:val="auto"/>
                <w:sz w:val="24"/>
                <w:szCs w:val="22"/>
              </w:rPr>
              <w:t>人员配置情况</w:t>
            </w:r>
            <w:r>
              <w:rPr>
                <w:rFonts w:hint="eastAsia" w:eastAsia="仿宋" w:cs="Times New Roman"/>
                <w:color w:val="auto"/>
                <w:sz w:val="24"/>
                <w:szCs w:val="22"/>
                <w:lang w:eastAsia="zh-CN"/>
              </w:rPr>
              <w:t>；</w:t>
            </w:r>
            <w:r>
              <w:rPr>
                <w:rFonts w:hint="eastAsia" w:eastAsia="仿宋" w:cs="Times New Roman"/>
                <w:color w:val="auto"/>
                <w:sz w:val="24"/>
                <w:szCs w:val="22"/>
              </w:rPr>
              <w:t>各原材料采购、生产、检验、仓储、运输等环节的人员配备情况；</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b/>
                <w:color w:val="auto"/>
                <w:sz w:val="24"/>
                <w:szCs w:val="22"/>
              </w:rPr>
            </w:pPr>
            <w:r>
              <w:rPr>
                <w:rFonts w:hint="eastAsia" w:eastAsia="仿宋" w:cs="Times New Roman"/>
                <w:b/>
                <w:color w:val="auto"/>
                <w:sz w:val="24"/>
                <w:szCs w:val="22"/>
              </w:rPr>
              <w:t>评审依据：</w:t>
            </w:r>
            <w:r>
              <w:rPr>
                <w:rFonts w:hint="eastAsia" w:eastAsia="仿宋" w:cs="Times New Roman"/>
                <w:b/>
                <w:color w:val="auto"/>
                <w:sz w:val="24"/>
                <w:szCs w:val="22"/>
                <w:lang w:val="en-US" w:eastAsia="zh-CN"/>
              </w:rPr>
              <w:t>根据</w:t>
            </w:r>
            <w:r>
              <w:rPr>
                <w:rFonts w:hint="eastAsia" w:eastAsia="仿宋" w:cs="Times New Roman"/>
                <w:b/>
                <w:color w:val="auto"/>
                <w:sz w:val="24"/>
                <w:szCs w:val="22"/>
              </w:rPr>
              <w:t>投标人提</w:t>
            </w:r>
            <w:r>
              <w:rPr>
                <w:rFonts w:hint="eastAsia" w:eastAsia="仿宋" w:cs="Times New Roman"/>
                <w:b/>
                <w:color w:val="auto"/>
                <w:sz w:val="24"/>
                <w:szCs w:val="22"/>
                <w:lang w:val="en-US" w:eastAsia="zh-CN"/>
              </w:rPr>
              <w:t>供的生产制造履约能力方案内容完整性、组织性、关联性和可操作性进行评审</w:t>
            </w:r>
            <w:r>
              <w:rPr>
                <w:rFonts w:hint="eastAsia" w:eastAsia="仿宋" w:cs="Times New Roman"/>
                <w:b/>
                <w:color w:val="auto"/>
                <w:sz w:val="24"/>
                <w:szCs w:val="22"/>
              </w:rPr>
              <w:t>。</w:t>
            </w:r>
          </w:p>
          <w:p>
            <w:pPr>
              <w:pageBreakBefore w:val="0"/>
              <w:numPr>
                <w:ilvl w:val="0"/>
                <w:numId w:val="0"/>
              </w:numPr>
              <w:kinsoku/>
              <w:wordWrap/>
              <w:overflowPunct/>
              <w:topLinePunct w:val="0"/>
              <w:autoSpaceDE/>
              <w:autoSpaceDN/>
              <w:bidi w:val="0"/>
              <w:adjustRightInd/>
              <w:snapToGrid/>
              <w:spacing w:beforeLines="0" w:afterLines="0" w:line="460" w:lineRule="exact"/>
              <w:rPr>
                <w:rFonts w:hint="eastAsia" w:ascii="仿宋" w:hAnsi="仿宋" w:eastAsia="仿宋" w:cs="仿宋"/>
                <w:b/>
                <w:color w:val="auto"/>
                <w:sz w:val="24"/>
                <w:szCs w:val="24"/>
              </w:rPr>
            </w:pPr>
            <w:r>
              <w:rPr>
                <w:rFonts w:hint="eastAsia" w:ascii="仿宋" w:hAnsi="仿宋" w:eastAsia="仿宋" w:cs="仿宋"/>
                <w:b/>
                <w:color w:val="auto"/>
                <w:sz w:val="24"/>
                <w:szCs w:val="24"/>
                <w:lang w:val="en-US" w:eastAsia="zh-CN"/>
              </w:rPr>
              <w:t>1、所投</w:t>
            </w:r>
            <w:r>
              <w:rPr>
                <w:rFonts w:hint="eastAsia" w:ascii="仿宋" w:hAnsi="仿宋" w:eastAsia="仿宋" w:cs="仿宋"/>
                <w:b/>
                <w:bCs/>
                <w:color w:val="auto"/>
                <w:sz w:val="24"/>
                <w:szCs w:val="24"/>
                <w:lang w:val="en-US" w:eastAsia="zh-CN"/>
              </w:rPr>
              <w:t>舷外机</w:t>
            </w:r>
            <w:r>
              <w:rPr>
                <w:rFonts w:hint="eastAsia" w:ascii="仿宋" w:hAnsi="仿宋" w:eastAsia="仿宋" w:cs="仿宋"/>
                <w:b/>
                <w:color w:val="auto"/>
                <w:sz w:val="24"/>
                <w:szCs w:val="24"/>
                <w:lang w:val="en-US" w:eastAsia="zh-CN"/>
              </w:rPr>
              <w:t>制造商具备较强自主研发能力及先进的生产工艺，生产车间环境及生产线先进规范，生产步骤完整周详，技术</w:t>
            </w:r>
            <w:r>
              <w:rPr>
                <w:rFonts w:hint="eastAsia" w:ascii="仿宋" w:hAnsi="仿宋" w:eastAsia="仿宋" w:cs="仿宋"/>
                <w:b/>
                <w:color w:val="auto"/>
                <w:sz w:val="24"/>
                <w:szCs w:val="24"/>
              </w:rPr>
              <w:t>人员配备</w:t>
            </w:r>
            <w:r>
              <w:rPr>
                <w:rFonts w:hint="eastAsia" w:ascii="仿宋" w:hAnsi="仿宋" w:eastAsia="仿宋" w:cs="仿宋"/>
                <w:b/>
                <w:color w:val="auto"/>
                <w:sz w:val="24"/>
                <w:szCs w:val="24"/>
                <w:lang w:val="en-US" w:eastAsia="zh-CN"/>
              </w:rPr>
              <w:t>合理专业齐全</w:t>
            </w:r>
            <w:r>
              <w:rPr>
                <w:rFonts w:hint="eastAsia" w:ascii="仿宋" w:hAnsi="仿宋" w:eastAsia="仿宋" w:cs="仿宋"/>
                <w:b/>
                <w:color w:val="auto"/>
                <w:sz w:val="24"/>
                <w:szCs w:val="24"/>
              </w:rPr>
              <w:t>，</w:t>
            </w:r>
            <w:r>
              <w:rPr>
                <w:rFonts w:hint="eastAsia" w:ascii="仿宋" w:hAnsi="仿宋" w:eastAsia="仿宋" w:cs="仿宋"/>
                <w:b/>
                <w:color w:val="auto"/>
                <w:sz w:val="24"/>
                <w:szCs w:val="24"/>
                <w:lang w:val="en-US" w:eastAsia="zh-CN"/>
              </w:rPr>
              <w:t>检验设备配置齐全、检验步骤严密无纰漏，生产制造履约能力</w:t>
            </w:r>
            <w:r>
              <w:rPr>
                <w:rFonts w:hint="eastAsia" w:ascii="仿宋" w:hAnsi="仿宋" w:eastAsia="仿宋" w:cs="仿宋"/>
                <w:b/>
                <w:color w:val="auto"/>
                <w:sz w:val="24"/>
                <w:szCs w:val="24"/>
              </w:rPr>
              <w:t>高的得</w:t>
            </w:r>
            <w:r>
              <w:rPr>
                <w:rFonts w:hint="eastAsia" w:ascii="仿宋" w:hAnsi="仿宋" w:eastAsia="仿宋" w:cs="仿宋"/>
                <w:b/>
                <w:color w:val="auto"/>
                <w:sz w:val="24"/>
                <w:szCs w:val="24"/>
                <w:lang w:val="en-US" w:eastAsia="zh-CN"/>
              </w:rPr>
              <w:t>5</w:t>
            </w:r>
            <w:r>
              <w:rPr>
                <w:rFonts w:hint="eastAsia" w:ascii="仿宋" w:hAnsi="仿宋" w:eastAsia="仿宋" w:cs="仿宋"/>
                <w:b/>
                <w:color w:val="auto"/>
                <w:sz w:val="24"/>
                <w:szCs w:val="24"/>
              </w:rPr>
              <w:t>分；</w:t>
            </w:r>
          </w:p>
          <w:p>
            <w:pPr>
              <w:pageBreakBefore w:val="0"/>
              <w:numPr>
                <w:ilvl w:val="0"/>
                <w:numId w:val="0"/>
              </w:numPr>
              <w:kinsoku/>
              <w:wordWrap/>
              <w:overflowPunct/>
              <w:topLinePunct w:val="0"/>
              <w:autoSpaceDE/>
              <w:autoSpaceDN/>
              <w:bidi w:val="0"/>
              <w:adjustRightInd/>
              <w:snapToGrid/>
              <w:spacing w:beforeLines="0" w:afterLines="0" w:line="460" w:lineRule="exact"/>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2、所投</w:t>
            </w:r>
            <w:r>
              <w:rPr>
                <w:rFonts w:hint="eastAsia" w:ascii="仿宋" w:hAnsi="仿宋" w:eastAsia="仿宋" w:cs="仿宋"/>
                <w:b/>
                <w:bCs/>
                <w:color w:val="auto"/>
                <w:sz w:val="24"/>
                <w:szCs w:val="24"/>
                <w:lang w:val="en-US" w:eastAsia="zh-CN"/>
              </w:rPr>
              <w:t>舷外机</w:t>
            </w:r>
            <w:r>
              <w:rPr>
                <w:rFonts w:hint="eastAsia" w:ascii="仿宋" w:hAnsi="仿宋" w:eastAsia="仿宋" w:cs="仿宋"/>
                <w:b/>
                <w:color w:val="auto"/>
                <w:sz w:val="24"/>
                <w:szCs w:val="24"/>
                <w:lang w:val="en-US" w:eastAsia="zh-CN"/>
              </w:rPr>
              <w:t>制造商有自主研发能力和生产工艺较完整，生产车间环境及生产线常规，生产步骤较完整周详，技术</w:t>
            </w:r>
            <w:r>
              <w:rPr>
                <w:rFonts w:hint="eastAsia" w:ascii="仿宋" w:hAnsi="仿宋" w:eastAsia="仿宋" w:cs="仿宋"/>
                <w:b/>
                <w:color w:val="auto"/>
                <w:sz w:val="24"/>
                <w:szCs w:val="24"/>
              </w:rPr>
              <w:t>人员配备</w:t>
            </w:r>
            <w:r>
              <w:rPr>
                <w:rFonts w:hint="eastAsia" w:ascii="仿宋" w:hAnsi="仿宋" w:eastAsia="仿宋" w:cs="仿宋"/>
                <w:b/>
                <w:color w:val="auto"/>
                <w:sz w:val="24"/>
                <w:szCs w:val="24"/>
                <w:lang w:eastAsia="zh-CN"/>
              </w:rPr>
              <w:t>相对</w:t>
            </w:r>
            <w:r>
              <w:rPr>
                <w:rFonts w:hint="eastAsia" w:ascii="仿宋" w:hAnsi="仿宋" w:eastAsia="仿宋" w:cs="仿宋"/>
                <w:b/>
                <w:color w:val="auto"/>
                <w:sz w:val="24"/>
                <w:szCs w:val="24"/>
                <w:lang w:val="en-US" w:eastAsia="zh-CN"/>
              </w:rPr>
              <w:t>合理专业齐全</w:t>
            </w:r>
            <w:r>
              <w:rPr>
                <w:rFonts w:hint="eastAsia" w:ascii="仿宋" w:hAnsi="仿宋" w:eastAsia="仿宋" w:cs="仿宋"/>
                <w:b/>
                <w:color w:val="auto"/>
                <w:sz w:val="24"/>
                <w:szCs w:val="24"/>
              </w:rPr>
              <w:t>，</w:t>
            </w:r>
            <w:r>
              <w:rPr>
                <w:rFonts w:hint="eastAsia" w:ascii="仿宋" w:hAnsi="仿宋" w:eastAsia="仿宋" w:cs="仿宋"/>
                <w:b/>
                <w:color w:val="auto"/>
                <w:sz w:val="24"/>
                <w:szCs w:val="24"/>
                <w:lang w:val="en-US" w:eastAsia="zh-CN"/>
              </w:rPr>
              <w:t>检验设备配置较齐全、检验步骤相对完备，生产制造履约能力</w:t>
            </w:r>
            <w:r>
              <w:rPr>
                <w:rFonts w:hint="eastAsia" w:ascii="仿宋" w:hAnsi="仿宋" w:eastAsia="仿宋" w:cs="仿宋"/>
                <w:b/>
                <w:color w:val="auto"/>
                <w:sz w:val="24"/>
                <w:szCs w:val="24"/>
                <w:lang w:eastAsia="zh-CN"/>
              </w:rPr>
              <w:t>较</w:t>
            </w:r>
            <w:r>
              <w:rPr>
                <w:rFonts w:hint="eastAsia" w:ascii="仿宋" w:hAnsi="仿宋" w:eastAsia="仿宋" w:cs="仿宋"/>
                <w:b/>
                <w:color w:val="auto"/>
                <w:sz w:val="24"/>
                <w:szCs w:val="24"/>
              </w:rPr>
              <w:t>高的得</w:t>
            </w:r>
            <w:r>
              <w:rPr>
                <w:rFonts w:hint="eastAsia" w:ascii="仿宋" w:hAnsi="仿宋" w:eastAsia="仿宋" w:cs="仿宋"/>
                <w:b/>
                <w:color w:val="auto"/>
                <w:sz w:val="24"/>
                <w:szCs w:val="24"/>
                <w:lang w:val="en-US" w:eastAsia="zh-CN"/>
              </w:rPr>
              <w:t>3</w:t>
            </w:r>
            <w:r>
              <w:rPr>
                <w:rFonts w:hint="eastAsia" w:ascii="仿宋" w:hAnsi="仿宋" w:eastAsia="仿宋" w:cs="仿宋"/>
                <w:b/>
                <w:color w:val="auto"/>
                <w:sz w:val="24"/>
                <w:szCs w:val="24"/>
              </w:rPr>
              <w:t>分</w:t>
            </w:r>
            <w:r>
              <w:rPr>
                <w:rFonts w:hint="eastAsia" w:ascii="仿宋" w:hAnsi="仿宋" w:eastAsia="仿宋" w:cs="仿宋"/>
                <w:b/>
                <w:color w:val="auto"/>
                <w:sz w:val="24"/>
                <w:szCs w:val="24"/>
                <w:lang w:eastAsia="zh-CN"/>
              </w:rPr>
              <w:t>；</w:t>
            </w:r>
          </w:p>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b/>
                <w:color w:val="auto"/>
                <w:sz w:val="24"/>
                <w:szCs w:val="24"/>
                <w:lang w:eastAsia="zh-CN"/>
              </w:rPr>
            </w:pPr>
            <w:r>
              <w:rPr>
                <w:rFonts w:hint="eastAsia" w:ascii="仿宋" w:hAnsi="仿宋" w:eastAsia="仿宋" w:cs="仿宋"/>
                <w:b/>
                <w:color w:val="auto"/>
                <w:sz w:val="24"/>
                <w:szCs w:val="24"/>
                <w:lang w:val="en-US" w:eastAsia="zh-CN"/>
              </w:rPr>
              <w:t>3、所投</w:t>
            </w:r>
            <w:r>
              <w:rPr>
                <w:rFonts w:hint="eastAsia" w:ascii="仿宋" w:hAnsi="仿宋" w:eastAsia="仿宋" w:cs="仿宋"/>
                <w:b/>
                <w:bCs/>
                <w:color w:val="auto"/>
                <w:sz w:val="24"/>
                <w:szCs w:val="24"/>
                <w:lang w:val="en-US" w:eastAsia="zh-CN"/>
              </w:rPr>
              <w:t>舷外机</w:t>
            </w:r>
            <w:r>
              <w:rPr>
                <w:rFonts w:hint="eastAsia" w:ascii="仿宋" w:hAnsi="仿宋" w:eastAsia="仿宋" w:cs="仿宋"/>
                <w:b/>
                <w:color w:val="auto"/>
                <w:sz w:val="24"/>
                <w:szCs w:val="24"/>
                <w:lang w:val="en-US" w:eastAsia="zh-CN"/>
              </w:rPr>
              <w:t>制造商有自主研发能力和生产工艺薄弱，生产车间环境及生产线粗糙落后，生产步骤简单，技术</w:t>
            </w:r>
            <w:r>
              <w:rPr>
                <w:rFonts w:hint="eastAsia" w:ascii="仿宋" w:hAnsi="仿宋" w:eastAsia="仿宋" w:cs="仿宋"/>
                <w:b/>
                <w:color w:val="auto"/>
                <w:sz w:val="24"/>
                <w:szCs w:val="24"/>
              </w:rPr>
              <w:t>人员</w:t>
            </w:r>
            <w:r>
              <w:rPr>
                <w:rFonts w:hint="eastAsia" w:ascii="仿宋" w:hAnsi="仿宋" w:eastAsia="仿宋" w:cs="仿宋"/>
                <w:b/>
                <w:color w:val="auto"/>
                <w:sz w:val="24"/>
                <w:szCs w:val="24"/>
                <w:lang w:eastAsia="zh-CN"/>
              </w:rPr>
              <w:t>综合实力一般，</w:t>
            </w:r>
            <w:r>
              <w:rPr>
                <w:rFonts w:hint="eastAsia" w:ascii="仿宋" w:hAnsi="仿宋" w:eastAsia="仿宋" w:cs="仿宋"/>
                <w:b/>
                <w:color w:val="auto"/>
                <w:sz w:val="24"/>
                <w:szCs w:val="24"/>
                <w:lang w:val="en-US" w:eastAsia="zh-CN"/>
              </w:rPr>
              <w:t>检验设备配置简单落后，检验步骤普通，生产制造履约能力</w:t>
            </w:r>
            <w:r>
              <w:rPr>
                <w:rFonts w:hint="eastAsia" w:ascii="仿宋" w:hAnsi="仿宋" w:eastAsia="仿宋" w:cs="仿宋"/>
                <w:b/>
                <w:color w:val="auto"/>
                <w:sz w:val="24"/>
                <w:szCs w:val="24"/>
                <w:lang w:eastAsia="zh-CN"/>
              </w:rPr>
              <w:t>弱</w:t>
            </w:r>
            <w:r>
              <w:rPr>
                <w:rFonts w:hint="eastAsia" w:ascii="仿宋" w:hAnsi="仿宋" w:eastAsia="仿宋" w:cs="仿宋"/>
                <w:b/>
                <w:color w:val="auto"/>
                <w:sz w:val="24"/>
                <w:szCs w:val="24"/>
              </w:rPr>
              <w:t>的得</w:t>
            </w:r>
            <w:r>
              <w:rPr>
                <w:rFonts w:hint="eastAsia" w:ascii="仿宋" w:hAnsi="仿宋" w:eastAsia="仿宋" w:cs="仿宋"/>
                <w:b/>
                <w:color w:val="auto"/>
                <w:sz w:val="24"/>
                <w:szCs w:val="24"/>
                <w:lang w:val="en-US" w:eastAsia="zh-CN"/>
              </w:rPr>
              <w:t>1</w:t>
            </w:r>
            <w:r>
              <w:rPr>
                <w:rFonts w:hint="eastAsia" w:ascii="仿宋" w:hAnsi="仿宋" w:eastAsia="仿宋" w:cs="仿宋"/>
                <w:b/>
                <w:color w:val="auto"/>
                <w:sz w:val="24"/>
                <w:szCs w:val="24"/>
              </w:rPr>
              <w:t>分</w:t>
            </w:r>
            <w:r>
              <w:rPr>
                <w:rFonts w:hint="eastAsia" w:ascii="仿宋" w:hAnsi="仿宋" w:eastAsia="仿宋" w:cs="仿宋"/>
                <w:b/>
                <w:color w:val="auto"/>
                <w:sz w:val="24"/>
                <w:szCs w:val="24"/>
                <w:lang w:eastAsia="zh-CN"/>
              </w:rPr>
              <w:t>；</w:t>
            </w:r>
          </w:p>
          <w:p>
            <w:pPr>
              <w:pageBreakBefore w:val="0"/>
              <w:kinsoku/>
              <w:wordWrap/>
              <w:overflowPunct/>
              <w:topLinePunct w:val="0"/>
              <w:autoSpaceDE/>
              <w:autoSpaceDN/>
              <w:bidi w:val="0"/>
              <w:adjustRightInd/>
              <w:snapToGrid/>
              <w:spacing w:beforeLines="0" w:afterLines="0" w:line="460" w:lineRule="exact"/>
              <w:rPr>
                <w:rFonts w:hint="eastAsia" w:cs="Times New Roman"/>
                <w:color w:val="auto"/>
                <w:sz w:val="24"/>
                <w:szCs w:val="22"/>
              </w:rPr>
            </w:pPr>
            <w:r>
              <w:rPr>
                <w:rFonts w:hint="eastAsia" w:ascii="仿宋" w:hAnsi="仿宋" w:eastAsia="仿宋" w:cs="仿宋"/>
                <w:b/>
                <w:color w:val="auto"/>
                <w:sz w:val="24"/>
                <w:szCs w:val="24"/>
                <w:lang w:val="en-US" w:eastAsia="zh-CN"/>
              </w:rPr>
              <w:t>4、</w:t>
            </w:r>
            <w:r>
              <w:rPr>
                <w:rFonts w:hint="eastAsia" w:ascii="仿宋" w:hAnsi="仿宋" w:eastAsia="仿宋" w:cs="仿宋"/>
                <w:b/>
                <w:color w:val="auto"/>
                <w:sz w:val="24"/>
                <w:szCs w:val="24"/>
              </w:rPr>
              <w:t>未提供证明材料或证明材料有缺项的不得分。</w:t>
            </w:r>
          </w:p>
        </w:tc>
        <w:tc>
          <w:tcPr>
            <w:tcW w:w="49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cs="Times New Roman"/>
                <w:color w:val="auto"/>
                <w:sz w:val="24"/>
                <w:szCs w:val="22"/>
              </w:rPr>
              <w:t>5</w:t>
            </w:r>
            <w:r>
              <w:rPr>
                <w:rFonts w:hint="eastAsia" w:eastAsia="仿宋" w:cs="Times New Roman"/>
                <w:color w:val="auto"/>
                <w:sz w:val="24"/>
                <w:szCs w:val="22"/>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cs="Times New Roman"/>
                <w:color w:val="auto"/>
                <w:sz w:val="24"/>
                <w:szCs w:val="22"/>
              </w:rPr>
              <w:t>3</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eastAsia="仿宋" w:cs="Times New Roman"/>
                <w:color w:val="auto"/>
                <w:sz w:val="24"/>
                <w:szCs w:val="22"/>
              </w:rPr>
              <w:t>质量保证和保修</w:t>
            </w:r>
          </w:p>
        </w:tc>
        <w:tc>
          <w:tcPr>
            <w:tcW w:w="338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rPr>
                <w:rFonts w:hint="eastAsia" w:cs="Times New Roman"/>
                <w:color w:val="auto"/>
                <w:sz w:val="24"/>
                <w:szCs w:val="22"/>
              </w:rPr>
            </w:pPr>
            <w:r>
              <w:rPr>
                <w:rFonts w:hint="eastAsia" w:eastAsia="仿宋" w:cs="Times New Roman"/>
                <w:color w:val="auto"/>
                <w:sz w:val="24"/>
                <w:szCs w:val="22"/>
              </w:rPr>
              <w:t>在招标文件商务要求中“质保期”和“保修期”要求基础上，承诺“质保期”和“保修期”均每延长一年的加2分，最多加4分。</w:t>
            </w:r>
          </w:p>
          <w:p>
            <w:pPr>
              <w:pageBreakBefore w:val="0"/>
              <w:kinsoku/>
              <w:wordWrap/>
              <w:overflowPunct/>
              <w:topLinePunct w:val="0"/>
              <w:autoSpaceDE/>
              <w:autoSpaceDN/>
              <w:bidi w:val="0"/>
              <w:adjustRightInd/>
              <w:snapToGrid/>
              <w:spacing w:beforeLines="0" w:afterLines="0" w:line="460" w:lineRule="exact"/>
              <w:rPr>
                <w:rFonts w:hint="eastAsia" w:cs="Times New Roman"/>
                <w:color w:val="auto"/>
                <w:sz w:val="24"/>
                <w:szCs w:val="22"/>
              </w:rPr>
            </w:pPr>
            <w:r>
              <w:rPr>
                <w:rFonts w:hint="eastAsia" w:eastAsia="仿宋" w:cs="Times New Roman"/>
                <w:b/>
                <w:color w:val="auto"/>
                <w:sz w:val="24"/>
                <w:szCs w:val="22"/>
              </w:rPr>
              <w:t>评审依据：投标文件中提供“质保期”和“保修期”均延长的承诺函原件。</w:t>
            </w:r>
          </w:p>
        </w:tc>
        <w:tc>
          <w:tcPr>
            <w:tcW w:w="49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cs="Times New Roman"/>
                <w:color w:val="auto"/>
                <w:sz w:val="24"/>
                <w:szCs w:val="22"/>
              </w:rPr>
              <w:t>4</w:t>
            </w:r>
            <w:r>
              <w:rPr>
                <w:rFonts w:hint="eastAsia" w:eastAsia="仿宋" w:cs="Times New Roman"/>
                <w:color w:val="auto"/>
                <w:sz w:val="24"/>
                <w:szCs w:val="22"/>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cs="Times New Roman"/>
                <w:color w:val="auto"/>
                <w:sz w:val="24"/>
                <w:szCs w:val="22"/>
              </w:rPr>
              <w:t>4</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eastAsia="仿宋" w:cs="Times New Roman"/>
                <w:color w:val="auto"/>
                <w:sz w:val="24"/>
                <w:szCs w:val="22"/>
              </w:rPr>
              <w:t>类似销售</w:t>
            </w:r>
          </w:p>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eastAsia="仿宋" w:cs="Times New Roman"/>
                <w:color w:val="auto"/>
                <w:sz w:val="24"/>
                <w:szCs w:val="22"/>
              </w:rPr>
              <w:t>案例</w:t>
            </w:r>
          </w:p>
        </w:tc>
        <w:tc>
          <w:tcPr>
            <w:tcW w:w="338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rPr>
                <w:rFonts w:hint="eastAsia" w:eastAsia="仿宋" w:cs="Times New Roman"/>
                <w:color w:val="auto"/>
                <w:sz w:val="24"/>
                <w:szCs w:val="22"/>
                <w:lang w:eastAsia="zh-CN"/>
              </w:rPr>
            </w:pPr>
            <w:r>
              <w:rPr>
                <w:rFonts w:hint="eastAsia" w:eastAsia="仿宋" w:cs="Times New Roman"/>
                <w:color w:val="auto"/>
                <w:sz w:val="24"/>
                <w:szCs w:val="22"/>
              </w:rPr>
              <w:t>投标人自</w:t>
            </w:r>
            <w:r>
              <w:rPr>
                <w:rFonts w:hint="eastAsia" w:cs="Times New Roman"/>
                <w:color w:val="auto"/>
                <w:sz w:val="24"/>
                <w:szCs w:val="22"/>
              </w:rPr>
              <w:t>20</w:t>
            </w:r>
            <w:r>
              <w:rPr>
                <w:rFonts w:hint="eastAsia" w:eastAsia="仿宋" w:cs="Times New Roman"/>
                <w:color w:val="auto"/>
                <w:sz w:val="24"/>
                <w:szCs w:val="22"/>
              </w:rPr>
              <w:t>2</w:t>
            </w:r>
            <w:r>
              <w:rPr>
                <w:rFonts w:hint="eastAsia" w:eastAsia="仿宋" w:cs="Times New Roman"/>
                <w:color w:val="auto"/>
                <w:sz w:val="24"/>
                <w:szCs w:val="22"/>
                <w:lang w:val="en-US" w:eastAsia="zh-CN"/>
              </w:rPr>
              <w:t>1</w:t>
            </w:r>
            <w:r>
              <w:rPr>
                <w:rFonts w:hint="eastAsia" w:eastAsia="仿宋" w:cs="Times New Roman"/>
                <w:color w:val="auto"/>
                <w:sz w:val="24"/>
                <w:szCs w:val="22"/>
              </w:rPr>
              <w:t>年</w:t>
            </w:r>
            <w:r>
              <w:rPr>
                <w:rFonts w:hint="eastAsia" w:cs="Times New Roman"/>
                <w:color w:val="auto"/>
                <w:sz w:val="24"/>
                <w:szCs w:val="22"/>
              </w:rPr>
              <w:t>1</w:t>
            </w:r>
            <w:r>
              <w:rPr>
                <w:rFonts w:hint="eastAsia" w:eastAsia="仿宋" w:cs="Times New Roman"/>
                <w:color w:val="auto"/>
                <w:sz w:val="24"/>
                <w:szCs w:val="22"/>
              </w:rPr>
              <w:t>月1日至今（以签订合同时间为准）具有类似</w:t>
            </w:r>
            <w:r>
              <w:rPr>
                <w:rFonts w:hint="eastAsia" w:ascii="仿宋" w:hAnsi="仿宋" w:eastAsia="仿宋" w:cs="仿宋"/>
                <w:color w:val="auto"/>
                <w:sz w:val="24"/>
                <w:szCs w:val="24"/>
                <w:highlight w:val="none"/>
              </w:rPr>
              <w:t>核心</w:t>
            </w:r>
            <w:r>
              <w:rPr>
                <w:rFonts w:hint="eastAsia" w:eastAsia="仿宋" w:cs="Times New Roman"/>
                <w:color w:val="auto"/>
                <w:sz w:val="24"/>
                <w:szCs w:val="22"/>
                <w:highlight w:val="none"/>
                <w:lang w:eastAsia="zh-CN"/>
              </w:rPr>
              <w:t>产品</w:t>
            </w:r>
            <w:r>
              <w:rPr>
                <w:rFonts w:hint="eastAsia" w:eastAsia="仿宋" w:cs="Times New Roman"/>
                <w:color w:val="auto"/>
                <w:sz w:val="24"/>
                <w:szCs w:val="22"/>
                <w:highlight w:val="none"/>
              </w:rPr>
              <w:t>销售案</w:t>
            </w:r>
            <w:r>
              <w:rPr>
                <w:rFonts w:hint="eastAsia" w:eastAsia="仿宋" w:cs="Times New Roman"/>
                <w:color w:val="auto"/>
                <w:sz w:val="24"/>
                <w:szCs w:val="22"/>
              </w:rPr>
              <w:t>例，每提供1份销售案例加</w:t>
            </w:r>
            <w:r>
              <w:rPr>
                <w:rFonts w:hint="eastAsia" w:eastAsia="仿宋" w:cs="Times New Roman"/>
                <w:color w:val="auto"/>
                <w:sz w:val="24"/>
                <w:szCs w:val="22"/>
                <w:lang w:val="en-US" w:eastAsia="zh-CN"/>
              </w:rPr>
              <w:t>2</w:t>
            </w:r>
            <w:r>
              <w:rPr>
                <w:rFonts w:hint="eastAsia" w:eastAsia="仿宋" w:cs="Times New Roman"/>
                <w:color w:val="auto"/>
                <w:sz w:val="24"/>
                <w:szCs w:val="22"/>
              </w:rPr>
              <w:t>分，本项最多加</w:t>
            </w:r>
            <w:r>
              <w:rPr>
                <w:rFonts w:hint="eastAsia" w:eastAsia="仿宋" w:cs="Times New Roman"/>
                <w:color w:val="auto"/>
                <w:sz w:val="24"/>
                <w:szCs w:val="22"/>
                <w:lang w:val="en-US" w:eastAsia="zh-CN"/>
              </w:rPr>
              <w:t>6</w:t>
            </w:r>
            <w:r>
              <w:rPr>
                <w:rFonts w:hint="eastAsia" w:eastAsia="仿宋" w:cs="Times New Roman"/>
                <w:color w:val="auto"/>
                <w:sz w:val="24"/>
                <w:szCs w:val="22"/>
              </w:rPr>
              <w:t>分。</w:t>
            </w:r>
          </w:p>
          <w:p>
            <w:pPr>
              <w:pageBreakBefore w:val="0"/>
              <w:kinsoku/>
              <w:wordWrap/>
              <w:overflowPunct/>
              <w:topLinePunct w:val="0"/>
              <w:autoSpaceDE/>
              <w:autoSpaceDN/>
              <w:bidi w:val="0"/>
              <w:adjustRightInd/>
              <w:snapToGrid/>
              <w:spacing w:beforeLines="0" w:afterLines="0" w:line="460" w:lineRule="exact"/>
              <w:jc w:val="left"/>
              <w:rPr>
                <w:rFonts w:hint="eastAsia" w:cs="Times New Roman"/>
                <w:b/>
                <w:color w:val="auto"/>
                <w:sz w:val="24"/>
                <w:szCs w:val="22"/>
              </w:rPr>
            </w:pPr>
            <w:r>
              <w:rPr>
                <w:rFonts w:hint="eastAsia" w:eastAsia="仿宋" w:cs="Times New Roman"/>
                <w:b/>
                <w:color w:val="auto"/>
                <w:sz w:val="24"/>
                <w:szCs w:val="22"/>
              </w:rPr>
              <w:t>评审依据：①投标文件中提供销售案例明细表（销售案例明细表包含</w:t>
            </w:r>
            <w:r>
              <w:rPr>
                <w:rFonts w:hint="eastAsia" w:cs="Times New Roman"/>
                <w:b/>
                <w:color w:val="auto"/>
                <w:sz w:val="24"/>
                <w:szCs w:val="22"/>
              </w:rPr>
              <w:t>:</w:t>
            </w:r>
            <w:r>
              <w:rPr>
                <w:rFonts w:hint="eastAsia" w:eastAsia="仿宋" w:cs="Times New Roman"/>
                <w:b/>
                <w:color w:val="auto"/>
                <w:sz w:val="24"/>
                <w:szCs w:val="22"/>
              </w:rPr>
              <w:t>发布网站名称、网页链接地址、采购项目名称、采购单位名称和联系方式、采购代理机构名称和联系方式）；②</w:t>
            </w:r>
            <w:r>
              <w:rPr>
                <w:rFonts w:hint="eastAsia" w:eastAsia="仿宋" w:cs="Times New Roman"/>
                <w:b/>
                <w:color w:val="auto"/>
                <w:sz w:val="24"/>
                <w:szCs w:val="22"/>
                <w:lang w:eastAsia="zh-CN"/>
              </w:rPr>
              <w:t>中标（成交）公告截图（打印网页）、中标通知书复印件和合同复印件（中标通知书或合同复印件应体现类似销售案例的货物），合同签订方必须是投标人本身。</w:t>
            </w:r>
          </w:p>
        </w:tc>
        <w:tc>
          <w:tcPr>
            <w:tcW w:w="49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eastAsia="仿宋" w:cs="Times New Roman"/>
                <w:color w:val="auto"/>
                <w:sz w:val="24"/>
                <w:szCs w:val="22"/>
                <w:lang w:val="en-US" w:eastAsia="zh-CN"/>
              </w:rPr>
              <w:t>6</w:t>
            </w:r>
            <w:r>
              <w:rPr>
                <w:rFonts w:hint="eastAsia" w:eastAsia="仿宋" w:cs="Times New Roman"/>
                <w:color w:val="auto"/>
                <w:sz w:val="24"/>
                <w:szCs w:val="22"/>
              </w:rPr>
              <w:t>分</w:t>
            </w:r>
          </w:p>
        </w:tc>
      </w:tr>
    </w:tbl>
    <w:p>
      <w:pPr>
        <w:pageBreakBefore w:val="0"/>
        <w:kinsoku/>
        <w:wordWrap/>
        <w:overflowPunct/>
        <w:topLinePunct w:val="0"/>
        <w:autoSpaceDE/>
        <w:autoSpaceDN/>
        <w:bidi w:val="0"/>
        <w:adjustRightInd/>
        <w:snapToGrid/>
        <w:spacing w:beforeLines="0" w:afterLines="0" w:line="460" w:lineRule="exact"/>
        <w:rPr>
          <w:rFonts w:hint="eastAsia" w:cs="Times New Roman"/>
          <w:color w:val="auto"/>
          <w:sz w:val="21"/>
          <w:szCs w:val="24"/>
        </w:rPr>
      </w:pPr>
    </w:p>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8"/>
          <w:szCs w:val="21"/>
          <w:lang w:val="en-US" w:eastAsia="zh-CN"/>
        </w:rPr>
      </w:pPr>
      <w:r>
        <w:rPr>
          <w:rFonts w:hint="eastAsia" w:ascii="仿宋" w:hAnsi="仿宋" w:eastAsia="仿宋" w:cs="仿宋"/>
          <w:color w:val="auto"/>
          <w:sz w:val="28"/>
          <w:szCs w:val="21"/>
          <w:lang w:val="en-US" w:eastAsia="zh-CN"/>
        </w:rPr>
        <w:br w:type="page"/>
      </w:r>
    </w:p>
    <w:p>
      <w:pPr>
        <w:pStyle w:val="2"/>
        <w:pageBreakBefore w:val="0"/>
        <w:kinsoku/>
        <w:wordWrap/>
        <w:overflowPunct/>
        <w:topLinePunct w:val="0"/>
        <w:autoSpaceDE/>
        <w:autoSpaceDN/>
        <w:bidi w:val="0"/>
        <w:adjustRightInd/>
        <w:snapToGrid/>
        <w:spacing w:beforeLines="0" w:afterLines="0" w:line="460" w:lineRule="exact"/>
        <w:rPr>
          <w:rFonts w:hint="eastAsia" w:ascii="仿宋" w:hAnsi="仿宋" w:eastAsia="仿宋" w:cs="Times New Roman"/>
          <w:color w:val="auto"/>
          <w:sz w:val="32"/>
          <w:szCs w:val="28"/>
        </w:rPr>
      </w:pPr>
      <w:bookmarkStart w:id="686" w:name="_Toc3283"/>
      <w:bookmarkStart w:id="687" w:name="_Toc25704"/>
      <w:bookmarkStart w:id="688" w:name="_Toc3630"/>
      <w:bookmarkStart w:id="689" w:name="_Toc1356"/>
      <w:bookmarkStart w:id="690" w:name="_Toc23176"/>
      <w:r>
        <w:rPr>
          <w:rFonts w:hint="eastAsia" w:ascii="仿宋" w:hAnsi="仿宋" w:eastAsia="仿宋" w:cs="仿宋"/>
          <w:color w:val="auto"/>
          <w:sz w:val="28"/>
          <w:szCs w:val="21"/>
          <w:lang w:val="en-US" w:eastAsia="zh-CN"/>
        </w:rPr>
        <w:t>36包：</w:t>
      </w:r>
      <w:bookmarkEnd w:id="686"/>
      <w:bookmarkEnd w:id="687"/>
      <w:bookmarkEnd w:id="688"/>
      <w:r>
        <w:rPr>
          <w:rFonts w:hint="eastAsia" w:ascii="仿宋" w:hAnsi="仿宋" w:eastAsia="仿宋" w:cs="仿宋"/>
          <w:color w:val="auto"/>
          <w:sz w:val="28"/>
          <w:szCs w:val="21"/>
          <w:lang w:val="en-US" w:eastAsia="zh-CN"/>
        </w:rPr>
        <w:t>冲锋舟（配舷外机）（核心产品：冲锋舟)、舷外机</w:t>
      </w:r>
      <w:bookmarkEnd w:id="689"/>
      <w:bookmarkEnd w:id="690"/>
    </w:p>
    <w:p>
      <w:pPr>
        <w:pageBreakBefore w:val="0"/>
        <w:kinsoku/>
        <w:wordWrap/>
        <w:overflowPunct/>
        <w:topLinePunct w:val="0"/>
        <w:autoSpaceDE/>
        <w:autoSpaceDN/>
        <w:bidi w:val="0"/>
        <w:adjustRightInd/>
        <w:snapToGrid/>
        <w:spacing w:beforeLines="0" w:afterLines="0" w:line="460" w:lineRule="exact"/>
        <w:ind w:firstLine="482" w:firstLineChars="200"/>
        <w:jc w:val="left"/>
        <w:rPr>
          <w:rFonts w:hint="eastAsia" w:ascii="仿宋" w:hAnsi="仿宋" w:eastAsia="仿宋" w:cs="Times New Roman"/>
          <w:b/>
          <w:color w:val="auto"/>
          <w:sz w:val="24"/>
          <w:szCs w:val="24"/>
        </w:rPr>
      </w:pPr>
      <w:r>
        <w:rPr>
          <w:rFonts w:hint="eastAsia" w:ascii="仿宋" w:hAnsi="仿宋" w:eastAsia="仿宋" w:cs="Times New Roman"/>
          <w:b/>
          <w:color w:val="auto"/>
          <w:sz w:val="24"/>
          <w:szCs w:val="24"/>
        </w:rPr>
        <w:t>一、价格部分（30分）</w:t>
      </w:r>
    </w:p>
    <w:tbl>
      <w:tblPr>
        <w:tblStyle w:val="4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1579"/>
        <w:gridCol w:w="6182"/>
        <w:gridCol w:w="8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7" w:hRule="atLeast"/>
        </w:trPr>
        <w:tc>
          <w:tcPr>
            <w:tcW w:w="376"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序号</w:t>
            </w:r>
          </w:p>
        </w:tc>
        <w:tc>
          <w:tcPr>
            <w:tcW w:w="850"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评审因素</w:t>
            </w:r>
          </w:p>
        </w:tc>
        <w:tc>
          <w:tcPr>
            <w:tcW w:w="332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评分标准</w:t>
            </w:r>
          </w:p>
        </w:tc>
        <w:tc>
          <w:tcPr>
            <w:tcW w:w="444"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b/>
                <w:color w:val="auto"/>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6"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850"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价格分</w:t>
            </w:r>
          </w:p>
        </w:tc>
        <w:tc>
          <w:tcPr>
            <w:tcW w:w="332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根据综合评分法，满足招标文件要求且投标价格最低的投标报价为评标基准价，投标报价得分=（评标基准价／投标报价）×30%×100，计算分数时四舍五入取小数点后两位。</w:t>
            </w:r>
          </w:p>
          <w:p>
            <w:pPr>
              <w:pageBreakBefore w:val="0"/>
              <w:kinsoku/>
              <w:wordWrap/>
              <w:overflowPunct/>
              <w:topLinePunct w:val="0"/>
              <w:autoSpaceDE/>
              <w:autoSpaceDN/>
              <w:bidi w:val="0"/>
              <w:adjustRightInd/>
              <w:snapToGrid/>
              <w:spacing w:beforeLines="0" w:afterLines="0" w:line="460" w:lineRule="exact"/>
              <w:ind w:firstLine="482" w:firstLineChars="200"/>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注：小、微型企业或残疾人福利性单位产品或监狱产品的价格给予10%的扣除，用扣除后的价格参与评审。但残疾人福利性单位本身属于小型、微型企业的，不重复享受政策。</w:t>
            </w:r>
          </w:p>
        </w:tc>
        <w:tc>
          <w:tcPr>
            <w:tcW w:w="444"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30分</w:t>
            </w:r>
          </w:p>
        </w:tc>
      </w:tr>
    </w:tbl>
    <w:p>
      <w:pPr>
        <w:pageBreakBefore w:val="0"/>
        <w:kinsoku/>
        <w:wordWrap/>
        <w:overflowPunct/>
        <w:topLinePunct w:val="0"/>
        <w:autoSpaceDE/>
        <w:autoSpaceDN/>
        <w:bidi w:val="0"/>
        <w:adjustRightInd/>
        <w:snapToGrid/>
        <w:spacing w:beforeLines="0" w:afterLines="0" w:line="460" w:lineRule="exact"/>
        <w:ind w:firstLine="482" w:firstLineChars="200"/>
        <w:jc w:val="left"/>
        <w:rPr>
          <w:rFonts w:hint="eastAsia" w:ascii="仿宋" w:hAnsi="仿宋" w:eastAsia="仿宋" w:cs="Times New Roman"/>
          <w:b/>
          <w:color w:val="auto"/>
          <w:sz w:val="24"/>
          <w:szCs w:val="24"/>
        </w:rPr>
      </w:pPr>
      <w:r>
        <w:rPr>
          <w:rFonts w:hint="eastAsia" w:ascii="仿宋" w:hAnsi="仿宋" w:eastAsia="仿宋" w:cs="Times New Roman"/>
          <w:b/>
          <w:color w:val="auto"/>
          <w:sz w:val="24"/>
          <w:szCs w:val="24"/>
        </w:rPr>
        <w:t>二、技术部分（5</w:t>
      </w:r>
      <w:r>
        <w:rPr>
          <w:rFonts w:hint="eastAsia" w:ascii="仿宋" w:hAnsi="仿宋" w:eastAsia="仿宋" w:cs="Times New Roman"/>
          <w:b/>
          <w:color w:val="auto"/>
          <w:sz w:val="24"/>
          <w:szCs w:val="24"/>
          <w:lang w:val="en-US" w:eastAsia="zh-CN"/>
        </w:rPr>
        <w:t>5</w:t>
      </w:r>
      <w:r>
        <w:rPr>
          <w:rFonts w:hint="eastAsia" w:ascii="仿宋" w:hAnsi="仿宋" w:eastAsia="仿宋" w:cs="Times New Roman"/>
          <w:b/>
          <w:color w:val="auto"/>
          <w:sz w:val="24"/>
          <w:szCs w:val="24"/>
        </w:rPr>
        <w:t>分）</w:t>
      </w:r>
    </w:p>
    <w:tbl>
      <w:tblPr>
        <w:tblStyle w:val="4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7"/>
        <w:gridCol w:w="706"/>
        <w:gridCol w:w="1487"/>
        <w:gridCol w:w="5791"/>
        <w:gridCol w:w="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序号</w:t>
            </w:r>
          </w:p>
        </w:tc>
        <w:tc>
          <w:tcPr>
            <w:tcW w:w="1181"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评审因素</w:t>
            </w:r>
          </w:p>
        </w:tc>
        <w:tc>
          <w:tcPr>
            <w:tcW w:w="311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评分标准</w:t>
            </w:r>
          </w:p>
        </w:tc>
        <w:tc>
          <w:tcPr>
            <w:tcW w:w="42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26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181"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技术参数及要求</w:t>
            </w:r>
          </w:p>
        </w:tc>
        <w:tc>
          <w:tcPr>
            <w:tcW w:w="3119" w:type="pct"/>
            <w:tcBorders>
              <w:top w:val="single" w:color="auto" w:sz="4" w:space="0"/>
              <w:left w:val="single" w:color="auto" w:sz="4" w:space="0"/>
              <w:bottom w:val="single" w:color="auto" w:sz="4" w:space="0"/>
              <w:right w:val="single" w:color="auto" w:sz="4" w:space="0"/>
              <w:tl2br w:val="nil"/>
              <w:tr2bl w:val="nil"/>
            </w:tcBorders>
            <w:noWrap w:val="0"/>
            <w:vAlign w:val="top"/>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一、重大负偏离评审依据：</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1、带★条款的响应，不满足招标文件要求的，或有缺项、漏项的，视为重大负偏离；</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2、一般参数和带“▲”参数共有四项及以上（含本数）的负偏离，视为重大负偏离；</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二、负偏离评审依据：</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3、所投产品一般参数或带“▲”参数有一项低于招标文件要求，该项视为负偏离；</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4、所投产品一般参数或带“▲”参数有一项缺项、漏项的，该项视为负偏离。</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注：“一般参数”为非标“★”号参数和非标“▲”号参数。</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评审依据：</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①投标文件中提供的技术条款响应表；</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b/>
                <w:color w:val="auto"/>
                <w:sz w:val="24"/>
                <w:szCs w:val="24"/>
              </w:rPr>
              <w:t>②所投产品技术参数完全满足招标文件要求得</w:t>
            </w:r>
            <w:r>
              <w:rPr>
                <w:rFonts w:hint="eastAsia" w:ascii="仿宋" w:hAnsi="仿宋" w:eastAsia="仿宋" w:cs="仿宋"/>
                <w:b/>
                <w:color w:val="auto"/>
                <w:sz w:val="24"/>
                <w:szCs w:val="24"/>
                <w:lang w:val="en-US" w:eastAsia="zh-CN"/>
              </w:rPr>
              <w:t>28</w:t>
            </w:r>
            <w:r>
              <w:rPr>
                <w:rFonts w:hint="eastAsia" w:ascii="仿宋" w:hAnsi="仿宋" w:eastAsia="仿宋" w:cs="仿宋"/>
                <w:b/>
                <w:color w:val="auto"/>
                <w:sz w:val="24"/>
                <w:szCs w:val="24"/>
              </w:rPr>
              <w:t>分；重大负偏离则视为无效投标；一般参数或带“▲”参数每有一项负偏离减5分，最多减15分，四项或以上负偏离视为无效投标。</w:t>
            </w:r>
          </w:p>
        </w:tc>
        <w:tc>
          <w:tcPr>
            <w:tcW w:w="42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rPr>
              <w:t>28分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380"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品目1：冲锋舟</w:t>
            </w:r>
          </w:p>
        </w:tc>
        <w:tc>
          <w:tcPr>
            <w:tcW w:w="800"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widowControl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rPr>
              <w:t>▲3.2.4最大载重量：≥1000kg</w:t>
            </w:r>
          </w:p>
        </w:tc>
        <w:tc>
          <w:tcPr>
            <w:tcW w:w="311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所投产品</w:t>
            </w:r>
            <w:r>
              <w:rPr>
                <w:rFonts w:hint="eastAsia" w:ascii="仿宋" w:hAnsi="仿宋" w:eastAsia="仿宋" w:cs="仿宋"/>
                <w:color w:val="auto"/>
                <w:sz w:val="24"/>
                <w:szCs w:val="24"/>
                <w:lang w:val="en-US" w:eastAsia="zh-CN"/>
              </w:rPr>
              <w:t>的</w:t>
            </w:r>
            <w:r>
              <w:rPr>
                <w:rFonts w:hint="eastAsia" w:ascii="仿宋" w:hAnsi="仿宋" w:eastAsia="仿宋" w:cs="仿宋"/>
                <w:color w:val="auto"/>
                <w:sz w:val="24"/>
                <w:szCs w:val="24"/>
              </w:rPr>
              <w:t>最大载重量优于招标文件要求的，最大载重量最优的加</w:t>
            </w:r>
            <w:r>
              <w:rPr>
                <w:rFonts w:hint="eastAsia" w:ascii="仿宋" w:hAnsi="仿宋" w:eastAsia="仿宋" w:cs="仿宋"/>
                <w:color w:val="auto"/>
                <w:sz w:val="24"/>
                <w:szCs w:val="24"/>
                <w:lang w:val="en-US" w:eastAsia="zh-CN"/>
              </w:rPr>
              <w:t>3分</w:t>
            </w:r>
            <w:r>
              <w:rPr>
                <w:rFonts w:hint="eastAsia" w:ascii="仿宋" w:hAnsi="仿宋" w:eastAsia="仿宋" w:cs="仿宋"/>
                <w:color w:val="auto"/>
                <w:sz w:val="24"/>
                <w:szCs w:val="24"/>
              </w:rPr>
              <w:t>，最大载重量次优的加2分，其余加1分。（可并列得分）</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b/>
                <w:color w:val="auto"/>
                <w:sz w:val="24"/>
                <w:szCs w:val="24"/>
              </w:rPr>
              <w:t>注：最优表示最大载重量最大，次优表示最大载重量仅次于最大值。</w:t>
            </w:r>
          </w:p>
        </w:tc>
        <w:tc>
          <w:tcPr>
            <w:tcW w:w="42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380"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品目1：舟艇舷外机</w:t>
            </w:r>
          </w:p>
        </w:tc>
        <w:tc>
          <w:tcPr>
            <w:tcW w:w="800"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▲3.3.2额定功率：≥40kw</w:t>
            </w:r>
          </w:p>
        </w:tc>
        <w:tc>
          <w:tcPr>
            <w:tcW w:w="311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所投</w:t>
            </w:r>
            <w:r>
              <w:rPr>
                <w:rFonts w:hint="eastAsia" w:ascii="仿宋" w:hAnsi="仿宋" w:eastAsia="仿宋" w:cs="仿宋"/>
                <w:color w:val="auto"/>
                <w:sz w:val="24"/>
                <w:szCs w:val="24"/>
                <w:lang w:val="en-US" w:eastAsia="zh-CN"/>
              </w:rPr>
              <w:t>产品的</w:t>
            </w:r>
            <w:r>
              <w:rPr>
                <w:rFonts w:hint="eastAsia" w:ascii="仿宋" w:hAnsi="仿宋" w:eastAsia="仿宋" w:cs="仿宋"/>
                <w:color w:val="auto"/>
                <w:sz w:val="24"/>
                <w:szCs w:val="24"/>
              </w:rPr>
              <w:t>额定功率优于招标文件要求的，额定功率最优的加</w:t>
            </w:r>
            <w:r>
              <w:rPr>
                <w:rFonts w:hint="eastAsia" w:ascii="仿宋" w:hAnsi="仿宋" w:eastAsia="仿宋" w:cs="仿宋"/>
                <w:color w:val="auto"/>
                <w:sz w:val="24"/>
                <w:szCs w:val="24"/>
                <w:lang w:val="en-US" w:eastAsia="zh-CN"/>
              </w:rPr>
              <w:t>3分</w:t>
            </w:r>
            <w:r>
              <w:rPr>
                <w:rFonts w:hint="eastAsia" w:ascii="仿宋" w:hAnsi="仿宋" w:eastAsia="仿宋" w:cs="仿宋"/>
                <w:color w:val="auto"/>
                <w:sz w:val="24"/>
                <w:szCs w:val="24"/>
              </w:rPr>
              <w:t>，额定功率的加2分，其余加1分。（可并列得分）</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注：最优</w:t>
            </w:r>
            <w:r>
              <w:rPr>
                <w:rFonts w:hint="eastAsia" w:ascii="仿宋" w:hAnsi="仿宋" w:eastAsia="仿宋" w:cs="仿宋"/>
                <w:b/>
                <w:color w:val="auto"/>
                <w:sz w:val="24"/>
                <w:szCs w:val="24"/>
                <w:lang w:val="en-US" w:eastAsia="zh-CN"/>
              </w:rPr>
              <w:t>表示</w:t>
            </w:r>
            <w:r>
              <w:rPr>
                <w:rFonts w:hint="eastAsia" w:ascii="仿宋" w:hAnsi="仿宋" w:eastAsia="仿宋" w:cs="仿宋"/>
                <w:b/>
                <w:color w:val="auto"/>
                <w:sz w:val="24"/>
                <w:szCs w:val="24"/>
              </w:rPr>
              <w:t>额定功率最大，次优表示额定功率仅次于最大值。</w:t>
            </w:r>
          </w:p>
        </w:tc>
        <w:tc>
          <w:tcPr>
            <w:tcW w:w="42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380"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品目2：舷外机</w:t>
            </w:r>
          </w:p>
        </w:tc>
        <w:tc>
          <w:tcPr>
            <w:tcW w:w="800"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3.3最大功率：≥29kw</w:t>
            </w:r>
          </w:p>
        </w:tc>
        <w:tc>
          <w:tcPr>
            <w:tcW w:w="311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所投产品</w:t>
            </w:r>
            <w:r>
              <w:rPr>
                <w:rFonts w:hint="eastAsia" w:ascii="仿宋" w:hAnsi="仿宋" w:eastAsia="仿宋" w:cs="仿宋"/>
                <w:color w:val="auto"/>
                <w:sz w:val="24"/>
                <w:szCs w:val="24"/>
                <w:lang w:val="en-US" w:eastAsia="zh-CN"/>
              </w:rPr>
              <w:t>的</w:t>
            </w:r>
            <w:r>
              <w:rPr>
                <w:rFonts w:hint="eastAsia" w:ascii="仿宋" w:hAnsi="仿宋" w:eastAsia="仿宋" w:cs="仿宋"/>
                <w:color w:val="auto"/>
                <w:sz w:val="24"/>
                <w:szCs w:val="24"/>
              </w:rPr>
              <w:t>最大功率优于招标文件要求的，最大功率最优的加</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分，最大功率次优的加2分，其余加1分。（可并列得分）</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注：最优表示最大功率最大，次优表示最大功率仅次于最大值。</w:t>
            </w:r>
          </w:p>
        </w:tc>
        <w:tc>
          <w:tcPr>
            <w:tcW w:w="42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1181"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一般参数</w:t>
            </w:r>
          </w:p>
        </w:tc>
        <w:tc>
          <w:tcPr>
            <w:tcW w:w="311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在完全满足招标文件“</w:t>
            </w:r>
            <w:r>
              <w:rPr>
                <w:rFonts w:hint="eastAsia" w:ascii="仿宋" w:hAnsi="仿宋" w:eastAsia="仿宋" w:cs="仿宋"/>
                <w:color w:val="auto"/>
                <w:sz w:val="24"/>
                <w:szCs w:val="24"/>
                <w:lang w:eastAsia="zh-CN"/>
              </w:rPr>
              <w:t>所有参数</w:t>
            </w:r>
            <w:r>
              <w:rPr>
                <w:rFonts w:hint="eastAsia" w:ascii="仿宋" w:hAnsi="仿宋" w:eastAsia="仿宋" w:cs="仿宋"/>
                <w:color w:val="auto"/>
                <w:sz w:val="24"/>
                <w:szCs w:val="24"/>
              </w:rPr>
              <w:t>”要求的基础上，每有一条“一般参数”优于的加1分，本项最多加</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分。（加分只针对具有“≥”或“≤”的数值，数值更加优于的进行加分；文字内容或其他内容优于的不加分）</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b/>
                <w:color w:val="auto"/>
                <w:sz w:val="24"/>
                <w:szCs w:val="24"/>
              </w:rPr>
              <w:t>注：“一般参数”为非标“★”号参数和非标“▲”号参数。</w:t>
            </w:r>
          </w:p>
        </w:tc>
        <w:tc>
          <w:tcPr>
            <w:tcW w:w="42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268" w:type="pct"/>
            <w:vMerge w:val="continue"/>
            <w:tcBorders>
              <w:top w:val="single" w:color="auto" w:sz="4" w:space="0"/>
              <w:left w:val="single" w:color="auto" w:sz="4" w:space="0"/>
              <w:bottom w:val="single" w:color="auto" w:sz="4" w:space="0"/>
              <w:right w:val="single" w:color="auto" w:sz="4" w:space="0"/>
              <w:tl2br w:val="nil"/>
              <w:tr2bl w:val="nil"/>
            </w:tcBorders>
            <w:noWrap w:val="0"/>
            <w:vAlign w:val="top"/>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p>
        </w:tc>
        <w:tc>
          <w:tcPr>
            <w:tcW w:w="4731" w:type="pct"/>
            <w:gridSpan w:val="4"/>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lang w:eastAsia="zh-CN"/>
              </w:rPr>
            </w:pPr>
            <w:r>
              <w:rPr>
                <w:rFonts w:hint="eastAsia" w:ascii="仿宋" w:hAnsi="仿宋" w:eastAsia="仿宋" w:cs="仿宋"/>
                <w:b/>
                <w:color w:val="auto"/>
                <w:sz w:val="24"/>
                <w:szCs w:val="24"/>
              </w:rPr>
              <w:t>评审依据：提供技术条款响应表和技术支撑文件</w:t>
            </w:r>
            <w:r>
              <w:rPr>
                <w:rFonts w:hint="eastAsia" w:ascii="仿宋" w:hAnsi="仿宋" w:eastAsia="仿宋" w:cs="仿宋"/>
                <w:b/>
                <w:color w:val="auto"/>
                <w:sz w:val="24"/>
                <w:szCs w:val="24"/>
                <w:lang w:eastAsia="zh-CN"/>
              </w:rPr>
              <w:t>。</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w:t>
            </w:r>
            <w:r>
              <w:rPr>
                <w:rFonts w:hint="eastAsia" w:ascii="仿宋" w:hAnsi="仿宋" w:eastAsia="仿宋" w:cs="仿宋"/>
                <w:b/>
                <w:color w:val="auto"/>
                <w:sz w:val="24"/>
                <w:szCs w:val="24"/>
                <w:lang w:val="en-US" w:eastAsia="zh-CN"/>
              </w:rPr>
              <w:t>说明：技术支撑文件为以下任意3种材料中的其中1种材料：</w:t>
            </w:r>
            <w:r>
              <w:rPr>
                <w:rFonts w:hint="eastAsia" w:ascii="仿宋" w:hAnsi="仿宋" w:eastAsia="仿宋" w:cs="仿宋"/>
                <w:b/>
                <w:color w:val="auto"/>
                <w:sz w:val="24"/>
                <w:szCs w:val="24"/>
              </w:rPr>
              <w:t>①</w:t>
            </w:r>
            <w:r>
              <w:rPr>
                <w:rFonts w:hint="eastAsia" w:ascii="仿宋" w:hAnsi="仿宋" w:eastAsia="仿宋" w:cs="仿宋"/>
                <w:b/>
                <w:color w:val="auto"/>
                <w:sz w:val="24"/>
                <w:szCs w:val="24"/>
                <w:lang w:val="en-US" w:eastAsia="zh-CN"/>
              </w:rPr>
              <w:t>所投</w:t>
            </w:r>
            <w:r>
              <w:rPr>
                <w:rFonts w:hint="eastAsia" w:ascii="仿宋" w:hAnsi="仿宋" w:eastAsia="仿宋" w:cs="仿宋"/>
                <w:b/>
                <w:color w:val="auto"/>
                <w:sz w:val="24"/>
                <w:szCs w:val="24"/>
              </w:rPr>
              <w:t>产品检测报告复印件</w:t>
            </w:r>
            <w:r>
              <w:rPr>
                <w:rFonts w:hint="eastAsia" w:ascii="仿宋" w:hAnsi="仿宋" w:eastAsia="仿宋" w:cs="仿宋"/>
                <w:b/>
                <w:color w:val="auto"/>
                <w:sz w:val="24"/>
                <w:szCs w:val="24"/>
                <w:lang w:val="en-US" w:eastAsia="zh-CN"/>
              </w:rPr>
              <w:t>；</w:t>
            </w:r>
            <w:r>
              <w:rPr>
                <w:rFonts w:hint="eastAsia" w:ascii="仿宋" w:hAnsi="仿宋" w:eastAsia="仿宋" w:cs="仿宋"/>
                <w:b/>
                <w:color w:val="auto"/>
                <w:sz w:val="24"/>
                <w:szCs w:val="24"/>
              </w:rPr>
              <w:t>②</w:t>
            </w:r>
            <w:r>
              <w:rPr>
                <w:rFonts w:hint="eastAsia" w:ascii="仿宋" w:hAnsi="仿宋" w:eastAsia="仿宋" w:cs="仿宋"/>
                <w:b/>
                <w:color w:val="auto"/>
                <w:sz w:val="24"/>
                <w:szCs w:val="24"/>
                <w:lang w:val="en-US" w:eastAsia="zh-CN"/>
              </w:rPr>
              <w:t>制造商公开发布的</w:t>
            </w:r>
            <w:r>
              <w:rPr>
                <w:rFonts w:hint="eastAsia" w:ascii="仿宋" w:hAnsi="仿宋" w:eastAsia="仿宋" w:cs="仿宋"/>
                <w:b/>
                <w:color w:val="auto"/>
                <w:sz w:val="24"/>
                <w:szCs w:val="24"/>
              </w:rPr>
              <w:t>产品</w:t>
            </w:r>
            <w:r>
              <w:rPr>
                <w:rFonts w:hint="eastAsia" w:ascii="仿宋" w:hAnsi="仿宋" w:eastAsia="仿宋" w:cs="仿宋"/>
                <w:b/>
                <w:color w:val="auto"/>
                <w:sz w:val="24"/>
                <w:szCs w:val="24"/>
                <w:lang w:val="en-US" w:eastAsia="zh-CN"/>
              </w:rPr>
              <w:t>印刷资料</w:t>
            </w:r>
            <w:r>
              <w:rPr>
                <w:rFonts w:hint="eastAsia" w:ascii="仿宋" w:hAnsi="仿宋" w:eastAsia="仿宋" w:cs="仿宋"/>
                <w:b/>
                <w:color w:val="auto"/>
                <w:sz w:val="24"/>
                <w:szCs w:val="24"/>
              </w:rPr>
              <w:t>并加盖制造商公章</w:t>
            </w:r>
            <w:r>
              <w:rPr>
                <w:rFonts w:hint="eastAsia" w:ascii="仿宋" w:hAnsi="仿宋" w:eastAsia="仿宋" w:cs="仿宋"/>
                <w:b/>
                <w:color w:val="auto"/>
                <w:sz w:val="24"/>
                <w:szCs w:val="24"/>
                <w:lang w:val="en-US" w:eastAsia="zh-CN"/>
              </w:rPr>
              <w:t>；</w:t>
            </w:r>
            <w:r>
              <w:rPr>
                <w:rFonts w:hint="eastAsia" w:ascii="仿宋" w:hAnsi="仿宋" w:eastAsia="仿宋" w:cs="仿宋"/>
                <w:b/>
                <w:color w:val="auto"/>
                <w:sz w:val="24"/>
                <w:szCs w:val="24"/>
              </w:rPr>
              <w:t>③制造商出具的技术参数证明材料并加盖制造商公章。]</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b/>
                <w:color w:val="auto"/>
                <w:sz w:val="24"/>
                <w:szCs w:val="24"/>
              </w:rPr>
              <w:t>注：①供应商应认真提供技术支撑文件，若提供多份技术支撑文件，技术支撑文件佐证不一致时，优先级为：产品检测报告复印件＞制造商公开发布的印刷资料＞制造商出具的技术参数证明</w:t>
            </w:r>
            <w:r>
              <w:rPr>
                <w:rFonts w:hint="eastAsia" w:ascii="仿宋" w:hAnsi="仿宋" w:eastAsia="仿宋" w:cs="仿宋"/>
                <w:b/>
                <w:color w:val="auto"/>
                <w:sz w:val="24"/>
                <w:szCs w:val="24"/>
                <w:lang w:val="en-US" w:eastAsia="zh-CN"/>
              </w:rPr>
              <w:t>材料</w:t>
            </w:r>
            <w:r>
              <w:rPr>
                <w:rFonts w:hint="eastAsia" w:ascii="仿宋" w:hAnsi="仿宋" w:eastAsia="仿宋" w:cs="仿宋"/>
                <w:b/>
                <w:color w:val="auto"/>
                <w:sz w:val="24"/>
                <w:szCs w:val="24"/>
              </w:rPr>
              <w:t>；②技术支撑文件</w:t>
            </w:r>
            <w:r>
              <w:rPr>
                <w:rFonts w:hint="eastAsia" w:ascii="仿宋" w:hAnsi="仿宋" w:eastAsia="仿宋" w:cs="仿宋"/>
                <w:b/>
                <w:color w:val="auto"/>
                <w:sz w:val="24"/>
                <w:szCs w:val="24"/>
                <w:lang w:val="en-US" w:eastAsia="zh-CN"/>
              </w:rPr>
              <w:t>与</w:t>
            </w:r>
            <w:r>
              <w:rPr>
                <w:rFonts w:hint="eastAsia" w:ascii="仿宋" w:hAnsi="仿宋" w:eastAsia="仿宋" w:cs="仿宋"/>
                <w:b/>
                <w:color w:val="auto"/>
                <w:sz w:val="24"/>
                <w:szCs w:val="24"/>
              </w:rPr>
              <w:t>技术条款响应表</w:t>
            </w:r>
            <w:r>
              <w:rPr>
                <w:rFonts w:hint="eastAsia" w:ascii="仿宋" w:hAnsi="仿宋" w:eastAsia="仿宋" w:cs="仿宋"/>
                <w:b/>
                <w:color w:val="auto"/>
                <w:sz w:val="24"/>
                <w:szCs w:val="24"/>
                <w:lang w:eastAsia="zh-CN"/>
              </w:rPr>
              <w:t>不一致，则</w:t>
            </w:r>
            <w:r>
              <w:rPr>
                <w:rFonts w:hint="eastAsia" w:ascii="仿宋" w:hAnsi="仿宋" w:eastAsia="仿宋" w:cs="仿宋"/>
                <w:b/>
                <w:color w:val="auto"/>
                <w:sz w:val="24"/>
                <w:szCs w:val="24"/>
              </w:rPr>
              <w:t>该点不加分</w:t>
            </w:r>
            <w:r>
              <w:rPr>
                <w:rFonts w:hint="eastAsia" w:ascii="仿宋" w:hAnsi="仿宋" w:eastAsia="仿宋" w:cs="仿宋"/>
                <w:b/>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68" w:type="pct"/>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1181"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整体结构与外观</w:t>
            </w:r>
          </w:p>
        </w:tc>
        <w:tc>
          <w:tcPr>
            <w:tcW w:w="311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根据视频文件对</w:t>
            </w:r>
            <w:r>
              <w:rPr>
                <w:rFonts w:hint="eastAsia" w:ascii="仿宋" w:hAnsi="仿宋" w:eastAsia="仿宋" w:cs="仿宋"/>
                <w:color w:val="auto"/>
                <w:sz w:val="24"/>
                <w:szCs w:val="24"/>
                <w:lang w:val="en-US" w:eastAsia="zh-CN"/>
              </w:rPr>
              <w:t>品目1：冲锋舟、舟艇舷外机</w:t>
            </w:r>
            <w:r>
              <w:rPr>
                <w:rFonts w:hint="eastAsia" w:ascii="仿宋" w:hAnsi="仿宋" w:eastAsia="仿宋" w:cs="仿宋"/>
                <w:color w:val="auto"/>
                <w:sz w:val="24"/>
                <w:szCs w:val="24"/>
              </w:rPr>
              <w:t>的外观构造、内部结构、设计理念等进行评审。</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设计理念先进，外部构造和内部结构科学合理，整体结构外观与实战紧贴程度高的，得</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分；设计理念较为先进，外部构造和内部结构较为合理，整体结构外观与实战紧贴程度较高的，得</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分；设计理念一般，外观构造和内部结构基本合理，整体结构外观与实战紧贴程度不高的，得</w:t>
            </w:r>
            <w:r>
              <w:rPr>
                <w:rFonts w:hint="eastAsia" w:ascii="仿宋" w:hAnsi="仿宋" w:eastAsia="仿宋" w:cs="仿宋"/>
                <w:color w:val="auto"/>
                <w:sz w:val="24"/>
                <w:szCs w:val="24"/>
                <w:lang w:val="en-US" w:eastAsia="zh-CN"/>
              </w:rPr>
              <w:t>0.5</w:t>
            </w:r>
            <w:r>
              <w:rPr>
                <w:rFonts w:hint="eastAsia" w:ascii="仿宋" w:hAnsi="仿宋" w:eastAsia="仿宋" w:cs="仿宋"/>
                <w:color w:val="auto"/>
                <w:sz w:val="24"/>
                <w:szCs w:val="24"/>
              </w:rPr>
              <w:t>分；未提供证明材料或证明材料有缺项的不得分。</w:t>
            </w:r>
          </w:p>
        </w:tc>
        <w:tc>
          <w:tcPr>
            <w:tcW w:w="42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68"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1181"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工艺</w:t>
            </w:r>
          </w:p>
        </w:tc>
        <w:tc>
          <w:tcPr>
            <w:tcW w:w="311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根据视频文件对</w:t>
            </w:r>
            <w:r>
              <w:rPr>
                <w:rFonts w:hint="eastAsia" w:ascii="仿宋" w:hAnsi="仿宋" w:eastAsia="仿宋" w:cs="仿宋"/>
                <w:color w:val="auto"/>
                <w:sz w:val="24"/>
                <w:szCs w:val="24"/>
                <w:lang w:val="en-US" w:eastAsia="zh-CN"/>
              </w:rPr>
              <w:t>品目1：冲锋舟、舟艇舷外机</w:t>
            </w:r>
            <w:r>
              <w:rPr>
                <w:rFonts w:hint="eastAsia" w:ascii="仿宋" w:hAnsi="仿宋" w:eastAsia="仿宋" w:cs="仿宋"/>
                <w:color w:val="auto"/>
                <w:sz w:val="24"/>
                <w:szCs w:val="24"/>
              </w:rPr>
              <w:t>的安全性、耐用性、实用性等进行评审。</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安全性能高、耐用性能好、实用性能强，工艺符合实战需求程度高的，得</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分；安全性能较高、耐用性能良好、实用性能较强，工艺符合实战需求程度较高的，得</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分；安全性能不高、耐用性能普通、实用性能一般，工艺符合实战需求程度不高的，得</w:t>
            </w:r>
            <w:r>
              <w:rPr>
                <w:rFonts w:hint="eastAsia" w:ascii="仿宋" w:hAnsi="仿宋" w:eastAsia="仿宋" w:cs="仿宋"/>
                <w:color w:val="auto"/>
                <w:sz w:val="24"/>
                <w:szCs w:val="24"/>
                <w:lang w:val="en-US" w:eastAsia="zh-CN"/>
              </w:rPr>
              <w:t>0.5</w:t>
            </w:r>
            <w:r>
              <w:rPr>
                <w:rFonts w:hint="eastAsia" w:ascii="仿宋" w:hAnsi="仿宋" w:eastAsia="仿宋" w:cs="仿宋"/>
                <w:color w:val="auto"/>
                <w:sz w:val="24"/>
                <w:szCs w:val="24"/>
              </w:rPr>
              <w:t>分；未提供证明材料或证明材料有缺项的不得分。</w:t>
            </w:r>
          </w:p>
        </w:tc>
        <w:tc>
          <w:tcPr>
            <w:tcW w:w="42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68"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1181"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操作使用性能</w:t>
            </w:r>
          </w:p>
        </w:tc>
        <w:tc>
          <w:tcPr>
            <w:tcW w:w="311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根据视频文件对</w:t>
            </w:r>
            <w:r>
              <w:rPr>
                <w:rFonts w:hint="eastAsia" w:ascii="仿宋" w:hAnsi="仿宋" w:eastAsia="仿宋" w:cs="仿宋"/>
                <w:color w:val="auto"/>
                <w:sz w:val="24"/>
                <w:szCs w:val="24"/>
                <w:lang w:val="en-US" w:eastAsia="zh-CN"/>
              </w:rPr>
              <w:t>品目1：冲锋舟、舟艇舷外机</w:t>
            </w:r>
            <w:r>
              <w:rPr>
                <w:rFonts w:hint="eastAsia" w:ascii="仿宋" w:hAnsi="仿宋" w:eastAsia="仿宋" w:cs="仿宋"/>
                <w:color w:val="auto"/>
                <w:sz w:val="24"/>
                <w:szCs w:val="24"/>
              </w:rPr>
              <w:t>的可靠性、便捷性、稳定性等进行评审。</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可靠性高、便捷性好、稳定性好，操作使用性能提升战斗力程度高的，得</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分；可靠性较高、便捷性较好、稳定性良好，操作使用性能提升战斗力程度较高的，得2分；可靠性不高、便捷性和稳定性一般，操作使用性能提升战斗力程度不高的，得1分；未提供证明材料或证明材料有缺项的不得分。</w:t>
            </w:r>
          </w:p>
        </w:tc>
        <w:tc>
          <w:tcPr>
            <w:tcW w:w="42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68"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p>
        </w:tc>
        <w:tc>
          <w:tcPr>
            <w:tcW w:w="4731" w:type="pct"/>
            <w:gridSpan w:val="4"/>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lang w:eastAsia="zh-CN"/>
              </w:rPr>
            </w:pPr>
            <w:r>
              <w:rPr>
                <w:rFonts w:hint="eastAsia" w:ascii="仿宋" w:hAnsi="仿宋" w:eastAsia="仿宋" w:cs="仿宋"/>
                <w:b/>
                <w:color w:val="auto"/>
                <w:sz w:val="24"/>
                <w:szCs w:val="24"/>
              </w:rPr>
              <w:t>以上评审依据：根据视频文件对产品的整体结构与外观、工艺、操作使用性能进行综合评审，视频文件需对以上三点评审内容进行介绍（包含但不限于以上三点）。视频文件[视频文件格式须为通用格式，佐证视频时长不得超过5分钟，视频清晰度应至少保证所摄的界面文字清晰易辨、画面完整连贯、播放速度正常]应存储于U盘内（单独密封在信封中）与投标文件同时递交，逾期递交不予接收，</w:t>
            </w:r>
            <w:r>
              <w:rPr>
                <w:rFonts w:hint="eastAsia" w:ascii="仿宋" w:hAnsi="仿宋" w:eastAsia="仿宋" w:cs="仿宋"/>
                <w:b/>
                <w:color w:val="auto"/>
                <w:sz w:val="24"/>
                <w:szCs w:val="24"/>
                <w:lang w:eastAsia="zh-CN"/>
              </w:rPr>
              <w:t>U盘由采购代理机构封存，不予退回。未提供视频或视频无法打开的，得0分。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68" w:type="pct"/>
            <w:vMerge w:val="restart"/>
            <w:tcBorders>
              <w:top w:val="single" w:color="auto" w:sz="4" w:space="0"/>
              <w:left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w:t>
            </w:r>
          </w:p>
        </w:tc>
        <w:tc>
          <w:tcPr>
            <w:tcW w:w="1181"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b/>
                <w:color w:val="auto"/>
                <w:sz w:val="24"/>
                <w:szCs w:val="24"/>
              </w:rPr>
            </w:pPr>
            <w:r>
              <w:rPr>
                <w:rFonts w:hint="eastAsia" w:ascii="仿宋" w:hAnsi="仿宋" w:eastAsia="仿宋" w:cs="仿宋"/>
                <w:color w:val="auto"/>
                <w:sz w:val="24"/>
                <w:szCs w:val="24"/>
              </w:rPr>
              <w:t>整体结构与外观</w:t>
            </w:r>
          </w:p>
        </w:tc>
        <w:tc>
          <w:tcPr>
            <w:tcW w:w="311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根据视频文件对</w:t>
            </w:r>
            <w:r>
              <w:rPr>
                <w:rFonts w:hint="eastAsia" w:ascii="仿宋" w:hAnsi="仿宋" w:eastAsia="仿宋" w:cs="仿宋"/>
                <w:color w:val="auto"/>
                <w:sz w:val="24"/>
                <w:szCs w:val="24"/>
                <w:lang w:val="en-US" w:eastAsia="zh-CN"/>
              </w:rPr>
              <w:t>品目2：舷外机</w:t>
            </w:r>
            <w:r>
              <w:rPr>
                <w:rFonts w:hint="eastAsia" w:ascii="仿宋" w:hAnsi="仿宋" w:eastAsia="仿宋" w:cs="仿宋"/>
                <w:color w:val="auto"/>
                <w:sz w:val="24"/>
                <w:szCs w:val="24"/>
              </w:rPr>
              <w:t>的外观构造、内部结构、设计理念等进行评审。</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color w:val="auto"/>
                <w:sz w:val="24"/>
                <w:szCs w:val="24"/>
              </w:rPr>
              <w:t>设计理念先进，外部构造和内部结构科学合理，整体结构外观与实战紧贴程度高的，得</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分；设计理念较为先进，外部构造和内部结构较为合理，整体结构外观与实战紧贴程度较高的，得</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分；设计理念一般，外观构造和内部结构基本合理，整体结构外观与实战紧贴程度不高的，得</w:t>
            </w:r>
            <w:r>
              <w:rPr>
                <w:rFonts w:hint="eastAsia" w:ascii="仿宋" w:hAnsi="仿宋" w:eastAsia="仿宋" w:cs="仿宋"/>
                <w:color w:val="auto"/>
                <w:sz w:val="24"/>
                <w:szCs w:val="24"/>
                <w:lang w:val="en-US" w:eastAsia="zh-CN"/>
              </w:rPr>
              <w:t>0.5</w:t>
            </w:r>
            <w:r>
              <w:rPr>
                <w:rFonts w:hint="eastAsia" w:ascii="仿宋" w:hAnsi="仿宋" w:eastAsia="仿宋" w:cs="仿宋"/>
                <w:color w:val="auto"/>
                <w:sz w:val="24"/>
                <w:szCs w:val="24"/>
              </w:rPr>
              <w:t>分；未提供证明材料或证明材料有缺项的不得分。</w:t>
            </w:r>
          </w:p>
        </w:tc>
        <w:tc>
          <w:tcPr>
            <w:tcW w:w="42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b/>
                <w:color w:val="auto"/>
                <w:sz w:val="24"/>
                <w:szCs w:val="24"/>
              </w:rPr>
            </w:pP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68" w:type="pct"/>
            <w:vMerge w:val="continue"/>
            <w:tcBorders>
              <w:left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p>
        </w:tc>
        <w:tc>
          <w:tcPr>
            <w:tcW w:w="1181"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b/>
                <w:color w:val="auto"/>
                <w:sz w:val="24"/>
                <w:szCs w:val="24"/>
              </w:rPr>
            </w:pPr>
            <w:r>
              <w:rPr>
                <w:rFonts w:hint="eastAsia" w:ascii="仿宋" w:hAnsi="仿宋" w:eastAsia="仿宋" w:cs="仿宋"/>
                <w:color w:val="auto"/>
                <w:sz w:val="24"/>
                <w:szCs w:val="24"/>
              </w:rPr>
              <w:t>工艺</w:t>
            </w:r>
          </w:p>
        </w:tc>
        <w:tc>
          <w:tcPr>
            <w:tcW w:w="311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根据视频文件对</w:t>
            </w:r>
            <w:r>
              <w:rPr>
                <w:rFonts w:hint="eastAsia" w:ascii="仿宋" w:hAnsi="仿宋" w:eastAsia="仿宋" w:cs="仿宋"/>
                <w:color w:val="auto"/>
                <w:sz w:val="24"/>
                <w:szCs w:val="24"/>
                <w:lang w:val="en-US" w:eastAsia="zh-CN"/>
              </w:rPr>
              <w:t>品目2：舷外机</w:t>
            </w:r>
            <w:r>
              <w:rPr>
                <w:rFonts w:hint="eastAsia" w:ascii="仿宋" w:hAnsi="仿宋" w:eastAsia="仿宋" w:cs="仿宋"/>
                <w:color w:val="auto"/>
                <w:sz w:val="24"/>
                <w:szCs w:val="24"/>
              </w:rPr>
              <w:t>的安全性、耐用性、实用性等进行评审。</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color w:val="auto"/>
                <w:sz w:val="24"/>
                <w:szCs w:val="24"/>
              </w:rPr>
              <w:t>安全性能高、耐用性能好、实用性能强，工艺符合实战需求程度高的，得</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分；安全性能较高、耐用性能良好、实用性能较强，工艺符合实战需求程度较高的，得</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分；安全性能不高、耐用性能普通、实用性能一般，工艺符合实战需求程度不高的，得</w:t>
            </w:r>
            <w:r>
              <w:rPr>
                <w:rFonts w:hint="eastAsia" w:ascii="仿宋" w:hAnsi="仿宋" w:eastAsia="仿宋" w:cs="仿宋"/>
                <w:color w:val="auto"/>
                <w:sz w:val="24"/>
                <w:szCs w:val="24"/>
                <w:lang w:val="en-US" w:eastAsia="zh-CN"/>
              </w:rPr>
              <w:t>0.5</w:t>
            </w:r>
            <w:r>
              <w:rPr>
                <w:rFonts w:hint="eastAsia" w:ascii="仿宋" w:hAnsi="仿宋" w:eastAsia="仿宋" w:cs="仿宋"/>
                <w:color w:val="auto"/>
                <w:sz w:val="24"/>
                <w:szCs w:val="24"/>
              </w:rPr>
              <w:t>分；未提供证明材料或证明材料有缺项的不得分。</w:t>
            </w:r>
          </w:p>
        </w:tc>
        <w:tc>
          <w:tcPr>
            <w:tcW w:w="42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b/>
                <w:color w:val="auto"/>
                <w:sz w:val="24"/>
                <w:szCs w:val="24"/>
              </w:rPr>
            </w:pP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68" w:type="pct"/>
            <w:vMerge w:val="continue"/>
            <w:tcBorders>
              <w:left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p>
        </w:tc>
        <w:tc>
          <w:tcPr>
            <w:tcW w:w="1181"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b/>
                <w:color w:val="auto"/>
                <w:sz w:val="24"/>
                <w:szCs w:val="24"/>
              </w:rPr>
            </w:pPr>
            <w:r>
              <w:rPr>
                <w:rFonts w:hint="eastAsia" w:ascii="仿宋" w:hAnsi="仿宋" w:eastAsia="仿宋" w:cs="仿宋"/>
                <w:color w:val="auto"/>
                <w:sz w:val="24"/>
                <w:szCs w:val="24"/>
              </w:rPr>
              <w:t>操作使用性能</w:t>
            </w:r>
          </w:p>
        </w:tc>
        <w:tc>
          <w:tcPr>
            <w:tcW w:w="311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根据视频文件对</w:t>
            </w:r>
            <w:r>
              <w:rPr>
                <w:rFonts w:hint="eastAsia" w:ascii="仿宋" w:hAnsi="仿宋" w:eastAsia="仿宋" w:cs="仿宋"/>
                <w:color w:val="auto"/>
                <w:sz w:val="24"/>
                <w:szCs w:val="24"/>
                <w:lang w:val="en-US" w:eastAsia="zh-CN"/>
              </w:rPr>
              <w:t>品目2：舷外机</w:t>
            </w:r>
            <w:r>
              <w:rPr>
                <w:rFonts w:hint="eastAsia" w:ascii="仿宋" w:hAnsi="仿宋" w:eastAsia="仿宋" w:cs="仿宋"/>
                <w:color w:val="auto"/>
                <w:sz w:val="24"/>
                <w:szCs w:val="24"/>
              </w:rPr>
              <w:t>的可靠性、便捷性、稳定性等进行评审。</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color w:val="auto"/>
                <w:sz w:val="24"/>
                <w:szCs w:val="24"/>
              </w:rPr>
              <w:t>可靠性高、便捷性好、稳定性好，操作使用性能提升战斗力程度高的，得</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分；可靠性较高、便捷性较好、稳定性良好，操作使用性能提升战斗力程度较高的，得2分；可靠性不高、便捷性和稳定性一般，操作使用性能提升战斗力程度不高的，得1分；未提供证明材料或证明材料有缺项的不得分。</w:t>
            </w:r>
          </w:p>
        </w:tc>
        <w:tc>
          <w:tcPr>
            <w:tcW w:w="42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b/>
                <w:color w:val="auto"/>
                <w:sz w:val="24"/>
                <w:szCs w:val="24"/>
              </w:rPr>
            </w:pP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68" w:type="pct"/>
            <w:vMerge w:val="continue"/>
            <w:tcBorders>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p>
        </w:tc>
        <w:tc>
          <w:tcPr>
            <w:tcW w:w="4731" w:type="pct"/>
            <w:gridSpan w:val="4"/>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lang w:eastAsia="zh-CN"/>
              </w:rPr>
            </w:pPr>
            <w:r>
              <w:rPr>
                <w:rFonts w:hint="eastAsia" w:ascii="仿宋" w:hAnsi="仿宋" w:eastAsia="仿宋" w:cs="仿宋"/>
                <w:b/>
                <w:color w:val="auto"/>
                <w:sz w:val="24"/>
                <w:szCs w:val="24"/>
              </w:rPr>
              <w:t>以上评审依据：根据视频文件对产品的整体结构与外观、工艺、操作使用性能进行综合评审，视频文件需对以上三点评审内容进行介绍（包含但不限于以上三点）。视频文件[视频文件格式须为通用格式，佐证视频时长不得超过5分钟，视频清晰度应至少保证所摄的界面文字清晰易辨、画面完整连贯、播放速度正常]应存储于U盘内（单独密封在信封中）与投标文件同时递交，逾期递交不予接收，</w:t>
            </w:r>
            <w:r>
              <w:rPr>
                <w:rFonts w:hint="eastAsia" w:ascii="仿宋" w:hAnsi="仿宋" w:eastAsia="仿宋" w:cs="仿宋"/>
                <w:b/>
                <w:color w:val="auto"/>
                <w:sz w:val="24"/>
                <w:szCs w:val="24"/>
                <w:lang w:eastAsia="zh-CN"/>
              </w:rPr>
              <w:t>U盘由采购代理机构封存，不予退回。未提供视频或视频无法打开的，得0分。</w:t>
            </w:r>
          </w:p>
        </w:tc>
      </w:tr>
    </w:tbl>
    <w:p>
      <w:pPr>
        <w:pageBreakBefore w:val="0"/>
        <w:kinsoku/>
        <w:wordWrap/>
        <w:overflowPunct/>
        <w:topLinePunct w:val="0"/>
        <w:autoSpaceDE/>
        <w:autoSpaceDN/>
        <w:bidi w:val="0"/>
        <w:adjustRightInd/>
        <w:snapToGrid/>
        <w:spacing w:beforeLines="0" w:afterLines="0" w:line="460" w:lineRule="exact"/>
        <w:ind w:firstLine="482" w:firstLineChars="200"/>
        <w:jc w:val="left"/>
        <w:rPr>
          <w:rFonts w:hint="eastAsia" w:ascii="仿宋" w:hAnsi="仿宋" w:eastAsia="仿宋" w:cs="Times New Roman"/>
          <w:b/>
          <w:color w:val="auto"/>
          <w:sz w:val="24"/>
          <w:szCs w:val="24"/>
        </w:rPr>
      </w:pPr>
      <w:r>
        <w:rPr>
          <w:rFonts w:hint="eastAsia" w:ascii="仿宋" w:hAnsi="仿宋" w:eastAsia="仿宋" w:cs="Times New Roman"/>
          <w:b/>
          <w:color w:val="auto"/>
          <w:sz w:val="24"/>
          <w:szCs w:val="24"/>
        </w:rPr>
        <w:t>三、商务部分（1</w:t>
      </w:r>
      <w:r>
        <w:rPr>
          <w:rFonts w:hint="eastAsia" w:ascii="仿宋" w:hAnsi="仿宋" w:eastAsia="仿宋" w:cs="Times New Roman"/>
          <w:b/>
          <w:color w:val="auto"/>
          <w:sz w:val="24"/>
          <w:szCs w:val="24"/>
          <w:lang w:val="en-US" w:eastAsia="zh-CN"/>
        </w:rPr>
        <w:t>5</w:t>
      </w:r>
      <w:r>
        <w:rPr>
          <w:rFonts w:hint="eastAsia" w:ascii="仿宋" w:hAnsi="仿宋" w:eastAsia="仿宋" w:cs="Times New Roman"/>
          <w:b/>
          <w:color w:val="auto"/>
          <w:sz w:val="24"/>
          <w:szCs w:val="24"/>
        </w:rPr>
        <w:t>分）</w:t>
      </w:r>
    </w:p>
    <w:tbl>
      <w:tblPr>
        <w:tblStyle w:val="4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1310"/>
        <w:gridCol w:w="6295"/>
        <w:gridCol w:w="9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eastAsia="仿宋" w:cs="Times New Roman"/>
                <w:b/>
                <w:color w:val="auto"/>
                <w:sz w:val="24"/>
                <w:szCs w:val="22"/>
              </w:rPr>
              <w:t>序号</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eastAsia="仿宋" w:cs="Times New Roman"/>
                <w:b/>
                <w:color w:val="auto"/>
                <w:sz w:val="24"/>
                <w:szCs w:val="22"/>
              </w:rPr>
              <w:t>评审因素</w:t>
            </w:r>
          </w:p>
        </w:tc>
        <w:tc>
          <w:tcPr>
            <w:tcW w:w="338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eastAsia="仿宋" w:cs="Times New Roman"/>
                <w:b/>
                <w:color w:val="auto"/>
                <w:sz w:val="24"/>
                <w:szCs w:val="22"/>
              </w:rPr>
              <w:t>评分标准</w:t>
            </w:r>
          </w:p>
        </w:tc>
        <w:tc>
          <w:tcPr>
            <w:tcW w:w="49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eastAsia="仿宋" w:cs="Times New Roman"/>
                <w:b/>
                <w:color w:val="auto"/>
                <w:sz w:val="24"/>
                <w:szCs w:val="22"/>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cs="Times New Roman"/>
                <w:color w:val="auto"/>
                <w:sz w:val="24"/>
                <w:szCs w:val="22"/>
              </w:rPr>
              <w:t>1</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ascii="仿宋" w:hAnsi="仿宋" w:eastAsia="仿宋" w:cs="仿宋"/>
                <w:color w:val="auto"/>
                <w:sz w:val="24"/>
                <w:szCs w:val="24"/>
              </w:rPr>
              <w:t>符合性评审</w:t>
            </w:r>
          </w:p>
        </w:tc>
        <w:tc>
          <w:tcPr>
            <w:tcW w:w="3887"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cs="Times New Roman"/>
                <w:color w:val="auto"/>
                <w:sz w:val="24"/>
                <w:szCs w:val="22"/>
              </w:rPr>
            </w:pPr>
            <w:r>
              <w:rPr>
                <w:rFonts w:hint="eastAsia" w:eastAsia="仿宋" w:cs="Times New Roman"/>
                <w:color w:val="auto"/>
                <w:sz w:val="24"/>
                <w:szCs w:val="22"/>
              </w:rPr>
              <w:t>投标人必须完全满足招标文件“商务要求”</w:t>
            </w:r>
            <w:r>
              <w:rPr>
                <w:rFonts w:hint="eastAsia" w:eastAsia="仿宋" w:cs="Times New Roman"/>
                <w:color w:val="auto"/>
                <w:sz w:val="24"/>
                <w:szCs w:val="22"/>
                <w:lang w:val="en-US" w:eastAsia="zh-CN"/>
              </w:rPr>
              <w:t>所有</w:t>
            </w:r>
            <w:r>
              <w:rPr>
                <w:rFonts w:hint="eastAsia" w:eastAsia="仿宋" w:cs="Times New Roman"/>
                <w:color w:val="auto"/>
                <w:sz w:val="24"/>
                <w:szCs w:val="22"/>
              </w:rPr>
              <w:t>实质性条款，任意一项不满足作无效投标处理。</w:t>
            </w:r>
          </w:p>
          <w:p>
            <w:pPr>
              <w:pageBreakBefore w:val="0"/>
              <w:kinsoku/>
              <w:wordWrap/>
              <w:overflowPunct/>
              <w:topLinePunct w:val="0"/>
              <w:autoSpaceDE/>
              <w:autoSpaceDN/>
              <w:bidi w:val="0"/>
              <w:adjustRightInd/>
              <w:snapToGrid/>
              <w:spacing w:beforeLines="0" w:afterLines="0" w:line="460" w:lineRule="exact"/>
              <w:rPr>
                <w:rFonts w:hint="eastAsia" w:cs="Times New Roman"/>
                <w:color w:val="auto"/>
                <w:sz w:val="24"/>
                <w:szCs w:val="22"/>
              </w:rPr>
            </w:pPr>
            <w:r>
              <w:rPr>
                <w:rFonts w:hint="eastAsia" w:eastAsia="仿宋" w:cs="Times New Roman"/>
                <w:b/>
                <w:color w:val="auto"/>
                <w:sz w:val="24"/>
                <w:szCs w:val="22"/>
              </w:rPr>
              <w:t>评审依据：投标文件中提供的商务条款响应表。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cs="Times New Roman"/>
                <w:color w:val="auto"/>
                <w:sz w:val="24"/>
                <w:szCs w:val="22"/>
              </w:rPr>
              <w:t>2</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eastAsia="仿宋" w:cs="Times New Roman"/>
                <w:color w:val="auto"/>
                <w:sz w:val="24"/>
                <w:szCs w:val="22"/>
                <w:lang w:eastAsia="zh-CN"/>
              </w:rPr>
            </w:pPr>
            <w:r>
              <w:rPr>
                <w:rFonts w:hint="eastAsia" w:eastAsia="仿宋" w:cs="Times New Roman"/>
                <w:color w:val="auto"/>
                <w:sz w:val="24"/>
                <w:szCs w:val="22"/>
                <w:lang w:eastAsia="zh-CN"/>
              </w:rPr>
              <w:t>生产制造履约能力</w:t>
            </w:r>
          </w:p>
        </w:tc>
        <w:tc>
          <w:tcPr>
            <w:tcW w:w="338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lang w:eastAsia="zh-CN"/>
              </w:rPr>
            </w:pPr>
            <w:r>
              <w:rPr>
                <w:rFonts w:hint="eastAsia" w:eastAsia="仿宋" w:cs="Times New Roman"/>
                <w:color w:val="auto"/>
                <w:sz w:val="24"/>
                <w:szCs w:val="22"/>
                <w:lang w:val="en-US" w:eastAsia="zh-CN"/>
              </w:rPr>
              <w:t>投标人提供所投</w:t>
            </w:r>
            <w:r>
              <w:rPr>
                <w:rFonts w:hint="eastAsia" w:ascii="仿宋" w:hAnsi="仿宋" w:eastAsia="仿宋" w:cs="仿宋"/>
                <w:color w:val="auto"/>
                <w:sz w:val="24"/>
                <w:szCs w:val="24"/>
                <w:lang w:val="en-US" w:eastAsia="zh-CN"/>
              </w:rPr>
              <w:t>品目2：舷外机</w:t>
            </w:r>
            <w:r>
              <w:rPr>
                <w:rFonts w:hint="eastAsia" w:eastAsia="仿宋" w:cs="Times New Roman"/>
                <w:color w:val="auto"/>
                <w:sz w:val="24"/>
                <w:szCs w:val="22"/>
                <w:lang w:val="en-US" w:eastAsia="zh-CN"/>
              </w:rPr>
              <w:t>制造商的证明材料（应加盖制造商公章）</w:t>
            </w:r>
            <w:r>
              <w:rPr>
                <w:rFonts w:hint="eastAsia" w:eastAsia="仿宋" w:cs="Times New Roman"/>
                <w:color w:val="auto"/>
                <w:sz w:val="24"/>
                <w:szCs w:val="22"/>
              </w:rPr>
              <w:t>对</w:t>
            </w:r>
            <w:r>
              <w:rPr>
                <w:rFonts w:hint="eastAsia" w:eastAsia="仿宋" w:cs="Times New Roman"/>
                <w:color w:val="auto"/>
                <w:sz w:val="24"/>
                <w:szCs w:val="22"/>
                <w:lang w:eastAsia="zh-CN"/>
              </w:rPr>
              <w:t>生产制造履约能力</w:t>
            </w:r>
            <w:r>
              <w:rPr>
                <w:rFonts w:hint="eastAsia" w:eastAsia="仿宋" w:cs="Times New Roman"/>
                <w:color w:val="auto"/>
                <w:sz w:val="24"/>
                <w:szCs w:val="22"/>
              </w:rPr>
              <w:t>进行评审，包含但不限于</w:t>
            </w:r>
            <w:r>
              <w:rPr>
                <w:rFonts w:hint="eastAsia" w:eastAsia="仿宋" w:cs="Times New Roman"/>
                <w:color w:val="auto"/>
                <w:sz w:val="24"/>
                <w:szCs w:val="22"/>
                <w:lang w:eastAsia="zh-CN"/>
              </w:rPr>
              <w:t>：</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lang w:eastAsia="zh-CN"/>
              </w:rPr>
            </w:pPr>
            <w:r>
              <w:rPr>
                <w:rFonts w:hint="eastAsia" w:eastAsia="仿宋" w:cs="Times New Roman"/>
                <w:color w:val="auto"/>
                <w:sz w:val="24"/>
                <w:szCs w:val="22"/>
                <w:lang w:eastAsia="zh-CN"/>
              </w:rPr>
              <w:t>①制造商生产经营情况简介；</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lang w:eastAsia="zh-CN"/>
              </w:rPr>
            </w:pPr>
            <w:r>
              <w:rPr>
                <w:rFonts w:hint="eastAsia" w:eastAsia="仿宋" w:cs="Times New Roman"/>
                <w:color w:val="auto"/>
                <w:sz w:val="24"/>
                <w:szCs w:val="22"/>
              </w:rPr>
              <w:t>②</w:t>
            </w:r>
            <w:r>
              <w:rPr>
                <w:rFonts w:hint="eastAsia" w:eastAsia="仿宋" w:cs="Times New Roman"/>
                <w:color w:val="auto"/>
                <w:sz w:val="24"/>
                <w:szCs w:val="22"/>
                <w:lang w:eastAsia="zh-CN"/>
              </w:rPr>
              <w:t>生产工艺流程，主要包括生产制造流程图、生产步骤（应含生产车间环境及实际生产照片）等相关情况描述；</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rPr>
            </w:pPr>
            <w:r>
              <w:rPr>
                <w:rFonts w:hint="eastAsia" w:eastAsia="仿宋" w:cs="Times New Roman"/>
                <w:color w:val="auto"/>
                <w:sz w:val="24"/>
                <w:szCs w:val="22"/>
              </w:rPr>
              <w:t>③产品检验流程，包括主要检验设备</w:t>
            </w:r>
            <w:r>
              <w:rPr>
                <w:rFonts w:hint="eastAsia" w:eastAsia="仿宋" w:cs="Times New Roman"/>
                <w:color w:val="auto"/>
                <w:sz w:val="24"/>
                <w:szCs w:val="22"/>
                <w:lang w:eastAsia="zh-CN"/>
              </w:rPr>
              <w:t>（应提供图片）</w:t>
            </w:r>
            <w:r>
              <w:rPr>
                <w:rFonts w:hint="eastAsia" w:eastAsia="仿宋" w:cs="Times New Roman"/>
                <w:color w:val="auto"/>
                <w:sz w:val="24"/>
                <w:szCs w:val="22"/>
              </w:rPr>
              <w:t>、检验步骤等相关情况描述；</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rPr>
            </w:pPr>
            <w:r>
              <w:rPr>
                <w:rFonts w:hint="eastAsia" w:eastAsia="仿宋" w:cs="Times New Roman"/>
                <w:color w:val="auto"/>
                <w:sz w:val="24"/>
                <w:szCs w:val="22"/>
              </w:rPr>
              <w:t>④人员配备：相关专业技术</w:t>
            </w:r>
            <w:r>
              <w:rPr>
                <w:rFonts w:hint="eastAsia" w:eastAsia="仿宋" w:cs="Times New Roman"/>
                <w:color w:val="auto"/>
                <w:sz w:val="24"/>
                <w:szCs w:val="22"/>
                <w:lang w:eastAsia="zh-CN"/>
              </w:rPr>
              <w:t>职称</w:t>
            </w:r>
            <w:r>
              <w:rPr>
                <w:rFonts w:hint="eastAsia" w:eastAsia="仿宋" w:cs="Times New Roman"/>
                <w:color w:val="auto"/>
                <w:sz w:val="24"/>
                <w:szCs w:val="22"/>
              </w:rPr>
              <w:t>人员配置情况</w:t>
            </w:r>
            <w:r>
              <w:rPr>
                <w:rFonts w:hint="eastAsia" w:eastAsia="仿宋" w:cs="Times New Roman"/>
                <w:color w:val="auto"/>
                <w:sz w:val="24"/>
                <w:szCs w:val="22"/>
                <w:lang w:eastAsia="zh-CN"/>
              </w:rPr>
              <w:t>；</w:t>
            </w:r>
            <w:r>
              <w:rPr>
                <w:rFonts w:hint="eastAsia" w:eastAsia="仿宋" w:cs="Times New Roman"/>
                <w:color w:val="auto"/>
                <w:sz w:val="24"/>
                <w:szCs w:val="22"/>
              </w:rPr>
              <w:t>各原材料采购、生产、检验、仓储、运输等环节的人员配备情况；</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b/>
                <w:color w:val="auto"/>
                <w:sz w:val="24"/>
                <w:szCs w:val="22"/>
              </w:rPr>
            </w:pPr>
            <w:r>
              <w:rPr>
                <w:rFonts w:hint="eastAsia" w:eastAsia="仿宋" w:cs="Times New Roman"/>
                <w:b/>
                <w:color w:val="auto"/>
                <w:sz w:val="24"/>
                <w:szCs w:val="22"/>
              </w:rPr>
              <w:t>评审依据：</w:t>
            </w:r>
            <w:r>
              <w:rPr>
                <w:rFonts w:hint="eastAsia" w:eastAsia="仿宋" w:cs="Times New Roman"/>
                <w:b/>
                <w:color w:val="auto"/>
                <w:sz w:val="24"/>
                <w:szCs w:val="22"/>
                <w:lang w:val="en-US" w:eastAsia="zh-CN"/>
              </w:rPr>
              <w:t>根据</w:t>
            </w:r>
            <w:r>
              <w:rPr>
                <w:rFonts w:hint="eastAsia" w:eastAsia="仿宋" w:cs="Times New Roman"/>
                <w:b/>
                <w:color w:val="auto"/>
                <w:sz w:val="24"/>
                <w:szCs w:val="22"/>
              </w:rPr>
              <w:t>投标人提</w:t>
            </w:r>
            <w:r>
              <w:rPr>
                <w:rFonts w:hint="eastAsia" w:eastAsia="仿宋" w:cs="Times New Roman"/>
                <w:b/>
                <w:color w:val="auto"/>
                <w:sz w:val="24"/>
                <w:szCs w:val="22"/>
                <w:lang w:val="en-US" w:eastAsia="zh-CN"/>
              </w:rPr>
              <w:t>供的生产制造履约能力方案内容完整性、组织性、关联性和可操作性进行评审</w:t>
            </w:r>
            <w:r>
              <w:rPr>
                <w:rFonts w:hint="eastAsia" w:eastAsia="仿宋" w:cs="Times New Roman"/>
                <w:b/>
                <w:color w:val="auto"/>
                <w:sz w:val="24"/>
                <w:szCs w:val="22"/>
              </w:rPr>
              <w:t>。</w:t>
            </w:r>
          </w:p>
          <w:p>
            <w:pPr>
              <w:pageBreakBefore w:val="0"/>
              <w:numPr>
                <w:ilvl w:val="0"/>
                <w:numId w:val="0"/>
              </w:numPr>
              <w:kinsoku/>
              <w:wordWrap/>
              <w:overflowPunct/>
              <w:topLinePunct w:val="0"/>
              <w:autoSpaceDE/>
              <w:autoSpaceDN/>
              <w:bidi w:val="0"/>
              <w:adjustRightInd/>
              <w:snapToGrid/>
              <w:spacing w:beforeLines="0" w:afterLines="0" w:line="460" w:lineRule="exact"/>
              <w:rPr>
                <w:rFonts w:hint="eastAsia" w:ascii="仿宋" w:hAnsi="仿宋" w:eastAsia="仿宋" w:cs="仿宋"/>
                <w:b/>
                <w:color w:val="auto"/>
                <w:sz w:val="24"/>
                <w:szCs w:val="24"/>
              </w:rPr>
            </w:pPr>
            <w:r>
              <w:rPr>
                <w:rFonts w:hint="eastAsia" w:ascii="仿宋" w:hAnsi="仿宋" w:eastAsia="仿宋" w:cs="仿宋"/>
                <w:b/>
                <w:color w:val="auto"/>
                <w:sz w:val="24"/>
                <w:szCs w:val="24"/>
                <w:lang w:val="en-US" w:eastAsia="zh-CN"/>
              </w:rPr>
              <w:t>1、所投品目2：舷外机制造商具备较强自主研发能力及先进的生产工艺，生产车间环境及生产线先进规范，生产步骤完整周详，技术</w:t>
            </w:r>
            <w:r>
              <w:rPr>
                <w:rFonts w:hint="eastAsia" w:ascii="仿宋" w:hAnsi="仿宋" w:eastAsia="仿宋" w:cs="仿宋"/>
                <w:b/>
                <w:color w:val="auto"/>
                <w:sz w:val="24"/>
                <w:szCs w:val="24"/>
              </w:rPr>
              <w:t>人员配备</w:t>
            </w:r>
            <w:r>
              <w:rPr>
                <w:rFonts w:hint="eastAsia" w:ascii="仿宋" w:hAnsi="仿宋" w:eastAsia="仿宋" w:cs="仿宋"/>
                <w:b/>
                <w:color w:val="auto"/>
                <w:sz w:val="24"/>
                <w:szCs w:val="24"/>
                <w:lang w:val="en-US" w:eastAsia="zh-CN"/>
              </w:rPr>
              <w:t>合理专业齐全</w:t>
            </w:r>
            <w:r>
              <w:rPr>
                <w:rFonts w:hint="eastAsia" w:ascii="仿宋" w:hAnsi="仿宋" w:eastAsia="仿宋" w:cs="仿宋"/>
                <w:b/>
                <w:color w:val="auto"/>
                <w:sz w:val="24"/>
                <w:szCs w:val="24"/>
              </w:rPr>
              <w:t>，</w:t>
            </w:r>
            <w:r>
              <w:rPr>
                <w:rFonts w:hint="eastAsia" w:ascii="仿宋" w:hAnsi="仿宋" w:eastAsia="仿宋" w:cs="仿宋"/>
                <w:b/>
                <w:color w:val="auto"/>
                <w:sz w:val="24"/>
                <w:szCs w:val="24"/>
                <w:lang w:val="en-US" w:eastAsia="zh-CN"/>
              </w:rPr>
              <w:t>检验设备配置齐全、检验步骤严密无纰漏，生产制造履约能力</w:t>
            </w:r>
            <w:r>
              <w:rPr>
                <w:rFonts w:hint="eastAsia" w:ascii="仿宋" w:hAnsi="仿宋" w:eastAsia="仿宋" w:cs="仿宋"/>
                <w:b/>
                <w:color w:val="auto"/>
                <w:sz w:val="24"/>
                <w:szCs w:val="24"/>
              </w:rPr>
              <w:t>高的得</w:t>
            </w:r>
            <w:r>
              <w:rPr>
                <w:rFonts w:hint="eastAsia" w:ascii="仿宋" w:hAnsi="仿宋" w:eastAsia="仿宋" w:cs="仿宋"/>
                <w:b/>
                <w:color w:val="auto"/>
                <w:sz w:val="24"/>
                <w:szCs w:val="24"/>
                <w:lang w:val="en-US" w:eastAsia="zh-CN"/>
              </w:rPr>
              <w:t>5</w:t>
            </w:r>
            <w:r>
              <w:rPr>
                <w:rFonts w:hint="eastAsia" w:ascii="仿宋" w:hAnsi="仿宋" w:eastAsia="仿宋" w:cs="仿宋"/>
                <w:b/>
                <w:color w:val="auto"/>
                <w:sz w:val="24"/>
                <w:szCs w:val="24"/>
              </w:rPr>
              <w:t>分；</w:t>
            </w:r>
          </w:p>
          <w:p>
            <w:pPr>
              <w:pageBreakBefore w:val="0"/>
              <w:numPr>
                <w:ilvl w:val="0"/>
                <w:numId w:val="0"/>
              </w:numPr>
              <w:kinsoku/>
              <w:wordWrap/>
              <w:overflowPunct/>
              <w:topLinePunct w:val="0"/>
              <w:autoSpaceDE/>
              <w:autoSpaceDN/>
              <w:bidi w:val="0"/>
              <w:adjustRightInd/>
              <w:snapToGrid/>
              <w:spacing w:beforeLines="0" w:afterLines="0" w:line="460" w:lineRule="exact"/>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2、所投品目2：舷外机制造商有自主研发能力和生产工艺较完整，生产车间环境及生产线常规，生产步骤较完整周详，技术</w:t>
            </w:r>
            <w:r>
              <w:rPr>
                <w:rFonts w:hint="eastAsia" w:ascii="仿宋" w:hAnsi="仿宋" w:eastAsia="仿宋" w:cs="仿宋"/>
                <w:b/>
                <w:color w:val="auto"/>
                <w:sz w:val="24"/>
                <w:szCs w:val="24"/>
              </w:rPr>
              <w:t>人员配备</w:t>
            </w:r>
            <w:r>
              <w:rPr>
                <w:rFonts w:hint="eastAsia" w:ascii="仿宋" w:hAnsi="仿宋" w:eastAsia="仿宋" w:cs="仿宋"/>
                <w:b/>
                <w:color w:val="auto"/>
                <w:sz w:val="24"/>
                <w:szCs w:val="24"/>
                <w:lang w:eastAsia="zh-CN"/>
              </w:rPr>
              <w:t>相对</w:t>
            </w:r>
            <w:r>
              <w:rPr>
                <w:rFonts w:hint="eastAsia" w:ascii="仿宋" w:hAnsi="仿宋" w:eastAsia="仿宋" w:cs="仿宋"/>
                <w:b/>
                <w:color w:val="auto"/>
                <w:sz w:val="24"/>
                <w:szCs w:val="24"/>
                <w:lang w:val="en-US" w:eastAsia="zh-CN"/>
              </w:rPr>
              <w:t>合理专业齐全</w:t>
            </w:r>
            <w:r>
              <w:rPr>
                <w:rFonts w:hint="eastAsia" w:ascii="仿宋" w:hAnsi="仿宋" w:eastAsia="仿宋" w:cs="仿宋"/>
                <w:b/>
                <w:color w:val="auto"/>
                <w:sz w:val="24"/>
                <w:szCs w:val="24"/>
              </w:rPr>
              <w:t>，</w:t>
            </w:r>
            <w:r>
              <w:rPr>
                <w:rFonts w:hint="eastAsia" w:ascii="仿宋" w:hAnsi="仿宋" w:eastAsia="仿宋" w:cs="仿宋"/>
                <w:b/>
                <w:color w:val="auto"/>
                <w:sz w:val="24"/>
                <w:szCs w:val="24"/>
                <w:lang w:val="en-US" w:eastAsia="zh-CN"/>
              </w:rPr>
              <w:t>检验设备配置较齐全、检验步骤相对完备，生产制造履约能力</w:t>
            </w:r>
            <w:r>
              <w:rPr>
                <w:rFonts w:hint="eastAsia" w:ascii="仿宋" w:hAnsi="仿宋" w:eastAsia="仿宋" w:cs="仿宋"/>
                <w:b/>
                <w:color w:val="auto"/>
                <w:sz w:val="24"/>
                <w:szCs w:val="24"/>
                <w:lang w:eastAsia="zh-CN"/>
              </w:rPr>
              <w:t>较</w:t>
            </w:r>
            <w:r>
              <w:rPr>
                <w:rFonts w:hint="eastAsia" w:ascii="仿宋" w:hAnsi="仿宋" w:eastAsia="仿宋" w:cs="仿宋"/>
                <w:b/>
                <w:color w:val="auto"/>
                <w:sz w:val="24"/>
                <w:szCs w:val="24"/>
              </w:rPr>
              <w:t>高的得</w:t>
            </w:r>
            <w:r>
              <w:rPr>
                <w:rFonts w:hint="eastAsia" w:ascii="仿宋" w:hAnsi="仿宋" w:eastAsia="仿宋" w:cs="仿宋"/>
                <w:b/>
                <w:color w:val="auto"/>
                <w:sz w:val="24"/>
                <w:szCs w:val="24"/>
                <w:lang w:val="en-US" w:eastAsia="zh-CN"/>
              </w:rPr>
              <w:t>3</w:t>
            </w:r>
            <w:r>
              <w:rPr>
                <w:rFonts w:hint="eastAsia" w:ascii="仿宋" w:hAnsi="仿宋" w:eastAsia="仿宋" w:cs="仿宋"/>
                <w:b/>
                <w:color w:val="auto"/>
                <w:sz w:val="24"/>
                <w:szCs w:val="24"/>
              </w:rPr>
              <w:t>分</w:t>
            </w:r>
            <w:r>
              <w:rPr>
                <w:rFonts w:hint="eastAsia" w:ascii="仿宋" w:hAnsi="仿宋" w:eastAsia="仿宋" w:cs="仿宋"/>
                <w:b/>
                <w:color w:val="auto"/>
                <w:sz w:val="24"/>
                <w:szCs w:val="24"/>
                <w:lang w:eastAsia="zh-CN"/>
              </w:rPr>
              <w:t>；</w:t>
            </w:r>
          </w:p>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b/>
                <w:color w:val="auto"/>
                <w:sz w:val="24"/>
                <w:szCs w:val="24"/>
                <w:lang w:eastAsia="zh-CN"/>
              </w:rPr>
            </w:pPr>
            <w:r>
              <w:rPr>
                <w:rFonts w:hint="eastAsia" w:ascii="仿宋" w:hAnsi="仿宋" w:eastAsia="仿宋" w:cs="仿宋"/>
                <w:b/>
                <w:color w:val="auto"/>
                <w:sz w:val="24"/>
                <w:szCs w:val="24"/>
                <w:lang w:val="en-US" w:eastAsia="zh-CN"/>
              </w:rPr>
              <w:t>3、所投品目2：舷外机制造商有自主研发能力和生产工艺薄弱，生产车间环境及生产线粗糙落后，生产步骤简单，技术</w:t>
            </w:r>
            <w:r>
              <w:rPr>
                <w:rFonts w:hint="eastAsia" w:ascii="仿宋" w:hAnsi="仿宋" w:eastAsia="仿宋" w:cs="仿宋"/>
                <w:b/>
                <w:color w:val="auto"/>
                <w:sz w:val="24"/>
                <w:szCs w:val="24"/>
              </w:rPr>
              <w:t>人员</w:t>
            </w:r>
            <w:r>
              <w:rPr>
                <w:rFonts w:hint="eastAsia" w:ascii="仿宋" w:hAnsi="仿宋" w:eastAsia="仿宋" w:cs="仿宋"/>
                <w:b/>
                <w:color w:val="auto"/>
                <w:sz w:val="24"/>
                <w:szCs w:val="24"/>
                <w:lang w:eastAsia="zh-CN"/>
              </w:rPr>
              <w:t>综合实力一般，</w:t>
            </w:r>
            <w:r>
              <w:rPr>
                <w:rFonts w:hint="eastAsia" w:ascii="仿宋" w:hAnsi="仿宋" w:eastAsia="仿宋" w:cs="仿宋"/>
                <w:b/>
                <w:color w:val="auto"/>
                <w:sz w:val="24"/>
                <w:szCs w:val="24"/>
                <w:lang w:val="en-US" w:eastAsia="zh-CN"/>
              </w:rPr>
              <w:t>检验设备配置简单落后，检验步骤普通，生产制造履约能力</w:t>
            </w:r>
            <w:r>
              <w:rPr>
                <w:rFonts w:hint="eastAsia" w:ascii="仿宋" w:hAnsi="仿宋" w:eastAsia="仿宋" w:cs="仿宋"/>
                <w:b/>
                <w:color w:val="auto"/>
                <w:sz w:val="24"/>
                <w:szCs w:val="24"/>
                <w:lang w:eastAsia="zh-CN"/>
              </w:rPr>
              <w:t>弱</w:t>
            </w:r>
            <w:r>
              <w:rPr>
                <w:rFonts w:hint="eastAsia" w:ascii="仿宋" w:hAnsi="仿宋" w:eastAsia="仿宋" w:cs="仿宋"/>
                <w:b/>
                <w:color w:val="auto"/>
                <w:sz w:val="24"/>
                <w:szCs w:val="24"/>
              </w:rPr>
              <w:t>的得</w:t>
            </w:r>
            <w:r>
              <w:rPr>
                <w:rFonts w:hint="eastAsia" w:ascii="仿宋" w:hAnsi="仿宋" w:eastAsia="仿宋" w:cs="仿宋"/>
                <w:b/>
                <w:color w:val="auto"/>
                <w:sz w:val="24"/>
                <w:szCs w:val="24"/>
                <w:lang w:val="en-US" w:eastAsia="zh-CN"/>
              </w:rPr>
              <w:t>1</w:t>
            </w:r>
            <w:r>
              <w:rPr>
                <w:rFonts w:hint="eastAsia" w:ascii="仿宋" w:hAnsi="仿宋" w:eastAsia="仿宋" w:cs="仿宋"/>
                <w:b/>
                <w:color w:val="auto"/>
                <w:sz w:val="24"/>
                <w:szCs w:val="24"/>
              </w:rPr>
              <w:t>分</w:t>
            </w:r>
            <w:r>
              <w:rPr>
                <w:rFonts w:hint="eastAsia" w:ascii="仿宋" w:hAnsi="仿宋" w:eastAsia="仿宋" w:cs="仿宋"/>
                <w:b/>
                <w:color w:val="auto"/>
                <w:sz w:val="24"/>
                <w:szCs w:val="24"/>
                <w:lang w:eastAsia="zh-CN"/>
              </w:rPr>
              <w:t>；</w:t>
            </w:r>
          </w:p>
          <w:p>
            <w:pPr>
              <w:pageBreakBefore w:val="0"/>
              <w:kinsoku/>
              <w:wordWrap/>
              <w:overflowPunct/>
              <w:topLinePunct w:val="0"/>
              <w:autoSpaceDE/>
              <w:autoSpaceDN/>
              <w:bidi w:val="0"/>
              <w:adjustRightInd/>
              <w:snapToGrid/>
              <w:spacing w:beforeLines="0" w:afterLines="0" w:line="460" w:lineRule="exact"/>
              <w:rPr>
                <w:rFonts w:hint="eastAsia" w:cs="Times New Roman"/>
                <w:color w:val="auto"/>
                <w:sz w:val="24"/>
                <w:szCs w:val="22"/>
              </w:rPr>
            </w:pPr>
            <w:r>
              <w:rPr>
                <w:rFonts w:hint="eastAsia" w:ascii="仿宋" w:hAnsi="仿宋" w:eastAsia="仿宋" w:cs="仿宋"/>
                <w:b/>
                <w:color w:val="auto"/>
                <w:sz w:val="24"/>
                <w:szCs w:val="24"/>
                <w:lang w:val="en-US" w:eastAsia="zh-CN"/>
              </w:rPr>
              <w:t>4、</w:t>
            </w:r>
            <w:r>
              <w:rPr>
                <w:rFonts w:hint="eastAsia" w:ascii="仿宋" w:hAnsi="仿宋" w:eastAsia="仿宋" w:cs="仿宋"/>
                <w:b/>
                <w:color w:val="auto"/>
                <w:sz w:val="24"/>
                <w:szCs w:val="24"/>
              </w:rPr>
              <w:t>未提供证明材料或证明材料有缺项的不得分。</w:t>
            </w:r>
          </w:p>
        </w:tc>
        <w:tc>
          <w:tcPr>
            <w:tcW w:w="49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cs="Times New Roman"/>
                <w:color w:val="auto"/>
                <w:sz w:val="24"/>
                <w:szCs w:val="22"/>
              </w:rPr>
              <w:t>5</w:t>
            </w:r>
            <w:r>
              <w:rPr>
                <w:rFonts w:hint="eastAsia" w:eastAsia="仿宋" w:cs="Times New Roman"/>
                <w:color w:val="auto"/>
                <w:sz w:val="24"/>
                <w:szCs w:val="22"/>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cs="Times New Roman"/>
                <w:color w:val="auto"/>
                <w:sz w:val="24"/>
                <w:szCs w:val="22"/>
              </w:rPr>
              <w:t>3</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eastAsia="仿宋" w:cs="Times New Roman"/>
                <w:color w:val="auto"/>
                <w:sz w:val="24"/>
                <w:szCs w:val="22"/>
              </w:rPr>
              <w:t>质量保证和保修</w:t>
            </w:r>
          </w:p>
        </w:tc>
        <w:tc>
          <w:tcPr>
            <w:tcW w:w="338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rPr>
                <w:rFonts w:hint="eastAsia" w:cs="Times New Roman"/>
                <w:color w:val="auto"/>
                <w:sz w:val="24"/>
                <w:szCs w:val="22"/>
              </w:rPr>
            </w:pPr>
            <w:r>
              <w:rPr>
                <w:rFonts w:hint="eastAsia" w:eastAsia="仿宋" w:cs="Times New Roman"/>
                <w:color w:val="auto"/>
                <w:sz w:val="24"/>
                <w:szCs w:val="22"/>
              </w:rPr>
              <w:t>在招标文件商务要求中“质保期”和“保修期”要求基础上，承诺“质保期”和“保修期”均每延长一年的加2分，最多加4分。</w:t>
            </w:r>
          </w:p>
          <w:p>
            <w:pPr>
              <w:pageBreakBefore w:val="0"/>
              <w:kinsoku/>
              <w:wordWrap/>
              <w:overflowPunct/>
              <w:topLinePunct w:val="0"/>
              <w:autoSpaceDE/>
              <w:autoSpaceDN/>
              <w:bidi w:val="0"/>
              <w:adjustRightInd/>
              <w:snapToGrid/>
              <w:spacing w:beforeLines="0" w:afterLines="0" w:line="460" w:lineRule="exact"/>
              <w:rPr>
                <w:rFonts w:hint="eastAsia" w:cs="Times New Roman"/>
                <w:color w:val="auto"/>
                <w:sz w:val="24"/>
                <w:szCs w:val="22"/>
              </w:rPr>
            </w:pPr>
            <w:r>
              <w:rPr>
                <w:rFonts w:hint="eastAsia" w:eastAsia="仿宋" w:cs="Times New Roman"/>
                <w:b/>
                <w:color w:val="auto"/>
                <w:sz w:val="24"/>
                <w:szCs w:val="22"/>
              </w:rPr>
              <w:t>评审依据：投标文件中提供“质保期”和“保修期”均延长的承诺函原件。</w:t>
            </w:r>
          </w:p>
        </w:tc>
        <w:tc>
          <w:tcPr>
            <w:tcW w:w="49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cs="Times New Roman"/>
                <w:color w:val="auto"/>
                <w:sz w:val="24"/>
                <w:szCs w:val="22"/>
              </w:rPr>
              <w:t>4</w:t>
            </w:r>
            <w:r>
              <w:rPr>
                <w:rFonts w:hint="eastAsia" w:eastAsia="仿宋" w:cs="Times New Roman"/>
                <w:color w:val="auto"/>
                <w:sz w:val="24"/>
                <w:szCs w:val="22"/>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cs="Times New Roman"/>
                <w:color w:val="auto"/>
                <w:sz w:val="24"/>
                <w:szCs w:val="22"/>
              </w:rPr>
              <w:t>4</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eastAsia="仿宋" w:cs="Times New Roman"/>
                <w:color w:val="auto"/>
                <w:sz w:val="24"/>
                <w:szCs w:val="22"/>
              </w:rPr>
              <w:t>类似销售</w:t>
            </w:r>
          </w:p>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eastAsia="仿宋" w:cs="Times New Roman"/>
                <w:color w:val="auto"/>
                <w:sz w:val="24"/>
                <w:szCs w:val="22"/>
              </w:rPr>
              <w:t>案例</w:t>
            </w:r>
          </w:p>
        </w:tc>
        <w:tc>
          <w:tcPr>
            <w:tcW w:w="338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rPr>
                <w:rFonts w:hint="eastAsia" w:eastAsia="仿宋" w:cs="Times New Roman"/>
                <w:color w:val="auto"/>
                <w:sz w:val="24"/>
                <w:szCs w:val="22"/>
                <w:lang w:eastAsia="zh-CN"/>
              </w:rPr>
            </w:pPr>
            <w:r>
              <w:rPr>
                <w:rFonts w:hint="eastAsia" w:eastAsia="仿宋" w:cs="Times New Roman"/>
                <w:color w:val="auto"/>
                <w:sz w:val="24"/>
                <w:szCs w:val="22"/>
              </w:rPr>
              <w:t>投标人自</w:t>
            </w:r>
            <w:r>
              <w:rPr>
                <w:rFonts w:hint="eastAsia" w:cs="Times New Roman"/>
                <w:color w:val="auto"/>
                <w:sz w:val="24"/>
                <w:szCs w:val="22"/>
              </w:rPr>
              <w:t>20</w:t>
            </w:r>
            <w:r>
              <w:rPr>
                <w:rFonts w:hint="eastAsia" w:eastAsia="仿宋" w:cs="Times New Roman"/>
                <w:color w:val="auto"/>
                <w:sz w:val="24"/>
                <w:szCs w:val="22"/>
              </w:rPr>
              <w:t>2</w:t>
            </w:r>
            <w:r>
              <w:rPr>
                <w:rFonts w:hint="eastAsia" w:eastAsia="仿宋" w:cs="Times New Roman"/>
                <w:color w:val="auto"/>
                <w:sz w:val="24"/>
                <w:szCs w:val="22"/>
                <w:lang w:val="en-US" w:eastAsia="zh-CN"/>
              </w:rPr>
              <w:t>1</w:t>
            </w:r>
            <w:r>
              <w:rPr>
                <w:rFonts w:hint="eastAsia" w:eastAsia="仿宋" w:cs="Times New Roman"/>
                <w:color w:val="auto"/>
                <w:sz w:val="24"/>
                <w:szCs w:val="22"/>
              </w:rPr>
              <w:t>年</w:t>
            </w:r>
            <w:r>
              <w:rPr>
                <w:rFonts w:hint="eastAsia" w:cs="Times New Roman"/>
                <w:color w:val="auto"/>
                <w:sz w:val="24"/>
                <w:szCs w:val="22"/>
              </w:rPr>
              <w:t>1</w:t>
            </w:r>
            <w:r>
              <w:rPr>
                <w:rFonts w:hint="eastAsia" w:eastAsia="仿宋" w:cs="Times New Roman"/>
                <w:color w:val="auto"/>
                <w:sz w:val="24"/>
                <w:szCs w:val="22"/>
              </w:rPr>
              <w:t>月1日至今（以签订合同时间为准）具有类似</w:t>
            </w:r>
            <w:r>
              <w:rPr>
                <w:rFonts w:hint="eastAsia" w:eastAsia="仿宋" w:cs="Times New Roman"/>
                <w:color w:val="auto"/>
                <w:sz w:val="24"/>
                <w:szCs w:val="22"/>
                <w:lang w:val="en-US" w:eastAsia="zh-CN"/>
              </w:rPr>
              <w:t>品目2：舷外机</w:t>
            </w:r>
            <w:r>
              <w:rPr>
                <w:rFonts w:hint="eastAsia" w:eastAsia="仿宋" w:cs="Times New Roman"/>
                <w:color w:val="auto"/>
                <w:sz w:val="24"/>
                <w:szCs w:val="22"/>
              </w:rPr>
              <w:t>销售案例，每提供1份销售案例加</w:t>
            </w:r>
            <w:r>
              <w:rPr>
                <w:rFonts w:hint="eastAsia" w:eastAsia="仿宋" w:cs="Times New Roman"/>
                <w:color w:val="auto"/>
                <w:sz w:val="24"/>
                <w:szCs w:val="22"/>
                <w:lang w:val="en-US" w:eastAsia="zh-CN"/>
              </w:rPr>
              <w:t>2</w:t>
            </w:r>
            <w:r>
              <w:rPr>
                <w:rFonts w:hint="eastAsia" w:eastAsia="仿宋" w:cs="Times New Roman"/>
                <w:color w:val="auto"/>
                <w:sz w:val="24"/>
                <w:szCs w:val="22"/>
              </w:rPr>
              <w:t>分，本项最多加</w:t>
            </w:r>
            <w:r>
              <w:rPr>
                <w:rFonts w:hint="eastAsia" w:eastAsia="仿宋" w:cs="Times New Roman"/>
                <w:color w:val="auto"/>
                <w:sz w:val="24"/>
                <w:szCs w:val="22"/>
                <w:lang w:val="en-US" w:eastAsia="zh-CN"/>
              </w:rPr>
              <w:t>6</w:t>
            </w:r>
            <w:r>
              <w:rPr>
                <w:rFonts w:hint="eastAsia" w:eastAsia="仿宋" w:cs="Times New Roman"/>
                <w:color w:val="auto"/>
                <w:sz w:val="24"/>
                <w:szCs w:val="22"/>
              </w:rPr>
              <w:t>分。</w:t>
            </w:r>
          </w:p>
          <w:p>
            <w:pPr>
              <w:pageBreakBefore w:val="0"/>
              <w:kinsoku/>
              <w:wordWrap/>
              <w:overflowPunct/>
              <w:topLinePunct w:val="0"/>
              <w:autoSpaceDE/>
              <w:autoSpaceDN/>
              <w:bidi w:val="0"/>
              <w:adjustRightInd/>
              <w:snapToGrid/>
              <w:spacing w:beforeLines="0" w:afterLines="0" w:line="460" w:lineRule="exact"/>
              <w:jc w:val="left"/>
              <w:rPr>
                <w:rFonts w:hint="eastAsia" w:cs="Times New Roman"/>
                <w:b/>
                <w:color w:val="auto"/>
                <w:sz w:val="24"/>
                <w:szCs w:val="22"/>
              </w:rPr>
            </w:pPr>
            <w:r>
              <w:rPr>
                <w:rFonts w:hint="eastAsia" w:eastAsia="仿宋" w:cs="Times New Roman"/>
                <w:b/>
                <w:color w:val="auto"/>
                <w:sz w:val="24"/>
                <w:szCs w:val="22"/>
              </w:rPr>
              <w:t>评审依据：①投标文件中提供销售案例明细表（销售案例明细表包含</w:t>
            </w:r>
            <w:r>
              <w:rPr>
                <w:rFonts w:hint="eastAsia" w:cs="Times New Roman"/>
                <w:b/>
                <w:color w:val="auto"/>
                <w:sz w:val="24"/>
                <w:szCs w:val="22"/>
              </w:rPr>
              <w:t>:</w:t>
            </w:r>
            <w:r>
              <w:rPr>
                <w:rFonts w:hint="eastAsia" w:eastAsia="仿宋" w:cs="Times New Roman"/>
                <w:b/>
                <w:color w:val="auto"/>
                <w:sz w:val="24"/>
                <w:szCs w:val="22"/>
              </w:rPr>
              <w:t>发布网站名称、网页链接地址、采购项目名称、采购单位名称和联系方式、采购代理机构名称和联系方式）；②</w:t>
            </w:r>
            <w:r>
              <w:rPr>
                <w:rFonts w:hint="eastAsia" w:eastAsia="仿宋" w:cs="Times New Roman"/>
                <w:b/>
                <w:color w:val="auto"/>
                <w:sz w:val="24"/>
                <w:szCs w:val="22"/>
                <w:lang w:eastAsia="zh-CN"/>
              </w:rPr>
              <w:t>中标（成交）公告截图（打印网页）、中标通知书复印件和合同复印件（中标通知书或合同复印件应体现类似销售案例的货物），合同签订方必须是投标人本身。</w:t>
            </w:r>
          </w:p>
        </w:tc>
        <w:tc>
          <w:tcPr>
            <w:tcW w:w="49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eastAsia="仿宋" w:cs="Times New Roman"/>
                <w:color w:val="auto"/>
                <w:sz w:val="24"/>
                <w:szCs w:val="22"/>
                <w:lang w:val="en-US" w:eastAsia="zh-CN"/>
              </w:rPr>
              <w:t>6</w:t>
            </w:r>
            <w:r>
              <w:rPr>
                <w:rFonts w:hint="eastAsia" w:eastAsia="仿宋" w:cs="Times New Roman"/>
                <w:color w:val="auto"/>
                <w:sz w:val="24"/>
                <w:szCs w:val="22"/>
              </w:rPr>
              <w:t>分</w:t>
            </w:r>
          </w:p>
        </w:tc>
      </w:tr>
    </w:tbl>
    <w:p>
      <w:pPr>
        <w:pageBreakBefore w:val="0"/>
        <w:kinsoku/>
        <w:wordWrap/>
        <w:overflowPunct/>
        <w:topLinePunct w:val="0"/>
        <w:autoSpaceDE/>
        <w:autoSpaceDN/>
        <w:bidi w:val="0"/>
        <w:adjustRightInd/>
        <w:snapToGrid/>
        <w:spacing w:beforeLines="0" w:afterLines="0" w:line="460" w:lineRule="exact"/>
        <w:rPr>
          <w:rFonts w:hint="eastAsia" w:cs="Times New Roman"/>
          <w:color w:val="auto"/>
          <w:sz w:val="21"/>
          <w:szCs w:val="24"/>
        </w:rPr>
      </w:pPr>
    </w:p>
    <w:p>
      <w:pPr>
        <w:pageBreakBefore w:val="0"/>
        <w:kinsoku/>
        <w:wordWrap/>
        <w:overflowPunct/>
        <w:topLinePunct w:val="0"/>
        <w:autoSpaceDE/>
        <w:autoSpaceDN/>
        <w:bidi w:val="0"/>
        <w:adjustRightInd/>
        <w:snapToGrid/>
        <w:spacing w:beforeLines="0" w:afterLines="0" w:line="460" w:lineRule="exact"/>
        <w:rPr>
          <w:rFonts w:hint="eastAsia" w:cs="Times New Roman"/>
          <w:color w:val="auto"/>
          <w:sz w:val="21"/>
          <w:szCs w:val="24"/>
        </w:rPr>
      </w:pPr>
    </w:p>
    <w:p>
      <w:pPr>
        <w:pageBreakBefore w:val="0"/>
        <w:kinsoku/>
        <w:wordWrap/>
        <w:overflowPunct/>
        <w:topLinePunct w:val="0"/>
        <w:autoSpaceDE/>
        <w:autoSpaceDN/>
        <w:bidi w:val="0"/>
        <w:adjustRightInd/>
        <w:snapToGrid/>
        <w:spacing w:beforeLines="0" w:afterLines="0" w:line="460" w:lineRule="exact"/>
        <w:rPr>
          <w:rFonts w:hint="eastAsia" w:cs="Times New Roman"/>
          <w:color w:val="auto"/>
          <w:sz w:val="21"/>
          <w:szCs w:val="24"/>
        </w:rPr>
      </w:pPr>
      <w:r>
        <w:rPr>
          <w:rFonts w:hint="eastAsia" w:cs="Times New Roman"/>
          <w:color w:val="auto"/>
          <w:sz w:val="21"/>
          <w:szCs w:val="24"/>
        </w:rPr>
        <w:br w:type="page"/>
      </w:r>
    </w:p>
    <w:p>
      <w:pPr>
        <w:pStyle w:val="2"/>
        <w:pageBreakBefore w:val="0"/>
        <w:kinsoku/>
        <w:wordWrap/>
        <w:overflowPunct/>
        <w:topLinePunct w:val="0"/>
        <w:autoSpaceDE/>
        <w:autoSpaceDN/>
        <w:bidi w:val="0"/>
        <w:adjustRightInd/>
        <w:snapToGrid/>
        <w:spacing w:beforeLines="0" w:afterLines="0" w:line="460" w:lineRule="exact"/>
        <w:rPr>
          <w:rFonts w:hint="eastAsia" w:ascii="仿宋" w:hAnsi="仿宋" w:eastAsia="仿宋" w:cs="Times New Roman"/>
          <w:color w:val="auto"/>
          <w:sz w:val="32"/>
          <w:szCs w:val="28"/>
        </w:rPr>
      </w:pPr>
      <w:bookmarkStart w:id="691" w:name="_Toc10039"/>
      <w:bookmarkStart w:id="692" w:name="_Toc23142"/>
      <w:bookmarkStart w:id="693" w:name="_Toc437"/>
      <w:bookmarkStart w:id="694" w:name="_Toc21194"/>
      <w:bookmarkStart w:id="695" w:name="_Toc17908"/>
      <w:r>
        <w:rPr>
          <w:rFonts w:hint="eastAsia" w:ascii="仿宋" w:hAnsi="仿宋" w:eastAsia="仿宋" w:cs="仿宋"/>
          <w:color w:val="auto"/>
          <w:sz w:val="28"/>
          <w:szCs w:val="21"/>
          <w:lang w:val="en-US" w:eastAsia="zh-CN"/>
        </w:rPr>
        <w:t>39包：摩托艇</w:t>
      </w:r>
      <w:bookmarkEnd w:id="691"/>
      <w:bookmarkEnd w:id="692"/>
      <w:bookmarkEnd w:id="693"/>
      <w:bookmarkEnd w:id="694"/>
      <w:bookmarkEnd w:id="695"/>
    </w:p>
    <w:p>
      <w:pPr>
        <w:pageBreakBefore w:val="0"/>
        <w:kinsoku/>
        <w:wordWrap/>
        <w:overflowPunct/>
        <w:topLinePunct w:val="0"/>
        <w:autoSpaceDE/>
        <w:autoSpaceDN/>
        <w:bidi w:val="0"/>
        <w:adjustRightInd/>
        <w:snapToGrid/>
        <w:spacing w:beforeLines="0" w:afterLines="0" w:line="460" w:lineRule="exact"/>
        <w:ind w:firstLine="482" w:firstLineChars="200"/>
        <w:jc w:val="left"/>
        <w:rPr>
          <w:rFonts w:hint="eastAsia" w:ascii="仿宋" w:hAnsi="仿宋" w:eastAsia="仿宋" w:cs="Times New Roman"/>
          <w:b/>
          <w:color w:val="auto"/>
          <w:sz w:val="24"/>
          <w:szCs w:val="24"/>
        </w:rPr>
      </w:pPr>
      <w:r>
        <w:rPr>
          <w:rFonts w:hint="eastAsia" w:ascii="仿宋" w:hAnsi="仿宋" w:eastAsia="仿宋" w:cs="Times New Roman"/>
          <w:b/>
          <w:color w:val="auto"/>
          <w:sz w:val="24"/>
          <w:szCs w:val="24"/>
        </w:rPr>
        <w:t>一、价格部分（30分）</w:t>
      </w:r>
    </w:p>
    <w:tbl>
      <w:tblPr>
        <w:tblStyle w:val="4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1579"/>
        <w:gridCol w:w="6182"/>
        <w:gridCol w:w="8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76"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序号</w:t>
            </w:r>
          </w:p>
        </w:tc>
        <w:tc>
          <w:tcPr>
            <w:tcW w:w="850"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评审因素</w:t>
            </w:r>
          </w:p>
        </w:tc>
        <w:tc>
          <w:tcPr>
            <w:tcW w:w="332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评分标准</w:t>
            </w:r>
          </w:p>
        </w:tc>
        <w:tc>
          <w:tcPr>
            <w:tcW w:w="444"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b/>
                <w:color w:val="auto"/>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6"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850"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价格分</w:t>
            </w:r>
          </w:p>
        </w:tc>
        <w:tc>
          <w:tcPr>
            <w:tcW w:w="332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根据综合评分法，满足招标文件要求且投标价格最低的投标报价为评标基准价，投标报价得分=（评标基准价／投标报价）×30%×100，计算分数时四舍五入取小数点后两位。</w:t>
            </w:r>
          </w:p>
          <w:p>
            <w:pPr>
              <w:pageBreakBefore w:val="0"/>
              <w:kinsoku/>
              <w:wordWrap/>
              <w:overflowPunct/>
              <w:topLinePunct w:val="0"/>
              <w:autoSpaceDE/>
              <w:autoSpaceDN/>
              <w:bidi w:val="0"/>
              <w:adjustRightInd/>
              <w:snapToGrid/>
              <w:spacing w:beforeLines="0" w:afterLines="0" w:line="460" w:lineRule="exact"/>
              <w:ind w:firstLine="482" w:firstLineChars="200"/>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注：小、微型企业或残疾人福利性单位产品或监狱产品的价格给予10%的扣除，用扣除后的价格参与评审。但残疾人福利性单位本身属于小型、微型企业的，不重复享受政策。</w:t>
            </w:r>
          </w:p>
        </w:tc>
        <w:tc>
          <w:tcPr>
            <w:tcW w:w="444"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30分</w:t>
            </w:r>
          </w:p>
        </w:tc>
      </w:tr>
    </w:tbl>
    <w:p>
      <w:pPr>
        <w:pageBreakBefore w:val="0"/>
        <w:kinsoku/>
        <w:wordWrap/>
        <w:overflowPunct/>
        <w:topLinePunct w:val="0"/>
        <w:autoSpaceDE/>
        <w:autoSpaceDN/>
        <w:bidi w:val="0"/>
        <w:adjustRightInd/>
        <w:snapToGrid/>
        <w:spacing w:beforeLines="0" w:afterLines="0" w:line="460" w:lineRule="exact"/>
        <w:ind w:firstLine="482" w:firstLineChars="200"/>
        <w:jc w:val="left"/>
        <w:rPr>
          <w:rFonts w:hint="eastAsia" w:ascii="仿宋" w:hAnsi="仿宋" w:eastAsia="仿宋" w:cs="Times New Roman"/>
          <w:b/>
          <w:color w:val="auto"/>
          <w:sz w:val="24"/>
          <w:szCs w:val="24"/>
        </w:rPr>
      </w:pPr>
      <w:r>
        <w:rPr>
          <w:rFonts w:hint="eastAsia" w:ascii="仿宋" w:hAnsi="仿宋" w:eastAsia="仿宋" w:cs="Times New Roman"/>
          <w:b/>
          <w:color w:val="auto"/>
          <w:sz w:val="24"/>
          <w:szCs w:val="24"/>
        </w:rPr>
        <w:t>二、技术部分（5</w:t>
      </w:r>
      <w:r>
        <w:rPr>
          <w:rFonts w:hint="eastAsia" w:ascii="仿宋" w:hAnsi="仿宋" w:eastAsia="仿宋" w:cs="Times New Roman"/>
          <w:b/>
          <w:color w:val="auto"/>
          <w:sz w:val="24"/>
          <w:szCs w:val="24"/>
          <w:lang w:val="en-US" w:eastAsia="zh-CN"/>
        </w:rPr>
        <w:t>5</w:t>
      </w:r>
      <w:r>
        <w:rPr>
          <w:rFonts w:hint="eastAsia" w:ascii="仿宋" w:hAnsi="仿宋" w:eastAsia="仿宋" w:cs="Times New Roman"/>
          <w:b/>
          <w:color w:val="auto"/>
          <w:sz w:val="24"/>
          <w:szCs w:val="24"/>
        </w:rPr>
        <w:t>分）</w:t>
      </w:r>
    </w:p>
    <w:tbl>
      <w:tblPr>
        <w:tblStyle w:val="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2"/>
        <w:gridCol w:w="1902"/>
        <w:gridCol w:w="5807"/>
        <w:gridCol w:w="9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24"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序号</w:t>
            </w:r>
          </w:p>
        </w:tc>
        <w:tc>
          <w:tcPr>
            <w:tcW w:w="1024"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评审因素</w:t>
            </w:r>
          </w:p>
        </w:tc>
        <w:tc>
          <w:tcPr>
            <w:tcW w:w="312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评分标准</w:t>
            </w:r>
          </w:p>
        </w:tc>
        <w:tc>
          <w:tcPr>
            <w:tcW w:w="524"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324"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024"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技术参数及要求</w:t>
            </w:r>
          </w:p>
        </w:tc>
        <w:tc>
          <w:tcPr>
            <w:tcW w:w="3127" w:type="pct"/>
            <w:tcBorders>
              <w:top w:val="single" w:color="auto" w:sz="4" w:space="0"/>
              <w:left w:val="single" w:color="auto" w:sz="4" w:space="0"/>
              <w:bottom w:val="single" w:color="auto" w:sz="4" w:space="0"/>
              <w:right w:val="single" w:color="auto" w:sz="4" w:space="0"/>
              <w:tl2br w:val="nil"/>
              <w:tr2bl w:val="nil"/>
            </w:tcBorders>
            <w:noWrap w:val="0"/>
            <w:vAlign w:val="top"/>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一、重大负偏离评审依据：</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1、带★条款的响应，不满足招标文件要求的，或有缺项、漏项的，视为重大负偏离；</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2、一般参数和带“▲”参数共有四项及以上（含本数）的负偏离，视为重大负偏离；</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二、负偏离评审依据：</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3、所投产品一般参数或带“▲”参数有一项低于招标文件要求，该项视为负偏离；</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4、所投产品一般参数或带“▲”参数有一项缺项、漏项的，该项视为负偏离。</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注：“一般参数”为非标“★”号参数和非标“▲”号参数。</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评审依据：</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①投标文件中提供的技术条款响应表；</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b/>
                <w:color w:val="auto"/>
                <w:sz w:val="24"/>
                <w:szCs w:val="24"/>
              </w:rPr>
              <w:t>②所投产品技术参数完全满足招标文件要求得</w:t>
            </w:r>
            <w:r>
              <w:rPr>
                <w:rFonts w:hint="eastAsia" w:ascii="仿宋" w:hAnsi="仿宋" w:eastAsia="仿宋" w:cs="仿宋"/>
                <w:b/>
                <w:color w:val="auto"/>
                <w:sz w:val="24"/>
                <w:szCs w:val="24"/>
                <w:lang w:val="en-US" w:eastAsia="zh-CN"/>
              </w:rPr>
              <w:t>39</w:t>
            </w:r>
            <w:r>
              <w:rPr>
                <w:rFonts w:hint="eastAsia" w:ascii="仿宋" w:hAnsi="仿宋" w:eastAsia="仿宋" w:cs="仿宋"/>
                <w:b/>
                <w:color w:val="auto"/>
                <w:sz w:val="24"/>
                <w:szCs w:val="24"/>
              </w:rPr>
              <w:t>分；重大负偏离则视为无效投标；一般参数或带“▲”参数每有一项负偏离减5分，最多减15分，四项或以上负偏离视为无效投标。</w:t>
            </w:r>
          </w:p>
        </w:tc>
        <w:tc>
          <w:tcPr>
            <w:tcW w:w="524"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rPr>
              <w:t>39分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24" w:type="pct"/>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1024"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▲3.4功率：≥120Kw</w:t>
            </w:r>
          </w:p>
        </w:tc>
        <w:tc>
          <w:tcPr>
            <w:tcW w:w="312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所投产品</w:t>
            </w:r>
            <w:r>
              <w:rPr>
                <w:rFonts w:hint="eastAsia" w:ascii="仿宋" w:hAnsi="仿宋" w:eastAsia="仿宋" w:cs="仿宋"/>
                <w:color w:val="auto"/>
                <w:sz w:val="24"/>
                <w:szCs w:val="24"/>
                <w:lang w:val="en-US" w:eastAsia="zh-CN"/>
              </w:rPr>
              <w:t>的</w:t>
            </w:r>
            <w:r>
              <w:rPr>
                <w:rFonts w:hint="eastAsia" w:ascii="仿宋" w:hAnsi="仿宋" w:eastAsia="仿宋" w:cs="仿宋"/>
                <w:color w:val="auto"/>
                <w:sz w:val="24"/>
                <w:szCs w:val="24"/>
              </w:rPr>
              <w:t>功率优于招标文件要求的，功率最优的加</w:t>
            </w:r>
            <w:r>
              <w:rPr>
                <w:rFonts w:hint="eastAsia" w:ascii="仿宋" w:hAnsi="仿宋" w:eastAsia="仿宋" w:cs="仿宋"/>
                <w:color w:val="auto"/>
                <w:sz w:val="24"/>
                <w:szCs w:val="24"/>
                <w:lang w:val="en-US" w:eastAsia="zh-CN"/>
              </w:rPr>
              <w:t>3分</w:t>
            </w:r>
            <w:r>
              <w:rPr>
                <w:rFonts w:hint="eastAsia" w:ascii="仿宋" w:hAnsi="仿宋" w:eastAsia="仿宋" w:cs="仿宋"/>
                <w:color w:val="auto"/>
                <w:sz w:val="24"/>
                <w:szCs w:val="24"/>
              </w:rPr>
              <w:t>，功率次优的加2分，其余加1分。（可并列得分）</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b/>
                <w:color w:val="auto"/>
                <w:sz w:val="24"/>
                <w:szCs w:val="24"/>
              </w:rPr>
              <w:t>注：最优表示功率最大，次优表示功率仅次于最大值。</w:t>
            </w:r>
          </w:p>
        </w:tc>
        <w:tc>
          <w:tcPr>
            <w:tcW w:w="524"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24"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1024"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▲3.8最</w:t>
            </w:r>
            <w:r>
              <w:rPr>
                <w:rFonts w:hint="eastAsia" w:ascii="仿宋" w:hAnsi="仿宋" w:eastAsia="仿宋" w:cs="仿宋"/>
                <w:color w:val="auto"/>
                <w:sz w:val="24"/>
                <w:szCs w:val="24"/>
                <w:lang w:eastAsia="zh-CN"/>
              </w:rPr>
              <w:t>大</w:t>
            </w:r>
            <w:r>
              <w:rPr>
                <w:rFonts w:hint="eastAsia" w:ascii="仿宋" w:hAnsi="仿宋" w:eastAsia="仿宋" w:cs="仿宋"/>
                <w:color w:val="auto"/>
                <w:sz w:val="24"/>
                <w:szCs w:val="24"/>
              </w:rPr>
              <w:t>载重：≥240kg</w:t>
            </w:r>
          </w:p>
        </w:tc>
        <w:tc>
          <w:tcPr>
            <w:tcW w:w="312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所投</w:t>
            </w:r>
            <w:r>
              <w:rPr>
                <w:rFonts w:hint="eastAsia" w:ascii="仿宋" w:hAnsi="仿宋" w:eastAsia="仿宋" w:cs="仿宋"/>
                <w:color w:val="auto"/>
                <w:sz w:val="24"/>
                <w:szCs w:val="24"/>
                <w:lang w:val="en-US" w:eastAsia="zh-CN"/>
              </w:rPr>
              <w:t>产品的最高载重</w:t>
            </w:r>
            <w:r>
              <w:rPr>
                <w:rFonts w:hint="eastAsia" w:ascii="仿宋" w:hAnsi="仿宋" w:eastAsia="仿宋" w:cs="仿宋"/>
                <w:color w:val="auto"/>
                <w:sz w:val="24"/>
                <w:szCs w:val="24"/>
              </w:rPr>
              <w:t>优于招标文件要求的，最高载重最优的加</w:t>
            </w:r>
            <w:r>
              <w:rPr>
                <w:rFonts w:hint="eastAsia" w:ascii="仿宋" w:hAnsi="仿宋" w:eastAsia="仿宋" w:cs="仿宋"/>
                <w:color w:val="auto"/>
                <w:sz w:val="24"/>
                <w:szCs w:val="24"/>
                <w:lang w:val="en-US" w:eastAsia="zh-CN"/>
              </w:rPr>
              <w:t>3分</w:t>
            </w:r>
            <w:r>
              <w:rPr>
                <w:rFonts w:hint="eastAsia" w:ascii="仿宋" w:hAnsi="仿宋" w:eastAsia="仿宋" w:cs="仿宋"/>
                <w:color w:val="auto"/>
                <w:sz w:val="24"/>
                <w:szCs w:val="24"/>
              </w:rPr>
              <w:t>，最高载重次优的加2分，其余加1分。（可并列得分）</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注：最优</w:t>
            </w:r>
            <w:r>
              <w:rPr>
                <w:rFonts w:hint="eastAsia" w:ascii="仿宋" w:hAnsi="仿宋" w:eastAsia="仿宋" w:cs="仿宋"/>
                <w:b/>
                <w:color w:val="auto"/>
                <w:sz w:val="24"/>
                <w:szCs w:val="24"/>
                <w:lang w:val="en-US" w:eastAsia="zh-CN"/>
              </w:rPr>
              <w:t>表示</w:t>
            </w:r>
            <w:r>
              <w:rPr>
                <w:rFonts w:hint="eastAsia" w:ascii="仿宋" w:hAnsi="仿宋" w:eastAsia="仿宋" w:cs="仿宋"/>
                <w:b/>
                <w:color w:val="auto"/>
                <w:sz w:val="24"/>
                <w:szCs w:val="24"/>
              </w:rPr>
              <w:t>最高载重最大，次优表示最高载重仅次于最大值。</w:t>
            </w:r>
          </w:p>
        </w:tc>
        <w:tc>
          <w:tcPr>
            <w:tcW w:w="524"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24" w:type="pct"/>
            <w:vMerge w:val="continue"/>
            <w:tcBorders>
              <w:top w:val="single" w:color="auto" w:sz="4" w:space="0"/>
              <w:left w:val="single" w:color="auto" w:sz="4" w:space="0"/>
              <w:bottom w:val="single" w:color="auto" w:sz="4" w:space="0"/>
              <w:right w:val="single" w:color="auto" w:sz="4" w:space="0"/>
              <w:tl2br w:val="nil"/>
              <w:tr2bl w:val="nil"/>
            </w:tcBorders>
            <w:noWrap w:val="0"/>
            <w:vAlign w:val="top"/>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p>
        </w:tc>
        <w:tc>
          <w:tcPr>
            <w:tcW w:w="4675" w:type="pct"/>
            <w:gridSpan w:val="3"/>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lang w:eastAsia="zh-CN"/>
              </w:rPr>
            </w:pPr>
            <w:r>
              <w:rPr>
                <w:rFonts w:hint="eastAsia" w:ascii="仿宋" w:hAnsi="仿宋" w:eastAsia="仿宋" w:cs="仿宋"/>
                <w:b/>
                <w:color w:val="auto"/>
                <w:sz w:val="24"/>
                <w:szCs w:val="24"/>
              </w:rPr>
              <w:t>评审依据：提供技术条款响应表和技术支撑文件</w:t>
            </w:r>
            <w:r>
              <w:rPr>
                <w:rFonts w:hint="eastAsia" w:ascii="仿宋" w:hAnsi="仿宋" w:eastAsia="仿宋" w:cs="仿宋"/>
                <w:b/>
                <w:color w:val="auto"/>
                <w:sz w:val="24"/>
                <w:szCs w:val="24"/>
                <w:lang w:eastAsia="zh-CN"/>
              </w:rPr>
              <w:t>。</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w:t>
            </w:r>
            <w:r>
              <w:rPr>
                <w:rFonts w:hint="eastAsia" w:ascii="仿宋" w:hAnsi="仿宋" w:eastAsia="仿宋" w:cs="仿宋"/>
                <w:b/>
                <w:color w:val="auto"/>
                <w:sz w:val="24"/>
                <w:szCs w:val="24"/>
                <w:lang w:val="en-US" w:eastAsia="zh-CN"/>
              </w:rPr>
              <w:t>说明：技术支撑文件为以下任意3种材料中的其中1种材料：</w:t>
            </w:r>
            <w:r>
              <w:rPr>
                <w:rFonts w:hint="eastAsia" w:ascii="仿宋" w:hAnsi="仿宋" w:eastAsia="仿宋" w:cs="仿宋"/>
                <w:b/>
                <w:color w:val="auto"/>
                <w:sz w:val="24"/>
                <w:szCs w:val="24"/>
              </w:rPr>
              <w:t>①</w:t>
            </w:r>
            <w:r>
              <w:rPr>
                <w:rFonts w:hint="eastAsia" w:ascii="仿宋" w:hAnsi="仿宋" w:eastAsia="仿宋" w:cs="仿宋"/>
                <w:b/>
                <w:color w:val="auto"/>
                <w:sz w:val="24"/>
                <w:szCs w:val="24"/>
                <w:lang w:val="en-US" w:eastAsia="zh-CN"/>
              </w:rPr>
              <w:t>所投</w:t>
            </w:r>
            <w:r>
              <w:rPr>
                <w:rFonts w:hint="eastAsia" w:ascii="仿宋" w:hAnsi="仿宋" w:eastAsia="仿宋" w:cs="仿宋"/>
                <w:b/>
                <w:color w:val="auto"/>
                <w:sz w:val="24"/>
                <w:szCs w:val="24"/>
              </w:rPr>
              <w:t>产品检测报告复印件</w:t>
            </w:r>
            <w:r>
              <w:rPr>
                <w:rFonts w:hint="eastAsia" w:ascii="仿宋" w:hAnsi="仿宋" w:eastAsia="仿宋" w:cs="仿宋"/>
                <w:b/>
                <w:color w:val="auto"/>
                <w:sz w:val="24"/>
                <w:szCs w:val="24"/>
                <w:lang w:val="en-US" w:eastAsia="zh-CN"/>
              </w:rPr>
              <w:t>；</w:t>
            </w:r>
            <w:r>
              <w:rPr>
                <w:rFonts w:hint="eastAsia" w:ascii="仿宋" w:hAnsi="仿宋" w:eastAsia="仿宋" w:cs="仿宋"/>
                <w:b/>
                <w:color w:val="auto"/>
                <w:sz w:val="24"/>
                <w:szCs w:val="24"/>
              </w:rPr>
              <w:t>②</w:t>
            </w:r>
            <w:r>
              <w:rPr>
                <w:rFonts w:hint="eastAsia" w:ascii="仿宋" w:hAnsi="仿宋" w:eastAsia="仿宋" w:cs="仿宋"/>
                <w:b/>
                <w:color w:val="auto"/>
                <w:sz w:val="24"/>
                <w:szCs w:val="24"/>
                <w:lang w:val="en-US" w:eastAsia="zh-CN"/>
              </w:rPr>
              <w:t>制造商公开发布的</w:t>
            </w:r>
            <w:r>
              <w:rPr>
                <w:rFonts w:hint="eastAsia" w:ascii="仿宋" w:hAnsi="仿宋" w:eastAsia="仿宋" w:cs="仿宋"/>
                <w:b/>
                <w:color w:val="auto"/>
                <w:sz w:val="24"/>
                <w:szCs w:val="24"/>
              </w:rPr>
              <w:t>产品</w:t>
            </w:r>
            <w:r>
              <w:rPr>
                <w:rFonts w:hint="eastAsia" w:ascii="仿宋" w:hAnsi="仿宋" w:eastAsia="仿宋" w:cs="仿宋"/>
                <w:b/>
                <w:color w:val="auto"/>
                <w:sz w:val="24"/>
                <w:szCs w:val="24"/>
                <w:lang w:val="en-US" w:eastAsia="zh-CN"/>
              </w:rPr>
              <w:t>印刷资料</w:t>
            </w:r>
            <w:r>
              <w:rPr>
                <w:rFonts w:hint="eastAsia" w:ascii="仿宋" w:hAnsi="仿宋" w:eastAsia="仿宋" w:cs="仿宋"/>
                <w:b/>
                <w:color w:val="auto"/>
                <w:sz w:val="24"/>
                <w:szCs w:val="24"/>
              </w:rPr>
              <w:t>并加盖制造商公章</w:t>
            </w:r>
            <w:r>
              <w:rPr>
                <w:rFonts w:hint="eastAsia" w:ascii="仿宋" w:hAnsi="仿宋" w:eastAsia="仿宋" w:cs="仿宋"/>
                <w:b/>
                <w:color w:val="auto"/>
                <w:sz w:val="24"/>
                <w:szCs w:val="24"/>
                <w:lang w:val="en-US" w:eastAsia="zh-CN"/>
              </w:rPr>
              <w:t>；</w:t>
            </w:r>
            <w:r>
              <w:rPr>
                <w:rFonts w:hint="eastAsia" w:ascii="仿宋" w:hAnsi="仿宋" w:eastAsia="仿宋" w:cs="仿宋"/>
                <w:b/>
                <w:color w:val="auto"/>
                <w:sz w:val="24"/>
                <w:szCs w:val="24"/>
              </w:rPr>
              <w:t>③制造商出具的技术参数证明材料并加盖制造商公章。]</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b/>
                <w:color w:val="auto"/>
                <w:sz w:val="24"/>
                <w:szCs w:val="24"/>
              </w:rPr>
              <w:t>注：①供应商应认真提供技术支撑文件，若提供多份技术支撑文件，技术支撑文件佐证不一致时，优先级为：产品检测报告复印件＞制造商公开发布的印刷资料＞制造商出具的技术参数证明</w:t>
            </w:r>
            <w:r>
              <w:rPr>
                <w:rFonts w:hint="eastAsia" w:ascii="仿宋" w:hAnsi="仿宋" w:eastAsia="仿宋" w:cs="仿宋"/>
                <w:b/>
                <w:color w:val="auto"/>
                <w:sz w:val="24"/>
                <w:szCs w:val="24"/>
                <w:lang w:val="en-US" w:eastAsia="zh-CN"/>
              </w:rPr>
              <w:t>材料</w:t>
            </w:r>
            <w:r>
              <w:rPr>
                <w:rFonts w:hint="eastAsia" w:ascii="仿宋" w:hAnsi="仿宋" w:eastAsia="仿宋" w:cs="仿宋"/>
                <w:b/>
                <w:color w:val="auto"/>
                <w:sz w:val="24"/>
                <w:szCs w:val="24"/>
              </w:rPr>
              <w:t>；②技术支撑文件</w:t>
            </w:r>
            <w:r>
              <w:rPr>
                <w:rFonts w:hint="eastAsia" w:ascii="仿宋" w:hAnsi="仿宋" w:eastAsia="仿宋" w:cs="仿宋"/>
                <w:b/>
                <w:color w:val="auto"/>
                <w:sz w:val="24"/>
                <w:szCs w:val="24"/>
                <w:lang w:val="en-US" w:eastAsia="zh-CN"/>
              </w:rPr>
              <w:t>与</w:t>
            </w:r>
            <w:r>
              <w:rPr>
                <w:rFonts w:hint="eastAsia" w:ascii="仿宋" w:hAnsi="仿宋" w:eastAsia="仿宋" w:cs="仿宋"/>
                <w:b/>
                <w:color w:val="auto"/>
                <w:sz w:val="24"/>
                <w:szCs w:val="24"/>
              </w:rPr>
              <w:t>技术条款响应表</w:t>
            </w:r>
            <w:r>
              <w:rPr>
                <w:rFonts w:hint="eastAsia" w:ascii="仿宋" w:hAnsi="仿宋" w:eastAsia="仿宋" w:cs="仿宋"/>
                <w:b/>
                <w:color w:val="auto"/>
                <w:sz w:val="24"/>
                <w:szCs w:val="24"/>
                <w:lang w:eastAsia="zh-CN"/>
              </w:rPr>
              <w:t>不一致，则</w:t>
            </w:r>
            <w:r>
              <w:rPr>
                <w:rFonts w:hint="eastAsia" w:ascii="仿宋" w:hAnsi="仿宋" w:eastAsia="仿宋" w:cs="仿宋"/>
                <w:b/>
                <w:color w:val="auto"/>
                <w:sz w:val="24"/>
                <w:szCs w:val="24"/>
              </w:rPr>
              <w:t>该点不加分</w:t>
            </w:r>
            <w:r>
              <w:rPr>
                <w:rFonts w:hint="eastAsia" w:ascii="仿宋" w:hAnsi="仿宋" w:eastAsia="仿宋" w:cs="仿宋"/>
                <w:b/>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24" w:type="pct"/>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1024"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整体结构与外观</w:t>
            </w:r>
          </w:p>
        </w:tc>
        <w:tc>
          <w:tcPr>
            <w:tcW w:w="312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根据视频文件对</w:t>
            </w:r>
            <w:r>
              <w:rPr>
                <w:rFonts w:hint="eastAsia" w:ascii="仿宋" w:hAnsi="仿宋" w:eastAsia="仿宋" w:cs="仿宋"/>
                <w:color w:val="auto"/>
                <w:sz w:val="24"/>
                <w:szCs w:val="24"/>
                <w:lang w:eastAsia="zh-CN"/>
              </w:rPr>
              <w:t>产品</w:t>
            </w:r>
            <w:r>
              <w:rPr>
                <w:rFonts w:hint="eastAsia" w:ascii="仿宋" w:hAnsi="仿宋" w:eastAsia="仿宋" w:cs="仿宋"/>
                <w:color w:val="auto"/>
                <w:sz w:val="24"/>
                <w:szCs w:val="24"/>
              </w:rPr>
              <w:t>的外观构造、内部结构、设计理念等进行评审。</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设计理念先进，外部构造和内部结构科学合理，整体结构外观与实战紧贴程度高的，得3分；设计理念较为先进，外部构造和内部结构较为合理，整体结构外观与实战紧贴程度较高的，得2分；设计理念一般，外观构造和内部结构基本合理，整体结构外观与实战紧贴程度不高的，得1分；未提供证明材料或证明材料有缺项的不得分。</w:t>
            </w:r>
          </w:p>
        </w:tc>
        <w:tc>
          <w:tcPr>
            <w:tcW w:w="524"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24"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1024"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工艺</w:t>
            </w:r>
          </w:p>
        </w:tc>
        <w:tc>
          <w:tcPr>
            <w:tcW w:w="312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根据视频文件对</w:t>
            </w:r>
            <w:r>
              <w:rPr>
                <w:rFonts w:hint="eastAsia" w:ascii="仿宋" w:hAnsi="仿宋" w:eastAsia="仿宋" w:cs="仿宋"/>
                <w:color w:val="auto"/>
                <w:sz w:val="24"/>
                <w:szCs w:val="24"/>
                <w:lang w:eastAsia="zh-CN"/>
              </w:rPr>
              <w:t>产品</w:t>
            </w:r>
            <w:r>
              <w:rPr>
                <w:rFonts w:hint="eastAsia" w:ascii="仿宋" w:hAnsi="仿宋" w:eastAsia="仿宋" w:cs="仿宋"/>
                <w:color w:val="auto"/>
                <w:sz w:val="24"/>
                <w:szCs w:val="24"/>
              </w:rPr>
              <w:t>的安全性、耐用性、实用性等进行评审。</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安全性能高、耐用性能好、实用性能强，工艺符合实战需求程度高的，得3分；安全性能较高、耐用性能良好、实用性能较强，工艺符合实战需求程度较高的，得2分；安全性能不高、耐用性能普通、实用性能一般，工艺符合实战需求程度不高的，得1分；未提供证明材料或证明材料有缺项的不得分。</w:t>
            </w:r>
          </w:p>
        </w:tc>
        <w:tc>
          <w:tcPr>
            <w:tcW w:w="524"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24"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1024"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操作使用性能</w:t>
            </w:r>
          </w:p>
        </w:tc>
        <w:tc>
          <w:tcPr>
            <w:tcW w:w="312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根据视频文件对</w:t>
            </w:r>
            <w:r>
              <w:rPr>
                <w:rFonts w:hint="eastAsia" w:ascii="仿宋" w:hAnsi="仿宋" w:eastAsia="仿宋" w:cs="仿宋"/>
                <w:color w:val="auto"/>
                <w:sz w:val="24"/>
                <w:szCs w:val="24"/>
                <w:lang w:eastAsia="zh-CN"/>
              </w:rPr>
              <w:t>产品</w:t>
            </w:r>
            <w:r>
              <w:rPr>
                <w:rFonts w:hint="eastAsia" w:ascii="仿宋" w:hAnsi="仿宋" w:eastAsia="仿宋" w:cs="仿宋"/>
                <w:color w:val="auto"/>
                <w:sz w:val="24"/>
                <w:szCs w:val="24"/>
              </w:rPr>
              <w:t>的可靠性、便捷性、稳定性等进行评审。</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可靠性高、便捷性好、稳定性好，操作使用性能提升战斗力程度高的，得4分；可靠性较高、便捷性较好、稳定性良好，操作使用性能提升战斗力程度较高的，得2分；可靠性不高、便捷性和稳定性一般，操作使用性能提升战斗力程度不高的，得1分；未提供证明材料或证明材料有缺项的不得分。</w:t>
            </w:r>
          </w:p>
        </w:tc>
        <w:tc>
          <w:tcPr>
            <w:tcW w:w="524"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24"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p>
        </w:tc>
        <w:tc>
          <w:tcPr>
            <w:tcW w:w="4675" w:type="pct"/>
            <w:gridSpan w:val="3"/>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lang w:eastAsia="zh-CN"/>
              </w:rPr>
            </w:pPr>
            <w:r>
              <w:rPr>
                <w:rFonts w:hint="eastAsia" w:ascii="仿宋" w:hAnsi="仿宋" w:eastAsia="仿宋" w:cs="仿宋"/>
                <w:b/>
                <w:color w:val="auto"/>
                <w:sz w:val="24"/>
                <w:szCs w:val="24"/>
              </w:rPr>
              <w:t>以上评审依据：根据视频文件对产品的整体结构与外观、工艺、操作使用性能进行综合评审，视频文件需对以上三点评审内容进行介绍（包含但不限于以上三点）。视频文件[视频文件格式须为通用格式，佐证视频时长不得超过5分钟，视频清晰度应至少保证所摄的界面文字清晰易辨、画面完整连贯、播放速度正常]应存储于U盘内（单独密封在信封中）与投标文件同时递交，逾期递交不予接收，</w:t>
            </w:r>
            <w:r>
              <w:rPr>
                <w:rFonts w:hint="eastAsia" w:ascii="仿宋" w:hAnsi="仿宋" w:eastAsia="仿宋" w:cs="仿宋"/>
                <w:b/>
                <w:color w:val="auto"/>
                <w:sz w:val="24"/>
                <w:szCs w:val="24"/>
                <w:lang w:eastAsia="zh-CN"/>
              </w:rPr>
              <w:t>U盘由采购代理机构封存，不予退回。未提供视频或视频无法打开的，得0分。</w:t>
            </w:r>
          </w:p>
        </w:tc>
      </w:tr>
    </w:tbl>
    <w:p>
      <w:pPr>
        <w:pageBreakBefore w:val="0"/>
        <w:kinsoku/>
        <w:wordWrap/>
        <w:overflowPunct/>
        <w:topLinePunct w:val="0"/>
        <w:autoSpaceDE/>
        <w:autoSpaceDN/>
        <w:bidi w:val="0"/>
        <w:adjustRightInd/>
        <w:snapToGrid/>
        <w:spacing w:beforeLines="0" w:afterLines="0" w:line="460" w:lineRule="exact"/>
        <w:ind w:firstLine="482" w:firstLineChars="200"/>
        <w:jc w:val="left"/>
        <w:rPr>
          <w:rFonts w:hint="eastAsia" w:ascii="仿宋" w:hAnsi="仿宋" w:eastAsia="仿宋" w:cs="Times New Roman"/>
          <w:b/>
          <w:color w:val="auto"/>
          <w:sz w:val="24"/>
          <w:szCs w:val="24"/>
        </w:rPr>
      </w:pPr>
      <w:r>
        <w:rPr>
          <w:rFonts w:hint="eastAsia" w:ascii="仿宋" w:hAnsi="仿宋" w:eastAsia="仿宋" w:cs="Times New Roman"/>
          <w:b/>
          <w:color w:val="auto"/>
          <w:sz w:val="24"/>
          <w:szCs w:val="24"/>
        </w:rPr>
        <w:t>三、商务部分（1</w:t>
      </w:r>
      <w:r>
        <w:rPr>
          <w:rFonts w:hint="eastAsia" w:ascii="仿宋" w:hAnsi="仿宋" w:eastAsia="仿宋" w:cs="Times New Roman"/>
          <w:b/>
          <w:color w:val="auto"/>
          <w:sz w:val="24"/>
          <w:szCs w:val="24"/>
          <w:lang w:val="en-US" w:eastAsia="zh-CN"/>
        </w:rPr>
        <w:t>5</w:t>
      </w:r>
      <w:r>
        <w:rPr>
          <w:rFonts w:hint="eastAsia" w:ascii="仿宋" w:hAnsi="仿宋" w:eastAsia="仿宋" w:cs="Times New Roman"/>
          <w:b/>
          <w:color w:val="auto"/>
          <w:sz w:val="24"/>
          <w:szCs w:val="24"/>
        </w:rPr>
        <w:t>分）</w:t>
      </w:r>
    </w:p>
    <w:tbl>
      <w:tblPr>
        <w:tblStyle w:val="4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1310"/>
        <w:gridCol w:w="6295"/>
        <w:gridCol w:w="9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eastAsia="仿宋" w:cs="Times New Roman"/>
                <w:b/>
                <w:color w:val="auto"/>
                <w:sz w:val="24"/>
                <w:szCs w:val="22"/>
              </w:rPr>
              <w:t>序号</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eastAsia="仿宋" w:cs="Times New Roman"/>
                <w:b/>
                <w:color w:val="auto"/>
                <w:sz w:val="24"/>
                <w:szCs w:val="22"/>
              </w:rPr>
              <w:t>评审因素</w:t>
            </w:r>
          </w:p>
        </w:tc>
        <w:tc>
          <w:tcPr>
            <w:tcW w:w="338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eastAsia="仿宋" w:cs="Times New Roman"/>
                <w:b/>
                <w:color w:val="auto"/>
                <w:sz w:val="24"/>
                <w:szCs w:val="22"/>
              </w:rPr>
              <w:t>评分标准</w:t>
            </w:r>
          </w:p>
        </w:tc>
        <w:tc>
          <w:tcPr>
            <w:tcW w:w="49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eastAsia="仿宋" w:cs="Times New Roman"/>
                <w:b/>
                <w:color w:val="auto"/>
                <w:sz w:val="24"/>
                <w:szCs w:val="22"/>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cs="Times New Roman"/>
                <w:color w:val="auto"/>
                <w:sz w:val="24"/>
                <w:szCs w:val="22"/>
              </w:rPr>
              <w:t>1</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ascii="仿宋" w:hAnsi="仿宋" w:eastAsia="仿宋" w:cs="仿宋"/>
                <w:color w:val="auto"/>
                <w:sz w:val="24"/>
                <w:szCs w:val="24"/>
              </w:rPr>
              <w:t>符合性评审</w:t>
            </w:r>
          </w:p>
        </w:tc>
        <w:tc>
          <w:tcPr>
            <w:tcW w:w="3887"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cs="Times New Roman"/>
                <w:color w:val="auto"/>
                <w:sz w:val="24"/>
                <w:szCs w:val="22"/>
              </w:rPr>
            </w:pPr>
            <w:r>
              <w:rPr>
                <w:rFonts w:hint="eastAsia" w:eastAsia="仿宋" w:cs="Times New Roman"/>
                <w:color w:val="auto"/>
                <w:sz w:val="24"/>
                <w:szCs w:val="22"/>
              </w:rPr>
              <w:t>投标人必须完全满足招标文件“商务要求”</w:t>
            </w:r>
            <w:r>
              <w:rPr>
                <w:rFonts w:hint="eastAsia" w:eastAsia="仿宋" w:cs="Times New Roman"/>
                <w:color w:val="auto"/>
                <w:sz w:val="24"/>
                <w:szCs w:val="22"/>
                <w:lang w:val="en-US" w:eastAsia="zh-CN"/>
              </w:rPr>
              <w:t>所有</w:t>
            </w:r>
            <w:r>
              <w:rPr>
                <w:rFonts w:hint="eastAsia" w:eastAsia="仿宋" w:cs="Times New Roman"/>
                <w:color w:val="auto"/>
                <w:sz w:val="24"/>
                <w:szCs w:val="22"/>
              </w:rPr>
              <w:t>实质性条款，任意一项不满足作无效投标处理。</w:t>
            </w:r>
          </w:p>
          <w:p>
            <w:pPr>
              <w:pageBreakBefore w:val="0"/>
              <w:kinsoku/>
              <w:wordWrap/>
              <w:overflowPunct/>
              <w:topLinePunct w:val="0"/>
              <w:autoSpaceDE/>
              <w:autoSpaceDN/>
              <w:bidi w:val="0"/>
              <w:adjustRightInd/>
              <w:snapToGrid/>
              <w:spacing w:beforeLines="0" w:afterLines="0" w:line="460" w:lineRule="exact"/>
              <w:rPr>
                <w:rFonts w:hint="eastAsia" w:cs="Times New Roman"/>
                <w:color w:val="auto"/>
                <w:sz w:val="24"/>
                <w:szCs w:val="22"/>
              </w:rPr>
            </w:pPr>
            <w:r>
              <w:rPr>
                <w:rFonts w:hint="eastAsia" w:eastAsia="仿宋" w:cs="Times New Roman"/>
                <w:b/>
                <w:color w:val="auto"/>
                <w:sz w:val="24"/>
                <w:szCs w:val="22"/>
              </w:rPr>
              <w:t>评审依据：投标文件中提供的商务条款响应表。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cs="Times New Roman"/>
                <w:color w:val="auto"/>
                <w:sz w:val="24"/>
                <w:szCs w:val="22"/>
              </w:rPr>
              <w:t>2</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eastAsia="仿宋" w:cs="Times New Roman"/>
                <w:color w:val="auto"/>
                <w:sz w:val="24"/>
                <w:szCs w:val="22"/>
                <w:lang w:eastAsia="zh-CN"/>
              </w:rPr>
            </w:pPr>
            <w:r>
              <w:rPr>
                <w:rFonts w:hint="eastAsia" w:eastAsia="仿宋" w:cs="Times New Roman"/>
                <w:color w:val="auto"/>
                <w:sz w:val="24"/>
                <w:szCs w:val="22"/>
                <w:lang w:eastAsia="zh-CN"/>
              </w:rPr>
              <w:t>生产制造履约能力</w:t>
            </w:r>
          </w:p>
        </w:tc>
        <w:tc>
          <w:tcPr>
            <w:tcW w:w="338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lang w:eastAsia="zh-CN"/>
              </w:rPr>
            </w:pPr>
            <w:r>
              <w:rPr>
                <w:rFonts w:hint="eastAsia" w:eastAsia="仿宋" w:cs="Times New Roman"/>
                <w:color w:val="auto"/>
                <w:sz w:val="24"/>
                <w:szCs w:val="22"/>
                <w:lang w:val="en-US" w:eastAsia="zh-CN"/>
              </w:rPr>
              <w:t>投标人提供所投产品制造商的证明材料（应加盖制造商公章）</w:t>
            </w:r>
            <w:r>
              <w:rPr>
                <w:rFonts w:hint="eastAsia" w:eastAsia="仿宋" w:cs="Times New Roman"/>
                <w:color w:val="auto"/>
                <w:sz w:val="24"/>
                <w:szCs w:val="22"/>
              </w:rPr>
              <w:t>对</w:t>
            </w:r>
            <w:r>
              <w:rPr>
                <w:rFonts w:hint="eastAsia" w:eastAsia="仿宋" w:cs="Times New Roman"/>
                <w:color w:val="auto"/>
                <w:sz w:val="24"/>
                <w:szCs w:val="22"/>
                <w:lang w:eastAsia="zh-CN"/>
              </w:rPr>
              <w:t>生产制造履约能力</w:t>
            </w:r>
            <w:r>
              <w:rPr>
                <w:rFonts w:hint="eastAsia" w:eastAsia="仿宋" w:cs="Times New Roman"/>
                <w:color w:val="auto"/>
                <w:sz w:val="24"/>
                <w:szCs w:val="22"/>
              </w:rPr>
              <w:t>进行评审，包含但不限于</w:t>
            </w:r>
            <w:r>
              <w:rPr>
                <w:rFonts w:hint="eastAsia" w:eastAsia="仿宋" w:cs="Times New Roman"/>
                <w:color w:val="auto"/>
                <w:sz w:val="24"/>
                <w:szCs w:val="22"/>
                <w:lang w:eastAsia="zh-CN"/>
              </w:rPr>
              <w:t>：</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lang w:eastAsia="zh-CN"/>
              </w:rPr>
            </w:pPr>
            <w:r>
              <w:rPr>
                <w:rFonts w:hint="eastAsia" w:eastAsia="仿宋" w:cs="Times New Roman"/>
                <w:color w:val="auto"/>
                <w:sz w:val="24"/>
                <w:szCs w:val="22"/>
                <w:lang w:eastAsia="zh-CN"/>
              </w:rPr>
              <w:t>①制造商生产经营情况简介；</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lang w:eastAsia="zh-CN"/>
              </w:rPr>
            </w:pPr>
            <w:r>
              <w:rPr>
                <w:rFonts w:hint="eastAsia" w:eastAsia="仿宋" w:cs="Times New Roman"/>
                <w:color w:val="auto"/>
                <w:sz w:val="24"/>
                <w:szCs w:val="22"/>
              </w:rPr>
              <w:t>②</w:t>
            </w:r>
            <w:r>
              <w:rPr>
                <w:rFonts w:hint="eastAsia" w:eastAsia="仿宋" w:cs="Times New Roman"/>
                <w:color w:val="auto"/>
                <w:sz w:val="24"/>
                <w:szCs w:val="22"/>
                <w:lang w:eastAsia="zh-CN"/>
              </w:rPr>
              <w:t>生产工艺流程，主要包括生产制造流程图、生产步骤（应含生产车间环境及实际生产照片）等相关情况描述；</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rPr>
            </w:pPr>
            <w:r>
              <w:rPr>
                <w:rFonts w:hint="eastAsia" w:eastAsia="仿宋" w:cs="Times New Roman"/>
                <w:color w:val="auto"/>
                <w:sz w:val="24"/>
                <w:szCs w:val="22"/>
              </w:rPr>
              <w:t>③产品检验流程，包括主要检验设备</w:t>
            </w:r>
            <w:r>
              <w:rPr>
                <w:rFonts w:hint="eastAsia" w:eastAsia="仿宋" w:cs="Times New Roman"/>
                <w:color w:val="auto"/>
                <w:sz w:val="24"/>
                <w:szCs w:val="22"/>
                <w:lang w:eastAsia="zh-CN"/>
              </w:rPr>
              <w:t>（应提供图片）</w:t>
            </w:r>
            <w:r>
              <w:rPr>
                <w:rFonts w:hint="eastAsia" w:eastAsia="仿宋" w:cs="Times New Roman"/>
                <w:color w:val="auto"/>
                <w:sz w:val="24"/>
                <w:szCs w:val="22"/>
              </w:rPr>
              <w:t>、检验步骤等相关情况描述；</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rPr>
            </w:pPr>
            <w:r>
              <w:rPr>
                <w:rFonts w:hint="eastAsia" w:eastAsia="仿宋" w:cs="Times New Roman"/>
                <w:color w:val="auto"/>
                <w:sz w:val="24"/>
                <w:szCs w:val="22"/>
              </w:rPr>
              <w:t>④人员配备：相关专业技术</w:t>
            </w:r>
            <w:r>
              <w:rPr>
                <w:rFonts w:hint="eastAsia" w:eastAsia="仿宋" w:cs="Times New Roman"/>
                <w:color w:val="auto"/>
                <w:sz w:val="24"/>
                <w:szCs w:val="22"/>
                <w:lang w:eastAsia="zh-CN"/>
              </w:rPr>
              <w:t>职称</w:t>
            </w:r>
            <w:r>
              <w:rPr>
                <w:rFonts w:hint="eastAsia" w:eastAsia="仿宋" w:cs="Times New Roman"/>
                <w:color w:val="auto"/>
                <w:sz w:val="24"/>
                <w:szCs w:val="22"/>
              </w:rPr>
              <w:t>人员配置情况</w:t>
            </w:r>
            <w:r>
              <w:rPr>
                <w:rFonts w:hint="eastAsia" w:eastAsia="仿宋" w:cs="Times New Roman"/>
                <w:color w:val="auto"/>
                <w:sz w:val="24"/>
                <w:szCs w:val="22"/>
                <w:lang w:eastAsia="zh-CN"/>
              </w:rPr>
              <w:t>；</w:t>
            </w:r>
            <w:r>
              <w:rPr>
                <w:rFonts w:hint="eastAsia" w:eastAsia="仿宋" w:cs="Times New Roman"/>
                <w:color w:val="auto"/>
                <w:sz w:val="24"/>
                <w:szCs w:val="22"/>
              </w:rPr>
              <w:t>各原材料采购、生产、检验、仓储、运输等环节的人员配备情况；</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b/>
                <w:color w:val="auto"/>
                <w:sz w:val="24"/>
                <w:szCs w:val="22"/>
              </w:rPr>
            </w:pPr>
            <w:r>
              <w:rPr>
                <w:rFonts w:hint="eastAsia" w:eastAsia="仿宋" w:cs="Times New Roman"/>
                <w:b/>
                <w:color w:val="auto"/>
                <w:sz w:val="24"/>
                <w:szCs w:val="22"/>
              </w:rPr>
              <w:t>评审依据：</w:t>
            </w:r>
            <w:r>
              <w:rPr>
                <w:rFonts w:hint="eastAsia" w:eastAsia="仿宋" w:cs="Times New Roman"/>
                <w:b/>
                <w:color w:val="auto"/>
                <w:sz w:val="24"/>
                <w:szCs w:val="22"/>
                <w:lang w:val="en-US" w:eastAsia="zh-CN"/>
              </w:rPr>
              <w:t>根据</w:t>
            </w:r>
            <w:r>
              <w:rPr>
                <w:rFonts w:hint="eastAsia" w:eastAsia="仿宋" w:cs="Times New Roman"/>
                <w:b/>
                <w:color w:val="auto"/>
                <w:sz w:val="24"/>
                <w:szCs w:val="22"/>
              </w:rPr>
              <w:t>投标人提</w:t>
            </w:r>
            <w:r>
              <w:rPr>
                <w:rFonts w:hint="eastAsia" w:eastAsia="仿宋" w:cs="Times New Roman"/>
                <w:b/>
                <w:color w:val="auto"/>
                <w:sz w:val="24"/>
                <w:szCs w:val="22"/>
                <w:lang w:val="en-US" w:eastAsia="zh-CN"/>
              </w:rPr>
              <w:t>供的生产制造履约能力方案内容完整性、组织性、关联性和可操作性进行评审</w:t>
            </w:r>
            <w:r>
              <w:rPr>
                <w:rFonts w:hint="eastAsia" w:eastAsia="仿宋" w:cs="Times New Roman"/>
                <w:b/>
                <w:color w:val="auto"/>
                <w:sz w:val="24"/>
                <w:szCs w:val="22"/>
              </w:rPr>
              <w:t>。</w:t>
            </w:r>
          </w:p>
          <w:p>
            <w:pPr>
              <w:pageBreakBefore w:val="0"/>
              <w:numPr>
                <w:ilvl w:val="0"/>
                <w:numId w:val="0"/>
              </w:numPr>
              <w:kinsoku/>
              <w:wordWrap/>
              <w:overflowPunct/>
              <w:topLinePunct w:val="0"/>
              <w:autoSpaceDE/>
              <w:autoSpaceDN/>
              <w:bidi w:val="0"/>
              <w:adjustRightInd/>
              <w:snapToGrid/>
              <w:spacing w:beforeLines="0" w:afterLines="0" w:line="460" w:lineRule="exact"/>
              <w:rPr>
                <w:rFonts w:hint="eastAsia" w:ascii="仿宋" w:hAnsi="仿宋" w:eastAsia="仿宋" w:cs="仿宋"/>
                <w:b/>
                <w:color w:val="auto"/>
                <w:sz w:val="24"/>
                <w:szCs w:val="24"/>
              </w:rPr>
            </w:pPr>
            <w:r>
              <w:rPr>
                <w:rFonts w:hint="eastAsia" w:ascii="仿宋" w:hAnsi="仿宋" w:eastAsia="仿宋" w:cs="仿宋"/>
                <w:b/>
                <w:color w:val="auto"/>
                <w:sz w:val="24"/>
                <w:szCs w:val="24"/>
                <w:lang w:val="en-US" w:eastAsia="zh-CN"/>
              </w:rPr>
              <w:t>1、所投</w:t>
            </w:r>
            <w:r>
              <w:rPr>
                <w:rFonts w:hint="eastAsia" w:eastAsia="仿宋" w:cs="Times New Roman"/>
                <w:b/>
                <w:color w:val="auto"/>
                <w:sz w:val="24"/>
                <w:szCs w:val="22"/>
                <w:lang w:val="en-US" w:eastAsia="zh-CN"/>
              </w:rPr>
              <w:t>产品</w:t>
            </w:r>
            <w:r>
              <w:rPr>
                <w:rFonts w:hint="eastAsia" w:ascii="仿宋" w:hAnsi="仿宋" w:eastAsia="仿宋" w:cs="仿宋"/>
                <w:b/>
                <w:color w:val="auto"/>
                <w:sz w:val="24"/>
                <w:szCs w:val="24"/>
                <w:lang w:val="en-US" w:eastAsia="zh-CN"/>
              </w:rPr>
              <w:t>制造商具备较强自主研发能力及先进的生产工艺，生产车间环境及生产线先进规范，生产步骤完整周详，技术</w:t>
            </w:r>
            <w:r>
              <w:rPr>
                <w:rFonts w:hint="eastAsia" w:ascii="仿宋" w:hAnsi="仿宋" w:eastAsia="仿宋" w:cs="仿宋"/>
                <w:b/>
                <w:color w:val="auto"/>
                <w:sz w:val="24"/>
                <w:szCs w:val="24"/>
              </w:rPr>
              <w:t>人员配备</w:t>
            </w:r>
            <w:r>
              <w:rPr>
                <w:rFonts w:hint="eastAsia" w:ascii="仿宋" w:hAnsi="仿宋" w:eastAsia="仿宋" w:cs="仿宋"/>
                <w:b/>
                <w:color w:val="auto"/>
                <w:sz w:val="24"/>
                <w:szCs w:val="24"/>
                <w:lang w:val="en-US" w:eastAsia="zh-CN"/>
              </w:rPr>
              <w:t>合理专业齐全</w:t>
            </w:r>
            <w:r>
              <w:rPr>
                <w:rFonts w:hint="eastAsia" w:ascii="仿宋" w:hAnsi="仿宋" w:eastAsia="仿宋" w:cs="仿宋"/>
                <w:b/>
                <w:color w:val="auto"/>
                <w:sz w:val="24"/>
                <w:szCs w:val="24"/>
              </w:rPr>
              <w:t>，</w:t>
            </w:r>
            <w:r>
              <w:rPr>
                <w:rFonts w:hint="eastAsia" w:ascii="仿宋" w:hAnsi="仿宋" w:eastAsia="仿宋" w:cs="仿宋"/>
                <w:b/>
                <w:color w:val="auto"/>
                <w:sz w:val="24"/>
                <w:szCs w:val="24"/>
                <w:lang w:val="en-US" w:eastAsia="zh-CN"/>
              </w:rPr>
              <w:t>检验设备配置齐全、检验步骤严密无纰漏，生产制造履约能力</w:t>
            </w:r>
            <w:r>
              <w:rPr>
                <w:rFonts w:hint="eastAsia" w:ascii="仿宋" w:hAnsi="仿宋" w:eastAsia="仿宋" w:cs="仿宋"/>
                <w:b/>
                <w:color w:val="auto"/>
                <w:sz w:val="24"/>
                <w:szCs w:val="24"/>
              </w:rPr>
              <w:t>高的得</w:t>
            </w:r>
            <w:r>
              <w:rPr>
                <w:rFonts w:hint="eastAsia" w:ascii="仿宋" w:hAnsi="仿宋" w:eastAsia="仿宋" w:cs="仿宋"/>
                <w:b/>
                <w:color w:val="auto"/>
                <w:sz w:val="24"/>
                <w:szCs w:val="24"/>
                <w:lang w:val="en-US" w:eastAsia="zh-CN"/>
              </w:rPr>
              <w:t>5</w:t>
            </w:r>
            <w:r>
              <w:rPr>
                <w:rFonts w:hint="eastAsia" w:ascii="仿宋" w:hAnsi="仿宋" w:eastAsia="仿宋" w:cs="仿宋"/>
                <w:b/>
                <w:color w:val="auto"/>
                <w:sz w:val="24"/>
                <w:szCs w:val="24"/>
              </w:rPr>
              <w:t>分；</w:t>
            </w:r>
          </w:p>
          <w:p>
            <w:pPr>
              <w:pageBreakBefore w:val="0"/>
              <w:numPr>
                <w:ilvl w:val="0"/>
                <w:numId w:val="0"/>
              </w:numPr>
              <w:kinsoku/>
              <w:wordWrap/>
              <w:overflowPunct/>
              <w:topLinePunct w:val="0"/>
              <w:autoSpaceDE/>
              <w:autoSpaceDN/>
              <w:bidi w:val="0"/>
              <w:adjustRightInd/>
              <w:snapToGrid/>
              <w:spacing w:beforeLines="0" w:afterLines="0" w:line="460" w:lineRule="exact"/>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2、所投</w:t>
            </w:r>
            <w:r>
              <w:rPr>
                <w:rFonts w:hint="eastAsia" w:eastAsia="仿宋" w:cs="Times New Roman"/>
                <w:b/>
                <w:color w:val="auto"/>
                <w:sz w:val="24"/>
                <w:szCs w:val="22"/>
                <w:lang w:val="en-US" w:eastAsia="zh-CN"/>
              </w:rPr>
              <w:t>产品</w:t>
            </w:r>
            <w:r>
              <w:rPr>
                <w:rFonts w:hint="eastAsia" w:ascii="仿宋" w:hAnsi="仿宋" w:eastAsia="仿宋" w:cs="仿宋"/>
                <w:b/>
                <w:color w:val="auto"/>
                <w:sz w:val="24"/>
                <w:szCs w:val="24"/>
                <w:lang w:val="en-US" w:eastAsia="zh-CN"/>
              </w:rPr>
              <w:t>制造商有自主研发能力和生产工艺较完整，生产车间环境及生产线常规，生产步骤较完整周详，技术</w:t>
            </w:r>
            <w:r>
              <w:rPr>
                <w:rFonts w:hint="eastAsia" w:ascii="仿宋" w:hAnsi="仿宋" w:eastAsia="仿宋" w:cs="仿宋"/>
                <w:b/>
                <w:color w:val="auto"/>
                <w:sz w:val="24"/>
                <w:szCs w:val="24"/>
              </w:rPr>
              <w:t>人员配备</w:t>
            </w:r>
            <w:r>
              <w:rPr>
                <w:rFonts w:hint="eastAsia" w:ascii="仿宋" w:hAnsi="仿宋" w:eastAsia="仿宋" w:cs="仿宋"/>
                <w:b/>
                <w:color w:val="auto"/>
                <w:sz w:val="24"/>
                <w:szCs w:val="24"/>
                <w:lang w:eastAsia="zh-CN"/>
              </w:rPr>
              <w:t>相对</w:t>
            </w:r>
            <w:r>
              <w:rPr>
                <w:rFonts w:hint="eastAsia" w:ascii="仿宋" w:hAnsi="仿宋" w:eastAsia="仿宋" w:cs="仿宋"/>
                <w:b/>
                <w:color w:val="auto"/>
                <w:sz w:val="24"/>
                <w:szCs w:val="24"/>
                <w:lang w:val="en-US" w:eastAsia="zh-CN"/>
              </w:rPr>
              <w:t>合理专业齐全</w:t>
            </w:r>
            <w:r>
              <w:rPr>
                <w:rFonts w:hint="eastAsia" w:ascii="仿宋" w:hAnsi="仿宋" w:eastAsia="仿宋" w:cs="仿宋"/>
                <w:b/>
                <w:color w:val="auto"/>
                <w:sz w:val="24"/>
                <w:szCs w:val="24"/>
              </w:rPr>
              <w:t>，</w:t>
            </w:r>
            <w:r>
              <w:rPr>
                <w:rFonts w:hint="eastAsia" w:ascii="仿宋" w:hAnsi="仿宋" w:eastAsia="仿宋" w:cs="仿宋"/>
                <w:b/>
                <w:color w:val="auto"/>
                <w:sz w:val="24"/>
                <w:szCs w:val="24"/>
                <w:lang w:val="en-US" w:eastAsia="zh-CN"/>
              </w:rPr>
              <w:t>检验设备配置较齐全、检验步骤相对完备，生产制造履约能力</w:t>
            </w:r>
            <w:r>
              <w:rPr>
                <w:rFonts w:hint="eastAsia" w:ascii="仿宋" w:hAnsi="仿宋" w:eastAsia="仿宋" w:cs="仿宋"/>
                <w:b/>
                <w:color w:val="auto"/>
                <w:sz w:val="24"/>
                <w:szCs w:val="24"/>
                <w:lang w:eastAsia="zh-CN"/>
              </w:rPr>
              <w:t>较</w:t>
            </w:r>
            <w:r>
              <w:rPr>
                <w:rFonts w:hint="eastAsia" w:ascii="仿宋" w:hAnsi="仿宋" w:eastAsia="仿宋" w:cs="仿宋"/>
                <w:b/>
                <w:color w:val="auto"/>
                <w:sz w:val="24"/>
                <w:szCs w:val="24"/>
              </w:rPr>
              <w:t>高的得</w:t>
            </w:r>
            <w:r>
              <w:rPr>
                <w:rFonts w:hint="eastAsia" w:ascii="仿宋" w:hAnsi="仿宋" w:eastAsia="仿宋" w:cs="仿宋"/>
                <w:b/>
                <w:color w:val="auto"/>
                <w:sz w:val="24"/>
                <w:szCs w:val="24"/>
                <w:lang w:val="en-US" w:eastAsia="zh-CN"/>
              </w:rPr>
              <w:t>3</w:t>
            </w:r>
            <w:r>
              <w:rPr>
                <w:rFonts w:hint="eastAsia" w:ascii="仿宋" w:hAnsi="仿宋" w:eastAsia="仿宋" w:cs="仿宋"/>
                <w:b/>
                <w:color w:val="auto"/>
                <w:sz w:val="24"/>
                <w:szCs w:val="24"/>
              </w:rPr>
              <w:t>分</w:t>
            </w:r>
            <w:r>
              <w:rPr>
                <w:rFonts w:hint="eastAsia" w:ascii="仿宋" w:hAnsi="仿宋" w:eastAsia="仿宋" w:cs="仿宋"/>
                <w:b/>
                <w:color w:val="auto"/>
                <w:sz w:val="24"/>
                <w:szCs w:val="24"/>
                <w:lang w:eastAsia="zh-CN"/>
              </w:rPr>
              <w:t>；</w:t>
            </w:r>
          </w:p>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b/>
                <w:color w:val="auto"/>
                <w:sz w:val="24"/>
                <w:szCs w:val="24"/>
                <w:lang w:eastAsia="zh-CN"/>
              </w:rPr>
            </w:pPr>
            <w:r>
              <w:rPr>
                <w:rFonts w:hint="eastAsia" w:ascii="仿宋" w:hAnsi="仿宋" w:eastAsia="仿宋" w:cs="仿宋"/>
                <w:b/>
                <w:color w:val="auto"/>
                <w:sz w:val="24"/>
                <w:szCs w:val="24"/>
                <w:lang w:val="en-US" w:eastAsia="zh-CN"/>
              </w:rPr>
              <w:t>3、所投</w:t>
            </w:r>
            <w:r>
              <w:rPr>
                <w:rFonts w:hint="eastAsia" w:eastAsia="仿宋" w:cs="Times New Roman"/>
                <w:b/>
                <w:color w:val="auto"/>
                <w:sz w:val="24"/>
                <w:szCs w:val="22"/>
                <w:lang w:val="en-US" w:eastAsia="zh-CN"/>
              </w:rPr>
              <w:t>产品</w:t>
            </w:r>
            <w:r>
              <w:rPr>
                <w:rFonts w:hint="eastAsia" w:ascii="仿宋" w:hAnsi="仿宋" w:eastAsia="仿宋" w:cs="仿宋"/>
                <w:b/>
                <w:color w:val="auto"/>
                <w:sz w:val="24"/>
                <w:szCs w:val="24"/>
                <w:lang w:val="en-US" w:eastAsia="zh-CN"/>
              </w:rPr>
              <w:t>制造商有自主研发能力和生产工艺薄弱，生产车间环境及生产线粗糙落后，生产步骤简单，技术</w:t>
            </w:r>
            <w:r>
              <w:rPr>
                <w:rFonts w:hint="eastAsia" w:ascii="仿宋" w:hAnsi="仿宋" w:eastAsia="仿宋" w:cs="仿宋"/>
                <w:b/>
                <w:color w:val="auto"/>
                <w:sz w:val="24"/>
                <w:szCs w:val="24"/>
              </w:rPr>
              <w:t>人员</w:t>
            </w:r>
            <w:r>
              <w:rPr>
                <w:rFonts w:hint="eastAsia" w:ascii="仿宋" w:hAnsi="仿宋" w:eastAsia="仿宋" w:cs="仿宋"/>
                <w:b/>
                <w:color w:val="auto"/>
                <w:sz w:val="24"/>
                <w:szCs w:val="24"/>
                <w:lang w:eastAsia="zh-CN"/>
              </w:rPr>
              <w:t>综合实力一般，</w:t>
            </w:r>
            <w:r>
              <w:rPr>
                <w:rFonts w:hint="eastAsia" w:ascii="仿宋" w:hAnsi="仿宋" w:eastAsia="仿宋" w:cs="仿宋"/>
                <w:b/>
                <w:color w:val="auto"/>
                <w:sz w:val="24"/>
                <w:szCs w:val="24"/>
                <w:lang w:val="en-US" w:eastAsia="zh-CN"/>
              </w:rPr>
              <w:t>检验设备配置简单落后，检验步骤普通，生产制造履约能力</w:t>
            </w:r>
            <w:r>
              <w:rPr>
                <w:rFonts w:hint="eastAsia" w:ascii="仿宋" w:hAnsi="仿宋" w:eastAsia="仿宋" w:cs="仿宋"/>
                <w:b/>
                <w:color w:val="auto"/>
                <w:sz w:val="24"/>
                <w:szCs w:val="24"/>
                <w:lang w:eastAsia="zh-CN"/>
              </w:rPr>
              <w:t>弱</w:t>
            </w:r>
            <w:r>
              <w:rPr>
                <w:rFonts w:hint="eastAsia" w:ascii="仿宋" w:hAnsi="仿宋" w:eastAsia="仿宋" w:cs="仿宋"/>
                <w:b/>
                <w:color w:val="auto"/>
                <w:sz w:val="24"/>
                <w:szCs w:val="24"/>
              </w:rPr>
              <w:t>的得</w:t>
            </w:r>
            <w:r>
              <w:rPr>
                <w:rFonts w:hint="eastAsia" w:ascii="仿宋" w:hAnsi="仿宋" w:eastAsia="仿宋" w:cs="仿宋"/>
                <w:b/>
                <w:color w:val="auto"/>
                <w:sz w:val="24"/>
                <w:szCs w:val="24"/>
                <w:lang w:val="en-US" w:eastAsia="zh-CN"/>
              </w:rPr>
              <w:t>1</w:t>
            </w:r>
            <w:r>
              <w:rPr>
                <w:rFonts w:hint="eastAsia" w:ascii="仿宋" w:hAnsi="仿宋" w:eastAsia="仿宋" w:cs="仿宋"/>
                <w:b/>
                <w:color w:val="auto"/>
                <w:sz w:val="24"/>
                <w:szCs w:val="24"/>
              </w:rPr>
              <w:t>分</w:t>
            </w:r>
            <w:r>
              <w:rPr>
                <w:rFonts w:hint="eastAsia" w:ascii="仿宋" w:hAnsi="仿宋" w:eastAsia="仿宋" w:cs="仿宋"/>
                <w:b/>
                <w:color w:val="auto"/>
                <w:sz w:val="24"/>
                <w:szCs w:val="24"/>
                <w:lang w:eastAsia="zh-CN"/>
              </w:rPr>
              <w:t>；</w:t>
            </w:r>
          </w:p>
          <w:p>
            <w:pPr>
              <w:pageBreakBefore w:val="0"/>
              <w:kinsoku/>
              <w:wordWrap/>
              <w:overflowPunct/>
              <w:topLinePunct w:val="0"/>
              <w:autoSpaceDE/>
              <w:autoSpaceDN/>
              <w:bidi w:val="0"/>
              <w:adjustRightInd/>
              <w:snapToGrid/>
              <w:spacing w:beforeLines="0" w:afterLines="0" w:line="460" w:lineRule="exact"/>
              <w:rPr>
                <w:rFonts w:hint="eastAsia" w:cs="Times New Roman"/>
                <w:color w:val="auto"/>
                <w:sz w:val="24"/>
                <w:szCs w:val="22"/>
              </w:rPr>
            </w:pPr>
            <w:r>
              <w:rPr>
                <w:rFonts w:hint="eastAsia" w:ascii="仿宋" w:hAnsi="仿宋" w:eastAsia="仿宋" w:cs="仿宋"/>
                <w:b/>
                <w:color w:val="auto"/>
                <w:sz w:val="24"/>
                <w:szCs w:val="24"/>
                <w:lang w:val="en-US" w:eastAsia="zh-CN"/>
              </w:rPr>
              <w:t>4、</w:t>
            </w:r>
            <w:r>
              <w:rPr>
                <w:rFonts w:hint="eastAsia" w:ascii="仿宋" w:hAnsi="仿宋" w:eastAsia="仿宋" w:cs="仿宋"/>
                <w:b/>
                <w:color w:val="auto"/>
                <w:sz w:val="24"/>
                <w:szCs w:val="24"/>
              </w:rPr>
              <w:t>未提供证明材料或证明材料有缺项的不得分。</w:t>
            </w:r>
          </w:p>
        </w:tc>
        <w:tc>
          <w:tcPr>
            <w:tcW w:w="49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cs="Times New Roman"/>
                <w:color w:val="auto"/>
                <w:sz w:val="24"/>
                <w:szCs w:val="22"/>
              </w:rPr>
              <w:t>5</w:t>
            </w:r>
            <w:r>
              <w:rPr>
                <w:rFonts w:hint="eastAsia" w:eastAsia="仿宋" w:cs="Times New Roman"/>
                <w:color w:val="auto"/>
                <w:sz w:val="24"/>
                <w:szCs w:val="22"/>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cs="Times New Roman"/>
                <w:color w:val="auto"/>
                <w:sz w:val="24"/>
                <w:szCs w:val="22"/>
              </w:rPr>
              <w:t>3</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eastAsia="仿宋" w:cs="Times New Roman"/>
                <w:color w:val="auto"/>
                <w:sz w:val="24"/>
                <w:szCs w:val="22"/>
              </w:rPr>
              <w:t>质量保证和保修</w:t>
            </w:r>
          </w:p>
        </w:tc>
        <w:tc>
          <w:tcPr>
            <w:tcW w:w="338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rPr>
                <w:rFonts w:hint="eastAsia" w:cs="Times New Roman"/>
                <w:color w:val="auto"/>
                <w:sz w:val="24"/>
                <w:szCs w:val="22"/>
              </w:rPr>
            </w:pPr>
            <w:r>
              <w:rPr>
                <w:rFonts w:hint="eastAsia" w:eastAsia="仿宋" w:cs="Times New Roman"/>
                <w:color w:val="auto"/>
                <w:sz w:val="24"/>
                <w:szCs w:val="22"/>
              </w:rPr>
              <w:t>在招标文件商务要求中“质保期”和“保修期”要求基础上，承诺“质保期”和“保修期”均每延长一年的加2分，最多加4分。</w:t>
            </w:r>
          </w:p>
          <w:p>
            <w:pPr>
              <w:pageBreakBefore w:val="0"/>
              <w:kinsoku/>
              <w:wordWrap/>
              <w:overflowPunct/>
              <w:topLinePunct w:val="0"/>
              <w:autoSpaceDE/>
              <w:autoSpaceDN/>
              <w:bidi w:val="0"/>
              <w:adjustRightInd/>
              <w:snapToGrid/>
              <w:spacing w:beforeLines="0" w:afterLines="0" w:line="460" w:lineRule="exact"/>
              <w:rPr>
                <w:rFonts w:hint="eastAsia" w:cs="Times New Roman"/>
                <w:color w:val="auto"/>
                <w:sz w:val="24"/>
                <w:szCs w:val="22"/>
              </w:rPr>
            </w:pPr>
            <w:r>
              <w:rPr>
                <w:rFonts w:hint="eastAsia" w:eastAsia="仿宋" w:cs="Times New Roman"/>
                <w:b/>
                <w:color w:val="auto"/>
                <w:sz w:val="24"/>
                <w:szCs w:val="22"/>
              </w:rPr>
              <w:t>评审依据：投标文件中提供“质保期”和“保修期”均延长的承诺函原件。</w:t>
            </w:r>
          </w:p>
        </w:tc>
        <w:tc>
          <w:tcPr>
            <w:tcW w:w="49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cs="Times New Roman"/>
                <w:color w:val="auto"/>
                <w:sz w:val="24"/>
                <w:szCs w:val="22"/>
              </w:rPr>
              <w:t>4</w:t>
            </w:r>
            <w:r>
              <w:rPr>
                <w:rFonts w:hint="eastAsia" w:eastAsia="仿宋" w:cs="Times New Roman"/>
                <w:color w:val="auto"/>
                <w:sz w:val="24"/>
                <w:szCs w:val="22"/>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cs="Times New Roman"/>
                <w:color w:val="auto"/>
                <w:sz w:val="24"/>
                <w:szCs w:val="22"/>
              </w:rPr>
              <w:t>4</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eastAsia="仿宋" w:cs="Times New Roman"/>
                <w:color w:val="auto"/>
                <w:sz w:val="24"/>
                <w:szCs w:val="22"/>
              </w:rPr>
              <w:t>类似销售</w:t>
            </w:r>
          </w:p>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eastAsia="仿宋" w:cs="Times New Roman"/>
                <w:color w:val="auto"/>
                <w:sz w:val="24"/>
                <w:szCs w:val="22"/>
              </w:rPr>
              <w:t>案例</w:t>
            </w:r>
          </w:p>
        </w:tc>
        <w:tc>
          <w:tcPr>
            <w:tcW w:w="338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rPr>
                <w:rFonts w:hint="eastAsia" w:eastAsia="仿宋" w:cs="Times New Roman"/>
                <w:color w:val="auto"/>
                <w:sz w:val="24"/>
                <w:szCs w:val="22"/>
                <w:lang w:eastAsia="zh-CN"/>
              </w:rPr>
            </w:pPr>
            <w:r>
              <w:rPr>
                <w:rFonts w:hint="eastAsia" w:eastAsia="仿宋" w:cs="Times New Roman"/>
                <w:color w:val="auto"/>
                <w:sz w:val="24"/>
                <w:szCs w:val="22"/>
              </w:rPr>
              <w:t>投标人自</w:t>
            </w:r>
            <w:r>
              <w:rPr>
                <w:rFonts w:hint="eastAsia" w:cs="Times New Roman"/>
                <w:color w:val="auto"/>
                <w:sz w:val="24"/>
                <w:szCs w:val="22"/>
              </w:rPr>
              <w:t>20</w:t>
            </w:r>
            <w:r>
              <w:rPr>
                <w:rFonts w:hint="eastAsia" w:eastAsia="仿宋" w:cs="Times New Roman"/>
                <w:color w:val="auto"/>
                <w:sz w:val="24"/>
                <w:szCs w:val="22"/>
              </w:rPr>
              <w:t>2</w:t>
            </w:r>
            <w:r>
              <w:rPr>
                <w:rFonts w:hint="eastAsia" w:eastAsia="仿宋" w:cs="Times New Roman"/>
                <w:color w:val="auto"/>
                <w:sz w:val="24"/>
                <w:szCs w:val="22"/>
                <w:lang w:val="en-US" w:eastAsia="zh-CN"/>
              </w:rPr>
              <w:t>1</w:t>
            </w:r>
            <w:r>
              <w:rPr>
                <w:rFonts w:hint="eastAsia" w:eastAsia="仿宋" w:cs="Times New Roman"/>
                <w:color w:val="auto"/>
                <w:sz w:val="24"/>
                <w:szCs w:val="22"/>
              </w:rPr>
              <w:t>年</w:t>
            </w:r>
            <w:r>
              <w:rPr>
                <w:rFonts w:hint="eastAsia" w:cs="Times New Roman"/>
                <w:color w:val="auto"/>
                <w:sz w:val="24"/>
                <w:szCs w:val="22"/>
              </w:rPr>
              <w:t>1</w:t>
            </w:r>
            <w:r>
              <w:rPr>
                <w:rFonts w:hint="eastAsia" w:eastAsia="仿宋" w:cs="Times New Roman"/>
                <w:color w:val="auto"/>
                <w:sz w:val="24"/>
                <w:szCs w:val="22"/>
              </w:rPr>
              <w:t>月1日至今（以签订合同时间为准）具有类似</w:t>
            </w:r>
            <w:r>
              <w:rPr>
                <w:rFonts w:hint="eastAsia" w:eastAsia="仿宋" w:cs="Times New Roman"/>
                <w:color w:val="auto"/>
                <w:sz w:val="24"/>
                <w:szCs w:val="22"/>
                <w:lang w:eastAsia="zh-CN"/>
              </w:rPr>
              <w:t>产品</w:t>
            </w:r>
            <w:r>
              <w:rPr>
                <w:rFonts w:hint="eastAsia" w:eastAsia="仿宋" w:cs="Times New Roman"/>
                <w:color w:val="auto"/>
                <w:sz w:val="24"/>
                <w:szCs w:val="22"/>
              </w:rPr>
              <w:t>销售案例，每提供1份销售案例加</w:t>
            </w:r>
            <w:r>
              <w:rPr>
                <w:rFonts w:hint="eastAsia" w:eastAsia="仿宋" w:cs="Times New Roman"/>
                <w:color w:val="auto"/>
                <w:sz w:val="24"/>
                <w:szCs w:val="22"/>
                <w:lang w:val="en-US" w:eastAsia="zh-CN"/>
              </w:rPr>
              <w:t>2</w:t>
            </w:r>
            <w:r>
              <w:rPr>
                <w:rFonts w:hint="eastAsia" w:eastAsia="仿宋" w:cs="Times New Roman"/>
                <w:color w:val="auto"/>
                <w:sz w:val="24"/>
                <w:szCs w:val="22"/>
              </w:rPr>
              <w:t>分，本项最多加</w:t>
            </w:r>
            <w:r>
              <w:rPr>
                <w:rFonts w:hint="eastAsia" w:eastAsia="仿宋" w:cs="Times New Roman"/>
                <w:color w:val="auto"/>
                <w:sz w:val="24"/>
                <w:szCs w:val="22"/>
                <w:lang w:val="en-US" w:eastAsia="zh-CN"/>
              </w:rPr>
              <w:t>6</w:t>
            </w:r>
            <w:r>
              <w:rPr>
                <w:rFonts w:hint="eastAsia" w:eastAsia="仿宋" w:cs="Times New Roman"/>
                <w:color w:val="auto"/>
                <w:sz w:val="24"/>
                <w:szCs w:val="22"/>
              </w:rPr>
              <w:t>分。</w:t>
            </w:r>
          </w:p>
          <w:p>
            <w:pPr>
              <w:pageBreakBefore w:val="0"/>
              <w:kinsoku/>
              <w:wordWrap/>
              <w:overflowPunct/>
              <w:topLinePunct w:val="0"/>
              <w:autoSpaceDE/>
              <w:autoSpaceDN/>
              <w:bidi w:val="0"/>
              <w:adjustRightInd/>
              <w:snapToGrid/>
              <w:spacing w:beforeLines="0" w:afterLines="0" w:line="460" w:lineRule="exact"/>
              <w:jc w:val="left"/>
              <w:rPr>
                <w:rFonts w:hint="eastAsia" w:cs="Times New Roman"/>
                <w:b/>
                <w:color w:val="auto"/>
                <w:sz w:val="24"/>
                <w:szCs w:val="22"/>
              </w:rPr>
            </w:pPr>
            <w:r>
              <w:rPr>
                <w:rFonts w:hint="eastAsia" w:eastAsia="仿宋" w:cs="Times New Roman"/>
                <w:b/>
                <w:color w:val="auto"/>
                <w:sz w:val="24"/>
                <w:szCs w:val="22"/>
              </w:rPr>
              <w:t>评审依据：①投标文件中提供销售案例明细表（销售案例明细表包含</w:t>
            </w:r>
            <w:r>
              <w:rPr>
                <w:rFonts w:hint="eastAsia" w:cs="Times New Roman"/>
                <w:b/>
                <w:color w:val="auto"/>
                <w:sz w:val="24"/>
                <w:szCs w:val="22"/>
              </w:rPr>
              <w:t>:</w:t>
            </w:r>
            <w:r>
              <w:rPr>
                <w:rFonts w:hint="eastAsia" w:eastAsia="仿宋" w:cs="Times New Roman"/>
                <w:b/>
                <w:color w:val="auto"/>
                <w:sz w:val="24"/>
                <w:szCs w:val="22"/>
              </w:rPr>
              <w:t>发布网站名称、网页链接地址、采购项目名称、采购单位名称和联系方式、采购代理机构名称和联系方式）；②</w:t>
            </w:r>
            <w:r>
              <w:rPr>
                <w:rFonts w:hint="eastAsia" w:eastAsia="仿宋" w:cs="Times New Roman"/>
                <w:b/>
                <w:color w:val="auto"/>
                <w:sz w:val="24"/>
                <w:szCs w:val="22"/>
                <w:lang w:eastAsia="zh-CN"/>
              </w:rPr>
              <w:t>中标（成交）公告截图（打印网页）、中标通知书复印件和合同复印件（中标通知书或合同复印件应体现类似销售案例的货物），合同签订方必须是投标人本身。</w:t>
            </w:r>
          </w:p>
        </w:tc>
        <w:tc>
          <w:tcPr>
            <w:tcW w:w="49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eastAsia="仿宋" w:cs="Times New Roman"/>
                <w:color w:val="auto"/>
                <w:sz w:val="24"/>
                <w:szCs w:val="22"/>
                <w:lang w:val="en-US" w:eastAsia="zh-CN"/>
              </w:rPr>
              <w:t>6</w:t>
            </w:r>
            <w:r>
              <w:rPr>
                <w:rFonts w:hint="eastAsia" w:eastAsia="仿宋" w:cs="Times New Roman"/>
                <w:color w:val="auto"/>
                <w:sz w:val="24"/>
                <w:szCs w:val="22"/>
              </w:rPr>
              <w:t>分</w:t>
            </w:r>
          </w:p>
        </w:tc>
      </w:tr>
    </w:tbl>
    <w:p>
      <w:pPr>
        <w:pageBreakBefore w:val="0"/>
        <w:kinsoku/>
        <w:wordWrap/>
        <w:overflowPunct/>
        <w:topLinePunct w:val="0"/>
        <w:autoSpaceDE/>
        <w:autoSpaceDN/>
        <w:bidi w:val="0"/>
        <w:adjustRightInd/>
        <w:snapToGrid/>
        <w:spacing w:beforeLines="0" w:afterLines="0" w:line="460" w:lineRule="exact"/>
        <w:rPr>
          <w:rFonts w:hint="eastAsia" w:cs="Times New Roman"/>
          <w:color w:val="auto"/>
          <w:sz w:val="21"/>
          <w:szCs w:val="24"/>
        </w:rPr>
      </w:pPr>
      <w:r>
        <w:rPr>
          <w:rFonts w:hint="eastAsia" w:cs="Times New Roman"/>
          <w:color w:val="auto"/>
          <w:sz w:val="21"/>
          <w:szCs w:val="24"/>
        </w:rPr>
        <w:br w:type="page"/>
      </w:r>
    </w:p>
    <w:p>
      <w:pPr>
        <w:pStyle w:val="2"/>
        <w:pageBreakBefore w:val="0"/>
        <w:kinsoku/>
        <w:wordWrap/>
        <w:overflowPunct/>
        <w:topLinePunct w:val="0"/>
        <w:autoSpaceDE/>
        <w:autoSpaceDN/>
        <w:bidi w:val="0"/>
        <w:adjustRightInd/>
        <w:snapToGrid/>
        <w:spacing w:beforeLines="0" w:afterLines="0" w:line="460" w:lineRule="exact"/>
        <w:rPr>
          <w:rFonts w:hint="eastAsia" w:ascii="仿宋" w:hAnsi="仿宋" w:eastAsia="仿宋" w:cs="Times New Roman"/>
          <w:color w:val="auto"/>
          <w:sz w:val="32"/>
          <w:szCs w:val="28"/>
        </w:rPr>
      </w:pPr>
      <w:bookmarkStart w:id="696" w:name="_Toc21928"/>
      <w:bookmarkStart w:id="697" w:name="_Toc31818"/>
      <w:bookmarkStart w:id="698" w:name="_Toc1885"/>
      <w:bookmarkStart w:id="699" w:name="_Toc10210"/>
      <w:bookmarkStart w:id="700" w:name="_Toc11745"/>
      <w:r>
        <w:rPr>
          <w:rFonts w:hint="eastAsia" w:ascii="仿宋" w:hAnsi="仿宋" w:eastAsia="仿宋" w:cs="仿宋"/>
          <w:color w:val="auto"/>
          <w:sz w:val="28"/>
          <w:szCs w:val="21"/>
          <w:lang w:val="en-US" w:eastAsia="zh-CN"/>
        </w:rPr>
        <w:t>40包：定位浮标、充气救生筏【核心产品】、可漂浮救生担架（漂浮担架）</w:t>
      </w:r>
      <w:bookmarkEnd w:id="696"/>
      <w:bookmarkEnd w:id="697"/>
      <w:bookmarkEnd w:id="698"/>
      <w:bookmarkEnd w:id="699"/>
      <w:bookmarkEnd w:id="700"/>
    </w:p>
    <w:p>
      <w:pPr>
        <w:pageBreakBefore w:val="0"/>
        <w:kinsoku/>
        <w:wordWrap/>
        <w:overflowPunct/>
        <w:topLinePunct w:val="0"/>
        <w:autoSpaceDE/>
        <w:autoSpaceDN/>
        <w:bidi w:val="0"/>
        <w:adjustRightInd/>
        <w:snapToGrid/>
        <w:spacing w:beforeLines="0" w:afterLines="0" w:line="460" w:lineRule="exact"/>
        <w:ind w:firstLine="482" w:firstLineChars="200"/>
        <w:jc w:val="left"/>
        <w:rPr>
          <w:rFonts w:hint="eastAsia" w:ascii="仿宋" w:hAnsi="仿宋" w:eastAsia="仿宋" w:cs="Times New Roman"/>
          <w:b/>
          <w:color w:val="auto"/>
          <w:sz w:val="24"/>
          <w:szCs w:val="24"/>
        </w:rPr>
      </w:pPr>
      <w:r>
        <w:rPr>
          <w:rFonts w:hint="eastAsia" w:ascii="仿宋" w:hAnsi="仿宋" w:eastAsia="仿宋" w:cs="Times New Roman"/>
          <w:b/>
          <w:color w:val="auto"/>
          <w:sz w:val="24"/>
          <w:szCs w:val="24"/>
        </w:rPr>
        <w:t>一、价格部分（30分）</w:t>
      </w:r>
    </w:p>
    <w:tbl>
      <w:tblPr>
        <w:tblStyle w:val="4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1579"/>
        <w:gridCol w:w="6182"/>
        <w:gridCol w:w="8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76"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序号</w:t>
            </w:r>
          </w:p>
        </w:tc>
        <w:tc>
          <w:tcPr>
            <w:tcW w:w="850"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评审因素</w:t>
            </w:r>
          </w:p>
        </w:tc>
        <w:tc>
          <w:tcPr>
            <w:tcW w:w="332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评分标准</w:t>
            </w:r>
          </w:p>
        </w:tc>
        <w:tc>
          <w:tcPr>
            <w:tcW w:w="444"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b/>
                <w:color w:val="auto"/>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6"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850"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价格分</w:t>
            </w:r>
          </w:p>
        </w:tc>
        <w:tc>
          <w:tcPr>
            <w:tcW w:w="332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根据综合评分法，满足招标文件要求且投标价格最低的投标报价为评标基准价，投标报价得分=（评标基准价／投标报价）×30%×100，计算分数时四舍五入取小数点后两位。</w:t>
            </w:r>
          </w:p>
          <w:p>
            <w:pPr>
              <w:pageBreakBefore w:val="0"/>
              <w:kinsoku/>
              <w:wordWrap/>
              <w:overflowPunct/>
              <w:topLinePunct w:val="0"/>
              <w:autoSpaceDE/>
              <w:autoSpaceDN/>
              <w:bidi w:val="0"/>
              <w:adjustRightInd/>
              <w:snapToGrid/>
              <w:spacing w:beforeLines="0" w:afterLines="0" w:line="460" w:lineRule="exact"/>
              <w:ind w:firstLine="482" w:firstLineChars="200"/>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注：小、微型企业或残疾人福利性单位产品或监狱产品的价格给予10%的扣除，用扣除后的价格参与评审。但残疾人福利性单位本身属于小型、微型企业的，不重复享受政策。</w:t>
            </w:r>
          </w:p>
        </w:tc>
        <w:tc>
          <w:tcPr>
            <w:tcW w:w="444"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30分</w:t>
            </w:r>
          </w:p>
        </w:tc>
      </w:tr>
    </w:tbl>
    <w:p>
      <w:pPr>
        <w:pageBreakBefore w:val="0"/>
        <w:kinsoku/>
        <w:wordWrap/>
        <w:overflowPunct/>
        <w:topLinePunct w:val="0"/>
        <w:autoSpaceDE/>
        <w:autoSpaceDN/>
        <w:bidi w:val="0"/>
        <w:adjustRightInd/>
        <w:snapToGrid/>
        <w:spacing w:beforeLines="0" w:afterLines="0" w:line="460" w:lineRule="exact"/>
        <w:ind w:firstLine="482" w:firstLineChars="200"/>
        <w:jc w:val="left"/>
        <w:rPr>
          <w:rFonts w:hint="eastAsia" w:ascii="仿宋" w:hAnsi="仿宋" w:eastAsia="仿宋" w:cs="Times New Roman"/>
          <w:b/>
          <w:color w:val="auto"/>
          <w:sz w:val="24"/>
          <w:szCs w:val="24"/>
        </w:rPr>
      </w:pPr>
      <w:r>
        <w:rPr>
          <w:rFonts w:hint="eastAsia" w:ascii="仿宋" w:hAnsi="仿宋" w:eastAsia="仿宋" w:cs="Times New Roman"/>
          <w:b/>
          <w:color w:val="auto"/>
          <w:sz w:val="24"/>
          <w:szCs w:val="24"/>
        </w:rPr>
        <w:t>二、技术部分（5</w:t>
      </w:r>
      <w:r>
        <w:rPr>
          <w:rFonts w:hint="eastAsia" w:ascii="仿宋" w:hAnsi="仿宋" w:eastAsia="仿宋" w:cs="Times New Roman"/>
          <w:b/>
          <w:color w:val="auto"/>
          <w:sz w:val="24"/>
          <w:szCs w:val="24"/>
          <w:lang w:val="en-US" w:eastAsia="zh-CN"/>
        </w:rPr>
        <w:t>5</w:t>
      </w:r>
      <w:r>
        <w:rPr>
          <w:rFonts w:hint="eastAsia" w:ascii="仿宋" w:hAnsi="仿宋" w:eastAsia="仿宋" w:cs="Times New Roman"/>
          <w:b/>
          <w:color w:val="auto"/>
          <w:sz w:val="24"/>
          <w:szCs w:val="24"/>
        </w:rPr>
        <w:t>分）</w:t>
      </w:r>
    </w:p>
    <w:tbl>
      <w:tblPr>
        <w:tblStyle w:val="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3"/>
        <w:gridCol w:w="758"/>
        <w:gridCol w:w="1395"/>
        <w:gridCol w:w="5776"/>
        <w:gridCol w:w="8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82"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序号</w:t>
            </w:r>
          </w:p>
        </w:tc>
        <w:tc>
          <w:tcPr>
            <w:tcW w:w="1159"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评审因素</w:t>
            </w:r>
          </w:p>
        </w:tc>
        <w:tc>
          <w:tcPr>
            <w:tcW w:w="3110"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评分标准</w:t>
            </w:r>
          </w:p>
        </w:tc>
        <w:tc>
          <w:tcPr>
            <w:tcW w:w="44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282"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159"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技术参数及要求</w:t>
            </w:r>
          </w:p>
        </w:tc>
        <w:tc>
          <w:tcPr>
            <w:tcW w:w="3110" w:type="pct"/>
            <w:tcBorders>
              <w:top w:val="single" w:color="auto" w:sz="4" w:space="0"/>
              <w:left w:val="single" w:color="auto" w:sz="4" w:space="0"/>
              <w:bottom w:val="single" w:color="auto" w:sz="4" w:space="0"/>
              <w:right w:val="single" w:color="auto" w:sz="4" w:space="0"/>
              <w:tl2br w:val="nil"/>
              <w:tr2bl w:val="nil"/>
            </w:tcBorders>
            <w:noWrap w:val="0"/>
            <w:vAlign w:val="top"/>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一、重大负偏离评审依据：</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1、带★条款的响应，不满足招标文件要求的，或有缺项、漏项的，视为重大负偏离；</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2、一般参数和带“▲”参数共有四项及以上（含本数）的负偏离，视为重大负偏离；</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二、负偏离评审依据：</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3、所投产品一般参数或带“▲”参数有一项低于招标文件要求，该项视为负偏离；</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4、所投产品一般参数或带“▲”参数有一项缺项、漏项的，该项视为负偏离。</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注：“一般参数”为非标“★”号参数和非标“▲”号参数。</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评审依据：</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①投标文件中提供的技术条款响应表；</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b/>
                <w:color w:val="auto"/>
                <w:sz w:val="24"/>
                <w:szCs w:val="24"/>
              </w:rPr>
              <w:t>②所投产品技术参数完全满足招标文件要求得</w:t>
            </w:r>
            <w:r>
              <w:rPr>
                <w:rFonts w:hint="eastAsia" w:ascii="仿宋" w:hAnsi="仿宋" w:eastAsia="仿宋" w:cs="仿宋"/>
                <w:b/>
                <w:color w:val="auto"/>
                <w:sz w:val="24"/>
                <w:szCs w:val="24"/>
                <w:lang w:val="en-US" w:eastAsia="zh-CN"/>
              </w:rPr>
              <w:t>26</w:t>
            </w:r>
            <w:r>
              <w:rPr>
                <w:rFonts w:hint="eastAsia" w:ascii="仿宋" w:hAnsi="仿宋" w:eastAsia="仿宋" w:cs="仿宋"/>
                <w:b/>
                <w:color w:val="auto"/>
                <w:sz w:val="24"/>
                <w:szCs w:val="24"/>
              </w:rPr>
              <w:t>分；重大负偏离则视为无效投标；一般参数或带“▲”参数每有一项负偏离减5分，最多减15分，四项或以上负偏离视为无效投标。</w:t>
            </w:r>
          </w:p>
        </w:tc>
        <w:tc>
          <w:tcPr>
            <w:tcW w:w="44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rPr>
              <w:t>26分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82" w:type="pct"/>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408" w:type="pct"/>
            <w:vMerge w:val="restart"/>
            <w:tcBorders>
              <w:top w:val="single" w:color="auto" w:sz="4" w:space="0"/>
              <w:left w:val="single" w:color="auto" w:sz="4" w:space="0"/>
              <w:bottom w:val="single" w:color="auto" w:sz="4" w:space="0"/>
              <w:right w:val="single" w:color="000000"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充气救生筏</w:t>
            </w:r>
          </w:p>
        </w:tc>
        <w:tc>
          <w:tcPr>
            <w:tcW w:w="751" w:type="pct"/>
            <w:tcBorders>
              <w:top w:val="single" w:color="auto" w:sz="4" w:space="0"/>
              <w:left w:val="single" w:color="000000"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▲3.12浮力:≥16000N</w:t>
            </w:r>
          </w:p>
        </w:tc>
        <w:tc>
          <w:tcPr>
            <w:tcW w:w="3110"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所投产品</w:t>
            </w:r>
            <w:r>
              <w:rPr>
                <w:rFonts w:hint="eastAsia" w:ascii="仿宋" w:hAnsi="仿宋" w:eastAsia="仿宋" w:cs="仿宋"/>
                <w:color w:val="auto"/>
                <w:sz w:val="24"/>
                <w:szCs w:val="24"/>
                <w:lang w:val="en-US" w:eastAsia="zh-CN"/>
              </w:rPr>
              <w:t>的浮力</w:t>
            </w:r>
            <w:r>
              <w:rPr>
                <w:rFonts w:hint="eastAsia" w:ascii="仿宋" w:hAnsi="仿宋" w:eastAsia="仿宋" w:cs="仿宋"/>
                <w:color w:val="auto"/>
                <w:sz w:val="24"/>
                <w:szCs w:val="24"/>
              </w:rPr>
              <w:t>优于招标文件要求的，</w:t>
            </w:r>
            <w:r>
              <w:rPr>
                <w:rFonts w:hint="eastAsia" w:ascii="仿宋" w:hAnsi="仿宋" w:eastAsia="仿宋" w:cs="仿宋"/>
                <w:color w:val="auto"/>
                <w:sz w:val="24"/>
                <w:szCs w:val="24"/>
                <w:lang w:val="en-US" w:eastAsia="zh-CN"/>
              </w:rPr>
              <w:t>浮力</w:t>
            </w:r>
            <w:r>
              <w:rPr>
                <w:rFonts w:hint="eastAsia" w:ascii="仿宋" w:hAnsi="仿宋" w:eastAsia="仿宋" w:cs="仿宋"/>
                <w:color w:val="auto"/>
                <w:sz w:val="24"/>
                <w:szCs w:val="24"/>
              </w:rPr>
              <w:t>最优的加</w:t>
            </w:r>
            <w:r>
              <w:rPr>
                <w:rFonts w:hint="eastAsia" w:ascii="仿宋" w:hAnsi="仿宋" w:eastAsia="仿宋" w:cs="仿宋"/>
                <w:color w:val="auto"/>
                <w:sz w:val="24"/>
                <w:szCs w:val="24"/>
                <w:lang w:val="en-US" w:eastAsia="zh-CN"/>
              </w:rPr>
              <w:t>3分</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浮力</w:t>
            </w:r>
            <w:r>
              <w:rPr>
                <w:rFonts w:hint="eastAsia" w:ascii="仿宋" w:hAnsi="仿宋" w:eastAsia="仿宋" w:cs="仿宋"/>
                <w:color w:val="auto"/>
                <w:sz w:val="24"/>
                <w:szCs w:val="24"/>
              </w:rPr>
              <w:t>次优的加2分，其余加1分。（可并列得分）</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b/>
                <w:color w:val="auto"/>
                <w:sz w:val="24"/>
                <w:szCs w:val="24"/>
              </w:rPr>
              <w:t>注：最优表示浮力最大，次优表示浮力仅次于最大值。</w:t>
            </w:r>
          </w:p>
        </w:tc>
        <w:tc>
          <w:tcPr>
            <w:tcW w:w="44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82"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408" w:type="pct"/>
            <w:vMerge w:val="continue"/>
            <w:tcBorders>
              <w:top w:val="single" w:color="auto" w:sz="4" w:space="0"/>
              <w:left w:val="single" w:color="auto" w:sz="4" w:space="0"/>
              <w:bottom w:val="single" w:color="auto" w:sz="4" w:space="0"/>
              <w:right w:val="single" w:color="000000"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p>
        </w:tc>
        <w:tc>
          <w:tcPr>
            <w:tcW w:w="751" w:type="pct"/>
            <w:tcBorders>
              <w:top w:val="single" w:color="auto" w:sz="4" w:space="0"/>
              <w:left w:val="single" w:color="000000"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▲3.16充气时间：≤2min</w:t>
            </w:r>
          </w:p>
        </w:tc>
        <w:tc>
          <w:tcPr>
            <w:tcW w:w="3110"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所投</w:t>
            </w:r>
            <w:r>
              <w:rPr>
                <w:rFonts w:hint="eastAsia" w:ascii="仿宋" w:hAnsi="仿宋" w:eastAsia="仿宋" w:cs="仿宋"/>
                <w:color w:val="auto"/>
                <w:sz w:val="24"/>
                <w:szCs w:val="24"/>
                <w:lang w:val="en-US" w:eastAsia="zh-CN"/>
              </w:rPr>
              <w:t>产品的充气时间</w:t>
            </w:r>
            <w:r>
              <w:rPr>
                <w:rFonts w:hint="eastAsia" w:ascii="仿宋" w:hAnsi="仿宋" w:eastAsia="仿宋" w:cs="仿宋"/>
                <w:color w:val="auto"/>
                <w:sz w:val="24"/>
                <w:szCs w:val="24"/>
              </w:rPr>
              <w:t>优于招标文件要求的，</w:t>
            </w:r>
            <w:r>
              <w:rPr>
                <w:rFonts w:hint="eastAsia" w:ascii="仿宋" w:hAnsi="仿宋" w:eastAsia="仿宋" w:cs="仿宋"/>
                <w:color w:val="auto"/>
                <w:sz w:val="24"/>
                <w:szCs w:val="24"/>
                <w:lang w:val="en-US" w:eastAsia="zh-CN"/>
              </w:rPr>
              <w:t>充气时间</w:t>
            </w:r>
            <w:r>
              <w:rPr>
                <w:rFonts w:hint="eastAsia" w:ascii="仿宋" w:hAnsi="仿宋" w:eastAsia="仿宋" w:cs="仿宋"/>
                <w:color w:val="auto"/>
                <w:sz w:val="24"/>
                <w:szCs w:val="24"/>
              </w:rPr>
              <w:t>最优的加</w:t>
            </w:r>
            <w:r>
              <w:rPr>
                <w:rFonts w:hint="eastAsia" w:ascii="仿宋" w:hAnsi="仿宋" w:eastAsia="仿宋" w:cs="仿宋"/>
                <w:color w:val="auto"/>
                <w:sz w:val="24"/>
                <w:szCs w:val="24"/>
                <w:lang w:val="en-US" w:eastAsia="zh-CN"/>
              </w:rPr>
              <w:t>3分</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充气时间</w:t>
            </w:r>
            <w:r>
              <w:rPr>
                <w:rFonts w:hint="eastAsia" w:ascii="仿宋" w:hAnsi="仿宋" w:eastAsia="仿宋" w:cs="仿宋"/>
                <w:color w:val="auto"/>
                <w:sz w:val="24"/>
                <w:szCs w:val="24"/>
              </w:rPr>
              <w:t>次优的加2分，其余加1分。（可并列得分）</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注：最优</w:t>
            </w:r>
            <w:r>
              <w:rPr>
                <w:rFonts w:hint="eastAsia" w:ascii="仿宋" w:hAnsi="仿宋" w:eastAsia="仿宋" w:cs="仿宋"/>
                <w:b/>
                <w:color w:val="auto"/>
                <w:sz w:val="24"/>
                <w:szCs w:val="24"/>
                <w:lang w:val="en-US" w:eastAsia="zh-CN"/>
              </w:rPr>
              <w:t>表示充气时间</w:t>
            </w:r>
            <w:r>
              <w:rPr>
                <w:rFonts w:hint="eastAsia" w:ascii="仿宋" w:hAnsi="仿宋" w:eastAsia="仿宋" w:cs="仿宋"/>
                <w:b/>
                <w:color w:val="auto"/>
                <w:sz w:val="24"/>
                <w:szCs w:val="24"/>
              </w:rPr>
              <w:t>最</w:t>
            </w:r>
            <w:r>
              <w:rPr>
                <w:rFonts w:hint="eastAsia" w:ascii="仿宋" w:hAnsi="仿宋" w:eastAsia="仿宋" w:cs="仿宋"/>
                <w:b/>
                <w:color w:val="auto"/>
                <w:sz w:val="24"/>
                <w:szCs w:val="24"/>
                <w:lang w:val="en-US" w:eastAsia="zh-CN"/>
              </w:rPr>
              <w:t>短</w:t>
            </w:r>
            <w:r>
              <w:rPr>
                <w:rFonts w:hint="eastAsia" w:ascii="仿宋" w:hAnsi="仿宋" w:eastAsia="仿宋" w:cs="仿宋"/>
                <w:b/>
                <w:color w:val="auto"/>
                <w:sz w:val="24"/>
                <w:szCs w:val="24"/>
              </w:rPr>
              <w:t>，次优表示充气时间仅次于最</w:t>
            </w:r>
            <w:r>
              <w:rPr>
                <w:rFonts w:hint="eastAsia" w:ascii="仿宋" w:hAnsi="仿宋" w:eastAsia="仿宋" w:cs="仿宋"/>
                <w:b/>
                <w:color w:val="auto"/>
                <w:sz w:val="24"/>
                <w:szCs w:val="24"/>
                <w:lang w:val="en-US" w:eastAsia="zh-CN"/>
              </w:rPr>
              <w:t>小</w:t>
            </w:r>
            <w:r>
              <w:rPr>
                <w:rFonts w:hint="eastAsia" w:ascii="仿宋" w:hAnsi="仿宋" w:eastAsia="仿宋" w:cs="仿宋"/>
                <w:b/>
                <w:color w:val="auto"/>
                <w:sz w:val="24"/>
                <w:szCs w:val="24"/>
              </w:rPr>
              <w:t>值。</w:t>
            </w:r>
          </w:p>
        </w:tc>
        <w:tc>
          <w:tcPr>
            <w:tcW w:w="44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82"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408" w:type="pct"/>
            <w:vMerge w:val="restart"/>
            <w:tcBorders>
              <w:top w:val="single" w:color="auto" w:sz="4" w:space="0"/>
              <w:left w:val="single" w:color="auto" w:sz="4" w:space="0"/>
              <w:bottom w:val="single" w:color="auto" w:sz="4" w:space="0"/>
              <w:right w:val="single" w:color="000000"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可漂浮救生担架（漂浮担架）</w:t>
            </w:r>
          </w:p>
        </w:tc>
        <w:tc>
          <w:tcPr>
            <w:tcW w:w="751" w:type="pct"/>
            <w:tcBorders>
              <w:top w:val="single" w:color="auto" w:sz="4" w:space="0"/>
              <w:left w:val="single" w:color="000000"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▲3.7充气后浮力：≥1600N</w:t>
            </w:r>
          </w:p>
        </w:tc>
        <w:tc>
          <w:tcPr>
            <w:tcW w:w="3110"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所投</w:t>
            </w:r>
            <w:r>
              <w:rPr>
                <w:rFonts w:hint="eastAsia" w:ascii="仿宋" w:hAnsi="仿宋" w:eastAsia="仿宋" w:cs="仿宋"/>
                <w:color w:val="auto"/>
                <w:sz w:val="24"/>
                <w:szCs w:val="24"/>
                <w:lang w:val="en-US" w:eastAsia="zh-CN"/>
              </w:rPr>
              <w:t>产品的充气后浮力</w:t>
            </w:r>
            <w:r>
              <w:rPr>
                <w:rFonts w:hint="eastAsia" w:ascii="仿宋" w:hAnsi="仿宋" w:eastAsia="仿宋" w:cs="仿宋"/>
                <w:color w:val="auto"/>
                <w:sz w:val="24"/>
                <w:szCs w:val="24"/>
              </w:rPr>
              <w:t>优于招标文件要求的，</w:t>
            </w:r>
            <w:r>
              <w:rPr>
                <w:rFonts w:hint="eastAsia" w:ascii="仿宋" w:hAnsi="仿宋" w:eastAsia="仿宋" w:cs="仿宋"/>
                <w:color w:val="auto"/>
                <w:sz w:val="24"/>
                <w:szCs w:val="24"/>
                <w:lang w:val="en-US" w:eastAsia="zh-CN"/>
              </w:rPr>
              <w:t>充气后浮力</w:t>
            </w:r>
            <w:r>
              <w:rPr>
                <w:rFonts w:hint="eastAsia" w:ascii="仿宋" w:hAnsi="仿宋" w:eastAsia="仿宋" w:cs="仿宋"/>
                <w:color w:val="auto"/>
                <w:sz w:val="24"/>
                <w:szCs w:val="24"/>
              </w:rPr>
              <w:t>最优的加</w:t>
            </w:r>
            <w:r>
              <w:rPr>
                <w:rFonts w:hint="eastAsia" w:ascii="仿宋" w:hAnsi="仿宋" w:eastAsia="仿宋" w:cs="仿宋"/>
                <w:color w:val="auto"/>
                <w:sz w:val="24"/>
                <w:szCs w:val="24"/>
                <w:lang w:val="en-US" w:eastAsia="zh-CN"/>
              </w:rPr>
              <w:t>3分</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充气后浮力</w:t>
            </w:r>
            <w:r>
              <w:rPr>
                <w:rFonts w:hint="eastAsia" w:ascii="仿宋" w:hAnsi="仿宋" w:eastAsia="仿宋" w:cs="仿宋"/>
                <w:color w:val="auto"/>
                <w:sz w:val="24"/>
                <w:szCs w:val="24"/>
              </w:rPr>
              <w:t>次优的加2分，其余加1分。（可并列得分）</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注：最优表示充气后浮力最大，次优表示充气后浮力仅次于最大值。</w:t>
            </w:r>
          </w:p>
        </w:tc>
        <w:tc>
          <w:tcPr>
            <w:tcW w:w="44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82"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408" w:type="pct"/>
            <w:vMerge w:val="continue"/>
            <w:tcBorders>
              <w:top w:val="single" w:color="auto" w:sz="4" w:space="0"/>
              <w:left w:val="single" w:color="auto" w:sz="4" w:space="0"/>
              <w:bottom w:val="single" w:color="auto" w:sz="4" w:space="0"/>
              <w:right w:val="single" w:color="000000"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p>
        </w:tc>
        <w:tc>
          <w:tcPr>
            <w:tcW w:w="751" w:type="pct"/>
            <w:tcBorders>
              <w:top w:val="single" w:color="auto" w:sz="4" w:space="0"/>
              <w:left w:val="single" w:color="000000"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▲3.9织带抗拉强力≥5000N</w:t>
            </w:r>
          </w:p>
        </w:tc>
        <w:tc>
          <w:tcPr>
            <w:tcW w:w="3110"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所投</w:t>
            </w:r>
            <w:r>
              <w:rPr>
                <w:rFonts w:hint="eastAsia" w:ascii="仿宋" w:hAnsi="仿宋" w:eastAsia="仿宋" w:cs="仿宋"/>
                <w:color w:val="auto"/>
                <w:sz w:val="24"/>
                <w:szCs w:val="24"/>
                <w:lang w:val="en-US" w:eastAsia="zh-CN"/>
              </w:rPr>
              <w:t>产品的织带抗拉强力</w:t>
            </w:r>
            <w:r>
              <w:rPr>
                <w:rFonts w:hint="eastAsia" w:ascii="仿宋" w:hAnsi="仿宋" w:eastAsia="仿宋" w:cs="仿宋"/>
                <w:color w:val="auto"/>
                <w:sz w:val="24"/>
                <w:szCs w:val="24"/>
              </w:rPr>
              <w:t>优于招标文件要求的，</w:t>
            </w:r>
            <w:r>
              <w:rPr>
                <w:rFonts w:hint="eastAsia" w:ascii="仿宋" w:hAnsi="仿宋" w:eastAsia="仿宋" w:cs="仿宋"/>
                <w:color w:val="auto"/>
                <w:sz w:val="24"/>
                <w:szCs w:val="24"/>
                <w:lang w:val="en-US" w:eastAsia="zh-CN"/>
              </w:rPr>
              <w:t>织带抗拉强力</w:t>
            </w:r>
            <w:r>
              <w:rPr>
                <w:rFonts w:hint="eastAsia" w:ascii="仿宋" w:hAnsi="仿宋" w:eastAsia="仿宋" w:cs="仿宋"/>
                <w:color w:val="auto"/>
                <w:sz w:val="24"/>
                <w:szCs w:val="24"/>
              </w:rPr>
              <w:t>最优的加</w:t>
            </w:r>
            <w:r>
              <w:rPr>
                <w:rFonts w:hint="eastAsia" w:ascii="仿宋" w:hAnsi="仿宋" w:eastAsia="仿宋" w:cs="仿宋"/>
                <w:color w:val="auto"/>
                <w:sz w:val="24"/>
                <w:szCs w:val="24"/>
                <w:lang w:val="en-US" w:eastAsia="zh-CN"/>
              </w:rPr>
              <w:t>3分</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织带抗拉强力</w:t>
            </w:r>
            <w:r>
              <w:rPr>
                <w:rFonts w:hint="eastAsia" w:ascii="仿宋" w:hAnsi="仿宋" w:eastAsia="仿宋" w:cs="仿宋"/>
                <w:color w:val="auto"/>
                <w:sz w:val="24"/>
                <w:szCs w:val="24"/>
              </w:rPr>
              <w:t>次优的加2分，其余加1分。（可并列得分）</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b/>
                <w:color w:val="auto"/>
                <w:sz w:val="24"/>
                <w:szCs w:val="24"/>
              </w:rPr>
              <w:t>注：最优表示织带抗拉强力最大，次优表示织带抗拉强力仅次于最大值。</w:t>
            </w:r>
          </w:p>
        </w:tc>
        <w:tc>
          <w:tcPr>
            <w:tcW w:w="44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82"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1159"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一般参数</w:t>
            </w:r>
          </w:p>
        </w:tc>
        <w:tc>
          <w:tcPr>
            <w:tcW w:w="3110"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在完全满足招标文件“</w:t>
            </w:r>
            <w:r>
              <w:rPr>
                <w:rFonts w:hint="eastAsia" w:ascii="仿宋" w:hAnsi="仿宋" w:eastAsia="仿宋" w:cs="仿宋"/>
                <w:color w:val="auto"/>
                <w:sz w:val="24"/>
                <w:szCs w:val="24"/>
                <w:lang w:eastAsia="zh-CN"/>
              </w:rPr>
              <w:t>所有参数</w:t>
            </w:r>
            <w:r>
              <w:rPr>
                <w:rFonts w:hint="eastAsia" w:ascii="仿宋" w:hAnsi="仿宋" w:eastAsia="仿宋" w:cs="仿宋"/>
                <w:color w:val="auto"/>
                <w:sz w:val="24"/>
                <w:szCs w:val="24"/>
              </w:rPr>
              <w:t>”要求的基础上，每有一条“一般参数”优于的加1分，本项最多加</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分。（加分只针对具有“≥”或“≤”的数值，数值更加优于的进行加分；文字内容或其他内容优于的不加分）</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b/>
                <w:color w:val="auto"/>
                <w:sz w:val="24"/>
                <w:szCs w:val="24"/>
              </w:rPr>
              <w:t>注：“一般参数”为非标“★”号参数和非标“▲”号参数。</w:t>
            </w:r>
          </w:p>
        </w:tc>
        <w:tc>
          <w:tcPr>
            <w:tcW w:w="44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7分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282" w:type="pct"/>
            <w:vMerge w:val="continue"/>
            <w:tcBorders>
              <w:top w:val="single" w:color="auto" w:sz="4" w:space="0"/>
              <w:left w:val="single" w:color="auto" w:sz="4" w:space="0"/>
              <w:bottom w:val="single" w:color="auto" w:sz="4" w:space="0"/>
              <w:right w:val="single" w:color="auto" w:sz="4" w:space="0"/>
              <w:tl2br w:val="nil"/>
              <w:tr2bl w:val="nil"/>
            </w:tcBorders>
            <w:noWrap w:val="0"/>
            <w:vAlign w:val="top"/>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p>
        </w:tc>
        <w:tc>
          <w:tcPr>
            <w:tcW w:w="4717" w:type="pct"/>
            <w:gridSpan w:val="4"/>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lang w:eastAsia="zh-CN"/>
              </w:rPr>
            </w:pPr>
            <w:r>
              <w:rPr>
                <w:rFonts w:hint="eastAsia" w:ascii="仿宋" w:hAnsi="仿宋" w:eastAsia="仿宋" w:cs="仿宋"/>
                <w:b/>
                <w:color w:val="auto"/>
                <w:sz w:val="24"/>
                <w:szCs w:val="24"/>
              </w:rPr>
              <w:t>评审依据：提供技术条款响应表和技术支撑文件</w:t>
            </w:r>
            <w:r>
              <w:rPr>
                <w:rFonts w:hint="eastAsia" w:ascii="仿宋" w:hAnsi="仿宋" w:eastAsia="仿宋" w:cs="仿宋"/>
                <w:b/>
                <w:color w:val="auto"/>
                <w:sz w:val="24"/>
                <w:szCs w:val="24"/>
                <w:lang w:eastAsia="zh-CN"/>
              </w:rPr>
              <w:t>。</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w:t>
            </w:r>
            <w:r>
              <w:rPr>
                <w:rFonts w:hint="eastAsia" w:ascii="仿宋" w:hAnsi="仿宋" w:eastAsia="仿宋" w:cs="仿宋"/>
                <w:b/>
                <w:color w:val="auto"/>
                <w:sz w:val="24"/>
                <w:szCs w:val="24"/>
                <w:lang w:val="en-US" w:eastAsia="zh-CN"/>
              </w:rPr>
              <w:t>说明：技术支撑文件为以下任意3种材料中的其中1种材料：</w:t>
            </w:r>
            <w:r>
              <w:rPr>
                <w:rFonts w:hint="eastAsia" w:ascii="仿宋" w:hAnsi="仿宋" w:eastAsia="仿宋" w:cs="仿宋"/>
                <w:b/>
                <w:color w:val="auto"/>
                <w:sz w:val="24"/>
                <w:szCs w:val="24"/>
              </w:rPr>
              <w:t>①</w:t>
            </w:r>
            <w:r>
              <w:rPr>
                <w:rFonts w:hint="eastAsia" w:ascii="仿宋" w:hAnsi="仿宋" w:eastAsia="仿宋" w:cs="仿宋"/>
                <w:b/>
                <w:color w:val="auto"/>
                <w:sz w:val="24"/>
                <w:szCs w:val="24"/>
                <w:lang w:val="en-US" w:eastAsia="zh-CN"/>
              </w:rPr>
              <w:t>所投</w:t>
            </w:r>
            <w:r>
              <w:rPr>
                <w:rFonts w:hint="eastAsia" w:ascii="仿宋" w:hAnsi="仿宋" w:eastAsia="仿宋" w:cs="仿宋"/>
                <w:b/>
                <w:color w:val="auto"/>
                <w:sz w:val="24"/>
                <w:szCs w:val="24"/>
              </w:rPr>
              <w:t>产品检测报告复印件</w:t>
            </w:r>
            <w:r>
              <w:rPr>
                <w:rFonts w:hint="eastAsia" w:ascii="仿宋" w:hAnsi="仿宋" w:eastAsia="仿宋" w:cs="仿宋"/>
                <w:b/>
                <w:color w:val="auto"/>
                <w:sz w:val="24"/>
                <w:szCs w:val="24"/>
                <w:lang w:val="en-US" w:eastAsia="zh-CN"/>
              </w:rPr>
              <w:t>；</w:t>
            </w:r>
            <w:r>
              <w:rPr>
                <w:rFonts w:hint="eastAsia" w:ascii="仿宋" w:hAnsi="仿宋" w:eastAsia="仿宋" w:cs="仿宋"/>
                <w:b/>
                <w:color w:val="auto"/>
                <w:sz w:val="24"/>
                <w:szCs w:val="24"/>
              </w:rPr>
              <w:t>②</w:t>
            </w:r>
            <w:r>
              <w:rPr>
                <w:rFonts w:hint="eastAsia" w:ascii="仿宋" w:hAnsi="仿宋" w:eastAsia="仿宋" w:cs="仿宋"/>
                <w:b/>
                <w:color w:val="auto"/>
                <w:sz w:val="24"/>
                <w:szCs w:val="24"/>
                <w:lang w:val="en-US" w:eastAsia="zh-CN"/>
              </w:rPr>
              <w:t>制造商公开发布的</w:t>
            </w:r>
            <w:r>
              <w:rPr>
                <w:rFonts w:hint="eastAsia" w:ascii="仿宋" w:hAnsi="仿宋" w:eastAsia="仿宋" w:cs="仿宋"/>
                <w:b/>
                <w:color w:val="auto"/>
                <w:sz w:val="24"/>
                <w:szCs w:val="24"/>
              </w:rPr>
              <w:t>产品</w:t>
            </w:r>
            <w:r>
              <w:rPr>
                <w:rFonts w:hint="eastAsia" w:ascii="仿宋" w:hAnsi="仿宋" w:eastAsia="仿宋" w:cs="仿宋"/>
                <w:b/>
                <w:color w:val="auto"/>
                <w:sz w:val="24"/>
                <w:szCs w:val="24"/>
                <w:lang w:val="en-US" w:eastAsia="zh-CN"/>
              </w:rPr>
              <w:t>印刷资料</w:t>
            </w:r>
            <w:r>
              <w:rPr>
                <w:rFonts w:hint="eastAsia" w:ascii="仿宋" w:hAnsi="仿宋" w:eastAsia="仿宋" w:cs="仿宋"/>
                <w:b/>
                <w:color w:val="auto"/>
                <w:sz w:val="24"/>
                <w:szCs w:val="24"/>
              </w:rPr>
              <w:t>并加盖制造商公章</w:t>
            </w:r>
            <w:r>
              <w:rPr>
                <w:rFonts w:hint="eastAsia" w:ascii="仿宋" w:hAnsi="仿宋" w:eastAsia="仿宋" w:cs="仿宋"/>
                <w:b/>
                <w:color w:val="auto"/>
                <w:sz w:val="24"/>
                <w:szCs w:val="24"/>
                <w:lang w:val="en-US" w:eastAsia="zh-CN"/>
              </w:rPr>
              <w:t>；</w:t>
            </w:r>
            <w:r>
              <w:rPr>
                <w:rFonts w:hint="eastAsia" w:ascii="仿宋" w:hAnsi="仿宋" w:eastAsia="仿宋" w:cs="仿宋"/>
                <w:b/>
                <w:color w:val="auto"/>
                <w:sz w:val="24"/>
                <w:szCs w:val="24"/>
              </w:rPr>
              <w:t>③制造商出具的技术参数证明材料并加盖制造商公章。]</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b/>
                <w:color w:val="auto"/>
                <w:sz w:val="24"/>
                <w:szCs w:val="24"/>
              </w:rPr>
              <w:t>注：①供应商应认真提供技术支撑文件，若提供多份技术支撑文件，技术支撑文件佐证不一致时，优先级为：产品检测报告复印件＞制造商公开发布的印刷资料＞制造商出具的技术参数证明</w:t>
            </w:r>
            <w:r>
              <w:rPr>
                <w:rFonts w:hint="eastAsia" w:ascii="仿宋" w:hAnsi="仿宋" w:eastAsia="仿宋" w:cs="仿宋"/>
                <w:b/>
                <w:color w:val="auto"/>
                <w:sz w:val="24"/>
                <w:szCs w:val="24"/>
                <w:lang w:val="en-US" w:eastAsia="zh-CN"/>
              </w:rPr>
              <w:t>材料</w:t>
            </w:r>
            <w:r>
              <w:rPr>
                <w:rFonts w:hint="eastAsia" w:ascii="仿宋" w:hAnsi="仿宋" w:eastAsia="仿宋" w:cs="仿宋"/>
                <w:b/>
                <w:color w:val="auto"/>
                <w:sz w:val="24"/>
                <w:szCs w:val="24"/>
              </w:rPr>
              <w:t>；②技术支撑文件</w:t>
            </w:r>
            <w:r>
              <w:rPr>
                <w:rFonts w:hint="eastAsia" w:ascii="仿宋" w:hAnsi="仿宋" w:eastAsia="仿宋" w:cs="仿宋"/>
                <w:b/>
                <w:color w:val="auto"/>
                <w:sz w:val="24"/>
                <w:szCs w:val="24"/>
                <w:lang w:val="en-US" w:eastAsia="zh-CN"/>
              </w:rPr>
              <w:t>与</w:t>
            </w:r>
            <w:r>
              <w:rPr>
                <w:rFonts w:hint="eastAsia" w:ascii="仿宋" w:hAnsi="仿宋" w:eastAsia="仿宋" w:cs="仿宋"/>
                <w:b/>
                <w:color w:val="auto"/>
                <w:sz w:val="24"/>
                <w:szCs w:val="24"/>
              </w:rPr>
              <w:t>技术条款响应表</w:t>
            </w:r>
            <w:r>
              <w:rPr>
                <w:rFonts w:hint="eastAsia" w:ascii="仿宋" w:hAnsi="仿宋" w:eastAsia="仿宋" w:cs="仿宋"/>
                <w:b/>
                <w:color w:val="auto"/>
                <w:sz w:val="24"/>
                <w:szCs w:val="24"/>
                <w:lang w:eastAsia="zh-CN"/>
              </w:rPr>
              <w:t>不一致，则</w:t>
            </w:r>
            <w:r>
              <w:rPr>
                <w:rFonts w:hint="eastAsia" w:ascii="仿宋" w:hAnsi="仿宋" w:eastAsia="仿宋" w:cs="仿宋"/>
                <w:b/>
                <w:color w:val="auto"/>
                <w:sz w:val="24"/>
                <w:szCs w:val="24"/>
              </w:rPr>
              <w:t>该点不加分</w:t>
            </w:r>
            <w:r>
              <w:rPr>
                <w:rFonts w:hint="eastAsia" w:ascii="仿宋" w:hAnsi="仿宋" w:eastAsia="仿宋" w:cs="仿宋"/>
                <w:b/>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82" w:type="pct"/>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1159"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整体结构与外观</w:t>
            </w:r>
          </w:p>
        </w:tc>
        <w:tc>
          <w:tcPr>
            <w:tcW w:w="3110"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根据视频文件对</w:t>
            </w:r>
            <w:r>
              <w:rPr>
                <w:rFonts w:hint="eastAsia" w:ascii="仿宋" w:hAnsi="仿宋" w:eastAsia="仿宋" w:cs="仿宋"/>
                <w:color w:val="auto"/>
                <w:sz w:val="24"/>
                <w:szCs w:val="24"/>
                <w:lang w:eastAsia="zh-CN"/>
              </w:rPr>
              <w:t>核心产品</w:t>
            </w:r>
            <w:r>
              <w:rPr>
                <w:rFonts w:hint="eastAsia" w:ascii="仿宋" w:hAnsi="仿宋" w:eastAsia="仿宋" w:cs="仿宋"/>
                <w:color w:val="auto"/>
                <w:sz w:val="24"/>
                <w:szCs w:val="24"/>
              </w:rPr>
              <w:t>的外观构造、内部结构、设计理念等进行评审。</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设计理念先进，外部构造和内部结构科学合理，整体结构外观与实战紧贴程度高的，得3分；设计理念较为先进，外部构造和内部结构较为合理，整体结构外观与实战紧贴程度较高的，得2分；设计理念一般，外观构造和内部结构基本合理，整体结构外观与实战紧贴程度不高的，得1分；未提供证明材料或证明材料有缺项的不得分。</w:t>
            </w:r>
          </w:p>
        </w:tc>
        <w:tc>
          <w:tcPr>
            <w:tcW w:w="44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82"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1159"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工艺</w:t>
            </w:r>
          </w:p>
        </w:tc>
        <w:tc>
          <w:tcPr>
            <w:tcW w:w="3110"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根据视频文件对</w:t>
            </w:r>
            <w:r>
              <w:rPr>
                <w:rFonts w:hint="eastAsia" w:ascii="仿宋" w:hAnsi="仿宋" w:eastAsia="仿宋" w:cs="仿宋"/>
                <w:color w:val="auto"/>
                <w:sz w:val="24"/>
                <w:szCs w:val="24"/>
                <w:lang w:eastAsia="zh-CN"/>
              </w:rPr>
              <w:t>核心产品</w:t>
            </w:r>
            <w:r>
              <w:rPr>
                <w:rFonts w:hint="eastAsia" w:ascii="仿宋" w:hAnsi="仿宋" w:eastAsia="仿宋" w:cs="仿宋"/>
                <w:color w:val="auto"/>
                <w:sz w:val="24"/>
                <w:szCs w:val="24"/>
              </w:rPr>
              <w:t>的安全性、耐用性、实用性等进行评审。</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安全性能高、耐用性能好、实用性能强，工艺符合实战需求程度高的，得3分；安全性能较高、耐用性能良好、实用性能较强，工艺符合实战需求程度较高的，得2分；安全性能不高、耐用性能普通、实用性能一般，工艺符合实战需求程度不高的，得1分；未提供证明材料或证明材料有缺项的不得分。</w:t>
            </w:r>
          </w:p>
        </w:tc>
        <w:tc>
          <w:tcPr>
            <w:tcW w:w="44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82"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1159"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操作使用性能</w:t>
            </w:r>
          </w:p>
        </w:tc>
        <w:tc>
          <w:tcPr>
            <w:tcW w:w="3110"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根据视频文件对</w:t>
            </w:r>
            <w:r>
              <w:rPr>
                <w:rFonts w:hint="eastAsia" w:ascii="仿宋" w:hAnsi="仿宋" w:eastAsia="仿宋" w:cs="仿宋"/>
                <w:color w:val="auto"/>
                <w:sz w:val="24"/>
                <w:szCs w:val="24"/>
                <w:lang w:eastAsia="zh-CN"/>
              </w:rPr>
              <w:t>核心产品</w:t>
            </w:r>
            <w:r>
              <w:rPr>
                <w:rFonts w:hint="eastAsia" w:ascii="仿宋" w:hAnsi="仿宋" w:eastAsia="仿宋" w:cs="仿宋"/>
                <w:color w:val="auto"/>
                <w:sz w:val="24"/>
                <w:szCs w:val="24"/>
              </w:rPr>
              <w:t>的可靠性、便捷性、稳定性等进行评审。</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可靠性高、便捷性好、稳定性好，操作使用性能提升战斗力程度高的，得4分；可靠性较高、便捷性较好、稳定性良好，操作使用性能提升战斗力程度较高的，得2分；可靠性不高、便捷性和稳定性一般，操作使用性能提升战斗力程度不高的，得1分；未提供证明材料或证明材料有缺项的不得分。</w:t>
            </w:r>
          </w:p>
        </w:tc>
        <w:tc>
          <w:tcPr>
            <w:tcW w:w="44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82"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p>
        </w:tc>
        <w:tc>
          <w:tcPr>
            <w:tcW w:w="4717" w:type="pct"/>
            <w:gridSpan w:val="4"/>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lang w:eastAsia="zh-CN"/>
              </w:rPr>
            </w:pPr>
            <w:r>
              <w:rPr>
                <w:rFonts w:hint="eastAsia" w:ascii="仿宋" w:hAnsi="仿宋" w:eastAsia="仿宋" w:cs="仿宋"/>
                <w:b/>
                <w:color w:val="auto"/>
                <w:sz w:val="24"/>
                <w:szCs w:val="24"/>
              </w:rPr>
              <w:t>以上评审依据：根据视频文件对产品的整体结构与外观、工艺、操作使用性能进行综合评审，视频文件需对以上三点评审内容进行介绍（包含但不限于以上三点）。视频文件[视频文件格式须为通用格式，佐证视频时长不得超过5分钟，视频清晰度应至少保证所摄的界面文字清晰易辨、画面完整连贯、播放速度正常]应存储于U盘内（单独密封在信封中）与投标文件同时递交，逾期递交不予接收，</w:t>
            </w:r>
            <w:r>
              <w:rPr>
                <w:rFonts w:hint="eastAsia" w:ascii="仿宋" w:hAnsi="仿宋" w:eastAsia="仿宋" w:cs="仿宋"/>
                <w:b/>
                <w:color w:val="auto"/>
                <w:sz w:val="24"/>
                <w:szCs w:val="24"/>
                <w:lang w:eastAsia="zh-CN"/>
              </w:rPr>
              <w:t>U盘由采购代理机构封存，不予退回。未提供视频或视频无法打开的，得0分。</w:t>
            </w:r>
          </w:p>
        </w:tc>
      </w:tr>
    </w:tbl>
    <w:p>
      <w:pPr>
        <w:pageBreakBefore w:val="0"/>
        <w:kinsoku/>
        <w:wordWrap/>
        <w:overflowPunct/>
        <w:topLinePunct w:val="0"/>
        <w:autoSpaceDE/>
        <w:autoSpaceDN/>
        <w:bidi w:val="0"/>
        <w:adjustRightInd/>
        <w:snapToGrid/>
        <w:spacing w:beforeLines="0" w:afterLines="0" w:line="460" w:lineRule="exact"/>
        <w:ind w:firstLine="482" w:firstLineChars="200"/>
        <w:jc w:val="left"/>
        <w:rPr>
          <w:rFonts w:hint="eastAsia" w:ascii="仿宋" w:hAnsi="仿宋" w:eastAsia="仿宋" w:cs="Times New Roman"/>
          <w:b/>
          <w:color w:val="auto"/>
          <w:sz w:val="24"/>
          <w:szCs w:val="24"/>
        </w:rPr>
      </w:pPr>
      <w:r>
        <w:rPr>
          <w:rFonts w:hint="eastAsia" w:ascii="仿宋" w:hAnsi="仿宋" w:eastAsia="仿宋" w:cs="Times New Roman"/>
          <w:b/>
          <w:color w:val="auto"/>
          <w:sz w:val="24"/>
          <w:szCs w:val="24"/>
        </w:rPr>
        <w:t>三、商务部分（1</w:t>
      </w:r>
      <w:r>
        <w:rPr>
          <w:rFonts w:hint="eastAsia" w:ascii="仿宋" w:hAnsi="仿宋" w:eastAsia="仿宋" w:cs="Times New Roman"/>
          <w:b/>
          <w:color w:val="auto"/>
          <w:sz w:val="24"/>
          <w:szCs w:val="24"/>
          <w:lang w:val="en-US" w:eastAsia="zh-CN"/>
        </w:rPr>
        <w:t>5</w:t>
      </w:r>
      <w:r>
        <w:rPr>
          <w:rFonts w:hint="eastAsia" w:ascii="仿宋" w:hAnsi="仿宋" w:eastAsia="仿宋" w:cs="Times New Roman"/>
          <w:b/>
          <w:color w:val="auto"/>
          <w:sz w:val="24"/>
          <w:szCs w:val="24"/>
        </w:rPr>
        <w:t>分）</w:t>
      </w:r>
    </w:p>
    <w:tbl>
      <w:tblPr>
        <w:tblStyle w:val="4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1310"/>
        <w:gridCol w:w="6295"/>
        <w:gridCol w:w="9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eastAsia="仿宋" w:cs="Times New Roman"/>
                <w:b/>
                <w:color w:val="auto"/>
                <w:sz w:val="24"/>
                <w:szCs w:val="22"/>
              </w:rPr>
              <w:t>序号</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eastAsia="仿宋" w:cs="Times New Roman"/>
                <w:b/>
                <w:color w:val="auto"/>
                <w:sz w:val="24"/>
                <w:szCs w:val="22"/>
              </w:rPr>
              <w:t>评审因素</w:t>
            </w:r>
          </w:p>
        </w:tc>
        <w:tc>
          <w:tcPr>
            <w:tcW w:w="338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eastAsia="仿宋" w:cs="Times New Roman"/>
                <w:b/>
                <w:color w:val="auto"/>
                <w:sz w:val="24"/>
                <w:szCs w:val="22"/>
              </w:rPr>
              <w:t>评分标准</w:t>
            </w:r>
          </w:p>
        </w:tc>
        <w:tc>
          <w:tcPr>
            <w:tcW w:w="49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eastAsia="仿宋" w:cs="Times New Roman"/>
                <w:b/>
                <w:color w:val="auto"/>
                <w:sz w:val="24"/>
                <w:szCs w:val="22"/>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cs="Times New Roman"/>
                <w:color w:val="auto"/>
                <w:sz w:val="24"/>
                <w:szCs w:val="22"/>
              </w:rPr>
              <w:t>1</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ascii="仿宋" w:hAnsi="仿宋" w:eastAsia="仿宋" w:cs="仿宋"/>
                <w:color w:val="auto"/>
                <w:sz w:val="24"/>
                <w:szCs w:val="24"/>
              </w:rPr>
              <w:t>符合性评审</w:t>
            </w:r>
          </w:p>
        </w:tc>
        <w:tc>
          <w:tcPr>
            <w:tcW w:w="3887"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cs="Times New Roman"/>
                <w:color w:val="auto"/>
                <w:sz w:val="24"/>
                <w:szCs w:val="22"/>
              </w:rPr>
            </w:pPr>
            <w:r>
              <w:rPr>
                <w:rFonts w:hint="eastAsia" w:eastAsia="仿宋" w:cs="Times New Roman"/>
                <w:color w:val="auto"/>
                <w:sz w:val="24"/>
                <w:szCs w:val="22"/>
              </w:rPr>
              <w:t>投标人必须完全满足招标文件“商务要求”</w:t>
            </w:r>
            <w:r>
              <w:rPr>
                <w:rFonts w:hint="eastAsia" w:eastAsia="仿宋" w:cs="Times New Roman"/>
                <w:color w:val="auto"/>
                <w:sz w:val="24"/>
                <w:szCs w:val="22"/>
                <w:lang w:val="en-US" w:eastAsia="zh-CN"/>
              </w:rPr>
              <w:t>所有</w:t>
            </w:r>
            <w:r>
              <w:rPr>
                <w:rFonts w:hint="eastAsia" w:eastAsia="仿宋" w:cs="Times New Roman"/>
                <w:color w:val="auto"/>
                <w:sz w:val="24"/>
                <w:szCs w:val="22"/>
              </w:rPr>
              <w:t>实质性条款，任意一项不满足作无效投标处理。</w:t>
            </w:r>
          </w:p>
          <w:p>
            <w:pPr>
              <w:pageBreakBefore w:val="0"/>
              <w:kinsoku/>
              <w:wordWrap/>
              <w:overflowPunct/>
              <w:topLinePunct w:val="0"/>
              <w:autoSpaceDE/>
              <w:autoSpaceDN/>
              <w:bidi w:val="0"/>
              <w:adjustRightInd/>
              <w:snapToGrid/>
              <w:spacing w:beforeLines="0" w:afterLines="0" w:line="460" w:lineRule="exact"/>
              <w:rPr>
                <w:rFonts w:hint="eastAsia" w:cs="Times New Roman"/>
                <w:color w:val="auto"/>
                <w:sz w:val="24"/>
                <w:szCs w:val="22"/>
              </w:rPr>
            </w:pPr>
            <w:r>
              <w:rPr>
                <w:rFonts w:hint="eastAsia" w:eastAsia="仿宋" w:cs="Times New Roman"/>
                <w:b/>
                <w:color w:val="auto"/>
                <w:sz w:val="24"/>
                <w:szCs w:val="22"/>
              </w:rPr>
              <w:t>评审依据：投标文件中提供的商务条款响应表。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cs="Times New Roman"/>
                <w:color w:val="auto"/>
                <w:sz w:val="24"/>
                <w:szCs w:val="22"/>
              </w:rPr>
              <w:t>2</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eastAsia="仿宋" w:cs="Times New Roman"/>
                <w:color w:val="auto"/>
                <w:sz w:val="24"/>
                <w:szCs w:val="22"/>
                <w:lang w:eastAsia="zh-CN"/>
              </w:rPr>
            </w:pPr>
            <w:r>
              <w:rPr>
                <w:rFonts w:hint="eastAsia" w:eastAsia="仿宋" w:cs="Times New Roman"/>
                <w:color w:val="auto"/>
                <w:sz w:val="24"/>
                <w:szCs w:val="22"/>
                <w:lang w:eastAsia="zh-CN"/>
              </w:rPr>
              <w:t>生产制造履约能力</w:t>
            </w:r>
          </w:p>
        </w:tc>
        <w:tc>
          <w:tcPr>
            <w:tcW w:w="338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lang w:eastAsia="zh-CN"/>
              </w:rPr>
            </w:pPr>
            <w:r>
              <w:rPr>
                <w:rFonts w:hint="eastAsia" w:eastAsia="仿宋" w:cs="Times New Roman"/>
                <w:color w:val="auto"/>
                <w:sz w:val="24"/>
                <w:szCs w:val="22"/>
                <w:lang w:val="en-US" w:eastAsia="zh-CN"/>
              </w:rPr>
              <w:t>投标人提供所投核心产品制造商的证明材料（应加盖制造商公章）</w:t>
            </w:r>
            <w:r>
              <w:rPr>
                <w:rFonts w:hint="eastAsia" w:eastAsia="仿宋" w:cs="Times New Roman"/>
                <w:color w:val="auto"/>
                <w:sz w:val="24"/>
                <w:szCs w:val="22"/>
              </w:rPr>
              <w:t>对</w:t>
            </w:r>
            <w:r>
              <w:rPr>
                <w:rFonts w:hint="eastAsia" w:eastAsia="仿宋" w:cs="Times New Roman"/>
                <w:color w:val="auto"/>
                <w:sz w:val="24"/>
                <w:szCs w:val="22"/>
                <w:lang w:eastAsia="zh-CN"/>
              </w:rPr>
              <w:t>生产制造履约能力</w:t>
            </w:r>
            <w:r>
              <w:rPr>
                <w:rFonts w:hint="eastAsia" w:eastAsia="仿宋" w:cs="Times New Roman"/>
                <w:color w:val="auto"/>
                <w:sz w:val="24"/>
                <w:szCs w:val="22"/>
              </w:rPr>
              <w:t>进行评审，包含但不限于</w:t>
            </w:r>
            <w:r>
              <w:rPr>
                <w:rFonts w:hint="eastAsia" w:eastAsia="仿宋" w:cs="Times New Roman"/>
                <w:color w:val="auto"/>
                <w:sz w:val="24"/>
                <w:szCs w:val="22"/>
                <w:lang w:eastAsia="zh-CN"/>
              </w:rPr>
              <w:t>：</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lang w:eastAsia="zh-CN"/>
              </w:rPr>
            </w:pPr>
            <w:r>
              <w:rPr>
                <w:rFonts w:hint="eastAsia" w:eastAsia="仿宋" w:cs="Times New Roman"/>
                <w:color w:val="auto"/>
                <w:sz w:val="24"/>
                <w:szCs w:val="22"/>
                <w:lang w:eastAsia="zh-CN"/>
              </w:rPr>
              <w:t>①制造商生产经营情况简介；</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lang w:eastAsia="zh-CN"/>
              </w:rPr>
            </w:pPr>
            <w:r>
              <w:rPr>
                <w:rFonts w:hint="eastAsia" w:eastAsia="仿宋" w:cs="Times New Roman"/>
                <w:color w:val="auto"/>
                <w:sz w:val="24"/>
                <w:szCs w:val="22"/>
              </w:rPr>
              <w:t>②</w:t>
            </w:r>
            <w:r>
              <w:rPr>
                <w:rFonts w:hint="eastAsia" w:eastAsia="仿宋" w:cs="Times New Roman"/>
                <w:color w:val="auto"/>
                <w:sz w:val="24"/>
                <w:szCs w:val="22"/>
                <w:lang w:eastAsia="zh-CN"/>
              </w:rPr>
              <w:t>生产工艺流程，主要包括生产制造流程图、生产步骤（应含生产车间环境及实际生产照片）等相关情况描述；</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rPr>
            </w:pPr>
            <w:r>
              <w:rPr>
                <w:rFonts w:hint="eastAsia" w:eastAsia="仿宋" w:cs="Times New Roman"/>
                <w:color w:val="auto"/>
                <w:sz w:val="24"/>
                <w:szCs w:val="22"/>
              </w:rPr>
              <w:t>③产品检验流程，包括主要检验设备</w:t>
            </w:r>
            <w:r>
              <w:rPr>
                <w:rFonts w:hint="eastAsia" w:eastAsia="仿宋" w:cs="Times New Roman"/>
                <w:color w:val="auto"/>
                <w:sz w:val="24"/>
                <w:szCs w:val="22"/>
                <w:lang w:eastAsia="zh-CN"/>
              </w:rPr>
              <w:t>（应提供图片）</w:t>
            </w:r>
            <w:r>
              <w:rPr>
                <w:rFonts w:hint="eastAsia" w:eastAsia="仿宋" w:cs="Times New Roman"/>
                <w:color w:val="auto"/>
                <w:sz w:val="24"/>
                <w:szCs w:val="22"/>
              </w:rPr>
              <w:t>、检验步骤等相关情况描述；</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rPr>
            </w:pPr>
            <w:r>
              <w:rPr>
                <w:rFonts w:hint="eastAsia" w:eastAsia="仿宋" w:cs="Times New Roman"/>
                <w:color w:val="auto"/>
                <w:sz w:val="24"/>
                <w:szCs w:val="22"/>
              </w:rPr>
              <w:t>④人员配备：相关专业技术</w:t>
            </w:r>
            <w:r>
              <w:rPr>
                <w:rFonts w:hint="eastAsia" w:eastAsia="仿宋" w:cs="Times New Roman"/>
                <w:color w:val="auto"/>
                <w:sz w:val="24"/>
                <w:szCs w:val="22"/>
                <w:lang w:eastAsia="zh-CN"/>
              </w:rPr>
              <w:t>职称</w:t>
            </w:r>
            <w:r>
              <w:rPr>
                <w:rFonts w:hint="eastAsia" w:eastAsia="仿宋" w:cs="Times New Roman"/>
                <w:color w:val="auto"/>
                <w:sz w:val="24"/>
                <w:szCs w:val="22"/>
              </w:rPr>
              <w:t>人员配置情况</w:t>
            </w:r>
            <w:r>
              <w:rPr>
                <w:rFonts w:hint="eastAsia" w:eastAsia="仿宋" w:cs="Times New Roman"/>
                <w:color w:val="auto"/>
                <w:sz w:val="24"/>
                <w:szCs w:val="22"/>
                <w:lang w:eastAsia="zh-CN"/>
              </w:rPr>
              <w:t>；</w:t>
            </w:r>
            <w:r>
              <w:rPr>
                <w:rFonts w:hint="eastAsia" w:eastAsia="仿宋" w:cs="Times New Roman"/>
                <w:color w:val="auto"/>
                <w:sz w:val="24"/>
                <w:szCs w:val="22"/>
              </w:rPr>
              <w:t>各原材料采购、生产、检验、仓储、运输等环节的人员配备情况；</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b/>
                <w:color w:val="auto"/>
                <w:sz w:val="24"/>
                <w:szCs w:val="22"/>
              </w:rPr>
            </w:pPr>
            <w:r>
              <w:rPr>
                <w:rFonts w:hint="eastAsia" w:eastAsia="仿宋" w:cs="Times New Roman"/>
                <w:b/>
                <w:color w:val="auto"/>
                <w:sz w:val="24"/>
                <w:szCs w:val="22"/>
              </w:rPr>
              <w:t>评审依据：</w:t>
            </w:r>
            <w:r>
              <w:rPr>
                <w:rFonts w:hint="eastAsia" w:eastAsia="仿宋" w:cs="Times New Roman"/>
                <w:b/>
                <w:color w:val="auto"/>
                <w:sz w:val="24"/>
                <w:szCs w:val="22"/>
                <w:lang w:val="en-US" w:eastAsia="zh-CN"/>
              </w:rPr>
              <w:t>根据</w:t>
            </w:r>
            <w:r>
              <w:rPr>
                <w:rFonts w:hint="eastAsia" w:eastAsia="仿宋" w:cs="Times New Roman"/>
                <w:b/>
                <w:color w:val="auto"/>
                <w:sz w:val="24"/>
                <w:szCs w:val="22"/>
              </w:rPr>
              <w:t>投标人提</w:t>
            </w:r>
            <w:r>
              <w:rPr>
                <w:rFonts w:hint="eastAsia" w:eastAsia="仿宋" w:cs="Times New Roman"/>
                <w:b/>
                <w:color w:val="auto"/>
                <w:sz w:val="24"/>
                <w:szCs w:val="22"/>
                <w:lang w:val="en-US" w:eastAsia="zh-CN"/>
              </w:rPr>
              <w:t>供的生产制造履约能力方案内容完整性、组织性、关联性和可操作性进行评审</w:t>
            </w:r>
            <w:r>
              <w:rPr>
                <w:rFonts w:hint="eastAsia" w:eastAsia="仿宋" w:cs="Times New Roman"/>
                <w:b/>
                <w:color w:val="auto"/>
                <w:sz w:val="24"/>
                <w:szCs w:val="22"/>
              </w:rPr>
              <w:t>。</w:t>
            </w:r>
          </w:p>
          <w:p>
            <w:pPr>
              <w:pageBreakBefore w:val="0"/>
              <w:numPr>
                <w:ilvl w:val="0"/>
                <w:numId w:val="0"/>
              </w:numPr>
              <w:kinsoku/>
              <w:wordWrap/>
              <w:overflowPunct/>
              <w:topLinePunct w:val="0"/>
              <w:autoSpaceDE/>
              <w:autoSpaceDN/>
              <w:bidi w:val="0"/>
              <w:adjustRightInd/>
              <w:snapToGrid/>
              <w:spacing w:beforeLines="0" w:afterLines="0" w:line="460" w:lineRule="exact"/>
              <w:rPr>
                <w:rFonts w:hint="eastAsia" w:ascii="仿宋" w:hAnsi="仿宋" w:eastAsia="仿宋" w:cs="仿宋"/>
                <w:b/>
                <w:color w:val="auto"/>
                <w:sz w:val="24"/>
                <w:szCs w:val="24"/>
              </w:rPr>
            </w:pPr>
            <w:r>
              <w:rPr>
                <w:rFonts w:hint="eastAsia" w:ascii="仿宋" w:hAnsi="仿宋" w:eastAsia="仿宋" w:cs="仿宋"/>
                <w:b/>
                <w:color w:val="auto"/>
                <w:sz w:val="24"/>
                <w:szCs w:val="24"/>
                <w:lang w:val="en-US" w:eastAsia="zh-CN"/>
              </w:rPr>
              <w:t>1、所投</w:t>
            </w:r>
            <w:r>
              <w:rPr>
                <w:rFonts w:hint="eastAsia" w:eastAsia="仿宋" w:cs="Times New Roman"/>
                <w:b/>
                <w:color w:val="auto"/>
                <w:sz w:val="24"/>
                <w:szCs w:val="22"/>
                <w:lang w:val="en-US" w:eastAsia="zh-CN"/>
              </w:rPr>
              <w:t>核心产品</w:t>
            </w:r>
            <w:r>
              <w:rPr>
                <w:rFonts w:hint="eastAsia" w:ascii="仿宋" w:hAnsi="仿宋" w:eastAsia="仿宋" w:cs="仿宋"/>
                <w:b/>
                <w:color w:val="auto"/>
                <w:sz w:val="24"/>
                <w:szCs w:val="24"/>
                <w:lang w:val="en-US" w:eastAsia="zh-CN"/>
              </w:rPr>
              <w:t>制造商具备较强自主研发能力及先进的生产工艺，生产车间环境及生产线先进规范，生产步骤完整周详，技术</w:t>
            </w:r>
            <w:r>
              <w:rPr>
                <w:rFonts w:hint="eastAsia" w:ascii="仿宋" w:hAnsi="仿宋" w:eastAsia="仿宋" w:cs="仿宋"/>
                <w:b/>
                <w:color w:val="auto"/>
                <w:sz w:val="24"/>
                <w:szCs w:val="24"/>
              </w:rPr>
              <w:t>人员配备</w:t>
            </w:r>
            <w:r>
              <w:rPr>
                <w:rFonts w:hint="eastAsia" w:ascii="仿宋" w:hAnsi="仿宋" w:eastAsia="仿宋" w:cs="仿宋"/>
                <w:b/>
                <w:color w:val="auto"/>
                <w:sz w:val="24"/>
                <w:szCs w:val="24"/>
                <w:lang w:val="en-US" w:eastAsia="zh-CN"/>
              </w:rPr>
              <w:t>合理专业齐全</w:t>
            </w:r>
            <w:r>
              <w:rPr>
                <w:rFonts w:hint="eastAsia" w:ascii="仿宋" w:hAnsi="仿宋" w:eastAsia="仿宋" w:cs="仿宋"/>
                <w:b/>
                <w:color w:val="auto"/>
                <w:sz w:val="24"/>
                <w:szCs w:val="24"/>
              </w:rPr>
              <w:t>，</w:t>
            </w:r>
            <w:r>
              <w:rPr>
                <w:rFonts w:hint="eastAsia" w:ascii="仿宋" w:hAnsi="仿宋" w:eastAsia="仿宋" w:cs="仿宋"/>
                <w:b/>
                <w:color w:val="auto"/>
                <w:sz w:val="24"/>
                <w:szCs w:val="24"/>
                <w:lang w:val="en-US" w:eastAsia="zh-CN"/>
              </w:rPr>
              <w:t>检验设备配置齐全、检验步骤严密无纰漏，生产制造履约能力</w:t>
            </w:r>
            <w:r>
              <w:rPr>
                <w:rFonts w:hint="eastAsia" w:ascii="仿宋" w:hAnsi="仿宋" w:eastAsia="仿宋" w:cs="仿宋"/>
                <w:b/>
                <w:color w:val="auto"/>
                <w:sz w:val="24"/>
                <w:szCs w:val="24"/>
              </w:rPr>
              <w:t>高的得</w:t>
            </w:r>
            <w:r>
              <w:rPr>
                <w:rFonts w:hint="eastAsia" w:ascii="仿宋" w:hAnsi="仿宋" w:eastAsia="仿宋" w:cs="仿宋"/>
                <w:b/>
                <w:color w:val="auto"/>
                <w:sz w:val="24"/>
                <w:szCs w:val="24"/>
                <w:lang w:val="en-US" w:eastAsia="zh-CN"/>
              </w:rPr>
              <w:t>5</w:t>
            </w:r>
            <w:r>
              <w:rPr>
                <w:rFonts w:hint="eastAsia" w:ascii="仿宋" w:hAnsi="仿宋" w:eastAsia="仿宋" w:cs="仿宋"/>
                <w:b/>
                <w:color w:val="auto"/>
                <w:sz w:val="24"/>
                <w:szCs w:val="24"/>
              </w:rPr>
              <w:t>分；</w:t>
            </w:r>
          </w:p>
          <w:p>
            <w:pPr>
              <w:pageBreakBefore w:val="0"/>
              <w:numPr>
                <w:ilvl w:val="0"/>
                <w:numId w:val="0"/>
              </w:numPr>
              <w:kinsoku/>
              <w:wordWrap/>
              <w:overflowPunct/>
              <w:topLinePunct w:val="0"/>
              <w:autoSpaceDE/>
              <w:autoSpaceDN/>
              <w:bidi w:val="0"/>
              <w:adjustRightInd/>
              <w:snapToGrid/>
              <w:spacing w:beforeLines="0" w:afterLines="0" w:line="460" w:lineRule="exact"/>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2、所投</w:t>
            </w:r>
            <w:r>
              <w:rPr>
                <w:rFonts w:hint="eastAsia" w:eastAsia="仿宋" w:cs="Times New Roman"/>
                <w:b/>
                <w:color w:val="auto"/>
                <w:sz w:val="24"/>
                <w:szCs w:val="22"/>
                <w:lang w:val="en-US" w:eastAsia="zh-CN"/>
              </w:rPr>
              <w:t>核心产品</w:t>
            </w:r>
            <w:r>
              <w:rPr>
                <w:rFonts w:hint="eastAsia" w:ascii="仿宋" w:hAnsi="仿宋" w:eastAsia="仿宋" w:cs="仿宋"/>
                <w:b/>
                <w:color w:val="auto"/>
                <w:sz w:val="24"/>
                <w:szCs w:val="24"/>
                <w:lang w:val="en-US" w:eastAsia="zh-CN"/>
              </w:rPr>
              <w:t>制造商有自主研发能力和生产工艺较完整，生产车间环境及生产线常规，生产步骤较完整周详，技术</w:t>
            </w:r>
            <w:r>
              <w:rPr>
                <w:rFonts w:hint="eastAsia" w:ascii="仿宋" w:hAnsi="仿宋" w:eastAsia="仿宋" w:cs="仿宋"/>
                <w:b/>
                <w:color w:val="auto"/>
                <w:sz w:val="24"/>
                <w:szCs w:val="24"/>
              </w:rPr>
              <w:t>人员配备</w:t>
            </w:r>
            <w:r>
              <w:rPr>
                <w:rFonts w:hint="eastAsia" w:ascii="仿宋" w:hAnsi="仿宋" w:eastAsia="仿宋" w:cs="仿宋"/>
                <w:b/>
                <w:color w:val="auto"/>
                <w:sz w:val="24"/>
                <w:szCs w:val="24"/>
                <w:lang w:eastAsia="zh-CN"/>
              </w:rPr>
              <w:t>相对</w:t>
            </w:r>
            <w:r>
              <w:rPr>
                <w:rFonts w:hint="eastAsia" w:ascii="仿宋" w:hAnsi="仿宋" w:eastAsia="仿宋" w:cs="仿宋"/>
                <w:b/>
                <w:color w:val="auto"/>
                <w:sz w:val="24"/>
                <w:szCs w:val="24"/>
                <w:lang w:val="en-US" w:eastAsia="zh-CN"/>
              </w:rPr>
              <w:t>合理专业齐全</w:t>
            </w:r>
            <w:r>
              <w:rPr>
                <w:rFonts w:hint="eastAsia" w:ascii="仿宋" w:hAnsi="仿宋" w:eastAsia="仿宋" w:cs="仿宋"/>
                <w:b/>
                <w:color w:val="auto"/>
                <w:sz w:val="24"/>
                <w:szCs w:val="24"/>
              </w:rPr>
              <w:t>，</w:t>
            </w:r>
            <w:r>
              <w:rPr>
                <w:rFonts w:hint="eastAsia" w:ascii="仿宋" w:hAnsi="仿宋" w:eastAsia="仿宋" w:cs="仿宋"/>
                <w:b/>
                <w:color w:val="auto"/>
                <w:sz w:val="24"/>
                <w:szCs w:val="24"/>
                <w:lang w:val="en-US" w:eastAsia="zh-CN"/>
              </w:rPr>
              <w:t>检验设备配置较齐全、检验步骤相对完备，生产制造履约能力</w:t>
            </w:r>
            <w:r>
              <w:rPr>
                <w:rFonts w:hint="eastAsia" w:ascii="仿宋" w:hAnsi="仿宋" w:eastAsia="仿宋" w:cs="仿宋"/>
                <w:b/>
                <w:color w:val="auto"/>
                <w:sz w:val="24"/>
                <w:szCs w:val="24"/>
                <w:lang w:eastAsia="zh-CN"/>
              </w:rPr>
              <w:t>较</w:t>
            </w:r>
            <w:r>
              <w:rPr>
                <w:rFonts w:hint="eastAsia" w:ascii="仿宋" w:hAnsi="仿宋" w:eastAsia="仿宋" w:cs="仿宋"/>
                <w:b/>
                <w:color w:val="auto"/>
                <w:sz w:val="24"/>
                <w:szCs w:val="24"/>
              </w:rPr>
              <w:t>高的得</w:t>
            </w:r>
            <w:r>
              <w:rPr>
                <w:rFonts w:hint="eastAsia" w:ascii="仿宋" w:hAnsi="仿宋" w:eastAsia="仿宋" w:cs="仿宋"/>
                <w:b/>
                <w:color w:val="auto"/>
                <w:sz w:val="24"/>
                <w:szCs w:val="24"/>
                <w:lang w:val="en-US" w:eastAsia="zh-CN"/>
              </w:rPr>
              <w:t>3</w:t>
            </w:r>
            <w:r>
              <w:rPr>
                <w:rFonts w:hint="eastAsia" w:ascii="仿宋" w:hAnsi="仿宋" w:eastAsia="仿宋" w:cs="仿宋"/>
                <w:b/>
                <w:color w:val="auto"/>
                <w:sz w:val="24"/>
                <w:szCs w:val="24"/>
              </w:rPr>
              <w:t>分</w:t>
            </w:r>
            <w:r>
              <w:rPr>
                <w:rFonts w:hint="eastAsia" w:ascii="仿宋" w:hAnsi="仿宋" w:eastAsia="仿宋" w:cs="仿宋"/>
                <w:b/>
                <w:color w:val="auto"/>
                <w:sz w:val="24"/>
                <w:szCs w:val="24"/>
                <w:lang w:eastAsia="zh-CN"/>
              </w:rPr>
              <w:t>；</w:t>
            </w:r>
          </w:p>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b/>
                <w:color w:val="auto"/>
                <w:sz w:val="24"/>
                <w:szCs w:val="24"/>
                <w:lang w:eastAsia="zh-CN"/>
              </w:rPr>
            </w:pPr>
            <w:r>
              <w:rPr>
                <w:rFonts w:hint="eastAsia" w:ascii="仿宋" w:hAnsi="仿宋" w:eastAsia="仿宋" w:cs="仿宋"/>
                <w:b/>
                <w:color w:val="auto"/>
                <w:sz w:val="24"/>
                <w:szCs w:val="24"/>
                <w:lang w:val="en-US" w:eastAsia="zh-CN"/>
              </w:rPr>
              <w:t>3、所投</w:t>
            </w:r>
            <w:r>
              <w:rPr>
                <w:rFonts w:hint="eastAsia" w:eastAsia="仿宋" w:cs="Times New Roman"/>
                <w:b/>
                <w:color w:val="auto"/>
                <w:sz w:val="24"/>
                <w:szCs w:val="22"/>
                <w:lang w:val="en-US" w:eastAsia="zh-CN"/>
              </w:rPr>
              <w:t>核心产品</w:t>
            </w:r>
            <w:r>
              <w:rPr>
                <w:rFonts w:hint="eastAsia" w:ascii="仿宋" w:hAnsi="仿宋" w:eastAsia="仿宋" w:cs="仿宋"/>
                <w:b/>
                <w:color w:val="auto"/>
                <w:sz w:val="24"/>
                <w:szCs w:val="24"/>
                <w:lang w:val="en-US" w:eastAsia="zh-CN"/>
              </w:rPr>
              <w:t>制造商有自主研发能力和生产工艺薄弱，生产车间环境及生产线粗糙落后，生产步骤简单，技术</w:t>
            </w:r>
            <w:r>
              <w:rPr>
                <w:rFonts w:hint="eastAsia" w:ascii="仿宋" w:hAnsi="仿宋" w:eastAsia="仿宋" w:cs="仿宋"/>
                <w:b/>
                <w:color w:val="auto"/>
                <w:sz w:val="24"/>
                <w:szCs w:val="24"/>
              </w:rPr>
              <w:t>人员</w:t>
            </w:r>
            <w:r>
              <w:rPr>
                <w:rFonts w:hint="eastAsia" w:ascii="仿宋" w:hAnsi="仿宋" w:eastAsia="仿宋" w:cs="仿宋"/>
                <w:b/>
                <w:color w:val="auto"/>
                <w:sz w:val="24"/>
                <w:szCs w:val="24"/>
                <w:lang w:eastAsia="zh-CN"/>
              </w:rPr>
              <w:t>综合实力一般，</w:t>
            </w:r>
            <w:r>
              <w:rPr>
                <w:rFonts w:hint="eastAsia" w:ascii="仿宋" w:hAnsi="仿宋" w:eastAsia="仿宋" w:cs="仿宋"/>
                <w:b/>
                <w:color w:val="auto"/>
                <w:sz w:val="24"/>
                <w:szCs w:val="24"/>
                <w:lang w:val="en-US" w:eastAsia="zh-CN"/>
              </w:rPr>
              <w:t>检验设备配置简单落后，检验步骤普通，生产制造履约能力</w:t>
            </w:r>
            <w:r>
              <w:rPr>
                <w:rFonts w:hint="eastAsia" w:ascii="仿宋" w:hAnsi="仿宋" w:eastAsia="仿宋" w:cs="仿宋"/>
                <w:b/>
                <w:color w:val="auto"/>
                <w:sz w:val="24"/>
                <w:szCs w:val="24"/>
                <w:lang w:eastAsia="zh-CN"/>
              </w:rPr>
              <w:t>弱</w:t>
            </w:r>
            <w:r>
              <w:rPr>
                <w:rFonts w:hint="eastAsia" w:ascii="仿宋" w:hAnsi="仿宋" w:eastAsia="仿宋" w:cs="仿宋"/>
                <w:b/>
                <w:color w:val="auto"/>
                <w:sz w:val="24"/>
                <w:szCs w:val="24"/>
              </w:rPr>
              <w:t>的得</w:t>
            </w:r>
            <w:r>
              <w:rPr>
                <w:rFonts w:hint="eastAsia" w:ascii="仿宋" w:hAnsi="仿宋" w:eastAsia="仿宋" w:cs="仿宋"/>
                <w:b/>
                <w:color w:val="auto"/>
                <w:sz w:val="24"/>
                <w:szCs w:val="24"/>
                <w:lang w:val="en-US" w:eastAsia="zh-CN"/>
              </w:rPr>
              <w:t>1</w:t>
            </w:r>
            <w:r>
              <w:rPr>
                <w:rFonts w:hint="eastAsia" w:ascii="仿宋" w:hAnsi="仿宋" w:eastAsia="仿宋" w:cs="仿宋"/>
                <w:b/>
                <w:color w:val="auto"/>
                <w:sz w:val="24"/>
                <w:szCs w:val="24"/>
              </w:rPr>
              <w:t>分</w:t>
            </w:r>
            <w:r>
              <w:rPr>
                <w:rFonts w:hint="eastAsia" w:ascii="仿宋" w:hAnsi="仿宋" w:eastAsia="仿宋" w:cs="仿宋"/>
                <w:b/>
                <w:color w:val="auto"/>
                <w:sz w:val="24"/>
                <w:szCs w:val="24"/>
                <w:lang w:eastAsia="zh-CN"/>
              </w:rPr>
              <w:t>；</w:t>
            </w:r>
          </w:p>
          <w:p>
            <w:pPr>
              <w:pageBreakBefore w:val="0"/>
              <w:kinsoku/>
              <w:wordWrap/>
              <w:overflowPunct/>
              <w:topLinePunct w:val="0"/>
              <w:autoSpaceDE/>
              <w:autoSpaceDN/>
              <w:bidi w:val="0"/>
              <w:adjustRightInd/>
              <w:snapToGrid/>
              <w:spacing w:beforeLines="0" w:afterLines="0" w:line="460" w:lineRule="exact"/>
              <w:rPr>
                <w:rFonts w:hint="eastAsia" w:cs="Times New Roman"/>
                <w:color w:val="auto"/>
                <w:sz w:val="24"/>
                <w:szCs w:val="22"/>
              </w:rPr>
            </w:pPr>
            <w:r>
              <w:rPr>
                <w:rFonts w:hint="eastAsia" w:ascii="仿宋" w:hAnsi="仿宋" w:eastAsia="仿宋" w:cs="仿宋"/>
                <w:b/>
                <w:color w:val="auto"/>
                <w:sz w:val="24"/>
                <w:szCs w:val="24"/>
                <w:lang w:val="en-US" w:eastAsia="zh-CN"/>
              </w:rPr>
              <w:t>4、</w:t>
            </w:r>
            <w:r>
              <w:rPr>
                <w:rFonts w:hint="eastAsia" w:ascii="仿宋" w:hAnsi="仿宋" w:eastAsia="仿宋" w:cs="仿宋"/>
                <w:b/>
                <w:color w:val="auto"/>
                <w:sz w:val="24"/>
                <w:szCs w:val="24"/>
              </w:rPr>
              <w:t>未提供证明材料或证明材料有缺项的不得分。</w:t>
            </w:r>
          </w:p>
        </w:tc>
        <w:tc>
          <w:tcPr>
            <w:tcW w:w="49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cs="Times New Roman"/>
                <w:color w:val="auto"/>
                <w:sz w:val="24"/>
                <w:szCs w:val="22"/>
              </w:rPr>
              <w:t>5</w:t>
            </w:r>
            <w:r>
              <w:rPr>
                <w:rFonts w:hint="eastAsia" w:eastAsia="仿宋" w:cs="Times New Roman"/>
                <w:color w:val="auto"/>
                <w:sz w:val="24"/>
                <w:szCs w:val="22"/>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cs="Times New Roman"/>
                <w:color w:val="auto"/>
                <w:sz w:val="24"/>
                <w:szCs w:val="22"/>
              </w:rPr>
              <w:t>3</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eastAsia="仿宋" w:cs="Times New Roman"/>
                <w:color w:val="auto"/>
                <w:sz w:val="24"/>
                <w:szCs w:val="22"/>
              </w:rPr>
              <w:t>质量保证和保修</w:t>
            </w:r>
          </w:p>
        </w:tc>
        <w:tc>
          <w:tcPr>
            <w:tcW w:w="338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rPr>
                <w:rFonts w:hint="eastAsia" w:cs="Times New Roman"/>
                <w:color w:val="auto"/>
                <w:sz w:val="24"/>
                <w:szCs w:val="22"/>
              </w:rPr>
            </w:pPr>
            <w:r>
              <w:rPr>
                <w:rFonts w:hint="eastAsia" w:eastAsia="仿宋" w:cs="Times New Roman"/>
                <w:color w:val="auto"/>
                <w:sz w:val="24"/>
                <w:szCs w:val="22"/>
              </w:rPr>
              <w:t>在招标文件商务要求中“质保期”和“保修期”要求基础上，承诺“质保期”和“保修期”均每延长一年的加2分，最多加4分。</w:t>
            </w:r>
          </w:p>
          <w:p>
            <w:pPr>
              <w:pageBreakBefore w:val="0"/>
              <w:kinsoku/>
              <w:wordWrap/>
              <w:overflowPunct/>
              <w:topLinePunct w:val="0"/>
              <w:autoSpaceDE/>
              <w:autoSpaceDN/>
              <w:bidi w:val="0"/>
              <w:adjustRightInd/>
              <w:snapToGrid/>
              <w:spacing w:beforeLines="0" w:afterLines="0" w:line="460" w:lineRule="exact"/>
              <w:rPr>
                <w:rFonts w:hint="eastAsia" w:cs="Times New Roman"/>
                <w:color w:val="auto"/>
                <w:sz w:val="24"/>
                <w:szCs w:val="22"/>
              </w:rPr>
            </w:pPr>
            <w:r>
              <w:rPr>
                <w:rFonts w:hint="eastAsia" w:eastAsia="仿宋" w:cs="Times New Roman"/>
                <w:b/>
                <w:color w:val="auto"/>
                <w:sz w:val="24"/>
                <w:szCs w:val="22"/>
              </w:rPr>
              <w:t>评审依据：投标文件中提供“质保期”和“保修期”均延长的承诺函原件。</w:t>
            </w:r>
          </w:p>
        </w:tc>
        <w:tc>
          <w:tcPr>
            <w:tcW w:w="49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cs="Times New Roman"/>
                <w:color w:val="auto"/>
                <w:sz w:val="24"/>
                <w:szCs w:val="22"/>
              </w:rPr>
              <w:t>4</w:t>
            </w:r>
            <w:r>
              <w:rPr>
                <w:rFonts w:hint="eastAsia" w:eastAsia="仿宋" w:cs="Times New Roman"/>
                <w:color w:val="auto"/>
                <w:sz w:val="24"/>
                <w:szCs w:val="22"/>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cs="Times New Roman"/>
                <w:color w:val="auto"/>
                <w:sz w:val="24"/>
                <w:szCs w:val="22"/>
              </w:rPr>
              <w:t>4</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eastAsia="仿宋" w:cs="Times New Roman"/>
                <w:color w:val="auto"/>
                <w:sz w:val="24"/>
                <w:szCs w:val="22"/>
              </w:rPr>
              <w:t>类似销售</w:t>
            </w:r>
          </w:p>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eastAsia="仿宋" w:cs="Times New Roman"/>
                <w:color w:val="auto"/>
                <w:sz w:val="24"/>
                <w:szCs w:val="22"/>
              </w:rPr>
              <w:t>案例</w:t>
            </w:r>
          </w:p>
        </w:tc>
        <w:tc>
          <w:tcPr>
            <w:tcW w:w="338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rPr>
                <w:rFonts w:hint="eastAsia" w:eastAsia="仿宋" w:cs="Times New Roman"/>
                <w:color w:val="auto"/>
                <w:sz w:val="24"/>
                <w:szCs w:val="22"/>
                <w:lang w:eastAsia="zh-CN"/>
              </w:rPr>
            </w:pPr>
            <w:r>
              <w:rPr>
                <w:rFonts w:hint="eastAsia" w:eastAsia="仿宋" w:cs="Times New Roman"/>
                <w:color w:val="auto"/>
                <w:sz w:val="24"/>
                <w:szCs w:val="22"/>
              </w:rPr>
              <w:t>投标人自</w:t>
            </w:r>
            <w:r>
              <w:rPr>
                <w:rFonts w:hint="eastAsia" w:cs="Times New Roman"/>
                <w:color w:val="auto"/>
                <w:sz w:val="24"/>
                <w:szCs w:val="22"/>
              </w:rPr>
              <w:t>20</w:t>
            </w:r>
            <w:r>
              <w:rPr>
                <w:rFonts w:hint="eastAsia" w:eastAsia="仿宋" w:cs="Times New Roman"/>
                <w:color w:val="auto"/>
                <w:sz w:val="24"/>
                <w:szCs w:val="22"/>
              </w:rPr>
              <w:t>2</w:t>
            </w:r>
            <w:r>
              <w:rPr>
                <w:rFonts w:hint="eastAsia" w:eastAsia="仿宋" w:cs="Times New Roman"/>
                <w:color w:val="auto"/>
                <w:sz w:val="24"/>
                <w:szCs w:val="22"/>
                <w:lang w:val="en-US" w:eastAsia="zh-CN"/>
              </w:rPr>
              <w:t>1</w:t>
            </w:r>
            <w:r>
              <w:rPr>
                <w:rFonts w:hint="eastAsia" w:eastAsia="仿宋" w:cs="Times New Roman"/>
                <w:color w:val="auto"/>
                <w:sz w:val="24"/>
                <w:szCs w:val="22"/>
              </w:rPr>
              <w:t>年</w:t>
            </w:r>
            <w:r>
              <w:rPr>
                <w:rFonts w:hint="eastAsia" w:cs="Times New Roman"/>
                <w:color w:val="auto"/>
                <w:sz w:val="24"/>
                <w:szCs w:val="22"/>
              </w:rPr>
              <w:t>1</w:t>
            </w:r>
            <w:r>
              <w:rPr>
                <w:rFonts w:hint="eastAsia" w:eastAsia="仿宋" w:cs="Times New Roman"/>
                <w:color w:val="auto"/>
                <w:sz w:val="24"/>
                <w:szCs w:val="22"/>
              </w:rPr>
              <w:t>月1日至今（以签订合同时间为准）具有类似</w:t>
            </w:r>
            <w:r>
              <w:rPr>
                <w:rFonts w:hint="eastAsia" w:eastAsia="仿宋" w:cs="Times New Roman"/>
                <w:color w:val="auto"/>
                <w:sz w:val="24"/>
                <w:szCs w:val="22"/>
                <w:lang w:eastAsia="zh-CN"/>
              </w:rPr>
              <w:t>核心产品</w:t>
            </w:r>
            <w:r>
              <w:rPr>
                <w:rFonts w:hint="eastAsia" w:eastAsia="仿宋" w:cs="Times New Roman"/>
                <w:color w:val="auto"/>
                <w:sz w:val="24"/>
                <w:szCs w:val="22"/>
              </w:rPr>
              <w:t>销售案例，每提供1份销售案例加</w:t>
            </w:r>
            <w:r>
              <w:rPr>
                <w:rFonts w:hint="eastAsia" w:eastAsia="仿宋" w:cs="Times New Roman"/>
                <w:color w:val="auto"/>
                <w:sz w:val="24"/>
                <w:szCs w:val="22"/>
                <w:lang w:val="en-US" w:eastAsia="zh-CN"/>
              </w:rPr>
              <w:t>2</w:t>
            </w:r>
            <w:r>
              <w:rPr>
                <w:rFonts w:hint="eastAsia" w:eastAsia="仿宋" w:cs="Times New Roman"/>
                <w:color w:val="auto"/>
                <w:sz w:val="24"/>
                <w:szCs w:val="22"/>
              </w:rPr>
              <w:t>分，本项最多加</w:t>
            </w:r>
            <w:r>
              <w:rPr>
                <w:rFonts w:hint="eastAsia" w:eastAsia="仿宋" w:cs="Times New Roman"/>
                <w:color w:val="auto"/>
                <w:sz w:val="24"/>
                <w:szCs w:val="22"/>
                <w:lang w:val="en-US" w:eastAsia="zh-CN"/>
              </w:rPr>
              <w:t>6</w:t>
            </w:r>
            <w:r>
              <w:rPr>
                <w:rFonts w:hint="eastAsia" w:eastAsia="仿宋" w:cs="Times New Roman"/>
                <w:color w:val="auto"/>
                <w:sz w:val="24"/>
                <w:szCs w:val="22"/>
              </w:rPr>
              <w:t>分。</w:t>
            </w:r>
          </w:p>
          <w:p>
            <w:pPr>
              <w:pageBreakBefore w:val="0"/>
              <w:kinsoku/>
              <w:wordWrap/>
              <w:overflowPunct/>
              <w:topLinePunct w:val="0"/>
              <w:autoSpaceDE/>
              <w:autoSpaceDN/>
              <w:bidi w:val="0"/>
              <w:adjustRightInd/>
              <w:snapToGrid/>
              <w:spacing w:beforeLines="0" w:afterLines="0" w:line="460" w:lineRule="exact"/>
              <w:jc w:val="left"/>
              <w:rPr>
                <w:rFonts w:hint="eastAsia" w:cs="Times New Roman"/>
                <w:b/>
                <w:color w:val="auto"/>
                <w:sz w:val="24"/>
                <w:szCs w:val="22"/>
              </w:rPr>
            </w:pPr>
            <w:r>
              <w:rPr>
                <w:rFonts w:hint="eastAsia" w:eastAsia="仿宋" w:cs="Times New Roman"/>
                <w:b/>
                <w:color w:val="auto"/>
                <w:sz w:val="24"/>
                <w:szCs w:val="22"/>
              </w:rPr>
              <w:t>评审依据：①投标文件中提供销售案例明细表（销售案例明细表包含</w:t>
            </w:r>
            <w:r>
              <w:rPr>
                <w:rFonts w:hint="eastAsia" w:cs="Times New Roman"/>
                <w:b/>
                <w:color w:val="auto"/>
                <w:sz w:val="24"/>
                <w:szCs w:val="22"/>
              </w:rPr>
              <w:t>:</w:t>
            </w:r>
            <w:r>
              <w:rPr>
                <w:rFonts w:hint="eastAsia" w:eastAsia="仿宋" w:cs="Times New Roman"/>
                <w:b/>
                <w:color w:val="auto"/>
                <w:sz w:val="24"/>
                <w:szCs w:val="22"/>
              </w:rPr>
              <w:t>发布网站名称、网页链接地址、采购项目名称、采购单位名称和联系方式、采购代理机构名称和联系方式）；②</w:t>
            </w:r>
            <w:r>
              <w:rPr>
                <w:rFonts w:hint="eastAsia" w:eastAsia="仿宋" w:cs="Times New Roman"/>
                <w:b/>
                <w:color w:val="auto"/>
                <w:sz w:val="24"/>
                <w:szCs w:val="22"/>
                <w:lang w:eastAsia="zh-CN"/>
              </w:rPr>
              <w:t>中标（成交）公告截图（打印网页）、中标通知书复印件和合同复印件（中标通知书或合同复印件应体现类似销售案例的货物），合同签订方必须是投标人本身。</w:t>
            </w:r>
          </w:p>
        </w:tc>
        <w:tc>
          <w:tcPr>
            <w:tcW w:w="49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s="Times New Roman"/>
                <w:color w:val="auto"/>
                <w:sz w:val="24"/>
                <w:szCs w:val="22"/>
              </w:rPr>
            </w:pPr>
            <w:r>
              <w:rPr>
                <w:rFonts w:hint="eastAsia" w:eastAsia="仿宋" w:cs="Times New Roman"/>
                <w:color w:val="auto"/>
                <w:sz w:val="24"/>
                <w:szCs w:val="22"/>
                <w:lang w:val="en-US" w:eastAsia="zh-CN"/>
              </w:rPr>
              <w:t>6</w:t>
            </w:r>
            <w:r>
              <w:rPr>
                <w:rFonts w:hint="eastAsia" w:eastAsia="仿宋" w:cs="Times New Roman"/>
                <w:color w:val="auto"/>
                <w:sz w:val="24"/>
                <w:szCs w:val="22"/>
              </w:rPr>
              <w:t>分</w:t>
            </w:r>
          </w:p>
        </w:tc>
      </w:tr>
    </w:tbl>
    <w:p>
      <w:pPr>
        <w:pageBreakBefore w:val="0"/>
        <w:kinsoku/>
        <w:wordWrap/>
        <w:overflowPunct/>
        <w:topLinePunct w:val="0"/>
        <w:autoSpaceDE/>
        <w:autoSpaceDN/>
        <w:bidi w:val="0"/>
        <w:adjustRightInd/>
        <w:snapToGrid/>
        <w:spacing w:beforeLines="0" w:afterLines="0" w:line="460" w:lineRule="exact"/>
        <w:rPr>
          <w:rFonts w:hint="eastAsia"/>
          <w:color w:val="auto"/>
          <w:sz w:val="21"/>
          <w:szCs w:val="24"/>
        </w:rPr>
      </w:pPr>
    </w:p>
    <w:p>
      <w:pPr>
        <w:pageBreakBefore w:val="0"/>
        <w:kinsoku/>
        <w:wordWrap/>
        <w:overflowPunct/>
        <w:topLinePunct w:val="0"/>
        <w:autoSpaceDE/>
        <w:autoSpaceDN/>
        <w:bidi w:val="0"/>
        <w:adjustRightInd/>
        <w:snapToGrid/>
        <w:spacing w:beforeLines="0" w:afterLines="0" w:line="460" w:lineRule="exact"/>
        <w:rPr>
          <w:rFonts w:hint="eastAsia"/>
          <w:color w:val="auto"/>
          <w:sz w:val="21"/>
          <w:szCs w:val="24"/>
        </w:rPr>
      </w:pPr>
      <w:r>
        <w:rPr>
          <w:rFonts w:hint="eastAsia"/>
          <w:color w:val="auto"/>
          <w:sz w:val="21"/>
          <w:szCs w:val="24"/>
        </w:rPr>
        <w:br w:type="page"/>
      </w:r>
    </w:p>
    <w:p>
      <w:pPr>
        <w:pStyle w:val="2"/>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8"/>
          <w:szCs w:val="28"/>
          <w:lang w:val="en-US" w:eastAsia="zh-CN"/>
        </w:rPr>
      </w:pPr>
      <w:bookmarkStart w:id="701" w:name="_Toc14726"/>
      <w:bookmarkStart w:id="702" w:name="_Toc3474"/>
      <w:bookmarkStart w:id="703" w:name="_Toc19346"/>
      <w:bookmarkStart w:id="704" w:name="_Toc13858"/>
      <w:bookmarkStart w:id="705" w:name="_Toc23606"/>
      <w:r>
        <w:rPr>
          <w:rFonts w:hint="eastAsia" w:ascii="仿宋" w:hAnsi="仿宋" w:eastAsia="仿宋" w:cs="仿宋"/>
          <w:color w:val="auto"/>
          <w:sz w:val="28"/>
          <w:szCs w:val="28"/>
          <w:lang w:val="en-US" w:eastAsia="zh-CN"/>
        </w:rPr>
        <w:t>46包：高压气瓶、正压式空气呼吸器碳纤维气瓶【核心产品】</w:t>
      </w:r>
      <w:bookmarkEnd w:id="701"/>
      <w:bookmarkEnd w:id="702"/>
      <w:bookmarkEnd w:id="703"/>
      <w:bookmarkEnd w:id="704"/>
      <w:bookmarkEnd w:id="705"/>
    </w:p>
    <w:p>
      <w:pPr>
        <w:pageBreakBefore w:val="0"/>
        <w:kinsoku/>
        <w:wordWrap/>
        <w:overflowPunct/>
        <w:topLinePunct w:val="0"/>
        <w:autoSpaceDE/>
        <w:autoSpaceDN/>
        <w:bidi w:val="0"/>
        <w:adjustRightInd/>
        <w:snapToGrid/>
        <w:spacing w:beforeLines="0" w:afterLines="0" w:line="460" w:lineRule="exact"/>
        <w:ind w:firstLine="482" w:firstLineChars="200"/>
        <w:jc w:val="left"/>
        <w:rPr>
          <w:rFonts w:hint="eastAsia" w:ascii="仿宋" w:hAnsi="仿宋" w:eastAsia="仿宋"/>
          <w:b/>
          <w:color w:val="auto"/>
          <w:sz w:val="24"/>
          <w:szCs w:val="24"/>
        </w:rPr>
      </w:pPr>
      <w:r>
        <w:rPr>
          <w:rFonts w:hint="eastAsia" w:ascii="仿宋" w:hAnsi="仿宋" w:eastAsia="仿宋"/>
          <w:b/>
          <w:color w:val="auto"/>
          <w:sz w:val="24"/>
          <w:szCs w:val="24"/>
        </w:rPr>
        <w:t>一、价格部分（30分）</w:t>
      </w:r>
    </w:p>
    <w:tbl>
      <w:tblPr>
        <w:tblStyle w:val="4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1579"/>
        <w:gridCol w:w="6182"/>
        <w:gridCol w:w="8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76"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序号</w:t>
            </w:r>
          </w:p>
        </w:tc>
        <w:tc>
          <w:tcPr>
            <w:tcW w:w="850"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评审因素</w:t>
            </w:r>
          </w:p>
        </w:tc>
        <w:tc>
          <w:tcPr>
            <w:tcW w:w="332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评分标准</w:t>
            </w:r>
          </w:p>
        </w:tc>
        <w:tc>
          <w:tcPr>
            <w:tcW w:w="444"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b/>
                <w:color w:val="auto"/>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6"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850"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价格分</w:t>
            </w:r>
          </w:p>
        </w:tc>
        <w:tc>
          <w:tcPr>
            <w:tcW w:w="332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根据综合评分法，满足招标文件要求且投标价格最低的投标报价为评标基准价，投标报价得分=（评标基准价／投标报价）×30%×100，计算分数时四舍五入取小数点后两位。</w:t>
            </w:r>
          </w:p>
          <w:p>
            <w:pPr>
              <w:pageBreakBefore w:val="0"/>
              <w:kinsoku/>
              <w:wordWrap/>
              <w:overflowPunct/>
              <w:topLinePunct w:val="0"/>
              <w:autoSpaceDE/>
              <w:autoSpaceDN/>
              <w:bidi w:val="0"/>
              <w:adjustRightInd/>
              <w:snapToGrid/>
              <w:spacing w:beforeLines="0" w:afterLines="0" w:line="460" w:lineRule="exact"/>
              <w:ind w:firstLine="482" w:firstLineChars="200"/>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注：小、微型企业或残疾人福利性单位产品或监狱产品的价格给予10%的扣除，用扣除后的价格参与评审。但残疾人福利性单位本身属于小型、微型企业的，不重复享受政策。</w:t>
            </w:r>
          </w:p>
        </w:tc>
        <w:tc>
          <w:tcPr>
            <w:tcW w:w="444"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30分</w:t>
            </w:r>
          </w:p>
        </w:tc>
      </w:tr>
    </w:tbl>
    <w:p>
      <w:pPr>
        <w:pageBreakBefore w:val="0"/>
        <w:kinsoku/>
        <w:wordWrap/>
        <w:overflowPunct/>
        <w:topLinePunct w:val="0"/>
        <w:autoSpaceDE/>
        <w:autoSpaceDN/>
        <w:bidi w:val="0"/>
        <w:adjustRightInd/>
        <w:snapToGrid/>
        <w:spacing w:beforeLines="0" w:afterLines="0" w:line="460" w:lineRule="exact"/>
        <w:ind w:firstLine="482" w:firstLineChars="200"/>
        <w:jc w:val="left"/>
        <w:rPr>
          <w:rFonts w:hint="eastAsia" w:ascii="仿宋" w:hAnsi="仿宋" w:eastAsia="仿宋"/>
          <w:b/>
          <w:color w:val="auto"/>
          <w:sz w:val="24"/>
          <w:szCs w:val="24"/>
        </w:rPr>
      </w:pPr>
      <w:r>
        <w:rPr>
          <w:rFonts w:hint="eastAsia" w:ascii="仿宋" w:hAnsi="仿宋" w:eastAsia="仿宋"/>
          <w:b/>
          <w:color w:val="auto"/>
          <w:sz w:val="24"/>
          <w:szCs w:val="24"/>
        </w:rPr>
        <w:t>二、技术部分（5</w:t>
      </w:r>
      <w:r>
        <w:rPr>
          <w:rFonts w:hint="eastAsia" w:ascii="仿宋" w:hAnsi="仿宋" w:eastAsia="仿宋"/>
          <w:b/>
          <w:color w:val="auto"/>
          <w:sz w:val="24"/>
          <w:szCs w:val="24"/>
          <w:lang w:val="en-US" w:eastAsia="zh-CN"/>
        </w:rPr>
        <w:t>5</w:t>
      </w:r>
      <w:r>
        <w:rPr>
          <w:rFonts w:hint="eastAsia" w:ascii="仿宋" w:hAnsi="仿宋" w:eastAsia="仿宋"/>
          <w:b/>
          <w:color w:val="auto"/>
          <w:sz w:val="24"/>
          <w:szCs w:val="24"/>
        </w:rPr>
        <w:t>分）</w:t>
      </w:r>
    </w:p>
    <w:tbl>
      <w:tblPr>
        <w:tblStyle w:val="4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7"/>
        <w:gridCol w:w="806"/>
        <w:gridCol w:w="941"/>
        <w:gridCol w:w="6068"/>
        <w:gridCol w:w="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54"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序号</w:t>
            </w:r>
          </w:p>
        </w:tc>
        <w:tc>
          <w:tcPr>
            <w:tcW w:w="941"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评审因素</w:t>
            </w:r>
          </w:p>
        </w:tc>
        <w:tc>
          <w:tcPr>
            <w:tcW w:w="326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评分标准</w:t>
            </w:r>
          </w:p>
        </w:tc>
        <w:tc>
          <w:tcPr>
            <w:tcW w:w="434"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354"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941"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技术参数及要求</w:t>
            </w:r>
          </w:p>
        </w:tc>
        <w:tc>
          <w:tcPr>
            <w:tcW w:w="3268" w:type="pct"/>
            <w:tcBorders>
              <w:top w:val="single" w:color="auto" w:sz="4" w:space="0"/>
              <w:left w:val="single" w:color="auto" w:sz="4" w:space="0"/>
              <w:bottom w:val="single" w:color="auto" w:sz="4" w:space="0"/>
              <w:right w:val="single" w:color="auto" w:sz="4" w:space="0"/>
              <w:tl2br w:val="nil"/>
              <w:tr2bl w:val="nil"/>
            </w:tcBorders>
            <w:noWrap w:val="0"/>
            <w:vAlign w:val="top"/>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一、重大负偏离评审依据：</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1、带★条款的响应，不满足招标文件要求的，或有缺项、漏项的，视为重大负偏离；</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2、一般参数和带“▲”参数共有四项及以上（含本数）的负偏离，视为重大负偏离；</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二、负偏离评审依据：</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3、所投产品一般参数或带“▲”参数有一项低于招标文件要求，该项视为负偏离；</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4、所投产品一般参数或带“▲”参数有一项缺项、漏项的，该项视为负偏离。</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注：“一般参数”为非标“★”号参数和非标“▲”号参数。</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评审依据：</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①投标文件中提供的技术条款响应表；</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b/>
                <w:color w:val="auto"/>
                <w:sz w:val="24"/>
                <w:szCs w:val="24"/>
              </w:rPr>
              <w:t>②所投产品技术参数完全满足招标文件要求得</w:t>
            </w:r>
            <w:r>
              <w:rPr>
                <w:rFonts w:hint="eastAsia" w:ascii="仿宋" w:hAnsi="仿宋" w:eastAsia="仿宋" w:cs="仿宋"/>
                <w:b/>
                <w:color w:val="auto"/>
                <w:sz w:val="24"/>
                <w:szCs w:val="24"/>
                <w:lang w:val="en-US" w:eastAsia="zh-CN"/>
              </w:rPr>
              <w:t>40</w:t>
            </w:r>
            <w:r>
              <w:rPr>
                <w:rFonts w:hint="eastAsia" w:ascii="仿宋" w:hAnsi="仿宋" w:eastAsia="仿宋" w:cs="仿宋"/>
                <w:b/>
                <w:color w:val="auto"/>
                <w:sz w:val="24"/>
                <w:szCs w:val="24"/>
              </w:rPr>
              <w:t>分；重大负偏离则视为无效投标；一般参数或带“▲”参数每有一项负偏离减5分，最多减15分，四项或以上负偏离视为无效投标。</w:t>
            </w:r>
          </w:p>
        </w:tc>
        <w:tc>
          <w:tcPr>
            <w:tcW w:w="434"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rPr>
              <w:t>40分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54" w:type="pct"/>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434" w:type="pct"/>
            <w:tcBorders>
              <w:top w:val="single" w:color="auto" w:sz="4" w:space="0"/>
              <w:left w:val="single" w:color="auto" w:sz="4" w:space="0"/>
              <w:bottom w:val="single" w:color="auto" w:sz="4" w:space="0"/>
              <w:right w:val="single" w:color="000000"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正压式空气呼吸器碳纤维气瓶</w:t>
            </w:r>
          </w:p>
        </w:tc>
        <w:tc>
          <w:tcPr>
            <w:tcW w:w="507" w:type="pct"/>
            <w:tcBorders>
              <w:top w:val="single" w:color="auto" w:sz="4" w:space="0"/>
              <w:left w:val="single" w:color="000000"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▲3.5公称质量：≤4kg</w:t>
            </w:r>
          </w:p>
        </w:tc>
        <w:tc>
          <w:tcPr>
            <w:tcW w:w="326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所投产品公称质量优于招标文件要求的，公称质量最优的加</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分，公称质量次优的加2分，其余加1分。（可并列得分）</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b/>
                <w:color w:val="auto"/>
                <w:sz w:val="24"/>
                <w:szCs w:val="24"/>
              </w:rPr>
              <w:t>注：最优表示公称质量最</w:t>
            </w:r>
            <w:r>
              <w:rPr>
                <w:rFonts w:hint="eastAsia" w:ascii="仿宋" w:hAnsi="仿宋" w:eastAsia="仿宋" w:cs="仿宋"/>
                <w:b/>
                <w:color w:val="auto"/>
                <w:sz w:val="24"/>
                <w:szCs w:val="24"/>
                <w:lang w:eastAsia="zh-CN"/>
              </w:rPr>
              <w:t>小</w:t>
            </w:r>
            <w:r>
              <w:rPr>
                <w:rFonts w:hint="eastAsia" w:ascii="仿宋" w:hAnsi="仿宋" w:eastAsia="仿宋" w:cs="仿宋"/>
                <w:b/>
                <w:color w:val="auto"/>
                <w:sz w:val="24"/>
                <w:szCs w:val="24"/>
              </w:rPr>
              <w:t>，次优表示公称质量仅次于最</w:t>
            </w:r>
            <w:r>
              <w:rPr>
                <w:rFonts w:hint="eastAsia" w:ascii="仿宋" w:hAnsi="仿宋" w:eastAsia="仿宋" w:cs="仿宋"/>
                <w:b/>
                <w:color w:val="auto"/>
                <w:sz w:val="24"/>
                <w:szCs w:val="24"/>
                <w:lang w:eastAsia="zh-CN"/>
              </w:rPr>
              <w:t>小</w:t>
            </w:r>
            <w:r>
              <w:rPr>
                <w:rFonts w:hint="eastAsia" w:ascii="仿宋" w:hAnsi="仿宋" w:eastAsia="仿宋" w:cs="仿宋"/>
                <w:b/>
                <w:color w:val="auto"/>
                <w:sz w:val="24"/>
                <w:szCs w:val="24"/>
              </w:rPr>
              <w:t>值。</w:t>
            </w:r>
          </w:p>
        </w:tc>
        <w:tc>
          <w:tcPr>
            <w:tcW w:w="434"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54" w:type="pct"/>
            <w:vMerge w:val="continue"/>
            <w:tcBorders>
              <w:left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174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一般参数</w:t>
            </w:r>
          </w:p>
        </w:tc>
        <w:tc>
          <w:tcPr>
            <w:tcW w:w="6068" w:type="dxa"/>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在完全满足招标文件“</w:t>
            </w:r>
            <w:r>
              <w:rPr>
                <w:rFonts w:hint="eastAsia" w:ascii="仿宋" w:hAnsi="仿宋" w:eastAsia="仿宋" w:cs="仿宋"/>
                <w:color w:val="auto"/>
                <w:sz w:val="24"/>
                <w:szCs w:val="24"/>
                <w:lang w:eastAsia="zh-CN"/>
              </w:rPr>
              <w:t>所有参数</w:t>
            </w:r>
            <w:r>
              <w:rPr>
                <w:rFonts w:hint="eastAsia" w:ascii="仿宋" w:hAnsi="仿宋" w:eastAsia="仿宋" w:cs="仿宋"/>
                <w:color w:val="auto"/>
                <w:sz w:val="24"/>
                <w:szCs w:val="24"/>
              </w:rPr>
              <w:t>”要求的基础上，每有一条“一般参数”优于的加1分，本项最多加</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分。（加分只针对具有“≥”或“≤”的数值，数值更加优于的进行加分；文字内容或其他内容优于的不加分）</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注：“一般参数”为非标“★”号参数和非标“▲”号参数。</w:t>
            </w:r>
          </w:p>
        </w:tc>
        <w:tc>
          <w:tcPr>
            <w:tcW w:w="810" w:type="dxa"/>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54" w:type="pct"/>
            <w:vMerge w:val="continue"/>
            <w:tcBorders>
              <w:top w:val="single" w:color="auto" w:sz="4" w:space="0"/>
              <w:left w:val="single" w:color="auto" w:sz="4" w:space="0"/>
              <w:bottom w:val="single" w:color="auto" w:sz="4" w:space="0"/>
              <w:right w:val="single" w:color="auto" w:sz="4" w:space="0"/>
              <w:tl2br w:val="nil"/>
              <w:tr2bl w:val="nil"/>
            </w:tcBorders>
            <w:noWrap w:val="0"/>
            <w:vAlign w:val="top"/>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p>
        </w:tc>
        <w:tc>
          <w:tcPr>
            <w:tcW w:w="4645" w:type="pct"/>
            <w:gridSpan w:val="4"/>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lang w:eastAsia="zh-CN"/>
              </w:rPr>
            </w:pPr>
            <w:r>
              <w:rPr>
                <w:rFonts w:hint="eastAsia" w:ascii="仿宋" w:hAnsi="仿宋" w:eastAsia="仿宋" w:cs="仿宋"/>
                <w:b/>
                <w:color w:val="auto"/>
                <w:sz w:val="24"/>
                <w:szCs w:val="24"/>
              </w:rPr>
              <w:t>评审依据：提供技术条款响应表和技术支撑文件</w:t>
            </w:r>
            <w:r>
              <w:rPr>
                <w:rFonts w:hint="eastAsia" w:ascii="仿宋" w:hAnsi="仿宋" w:eastAsia="仿宋" w:cs="仿宋"/>
                <w:b/>
                <w:color w:val="auto"/>
                <w:sz w:val="24"/>
                <w:szCs w:val="24"/>
                <w:lang w:eastAsia="zh-CN"/>
              </w:rPr>
              <w:t>。</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w:t>
            </w:r>
            <w:r>
              <w:rPr>
                <w:rFonts w:hint="eastAsia" w:ascii="仿宋" w:hAnsi="仿宋" w:eastAsia="仿宋" w:cs="仿宋"/>
                <w:b/>
                <w:color w:val="auto"/>
                <w:sz w:val="24"/>
                <w:szCs w:val="24"/>
                <w:lang w:val="en-US" w:eastAsia="zh-CN"/>
              </w:rPr>
              <w:t>说明：技术支撑文件为以下任意3种材料中的其中1种材料：</w:t>
            </w:r>
            <w:r>
              <w:rPr>
                <w:rFonts w:hint="eastAsia" w:ascii="仿宋" w:hAnsi="仿宋" w:eastAsia="仿宋" w:cs="仿宋"/>
                <w:b/>
                <w:color w:val="auto"/>
                <w:sz w:val="24"/>
                <w:szCs w:val="24"/>
              </w:rPr>
              <w:t>①</w:t>
            </w:r>
            <w:r>
              <w:rPr>
                <w:rFonts w:hint="eastAsia" w:ascii="仿宋" w:hAnsi="仿宋" w:eastAsia="仿宋" w:cs="仿宋"/>
                <w:b/>
                <w:color w:val="auto"/>
                <w:sz w:val="24"/>
                <w:szCs w:val="24"/>
                <w:lang w:val="en-US" w:eastAsia="zh-CN"/>
              </w:rPr>
              <w:t>所投</w:t>
            </w:r>
            <w:r>
              <w:rPr>
                <w:rFonts w:hint="eastAsia" w:ascii="仿宋" w:hAnsi="仿宋" w:eastAsia="仿宋" w:cs="仿宋"/>
                <w:b/>
                <w:color w:val="auto"/>
                <w:sz w:val="24"/>
                <w:szCs w:val="24"/>
              </w:rPr>
              <w:t>产品检测报告复印件</w:t>
            </w:r>
            <w:r>
              <w:rPr>
                <w:rFonts w:hint="eastAsia" w:ascii="仿宋" w:hAnsi="仿宋" w:eastAsia="仿宋" w:cs="仿宋"/>
                <w:b/>
                <w:color w:val="auto"/>
                <w:sz w:val="24"/>
                <w:szCs w:val="24"/>
                <w:lang w:val="en-US" w:eastAsia="zh-CN"/>
              </w:rPr>
              <w:t>；</w:t>
            </w:r>
            <w:r>
              <w:rPr>
                <w:rFonts w:hint="eastAsia" w:ascii="仿宋" w:hAnsi="仿宋" w:eastAsia="仿宋" w:cs="仿宋"/>
                <w:b/>
                <w:color w:val="auto"/>
                <w:sz w:val="24"/>
                <w:szCs w:val="24"/>
              </w:rPr>
              <w:t>②</w:t>
            </w:r>
            <w:r>
              <w:rPr>
                <w:rFonts w:hint="eastAsia" w:ascii="仿宋" w:hAnsi="仿宋" w:eastAsia="仿宋" w:cs="仿宋"/>
                <w:b/>
                <w:color w:val="auto"/>
                <w:sz w:val="24"/>
                <w:szCs w:val="24"/>
                <w:lang w:val="en-US" w:eastAsia="zh-CN"/>
              </w:rPr>
              <w:t>制造商公开发布的</w:t>
            </w:r>
            <w:r>
              <w:rPr>
                <w:rFonts w:hint="eastAsia" w:ascii="仿宋" w:hAnsi="仿宋" w:eastAsia="仿宋" w:cs="仿宋"/>
                <w:b/>
                <w:color w:val="auto"/>
                <w:sz w:val="24"/>
                <w:szCs w:val="24"/>
              </w:rPr>
              <w:t>产品</w:t>
            </w:r>
            <w:r>
              <w:rPr>
                <w:rFonts w:hint="eastAsia" w:ascii="仿宋" w:hAnsi="仿宋" w:eastAsia="仿宋" w:cs="仿宋"/>
                <w:b/>
                <w:color w:val="auto"/>
                <w:sz w:val="24"/>
                <w:szCs w:val="24"/>
                <w:lang w:val="en-US" w:eastAsia="zh-CN"/>
              </w:rPr>
              <w:t>印刷资料</w:t>
            </w:r>
            <w:r>
              <w:rPr>
                <w:rFonts w:hint="eastAsia" w:ascii="仿宋" w:hAnsi="仿宋" w:eastAsia="仿宋" w:cs="仿宋"/>
                <w:b/>
                <w:color w:val="auto"/>
                <w:sz w:val="24"/>
                <w:szCs w:val="24"/>
              </w:rPr>
              <w:t>并加盖制造商公章</w:t>
            </w:r>
            <w:r>
              <w:rPr>
                <w:rFonts w:hint="eastAsia" w:ascii="仿宋" w:hAnsi="仿宋" w:eastAsia="仿宋" w:cs="仿宋"/>
                <w:b/>
                <w:color w:val="auto"/>
                <w:sz w:val="24"/>
                <w:szCs w:val="24"/>
                <w:lang w:val="en-US" w:eastAsia="zh-CN"/>
              </w:rPr>
              <w:t>；</w:t>
            </w:r>
            <w:r>
              <w:rPr>
                <w:rFonts w:hint="eastAsia" w:ascii="仿宋" w:hAnsi="仿宋" w:eastAsia="仿宋" w:cs="仿宋"/>
                <w:b/>
                <w:color w:val="auto"/>
                <w:sz w:val="24"/>
                <w:szCs w:val="24"/>
              </w:rPr>
              <w:t>③制造商出具的技术参数证明材料并加盖制造商公章。]</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b/>
                <w:color w:val="auto"/>
                <w:sz w:val="24"/>
                <w:szCs w:val="24"/>
              </w:rPr>
              <w:t>注：①供应商应认真提供技术支撑文件，若提供多份技术支撑文件，技术支撑文件佐证不一致时，优先级为：产品检测报告复印件＞制造商公开发布的印刷资料＞制造商出具的技术参数证明</w:t>
            </w:r>
            <w:r>
              <w:rPr>
                <w:rFonts w:hint="eastAsia" w:ascii="仿宋" w:hAnsi="仿宋" w:eastAsia="仿宋" w:cs="仿宋"/>
                <w:b/>
                <w:color w:val="auto"/>
                <w:sz w:val="24"/>
                <w:szCs w:val="24"/>
                <w:lang w:val="en-US" w:eastAsia="zh-CN"/>
              </w:rPr>
              <w:t>材料</w:t>
            </w:r>
            <w:r>
              <w:rPr>
                <w:rFonts w:hint="eastAsia" w:ascii="仿宋" w:hAnsi="仿宋" w:eastAsia="仿宋" w:cs="仿宋"/>
                <w:b/>
                <w:color w:val="auto"/>
                <w:sz w:val="24"/>
                <w:szCs w:val="24"/>
              </w:rPr>
              <w:t>；②技术支撑文件</w:t>
            </w:r>
            <w:r>
              <w:rPr>
                <w:rFonts w:hint="eastAsia" w:ascii="仿宋" w:hAnsi="仿宋" w:eastAsia="仿宋" w:cs="仿宋"/>
                <w:b/>
                <w:color w:val="auto"/>
                <w:sz w:val="24"/>
                <w:szCs w:val="24"/>
                <w:lang w:val="en-US" w:eastAsia="zh-CN"/>
              </w:rPr>
              <w:t>与</w:t>
            </w:r>
            <w:r>
              <w:rPr>
                <w:rFonts w:hint="eastAsia" w:ascii="仿宋" w:hAnsi="仿宋" w:eastAsia="仿宋" w:cs="仿宋"/>
                <w:b/>
                <w:color w:val="auto"/>
                <w:sz w:val="24"/>
                <w:szCs w:val="24"/>
              </w:rPr>
              <w:t>技术条款响应表</w:t>
            </w:r>
            <w:r>
              <w:rPr>
                <w:rFonts w:hint="eastAsia" w:ascii="仿宋" w:hAnsi="仿宋" w:eastAsia="仿宋" w:cs="仿宋"/>
                <w:b/>
                <w:color w:val="auto"/>
                <w:sz w:val="24"/>
                <w:szCs w:val="24"/>
                <w:lang w:eastAsia="zh-CN"/>
              </w:rPr>
              <w:t>不一致，则</w:t>
            </w:r>
            <w:r>
              <w:rPr>
                <w:rFonts w:hint="eastAsia" w:ascii="仿宋" w:hAnsi="仿宋" w:eastAsia="仿宋" w:cs="仿宋"/>
                <w:b/>
                <w:color w:val="auto"/>
                <w:sz w:val="24"/>
                <w:szCs w:val="24"/>
              </w:rPr>
              <w:t>该点不加分</w:t>
            </w:r>
            <w:r>
              <w:rPr>
                <w:rFonts w:hint="eastAsia" w:ascii="仿宋" w:hAnsi="仿宋" w:eastAsia="仿宋" w:cs="仿宋"/>
                <w:b/>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54" w:type="pct"/>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941"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整体结构与外观</w:t>
            </w:r>
          </w:p>
        </w:tc>
        <w:tc>
          <w:tcPr>
            <w:tcW w:w="326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根据视频文件对核心产品的外观构造、内部结构、设计理念等进行评审。</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设计理念先进，外部构造和内部结构科学合理，整体结构外观与实战紧贴程度高的，得3分；设计理念较为先进，外部构造和内部结构较为合理，整体结构外观与实战紧贴程度较高的，得2分；设计理念一般，外观构造和内部结构基本合理，整体结构外观与实战紧贴程度不高的，得1分；未提供证明材料或证明材料有缺项的不得分。</w:t>
            </w:r>
          </w:p>
        </w:tc>
        <w:tc>
          <w:tcPr>
            <w:tcW w:w="434"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54"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941"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工艺</w:t>
            </w:r>
          </w:p>
        </w:tc>
        <w:tc>
          <w:tcPr>
            <w:tcW w:w="326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根据视频文件对核心产品的安全性、耐用性、实用性等进行评审。</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安全性能高、耐用性能好、实用性能强，工艺符合实战需求程度高的，得3分；安全性能较高、耐用性能良好、实用性能较强，工艺符合实战需求程度较高的，得2分；安全性能不高、耐用性能普通、实用性能一般，工艺符合实战需求程度不高的，得1分；未提供证明材料或证明材料有缺项的不得分。</w:t>
            </w:r>
          </w:p>
        </w:tc>
        <w:tc>
          <w:tcPr>
            <w:tcW w:w="434"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54"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941"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操作使用性能</w:t>
            </w:r>
          </w:p>
        </w:tc>
        <w:tc>
          <w:tcPr>
            <w:tcW w:w="326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根据视频文件对核心产品的可靠性、便捷性、稳定性等进行评审。</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可靠性高、便捷性好、稳定性好，操作使用性能提升战斗力程度高的，得4分；可靠性较高、便捷性较好、稳定性良好，操作使用性能提升战斗力程度较高的，得2分；可靠性不高、便捷性和稳定性一般，操作使用性能提升战斗力程度不高的，得1分；未提供证明材料或证明材料有缺项的不得分。</w:t>
            </w:r>
          </w:p>
        </w:tc>
        <w:tc>
          <w:tcPr>
            <w:tcW w:w="434"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54"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p>
        </w:tc>
        <w:tc>
          <w:tcPr>
            <w:tcW w:w="4645" w:type="pct"/>
            <w:gridSpan w:val="4"/>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lang w:eastAsia="zh-CN"/>
              </w:rPr>
            </w:pPr>
            <w:r>
              <w:rPr>
                <w:rFonts w:hint="eastAsia" w:ascii="仿宋" w:hAnsi="仿宋" w:eastAsia="仿宋" w:cs="仿宋"/>
                <w:b/>
                <w:color w:val="auto"/>
                <w:sz w:val="24"/>
                <w:szCs w:val="24"/>
              </w:rPr>
              <w:t>以上评审依据：根据视频文件对产品的整体结构与外观、工艺、操作使用性能进行综合评审，视频文件需对以上三点评审内容进行介绍（包含但不限于以上三点）。视频文件[视频文件格式须为通用格式，佐证视频时长不得超过5分钟，视频清晰度应至少保证所摄的界面文字清晰易辨、画面完整连贯、播放速度正常]应存储于U盘内（单独密封在信封中）与投标文件同时递交，逾期递交不予接收，</w:t>
            </w:r>
            <w:r>
              <w:rPr>
                <w:rFonts w:hint="eastAsia" w:ascii="仿宋" w:hAnsi="仿宋" w:eastAsia="仿宋" w:cs="仿宋"/>
                <w:b/>
                <w:color w:val="auto"/>
                <w:sz w:val="24"/>
                <w:szCs w:val="24"/>
                <w:lang w:eastAsia="zh-CN"/>
              </w:rPr>
              <w:t>U盘由采购代理机构封存，不予退回。未提供视频或视频无法打开的，得0分。</w:t>
            </w:r>
          </w:p>
        </w:tc>
      </w:tr>
    </w:tbl>
    <w:p>
      <w:pPr>
        <w:pageBreakBefore w:val="0"/>
        <w:kinsoku/>
        <w:wordWrap/>
        <w:overflowPunct/>
        <w:topLinePunct w:val="0"/>
        <w:autoSpaceDE/>
        <w:autoSpaceDN/>
        <w:bidi w:val="0"/>
        <w:adjustRightInd/>
        <w:snapToGrid/>
        <w:spacing w:beforeLines="0" w:afterLines="0" w:line="460" w:lineRule="exact"/>
        <w:ind w:firstLine="482" w:firstLineChars="200"/>
        <w:jc w:val="left"/>
        <w:rPr>
          <w:rFonts w:hint="eastAsia" w:ascii="仿宋" w:hAnsi="仿宋" w:eastAsia="仿宋"/>
          <w:b/>
          <w:color w:val="auto"/>
          <w:sz w:val="24"/>
          <w:szCs w:val="24"/>
        </w:rPr>
      </w:pPr>
      <w:r>
        <w:rPr>
          <w:rFonts w:hint="eastAsia" w:ascii="仿宋" w:hAnsi="仿宋" w:eastAsia="仿宋"/>
          <w:b/>
          <w:color w:val="auto"/>
          <w:sz w:val="24"/>
          <w:szCs w:val="24"/>
        </w:rPr>
        <w:t>三、商务部分（1</w:t>
      </w:r>
      <w:r>
        <w:rPr>
          <w:rFonts w:hint="eastAsia" w:ascii="仿宋" w:hAnsi="仿宋" w:eastAsia="仿宋"/>
          <w:b/>
          <w:color w:val="auto"/>
          <w:sz w:val="24"/>
          <w:szCs w:val="24"/>
          <w:lang w:val="en-US" w:eastAsia="zh-CN"/>
        </w:rPr>
        <w:t>5</w:t>
      </w:r>
      <w:r>
        <w:rPr>
          <w:rFonts w:hint="eastAsia" w:ascii="仿宋" w:hAnsi="仿宋" w:eastAsia="仿宋"/>
          <w:b/>
          <w:color w:val="auto"/>
          <w:sz w:val="24"/>
          <w:szCs w:val="24"/>
        </w:rPr>
        <w:t>分）</w:t>
      </w:r>
    </w:p>
    <w:tbl>
      <w:tblPr>
        <w:tblStyle w:val="4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1310"/>
        <w:gridCol w:w="6295"/>
        <w:gridCol w:w="9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eastAsia="仿宋"/>
                <w:b/>
                <w:color w:val="auto"/>
                <w:sz w:val="24"/>
                <w:szCs w:val="24"/>
              </w:rPr>
              <w:t>序号</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eastAsia="仿宋"/>
                <w:b/>
                <w:color w:val="auto"/>
                <w:sz w:val="24"/>
                <w:szCs w:val="24"/>
              </w:rPr>
              <w:t>评审因素</w:t>
            </w:r>
          </w:p>
        </w:tc>
        <w:tc>
          <w:tcPr>
            <w:tcW w:w="338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eastAsia="仿宋"/>
                <w:b/>
                <w:color w:val="auto"/>
                <w:sz w:val="24"/>
                <w:szCs w:val="24"/>
              </w:rPr>
              <w:t>评分标准</w:t>
            </w:r>
          </w:p>
        </w:tc>
        <w:tc>
          <w:tcPr>
            <w:tcW w:w="49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eastAsia="仿宋"/>
                <w:b/>
                <w:color w:val="auto"/>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color w:val="auto"/>
                <w:sz w:val="24"/>
                <w:szCs w:val="24"/>
              </w:rPr>
              <w:t>1</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ascii="仿宋" w:hAnsi="仿宋" w:eastAsia="仿宋" w:cs="仿宋"/>
                <w:color w:val="auto"/>
                <w:sz w:val="24"/>
                <w:szCs w:val="24"/>
              </w:rPr>
              <w:t>符合性评审</w:t>
            </w:r>
          </w:p>
        </w:tc>
        <w:tc>
          <w:tcPr>
            <w:tcW w:w="3887"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cs="Times New Roman"/>
                <w:color w:val="auto"/>
                <w:sz w:val="24"/>
                <w:szCs w:val="22"/>
              </w:rPr>
            </w:pPr>
            <w:r>
              <w:rPr>
                <w:rFonts w:hint="eastAsia" w:eastAsia="仿宋" w:cs="Times New Roman"/>
                <w:color w:val="auto"/>
                <w:sz w:val="24"/>
                <w:szCs w:val="22"/>
              </w:rPr>
              <w:t>投标人必须完全满足招标文件“商务要求”</w:t>
            </w:r>
            <w:r>
              <w:rPr>
                <w:rFonts w:hint="eastAsia" w:eastAsia="仿宋" w:cs="Times New Roman"/>
                <w:color w:val="auto"/>
                <w:sz w:val="24"/>
                <w:szCs w:val="22"/>
                <w:lang w:val="en-US" w:eastAsia="zh-CN"/>
              </w:rPr>
              <w:t>所有</w:t>
            </w:r>
            <w:r>
              <w:rPr>
                <w:rFonts w:hint="eastAsia" w:eastAsia="仿宋" w:cs="Times New Roman"/>
                <w:color w:val="auto"/>
                <w:sz w:val="24"/>
                <w:szCs w:val="22"/>
              </w:rPr>
              <w:t>实质性条款，任意一项不满足作无效投标处理。</w:t>
            </w:r>
          </w:p>
          <w:p>
            <w:pPr>
              <w:pageBreakBefore w:val="0"/>
              <w:kinsoku/>
              <w:wordWrap/>
              <w:overflowPunct/>
              <w:topLinePunct w:val="0"/>
              <w:autoSpaceDE/>
              <w:autoSpaceDN/>
              <w:bidi w:val="0"/>
              <w:adjustRightInd/>
              <w:snapToGrid/>
              <w:spacing w:beforeLines="0" w:afterLines="0" w:line="460" w:lineRule="exact"/>
              <w:rPr>
                <w:rFonts w:hint="eastAsia"/>
                <w:color w:val="auto"/>
                <w:sz w:val="24"/>
                <w:szCs w:val="24"/>
              </w:rPr>
            </w:pPr>
            <w:r>
              <w:rPr>
                <w:rFonts w:hint="eastAsia" w:eastAsia="仿宋" w:cs="Times New Roman"/>
                <w:b/>
                <w:color w:val="auto"/>
                <w:sz w:val="24"/>
                <w:szCs w:val="22"/>
              </w:rPr>
              <w:t>评审依据：投标文件中提供的商务条款响应表。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color w:val="auto"/>
                <w:sz w:val="24"/>
                <w:szCs w:val="24"/>
              </w:rPr>
              <w:t>2</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eastAsia="仿宋"/>
                <w:color w:val="auto"/>
                <w:sz w:val="24"/>
                <w:szCs w:val="24"/>
                <w:lang w:eastAsia="zh-CN"/>
              </w:rPr>
            </w:pPr>
            <w:r>
              <w:rPr>
                <w:rFonts w:hint="eastAsia" w:eastAsia="仿宋"/>
                <w:color w:val="auto"/>
                <w:sz w:val="24"/>
                <w:szCs w:val="24"/>
                <w:lang w:eastAsia="zh-CN"/>
              </w:rPr>
              <w:t>生产制造履约能力</w:t>
            </w:r>
          </w:p>
        </w:tc>
        <w:tc>
          <w:tcPr>
            <w:tcW w:w="338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lang w:eastAsia="zh-CN"/>
              </w:rPr>
            </w:pPr>
            <w:r>
              <w:rPr>
                <w:rFonts w:hint="eastAsia" w:eastAsia="仿宋" w:cs="Times New Roman"/>
                <w:color w:val="auto"/>
                <w:sz w:val="24"/>
                <w:szCs w:val="22"/>
                <w:lang w:val="en-US" w:eastAsia="zh-CN"/>
              </w:rPr>
              <w:t>投标人提供所投核心产品制造商的证明材料（应加盖制造商公章）</w:t>
            </w:r>
            <w:r>
              <w:rPr>
                <w:rFonts w:hint="eastAsia" w:eastAsia="仿宋" w:cs="Times New Roman"/>
                <w:color w:val="auto"/>
                <w:sz w:val="24"/>
                <w:szCs w:val="22"/>
              </w:rPr>
              <w:t>对</w:t>
            </w:r>
            <w:r>
              <w:rPr>
                <w:rFonts w:hint="eastAsia" w:eastAsia="仿宋" w:cs="Times New Roman"/>
                <w:color w:val="auto"/>
                <w:sz w:val="24"/>
                <w:szCs w:val="22"/>
                <w:lang w:eastAsia="zh-CN"/>
              </w:rPr>
              <w:t>生产制造履约能力</w:t>
            </w:r>
            <w:r>
              <w:rPr>
                <w:rFonts w:hint="eastAsia" w:eastAsia="仿宋" w:cs="Times New Roman"/>
                <w:color w:val="auto"/>
                <w:sz w:val="24"/>
                <w:szCs w:val="22"/>
              </w:rPr>
              <w:t>进行评审，包含但不限于</w:t>
            </w:r>
            <w:r>
              <w:rPr>
                <w:rFonts w:hint="eastAsia" w:eastAsia="仿宋" w:cs="Times New Roman"/>
                <w:color w:val="auto"/>
                <w:sz w:val="24"/>
                <w:szCs w:val="22"/>
                <w:lang w:eastAsia="zh-CN"/>
              </w:rPr>
              <w:t>：</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lang w:eastAsia="zh-CN"/>
              </w:rPr>
            </w:pPr>
            <w:r>
              <w:rPr>
                <w:rFonts w:hint="eastAsia" w:eastAsia="仿宋" w:cs="Times New Roman"/>
                <w:color w:val="auto"/>
                <w:sz w:val="24"/>
                <w:szCs w:val="22"/>
                <w:lang w:eastAsia="zh-CN"/>
              </w:rPr>
              <w:t>①制造商生产经营情况简介；</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lang w:eastAsia="zh-CN"/>
              </w:rPr>
            </w:pPr>
            <w:r>
              <w:rPr>
                <w:rFonts w:hint="eastAsia" w:eastAsia="仿宋" w:cs="Times New Roman"/>
                <w:color w:val="auto"/>
                <w:sz w:val="24"/>
                <w:szCs w:val="22"/>
              </w:rPr>
              <w:t>②</w:t>
            </w:r>
            <w:r>
              <w:rPr>
                <w:rFonts w:hint="eastAsia" w:eastAsia="仿宋" w:cs="Times New Roman"/>
                <w:color w:val="auto"/>
                <w:sz w:val="24"/>
                <w:szCs w:val="22"/>
                <w:lang w:eastAsia="zh-CN"/>
              </w:rPr>
              <w:t>生产工艺流程，主要包括生产制造流程图、生产步骤（应含生产车间环境及实际生产照片）等相关情况描述；</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rPr>
            </w:pPr>
            <w:r>
              <w:rPr>
                <w:rFonts w:hint="eastAsia" w:eastAsia="仿宋" w:cs="Times New Roman"/>
                <w:color w:val="auto"/>
                <w:sz w:val="24"/>
                <w:szCs w:val="22"/>
              </w:rPr>
              <w:t>③产品检验流程，包括主要检验设备</w:t>
            </w:r>
            <w:r>
              <w:rPr>
                <w:rFonts w:hint="eastAsia" w:eastAsia="仿宋" w:cs="Times New Roman"/>
                <w:color w:val="auto"/>
                <w:sz w:val="24"/>
                <w:szCs w:val="22"/>
                <w:lang w:eastAsia="zh-CN"/>
              </w:rPr>
              <w:t>（应提供图片）</w:t>
            </w:r>
            <w:r>
              <w:rPr>
                <w:rFonts w:hint="eastAsia" w:eastAsia="仿宋" w:cs="Times New Roman"/>
                <w:color w:val="auto"/>
                <w:sz w:val="24"/>
                <w:szCs w:val="22"/>
              </w:rPr>
              <w:t>、检验步骤等相关情况描述；</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rPr>
            </w:pPr>
            <w:r>
              <w:rPr>
                <w:rFonts w:hint="eastAsia" w:eastAsia="仿宋" w:cs="Times New Roman"/>
                <w:color w:val="auto"/>
                <w:sz w:val="24"/>
                <w:szCs w:val="22"/>
              </w:rPr>
              <w:t>④人员配备：相关专业技术</w:t>
            </w:r>
            <w:r>
              <w:rPr>
                <w:rFonts w:hint="eastAsia" w:eastAsia="仿宋" w:cs="Times New Roman"/>
                <w:color w:val="auto"/>
                <w:sz w:val="24"/>
                <w:szCs w:val="22"/>
                <w:lang w:eastAsia="zh-CN"/>
              </w:rPr>
              <w:t>职称</w:t>
            </w:r>
            <w:r>
              <w:rPr>
                <w:rFonts w:hint="eastAsia" w:eastAsia="仿宋" w:cs="Times New Roman"/>
                <w:color w:val="auto"/>
                <w:sz w:val="24"/>
                <w:szCs w:val="22"/>
              </w:rPr>
              <w:t>人员配置情况</w:t>
            </w:r>
            <w:r>
              <w:rPr>
                <w:rFonts w:hint="eastAsia" w:eastAsia="仿宋" w:cs="Times New Roman"/>
                <w:color w:val="auto"/>
                <w:sz w:val="24"/>
                <w:szCs w:val="22"/>
                <w:lang w:eastAsia="zh-CN"/>
              </w:rPr>
              <w:t>；</w:t>
            </w:r>
            <w:r>
              <w:rPr>
                <w:rFonts w:hint="eastAsia" w:eastAsia="仿宋" w:cs="Times New Roman"/>
                <w:color w:val="auto"/>
                <w:sz w:val="24"/>
                <w:szCs w:val="22"/>
              </w:rPr>
              <w:t>各原材料采购、生产、检验、仓储、运输等环节的人员配备情况；</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b/>
                <w:color w:val="auto"/>
                <w:sz w:val="24"/>
                <w:szCs w:val="22"/>
              </w:rPr>
            </w:pPr>
            <w:r>
              <w:rPr>
                <w:rFonts w:hint="eastAsia" w:eastAsia="仿宋" w:cs="Times New Roman"/>
                <w:b/>
                <w:color w:val="auto"/>
                <w:sz w:val="24"/>
                <w:szCs w:val="22"/>
              </w:rPr>
              <w:t>评审依据：</w:t>
            </w:r>
            <w:r>
              <w:rPr>
                <w:rFonts w:hint="eastAsia" w:eastAsia="仿宋" w:cs="Times New Roman"/>
                <w:b/>
                <w:color w:val="auto"/>
                <w:sz w:val="24"/>
                <w:szCs w:val="22"/>
                <w:lang w:val="en-US" w:eastAsia="zh-CN"/>
              </w:rPr>
              <w:t>根据</w:t>
            </w:r>
            <w:r>
              <w:rPr>
                <w:rFonts w:hint="eastAsia" w:eastAsia="仿宋" w:cs="Times New Roman"/>
                <w:b/>
                <w:color w:val="auto"/>
                <w:sz w:val="24"/>
                <w:szCs w:val="22"/>
              </w:rPr>
              <w:t>投标人提</w:t>
            </w:r>
            <w:r>
              <w:rPr>
                <w:rFonts w:hint="eastAsia" w:eastAsia="仿宋" w:cs="Times New Roman"/>
                <w:b/>
                <w:color w:val="auto"/>
                <w:sz w:val="24"/>
                <w:szCs w:val="22"/>
                <w:lang w:val="en-US" w:eastAsia="zh-CN"/>
              </w:rPr>
              <w:t>供的生产制造履约能力方案内容完整性、组织性、关联性和可操作性进行评审</w:t>
            </w:r>
            <w:r>
              <w:rPr>
                <w:rFonts w:hint="eastAsia" w:eastAsia="仿宋" w:cs="Times New Roman"/>
                <w:b/>
                <w:color w:val="auto"/>
                <w:sz w:val="24"/>
                <w:szCs w:val="22"/>
              </w:rPr>
              <w:t>。</w:t>
            </w:r>
          </w:p>
          <w:p>
            <w:pPr>
              <w:pageBreakBefore w:val="0"/>
              <w:numPr>
                <w:ilvl w:val="0"/>
                <w:numId w:val="0"/>
              </w:numPr>
              <w:kinsoku/>
              <w:wordWrap/>
              <w:overflowPunct/>
              <w:topLinePunct w:val="0"/>
              <w:autoSpaceDE/>
              <w:autoSpaceDN/>
              <w:bidi w:val="0"/>
              <w:adjustRightInd/>
              <w:snapToGrid/>
              <w:spacing w:beforeLines="0" w:afterLines="0" w:line="460" w:lineRule="exact"/>
              <w:rPr>
                <w:rFonts w:hint="eastAsia" w:ascii="仿宋" w:hAnsi="仿宋" w:eastAsia="仿宋" w:cs="仿宋"/>
                <w:b/>
                <w:color w:val="auto"/>
                <w:sz w:val="24"/>
                <w:szCs w:val="24"/>
              </w:rPr>
            </w:pPr>
            <w:r>
              <w:rPr>
                <w:rFonts w:hint="eastAsia" w:ascii="仿宋" w:hAnsi="仿宋" w:eastAsia="仿宋" w:cs="仿宋"/>
                <w:b/>
                <w:color w:val="auto"/>
                <w:sz w:val="24"/>
                <w:szCs w:val="24"/>
                <w:lang w:val="en-US" w:eastAsia="zh-CN"/>
              </w:rPr>
              <w:t>1、所投</w:t>
            </w:r>
            <w:r>
              <w:rPr>
                <w:rFonts w:hint="eastAsia" w:eastAsia="仿宋" w:cs="Times New Roman"/>
                <w:b/>
                <w:color w:val="auto"/>
                <w:sz w:val="24"/>
                <w:szCs w:val="22"/>
                <w:lang w:val="en-US" w:eastAsia="zh-CN"/>
              </w:rPr>
              <w:t>核心产品</w:t>
            </w:r>
            <w:r>
              <w:rPr>
                <w:rFonts w:hint="eastAsia" w:ascii="仿宋" w:hAnsi="仿宋" w:eastAsia="仿宋" w:cs="仿宋"/>
                <w:b/>
                <w:color w:val="auto"/>
                <w:sz w:val="24"/>
                <w:szCs w:val="24"/>
                <w:lang w:val="en-US" w:eastAsia="zh-CN"/>
              </w:rPr>
              <w:t>制造商具备较强自主研发能力及先进的生产工艺，生产车间环境及生产线先进规范，生产步骤完整周详，技术</w:t>
            </w:r>
            <w:r>
              <w:rPr>
                <w:rFonts w:hint="eastAsia" w:ascii="仿宋" w:hAnsi="仿宋" w:eastAsia="仿宋" w:cs="仿宋"/>
                <w:b/>
                <w:color w:val="auto"/>
                <w:sz w:val="24"/>
                <w:szCs w:val="24"/>
              </w:rPr>
              <w:t>人员配备</w:t>
            </w:r>
            <w:r>
              <w:rPr>
                <w:rFonts w:hint="eastAsia" w:ascii="仿宋" w:hAnsi="仿宋" w:eastAsia="仿宋" w:cs="仿宋"/>
                <w:b/>
                <w:color w:val="auto"/>
                <w:sz w:val="24"/>
                <w:szCs w:val="24"/>
                <w:lang w:val="en-US" w:eastAsia="zh-CN"/>
              </w:rPr>
              <w:t>合理专业齐全</w:t>
            </w:r>
            <w:r>
              <w:rPr>
                <w:rFonts w:hint="eastAsia" w:ascii="仿宋" w:hAnsi="仿宋" w:eastAsia="仿宋" w:cs="仿宋"/>
                <w:b/>
                <w:color w:val="auto"/>
                <w:sz w:val="24"/>
                <w:szCs w:val="24"/>
              </w:rPr>
              <w:t>，</w:t>
            </w:r>
            <w:r>
              <w:rPr>
                <w:rFonts w:hint="eastAsia" w:ascii="仿宋" w:hAnsi="仿宋" w:eastAsia="仿宋" w:cs="仿宋"/>
                <w:b/>
                <w:color w:val="auto"/>
                <w:sz w:val="24"/>
                <w:szCs w:val="24"/>
                <w:lang w:val="en-US" w:eastAsia="zh-CN"/>
              </w:rPr>
              <w:t>检验设备配置齐全、检验步骤严密无纰漏，生产制造履约能力</w:t>
            </w:r>
            <w:r>
              <w:rPr>
                <w:rFonts w:hint="eastAsia" w:ascii="仿宋" w:hAnsi="仿宋" w:eastAsia="仿宋" w:cs="仿宋"/>
                <w:b/>
                <w:color w:val="auto"/>
                <w:sz w:val="24"/>
                <w:szCs w:val="24"/>
              </w:rPr>
              <w:t>高的得</w:t>
            </w:r>
            <w:r>
              <w:rPr>
                <w:rFonts w:hint="eastAsia" w:ascii="仿宋" w:hAnsi="仿宋" w:eastAsia="仿宋" w:cs="仿宋"/>
                <w:b/>
                <w:color w:val="auto"/>
                <w:sz w:val="24"/>
                <w:szCs w:val="24"/>
                <w:lang w:val="en-US" w:eastAsia="zh-CN"/>
              </w:rPr>
              <w:t>5</w:t>
            </w:r>
            <w:r>
              <w:rPr>
                <w:rFonts w:hint="eastAsia" w:ascii="仿宋" w:hAnsi="仿宋" w:eastAsia="仿宋" w:cs="仿宋"/>
                <w:b/>
                <w:color w:val="auto"/>
                <w:sz w:val="24"/>
                <w:szCs w:val="24"/>
              </w:rPr>
              <w:t>分；</w:t>
            </w:r>
          </w:p>
          <w:p>
            <w:pPr>
              <w:pageBreakBefore w:val="0"/>
              <w:numPr>
                <w:ilvl w:val="0"/>
                <w:numId w:val="0"/>
              </w:numPr>
              <w:kinsoku/>
              <w:wordWrap/>
              <w:overflowPunct/>
              <w:topLinePunct w:val="0"/>
              <w:autoSpaceDE/>
              <w:autoSpaceDN/>
              <w:bidi w:val="0"/>
              <w:adjustRightInd/>
              <w:snapToGrid/>
              <w:spacing w:beforeLines="0" w:afterLines="0" w:line="460" w:lineRule="exact"/>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2、所投</w:t>
            </w:r>
            <w:r>
              <w:rPr>
                <w:rFonts w:hint="eastAsia" w:eastAsia="仿宋" w:cs="Times New Roman"/>
                <w:b/>
                <w:color w:val="auto"/>
                <w:sz w:val="24"/>
                <w:szCs w:val="22"/>
                <w:lang w:val="en-US" w:eastAsia="zh-CN"/>
              </w:rPr>
              <w:t>核心产品</w:t>
            </w:r>
            <w:r>
              <w:rPr>
                <w:rFonts w:hint="eastAsia" w:ascii="仿宋" w:hAnsi="仿宋" w:eastAsia="仿宋" w:cs="仿宋"/>
                <w:b/>
                <w:color w:val="auto"/>
                <w:sz w:val="24"/>
                <w:szCs w:val="24"/>
                <w:lang w:val="en-US" w:eastAsia="zh-CN"/>
              </w:rPr>
              <w:t>制造商有自主研发能力和生产工艺较完整，生产车间环境及生产线常规，生产步骤较完整周详，技术</w:t>
            </w:r>
            <w:r>
              <w:rPr>
                <w:rFonts w:hint="eastAsia" w:ascii="仿宋" w:hAnsi="仿宋" w:eastAsia="仿宋" w:cs="仿宋"/>
                <w:b/>
                <w:color w:val="auto"/>
                <w:sz w:val="24"/>
                <w:szCs w:val="24"/>
              </w:rPr>
              <w:t>人员配备</w:t>
            </w:r>
            <w:r>
              <w:rPr>
                <w:rFonts w:hint="eastAsia" w:ascii="仿宋" w:hAnsi="仿宋" w:eastAsia="仿宋" w:cs="仿宋"/>
                <w:b/>
                <w:color w:val="auto"/>
                <w:sz w:val="24"/>
                <w:szCs w:val="24"/>
                <w:lang w:eastAsia="zh-CN"/>
              </w:rPr>
              <w:t>相对</w:t>
            </w:r>
            <w:r>
              <w:rPr>
                <w:rFonts w:hint="eastAsia" w:ascii="仿宋" w:hAnsi="仿宋" w:eastAsia="仿宋" w:cs="仿宋"/>
                <w:b/>
                <w:color w:val="auto"/>
                <w:sz w:val="24"/>
                <w:szCs w:val="24"/>
                <w:lang w:val="en-US" w:eastAsia="zh-CN"/>
              </w:rPr>
              <w:t>合理专业齐全</w:t>
            </w:r>
            <w:r>
              <w:rPr>
                <w:rFonts w:hint="eastAsia" w:ascii="仿宋" w:hAnsi="仿宋" w:eastAsia="仿宋" w:cs="仿宋"/>
                <w:b/>
                <w:color w:val="auto"/>
                <w:sz w:val="24"/>
                <w:szCs w:val="24"/>
              </w:rPr>
              <w:t>，</w:t>
            </w:r>
            <w:r>
              <w:rPr>
                <w:rFonts w:hint="eastAsia" w:ascii="仿宋" w:hAnsi="仿宋" w:eastAsia="仿宋" w:cs="仿宋"/>
                <w:b/>
                <w:color w:val="auto"/>
                <w:sz w:val="24"/>
                <w:szCs w:val="24"/>
                <w:lang w:val="en-US" w:eastAsia="zh-CN"/>
              </w:rPr>
              <w:t>检验设备配置较齐全、检验步骤相对完备，生产制造履约能力</w:t>
            </w:r>
            <w:r>
              <w:rPr>
                <w:rFonts w:hint="eastAsia" w:ascii="仿宋" w:hAnsi="仿宋" w:eastAsia="仿宋" w:cs="仿宋"/>
                <w:b/>
                <w:color w:val="auto"/>
                <w:sz w:val="24"/>
                <w:szCs w:val="24"/>
                <w:lang w:eastAsia="zh-CN"/>
              </w:rPr>
              <w:t>较</w:t>
            </w:r>
            <w:r>
              <w:rPr>
                <w:rFonts w:hint="eastAsia" w:ascii="仿宋" w:hAnsi="仿宋" w:eastAsia="仿宋" w:cs="仿宋"/>
                <w:b/>
                <w:color w:val="auto"/>
                <w:sz w:val="24"/>
                <w:szCs w:val="24"/>
              </w:rPr>
              <w:t>高的得</w:t>
            </w:r>
            <w:r>
              <w:rPr>
                <w:rFonts w:hint="eastAsia" w:ascii="仿宋" w:hAnsi="仿宋" w:eastAsia="仿宋" w:cs="仿宋"/>
                <w:b/>
                <w:color w:val="auto"/>
                <w:sz w:val="24"/>
                <w:szCs w:val="24"/>
                <w:lang w:val="en-US" w:eastAsia="zh-CN"/>
              </w:rPr>
              <w:t>3</w:t>
            </w:r>
            <w:r>
              <w:rPr>
                <w:rFonts w:hint="eastAsia" w:ascii="仿宋" w:hAnsi="仿宋" w:eastAsia="仿宋" w:cs="仿宋"/>
                <w:b/>
                <w:color w:val="auto"/>
                <w:sz w:val="24"/>
                <w:szCs w:val="24"/>
              </w:rPr>
              <w:t>分</w:t>
            </w:r>
            <w:r>
              <w:rPr>
                <w:rFonts w:hint="eastAsia" w:ascii="仿宋" w:hAnsi="仿宋" w:eastAsia="仿宋" w:cs="仿宋"/>
                <w:b/>
                <w:color w:val="auto"/>
                <w:sz w:val="24"/>
                <w:szCs w:val="24"/>
                <w:lang w:eastAsia="zh-CN"/>
              </w:rPr>
              <w:t>；</w:t>
            </w:r>
          </w:p>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b/>
                <w:color w:val="auto"/>
                <w:sz w:val="24"/>
                <w:szCs w:val="24"/>
                <w:lang w:eastAsia="zh-CN"/>
              </w:rPr>
            </w:pPr>
            <w:r>
              <w:rPr>
                <w:rFonts w:hint="eastAsia" w:ascii="仿宋" w:hAnsi="仿宋" w:eastAsia="仿宋" w:cs="仿宋"/>
                <w:b/>
                <w:color w:val="auto"/>
                <w:sz w:val="24"/>
                <w:szCs w:val="24"/>
                <w:lang w:val="en-US" w:eastAsia="zh-CN"/>
              </w:rPr>
              <w:t>3、所投</w:t>
            </w:r>
            <w:r>
              <w:rPr>
                <w:rFonts w:hint="eastAsia" w:eastAsia="仿宋" w:cs="Times New Roman"/>
                <w:b/>
                <w:color w:val="auto"/>
                <w:sz w:val="24"/>
                <w:szCs w:val="22"/>
                <w:lang w:val="en-US" w:eastAsia="zh-CN"/>
              </w:rPr>
              <w:t>核心产品</w:t>
            </w:r>
            <w:r>
              <w:rPr>
                <w:rFonts w:hint="eastAsia" w:ascii="仿宋" w:hAnsi="仿宋" w:eastAsia="仿宋" w:cs="仿宋"/>
                <w:b/>
                <w:color w:val="auto"/>
                <w:sz w:val="24"/>
                <w:szCs w:val="24"/>
                <w:lang w:val="en-US" w:eastAsia="zh-CN"/>
              </w:rPr>
              <w:t>制造商有自主研发能力和生产工艺薄弱，生产车间环境及生产线粗糙落后，生产步骤简单，技术</w:t>
            </w:r>
            <w:r>
              <w:rPr>
                <w:rFonts w:hint="eastAsia" w:ascii="仿宋" w:hAnsi="仿宋" w:eastAsia="仿宋" w:cs="仿宋"/>
                <w:b/>
                <w:color w:val="auto"/>
                <w:sz w:val="24"/>
                <w:szCs w:val="24"/>
              </w:rPr>
              <w:t>人员</w:t>
            </w:r>
            <w:r>
              <w:rPr>
                <w:rFonts w:hint="eastAsia" w:ascii="仿宋" w:hAnsi="仿宋" w:eastAsia="仿宋" w:cs="仿宋"/>
                <w:b/>
                <w:color w:val="auto"/>
                <w:sz w:val="24"/>
                <w:szCs w:val="24"/>
                <w:lang w:eastAsia="zh-CN"/>
              </w:rPr>
              <w:t>综合实力一般，</w:t>
            </w:r>
            <w:r>
              <w:rPr>
                <w:rFonts w:hint="eastAsia" w:ascii="仿宋" w:hAnsi="仿宋" w:eastAsia="仿宋" w:cs="仿宋"/>
                <w:b/>
                <w:color w:val="auto"/>
                <w:sz w:val="24"/>
                <w:szCs w:val="24"/>
                <w:lang w:val="en-US" w:eastAsia="zh-CN"/>
              </w:rPr>
              <w:t>检验设备配置简单落后，检验步骤普通，生产制造履约能力</w:t>
            </w:r>
            <w:r>
              <w:rPr>
                <w:rFonts w:hint="eastAsia" w:ascii="仿宋" w:hAnsi="仿宋" w:eastAsia="仿宋" w:cs="仿宋"/>
                <w:b/>
                <w:color w:val="auto"/>
                <w:sz w:val="24"/>
                <w:szCs w:val="24"/>
                <w:lang w:eastAsia="zh-CN"/>
              </w:rPr>
              <w:t>弱</w:t>
            </w:r>
            <w:r>
              <w:rPr>
                <w:rFonts w:hint="eastAsia" w:ascii="仿宋" w:hAnsi="仿宋" w:eastAsia="仿宋" w:cs="仿宋"/>
                <w:b/>
                <w:color w:val="auto"/>
                <w:sz w:val="24"/>
                <w:szCs w:val="24"/>
              </w:rPr>
              <w:t>的得</w:t>
            </w:r>
            <w:r>
              <w:rPr>
                <w:rFonts w:hint="eastAsia" w:ascii="仿宋" w:hAnsi="仿宋" w:eastAsia="仿宋" w:cs="仿宋"/>
                <w:b/>
                <w:color w:val="auto"/>
                <w:sz w:val="24"/>
                <w:szCs w:val="24"/>
                <w:lang w:val="en-US" w:eastAsia="zh-CN"/>
              </w:rPr>
              <w:t>1</w:t>
            </w:r>
            <w:r>
              <w:rPr>
                <w:rFonts w:hint="eastAsia" w:ascii="仿宋" w:hAnsi="仿宋" w:eastAsia="仿宋" w:cs="仿宋"/>
                <w:b/>
                <w:color w:val="auto"/>
                <w:sz w:val="24"/>
                <w:szCs w:val="24"/>
              </w:rPr>
              <w:t>分</w:t>
            </w:r>
            <w:r>
              <w:rPr>
                <w:rFonts w:hint="eastAsia" w:ascii="仿宋" w:hAnsi="仿宋" w:eastAsia="仿宋" w:cs="仿宋"/>
                <w:b/>
                <w:color w:val="auto"/>
                <w:sz w:val="24"/>
                <w:szCs w:val="24"/>
                <w:lang w:eastAsia="zh-CN"/>
              </w:rPr>
              <w:t>；</w:t>
            </w:r>
          </w:p>
          <w:p>
            <w:pPr>
              <w:pageBreakBefore w:val="0"/>
              <w:kinsoku/>
              <w:wordWrap/>
              <w:overflowPunct/>
              <w:topLinePunct w:val="0"/>
              <w:autoSpaceDE/>
              <w:autoSpaceDN/>
              <w:bidi w:val="0"/>
              <w:adjustRightInd/>
              <w:snapToGrid/>
              <w:spacing w:beforeLines="0" w:afterLines="0" w:line="460" w:lineRule="exact"/>
              <w:rPr>
                <w:rFonts w:hint="eastAsia"/>
                <w:color w:val="auto"/>
                <w:sz w:val="24"/>
                <w:szCs w:val="24"/>
              </w:rPr>
            </w:pPr>
            <w:r>
              <w:rPr>
                <w:rFonts w:hint="eastAsia" w:ascii="仿宋" w:hAnsi="仿宋" w:eastAsia="仿宋" w:cs="仿宋"/>
                <w:b/>
                <w:color w:val="auto"/>
                <w:sz w:val="24"/>
                <w:szCs w:val="24"/>
                <w:lang w:val="en-US" w:eastAsia="zh-CN"/>
              </w:rPr>
              <w:t>4、</w:t>
            </w:r>
            <w:r>
              <w:rPr>
                <w:rFonts w:hint="eastAsia" w:ascii="仿宋" w:hAnsi="仿宋" w:eastAsia="仿宋" w:cs="仿宋"/>
                <w:b/>
                <w:color w:val="auto"/>
                <w:sz w:val="24"/>
                <w:szCs w:val="24"/>
              </w:rPr>
              <w:t>未提供证明材料或证明材料有缺项的不得分。</w:t>
            </w:r>
          </w:p>
        </w:tc>
        <w:tc>
          <w:tcPr>
            <w:tcW w:w="49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color w:val="auto"/>
                <w:sz w:val="24"/>
                <w:szCs w:val="24"/>
              </w:rPr>
              <w:t>5</w:t>
            </w:r>
            <w:r>
              <w:rPr>
                <w:rFonts w:hint="eastAsia" w:eastAsia="仿宋"/>
                <w:color w:val="auto"/>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color w:val="auto"/>
                <w:sz w:val="24"/>
                <w:szCs w:val="24"/>
              </w:rPr>
              <w:t>3</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eastAsia="仿宋"/>
                <w:color w:val="auto"/>
                <w:sz w:val="24"/>
                <w:szCs w:val="24"/>
              </w:rPr>
              <w:t>质量保证和保修</w:t>
            </w:r>
          </w:p>
        </w:tc>
        <w:tc>
          <w:tcPr>
            <w:tcW w:w="338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rPr>
                <w:rFonts w:hint="eastAsia"/>
                <w:color w:val="auto"/>
                <w:sz w:val="24"/>
                <w:szCs w:val="24"/>
              </w:rPr>
            </w:pPr>
            <w:r>
              <w:rPr>
                <w:rFonts w:hint="eastAsia" w:eastAsia="仿宋"/>
                <w:color w:val="auto"/>
                <w:sz w:val="24"/>
                <w:szCs w:val="24"/>
              </w:rPr>
              <w:t>在招标文件商务要求中“质保期”和“保修期”要求基础上，承诺“质保期”和“保修期”均每延长一年的加2分，最多加4分。</w:t>
            </w:r>
          </w:p>
          <w:p>
            <w:pPr>
              <w:pageBreakBefore w:val="0"/>
              <w:kinsoku/>
              <w:wordWrap/>
              <w:overflowPunct/>
              <w:topLinePunct w:val="0"/>
              <w:autoSpaceDE/>
              <w:autoSpaceDN/>
              <w:bidi w:val="0"/>
              <w:adjustRightInd/>
              <w:snapToGrid/>
              <w:spacing w:beforeLines="0" w:afterLines="0" w:line="460" w:lineRule="exact"/>
              <w:rPr>
                <w:rFonts w:hint="eastAsia"/>
                <w:color w:val="auto"/>
                <w:sz w:val="24"/>
                <w:szCs w:val="24"/>
              </w:rPr>
            </w:pPr>
            <w:r>
              <w:rPr>
                <w:rFonts w:hint="eastAsia" w:eastAsia="仿宋"/>
                <w:b/>
                <w:color w:val="auto"/>
                <w:sz w:val="24"/>
                <w:szCs w:val="24"/>
              </w:rPr>
              <w:t>评审依据：投标文件中提供“质保期”和“保修期”均延长的承诺函原件。</w:t>
            </w:r>
          </w:p>
        </w:tc>
        <w:tc>
          <w:tcPr>
            <w:tcW w:w="49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color w:val="auto"/>
                <w:sz w:val="24"/>
                <w:szCs w:val="24"/>
              </w:rPr>
              <w:t>4</w:t>
            </w:r>
            <w:r>
              <w:rPr>
                <w:rFonts w:hint="eastAsia" w:eastAsia="仿宋"/>
                <w:color w:val="auto"/>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color w:val="auto"/>
                <w:sz w:val="24"/>
                <w:szCs w:val="24"/>
              </w:rPr>
              <w:t>4</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eastAsia="仿宋"/>
                <w:color w:val="auto"/>
                <w:sz w:val="24"/>
                <w:szCs w:val="24"/>
              </w:rPr>
              <w:t>类似销售</w:t>
            </w:r>
          </w:p>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eastAsia="仿宋"/>
                <w:color w:val="auto"/>
                <w:sz w:val="24"/>
                <w:szCs w:val="24"/>
              </w:rPr>
              <w:t>案例</w:t>
            </w:r>
          </w:p>
        </w:tc>
        <w:tc>
          <w:tcPr>
            <w:tcW w:w="338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rPr>
                <w:rFonts w:hint="eastAsia" w:eastAsia="仿宋" w:cs="Times New Roman"/>
                <w:color w:val="auto"/>
                <w:sz w:val="24"/>
                <w:szCs w:val="22"/>
                <w:lang w:eastAsia="zh-CN"/>
              </w:rPr>
            </w:pPr>
            <w:r>
              <w:rPr>
                <w:rFonts w:hint="eastAsia" w:eastAsia="仿宋" w:cs="Times New Roman"/>
                <w:color w:val="auto"/>
                <w:sz w:val="24"/>
                <w:szCs w:val="22"/>
              </w:rPr>
              <w:t>投标人自</w:t>
            </w:r>
            <w:r>
              <w:rPr>
                <w:rFonts w:hint="eastAsia" w:cs="Times New Roman"/>
                <w:color w:val="auto"/>
                <w:sz w:val="24"/>
                <w:szCs w:val="22"/>
              </w:rPr>
              <w:t>20</w:t>
            </w:r>
            <w:r>
              <w:rPr>
                <w:rFonts w:hint="eastAsia" w:eastAsia="仿宋" w:cs="Times New Roman"/>
                <w:color w:val="auto"/>
                <w:sz w:val="24"/>
                <w:szCs w:val="22"/>
              </w:rPr>
              <w:t>2</w:t>
            </w:r>
            <w:r>
              <w:rPr>
                <w:rFonts w:hint="eastAsia" w:eastAsia="仿宋" w:cs="Times New Roman"/>
                <w:color w:val="auto"/>
                <w:sz w:val="24"/>
                <w:szCs w:val="22"/>
                <w:lang w:val="en-US" w:eastAsia="zh-CN"/>
              </w:rPr>
              <w:t>1</w:t>
            </w:r>
            <w:r>
              <w:rPr>
                <w:rFonts w:hint="eastAsia" w:eastAsia="仿宋" w:cs="Times New Roman"/>
                <w:color w:val="auto"/>
                <w:sz w:val="24"/>
                <w:szCs w:val="22"/>
              </w:rPr>
              <w:t>年</w:t>
            </w:r>
            <w:r>
              <w:rPr>
                <w:rFonts w:hint="eastAsia" w:cs="Times New Roman"/>
                <w:color w:val="auto"/>
                <w:sz w:val="24"/>
                <w:szCs w:val="22"/>
              </w:rPr>
              <w:t>1</w:t>
            </w:r>
            <w:r>
              <w:rPr>
                <w:rFonts w:hint="eastAsia" w:eastAsia="仿宋" w:cs="Times New Roman"/>
                <w:color w:val="auto"/>
                <w:sz w:val="24"/>
                <w:szCs w:val="22"/>
              </w:rPr>
              <w:t>月1日至今（以签订合同时间为准）具有类似</w:t>
            </w:r>
            <w:r>
              <w:rPr>
                <w:rFonts w:hint="eastAsia" w:eastAsia="仿宋" w:cs="Times New Roman"/>
                <w:color w:val="auto"/>
                <w:sz w:val="24"/>
                <w:szCs w:val="22"/>
                <w:lang w:eastAsia="zh-CN"/>
              </w:rPr>
              <w:t>核心</w:t>
            </w:r>
            <w:r>
              <w:rPr>
                <w:rFonts w:hint="eastAsia" w:eastAsia="仿宋" w:cs="Times New Roman"/>
                <w:color w:val="auto"/>
                <w:sz w:val="24"/>
                <w:szCs w:val="22"/>
              </w:rPr>
              <w:t>产品销售案例，每提供1份销售案例加</w:t>
            </w:r>
            <w:r>
              <w:rPr>
                <w:rFonts w:hint="eastAsia" w:eastAsia="仿宋" w:cs="Times New Roman"/>
                <w:color w:val="auto"/>
                <w:sz w:val="24"/>
                <w:szCs w:val="22"/>
                <w:lang w:val="en-US" w:eastAsia="zh-CN"/>
              </w:rPr>
              <w:t>2</w:t>
            </w:r>
            <w:r>
              <w:rPr>
                <w:rFonts w:hint="eastAsia" w:eastAsia="仿宋" w:cs="Times New Roman"/>
                <w:color w:val="auto"/>
                <w:sz w:val="24"/>
                <w:szCs w:val="22"/>
              </w:rPr>
              <w:t>分，本项最多加</w:t>
            </w:r>
            <w:r>
              <w:rPr>
                <w:rFonts w:hint="eastAsia" w:eastAsia="仿宋" w:cs="Times New Roman"/>
                <w:color w:val="auto"/>
                <w:sz w:val="24"/>
                <w:szCs w:val="22"/>
                <w:lang w:val="en-US" w:eastAsia="zh-CN"/>
              </w:rPr>
              <w:t>6</w:t>
            </w:r>
            <w:r>
              <w:rPr>
                <w:rFonts w:hint="eastAsia" w:eastAsia="仿宋" w:cs="Times New Roman"/>
                <w:color w:val="auto"/>
                <w:sz w:val="24"/>
                <w:szCs w:val="22"/>
              </w:rPr>
              <w:t>分。</w:t>
            </w:r>
          </w:p>
          <w:p>
            <w:pPr>
              <w:pageBreakBefore w:val="0"/>
              <w:kinsoku/>
              <w:wordWrap/>
              <w:overflowPunct/>
              <w:topLinePunct w:val="0"/>
              <w:autoSpaceDE/>
              <w:autoSpaceDN/>
              <w:bidi w:val="0"/>
              <w:adjustRightInd/>
              <w:snapToGrid/>
              <w:spacing w:beforeLines="0" w:afterLines="0" w:line="460" w:lineRule="exact"/>
              <w:jc w:val="left"/>
              <w:rPr>
                <w:rFonts w:hint="eastAsia"/>
                <w:b/>
                <w:color w:val="auto"/>
                <w:sz w:val="24"/>
                <w:szCs w:val="24"/>
              </w:rPr>
            </w:pPr>
            <w:r>
              <w:rPr>
                <w:rFonts w:hint="eastAsia" w:eastAsia="仿宋" w:cs="Times New Roman"/>
                <w:b/>
                <w:color w:val="auto"/>
                <w:sz w:val="24"/>
                <w:szCs w:val="22"/>
              </w:rPr>
              <w:t>评审依据：①投标文件中提供销售案例明细表（销售案例明细表包含</w:t>
            </w:r>
            <w:r>
              <w:rPr>
                <w:rFonts w:hint="eastAsia" w:cs="Times New Roman"/>
                <w:b/>
                <w:color w:val="auto"/>
                <w:sz w:val="24"/>
                <w:szCs w:val="22"/>
              </w:rPr>
              <w:t>:</w:t>
            </w:r>
            <w:r>
              <w:rPr>
                <w:rFonts w:hint="eastAsia" w:eastAsia="仿宋" w:cs="Times New Roman"/>
                <w:b/>
                <w:color w:val="auto"/>
                <w:sz w:val="24"/>
                <w:szCs w:val="22"/>
              </w:rPr>
              <w:t>发布网站名称、网页链接地址、采购项目名称、采购单位名称和联系方式、采购代理机构名称和联系方式）；②</w:t>
            </w:r>
            <w:r>
              <w:rPr>
                <w:rFonts w:hint="eastAsia" w:eastAsia="仿宋" w:cs="Times New Roman"/>
                <w:b/>
                <w:color w:val="auto"/>
                <w:sz w:val="24"/>
                <w:szCs w:val="22"/>
                <w:lang w:eastAsia="zh-CN"/>
              </w:rPr>
              <w:t>中标（成交）公告截图（打印网页）、中标通知书复印件和合同复印件（中标通知书或合同复印件应体现类似销售案例的货物），合同签订方必须是投标人本身。</w:t>
            </w:r>
          </w:p>
        </w:tc>
        <w:tc>
          <w:tcPr>
            <w:tcW w:w="49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eastAsia="仿宋"/>
                <w:color w:val="auto"/>
                <w:sz w:val="24"/>
                <w:szCs w:val="24"/>
                <w:lang w:val="en-US" w:eastAsia="zh-CN"/>
              </w:rPr>
              <w:t>6</w:t>
            </w:r>
            <w:r>
              <w:rPr>
                <w:rFonts w:hint="eastAsia" w:eastAsia="仿宋"/>
                <w:color w:val="auto"/>
                <w:sz w:val="24"/>
                <w:szCs w:val="24"/>
              </w:rPr>
              <w:t>分</w:t>
            </w:r>
          </w:p>
        </w:tc>
      </w:tr>
    </w:tbl>
    <w:p>
      <w:pPr>
        <w:pageBreakBefore w:val="0"/>
        <w:kinsoku/>
        <w:wordWrap/>
        <w:overflowPunct/>
        <w:topLinePunct w:val="0"/>
        <w:autoSpaceDE/>
        <w:autoSpaceDN/>
        <w:bidi w:val="0"/>
        <w:adjustRightInd/>
        <w:snapToGrid/>
        <w:spacing w:beforeLines="0" w:afterLines="0" w:line="460" w:lineRule="exact"/>
        <w:rPr>
          <w:rFonts w:hint="eastAsia"/>
          <w:color w:val="auto"/>
          <w:sz w:val="21"/>
          <w:szCs w:val="24"/>
        </w:rPr>
      </w:pPr>
    </w:p>
    <w:p>
      <w:pPr>
        <w:pageBreakBefore w:val="0"/>
        <w:kinsoku/>
        <w:wordWrap/>
        <w:overflowPunct/>
        <w:topLinePunct w:val="0"/>
        <w:autoSpaceDE/>
        <w:autoSpaceDN/>
        <w:bidi w:val="0"/>
        <w:adjustRightInd/>
        <w:snapToGrid/>
        <w:spacing w:beforeLines="0" w:afterLines="0" w:line="460" w:lineRule="exact"/>
        <w:rPr>
          <w:rFonts w:hint="eastAsia"/>
          <w:color w:val="auto"/>
          <w:sz w:val="21"/>
          <w:szCs w:val="24"/>
        </w:rPr>
      </w:pPr>
      <w:r>
        <w:rPr>
          <w:rFonts w:hint="eastAsia"/>
          <w:color w:val="auto"/>
          <w:sz w:val="21"/>
          <w:szCs w:val="24"/>
        </w:rPr>
        <w:br w:type="page"/>
      </w:r>
    </w:p>
    <w:p>
      <w:pPr>
        <w:pStyle w:val="2"/>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8"/>
          <w:szCs w:val="28"/>
          <w:lang w:val="en-US" w:eastAsia="zh-CN"/>
        </w:rPr>
      </w:pPr>
      <w:bookmarkStart w:id="706" w:name="_Toc5275"/>
      <w:bookmarkStart w:id="707" w:name="_Toc27552"/>
      <w:bookmarkStart w:id="708" w:name="_Toc19415"/>
      <w:bookmarkStart w:id="709" w:name="_Toc32395"/>
      <w:bookmarkStart w:id="710" w:name="_Toc12501"/>
      <w:r>
        <w:rPr>
          <w:rFonts w:hint="eastAsia" w:ascii="仿宋" w:hAnsi="仿宋" w:eastAsia="仿宋" w:cs="仿宋"/>
          <w:color w:val="auto"/>
          <w:sz w:val="28"/>
          <w:szCs w:val="28"/>
          <w:lang w:val="en-US" w:eastAsia="zh-CN"/>
        </w:rPr>
        <w:t>47包：卷扬机、消防梯15米【核心产品】、移动水带收卷机</w:t>
      </w:r>
      <w:bookmarkEnd w:id="706"/>
      <w:bookmarkEnd w:id="707"/>
      <w:bookmarkEnd w:id="708"/>
      <w:bookmarkEnd w:id="709"/>
      <w:bookmarkEnd w:id="710"/>
    </w:p>
    <w:p>
      <w:pPr>
        <w:pageBreakBefore w:val="0"/>
        <w:kinsoku/>
        <w:wordWrap/>
        <w:overflowPunct/>
        <w:topLinePunct w:val="0"/>
        <w:autoSpaceDE/>
        <w:autoSpaceDN/>
        <w:bidi w:val="0"/>
        <w:adjustRightInd/>
        <w:snapToGrid/>
        <w:spacing w:beforeLines="0" w:afterLines="0" w:line="460" w:lineRule="exact"/>
        <w:ind w:firstLine="482" w:firstLineChars="200"/>
        <w:jc w:val="left"/>
        <w:rPr>
          <w:rFonts w:hint="eastAsia" w:ascii="仿宋" w:hAnsi="仿宋" w:eastAsia="仿宋"/>
          <w:b/>
          <w:color w:val="auto"/>
          <w:sz w:val="24"/>
          <w:szCs w:val="24"/>
        </w:rPr>
      </w:pPr>
      <w:r>
        <w:rPr>
          <w:rFonts w:hint="eastAsia" w:ascii="仿宋" w:hAnsi="仿宋" w:eastAsia="仿宋"/>
          <w:b/>
          <w:color w:val="auto"/>
          <w:sz w:val="24"/>
          <w:szCs w:val="24"/>
        </w:rPr>
        <w:t>一、价格部分（30分）</w:t>
      </w:r>
    </w:p>
    <w:tbl>
      <w:tblPr>
        <w:tblStyle w:val="4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1579"/>
        <w:gridCol w:w="6182"/>
        <w:gridCol w:w="8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76"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序号</w:t>
            </w:r>
          </w:p>
        </w:tc>
        <w:tc>
          <w:tcPr>
            <w:tcW w:w="850"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评审因素</w:t>
            </w:r>
          </w:p>
        </w:tc>
        <w:tc>
          <w:tcPr>
            <w:tcW w:w="332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评分标准</w:t>
            </w:r>
          </w:p>
        </w:tc>
        <w:tc>
          <w:tcPr>
            <w:tcW w:w="444"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b/>
                <w:color w:val="auto"/>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6"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850"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价格分</w:t>
            </w:r>
          </w:p>
        </w:tc>
        <w:tc>
          <w:tcPr>
            <w:tcW w:w="332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根据综合评分法，满足招标文件要求且投标价格最低的投标报价为评标基准价，投标报价得分=（评标基准价／投标报价）×30%×100，计算分数时四舍五入取小数点后两位。</w:t>
            </w:r>
          </w:p>
          <w:p>
            <w:pPr>
              <w:pageBreakBefore w:val="0"/>
              <w:kinsoku/>
              <w:wordWrap/>
              <w:overflowPunct/>
              <w:topLinePunct w:val="0"/>
              <w:autoSpaceDE/>
              <w:autoSpaceDN/>
              <w:bidi w:val="0"/>
              <w:adjustRightInd/>
              <w:snapToGrid/>
              <w:spacing w:beforeLines="0" w:afterLines="0" w:line="460" w:lineRule="exact"/>
              <w:ind w:firstLine="482" w:firstLineChars="200"/>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注：小、微型企业或残疾人福利性单位产品或监狱产品的价格给予10%的扣除，用扣除后的价格参与评审。但残疾人福利性单位本身属于小型、微型企业的，不重复享受政策。</w:t>
            </w:r>
          </w:p>
        </w:tc>
        <w:tc>
          <w:tcPr>
            <w:tcW w:w="444"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30分</w:t>
            </w:r>
          </w:p>
        </w:tc>
      </w:tr>
    </w:tbl>
    <w:p>
      <w:pPr>
        <w:pageBreakBefore w:val="0"/>
        <w:kinsoku/>
        <w:wordWrap/>
        <w:overflowPunct/>
        <w:topLinePunct w:val="0"/>
        <w:autoSpaceDE/>
        <w:autoSpaceDN/>
        <w:bidi w:val="0"/>
        <w:adjustRightInd/>
        <w:snapToGrid/>
        <w:spacing w:beforeLines="0" w:afterLines="0" w:line="460" w:lineRule="exact"/>
        <w:ind w:firstLine="482" w:firstLineChars="200"/>
        <w:jc w:val="left"/>
        <w:rPr>
          <w:rFonts w:hint="eastAsia" w:ascii="仿宋" w:hAnsi="仿宋" w:eastAsia="仿宋"/>
          <w:b/>
          <w:color w:val="auto"/>
          <w:sz w:val="24"/>
          <w:szCs w:val="24"/>
        </w:rPr>
      </w:pPr>
      <w:r>
        <w:rPr>
          <w:rFonts w:hint="eastAsia" w:ascii="仿宋" w:hAnsi="仿宋" w:eastAsia="仿宋"/>
          <w:b/>
          <w:color w:val="auto"/>
          <w:sz w:val="24"/>
          <w:szCs w:val="24"/>
        </w:rPr>
        <w:t>二、技术部分（5</w:t>
      </w:r>
      <w:r>
        <w:rPr>
          <w:rFonts w:hint="eastAsia" w:ascii="仿宋" w:hAnsi="仿宋" w:eastAsia="仿宋"/>
          <w:b/>
          <w:color w:val="auto"/>
          <w:sz w:val="24"/>
          <w:szCs w:val="24"/>
          <w:lang w:val="en-US" w:eastAsia="zh-CN"/>
        </w:rPr>
        <w:t>5</w:t>
      </w:r>
      <w:r>
        <w:rPr>
          <w:rFonts w:hint="eastAsia" w:ascii="仿宋" w:hAnsi="仿宋" w:eastAsia="仿宋"/>
          <w:b/>
          <w:color w:val="auto"/>
          <w:sz w:val="24"/>
          <w:szCs w:val="24"/>
        </w:rPr>
        <w:t>分）</w:t>
      </w:r>
    </w:p>
    <w:tbl>
      <w:tblPr>
        <w:tblStyle w:val="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0"/>
        <w:gridCol w:w="786"/>
        <w:gridCol w:w="1021"/>
        <w:gridCol w:w="6051"/>
        <w:gridCol w:w="7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4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序号</w:t>
            </w:r>
          </w:p>
        </w:tc>
        <w:tc>
          <w:tcPr>
            <w:tcW w:w="973"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评审因素</w:t>
            </w:r>
          </w:p>
        </w:tc>
        <w:tc>
          <w:tcPr>
            <w:tcW w:w="325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评分标准</w:t>
            </w:r>
          </w:p>
        </w:tc>
        <w:tc>
          <w:tcPr>
            <w:tcW w:w="42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34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973"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技术参数及要求</w:t>
            </w:r>
          </w:p>
        </w:tc>
        <w:tc>
          <w:tcPr>
            <w:tcW w:w="3258" w:type="pct"/>
            <w:tcBorders>
              <w:top w:val="single" w:color="auto" w:sz="4" w:space="0"/>
              <w:left w:val="single" w:color="auto" w:sz="4" w:space="0"/>
              <w:bottom w:val="single" w:color="auto" w:sz="4" w:space="0"/>
              <w:right w:val="single" w:color="auto" w:sz="4" w:space="0"/>
              <w:tl2br w:val="nil"/>
              <w:tr2bl w:val="nil"/>
            </w:tcBorders>
            <w:noWrap w:val="0"/>
            <w:vAlign w:val="top"/>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一、重大负偏离评审依据：</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1、带★条款的响应，不满足招标文件要求的，或有缺项、漏项的，视为重大负偏离；</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2、一般参数和带“▲”参数共有四项及以上（含本数）的负偏离，视为重大负偏离；</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二、负偏离评审依据：</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3、所投产品一般参数或带“▲”参数有一项低于招标文件要求，该项视为负偏离；</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4、所投产品一般参数或带“▲”参数有一项缺项、漏项的，该项视为负偏离。</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注：“一般参数”为非标“★”号参数和非标“▲”号参数。</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评审依据：</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①投标文件中提供的技术条款响应表；</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b/>
                <w:color w:val="auto"/>
                <w:sz w:val="24"/>
                <w:szCs w:val="24"/>
              </w:rPr>
              <w:t>②所投产品技术参数完全满足招标文件要求得</w:t>
            </w:r>
            <w:r>
              <w:rPr>
                <w:rFonts w:hint="eastAsia" w:ascii="仿宋" w:hAnsi="仿宋" w:eastAsia="仿宋" w:cs="仿宋"/>
                <w:b/>
                <w:color w:val="auto"/>
                <w:sz w:val="24"/>
                <w:szCs w:val="24"/>
                <w:lang w:val="en-US" w:eastAsia="zh-CN"/>
              </w:rPr>
              <w:t>36</w:t>
            </w:r>
            <w:r>
              <w:rPr>
                <w:rFonts w:hint="eastAsia" w:ascii="仿宋" w:hAnsi="仿宋" w:eastAsia="仿宋" w:cs="仿宋"/>
                <w:b/>
                <w:color w:val="auto"/>
                <w:sz w:val="24"/>
                <w:szCs w:val="24"/>
              </w:rPr>
              <w:t>分；重大负偏离则视为无效投标；一般参数或带“▲”参数每有一项负偏离减5分，最多减15分，四项或以上负偏离视为无效投标。</w:t>
            </w:r>
          </w:p>
        </w:tc>
        <w:tc>
          <w:tcPr>
            <w:tcW w:w="42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rPr>
              <w:t>36分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45" w:type="pct"/>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423" w:type="pct"/>
            <w:tcBorders>
              <w:top w:val="single" w:color="auto" w:sz="4" w:space="0"/>
              <w:left w:val="single" w:color="auto" w:sz="4" w:space="0"/>
              <w:bottom w:val="single" w:color="auto" w:sz="4" w:space="0"/>
              <w:right w:val="single" w:color="000000"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卷扬机</w:t>
            </w:r>
          </w:p>
        </w:tc>
        <w:tc>
          <w:tcPr>
            <w:tcW w:w="549" w:type="pct"/>
            <w:tcBorders>
              <w:top w:val="single" w:color="auto" w:sz="4" w:space="0"/>
              <w:left w:val="single" w:color="000000"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▲3.3绳索：最大载荷：≥200kg</w:t>
            </w:r>
          </w:p>
        </w:tc>
        <w:tc>
          <w:tcPr>
            <w:tcW w:w="325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所投产品</w:t>
            </w:r>
            <w:r>
              <w:rPr>
                <w:rFonts w:hint="eastAsia" w:ascii="仿宋" w:hAnsi="仿宋" w:eastAsia="仿宋" w:cs="仿宋"/>
                <w:color w:val="auto"/>
                <w:sz w:val="24"/>
                <w:szCs w:val="24"/>
                <w:lang w:val="en-US" w:eastAsia="zh-CN"/>
              </w:rPr>
              <w:t>的</w:t>
            </w:r>
            <w:r>
              <w:rPr>
                <w:rFonts w:hint="eastAsia" w:ascii="仿宋" w:hAnsi="仿宋" w:eastAsia="仿宋" w:cs="仿宋"/>
                <w:color w:val="auto"/>
                <w:sz w:val="24"/>
                <w:szCs w:val="24"/>
              </w:rPr>
              <w:t>绳索最大载荷优于招标文件要求的，绳索最大载荷最优的加</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分，绳索最大载荷次优的加2分，其余加1分。（可并列得分）</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b/>
                <w:color w:val="auto"/>
                <w:sz w:val="24"/>
                <w:szCs w:val="24"/>
              </w:rPr>
              <w:t>注：最优表示绳索最大载荷最大，次优表示绳索最大载荷仅次于最大值。</w:t>
            </w:r>
          </w:p>
        </w:tc>
        <w:tc>
          <w:tcPr>
            <w:tcW w:w="42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45"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423" w:type="pct"/>
            <w:tcBorders>
              <w:top w:val="single" w:color="auto" w:sz="4" w:space="0"/>
              <w:left w:val="single" w:color="auto" w:sz="4" w:space="0"/>
              <w:bottom w:val="single" w:color="auto" w:sz="4" w:space="0"/>
              <w:right w:val="single" w:color="000000"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消防梯15米</w:t>
            </w:r>
          </w:p>
        </w:tc>
        <w:tc>
          <w:tcPr>
            <w:tcW w:w="549" w:type="pct"/>
            <w:tcBorders>
              <w:top w:val="single" w:color="auto" w:sz="4" w:space="0"/>
              <w:left w:val="single" w:color="000000"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▲3.3质量：≤70kg</w:t>
            </w:r>
          </w:p>
        </w:tc>
        <w:tc>
          <w:tcPr>
            <w:tcW w:w="325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所投产品</w:t>
            </w:r>
            <w:r>
              <w:rPr>
                <w:rFonts w:hint="eastAsia" w:ascii="仿宋" w:hAnsi="仿宋" w:eastAsia="仿宋" w:cs="仿宋"/>
                <w:color w:val="auto"/>
                <w:sz w:val="24"/>
                <w:szCs w:val="24"/>
                <w:lang w:val="en-US" w:eastAsia="zh-CN"/>
              </w:rPr>
              <w:t>质量</w:t>
            </w:r>
            <w:r>
              <w:rPr>
                <w:rFonts w:hint="eastAsia" w:ascii="仿宋" w:hAnsi="仿宋" w:eastAsia="仿宋" w:cs="仿宋"/>
                <w:color w:val="auto"/>
                <w:sz w:val="24"/>
                <w:szCs w:val="24"/>
              </w:rPr>
              <w:t>优于招标文件要求的，</w:t>
            </w:r>
            <w:r>
              <w:rPr>
                <w:rFonts w:hint="eastAsia" w:ascii="仿宋" w:hAnsi="仿宋" w:eastAsia="仿宋" w:cs="仿宋"/>
                <w:color w:val="auto"/>
                <w:sz w:val="24"/>
                <w:szCs w:val="24"/>
                <w:lang w:val="en-US" w:eastAsia="zh-CN"/>
              </w:rPr>
              <w:t>质量</w:t>
            </w:r>
            <w:r>
              <w:rPr>
                <w:rFonts w:hint="eastAsia" w:ascii="仿宋" w:hAnsi="仿宋" w:eastAsia="仿宋" w:cs="仿宋"/>
                <w:color w:val="auto"/>
                <w:sz w:val="24"/>
                <w:szCs w:val="24"/>
              </w:rPr>
              <w:t>最优的加</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分，</w:t>
            </w:r>
            <w:r>
              <w:rPr>
                <w:rFonts w:hint="eastAsia" w:ascii="仿宋" w:hAnsi="仿宋" w:eastAsia="仿宋" w:cs="仿宋"/>
                <w:color w:val="auto"/>
                <w:sz w:val="24"/>
                <w:szCs w:val="24"/>
                <w:lang w:val="en-US" w:eastAsia="zh-CN"/>
              </w:rPr>
              <w:t>质量</w:t>
            </w:r>
            <w:r>
              <w:rPr>
                <w:rFonts w:hint="eastAsia" w:ascii="仿宋" w:hAnsi="仿宋" w:eastAsia="仿宋" w:cs="仿宋"/>
                <w:color w:val="auto"/>
                <w:sz w:val="24"/>
                <w:szCs w:val="24"/>
              </w:rPr>
              <w:t>次优的加2分，其余加1分。（可并列得分）</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注：最优表示</w:t>
            </w:r>
            <w:r>
              <w:rPr>
                <w:rFonts w:hint="eastAsia" w:ascii="仿宋" w:hAnsi="仿宋" w:eastAsia="仿宋" w:cs="仿宋"/>
                <w:b/>
                <w:color w:val="auto"/>
                <w:sz w:val="24"/>
                <w:szCs w:val="24"/>
                <w:lang w:val="en-US" w:eastAsia="zh-CN"/>
              </w:rPr>
              <w:t>质量</w:t>
            </w:r>
            <w:r>
              <w:rPr>
                <w:rFonts w:hint="eastAsia" w:ascii="仿宋" w:hAnsi="仿宋" w:eastAsia="仿宋" w:cs="仿宋"/>
                <w:b/>
                <w:color w:val="auto"/>
                <w:sz w:val="24"/>
                <w:szCs w:val="24"/>
              </w:rPr>
              <w:t>最</w:t>
            </w:r>
            <w:r>
              <w:rPr>
                <w:rFonts w:hint="eastAsia" w:ascii="仿宋" w:hAnsi="仿宋" w:eastAsia="仿宋" w:cs="仿宋"/>
                <w:b/>
                <w:color w:val="auto"/>
                <w:sz w:val="24"/>
                <w:szCs w:val="24"/>
                <w:lang w:eastAsia="zh-CN"/>
              </w:rPr>
              <w:t>小</w:t>
            </w:r>
            <w:r>
              <w:rPr>
                <w:rFonts w:hint="eastAsia" w:ascii="仿宋" w:hAnsi="仿宋" w:eastAsia="仿宋" w:cs="仿宋"/>
                <w:b/>
                <w:color w:val="auto"/>
                <w:sz w:val="24"/>
                <w:szCs w:val="24"/>
              </w:rPr>
              <w:t>，次优表示</w:t>
            </w:r>
            <w:r>
              <w:rPr>
                <w:rFonts w:hint="eastAsia" w:ascii="仿宋" w:hAnsi="仿宋" w:eastAsia="仿宋" w:cs="仿宋"/>
                <w:b/>
                <w:color w:val="auto"/>
                <w:sz w:val="24"/>
                <w:szCs w:val="24"/>
                <w:lang w:val="en-US" w:eastAsia="zh-CN"/>
              </w:rPr>
              <w:t>质量</w:t>
            </w:r>
            <w:r>
              <w:rPr>
                <w:rFonts w:hint="eastAsia" w:ascii="仿宋" w:hAnsi="仿宋" w:eastAsia="仿宋" w:cs="仿宋"/>
                <w:b/>
                <w:color w:val="auto"/>
                <w:sz w:val="24"/>
                <w:szCs w:val="24"/>
              </w:rPr>
              <w:t>仅次于最</w:t>
            </w:r>
            <w:r>
              <w:rPr>
                <w:rFonts w:hint="eastAsia" w:ascii="仿宋" w:hAnsi="仿宋" w:eastAsia="仿宋" w:cs="仿宋"/>
                <w:b/>
                <w:color w:val="auto"/>
                <w:sz w:val="24"/>
                <w:szCs w:val="24"/>
                <w:lang w:eastAsia="zh-CN"/>
              </w:rPr>
              <w:t>小</w:t>
            </w:r>
            <w:r>
              <w:rPr>
                <w:rFonts w:hint="eastAsia" w:ascii="仿宋" w:hAnsi="仿宋" w:eastAsia="仿宋" w:cs="仿宋"/>
                <w:b/>
                <w:color w:val="auto"/>
                <w:sz w:val="24"/>
                <w:szCs w:val="24"/>
              </w:rPr>
              <w:t>值。</w:t>
            </w:r>
          </w:p>
        </w:tc>
        <w:tc>
          <w:tcPr>
            <w:tcW w:w="42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45"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423" w:type="pct"/>
            <w:tcBorders>
              <w:top w:val="single" w:color="auto" w:sz="4" w:space="0"/>
              <w:left w:val="single" w:color="auto" w:sz="4" w:space="0"/>
              <w:bottom w:val="single" w:color="auto" w:sz="4" w:space="0"/>
              <w:right w:val="single" w:color="000000"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移动水带收卷机</w:t>
            </w:r>
          </w:p>
        </w:tc>
        <w:tc>
          <w:tcPr>
            <w:tcW w:w="549" w:type="pct"/>
            <w:tcBorders>
              <w:top w:val="single" w:color="auto" w:sz="4" w:space="0"/>
              <w:left w:val="single" w:color="000000"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▲3.4</w:t>
            </w:r>
            <w:r>
              <w:rPr>
                <w:rFonts w:hint="eastAsia" w:ascii="仿宋" w:hAnsi="仿宋" w:eastAsia="仿宋" w:cs="仿宋"/>
                <w:color w:val="auto"/>
                <w:sz w:val="24"/>
                <w:szCs w:val="24"/>
                <w:lang w:val="en-US" w:eastAsia="zh-CN"/>
              </w:rPr>
              <w:t>持续工作时间≥1.5小时</w:t>
            </w:r>
          </w:p>
        </w:tc>
        <w:tc>
          <w:tcPr>
            <w:tcW w:w="325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所投产品</w:t>
            </w:r>
            <w:r>
              <w:rPr>
                <w:rFonts w:hint="eastAsia" w:ascii="仿宋" w:hAnsi="仿宋" w:eastAsia="仿宋" w:cs="仿宋"/>
                <w:color w:val="auto"/>
                <w:sz w:val="24"/>
                <w:szCs w:val="24"/>
                <w:lang w:val="en-US" w:eastAsia="zh-CN"/>
              </w:rPr>
              <w:t>持续工作时间</w:t>
            </w:r>
            <w:r>
              <w:rPr>
                <w:rFonts w:hint="eastAsia" w:ascii="仿宋" w:hAnsi="仿宋" w:eastAsia="仿宋" w:cs="仿宋"/>
                <w:color w:val="auto"/>
                <w:sz w:val="24"/>
                <w:szCs w:val="24"/>
              </w:rPr>
              <w:t>优于招标文件要求的，</w:t>
            </w:r>
            <w:r>
              <w:rPr>
                <w:rFonts w:hint="eastAsia" w:ascii="仿宋" w:hAnsi="仿宋" w:eastAsia="仿宋" w:cs="仿宋"/>
                <w:color w:val="auto"/>
                <w:sz w:val="24"/>
                <w:szCs w:val="24"/>
                <w:lang w:val="en-US" w:eastAsia="zh-CN"/>
              </w:rPr>
              <w:t>持续工作时间</w:t>
            </w:r>
            <w:r>
              <w:rPr>
                <w:rFonts w:hint="eastAsia" w:ascii="仿宋" w:hAnsi="仿宋" w:eastAsia="仿宋" w:cs="仿宋"/>
                <w:color w:val="auto"/>
                <w:sz w:val="24"/>
                <w:szCs w:val="24"/>
              </w:rPr>
              <w:t>最优的加</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分，</w:t>
            </w:r>
            <w:r>
              <w:rPr>
                <w:rFonts w:hint="eastAsia" w:ascii="仿宋" w:hAnsi="仿宋" w:eastAsia="仿宋" w:cs="仿宋"/>
                <w:color w:val="auto"/>
                <w:sz w:val="24"/>
                <w:szCs w:val="24"/>
                <w:lang w:val="en-US" w:eastAsia="zh-CN"/>
              </w:rPr>
              <w:t>持续工作时间</w:t>
            </w:r>
            <w:r>
              <w:rPr>
                <w:rFonts w:hint="eastAsia" w:ascii="仿宋" w:hAnsi="仿宋" w:eastAsia="仿宋" w:cs="仿宋"/>
                <w:color w:val="auto"/>
                <w:sz w:val="24"/>
                <w:szCs w:val="24"/>
              </w:rPr>
              <w:t>次优的加2分，其余加1分。（可并列得分）</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注：最优表示</w:t>
            </w:r>
            <w:r>
              <w:rPr>
                <w:rFonts w:hint="eastAsia" w:ascii="仿宋" w:hAnsi="仿宋" w:eastAsia="仿宋" w:cs="仿宋"/>
                <w:b/>
                <w:color w:val="auto"/>
                <w:sz w:val="24"/>
                <w:szCs w:val="24"/>
                <w:lang w:val="en-US" w:eastAsia="zh-CN"/>
              </w:rPr>
              <w:t>持续工作时间</w:t>
            </w:r>
            <w:r>
              <w:rPr>
                <w:rFonts w:hint="eastAsia" w:ascii="仿宋" w:hAnsi="仿宋" w:eastAsia="仿宋" w:cs="仿宋"/>
                <w:b/>
                <w:color w:val="auto"/>
                <w:sz w:val="24"/>
                <w:szCs w:val="24"/>
              </w:rPr>
              <w:t>最大，次优表示</w:t>
            </w:r>
            <w:r>
              <w:rPr>
                <w:rFonts w:hint="eastAsia" w:ascii="仿宋" w:hAnsi="仿宋" w:eastAsia="仿宋" w:cs="仿宋"/>
                <w:b/>
                <w:color w:val="auto"/>
                <w:sz w:val="24"/>
                <w:szCs w:val="24"/>
                <w:lang w:val="en-US" w:eastAsia="zh-CN"/>
              </w:rPr>
              <w:t>持续工作时间</w:t>
            </w:r>
            <w:r>
              <w:rPr>
                <w:rFonts w:hint="eastAsia" w:ascii="仿宋" w:hAnsi="仿宋" w:eastAsia="仿宋" w:cs="仿宋"/>
                <w:b/>
                <w:color w:val="auto"/>
                <w:sz w:val="24"/>
                <w:szCs w:val="24"/>
              </w:rPr>
              <w:t>仅次于最大值。</w:t>
            </w:r>
          </w:p>
        </w:tc>
        <w:tc>
          <w:tcPr>
            <w:tcW w:w="42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45" w:type="pct"/>
            <w:vMerge w:val="continue"/>
            <w:tcBorders>
              <w:top w:val="single" w:color="auto" w:sz="4" w:space="0"/>
              <w:left w:val="single" w:color="auto" w:sz="4" w:space="0"/>
              <w:bottom w:val="single" w:color="auto" w:sz="4" w:space="0"/>
              <w:right w:val="single" w:color="auto" w:sz="4" w:space="0"/>
              <w:tl2br w:val="nil"/>
              <w:tr2bl w:val="nil"/>
            </w:tcBorders>
            <w:noWrap w:val="0"/>
            <w:vAlign w:val="top"/>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p>
        </w:tc>
        <w:tc>
          <w:tcPr>
            <w:tcW w:w="4654" w:type="pct"/>
            <w:gridSpan w:val="4"/>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lang w:eastAsia="zh-CN"/>
              </w:rPr>
            </w:pPr>
            <w:r>
              <w:rPr>
                <w:rFonts w:hint="eastAsia" w:ascii="仿宋" w:hAnsi="仿宋" w:eastAsia="仿宋" w:cs="仿宋"/>
                <w:b/>
                <w:color w:val="auto"/>
                <w:sz w:val="24"/>
                <w:szCs w:val="24"/>
              </w:rPr>
              <w:t>评审依据：提供技术条款响应表和技术支撑文件</w:t>
            </w:r>
            <w:r>
              <w:rPr>
                <w:rFonts w:hint="eastAsia" w:ascii="仿宋" w:hAnsi="仿宋" w:eastAsia="仿宋" w:cs="仿宋"/>
                <w:b/>
                <w:color w:val="auto"/>
                <w:sz w:val="24"/>
                <w:szCs w:val="24"/>
                <w:lang w:eastAsia="zh-CN"/>
              </w:rPr>
              <w:t>。</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w:t>
            </w:r>
            <w:r>
              <w:rPr>
                <w:rFonts w:hint="eastAsia" w:ascii="仿宋" w:hAnsi="仿宋" w:eastAsia="仿宋" w:cs="仿宋"/>
                <w:b/>
                <w:color w:val="auto"/>
                <w:sz w:val="24"/>
                <w:szCs w:val="24"/>
                <w:lang w:val="en-US" w:eastAsia="zh-CN"/>
              </w:rPr>
              <w:t>说明：技术支撑文件为以下任意3种材料中的其中1种材料：</w:t>
            </w:r>
            <w:r>
              <w:rPr>
                <w:rFonts w:hint="eastAsia" w:ascii="仿宋" w:hAnsi="仿宋" w:eastAsia="仿宋" w:cs="仿宋"/>
                <w:b/>
                <w:color w:val="auto"/>
                <w:sz w:val="24"/>
                <w:szCs w:val="24"/>
              </w:rPr>
              <w:t>①</w:t>
            </w:r>
            <w:r>
              <w:rPr>
                <w:rFonts w:hint="eastAsia" w:ascii="仿宋" w:hAnsi="仿宋" w:eastAsia="仿宋" w:cs="仿宋"/>
                <w:b/>
                <w:color w:val="auto"/>
                <w:sz w:val="24"/>
                <w:szCs w:val="24"/>
                <w:lang w:val="en-US" w:eastAsia="zh-CN"/>
              </w:rPr>
              <w:t>所投</w:t>
            </w:r>
            <w:r>
              <w:rPr>
                <w:rFonts w:hint="eastAsia" w:ascii="仿宋" w:hAnsi="仿宋" w:eastAsia="仿宋" w:cs="仿宋"/>
                <w:b/>
                <w:color w:val="auto"/>
                <w:sz w:val="24"/>
                <w:szCs w:val="24"/>
              </w:rPr>
              <w:t>产品检测报告复印件</w:t>
            </w:r>
            <w:r>
              <w:rPr>
                <w:rFonts w:hint="eastAsia" w:ascii="仿宋" w:hAnsi="仿宋" w:eastAsia="仿宋" w:cs="仿宋"/>
                <w:b/>
                <w:color w:val="auto"/>
                <w:sz w:val="24"/>
                <w:szCs w:val="24"/>
                <w:lang w:val="en-US" w:eastAsia="zh-CN"/>
              </w:rPr>
              <w:t>；</w:t>
            </w:r>
            <w:r>
              <w:rPr>
                <w:rFonts w:hint="eastAsia" w:ascii="仿宋" w:hAnsi="仿宋" w:eastAsia="仿宋" w:cs="仿宋"/>
                <w:b/>
                <w:color w:val="auto"/>
                <w:sz w:val="24"/>
                <w:szCs w:val="24"/>
              </w:rPr>
              <w:t>②</w:t>
            </w:r>
            <w:r>
              <w:rPr>
                <w:rFonts w:hint="eastAsia" w:ascii="仿宋" w:hAnsi="仿宋" w:eastAsia="仿宋" w:cs="仿宋"/>
                <w:b/>
                <w:color w:val="auto"/>
                <w:sz w:val="24"/>
                <w:szCs w:val="24"/>
                <w:lang w:val="en-US" w:eastAsia="zh-CN"/>
              </w:rPr>
              <w:t>制造商公开发布的</w:t>
            </w:r>
            <w:r>
              <w:rPr>
                <w:rFonts w:hint="eastAsia" w:ascii="仿宋" w:hAnsi="仿宋" w:eastAsia="仿宋" w:cs="仿宋"/>
                <w:b/>
                <w:color w:val="auto"/>
                <w:sz w:val="24"/>
                <w:szCs w:val="24"/>
              </w:rPr>
              <w:t>产品</w:t>
            </w:r>
            <w:r>
              <w:rPr>
                <w:rFonts w:hint="eastAsia" w:ascii="仿宋" w:hAnsi="仿宋" w:eastAsia="仿宋" w:cs="仿宋"/>
                <w:b/>
                <w:color w:val="auto"/>
                <w:sz w:val="24"/>
                <w:szCs w:val="24"/>
                <w:lang w:val="en-US" w:eastAsia="zh-CN"/>
              </w:rPr>
              <w:t>印刷资料</w:t>
            </w:r>
            <w:r>
              <w:rPr>
                <w:rFonts w:hint="eastAsia" w:ascii="仿宋" w:hAnsi="仿宋" w:eastAsia="仿宋" w:cs="仿宋"/>
                <w:b/>
                <w:color w:val="auto"/>
                <w:sz w:val="24"/>
                <w:szCs w:val="24"/>
              </w:rPr>
              <w:t>并加盖制造商公章</w:t>
            </w:r>
            <w:r>
              <w:rPr>
                <w:rFonts w:hint="eastAsia" w:ascii="仿宋" w:hAnsi="仿宋" w:eastAsia="仿宋" w:cs="仿宋"/>
                <w:b/>
                <w:color w:val="auto"/>
                <w:sz w:val="24"/>
                <w:szCs w:val="24"/>
                <w:lang w:val="en-US" w:eastAsia="zh-CN"/>
              </w:rPr>
              <w:t>；</w:t>
            </w:r>
            <w:r>
              <w:rPr>
                <w:rFonts w:hint="eastAsia" w:ascii="仿宋" w:hAnsi="仿宋" w:eastAsia="仿宋" w:cs="仿宋"/>
                <w:b/>
                <w:color w:val="auto"/>
                <w:sz w:val="24"/>
                <w:szCs w:val="24"/>
              </w:rPr>
              <w:t>③制造商出具的技术参数证明材料并加盖制造商公章。]</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b/>
                <w:color w:val="auto"/>
                <w:sz w:val="24"/>
                <w:szCs w:val="24"/>
              </w:rPr>
              <w:t>注：①供应商应认真提供技术支撑文件，若提供多份技术支撑文件，技术支撑文件佐证不一致时，优先级为：产品检测报告复印件＞制造商公开发布的印刷资料＞制造商出具的技术参数证明</w:t>
            </w:r>
            <w:r>
              <w:rPr>
                <w:rFonts w:hint="eastAsia" w:ascii="仿宋" w:hAnsi="仿宋" w:eastAsia="仿宋" w:cs="仿宋"/>
                <w:b/>
                <w:color w:val="auto"/>
                <w:sz w:val="24"/>
                <w:szCs w:val="24"/>
                <w:lang w:val="en-US" w:eastAsia="zh-CN"/>
              </w:rPr>
              <w:t>材料</w:t>
            </w:r>
            <w:r>
              <w:rPr>
                <w:rFonts w:hint="eastAsia" w:ascii="仿宋" w:hAnsi="仿宋" w:eastAsia="仿宋" w:cs="仿宋"/>
                <w:b/>
                <w:color w:val="auto"/>
                <w:sz w:val="24"/>
                <w:szCs w:val="24"/>
              </w:rPr>
              <w:t>；②技术支撑文件</w:t>
            </w:r>
            <w:r>
              <w:rPr>
                <w:rFonts w:hint="eastAsia" w:ascii="仿宋" w:hAnsi="仿宋" w:eastAsia="仿宋" w:cs="仿宋"/>
                <w:b/>
                <w:color w:val="auto"/>
                <w:sz w:val="24"/>
                <w:szCs w:val="24"/>
                <w:lang w:val="en-US" w:eastAsia="zh-CN"/>
              </w:rPr>
              <w:t>与</w:t>
            </w:r>
            <w:r>
              <w:rPr>
                <w:rFonts w:hint="eastAsia" w:ascii="仿宋" w:hAnsi="仿宋" w:eastAsia="仿宋" w:cs="仿宋"/>
                <w:b/>
                <w:color w:val="auto"/>
                <w:sz w:val="24"/>
                <w:szCs w:val="24"/>
              </w:rPr>
              <w:t>技术条款响应表</w:t>
            </w:r>
            <w:r>
              <w:rPr>
                <w:rFonts w:hint="eastAsia" w:ascii="仿宋" w:hAnsi="仿宋" w:eastAsia="仿宋" w:cs="仿宋"/>
                <w:b/>
                <w:color w:val="auto"/>
                <w:sz w:val="24"/>
                <w:szCs w:val="24"/>
                <w:lang w:eastAsia="zh-CN"/>
              </w:rPr>
              <w:t>不一致，则</w:t>
            </w:r>
            <w:r>
              <w:rPr>
                <w:rFonts w:hint="eastAsia" w:ascii="仿宋" w:hAnsi="仿宋" w:eastAsia="仿宋" w:cs="仿宋"/>
                <w:b/>
                <w:color w:val="auto"/>
                <w:sz w:val="24"/>
                <w:szCs w:val="24"/>
              </w:rPr>
              <w:t>该点不加分</w:t>
            </w:r>
            <w:r>
              <w:rPr>
                <w:rFonts w:hint="eastAsia" w:ascii="仿宋" w:hAnsi="仿宋" w:eastAsia="仿宋" w:cs="仿宋"/>
                <w:b/>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45" w:type="pct"/>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973"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整体结构与外观</w:t>
            </w:r>
          </w:p>
        </w:tc>
        <w:tc>
          <w:tcPr>
            <w:tcW w:w="325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根据视频文件对核心产品的外观构造、内部结构、设计理念等进行评审。</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设计理念先进，外部构造和内部结构科学合理，整体结构外观与实战紧贴程度高的，得3分；设计理念较为先进，外部构造和内部结构较为合理，整体结构外观与实战紧贴程度较高的，得2分；设计理念一般，外观构造和内部结构基本合理，整体结构外观与实战紧贴程度不高的，得1分；未提供证明材料或证明材料有缺项的不得分。</w:t>
            </w:r>
          </w:p>
        </w:tc>
        <w:tc>
          <w:tcPr>
            <w:tcW w:w="42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45"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973"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工艺</w:t>
            </w:r>
          </w:p>
        </w:tc>
        <w:tc>
          <w:tcPr>
            <w:tcW w:w="325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根据视频文件对核心产品的安全性、耐用性、实用性等进行评审。</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安全性能高、耐用性能好、实用性能强，工艺符合实战需求程度高的，得3分；安全性能较高、耐用性能良好、实用性能较强，工艺符合实战需求程度较高的，得2分；安全性能不高、耐用性能普通、实用性能一般，工艺符合实战需求程度不高的，得1分；未提供证明材料或证明材料有缺项的不得分。</w:t>
            </w:r>
          </w:p>
        </w:tc>
        <w:tc>
          <w:tcPr>
            <w:tcW w:w="42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45"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973"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操作使用性能</w:t>
            </w:r>
          </w:p>
        </w:tc>
        <w:tc>
          <w:tcPr>
            <w:tcW w:w="325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根据视频文件对核心产品的可靠性、便捷性、稳定性等进行评审。</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可靠性高、便捷性好、稳定性好，操作使用性能提升战斗力程度高的，得4分；可靠性较高、便捷性较好、稳定性良好，操作使用性能提升战斗力程度较高的，得2分；可靠性不高、便捷性和稳定性一般，操作使用性能提升战斗力程度不高的，得1分；未提供证明材料或证明材料有缺项的不得分。</w:t>
            </w:r>
          </w:p>
        </w:tc>
        <w:tc>
          <w:tcPr>
            <w:tcW w:w="42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45"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p>
        </w:tc>
        <w:tc>
          <w:tcPr>
            <w:tcW w:w="4654" w:type="pct"/>
            <w:gridSpan w:val="4"/>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lang w:eastAsia="zh-CN"/>
              </w:rPr>
            </w:pPr>
            <w:r>
              <w:rPr>
                <w:rFonts w:hint="eastAsia" w:ascii="仿宋" w:hAnsi="仿宋" w:eastAsia="仿宋" w:cs="仿宋"/>
                <w:b/>
                <w:color w:val="auto"/>
                <w:sz w:val="24"/>
                <w:szCs w:val="24"/>
              </w:rPr>
              <w:t>以上评审依据：根据视频文件对产品的整体结构与外观、工艺、操作使用性能进行综合评审，视频文件需对以上三点评审内容进行介绍（包含但不限于以上三点）。视频文件[视频文件格式须为通用格式，佐证视频时长不得超过5分钟，视频清晰度应至少保证所摄的界面文字清晰易辨、画面完整连贯、播放速度正常]应存储于U盘内（单独密封在信封中）与投标文件同时递交，逾期递交不予接收，</w:t>
            </w:r>
            <w:r>
              <w:rPr>
                <w:rFonts w:hint="eastAsia" w:ascii="仿宋" w:hAnsi="仿宋" w:eastAsia="仿宋" w:cs="仿宋"/>
                <w:b/>
                <w:color w:val="auto"/>
                <w:sz w:val="24"/>
                <w:szCs w:val="24"/>
                <w:lang w:eastAsia="zh-CN"/>
              </w:rPr>
              <w:t>U盘由采购代理机构封存，不予退回。未提供视频或视频无法打开的，得0分。</w:t>
            </w:r>
          </w:p>
        </w:tc>
      </w:tr>
    </w:tbl>
    <w:p>
      <w:pPr>
        <w:pageBreakBefore w:val="0"/>
        <w:kinsoku/>
        <w:wordWrap/>
        <w:overflowPunct/>
        <w:topLinePunct w:val="0"/>
        <w:autoSpaceDE/>
        <w:autoSpaceDN/>
        <w:bidi w:val="0"/>
        <w:adjustRightInd/>
        <w:snapToGrid/>
        <w:spacing w:beforeLines="0" w:afterLines="0" w:line="460" w:lineRule="exact"/>
        <w:ind w:firstLine="482" w:firstLineChars="200"/>
        <w:jc w:val="left"/>
        <w:rPr>
          <w:rFonts w:hint="eastAsia" w:ascii="仿宋" w:hAnsi="仿宋" w:eastAsia="仿宋"/>
          <w:b/>
          <w:color w:val="auto"/>
          <w:sz w:val="24"/>
          <w:szCs w:val="24"/>
        </w:rPr>
      </w:pPr>
      <w:r>
        <w:rPr>
          <w:rFonts w:hint="eastAsia" w:ascii="仿宋" w:hAnsi="仿宋" w:eastAsia="仿宋"/>
          <w:b/>
          <w:color w:val="auto"/>
          <w:sz w:val="24"/>
          <w:szCs w:val="24"/>
        </w:rPr>
        <w:t>三、商务部分（1</w:t>
      </w:r>
      <w:r>
        <w:rPr>
          <w:rFonts w:hint="eastAsia" w:ascii="仿宋" w:hAnsi="仿宋" w:eastAsia="仿宋"/>
          <w:b/>
          <w:color w:val="auto"/>
          <w:sz w:val="24"/>
          <w:szCs w:val="24"/>
          <w:lang w:val="en-US" w:eastAsia="zh-CN"/>
        </w:rPr>
        <w:t>5</w:t>
      </w:r>
      <w:r>
        <w:rPr>
          <w:rFonts w:hint="eastAsia" w:ascii="仿宋" w:hAnsi="仿宋" w:eastAsia="仿宋"/>
          <w:b/>
          <w:color w:val="auto"/>
          <w:sz w:val="24"/>
          <w:szCs w:val="24"/>
        </w:rPr>
        <w:t>分）</w:t>
      </w:r>
    </w:p>
    <w:tbl>
      <w:tblPr>
        <w:tblStyle w:val="4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1310"/>
        <w:gridCol w:w="6295"/>
        <w:gridCol w:w="9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eastAsia="仿宋"/>
                <w:b/>
                <w:color w:val="auto"/>
                <w:sz w:val="24"/>
                <w:szCs w:val="24"/>
              </w:rPr>
              <w:t>序号</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eastAsia="仿宋"/>
                <w:b/>
                <w:color w:val="auto"/>
                <w:sz w:val="24"/>
                <w:szCs w:val="24"/>
              </w:rPr>
              <w:t>评审因素</w:t>
            </w:r>
          </w:p>
        </w:tc>
        <w:tc>
          <w:tcPr>
            <w:tcW w:w="338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eastAsia="仿宋"/>
                <w:b/>
                <w:color w:val="auto"/>
                <w:sz w:val="24"/>
                <w:szCs w:val="24"/>
              </w:rPr>
              <w:t>评分标准</w:t>
            </w:r>
          </w:p>
        </w:tc>
        <w:tc>
          <w:tcPr>
            <w:tcW w:w="49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eastAsia="仿宋"/>
                <w:b/>
                <w:color w:val="auto"/>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color w:val="auto"/>
                <w:sz w:val="24"/>
                <w:szCs w:val="24"/>
              </w:rPr>
              <w:t>1</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ascii="仿宋" w:hAnsi="仿宋" w:eastAsia="仿宋" w:cs="仿宋"/>
                <w:color w:val="auto"/>
                <w:sz w:val="24"/>
                <w:szCs w:val="24"/>
              </w:rPr>
              <w:t>符合性评审</w:t>
            </w:r>
          </w:p>
        </w:tc>
        <w:tc>
          <w:tcPr>
            <w:tcW w:w="3887"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cs="Times New Roman"/>
                <w:color w:val="auto"/>
                <w:sz w:val="24"/>
                <w:szCs w:val="22"/>
              </w:rPr>
            </w:pPr>
            <w:r>
              <w:rPr>
                <w:rFonts w:hint="eastAsia" w:eastAsia="仿宋" w:cs="Times New Roman"/>
                <w:color w:val="auto"/>
                <w:sz w:val="24"/>
                <w:szCs w:val="22"/>
              </w:rPr>
              <w:t>投标人必须完全满足招标文件“商务要求”</w:t>
            </w:r>
            <w:r>
              <w:rPr>
                <w:rFonts w:hint="eastAsia" w:eastAsia="仿宋" w:cs="Times New Roman"/>
                <w:color w:val="auto"/>
                <w:sz w:val="24"/>
                <w:szCs w:val="22"/>
                <w:lang w:val="en-US" w:eastAsia="zh-CN"/>
              </w:rPr>
              <w:t>所有</w:t>
            </w:r>
            <w:r>
              <w:rPr>
                <w:rFonts w:hint="eastAsia" w:eastAsia="仿宋" w:cs="Times New Roman"/>
                <w:color w:val="auto"/>
                <w:sz w:val="24"/>
                <w:szCs w:val="22"/>
              </w:rPr>
              <w:t>实质性条款，任意一项不满足作无效投标处理。</w:t>
            </w:r>
          </w:p>
          <w:p>
            <w:pPr>
              <w:pageBreakBefore w:val="0"/>
              <w:kinsoku/>
              <w:wordWrap/>
              <w:overflowPunct/>
              <w:topLinePunct w:val="0"/>
              <w:autoSpaceDE/>
              <w:autoSpaceDN/>
              <w:bidi w:val="0"/>
              <w:adjustRightInd/>
              <w:snapToGrid/>
              <w:spacing w:beforeLines="0" w:afterLines="0" w:line="460" w:lineRule="exact"/>
              <w:rPr>
                <w:rFonts w:hint="eastAsia"/>
                <w:color w:val="auto"/>
                <w:sz w:val="24"/>
                <w:szCs w:val="24"/>
              </w:rPr>
            </w:pPr>
            <w:r>
              <w:rPr>
                <w:rFonts w:hint="eastAsia" w:eastAsia="仿宋" w:cs="Times New Roman"/>
                <w:b/>
                <w:color w:val="auto"/>
                <w:sz w:val="24"/>
                <w:szCs w:val="22"/>
              </w:rPr>
              <w:t>评审依据：投标文件中提供的商务条款响应表。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color w:val="auto"/>
                <w:sz w:val="24"/>
                <w:szCs w:val="24"/>
              </w:rPr>
              <w:t>2</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eastAsia="仿宋"/>
                <w:color w:val="auto"/>
                <w:sz w:val="24"/>
                <w:szCs w:val="24"/>
                <w:lang w:eastAsia="zh-CN"/>
              </w:rPr>
            </w:pPr>
            <w:r>
              <w:rPr>
                <w:rFonts w:hint="eastAsia" w:eastAsia="仿宋"/>
                <w:color w:val="auto"/>
                <w:sz w:val="24"/>
                <w:szCs w:val="24"/>
                <w:lang w:eastAsia="zh-CN"/>
              </w:rPr>
              <w:t>生产制造履约能力</w:t>
            </w:r>
          </w:p>
        </w:tc>
        <w:tc>
          <w:tcPr>
            <w:tcW w:w="338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lang w:eastAsia="zh-CN"/>
              </w:rPr>
            </w:pPr>
            <w:r>
              <w:rPr>
                <w:rFonts w:hint="eastAsia" w:eastAsia="仿宋" w:cs="Times New Roman"/>
                <w:color w:val="auto"/>
                <w:sz w:val="24"/>
                <w:szCs w:val="22"/>
                <w:lang w:val="en-US" w:eastAsia="zh-CN"/>
              </w:rPr>
              <w:t>投标人提供所投核心产品制造商的证明材料（应加盖制造商公章）</w:t>
            </w:r>
            <w:r>
              <w:rPr>
                <w:rFonts w:hint="eastAsia" w:eastAsia="仿宋" w:cs="Times New Roman"/>
                <w:color w:val="auto"/>
                <w:sz w:val="24"/>
                <w:szCs w:val="22"/>
              </w:rPr>
              <w:t>对</w:t>
            </w:r>
            <w:r>
              <w:rPr>
                <w:rFonts w:hint="eastAsia" w:eastAsia="仿宋" w:cs="Times New Roman"/>
                <w:color w:val="auto"/>
                <w:sz w:val="24"/>
                <w:szCs w:val="22"/>
                <w:lang w:eastAsia="zh-CN"/>
              </w:rPr>
              <w:t>生产制造履约能力</w:t>
            </w:r>
            <w:r>
              <w:rPr>
                <w:rFonts w:hint="eastAsia" w:eastAsia="仿宋" w:cs="Times New Roman"/>
                <w:color w:val="auto"/>
                <w:sz w:val="24"/>
                <w:szCs w:val="22"/>
              </w:rPr>
              <w:t>进行评审，包含但不限于</w:t>
            </w:r>
            <w:r>
              <w:rPr>
                <w:rFonts w:hint="eastAsia" w:eastAsia="仿宋" w:cs="Times New Roman"/>
                <w:color w:val="auto"/>
                <w:sz w:val="24"/>
                <w:szCs w:val="22"/>
                <w:lang w:eastAsia="zh-CN"/>
              </w:rPr>
              <w:t>：</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lang w:eastAsia="zh-CN"/>
              </w:rPr>
            </w:pPr>
            <w:r>
              <w:rPr>
                <w:rFonts w:hint="eastAsia" w:eastAsia="仿宋" w:cs="Times New Roman"/>
                <w:color w:val="auto"/>
                <w:sz w:val="24"/>
                <w:szCs w:val="22"/>
                <w:lang w:eastAsia="zh-CN"/>
              </w:rPr>
              <w:t>①制造商生产经营情况简介；</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lang w:eastAsia="zh-CN"/>
              </w:rPr>
            </w:pPr>
            <w:r>
              <w:rPr>
                <w:rFonts w:hint="eastAsia" w:eastAsia="仿宋" w:cs="Times New Roman"/>
                <w:color w:val="auto"/>
                <w:sz w:val="24"/>
                <w:szCs w:val="22"/>
              </w:rPr>
              <w:t>②</w:t>
            </w:r>
            <w:r>
              <w:rPr>
                <w:rFonts w:hint="eastAsia" w:eastAsia="仿宋" w:cs="Times New Roman"/>
                <w:color w:val="auto"/>
                <w:sz w:val="24"/>
                <w:szCs w:val="22"/>
                <w:lang w:eastAsia="zh-CN"/>
              </w:rPr>
              <w:t>生产工艺流程，主要包括生产制造流程图、生产步骤（应含生产车间环境及实际生产照片）等相关情况描述；</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rPr>
            </w:pPr>
            <w:r>
              <w:rPr>
                <w:rFonts w:hint="eastAsia" w:eastAsia="仿宋" w:cs="Times New Roman"/>
                <w:color w:val="auto"/>
                <w:sz w:val="24"/>
                <w:szCs w:val="22"/>
              </w:rPr>
              <w:t>③产品检验流程，包括主要检验设备</w:t>
            </w:r>
            <w:r>
              <w:rPr>
                <w:rFonts w:hint="eastAsia" w:eastAsia="仿宋" w:cs="Times New Roman"/>
                <w:color w:val="auto"/>
                <w:sz w:val="24"/>
                <w:szCs w:val="22"/>
                <w:lang w:eastAsia="zh-CN"/>
              </w:rPr>
              <w:t>（应提供图片）</w:t>
            </w:r>
            <w:r>
              <w:rPr>
                <w:rFonts w:hint="eastAsia" w:eastAsia="仿宋" w:cs="Times New Roman"/>
                <w:color w:val="auto"/>
                <w:sz w:val="24"/>
                <w:szCs w:val="22"/>
              </w:rPr>
              <w:t>、检验步骤等相关情况描述；</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rPr>
            </w:pPr>
            <w:r>
              <w:rPr>
                <w:rFonts w:hint="eastAsia" w:eastAsia="仿宋" w:cs="Times New Roman"/>
                <w:color w:val="auto"/>
                <w:sz w:val="24"/>
                <w:szCs w:val="22"/>
              </w:rPr>
              <w:t>④人员配备：相关专业技术</w:t>
            </w:r>
            <w:r>
              <w:rPr>
                <w:rFonts w:hint="eastAsia" w:eastAsia="仿宋" w:cs="Times New Roman"/>
                <w:color w:val="auto"/>
                <w:sz w:val="24"/>
                <w:szCs w:val="22"/>
                <w:lang w:eastAsia="zh-CN"/>
              </w:rPr>
              <w:t>职称</w:t>
            </w:r>
            <w:r>
              <w:rPr>
                <w:rFonts w:hint="eastAsia" w:eastAsia="仿宋" w:cs="Times New Roman"/>
                <w:color w:val="auto"/>
                <w:sz w:val="24"/>
                <w:szCs w:val="22"/>
              </w:rPr>
              <w:t>人员配置情况</w:t>
            </w:r>
            <w:r>
              <w:rPr>
                <w:rFonts w:hint="eastAsia" w:eastAsia="仿宋" w:cs="Times New Roman"/>
                <w:color w:val="auto"/>
                <w:sz w:val="24"/>
                <w:szCs w:val="22"/>
                <w:lang w:eastAsia="zh-CN"/>
              </w:rPr>
              <w:t>；</w:t>
            </w:r>
            <w:r>
              <w:rPr>
                <w:rFonts w:hint="eastAsia" w:eastAsia="仿宋" w:cs="Times New Roman"/>
                <w:color w:val="auto"/>
                <w:sz w:val="24"/>
                <w:szCs w:val="22"/>
              </w:rPr>
              <w:t>各原材料采购、生产、检验、仓储、运输等环节的人员配备情况；</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b/>
                <w:color w:val="auto"/>
                <w:sz w:val="24"/>
                <w:szCs w:val="22"/>
              </w:rPr>
            </w:pPr>
            <w:r>
              <w:rPr>
                <w:rFonts w:hint="eastAsia" w:eastAsia="仿宋" w:cs="Times New Roman"/>
                <w:b/>
                <w:color w:val="auto"/>
                <w:sz w:val="24"/>
                <w:szCs w:val="22"/>
              </w:rPr>
              <w:t>评审依据：</w:t>
            </w:r>
            <w:r>
              <w:rPr>
                <w:rFonts w:hint="eastAsia" w:eastAsia="仿宋" w:cs="Times New Roman"/>
                <w:b/>
                <w:color w:val="auto"/>
                <w:sz w:val="24"/>
                <w:szCs w:val="22"/>
                <w:lang w:val="en-US" w:eastAsia="zh-CN"/>
              </w:rPr>
              <w:t>根据</w:t>
            </w:r>
            <w:r>
              <w:rPr>
                <w:rFonts w:hint="eastAsia" w:eastAsia="仿宋" w:cs="Times New Roman"/>
                <w:b/>
                <w:color w:val="auto"/>
                <w:sz w:val="24"/>
                <w:szCs w:val="22"/>
              </w:rPr>
              <w:t>投标人提</w:t>
            </w:r>
            <w:r>
              <w:rPr>
                <w:rFonts w:hint="eastAsia" w:eastAsia="仿宋" w:cs="Times New Roman"/>
                <w:b/>
                <w:color w:val="auto"/>
                <w:sz w:val="24"/>
                <w:szCs w:val="22"/>
                <w:lang w:val="en-US" w:eastAsia="zh-CN"/>
              </w:rPr>
              <w:t>供的生产制造履约能力方案内容完整性、组织性、关联性和可操作性进行评审</w:t>
            </w:r>
            <w:r>
              <w:rPr>
                <w:rFonts w:hint="eastAsia" w:eastAsia="仿宋" w:cs="Times New Roman"/>
                <w:b/>
                <w:color w:val="auto"/>
                <w:sz w:val="24"/>
                <w:szCs w:val="22"/>
              </w:rPr>
              <w:t>。</w:t>
            </w:r>
          </w:p>
          <w:p>
            <w:pPr>
              <w:pageBreakBefore w:val="0"/>
              <w:numPr>
                <w:ilvl w:val="0"/>
                <w:numId w:val="0"/>
              </w:numPr>
              <w:kinsoku/>
              <w:wordWrap/>
              <w:overflowPunct/>
              <w:topLinePunct w:val="0"/>
              <w:autoSpaceDE/>
              <w:autoSpaceDN/>
              <w:bidi w:val="0"/>
              <w:adjustRightInd/>
              <w:snapToGrid/>
              <w:spacing w:beforeLines="0" w:afterLines="0" w:line="460" w:lineRule="exact"/>
              <w:rPr>
                <w:rFonts w:hint="eastAsia" w:ascii="仿宋" w:hAnsi="仿宋" w:eastAsia="仿宋" w:cs="仿宋"/>
                <w:b/>
                <w:color w:val="auto"/>
                <w:sz w:val="24"/>
                <w:szCs w:val="24"/>
              </w:rPr>
            </w:pPr>
            <w:r>
              <w:rPr>
                <w:rFonts w:hint="eastAsia" w:ascii="仿宋" w:hAnsi="仿宋" w:eastAsia="仿宋" w:cs="仿宋"/>
                <w:b/>
                <w:color w:val="auto"/>
                <w:sz w:val="24"/>
                <w:szCs w:val="24"/>
                <w:lang w:val="en-US" w:eastAsia="zh-CN"/>
              </w:rPr>
              <w:t>1、所投</w:t>
            </w:r>
            <w:r>
              <w:rPr>
                <w:rFonts w:hint="eastAsia" w:eastAsia="仿宋" w:cs="Times New Roman"/>
                <w:b/>
                <w:color w:val="auto"/>
                <w:sz w:val="24"/>
                <w:szCs w:val="22"/>
                <w:lang w:val="en-US" w:eastAsia="zh-CN"/>
              </w:rPr>
              <w:t>核心产品</w:t>
            </w:r>
            <w:r>
              <w:rPr>
                <w:rFonts w:hint="eastAsia" w:ascii="仿宋" w:hAnsi="仿宋" w:eastAsia="仿宋" w:cs="仿宋"/>
                <w:b/>
                <w:color w:val="auto"/>
                <w:sz w:val="24"/>
                <w:szCs w:val="24"/>
                <w:lang w:val="en-US" w:eastAsia="zh-CN"/>
              </w:rPr>
              <w:t>制造商具备较强自主研发能力及先进的生产工艺，生产车间环境及生产线先进规范，生产步骤完整周详，技术</w:t>
            </w:r>
            <w:r>
              <w:rPr>
                <w:rFonts w:hint="eastAsia" w:ascii="仿宋" w:hAnsi="仿宋" w:eastAsia="仿宋" w:cs="仿宋"/>
                <w:b/>
                <w:color w:val="auto"/>
                <w:sz w:val="24"/>
                <w:szCs w:val="24"/>
              </w:rPr>
              <w:t>人员配备</w:t>
            </w:r>
            <w:r>
              <w:rPr>
                <w:rFonts w:hint="eastAsia" w:ascii="仿宋" w:hAnsi="仿宋" w:eastAsia="仿宋" w:cs="仿宋"/>
                <w:b/>
                <w:color w:val="auto"/>
                <w:sz w:val="24"/>
                <w:szCs w:val="24"/>
                <w:lang w:val="en-US" w:eastAsia="zh-CN"/>
              </w:rPr>
              <w:t>合理专业齐全</w:t>
            </w:r>
            <w:r>
              <w:rPr>
                <w:rFonts w:hint="eastAsia" w:ascii="仿宋" w:hAnsi="仿宋" w:eastAsia="仿宋" w:cs="仿宋"/>
                <w:b/>
                <w:color w:val="auto"/>
                <w:sz w:val="24"/>
                <w:szCs w:val="24"/>
              </w:rPr>
              <w:t>，</w:t>
            </w:r>
            <w:r>
              <w:rPr>
                <w:rFonts w:hint="eastAsia" w:ascii="仿宋" w:hAnsi="仿宋" w:eastAsia="仿宋" w:cs="仿宋"/>
                <w:b/>
                <w:color w:val="auto"/>
                <w:sz w:val="24"/>
                <w:szCs w:val="24"/>
                <w:lang w:val="en-US" w:eastAsia="zh-CN"/>
              </w:rPr>
              <w:t>检验设备配置齐全、检验步骤严密无纰漏，生产制造履约能力</w:t>
            </w:r>
            <w:r>
              <w:rPr>
                <w:rFonts w:hint="eastAsia" w:ascii="仿宋" w:hAnsi="仿宋" w:eastAsia="仿宋" w:cs="仿宋"/>
                <w:b/>
                <w:color w:val="auto"/>
                <w:sz w:val="24"/>
                <w:szCs w:val="24"/>
              </w:rPr>
              <w:t>高的得</w:t>
            </w:r>
            <w:r>
              <w:rPr>
                <w:rFonts w:hint="eastAsia" w:ascii="仿宋" w:hAnsi="仿宋" w:eastAsia="仿宋" w:cs="仿宋"/>
                <w:b/>
                <w:color w:val="auto"/>
                <w:sz w:val="24"/>
                <w:szCs w:val="24"/>
                <w:lang w:val="en-US" w:eastAsia="zh-CN"/>
              </w:rPr>
              <w:t>5</w:t>
            </w:r>
            <w:r>
              <w:rPr>
                <w:rFonts w:hint="eastAsia" w:ascii="仿宋" w:hAnsi="仿宋" w:eastAsia="仿宋" w:cs="仿宋"/>
                <w:b/>
                <w:color w:val="auto"/>
                <w:sz w:val="24"/>
                <w:szCs w:val="24"/>
              </w:rPr>
              <w:t>分；</w:t>
            </w:r>
          </w:p>
          <w:p>
            <w:pPr>
              <w:pageBreakBefore w:val="0"/>
              <w:numPr>
                <w:ilvl w:val="0"/>
                <w:numId w:val="0"/>
              </w:numPr>
              <w:kinsoku/>
              <w:wordWrap/>
              <w:overflowPunct/>
              <w:topLinePunct w:val="0"/>
              <w:autoSpaceDE/>
              <w:autoSpaceDN/>
              <w:bidi w:val="0"/>
              <w:adjustRightInd/>
              <w:snapToGrid/>
              <w:spacing w:beforeLines="0" w:afterLines="0" w:line="460" w:lineRule="exact"/>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2、所投</w:t>
            </w:r>
            <w:r>
              <w:rPr>
                <w:rFonts w:hint="eastAsia" w:eastAsia="仿宋" w:cs="Times New Roman"/>
                <w:b/>
                <w:color w:val="auto"/>
                <w:sz w:val="24"/>
                <w:szCs w:val="22"/>
                <w:lang w:val="en-US" w:eastAsia="zh-CN"/>
              </w:rPr>
              <w:t>核心产品</w:t>
            </w:r>
            <w:r>
              <w:rPr>
                <w:rFonts w:hint="eastAsia" w:ascii="仿宋" w:hAnsi="仿宋" w:eastAsia="仿宋" w:cs="仿宋"/>
                <w:b/>
                <w:color w:val="auto"/>
                <w:sz w:val="24"/>
                <w:szCs w:val="24"/>
                <w:lang w:val="en-US" w:eastAsia="zh-CN"/>
              </w:rPr>
              <w:t>制造商有自主研发能力和生产工艺较完整，生产车间环境及生产线常规，生产步骤较完整周详，技术</w:t>
            </w:r>
            <w:r>
              <w:rPr>
                <w:rFonts w:hint="eastAsia" w:ascii="仿宋" w:hAnsi="仿宋" w:eastAsia="仿宋" w:cs="仿宋"/>
                <w:b/>
                <w:color w:val="auto"/>
                <w:sz w:val="24"/>
                <w:szCs w:val="24"/>
              </w:rPr>
              <w:t>人员配备</w:t>
            </w:r>
            <w:r>
              <w:rPr>
                <w:rFonts w:hint="eastAsia" w:ascii="仿宋" w:hAnsi="仿宋" w:eastAsia="仿宋" w:cs="仿宋"/>
                <w:b/>
                <w:color w:val="auto"/>
                <w:sz w:val="24"/>
                <w:szCs w:val="24"/>
                <w:lang w:eastAsia="zh-CN"/>
              </w:rPr>
              <w:t>相对</w:t>
            </w:r>
            <w:r>
              <w:rPr>
                <w:rFonts w:hint="eastAsia" w:ascii="仿宋" w:hAnsi="仿宋" w:eastAsia="仿宋" w:cs="仿宋"/>
                <w:b/>
                <w:color w:val="auto"/>
                <w:sz w:val="24"/>
                <w:szCs w:val="24"/>
                <w:lang w:val="en-US" w:eastAsia="zh-CN"/>
              </w:rPr>
              <w:t>合理专业齐全</w:t>
            </w:r>
            <w:r>
              <w:rPr>
                <w:rFonts w:hint="eastAsia" w:ascii="仿宋" w:hAnsi="仿宋" w:eastAsia="仿宋" w:cs="仿宋"/>
                <w:b/>
                <w:color w:val="auto"/>
                <w:sz w:val="24"/>
                <w:szCs w:val="24"/>
              </w:rPr>
              <w:t>，</w:t>
            </w:r>
            <w:r>
              <w:rPr>
                <w:rFonts w:hint="eastAsia" w:ascii="仿宋" w:hAnsi="仿宋" w:eastAsia="仿宋" w:cs="仿宋"/>
                <w:b/>
                <w:color w:val="auto"/>
                <w:sz w:val="24"/>
                <w:szCs w:val="24"/>
                <w:lang w:val="en-US" w:eastAsia="zh-CN"/>
              </w:rPr>
              <w:t>检验设备配置较齐全、检验步骤相对完备，生产制造履约能力</w:t>
            </w:r>
            <w:r>
              <w:rPr>
                <w:rFonts w:hint="eastAsia" w:ascii="仿宋" w:hAnsi="仿宋" w:eastAsia="仿宋" w:cs="仿宋"/>
                <w:b/>
                <w:color w:val="auto"/>
                <w:sz w:val="24"/>
                <w:szCs w:val="24"/>
                <w:lang w:eastAsia="zh-CN"/>
              </w:rPr>
              <w:t>较</w:t>
            </w:r>
            <w:r>
              <w:rPr>
                <w:rFonts w:hint="eastAsia" w:ascii="仿宋" w:hAnsi="仿宋" w:eastAsia="仿宋" w:cs="仿宋"/>
                <w:b/>
                <w:color w:val="auto"/>
                <w:sz w:val="24"/>
                <w:szCs w:val="24"/>
              </w:rPr>
              <w:t>高的得</w:t>
            </w:r>
            <w:r>
              <w:rPr>
                <w:rFonts w:hint="eastAsia" w:ascii="仿宋" w:hAnsi="仿宋" w:eastAsia="仿宋" w:cs="仿宋"/>
                <w:b/>
                <w:color w:val="auto"/>
                <w:sz w:val="24"/>
                <w:szCs w:val="24"/>
                <w:lang w:val="en-US" w:eastAsia="zh-CN"/>
              </w:rPr>
              <w:t>3</w:t>
            </w:r>
            <w:r>
              <w:rPr>
                <w:rFonts w:hint="eastAsia" w:ascii="仿宋" w:hAnsi="仿宋" w:eastAsia="仿宋" w:cs="仿宋"/>
                <w:b/>
                <w:color w:val="auto"/>
                <w:sz w:val="24"/>
                <w:szCs w:val="24"/>
              </w:rPr>
              <w:t>分</w:t>
            </w:r>
            <w:r>
              <w:rPr>
                <w:rFonts w:hint="eastAsia" w:ascii="仿宋" w:hAnsi="仿宋" w:eastAsia="仿宋" w:cs="仿宋"/>
                <w:b/>
                <w:color w:val="auto"/>
                <w:sz w:val="24"/>
                <w:szCs w:val="24"/>
                <w:lang w:eastAsia="zh-CN"/>
              </w:rPr>
              <w:t>；</w:t>
            </w:r>
          </w:p>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b/>
                <w:color w:val="auto"/>
                <w:sz w:val="24"/>
                <w:szCs w:val="24"/>
                <w:lang w:eastAsia="zh-CN"/>
              </w:rPr>
            </w:pPr>
            <w:r>
              <w:rPr>
                <w:rFonts w:hint="eastAsia" w:ascii="仿宋" w:hAnsi="仿宋" w:eastAsia="仿宋" w:cs="仿宋"/>
                <w:b/>
                <w:color w:val="auto"/>
                <w:sz w:val="24"/>
                <w:szCs w:val="24"/>
                <w:lang w:val="en-US" w:eastAsia="zh-CN"/>
              </w:rPr>
              <w:t>3、所投</w:t>
            </w:r>
            <w:r>
              <w:rPr>
                <w:rFonts w:hint="eastAsia" w:eastAsia="仿宋" w:cs="Times New Roman"/>
                <w:b/>
                <w:color w:val="auto"/>
                <w:sz w:val="24"/>
                <w:szCs w:val="22"/>
                <w:lang w:val="en-US" w:eastAsia="zh-CN"/>
              </w:rPr>
              <w:t>核心产品</w:t>
            </w:r>
            <w:r>
              <w:rPr>
                <w:rFonts w:hint="eastAsia" w:ascii="仿宋" w:hAnsi="仿宋" w:eastAsia="仿宋" w:cs="仿宋"/>
                <w:b/>
                <w:color w:val="auto"/>
                <w:sz w:val="24"/>
                <w:szCs w:val="24"/>
                <w:lang w:val="en-US" w:eastAsia="zh-CN"/>
              </w:rPr>
              <w:t>制造商有自主研发能力和生产工艺薄弱，生产车间环境及生产线粗糙落后，生产步骤简单，技术</w:t>
            </w:r>
            <w:r>
              <w:rPr>
                <w:rFonts w:hint="eastAsia" w:ascii="仿宋" w:hAnsi="仿宋" w:eastAsia="仿宋" w:cs="仿宋"/>
                <w:b/>
                <w:color w:val="auto"/>
                <w:sz w:val="24"/>
                <w:szCs w:val="24"/>
              </w:rPr>
              <w:t>人员</w:t>
            </w:r>
            <w:r>
              <w:rPr>
                <w:rFonts w:hint="eastAsia" w:ascii="仿宋" w:hAnsi="仿宋" w:eastAsia="仿宋" w:cs="仿宋"/>
                <w:b/>
                <w:color w:val="auto"/>
                <w:sz w:val="24"/>
                <w:szCs w:val="24"/>
                <w:lang w:eastAsia="zh-CN"/>
              </w:rPr>
              <w:t>综合实力一般，</w:t>
            </w:r>
            <w:r>
              <w:rPr>
                <w:rFonts w:hint="eastAsia" w:ascii="仿宋" w:hAnsi="仿宋" w:eastAsia="仿宋" w:cs="仿宋"/>
                <w:b/>
                <w:color w:val="auto"/>
                <w:sz w:val="24"/>
                <w:szCs w:val="24"/>
                <w:lang w:val="en-US" w:eastAsia="zh-CN"/>
              </w:rPr>
              <w:t>检验设备配置简单落后，检验步骤普通，生产制造履约能力</w:t>
            </w:r>
            <w:r>
              <w:rPr>
                <w:rFonts w:hint="eastAsia" w:ascii="仿宋" w:hAnsi="仿宋" w:eastAsia="仿宋" w:cs="仿宋"/>
                <w:b/>
                <w:color w:val="auto"/>
                <w:sz w:val="24"/>
                <w:szCs w:val="24"/>
                <w:lang w:eastAsia="zh-CN"/>
              </w:rPr>
              <w:t>弱</w:t>
            </w:r>
            <w:r>
              <w:rPr>
                <w:rFonts w:hint="eastAsia" w:ascii="仿宋" w:hAnsi="仿宋" w:eastAsia="仿宋" w:cs="仿宋"/>
                <w:b/>
                <w:color w:val="auto"/>
                <w:sz w:val="24"/>
                <w:szCs w:val="24"/>
              </w:rPr>
              <w:t>的得</w:t>
            </w:r>
            <w:r>
              <w:rPr>
                <w:rFonts w:hint="eastAsia" w:ascii="仿宋" w:hAnsi="仿宋" w:eastAsia="仿宋" w:cs="仿宋"/>
                <w:b/>
                <w:color w:val="auto"/>
                <w:sz w:val="24"/>
                <w:szCs w:val="24"/>
                <w:lang w:val="en-US" w:eastAsia="zh-CN"/>
              </w:rPr>
              <w:t>1</w:t>
            </w:r>
            <w:r>
              <w:rPr>
                <w:rFonts w:hint="eastAsia" w:ascii="仿宋" w:hAnsi="仿宋" w:eastAsia="仿宋" w:cs="仿宋"/>
                <w:b/>
                <w:color w:val="auto"/>
                <w:sz w:val="24"/>
                <w:szCs w:val="24"/>
              </w:rPr>
              <w:t>分</w:t>
            </w:r>
            <w:r>
              <w:rPr>
                <w:rFonts w:hint="eastAsia" w:ascii="仿宋" w:hAnsi="仿宋" w:eastAsia="仿宋" w:cs="仿宋"/>
                <w:b/>
                <w:color w:val="auto"/>
                <w:sz w:val="24"/>
                <w:szCs w:val="24"/>
                <w:lang w:eastAsia="zh-CN"/>
              </w:rPr>
              <w:t>；</w:t>
            </w:r>
          </w:p>
          <w:p>
            <w:pPr>
              <w:pageBreakBefore w:val="0"/>
              <w:kinsoku/>
              <w:wordWrap/>
              <w:overflowPunct/>
              <w:topLinePunct w:val="0"/>
              <w:autoSpaceDE/>
              <w:autoSpaceDN/>
              <w:bidi w:val="0"/>
              <w:adjustRightInd/>
              <w:snapToGrid/>
              <w:spacing w:beforeLines="0" w:afterLines="0" w:line="460" w:lineRule="exact"/>
              <w:rPr>
                <w:rFonts w:hint="eastAsia"/>
                <w:color w:val="auto"/>
                <w:sz w:val="24"/>
                <w:szCs w:val="24"/>
              </w:rPr>
            </w:pPr>
            <w:r>
              <w:rPr>
                <w:rFonts w:hint="eastAsia" w:ascii="仿宋" w:hAnsi="仿宋" w:eastAsia="仿宋" w:cs="仿宋"/>
                <w:b/>
                <w:color w:val="auto"/>
                <w:sz w:val="24"/>
                <w:szCs w:val="24"/>
                <w:lang w:val="en-US" w:eastAsia="zh-CN"/>
              </w:rPr>
              <w:t>4、</w:t>
            </w:r>
            <w:r>
              <w:rPr>
                <w:rFonts w:hint="eastAsia" w:ascii="仿宋" w:hAnsi="仿宋" w:eastAsia="仿宋" w:cs="仿宋"/>
                <w:b/>
                <w:color w:val="auto"/>
                <w:sz w:val="24"/>
                <w:szCs w:val="24"/>
              </w:rPr>
              <w:t>未提供证明材料或证明材料有缺项的不得分。</w:t>
            </w:r>
          </w:p>
        </w:tc>
        <w:tc>
          <w:tcPr>
            <w:tcW w:w="49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color w:val="auto"/>
                <w:sz w:val="24"/>
                <w:szCs w:val="24"/>
              </w:rPr>
              <w:t>5</w:t>
            </w:r>
            <w:r>
              <w:rPr>
                <w:rFonts w:hint="eastAsia" w:eastAsia="仿宋"/>
                <w:color w:val="auto"/>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color w:val="auto"/>
                <w:sz w:val="24"/>
                <w:szCs w:val="24"/>
              </w:rPr>
              <w:t>3</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eastAsia="仿宋"/>
                <w:color w:val="auto"/>
                <w:sz w:val="24"/>
                <w:szCs w:val="24"/>
              </w:rPr>
              <w:t>质量保证和保修</w:t>
            </w:r>
          </w:p>
        </w:tc>
        <w:tc>
          <w:tcPr>
            <w:tcW w:w="338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rPr>
                <w:rFonts w:hint="eastAsia"/>
                <w:color w:val="auto"/>
                <w:sz w:val="24"/>
                <w:szCs w:val="24"/>
              </w:rPr>
            </w:pPr>
            <w:r>
              <w:rPr>
                <w:rFonts w:hint="eastAsia" w:eastAsia="仿宋"/>
                <w:color w:val="auto"/>
                <w:sz w:val="24"/>
                <w:szCs w:val="24"/>
              </w:rPr>
              <w:t>在招标文件商务要求中“质保期”和“保修期”要求基础上，承诺“质保期”和“保修期”均每延长一年的加2分，最多加4分。</w:t>
            </w:r>
          </w:p>
          <w:p>
            <w:pPr>
              <w:pageBreakBefore w:val="0"/>
              <w:kinsoku/>
              <w:wordWrap/>
              <w:overflowPunct/>
              <w:topLinePunct w:val="0"/>
              <w:autoSpaceDE/>
              <w:autoSpaceDN/>
              <w:bidi w:val="0"/>
              <w:adjustRightInd/>
              <w:snapToGrid/>
              <w:spacing w:beforeLines="0" w:afterLines="0" w:line="460" w:lineRule="exact"/>
              <w:rPr>
                <w:rFonts w:hint="eastAsia"/>
                <w:color w:val="auto"/>
                <w:sz w:val="24"/>
                <w:szCs w:val="24"/>
              </w:rPr>
            </w:pPr>
            <w:r>
              <w:rPr>
                <w:rFonts w:hint="eastAsia" w:eastAsia="仿宋"/>
                <w:b/>
                <w:color w:val="auto"/>
                <w:sz w:val="24"/>
                <w:szCs w:val="24"/>
              </w:rPr>
              <w:t>评审依据：投标文件中提供“质保期”和“保修期”均延长的承诺函原件。</w:t>
            </w:r>
          </w:p>
        </w:tc>
        <w:tc>
          <w:tcPr>
            <w:tcW w:w="49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color w:val="auto"/>
                <w:sz w:val="24"/>
                <w:szCs w:val="24"/>
              </w:rPr>
              <w:t>4</w:t>
            </w:r>
            <w:r>
              <w:rPr>
                <w:rFonts w:hint="eastAsia" w:eastAsia="仿宋"/>
                <w:color w:val="auto"/>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color w:val="auto"/>
                <w:sz w:val="24"/>
                <w:szCs w:val="24"/>
              </w:rPr>
              <w:t>4</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eastAsia="仿宋"/>
                <w:color w:val="auto"/>
                <w:sz w:val="24"/>
                <w:szCs w:val="24"/>
              </w:rPr>
              <w:t>类似销售</w:t>
            </w:r>
          </w:p>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eastAsia="仿宋"/>
                <w:color w:val="auto"/>
                <w:sz w:val="24"/>
                <w:szCs w:val="24"/>
              </w:rPr>
              <w:t>案例</w:t>
            </w:r>
          </w:p>
        </w:tc>
        <w:tc>
          <w:tcPr>
            <w:tcW w:w="338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rPr>
                <w:rFonts w:hint="eastAsia" w:eastAsia="仿宋" w:cs="Times New Roman"/>
                <w:color w:val="auto"/>
                <w:sz w:val="24"/>
                <w:szCs w:val="22"/>
                <w:lang w:eastAsia="zh-CN"/>
              </w:rPr>
            </w:pPr>
            <w:r>
              <w:rPr>
                <w:rFonts w:hint="eastAsia" w:eastAsia="仿宋" w:cs="Times New Roman"/>
                <w:color w:val="auto"/>
                <w:sz w:val="24"/>
                <w:szCs w:val="22"/>
              </w:rPr>
              <w:t>投标人自</w:t>
            </w:r>
            <w:r>
              <w:rPr>
                <w:rFonts w:hint="eastAsia" w:cs="Times New Roman"/>
                <w:color w:val="auto"/>
                <w:sz w:val="24"/>
                <w:szCs w:val="22"/>
              </w:rPr>
              <w:t>20</w:t>
            </w:r>
            <w:r>
              <w:rPr>
                <w:rFonts w:hint="eastAsia" w:eastAsia="仿宋" w:cs="Times New Roman"/>
                <w:color w:val="auto"/>
                <w:sz w:val="24"/>
                <w:szCs w:val="22"/>
              </w:rPr>
              <w:t>2</w:t>
            </w:r>
            <w:r>
              <w:rPr>
                <w:rFonts w:hint="eastAsia" w:eastAsia="仿宋" w:cs="Times New Roman"/>
                <w:color w:val="auto"/>
                <w:sz w:val="24"/>
                <w:szCs w:val="22"/>
                <w:lang w:val="en-US" w:eastAsia="zh-CN"/>
              </w:rPr>
              <w:t>1</w:t>
            </w:r>
            <w:r>
              <w:rPr>
                <w:rFonts w:hint="eastAsia" w:eastAsia="仿宋" w:cs="Times New Roman"/>
                <w:color w:val="auto"/>
                <w:sz w:val="24"/>
                <w:szCs w:val="22"/>
              </w:rPr>
              <w:t>年</w:t>
            </w:r>
            <w:r>
              <w:rPr>
                <w:rFonts w:hint="eastAsia" w:cs="Times New Roman"/>
                <w:color w:val="auto"/>
                <w:sz w:val="24"/>
                <w:szCs w:val="22"/>
              </w:rPr>
              <w:t>1</w:t>
            </w:r>
            <w:r>
              <w:rPr>
                <w:rFonts w:hint="eastAsia" w:eastAsia="仿宋" w:cs="Times New Roman"/>
                <w:color w:val="auto"/>
                <w:sz w:val="24"/>
                <w:szCs w:val="22"/>
              </w:rPr>
              <w:t>月1日至今（以签订合同时间为准）具有类似</w:t>
            </w:r>
            <w:r>
              <w:rPr>
                <w:rFonts w:hint="eastAsia" w:eastAsia="仿宋" w:cs="Times New Roman"/>
                <w:color w:val="auto"/>
                <w:sz w:val="24"/>
                <w:szCs w:val="22"/>
                <w:lang w:eastAsia="zh-CN"/>
              </w:rPr>
              <w:t>核心</w:t>
            </w:r>
            <w:r>
              <w:rPr>
                <w:rFonts w:hint="eastAsia" w:eastAsia="仿宋" w:cs="Times New Roman"/>
                <w:color w:val="auto"/>
                <w:sz w:val="24"/>
                <w:szCs w:val="22"/>
              </w:rPr>
              <w:t>产品销售案例，每提供1份销售案例加</w:t>
            </w:r>
            <w:r>
              <w:rPr>
                <w:rFonts w:hint="eastAsia" w:eastAsia="仿宋" w:cs="Times New Roman"/>
                <w:color w:val="auto"/>
                <w:sz w:val="24"/>
                <w:szCs w:val="22"/>
                <w:lang w:val="en-US" w:eastAsia="zh-CN"/>
              </w:rPr>
              <w:t>2</w:t>
            </w:r>
            <w:r>
              <w:rPr>
                <w:rFonts w:hint="eastAsia" w:eastAsia="仿宋" w:cs="Times New Roman"/>
                <w:color w:val="auto"/>
                <w:sz w:val="24"/>
                <w:szCs w:val="22"/>
              </w:rPr>
              <w:t>分，本项最多加</w:t>
            </w:r>
            <w:r>
              <w:rPr>
                <w:rFonts w:hint="eastAsia" w:eastAsia="仿宋" w:cs="Times New Roman"/>
                <w:color w:val="auto"/>
                <w:sz w:val="24"/>
                <w:szCs w:val="22"/>
                <w:lang w:val="en-US" w:eastAsia="zh-CN"/>
              </w:rPr>
              <w:t>6</w:t>
            </w:r>
            <w:r>
              <w:rPr>
                <w:rFonts w:hint="eastAsia" w:eastAsia="仿宋" w:cs="Times New Roman"/>
                <w:color w:val="auto"/>
                <w:sz w:val="24"/>
                <w:szCs w:val="22"/>
              </w:rPr>
              <w:t>分。</w:t>
            </w:r>
          </w:p>
          <w:p>
            <w:pPr>
              <w:pageBreakBefore w:val="0"/>
              <w:kinsoku/>
              <w:wordWrap/>
              <w:overflowPunct/>
              <w:topLinePunct w:val="0"/>
              <w:autoSpaceDE/>
              <w:autoSpaceDN/>
              <w:bidi w:val="0"/>
              <w:adjustRightInd/>
              <w:snapToGrid/>
              <w:spacing w:beforeLines="0" w:afterLines="0" w:line="460" w:lineRule="exact"/>
              <w:jc w:val="left"/>
              <w:rPr>
                <w:rFonts w:hint="eastAsia"/>
                <w:b/>
                <w:color w:val="auto"/>
                <w:sz w:val="24"/>
                <w:szCs w:val="24"/>
              </w:rPr>
            </w:pPr>
            <w:r>
              <w:rPr>
                <w:rFonts w:hint="eastAsia" w:eastAsia="仿宋" w:cs="Times New Roman"/>
                <w:b/>
                <w:color w:val="auto"/>
                <w:sz w:val="24"/>
                <w:szCs w:val="22"/>
              </w:rPr>
              <w:t>评审依据：①投标文件中提供销售案例明细表（销售案例明细表包含</w:t>
            </w:r>
            <w:r>
              <w:rPr>
                <w:rFonts w:hint="eastAsia" w:cs="Times New Roman"/>
                <w:b/>
                <w:color w:val="auto"/>
                <w:sz w:val="24"/>
                <w:szCs w:val="22"/>
              </w:rPr>
              <w:t>:</w:t>
            </w:r>
            <w:r>
              <w:rPr>
                <w:rFonts w:hint="eastAsia" w:eastAsia="仿宋" w:cs="Times New Roman"/>
                <w:b/>
                <w:color w:val="auto"/>
                <w:sz w:val="24"/>
                <w:szCs w:val="22"/>
              </w:rPr>
              <w:t>发布网站名称、网页链接地址、采购项目名称、采购单位名称和联系方式、采购代理机构名称和联系方式）；②</w:t>
            </w:r>
            <w:r>
              <w:rPr>
                <w:rFonts w:hint="eastAsia" w:eastAsia="仿宋" w:cs="Times New Roman"/>
                <w:b/>
                <w:color w:val="auto"/>
                <w:sz w:val="24"/>
                <w:szCs w:val="22"/>
                <w:lang w:eastAsia="zh-CN"/>
              </w:rPr>
              <w:t>中标（成交）公告截图（打印网页）、中标通知书复印件和合同复印件（中标通知书或合同复印件应体现类似销售案例的货物），合同签订方必须是投标人本身。</w:t>
            </w:r>
          </w:p>
        </w:tc>
        <w:tc>
          <w:tcPr>
            <w:tcW w:w="49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eastAsia="仿宋"/>
                <w:color w:val="auto"/>
                <w:sz w:val="24"/>
                <w:szCs w:val="24"/>
                <w:lang w:val="en-US" w:eastAsia="zh-CN"/>
              </w:rPr>
              <w:t>6</w:t>
            </w:r>
            <w:r>
              <w:rPr>
                <w:rFonts w:hint="eastAsia" w:eastAsia="仿宋"/>
                <w:color w:val="auto"/>
                <w:sz w:val="24"/>
                <w:szCs w:val="24"/>
              </w:rPr>
              <w:t>分</w:t>
            </w:r>
          </w:p>
        </w:tc>
      </w:tr>
    </w:tbl>
    <w:p>
      <w:pPr>
        <w:pageBreakBefore w:val="0"/>
        <w:kinsoku/>
        <w:wordWrap/>
        <w:overflowPunct/>
        <w:topLinePunct w:val="0"/>
        <w:autoSpaceDE/>
        <w:autoSpaceDN/>
        <w:bidi w:val="0"/>
        <w:adjustRightInd/>
        <w:snapToGrid/>
        <w:spacing w:beforeLines="0" w:afterLines="0" w:line="460" w:lineRule="exact"/>
        <w:rPr>
          <w:rFonts w:hint="eastAsia"/>
          <w:color w:val="auto"/>
          <w:sz w:val="21"/>
          <w:szCs w:val="24"/>
        </w:rPr>
      </w:pPr>
    </w:p>
    <w:p>
      <w:pPr>
        <w:pageBreakBefore w:val="0"/>
        <w:kinsoku/>
        <w:wordWrap/>
        <w:overflowPunct/>
        <w:topLinePunct w:val="0"/>
        <w:autoSpaceDE/>
        <w:autoSpaceDN/>
        <w:bidi w:val="0"/>
        <w:adjustRightInd/>
        <w:snapToGrid/>
        <w:spacing w:beforeLines="0" w:afterLines="0" w:line="460" w:lineRule="exact"/>
        <w:rPr>
          <w:rFonts w:hint="eastAsia"/>
          <w:color w:val="auto"/>
          <w:sz w:val="21"/>
          <w:szCs w:val="24"/>
        </w:rPr>
      </w:pPr>
      <w:r>
        <w:rPr>
          <w:rFonts w:hint="eastAsia"/>
          <w:color w:val="auto"/>
          <w:sz w:val="21"/>
          <w:szCs w:val="24"/>
        </w:rPr>
        <w:br w:type="page"/>
      </w:r>
    </w:p>
    <w:p>
      <w:pPr>
        <w:pageBreakBefore w:val="0"/>
        <w:kinsoku/>
        <w:wordWrap/>
        <w:overflowPunct/>
        <w:topLinePunct w:val="0"/>
        <w:autoSpaceDE/>
        <w:autoSpaceDN/>
        <w:bidi w:val="0"/>
        <w:adjustRightInd/>
        <w:snapToGrid/>
        <w:spacing w:beforeLines="0" w:afterLines="0" w:line="460" w:lineRule="exact"/>
        <w:rPr>
          <w:rFonts w:hint="eastAsia"/>
          <w:color w:val="auto"/>
          <w:sz w:val="21"/>
          <w:szCs w:val="24"/>
        </w:rPr>
      </w:pPr>
    </w:p>
    <w:p>
      <w:pPr>
        <w:pStyle w:val="2"/>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8"/>
          <w:szCs w:val="28"/>
          <w:lang w:val="en-US" w:eastAsia="zh-CN"/>
        </w:rPr>
      </w:pPr>
      <w:bookmarkStart w:id="711" w:name="_Toc18850"/>
      <w:bookmarkStart w:id="712" w:name="_Toc15149"/>
      <w:bookmarkStart w:id="713" w:name="_Toc3363"/>
      <w:bookmarkStart w:id="714" w:name="_Toc14090"/>
      <w:bookmarkStart w:id="715" w:name="_Toc7763"/>
      <w:r>
        <w:rPr>
          <w:rFonts w:hint="eastAsia" w:ascii="仿宋" w:hAnsi="仿宋" w:eastAsia="仿宋" w:cs="仿宋"/>
          <w:color w:val="auto"/>
          <w:sz w:val="28"/>
          <w:szCs w:val="28"/>
          <w:lang w:val="en-US" w:eastAsia="zh-CN"/>
        </w:rPr>
        <w:t>53包：滑轮套装、挂钩套装、绳索救援套装【核心产品】</w:t>
      </w:r>
      <w:bookmarkEnd w:id="711"/>
      <w:bookmarkEnd w:id="712"/>
      <w:bookmarkEnd w:id="713"/>
      <w:bookmarkEnd w:id="714"/>
      <w:bookmarkEnd w:id="715"/>
    </w:p>
    <w:p>
      <w:pPr>
        <w:pageBreakBefore w:val="0"/>
        <w:kinsoku/>
        <w:wordWrap/>
        <w:overflowPunct/>
        <w:topLinePunct w:val="0"/>
        <w:autoSpaceDE/>
        <w:autoSpaceDN/>
        <w:bidi w:val="0"/>
        <w:adjustRightInd/>
        <w:snapToGrid/>
        <w:spacing w:beforeLines="0" w:afterLines="0" w:line="460" w:lineRule="exact"/>
        <w:ind w:firstLine="482" w:firstLineChars="200"/>
        <w:jc w:val="left"/>
        <w:rPr>
          <w:rFonts w:hint="eastAsia" w:ascii="仿宋" w:hAnsi="仿宋" w:eastAsia="仿宋"/>
          <w:b/>
          <w:color w:val="auto"/>
          <w:sz w:val="24"/>
          <w:szCs w:val="24"/>
        </w:rPr>
      </w:pPr>
      <w:r>
        <w:rPr>
          <w:rFonts w:hint="eastAsia" w:ascii="仿宋" w:hAnsi="仿宋" w:eastAsia="仿宋"/>
          <w:b/>
          <w:color w:val="auto"/>
          <w:sz w:val="24"/>
          <w:szCs w:val="24"/>
        </w:rPr>
        <w:t>一、价格部分（30分）</w:t>
      </w:r>
    </w:p>
    <w:tbl>
      <w:tblPr>
        <w:tblStyle w:val="4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1579"/>
        <w:gridCol w:w="6182"/>
        <w:gridCol w:w="8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7" w:hRule="atLeast"/>
        </w:trPr>
        <w:tc>
          <w:tcPr>
            <w:tcW w:w="376"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序号</w:t>
            </w:r>
          </w:p>
        </w:tc>
        <w:tc>
          <w:tcPr>
            <w:tcW w:w="850"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评审因素</w:t>
            </w:r>
          </w:p>
        </w:tc>
        <w:tc>
          <w:tcPr>
            <w:tcW w:w="332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评分标准</w:t>
            </w:r>
          </w:p>
        </w:tc>
        <w:tc>
          <w:tcPr>
            <w:tcW w:w="444"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b/>
                <w:color w:val="auto"/>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6"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850"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价格分</w:t>
            </w:r>
          </w:p>
        </w:tc>
        <w:tc>
          <w:tcPr>
            <w:tcW w:w="332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根据综合评分法，满足招标文件要求且投标价格最低的投标报价为评标基准价，投标报价得分=（评标基准价／投标报价）×30%×100，计算分数时四舍五入取小数点后两位。</w:t>
            </w:r>
          </w:p>
          <w:p>
            <w:pPr>
              <w:pageBreakBefore w:val="0"/>
              <w:kinsoku/>
              <w:wordWrap/>
              <w:overflowPunct/>
              <w:topLinePunct w:val="0"/>
              <w:autoSpaceDE/>
              <w:autoSpaceDN/>
              <w:bidi w:val="0"/>
              <w:adjustRightInd/>
              <w:snapToGrid/>
              <w:spacing w:beforeLines="0" w:afterLines="0" w:line="460" w:lineRule="exact"/>
              <w:ind w:firstLine="482" w:firstLineChars="200"/>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注：小、微型企业或残疾人福利性单位产品或监狱产品的价格给予10%的扣除，用扣除后的价格参与评审。但残疾人福利性单位本身属于小型、微型企业的，不重复享受政策。</w:t>
            </w:r>
          </w:p>
        </w:tc>
        <w:tc>
          <w:tcPr>
            <w:tcW w:w="444"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30分</w:t>
            </w:r>
          </w:p>
        </w:tc>
      </w:tr>
    </w:tbl>
    <w:p>
      <w:pPr>
        <w:pageBreakBefore w:val="0"/>
        <w:kinsoku/>
        <w:wordWrap/>
        <w:overflowPunct/>
        <w:topLinePunct w:val="0"/>
        <w:autoSpaceDE/>
        <w:autoSpaceDN/>
        <w:bidi w:val="0"/>
        <w:adjustRightInd/>
        <w:snapToGrid/>
        <w:spacing w:beforeLines="0" w:afterLines="0" w:line="460" w:lineRule="exact"/>
        <w:ind w:firstLine="482" w:firstLineChars="200"/>
        <w:jc w:val="left"/>
        <w:rPr>
          <w:rFonts w:hint="eastAsia" w:ascii="仿宋" w:hAnsi="仿宋" w:eastAsia="仿宋"/>
          <w:b/>
          <w:color w:val="auto"/>
          <w:sz w:val="24"/>
          <w:szCs w:val="24"/>
        </w:rPr>
      </w:pPr>
      <w:r>
        <w:rPr>
          <w:rFonts w:hint="eastAsia" w:ascii="仿宋" w:hAnsi="仿宋" w:eastAsia="仿宋"/>
          <w:b/>
          <w:color w:val="auto"/>
          <w:sz w:val="24"/>
          <w:szCs w:val="24"/>
        </w:rPr>
        <w:t>二、技术部分（5</w:t>
      </w:r>
      <w:r>
        <w:rPr>
          <w:rFonts w:hint="eastAsia" w:ascii="仿宋" w:hAnsi="仿宋" w:eastAsia="仿宋"/>
          <w:b/>
          <w:color w:val="auto"/>
          <w:sz w:val="24"/>
          <w:szCs w:val="24"/>
          <w:lang w:val="en-US" w:eastAsia="zh-CN"/>
        </w:rPr>
        <w:t>5</w:t>
      </w:r>
      <w:r>
        <w:rPr>
          <w:rFonts w:hint="eastAsia" w:ascii="仿宋" w:hAnsi="仿宋" w:eastAsia="仿宋"/>
          <w:b/>
          <w:color w:val="auto"/>
          <w:sz w:val="24"/>
          <w:szCs w:val="24"/>
        </w:rPr>
        <w:t>分）</w:t>
      </w:r>
    </w:p>
    <w:tbl>
      <w:tblPr>
        <w:tblStyle w:val="4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6"/>
        <w:gridCol w:w="685"/>
        <w:gridCol w:w="1153"/>
        <w:gridCol w:w="6040"/>
        <w:gridCol w:w="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32"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序号</w:t>
            </w:r>
          </w:p>
        </w:tc>
        <w:tc>
          <w:tcPr>
            <w:tcW w:w="990"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评审因素</w:t>
            </w:r>
          </w:p>
        </w:tc>
        <w:tc>
          <w:tcPr>
            <w:tcW w:w="325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评分标准</w:t>
            </w:r>
          </w:p>
        </w:tc>
        <w:tc>
          <w:tcPr>
            <w:tcW w:w="42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332"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990"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技术参数及要求</w:t>
            </w:r>
          </w:p>
        </w:tc>
        <w:tc>
          <w:tcPr>
            <w:tcW w:w="3253" w:type="pct"/>
            <w:tcBorders>
              <w:top w:val="single" w:color="auto" w:sz="4" w:space="0"/>
              <w:left w:val="single" w:color="auto" w:sz="4" w:space="0"/>
              <w:bottom w:val="single" w:color="auto" w:sz="4" w:space="0"/>
              <w:right w:val="single" w:color="auto" w:sz="4" w:space="0"/>
              <w:tl2br w:val="nil"/>
              <w:tr2bl w:val="nil"/>
            </w:tcBorders>
            <w:noWrap w:val="0"/>
            <w:vAlign w:val="top"/>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一、重大负偏离评审依据：</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1、带★条款的响应，不满足招标文件要求的，或有缺项、漏项的，视为重大负偏离；</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2、一般参数和带“▲”参数共有四项及以上（含本数）的负偏离，视为重大负偏离；</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二、负偏离评审依据：</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3、所投产品一般参数或带“▲”参数有一项低于招标文件要求，该项视为负偏离；</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4、所投产品一般参数或带“▲”参数有一项缺项、漏项的，该项视为负偏离。</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注：“一般参数”为非标“★”号参数和非标“▲”号参数。</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评审依据：</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①投标文件中提供的技术条款响应表；</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b/>
                <w:color w:val="auto"/>
                <w:sz w:val="24"/>
                <w:szCs w:val="24"/>
              </w:rPr>
              <w:t>②所投产品技术参数完全满足招标文件要求得</w:t>
            </w:r>
            <w:r>
              <w:rPr>
                <w:rFonts w:hint="eastAsia" w:ascii="仿宋" w:hAnsi="仿宋" w:eastAsia="仿宋" w:cs="仿宋"/>
                <w:b/>
                <w:color w:val="auto"/>
                <w:sz w:val="24"/>
                <w:szCs w:val="24"/>
                <w:lang w:val="en-US" w:eastAsia="zh-CN"/>
              </w:rPr>
              <w:t>18</w:t>
            </w:r>
            <w:r>
              <w:rPr>
                <w:rFonts w:hint="eastAsia" w:ascii="仿宋" w:hAnsi="仿宋" w:eastAsia="仿宋" w:cs="仿宋"/>
                <w:b/>
                <w:color w:val="auto"/>
                <w:sz w:val="24"/>
                <w:szCs w:val="24"/>
              </w:rPr>
              <w:t>分；重大负偏离则视为无效投标；一般参数或带“▲”参数每有一项负偏离减5分，最多减15分，四项或以上负偏离视为无效投标。</w:t>
            </w:r>
          </w:p>
        </w:tc>
        <w:tc>
          <w:tcPr>
            <w:tcW w:w="42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rPr>
              <w:t>18分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32" w:type="pct"/>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369" w:type="pct"/>
            <w:vMerge w:val="restart"/>
            <w:tcBorders>
              <w:top w:val="single" w:color="auto" w:sz="4" w:space="0"/>
              <w:left w:val="single" w:color="auto" w:sz="4" w:space="0"/>
              <w:bottom w:val="single" w:color="auto" w:sz="4" w:space="0"/>
              <w:right w:val="single" w:color="000000"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滑轮套装</w:t>
            </w:r>
          </w:p>
        </w:tc>
        <w:tc>
          <w:tcPr>
            <w:tcW w:w="620" w:type="pct"/>
            <w:tcBorders>
              <w:top w:val="single" w:color="auto" w:sz="4" w:space="0"/>
              <w:left w:val="single" w:color="000000"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▲3.3.3小滑轮：工作负荷：≥20kN</w:t>
            </w:r>
          </w:p>
        </w:tc>
        <w:tc>
          <w:tcPr>
            <w:tcW w:w="325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所投产品</w:t>
            </w:r>
            <w:r>
              <w:rPr>
                <w:rFonts w:hint="eastAsia" w:ascii="仿宋" w:hAnsi="仿宋" w:eastAsia="仿宋" w:cs="仿宋"/>
                <w:color w:val="auto"/>
                <w:sz w:val="24"/>
                <w:szCs w:val="24"/>
                <w:lang w:val="en-US" w:eastAsia="zh-CN"/>
              </w:rPr>
              <w:t>工作负荷</w:t>
            </w:r>
            <w:r>
              <w:rPr>
                <w:rFonts w:hint="eastAsia" w:ascii="仿宋" w:hAnsi="仿宋" w:eastAsia="仿宋" w:cs="仿宋"/>
                <w:color w:val="auto"/>
                <w:sz w:val="24"/>
                <w:szCs w:val="24"/>
              </w:rPr>
              <w:t>优于招标文件要求的，</w:t>
            </w:r>
            <w:r>
              <w:rPr>
                <w:rFonts w:hint="eastAsia" w:ascii="仿宋" w:hAnsi="仿宋" w:eastAsia="仿宋" w:cs="仿宋"/>
                <w:color w:val="auto"/>
                <w:sz w:val="24"/>
                <w:szCs w:val="24"/>
                <w:lang w:val="en-US" w:eastAsia="zh-CN"/>
              </w:rPr>
              <w:t>工作负荷</w:t>
            </w:r>
            <w:r>
              <w:rPr>
                <w:rFonts w:hint="eastAsia" w:ascii="仿宋" w:hAnsi="仿宋" w:eastAsia="仿宋" w:cs="仿宋"/>
                <w:color w:val="auto"/>
                <w:sz w:val="24"/>
                <w:szCs w:val="24"/>
              </w:rPr>
              <w:t>最优的加</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分，</w:t>
            </w:r>
            <w:r>
              <w:rPr>
                <w:rFonts w:hint="eastAsia" w:ascii="仿宋" w:hAnsi="仿宋" w:eastAsia="仿宋" w:cs="仿宋"/>
                <w:color w:val="auto"/>
                <w:sz w:val="24"/>
                <w:szCs w:val="24"/>
                <w:lang w:val="en-US" w:eastAsia="zh-CN"/>
              </w:rPr>
              <w:t>工作负荷</w:t>
            </w:r>
            <w:r>
              <w:rPr>
                <w:rFonts w:hint="eastAsia" w:ascii="仿宋" w:hAnsi="仿宋" w:eastAsia="仿宋" w:cs="仿宋"/>
                <w:color w:val="auto"/>
                <w:sz w:val="24"/>
                <w:szCs w:val="24"/>
              </w:rPr>
              <w:t>次优的加2分，其余加1分。（可并列得分）</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b/>
                <w:color w:val="auto"/>
                <w:sz w:val="24"/>
                <w:szCs w:val="24"/>
              </w:rPr>
              <w:t>注：最优表示</w:t>
            </w:r>
            <w:r>
              <w:rPr>
                <w:rFonts w:hint="eastAsia" w:ascii="仿宋" w:hAnsi="仿宋" w:eastAsia="仿宋" w:cs="仿宋"/>
                <w:b/>
                <w:color w:val="auto"/>
                <w:sz w:val="24"/>
                <w:szCs w:val="24"/>
                <w:lang w:val="en-US" w:eastAsia="zh-CN"/>
              </w:rPr>
              <w:t>工作负荷</w:t>
            </w:r>
            <w:r>
              <w:rPr>
                <w:rFonts w:hint="eastAsia" w:ascii="仿宋" w:hAnsi="仿宋" w:eastAsia="仿宋" w:cs="仿宋"/>
                <w:b/>
                <w:color w:val="auto"/>
                <w:sz w:val="24"/>
                <w:szCs w:val="24"/>
              </w:rPr>
              <w:t>最大，次优表示</w:t>
            </w:r>
            <w:r>
              <w:rPr>
                <w:rFonts w:hint="eastAsia" w:ascii="仿宋" w:hAnsi="仿宋" w:eastAsia="仿宋" w:cs="仿宋"/>
                <w:b/>
                <w:color w:val="auto"/>
                <w:sz w:val="24"/>
                <w:szCs w:val="24"/>
                <w:lang w:val="en-US" w:eastAsia="zh-CN"/>
              </w:rPr>
              <w:t>工作负荷</w:t>
            </w:r>
            <w:r>
              <w:rPr>
                <w:rFonts w:hint="eastAsia" w:ascii="仿宋" w:hAnsi="仿宋" w:eastAsia="仿宋" w:cs="仿宋"/>
                <w:b/>
                <w:color w:val="auto"/>
                <w:sz w:val="24"/>
                <w:szCs w:val="24"/>
              </w:rPr>
              <w:t>仅次于最大值。</w:t>
            </w:r>
          </w:p>
        </w:tc>
        <w:tc>
          <w:tcPr>
            <w:tcW w:w="42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32"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369" w:type="pct"/>
            <w:vMerge w:val="continue"/>
            <w:tcBorders>
              <w:top w:val="single" w:color="auto" w:sz="4" w:space="0"/>
              <w:left w:val="single" w:color="auto" w:sz="4" w:space="0"/>
              <w:bottom w:val="single" w:color="auto" w:sz="4" w:space="0"/>
              <w:right w:val="single" w:color="000000"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p>
        </w:tc>
        <w:tc>
          <w:tcPr>
            <w:tcW w:w="620" w:type="pct"/>
            <w:tcBorders>
              <w:top w:val="single" w:color="auto" w:sz="4" w:space="0"/>
              <w:left w:val="single" w:color="000000"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▲3.4.3单滑轮：工作负荷：≥22kN</w:t>
            </w:r>
          </w:p>
        </w:tc>
        <w:tc>
          <w:tcPr>
            <w:tcW w:w="325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所投产品</w:t>
            </w:r>
            <w:r>
              <w:rPr>
                <w:rFonts w:hint="eastAsia" w:ascii="仿宋" w:hAnsi="仿宋" w:eastAsia="仿宋" w:cs="仿宋"/>
                <w:color w:val="auto"/>
                <w:sz w:val="24"/>
                <w:szCs w:val="24"/>
                <w:lang w:val="en-US" w:eastAsia="zh-CN"/>
              </w:rPr>
              <w:t>工作负荷</w:t>
            </w:r>
            <w:r>
              <w:rPr>
                <w:rFonts w:hint="eastAsia" w:ascii="仿宋" w:hAnsi="仿宋" w:eastAsia="仿宋" w:cs="仿宋"/>
                <w:color w:val="auto"/>
                <w:sz w:val="24"/>
                <w:szCs w:val="24"/>
              </w:rPr>
              <w:t>优于招标文件要求的，</w:t>
            </w:r>
            <w:r>
              <w:rPr>
                <w:rFonts w:hint="eastAsia" w:ascii="仿宋" w:hAnsi="仿宋" w:eastAsia="仿宋" w:cs="仿宋"/>
                <w:color w:val="auto"/>
                <w:sz w:val="24"/>
                <w:szCs w:val="24"/>
                <w:lang w:val="en-US" w:eastAsia="zh-CN"/>
              </w:rPr>
              <w:t>工作负荷</w:t>
            </w:r>
            <w:r>
              <w:rPr>
                <w:rFonts w:hint="eastAsia" w:ascii="仿宋" w:hAnsi="仿宋" w:eastAsia="仿宋" w:cs="仿宋"/>
                <w:color w:val="auto"/>
                <w:sz w:val="24"/>
                <w:szCs w:val="24"/>
              </w:rPr>
              <w:t>最优的加</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分，</w:t>
            </w:r>
            <w:r>
              <w:rPr>
                <w:rFonts w:hint="eastAsia" w:ascii="仿宋" w:hAnsi="仿宋" w:eastAsia="仿宋" w:cs="仿宋"/>
                <w:color w:val="auto"/>
                <w:sz w:val="24"/>
                <w:szCs w:val="24"/>
                <w:lang w:val="en-US" w:eastAsia="zh-CN"/>
              </w:rPr>
              <w:t>工作负荷</w:t>
            </w:r>
            <w:r>
              <w:rPr>
                <w:rFonts w:hint="eastAsia" w:ascii="仿宋" w:hAnsi="仿宋" w:eastAsia="仿宋" w:cs="仿宋"/>
                <w:color w:val="auto"/>
                <w:sz w:val="24"/>
                <w:szCs w:val="24"/>
              </w:rPr>
              <w:t>次优的加2分，其余加1分。（可并列得分）</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2"/>
                <w:lang w:val="en-US" w:eastAsia="zh-CN" w:bidi="ar-SA"/>
              </w:rPr>
            </w:pPr>
            <w:r>
              <w:rPr>
                <w:rFonts w:hint="eastAsia" w:ascii="仿宋" w:hAnsi="仿宋" w:eastAsia="仿宋" w:cs="仿宋"/>
                <w:b/>
                <w:color w:val="auto"/>
                <w:sz w:val="24"/>
                <w:szCs w:val="24"/>
              </w:rPr>
              <w:t>注：最优表示</w:t>
            </w:r>
            <w:r>
              <w:rPr>
                <w:rFonts w:hint="eastAsia" w:ascii="仿宋" w:hAnsi="仿宋" w:eastAsia="仿宋" w:cs="仿宋"/>
                <w:b/>
                <w:color w:val="auto"/>
                <w:sz w:val="24"/>
                <w:szCs w:val="24"/>
                <w:lang w:val="en-US" w:eastAsia="zh-CN"/>
              </w:rPr>
              <w:t>工作负荷</w:t>
            </w:r>
            <w:r>
              <w:rPr>
                <w:rFonts w:hint="eastAsia" w:ascii="仿宋" w:hAnsi="仿宋" w:eastAsia="仿宋" w:cs="仿宋"/>
                <w:b/>
                <w:color w:val="auto"/>
                <w:sz w:val="24"/>
                <w:szCs w:val="24"/>
              </w:rPr>
              <w:t>最大，次优表示</w:t>
            </w:r>
            <w:r>
              <w:rPr>
                <w:rFonts w:hint="eastAsia" w:ascii="仿宋" w:hAnsi="仿宋" w:eastAsia="仿宋" w:cs="仿宋"/>
                <w:b/>
                <w:color w:val="auto"/>
                <w:sz w:val="24"/>
                <w:szCs w:val="24"/>
                <w:lang w:val="en-US" w:eastAsia="zh-CN"/>
              </w:rPr>
              <w:t>工作负荷</w:t>
            </w:r>
            <w:r>
              <w:rPr>
                <w:rFonts w:hint="eastAsia" w:ascii="仿宋" w:hAnsi="仿宋" w:eastAsia="仿宋" w:cs="仿宋"/>
                <w:b/>
                <w:color w:val="auto"/>
                <w:sz w:val="24"/>
                <w:szCs w:val="24"/>
              </w:rPr>
              <w:t>仅次于最大值。</w:t>
            </w:r>
          </w:p>
        </w:tc>
        <w:tc>
          <w:tcPr>
            <w:tcW w:w="42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2"/>
                <w:lang w:val="en-US" w:eastAsia="zh-CN" w:bidi="ar-SA"/>
              </w:rPr>
            </w:pPr>
            <w:r>
              <w:rPr>
                <w:rFonts w:hint="eastAsia" w:ascii="仿宋" w:hAnsi="仿宋" w:eastAsia="仿宋" w:cs="仿宋"/>
                <w:color w:val="auto"/>
                <w:sz w:val="24"/>
                <w:szCs w:val="24"/>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32"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369" w:type="pct"/>
            <w:vMerge w:val="continue"/>
            <w:tcBorders>
              <w:top w:val="single" w:color="auto" w:sz="4" w:space="0"/>
              <w:left w:val="single" w:color="auto" w:sz="4" w:space="0"/>
              <w:bottom w:val="single" w:color="auto" w:sz="4" w:space="0"/>
              <w:right w:val="single" w:color="000000"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p>
        </w:tc>
        <w:tc>
          <w:tcPr>
            <w:tcW w:w="620" w:type="pct"/>
            <w:tcBorders>
              <w:top w:val="single" w:color="auto" w:sz="4" w:space="0"/>
              <w:left w:val="single" w:color="000000"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▲3.5.3双滑轮：工作负荷：≥22KN</w:t>
            </w:r>
          </w:p>
        </w:tc>
        <w:tc>
          <w:tcPr>
            <w:tcW w:w="325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所投产品</w:t>
            </w:r>
            <w:r>
              <w:rPr>
                <w:rFonts w:hint="eastAsia" w:ascii="仿宋" w:hAnsi="仿宋" w:eastAsia="仿宋" w:cs="仿宋"/>
                <w:color w:val="auto"/>
                <w:sz w:val="24"/>
                <w:szCs w:val="24"/>
                <w:lang w:val="en-US" w:eastAsia="zh-CN"/>
              </w:rPr>
              <w:t>工作负荷</w:t>
            </w:r>
            <w:r>
              <w:rPr>
                <w:rFonts w:hint="eastAsia" w:ascii="仿宋" w:hAnsi="仿宋" w:eastAsia="仿宋" w:cs="仿宋"/>
                <w:color w:val="auto"/>
                <w:sz w:val="24"/>
                <w:szCs w:val="24"/>
              </w:rPr>
              <w:t>优于招标文件要求的，</w:t>
            </w:r>
            <w:r>
              <w:rPr>
                <w:rFonts w:hint="eastAsia" w:ascii="仿宋" w:hAnsi="仿宋" w:eastAsia="仿宋" w:cs="仿宋"/>
                <w:color w:val="auto"/>
                <w:sz w:val="24"/>
                <w:szCs w:val="24"/>
                <w:lang w:val="en-US" w:eastAsia="zh-CN"/>
              </w:rPr>
              <w:t>工作负荷</w:t>
            </w:r>
            <w:r>
              <w:rPr>
                <w:rFonts w:hint="eastAsia" w:ascii="仿宋" w:hAnsi="仿宋" w:eastAsia="仿宋" w:cs="仿宋"/>
                <w:color w:val="auto"/>
                <w:sz w:val="24"/>
                <w:szCs w:val="24"/>
              </w:rPr>
              <w:t>最优的加</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分，</w:t>
            </w:r>
            <w:r>
              <w:rPr>
                <w:rFonts w:hint="eastAsia" w:ascii="仿宋" w:hAnsi="仿宋" w:eastAsia="仿宋" w:cs="仿宋"/>
                <w:color w:val="auto"/>
                <w:sz w:val="24"/>
                <w:szCs w:val="24"/>
                <w:lang w:val="en-US" w:eastAsia="zh-CN"/>
              </w:rPr>
              <w:t>工作负荷</w:t>
            </w:r>
            <w:r>
              <w:rPr>
                <w:rFonts w:hint="eastAsia" w:ascii="仿宋" w:hAnsi="仿宋" w:eastAsia="仿宋" w:cs="仿宋"/>
                <w:color w:val="auto"/>
                <w:sz w:val="24"/>
                <w:szCs w:val="24"/>
              </w:rPr>
              <w:t>次优的加2分，其余加1分。（可并列得分）</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2"/>
                <w:lang w:val="en-US" w:eastAsia="zh-CN" w:bidi="ar-SA"/>
              </w:rPr>
            </w:pPr>
            <w:r>
              <w:rPr>
                <w:rFonts w:hint="eastAsia" w:ascii="仿宋" w:hAnsi="仿宋" w:eastAsia="仿宋" w:cs="仿宋"/>
                <w:b/>
                <w:color w:val="auto"/>
                <w:sz w:val="24"/>
                <w:szCs w:val="24"/>
              </w:rPr>
              <w:t>注：最优表示</w:t>
            </w:r>
            <w:r>
              <w:rPr>
                <w:rFonts w:hint="eastAsia" w:ascii="仿宋" w:hAnsi="仿宋" w:eastAsia="仿宋" w:cs="仿宋"/>
                <w:b/>
                <w:color w:val="auto"/>
                <w:sz w:val="24"/>
                <w:szCs w:val="24"/>
                <w:lang w:val="en-US" w:eastAsia="zh-CN"/>
              </w:rPr>
              <w:t>工作负荷</w:t>
            </w:r>
            <w:r>
              <w:rPr>
                <w:rFonts w:hint="eastAsia" w:ascii="仿宋" w:hAnsi="仿宋" w:eastAsia="仿宋" w:cs="仿宋"/>
                <w:b/>
                <w:color w:val="auto"/>
                <w:sz w:val="24"/>
                <w:szCs w:val="24"/>
              </w:rPr>
              <w:t>最大，次优表示</w:t>
            </w:r>
            <w:r>
              <w:rPr>
                <w:rFonts w:hint="eastAsia" w:ascii="仿宋" w:hAnsi="仿宋" w:eastAsia="仿宋" w:cs="仿宋"/>
                <w:b/>
                <w:color w:val="auto"/>
                <w:sz w:val="24"/>
                <w:szCs w:val="24"/>
                <w:lang w:val="en-US" w:eastAsia="zh-CN"/>
              </w:rPr>
              <w:t>工作负荷</w:t>
            </w:r>
            <w:r>
              <w:rPr>
                <w:rFonts w:hint="eastAsia" w:ascii="仿宋" w:hAnsi="仿宋" w:eastAsia="仿宋" w:cs="仿宋"/>
                <w:b/>
                <w:color w:val="auto"/>
                <w:sz w:val="24"/>
                <w:szCs w:val="24"/>
              </w:rPr>
              <w:t>仅次于最大值。</w:t>
            </w:r>
          </w:p>
        </w:tc>
        <w:tc>
          <w:tcPr>
            <w:tcW w:w="42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2"/>
                <w:lang w:val="en-US" w:eastAsia="zh-CN" w:bidi="ar-SA"/>
              </w:rPr>
            </w:pPr>
            <w:r>
              <w:rPr>
                <w:rFonts w:hint="eastAsia" w:ascii="仿宋" w:hAnsi="仿宋" w:eastAsia="仿宋" w:cs="仿宋"/>
                <w:color w:val="auto"/>
                <w:sz w:val="24"/>
                <w:szCs w:val="24"/>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32"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369" w:type="pct"/>
            <w:vMerge w:val="restart"/>
            <w:tcBorders>
              <w:top w:val="single" w:color="auto" w:sz="4" w:space="0"/>
              <w:left w:val="single" w:color="auto" w:sz="4" w:space="0"/>
              <w:bottom w:val="single" w:color="auto" w:sz="4" w:space="0"/>
              <w:right w:val="single" w:color="000000"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绳索救援套装</w:t>
            </w:r>
          </w:p>
        </w:tc>
        <w:tc>
          <w:tcPr>
            <w:tcW w:w="620" w:type="pct"/>
            <w:tcBorders>
              <w:top w:val="single" w:color="auto" w:sz="4" w:space="0"/>
              <w:left w:val="single" w:color="000000"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▲3.7下降器：极限负荷≥13kN</w:t>
            </w:r>
          </w:p>
        </w:tc>
        <w:tc>
          <w:tcPr>
            <w:tcW w:w="325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所投产品</w:t>
            </w:r>
            <w:r>
              <w:rPr>
                <w:rFonts w:hint="eastAsia" w:ascii="仿宋" w:hAnsi="仿宋" w:eastAsia="仿宋" w:cs="仿宋"/>
                <w:color w:val="auto"/>
                <w:sz w:val="24"/>
                <w:szCs w:val="24"/>
                <w:lang w:val="en-US" w:eastAsia="zh-CN"/>
              </w:rPr>
              <w:t>极限负荷</w:t>
            </w:r>
            <w:r>
              <w:rPr>
                <w:rFonts w:hint="eastAsia" w:ascii="仿宋" w:hAnsi="仿宋" w:eastAsia="仿宋" w:cs="仿宋"/>
                <w:color w:val="auto"/>
                <w:sz w:val="24"/>
                <w:szCs w:val="24"/>
              </w:rPr>
              <w:t>优于招标文件要求的，</w:t>
            </w:r>
            <w:r>
              <w:rPr>
                <w:rFonts w:hint="eastAsia" w:ascii="仿宋" w:hAnsi="仿宋" w:eastAsia="仿宋" w:cs="仿宋"/>
                <w:color w:val="auto"/>
                <w:sz w:val="24"/>
                <w:szCs w:val="24"/>
                <w:lang w:val="en-US" w:eastAsia="zh-CN"/>
              </w:rPr>
              <w:t>极限负荷</w:t>
            </w:r>
            <w:r>
              <w:rPr>
                <w:rFonts w:hint="eastAsia" w:ascii="仿宋" w:hAnsi="仿宋" w:eastAsia="仿宋" w:cs="仿宋"/>
                <w:color w:val="auto"/>
                <w:sz w:val="24"/>
                <w:szCs w:val="24"/>
              </w:rPr>
              <w:t>最优的加</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分，</w:t>
            </w:r>
            <w:r>
              <w:rPr>
                <w:rFonts w:hint="eastAsia" w:ascii="仿宋" w:hAnsi="仿宋" w:eastAsia="仿宋" w:cs="仿宋"/>
                <w:color w:val="auto"/>
                <w:sz w:val="24"/>
                <w:szCs w:val="24"/>
                <w:lang w:val="en-US" w:eastAsia="zh-CN"/>
              </w:rPr>
              <w:t>极限负荷</w:t>
            </w:r>
            <w:r>
              <w:rPr>
                <w:rFonts w:hint="eastAsia" w:ascii="仿宋" w:hAnsi="仿宋" w:eastAsia="仿宋" w:cs="仿宋"/>
                <w:color w:val="auto"/>
                <w:sz w:val="24"/>
                <w:szCs w:val="24"/>
              </w:rPr>
              <w:t>次优的加2分，其余加1分。（可并列得分）</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2"/>
                <w:lang w:val="en-US" w:eastAsia="zh-CN" w:bidi="ar-SA"/>
              </w:rPr>
            </w:pPr>
            <w:r>
              <w:rPr>
                <w:rFonts w:hint="eastAsia" w:ascii="仿宋" w:hAnsi="仿宋" w:eastAsia="仿宋" w:cs="仿宋"/>
                <w:b/>
                <w:color w:val="auto"/>
                <w:sz w:val="24"/>
                <w:szCs w:val="24"/>
              </w:rPr>
              <w:t>注：最优表示</w:t>
            </w:r>
            <w:r>
              <w:rPr>
                <w:rFonts w:hint="eastAsia" w:ascii="仿宋" w:hAnsi="仿宋" w:eastAsia="仿宋" w:cs="仿宋"/>
                <w:b/>
                <w:color w:val="auto"/>
                <w:sz w:val="24"/>
                <w:szCs w:val="24"/>
                <w:lang w:val="en-US" w:eastAsia="zh-CN"/>
              </w:rPr>
              <w:t>极限负荷</w:t>
            </w:r>
            <w:r>
              <w:rPr>
                <w:rFonts w:hint="eastAsia" w:ascii="仿宋" w:hAnsi="仿宋" w:eastAsia="仿宋" w:cs="仿宋"/>
                <w:b/>
                <w:color w:val="auto"/>
                <w:sz w:val="24"/>
                <w:szCs w:val="24"/>
              </w:rPr>
              <w:t>最大，次优表示</w:t>
            </w:r>
            <w:r>
              <w:rPr>
                <w:rFonts w:hint="eastAsia" w:ascii="仿宋" w:hAnsi="仿宋" w:eastAsia="仿宋" w:cs="仿宋"/>
                <w:b/>
                <w:color w:val="auto"/>
                <w:sz w:val="24"/>
                <w:szCs w:val="24"/>
                <w:lang w:val="en-US" w:eastAsia="zh-CN"/>
              </w:rPr>
              <w:t>极限负荷</w:t>
            </w:r>
            <w:r>
              <w:rPr>
                <w:rFonts w:hint="eastAsia" w:ascii="仿宋" w:hAnsi="仿宋" w:eastAsia="仿宋" w:cs="仿宋"/>
                <w:b/>
                <w:color w:val="auto"/>
                <w:sz w:val="24"/>
                <w:szCs w:val="24"/>
              </w:rPr>
              <w:t>仅次于最大值。</w:t>
            </w:r>
          </w:p>
        </w:tc>
        <w:tc>
          <w:tcPr>
            <w:tcW w:w="42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2"/>
                <w:lang w:val="en-US" w:eastAsia="zh-CN" w:bidi="ar-SA"/>
              </w:rPr>
            </w:pPr>
            <w:r>
              <w:rPr>
                <w:rFonts w:hint="eastAsia" w:ascii="仿宋" w:hAnsi="仿宋" w:eastAsia="仿宋" w:cs="仿宋"/>
                <w:color w:val="auto"/>
                <w:sz w:val="24"/>
                <w:szCs w:val="24"/>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32"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369" w:type="pct"/>
            <w:vMerge w:val="continue"/>
            <w:tcBorders>
              <w:top w:val="single" w:color="auto" w:sz="4" w:space="0"/>
              <w:left w:val="single" w:color="auto" w:sz="4" w:space="0"/>
              <w:bottom w:val="single" w:color="auto" w:sz="4" w:space="0"/>
              <w:right w:val="single" w:color="000000"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p>
        </w:tc>
        <w:tc>
          <w:tcPr>
            <w:tcW w:w="620" w:type="pct"/>
            <w:tcBorders>
              <w:top w:val="single" w:color="auto" w:sz="4" w:space="0"/>
              <w:left w:val="single" w:color="000000"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▲3.12双滑轮：最大工作负荷：≥12kN</w:t>
            </w:r>
          </w:p>
        </w:tc>
        <w:tc>
          <w:tcPr>
            <w:tcW w:w="325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所投产品</w:t>
            </w:r>
            <w:r>
              <w:rPr>
                <w:rFonts w:hint="eastAsia" w:ascii="仿宋" w:hAnsi="仿宋" w:eastAsia="仿宋" w:cs="仿宋"/>
                <w:color w:val="auto"/>
                <w:sz w:val="24"/>
                <w:szCs w:val="24"/>
                <w:lang w:val="en-US" w:eastAsia="zh-CN"/>
              </w:rPr>
              <w:t>最大工作负荷</w:t>
            </w:r>
            <w:r>
              <w:rPr>
                <w:rFonts w:hint="eastAsia" w:ascii="仿宋" w:hAnsi="仿宋" w:eastAsia="仿宋" w:cs="仿宋"/>
                <w:color w:val="auto"/>
                <w:sz w:val="24"/>
                <w:szCs w:val="24"/>
              </w:rPr>
              <w:t>优于招标文件要求的，</w:t>
            </w:r>
            <w:r>
              <w:rPr>
                <w:rFonts w:hint="eastAsia" w:ascii="仿宋" w:hAnsi="仿宋" w:eastAsia="仿宋" w:cs="仿宋"/>
                <w:color w:val="auto"/>
                <w:sz w:val="24"/>
                <w:szCs w:val="24"/>
                <w:lang w:val="en-US" w:eastAsia="zh-CN"/>
              </w:rPr>
              <w:t>最大工作负荷</w:t>
            </w:r>
            <w:r>
              <w:rPr>
                <w:rFonts w:hint="eastAsia" w:ascii="仿宋" w:hAnsi="仿宋" w:eastAsia="仿宋" w:cs="仿宋"/>
                <w:color w:val="auto"/>
                <w:sz w:val="24"/>
                <w:szCs w:val="24"/>
              </w:rPr>
              <w:t>最优的加</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分，</w:t>
            </w:r>
            <w:r>
              <w:rPr>
                <w:rFonts w:hint="eastAsia" w:ascii="仿宋" w:hAnsi="仿宋" w:eastAsia="仿宋" w:cs="仿宋"/>
                <w:color w:val="auto"/>
                <w:sz w:val="24"/>
                <w:szCs w:val="24"/>
                <w:lang w:val="en-US" w:eastAsia="zh-CN"/>
              </w:rPr>
              <w:t>最大工作负荷</w:t>
            </w:r>
            <w:r>
              <w:rPr>
                <w:rFonts w:hint="eastAsia" w:ascii="仿宋" w:hAnsi="仿宋" w:eastAsia="仿宋" w:cs="仿宋"/>
                <w:color w:val="auto"/>
                <w:sz w:val="24"/>
                <w:szCs w:val="24"/>
              </w:rPr>
              <w:t>次优的加2分，其余加1分。（可并列得分）</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2"/>
                <w:lang w:val="en-US" w:eastAsia="zh-CN" w:bidi="ar-SA"/>
              </w:rPr>
            </w:pPr>
            <w:r>
              <w:rPr>
                <w:rFonts w:hint="eastAsia" w:ascii="仿宋" w:hAnsi="仿宋" w:eastAsia="仿宋" w:cs="仿宋"/>
                <w:b/>
                <w:color w:val="auto"/>
                <w:sz w:val="24"/>
                <w:szCs w:val="24"/>
              </w:rPr>
              <w:t>注：最优表示</w:t>
            </w:r>
            <w:r>
              <w:rPr>
                <w:rFonts w:hint="eastAsia" w:ascii="仿宋" w:hAnsi="仿宋" w:eastAsia="仿宋" w:cs="仿宋"/>
                <w:b/>
                <w:color w:val="auto"/>
                <w:sz w:val="24"/>
                <w:szCs w:val="24"/>
                <w:lang w:val="en-US" w:eastAsia="zh-CN"/>
              </w:rPr>
              <w:t>最大工作负荷</w:t>
            </w:r>
            <w:r>
              <w:rPr>
                <w:rFonts w:hint="eastAsia" w:ascii="仿宋" w:hAnsi="仿宋" w:eastAsia="仿宋" w:cs="仿宋"/>
                <w:b/>
                <w:color w:val="auto"/>
                <w:sz w:val="24"/>
                <w:szCs w:val="24"/>
              </w:rPr>
              <w:t>最大，次优表示</w:t>
            </w:r>
            <w:r>
              <w:rPr>
                <w:rFonts w:hint="eastAsia" w:ascii="仿宋" w:hAnsi="仿宋" w:eastAsia="仿宋" w:cs="仿宋"/>
                <w:b/>
                <w:color w:val="auto"/>
                <w:sz w:val="24"/>
                <w:szCs w:val="24"/>
                <w:lang w:val="en-US" w:eastAsia="zh-CN"/>
              </w:rPr>
              <w:t>最大工作负荷</w:t>
            </w:r>
            <w:r>
              <w:rPr>
                <w:rFonts w:hint="eastAsia" w:ascii="仿宋" w:hAnsi="仿宋" w:eastAsia="仿宋" w:cs="仿宋"/>
                <w:b/>
                <w:color w:val="auto"/>
                <w:sz w:val="24"/>
                <w:szCs w:val="24"/>
              </w:rPr>
              <w:t>仅次于最大值。</w:t>
            </w:r>
          </w:p>
        </w:tc>
        <w:tc>
          <w:tcPr>
            <w:tcW w:w="42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2"/>
                <w:lang w:val="en-US" w:eastAsia="zh-CN" w:bidi="ar-SA"/>
              </w:rPr>
            </w:pPr>
            <w:r>
              <w:rPr>
                <w:rFonts w:hint="eastAsia" w:ascii="仿宋" w:hAnsi="仿宋" w:eastAsia="仿宋" w:cs="仿宋"/>
                <w:color w:val="auto"/>
                <w:sz w:val="24"/>
                <w:szCs w:val="24"/>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32"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369" w:type="pct"/>
            <w:vMerge w:val="continue"/>
            <w:tcBorders>
              <w:top w:val="single" w:color="auto" w:sz="4" w:space="0"/>
              <w:left w:val="single" w:color="auto" w:sz="4" w:space="0"/>
              <w:bottom w:val="single" w:color="auto" w:sz="4" w:space="0"/>
              <w:right w:val="single" w:color="000000"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p>
        </w:tc>
        <w:tc>
          <w:tcPr>
            <w:tcW w:w="620" w:type="pct"/>
            <w:tcBorders>
              <w:top w:val="single" w:color="auto" w:sz="4" w:space="0"/>
              <w:left w:val="single" w:color="000000"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▲3.13单滑轮：最大工作负荷：≥8kN</w:t>
            </w:r>
          </w:p>
        </w:tc>
        <w:tc>
          <w:tcPr>
            <w:tcW w:w="325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所投产品</w:t>
            </w:r>
            <w:r>
              <w:rPr>
                <w:rFonts w:hint="eastAsia" w:ascii="仿宋" w:hAnsi="仿宋" w:eastAsia="仿宋" w:cs="仿宋"/>
                <w:color w:val="auto"/>
                <w:sz w:val="24"/>
                <w:szCs w:val="24"/>
                <w:lang w:val="en-US" w:eastAsia="zh-CN"/>
              </w:rPr>
              <w:t>最大工作负荷</w:t>
            </w:r>
            <w:r>
              <w:rPr>
                <w:rFonts w:hint="eastAsia" w:ascii="仿宋" w:hAnsi="仿宋" w:eastAsia="仿宋" w:cs="仿宋"/>
                <w:color w:val="auto"/>
                <w:sz w:val="24"/>
                <w:szCs w:val="24"/>
              </w:rPr>
              <w:t>优于招标文件要求的，</w:t>
            </w:r>
            <w:r>
              <w:rPr>
                <w:rFonts w:hint="eastAsia" w:ascii="仿宋" w:hAnsi="仿宋" w:eastAsia="仿宋" w:cs="仿宋"/>
                <w:color w:val="auto"/>
                <w:sz w:val="24"/>
                <w:szCs w:val="24"/>
                <w:lang w:val="en-US" w:eastAsia="zh-CN"/>
              </w:rPr>
              <w:t>最大工作负荷</w:t>
            </w:r>
            <w:r>
              <w:rPr>
                <w:rFonts w:hint="eastAsia" w:ascii="仿宋" w:hAnsi="仿宋" w:eastAsia="仿宋" w:cs="仿宋"/>
                <w:color w:val="auto"/>
                <w:sz w:val="24"/>
                <w:szCs w:val="24"/>
              </w:rPr>
              <w:t>最优的加</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分，</w:t>
            </w:r>
            <w:r>
              <w:rPr>
                <w:rFonts w:hint="eastAsia" w:ascii="仿宋" w:hAnsi="仿宋" w:eastAsia="仿宋" w:cs="仿宋"/>
                <w:color w:val="auto"/>
                <w:sz w:val="24"/>
                <w:szCs w:val="24"/>
                <w:lang w:val="en-US" w:eastAsia="zh-CN"/>
              </w:rPr>
              <w:t>最大工作负荷</w:t>
            </w:r>
            <w:r>
              <w:rPr>
                <w:rFonts w:hint="eastAsia" w:ascii="仿宋" w:hAnsi="仿宋" w:eastAsia="仿宋" w:cs="仿宋"/>
                <w:color w:val="auto"/>
                <w:sz w:val="24"/>
                <w:szCs w:val="24"/>
              </w:rPr>
              <w:t>次优的加2分，其余加1分。（可并列得分）</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2"/>
                <w:lang w:val="en-US" w:eastAsia="zh-CN" w:bidi="ar-SA"/>
              </w:rPr>
            </w:pPr>
            <w:r>
              <w:rPr>
                <w:rFonts w:hint="eastAsia" w:ascii="仿宋" w:hAnsi="仿宋" w:eastAsia="仿宋" w:cs="仿宋"/>
                <w:b/>
                <w:color w:val="auto"/>
                <w:sz w:val="24"/>
                <w:szCs w:val="24"/>
              </w:rPr>
              <w:t>注：最优表示</w:t>
            </w:r>
            <w:r>
              <w:rPr>
                <w:rFonts w:hint="eastAsia" w:ascii="仿宋" w:hAnsi="仿宋" w:eastAsia="仿宋" w:cs="仿宋"/>
                <w:b/>
                <w:color w:val="auto"/>
                <w:sz w:val="24"/>
                <w:szCs w:val="24"/>
                <w:lang w:val="en-US" w:eastAsia="zh-CN"/>
              </w:rPr>
              <w:t>最大工作负荷</w:t>
            </w:r>
            <w:r>
              <w:rPr>
                <w:rFonts w:hint="eastAsia" w:ascii="仿宋" w:hAnsi="仿宋" w:eastAsia="仿宋" w:cs="仿宋"/>
                <w:b/>
                <w:color w:val="auto"/>
                <w:sz w:val="24"/>
                <w:szCs w:val="24"/>
              </w:rPr>
              <w:t>最大，次优表示</w:t>
            </w:r>
            <w:r>
              <w:rPr>
                <w:rFonts w:hint="eastAsia" w:ascii="仿宋" w:hAnsi="仿宋" w:eastAsia="仿宋" w:cs="仿宋"/>
                <w:b/>
                <w:color w:val="auto"/>
                <w:sz w:val="24"/>
                <w:szCs w:val="24"/>
                <w:lang w:val="en-US" w:eastAsia="zh-CN"/>
              </w:rPr>
              <w:t>最大工作负荷</w:t>
            </w:r>
            <w:r>
              <w:rPr>
                <w:rFonts w:hint="eastAsia" w:ascii="仿宋" w:hAnsi="仿宋" w:eastAsia="仿宋" w:cs="仿宋"/>
                <w:b/>
                <w:color w:val="auto"/>
                <w:sz w:val="24"/>
                <w:szCs w:val="24"/>
              </w:rPr>
              <w:t>仅次于最大值。</w:t>
            </w:r>
          </w:p>
        </w:tc>
        <w:tc>
          <w:tcPr>
            <w:tcW w:w="42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2"/>
                <w:lang w:val="en-US" w:eastAsia="zh-CN" w:bidi="ar-SA"/>
              </w:rPr>
            </w:pPr>
            <w:r>
              <w:rPr>
                <w:rFonts w:hint="eastAsia" w:ascii="仿宋" w:hAnsi="仿宋" w:eastAsia="仿宋" w:cs="仿宋"/>
                <w:color w:val="auto"/>
                <w:sz w:val="24"/>
                <w:szCs w:val="24"/>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32"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369" w:type="pct"/>
            <w:vMerge w:val="continue"/>
            <w:tcBorders>
              <w:top w:val="single" w:color="auto" w:sz="4" w:space="0"/>
              <w:left w:val="single" w:color="auto" w:sz="4" w:space="0"/>
              <w:bottom w:val="single" w:color="auto" w:sz="4" w:space="0"/>
              <w:right w:val="single" w:color="000000"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p>
        </w:tc>
        <w:tc>
          <w:tcPr>
            <w:tcW w:w="620" w:type="pct"/>
            <w:tcBorders>
              <w:top w:val="single" w:color="auto" w:sz="4" w:space="0"/>
              <w:left w:val="single" w:color="000000"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▲3.18救援滑轮：最小断裂强度≥55kN</w:t>
            </w:r>
          </w:p>
        </w:tc>
        <w:tc>
          <w:tcPr>
            <w:tcW w:w="325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所投产品</w:t>
            </w:r>
            <w:r>
              <w:rPr>
                <w:rFonts w:hint="eastAsia" w:ascii="仿宋" w:hAnsi="仿宋" w:eastAsia="仿宋" w:cs="仿宋"/>
                <w:color w:val="auto"/>
                <w:sz w:val="24"/>
                <w:szCs w:val="24"/>
                <w:lang w:val="en-US" w:eastAsia="zh-CN"/>
              </w:rPr>
              <w:t>最小断裂强度</w:t>
            </w:r>
            <w:r>
              <w:rPr>
                <w:rFonts w:hint="eastAsia" w:ascii="仿宋" w:hAnsi="仿宋" w:eastAsia="仿宋" w:cs="仿宋"/>
                <w:color w:val="auto"/>
                <w:sz w:val="24"/>
                <w:szCs w:val="24"/>
              </w:rPr>
              <w:t>优于招标文件要求的，</w:t>
            </w:r>
            <w:r>
              <w:rPr>
                <w:rFonts w:hint="eastAsia" w:ascii="仿宋" w:hAnsi="仿宋" w:eastAsia="仿宋" w:cs="仿宋"/>
                <w:color w:val="auto"/>
                <w:sz w:val="24"/>
                <w:szCs w:val="24"/>
                <w:lang w:val="en-US" w:eastAsia="zh-CN"/>
              </w:rPr>
              <w:t>最小断裂强度</w:t>
            </w:r>
            <w:r>
              <w:rPr>
                <w:rFonts w:hint="eastAsia" w:ascii="仿宋" w:hAnsi="仿宋" w:eastAsia="仿宋" w:cs="仿宋"/>
                <w:color w:val="auto"/>
                <w:sz w:val="24"/>
                <w:szCs w:val="24"/>
              </w:rPr>
              <w:t>最优的加</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分，</w:t>
            </w:r>
            <w:r>
              <w:rPr>
                <w:rFonts w:hint="eastAsia" w:ascii="仿宋" w:hAnsi="仿宋" w:eastAsia="仿宋" w:cs="仿宋"/>
                <w:color w:val="auto"/>
                <w:sz w:val="24"/>
                <w:szCs w:val="24"/>
                <w:lang w:val="en-US" w:eastAsia="zh-CN"/>
              </w:rPr>
              <w:t>最小断裂强度</w:t>
            </w:r>
            <w:r>
              <w:rPr>
                <w:rFonts w:hint="eastAsia" w:ascii="仿宋" w:hAnsi="仿宋" w:eastAsia="仿宋" w:cs="仿宋"/>
                <w:color w:val="auto"/>
                <w:sz w:val="24"/>
                <w:szCs w:val="24"/>
              </w:rPr>
              <w:t>次优的加2分，其余加1分。（可并列得分）</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2"/>
                <w:lang w:val="en-US" w:eastAsia="zh-CN" w:bidi="ar-SA"/>
              </w:rPr>
            </w:pPr>
            <w:r>
              <w:rPr>
                <w:rFonts w:hint="eastAsia" w:ascii="仿宋" w:hAnsi="仿宋" w:eastAsia="仿宋" w:cs="仿宋"/>
                <w:b/>
                <w:color w:val="auto"/>
                <w:sz w:val="24"/>
                <w:szCs w:val="24"/>
              </w:rPr>
              <w:t>注：最优表示</w:t>
            </w:r>
            <w:r>
              <w:rPr>
                <w:rFonts w:hint="eastAsia" w:ascii="仿宋" w:hAnsi="仿宋" w:eastAsia="仿宋" w:cs="仿宋"/>
                <w:b/>
                <w:color w:val="auto"/>
                <w:sz w:val="24"/>
                <w:szCs w:val="24"/>
                <w:lang w:val="en-US" w:eastAsia="zh-CN"/>
              </w:rPr>
              <w:t>最小断裂强度</w:t>
            </w:r>
            <w:r>
              <w:rPr>
                <w:rFonts w:hint="eastAsia" w:ascii="仿宋" w:hAnsi="仿宋" w:eastAsia="仿宋" w:cs="仿宋"/>
                <w:b/>
                <w:color w:val="auto"/>
                <w:sz w:val="24"/>
                <w:szCs w:val="24"/>
              </w:rPr>
              <w:t>最大，次优表示</w:t>
            </w:r>
            <w:r>
              <w:rPr>
                <w:rFonts w:hint="eastAsia" w:ascii="仿宋" w:hAnsi="仿宋" w:eastAsia="仿宋" w:cs="仿宋"/>
                <w:b/>
                <w:color w:val="auto"/>
                <w:sz w:val="24"/>
                <w:szCs w:val="24"/>
                <w:lang w:val="en-US" w:eastAsia="zh-CN"/>
              </w:rPr>
              <w:t>最小断裂强度</w:t>
            </w:r>
            <w:r>
              <w:rPr>
                <w:rFonts w:hint="eastAsia" w:ascii="仿宋" w:hAnsi="仿宋" w:eastAsia="仿宋" w:cs="仿宋"/>
                <w:b/>
                <w:color w:val="auto"/>
                <w:sz w:val="24"/>
                <w:szCs w:val="24"/>
              </w:rPr>
              <w:t>仅次于最大值。</w:t>
            </w:r>
          </w:p>
        </w:tc>
        <w:tc>
          <w:tcPr>
            <w:tcW w:w="42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2"/>
                <w:lang w:val="en-US" w:eastAsia="zh-CN" w:bidi="ar-SA"/>
              </w:rPr>
            </w:pPr>
            <w:r>
              <w:rPr>
                <w:rFonts w:hint="eastAsia" w:ascii="仿宋" w:hAnsi="仿宋" w:eastAsia="仿宋" w:cs="仿宋"/>
                <w:color w:val="auto"/>
                <w:sz w:val="24"/>
                <w:szCs w:val="24"/>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32"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369" w:type="pct"/>
            <w:vMerge w:val="continue"/>
            <w:tcBorders>
              <w:top w:val="single" w:color="auto" w:sz="4" w:space="0"/>
              <w:left w:val="single" w:color="auto" w:sz="4" w:space="0"/>
              <w:bottom w:val="single" w:color="auto" w:sz="4" w:space="0"/>
              <w:right w:val="single" w:color="000000"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p>
        </w:tc>
        <w:tc>
          <w:tcPr>
            <w:tcW w:w="620" w:type="pct"/>
            <w:tcBorders>
              <w:top w:val="single" w:color="auto" w:sz="4" w:space="0"/>
              <w:left w:val="single" w:color="000000"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▲3.19单滑轮：最小断裂强度：≥40kN</w:t>
            </w:r>
          </w:p>
        </w:tc>
        <w:tc>
          <w:tcPr>
            <w:tcW w:w="325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所投产品</w:t>
            </w:r>
            <w:r>
              <w:rPr>
                <w:rFonts w:hint="eastAsia" w:ascii="仿宋" w:hAnsi="仿宋" w:eastAsia="仿宋" w:cs="仿宋"/>
                <w:color w:val="auto"/>
                <w:sz w:val="24"/>
                <w:szCs w:val="24"/>
                <w:lang w:val="en-US" w:eastAsia="zh-CN"/>
              </w:rPr>
              <w:t>最小断裂强度</w:t>
            </w:r>
            <w:r>
              <w:rPr>
                <w:rFonts w:hint="eastAsia" w:ascii="仿宋" w:hAnsi="仿宋" w:eastAsia="仿宋" w:cs="仿宋"/>
                <w:color w:val="auto"/>
                <w:sz w:val="24"/>
                <w:szCs w:val="24"/>
              </w:rPr>
              <w:t>优于招标文件要求的，</w:t>
            </w:r>
            <w:r>
              <w:rPr>
                <w:rFonts w:hint="eastAsia" w:ascii="仿宋" w:hAnsi="仿宋" w:eastAsia="仿宋" w:cs="仿宋"/>
                <w:color w:val="auto"/>
                <w:sz w:val="24"/>
                <w:szCs w:val="24"/>
                <w:lang w:val="en-US" w:eastAsia="zh-CN"/>
              </w:rPr>
              <w:t>最小断裂强度</w:t>
            </w:r>
            <w:r>
              <w:rPr>
                <w:rFonts w:hint="eastAsia" w:ascii="仿宋" w:hAnsi="仿宋" w:eastAsia="仿宋" w:cs="仿宋"/>
                <w:color w:val="auto"/>
                <w:sz w:val="24"/>
                <w:szCs w:val="24"/>
              </w:rPr>
              <w:t>最优的加</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分，</w:t>
            </w:r>
            <w:r>
              <w:rPr>
                <w:rFonts w:hint="eastAsia" w:ascii="仿宋" w:hAnsi="仿宋" w:eastAsia="仿宋" w:cs="仿宋"/>
                <w:color w:val="auto"/>
                <w:sz w:val="24"/>
                <w:szCs w:val="24"/>
                <w:lang w:val="en-US" w:eastAsia="zh-CN"/>
              </w:rPr>
              <w:t>最小断裂强度</w:t>
            </w:r>
            <w:r>
              <w:rPr>
                <w:rFonts w:hint="eastAsia" w:ascii="仿宋" w:hAnsi="仿宋" w:eastAsia="仿宋" w:cs="仿宋"/>
                <w:color w:val="auto"/>
                <w:sz w:val="24"/>
                <w:szCs w:val="24"/>
              </w:rPr>
              <w:t>次优的加2分，其余加1分。（可并列得分）</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2"/>
                <w:lang w:val="en-US" w:eastAsia="zh-CN" w:bidi="ar-SA"/>
              </w:rPr>
            </w:pPr>
            <w:r>
              <w:rPr>
                <w:rFonts w:hint="eastAsia" w:ascii="仿宋" w:hAnsi="仿宋" w:eastAsia="仿宋" w:cs="仿宋"/>
                <w:b/>
                <w:color w:val="auto"/>
                <w:sz w:val="24"/>
                <w:szCs w:val="24"/>
              </w:rPr>
              <w:t>注：最优表示</w:t>
            </w:r>
            <w:r>
              <w:rPr>
                <w:rFonts w:hint="eastAsia" w:ascii="仿宋" w:hAnsi="仿宋" w:eastAsia="仿宋" w:cs="仿宋"/>
                <w:b/>
                <w:color w:val="auto"/>
                <w:sz w:val="24"/>
                <w:szCs w:val="24"/>
                <w:lang w:val="en-US" w:eastAsia="zh-CN"/>
              </w:rPr>
              <w:t>最小断裂强度</w:t>
            </w:r>
            <w:r>
              <w:rPr>
                <w:rFonts w:hint="eastAsia" w:ascii="仿宋" w:hAnsi="仿宋" w:eastAsia="仿宋" w:cs="仿宋"/>
                <w:b/>
                <w:color w:val="auto"/>
                <w:sz w:val="24"/>
                <w:szCs w:val="24"/>
              </w:rPr>
              <w:t>最大，次优表示</w:t>
            </w:r>
            <w:r>
              <w:rPr>
                <w:rFonts w:hint="eastAsia" w:ascii="仿宋" w:hAnsi="仿宋" w:eastAsia="仿宋" w:cs="仿宋"/>
                <w:b/>
                <w:color w:val="auto"/>
                <w:sz w:val="24"/>
                <w:szCs w:val="24"/>
                <w:lang w:val="en-US" w:eastAsia="zh-CN"/>
              </w:rPr>
              <w:t>最小断裂强度</w:t>
            </w:r>
            <w:r>
              <w:rPr>
                <w:rFonts w:hint="eastAsia" w:ascii="仿宋" w:hAnsi="仿宋" w:eastAsia="仿宋" w:cs="仿宋"/>
                <w:b/>
                <w:color w:val="auto"/>
                <w:sz w:val="24"/>
                <w:szCs w:val="24"/>
              </w:rPr>
              <w:t>仅次于最大值。</w:t>
            </w:r>
          </w:p>
        </w:tc>
        <w:tc>
          <w:tcPr>
            <w:tcW w:w="42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2"/>
                <w:lang w:val="en-US" w:eastAsia="zh-CN" w:bidi="ar-SA"/>
              </w:rPr>
            </w:pPr>
            <w:r>
              <w:rPr>
                <w:rFonts w:hint="eastAsia" w:ascii="仿宋" w:hAnsi="仿宋" w:eastAsia="仿宋" w:cs="仿宋"/>
                <w:color w:val="auto"/>
                <w:sz w:val="24"/>
                <w:szCs w:val="24"/>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32"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369" w:type="pct"/>
            <w:vMerge w:val="continue"/>
            <w:tcBorders>
              <w:top w:val="single" w:color="auto" w:sz="4" w:space="0"/>
              <w:left w:val="single" w:color="auto" w:sz="4" w:space="0"/>
              <w:bottom w:val="single" w:color="auto" w:sz="4" w:space="0"/>
              <w:right w:val="single" w:color="000000"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p>
        </w:tc>
        <w:tc>
          <w:tcPr>
            <w:tcW w:w="620" w:type="pct"/>
            <w:tcBorders>
              <w:top w:val="single" w:color="auto" w:sz="4" w:space="0"/>
              <w:left w:val="single" w:color="000000"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▲3.20过绳结滑轮：最小断裂强度≥42kN</w:t>
            </w:r>
          </w:p>
        </w:tc>
        <w:tc>
          <w:tcPr>
            <w:tcW w:w="325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所投产品</w:t>
            </w:r>
            <w:r>
              <w:rPr>
                <w:rFonts w:hint="eastAsia" w:ascii="仿宋" w:hAnsi="仿宋" w:eastAsia="仿宋" w:cs="仿宋"/>
                <w:color w:val="auto"/>
                <w:sz w:val="24"/>
                <w:szCs w:val="24"/>
                <w:lang w:val="en-US" w:eastAsia="zh-CN"/>
              </w:rPr>
              <w:t>最小断裂强度</w:t>
            </w:r>
            <w:r>
              <w:rPr>
                <w:rFonts w:hint="eastAsia" w:ascii="仿宋" w:hAnsi="仿宋" w:eastAsia="仿宋" w:cs="仿宋"/>
                <w:color w:val="auto"/>
                <w:sz w:val="24"/>
                <w:szCs w:val="24"/>
              </w:rPr>
              <w:t>优于招标文件要求的，</w:t>
            </w:r>
            <w:r>
              <w:rPr>
                <w:rFonts w:hint="eastAsia" w:ascii="仿宋" w:hAnsi="仿宋" w:eastAsia="仿宋" w:cs="仿宋"/>
                <w:color w:val="auto"/>
                <w:sz w:val="24"/>
                <w:szCs w:val="24"/>
                <w:lang w:val="en-US" w:eastAsia="zh-CN"/>
              </w:rPr>
              <w:t>最小断裂强度</w:t>
            </w:r>
            <w:r>
              <w:rPr>
                <w:rFonts w:hint="eastAsia" w:ascii="仿宋" w:hAnsi="仿宋" w:eastAsia="仿宋" w:cs="仿宋"/>
                <w:color w:val="auto"/>
                <w:sz w:val="24"/>
                <w:szCs w:val="24"/>
              </w:rPr>
              <w:t>最优的加</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分，</w:t>
            </w:r>
            <w:r>
              <w:rPr>
                <w:rFonts w:hint="eastAsia" w:ascii="仿宋" w:hAnsi="仿宋" w:eastAsia="仿宋" w:cs="仿宋"/>
                <w:color w:val="auto"/>
                <w:sz w:val="24"/>
                <w:szCs w:val="24"/>
                <w:lang w:val="en-US" w:eastAsia="zh-CN"/>
              </w:rPr>
              <w:t>最小断裂强度</w:t>
            </w:r>
            <w:r>
              <w:rPr>
                <w:rFonts w:hint="eastAsia" w:ascii="仿宋" w:hAnsi="仿宋" w:eastAsia="仿宋" w:cs="仿宋"/>
                <w:color w:val="auto"/>
                <w:sz w:val="24"/>
                <w:szCs w:val="24"/>
              </w:rPr>
              <w:t>次优的加2分，其余加1分。（可并列得分）</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2"/>
                <w:lang w:val="en-US" w:eastAsia="zh-CN" w:bidi="ar-SA"/>
              </w:rPr>
            </w:pPr>
            <w:r>
              <w:rPr>
                <w:rFonts w:hint="eastAsia" w:ascii="仿宋" w:hAnsi="仿宋" w:eastAsia="仿宋" w:cs="仿宋"/>
                <w:b/>
                <w:color w:val="auto"/>
                <w:sz w:val="24"/>
                <w:szCs w:val="24"/>
              </w:rPr>
              <w:t>注：最优表示</w:t>
            </w:r>
            <w:r>
              <w:rPr>
                <w:rFonts w:hint="eastAsia" w:ascii="仿宋" w:hAnsi="仿宋" w:eastAsia="仿宋" w:cs="仿宋"/>
                <w:b/>
                <w:color w:val="auto"/>
                <w:sz w:val="24"/>
                <w:szCs w:val="24"/>
                <w:lang w:val="en-US" w:eastAsia="zh-CN"/>
              </w:rPr>
              <w:t>最小断裂强度</w:t>
            </w:r>
            <w:r>
              <w:rPr>
                <w:rFonts w:hint="eastAsia" w:ascii="仿宋" w:hAnsi="仿宋" w:eastAsia="仿宋" w:cs="仿宋"/>
                <w:b/>
                <w:color w:val="auto"/>
                <w:sz w:val="24"/>
                <w:szCs w:val="24"/>
              </w:rPr>
              <w:t>最大，次优表示</w:t>
            </w:r>
            <w:r>
              <w:rPr>
                <w:rFonts w:hint="eastAsia" w:ascii="仿宋" w:hAnsi="仿宋" w:eastAsia="仿宋" w:cs="仿宋"/>
                <w:b/>
                <w:color w:val="auto"/>
                <w:sz w:val="24"/>
                <w:szCs w:val="24"/>
                <w:lang w:val="en-US" w:eastAsia="zh-CN"/>
              </w:rPr>
              <w:t>最小断裂强度</w:t>
            </w:r>
            <w:r>
              <w:rPr>
                <w:rFonts w:hint="eastAsia" w:ascii="仿宋" w:hAnsi="仿宋" w:eastAsia="仿宋" w:cs="仿宋"/>
                <w:b/>
                <w:color w:val="auto"/>
                <w:sz w:val="24"/>
                <w:szCs w:val="24"/>
              </w:rPr>
              <w:t>仅次于最大值。</w:t>
            </w:r>
          </w:p>
        </w:tc>
        <w:tc>
          <w:tcPr>
            <w:tcW w:w="42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2"/>
                <w:lang w:val="en-US" w:eastAsia="zh-CN" w:bidi="ar-SA"/>
              </w:rPr>
            </w:pPr>
            <w:r>
              <w:rPr>
                <w:rFonts w:hint="eastAsia" w:ascii="仿宋" w:hAnsi="仿宋" w:eastAsia="仿宋" w:cs="仿宋"/>
                <w:color w:val="auto"/>
                <w:sz w:val="24"/>
                <w:szCs w:val="24"/>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32" w:type="pct"/>
            <w:vMerge w:val="continue"/>
            <w:tcBorders>
              <w:top w:val="single" w:color="auto" w:sz="4" w:space="0"/>
              <w:left w:val="single" w:color="auto" w:sz="4" w:space="0"/>
              <w:bottom w:val="single" w:color="auto" w:sz="4" w:space="0"/>
              <w:right w:val="single" w:color="auto" w:sz="4" w:space="0"/>
              <w:tl2br w:val="nil"/>
              <w:tr2bl w:val="nil"/>
            </w:tcBorders>
            <w:noWrap w:val="0"/>
            <w:vAlign w:val="top"/>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p>
        </w:tc>
        <w:tc>
          <w:tcPr>
            <w:tcW w:w="4667" w:type="pct"/>
            <w:gridSpan w:val="4"/>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lang w:eastAsia="zh-CN"/>
              </w:rPr>
            </w:pPr>
            <w:r>
              <w:rPr>
                <w:rFonts w:hint="eastAsia" w:ascii="仿宋" w:hAnsi="仿宋" w:eastAsia="仿宋" w:cs="仿宋"/>
                <w:b/>
                <w:color w:val="auto"/>
                <w:sz w:val="24"/>
                <w:szCs w:val="24"/>
              </w:rPr>
              <w:t>评审依据：提供技术条款响应表和技术支撑文件</w:t>
            </w:r>
            <w:r>
              <w:rPr>
                <w:rFonts w:hint="eastAsia" w:ascii="仿宋" w:hAnsi="仿宋" w:eastAsia="仿宋" w:cs="仿宋"/>
                <w:b/>
                <w:color w:val="auto"/>
                <w:sz w:val="24"/>
                <w:szCs w:val="24"/>
                <w:lang w:eastAsia="zh-CN"/>
              </w:rPr>
              <w:t>。</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w:t>
            </w:r>
            <w:r>
              <w:rPr>
                <w:rFonts w:hint="eastAsia" w:ascii="仿宋" w:hAnsi="仿宋" w:eastAsia="仿宋" w:cs="仿宋"/>
                <w:b/>
                <w:color w:val="auto"/>
                <w:sz w:val="24"/>
                <w:szCs w:val="24"/>
                <w:lang w:val="en-US" w:eastAsia="zh-CN"/>
              </w:rPr>
              <w:t>说明：技术支撑文件为以下任意3种材料中的其中1种材料：</w:t>
            </w:r>
            <w:r>
              <w:rPr>
                <w:rFonts w:hint="eastAsia" w:ascii="仿宋" w:hAnsi="仿宋" w:eastAsia="仿宋" w:cs="仿宋"/>
                <w:b/>
                <w:color w:val="auto"/>
                <w:sz w:val="24"/>
                <w:szCs w:val="24"/>
              </w:rPr>
              <w:t>①</w:t>
            </w:r>
            <w:r>
              <w:rPr>
                <w:rFonts w:hint="eastAsia" w:ascii="仿宋" w:hAnsi="仿宋" w:eastAsia="仿宋" w:cs="仿宋"/>
                <w:b/>
                <w:color w:val="auto"/>
                <w:sz w:val="24"/>
                <w:szCs w:val="24"/>
                <w:lang w:val="en-US" w:eastAsia="zh-CN"/>
              </w:rPr>
              <w:t>所投</w:t>
            </w:r>
            <w:r>
              <w:rPr>
                <w:rFonts w:hint="eastAsia" w:ascii="仿宋" w:hAnsi="仿宋" w:eastAsia="仿宋" w:cs="仿宋"/>
                <w:b/>
                <w:color w:val="auto"/>
                <w:sz w:val="24"/>
                <w:szCs w:val="24"/>
              </w:rPr>
              <w:t>产品检测报告复印件</w:t>
            </w:r>
            <w:r>
              <w:rPr>
                <w:rFonts w:hint="eastAsia" w:ascii="仿宋" w:hAnsi="仿宋" w:eastAsia="仿宋" w:cs="仿宋"/>
                <w:b/>
                <w:color w:val="auto"/>
                <w:sz w:val="24"/>
                <w:szCs w:val="24"/>
                <w:lang w:val="en-US" w:eastAsia="zh-CN"/>
              </w:rPr>
              <w:t>；</w:t>
            </w:r>
            <w:r>
              <w:rPr>
                <w:rFonts w:hint="eastAsia" w:ascii="仿宋" w:hAnsi="仿宋" w:eastAsia="仿宋" w:cs="仿宋"/>
                <w:b/>
                <w:color w:val="auto"/>
                <w:sz w:val="24"/>
                <w:szCs w:val="24"/>
              </w:rPr>
              <w:t>②</w:t>
            </w:r>
            <w:r>
              <w:rPr>
                <w:rFonts w:hint="eastAsia" w:ascii="仿宋" w:hAnsi="仿宋" w:eastAsia="仿宋" w:cs="仿宋"/>
                <w:b/>
                <w:color w:val="auto"/>
                <w:sz w:val="24"/>
                <w:szCs w:val="24"/>
                <w:lang w:val="en-US" w:eastAsia="zh-CN"/>
              </w:rPr>
              <w:t>制造商公开发布的</w:t>
            </w:r>
            <w:r>
              <w:rPr>
                <w:rFonts w:hint="eastAsia" w:ascii="仿宋" w:hAnsi="仿宋" w:eastAsia="仿宋" w:cs="仿宋"/>
                <w:b/>
                <w:color w:val="auto"/>
                <w:sz w:val="24"/>
                <w:szCs w:val="24"/>
              </w:rPr>
              <w:t>产品</w:t>
            </w:r>
            <w:r>
              <w:rPr>
                <w:rFonts w:hint="eastAsia" w:ascii="仿宋" w:hAnsi="仿宋" w:eastAsia="仿宋" w:cs="仿宋"/>
                <w:b/>
                <w:color w:val="auto"/>
                <w:sz w:val="24"/>
                <w:szCs w:val="24"/>
                <w:lang w:val="en-US" w:eastAsia="zh-CN"/>
              </w:rPr>
              <w:t>印刷资料</w:t>
            </w:r>
            <w:r>
              <w:rPr>
                <w:rFonts w:hint="eastAsia" w:ascii="仿宋" w:hAnsi="仿宋" w:eastAsia="仿宋" w:cs="仿宋"/>
                <w:b/>
                <w:color w:val="auto"/>
                <w:sz w:val="24"/>
                <w:szCs w:val="24"/>
              </w:rPr>
              <w:t>并加盖制造商公章</w:t>
            </w:r>
            <w:r>
              <w:rPr>
                <w:rFonts w:hint="eastAsia" w:ascii="仿宋" w:hAnsi="仿宋" w:eastAsia="仿宋" w:cs="仿宋"/>
                <w:b/>
                <w:color w:val="auto"/>
                <w:sz w:val="24"/>
                <w:szCs w:val="24"/>
                <w:lang w:val="en-US" w:eastAsia="zh-CN"/>
              </w:rPr>
              <w:t>；</w:t>
            </w:r>
            <w:r>
              <w:rPr>
                <w:rFonts w:hint="eastAsia" w:ascii="仿宋" w:hAnsi="仿宋" w:eastAsia="仿宋" w:cs="仿宋"/>
                <w:b/>
                <w:color w:val="auto"/>
                <w:sz w:val="24"/>
                <w:szCs w:val="24"/>
              </w:rPr>
              <w:t>③制造商出具的技术参数证明材料并加盖制造商公章。]</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b/>
                <w:color w:val="auto"/>
                <w:sz w:val="24"/>
                <w:szCs w:val="24"/>
              </w:rPr>
              <w:t>注：①供应商应认真提供技术支撑文件，若提供多份技术支撑文件，技术支撑文件佐证不一致时，优先级为：产品检测报告复印件＞制造商公开发布的印刷资料＞制造商出具的技术参数证明</w:t>
            </w:r>
            <w:r>
              <w:rPr>
                <w:rFonts w:hint="eastAsia" w:ascii="仿宋" w:hAnsi="仿宋" w:eastAsia="仿宋" w:cs="仿宋"/>
                <w:b/>
                <w:color w:val="auto"/>
                <w:sz w:val="24"/>
                <w:szCs w:val="24"/>
                <w:lang w:val="en-US" w:eastAsia="zh-CN"/>
              </w:rPr>
              <w:t>材料</w:t>
            </w:r>
            <w:r>
              <w:rPr>
                <w:rFonts w:hint="eastAsia" w:ascii="仿宋" w:hAnsi="仿宋" w:eastAsia="仿宋" w:cs="仿宋"/>
                <w:b/>
                <w:color w:val="auto"/>
                <w:sz w:val="24"/>
                <w:szCs w:val="24"/>
              </w:rPr>
              <w:t>；②技术支撑文件</w:t>
            </w:r>
            <w:r>
              <w:rPr>
                <w:rFonts w:hint="eastAsia" w:ascii="仿宋" w:hAnsi="仿宋" w:eastAsia="仿宋" w:cs="仿宋"/>
                <w:b/>
                <w:color w:val="auto"/>
                <w:sz w:val="24"/>
                <w:szCs w:val="24"/>
                <w:lang w:val="en-US" w:eastAsia="zh-CN"/>
              </w:rPr>
              <w:t>与</w:t>
            </w:r>
            <w:r>
              <w:rPr>
                <w:rFonts w:hint="eastAsia" w:ascii="仿宋" w:hAnsi="仿宋" w:eastAsia="仿宋" w:cs="仿宋"/>
                <w:b/>
                <w:color w:val="auto"/>
                <w:sz w:val="24"/>
                <w:szCs w:val="24"/>
              </w:rPr>
              <w:t>技术条款响应表</w:t>
            </w:r>
            <w:r>
              <w:rPr>
                <w:rFonts w:hint="eastAsia" w:ascii="仿宋" w:hAnsi="仿宋" w:eastAsia="仿宋" w:cs="仿宋"/>
                <w:b/>
                <w:color w:val="auto"/>
                <w:sz w:val="24"/>
                <w:szCs w:val="24"/>
                <w:lang w:eastAsia="zh-CN"/>
              </w:rPr>
              <w:t>不一致，则</w:t>
            </w:r>
            <w:r>
              <w:rPr>
                <w:rFonts w:hint="eastAsia" w:ascii="仿宋" w:hAnsi="仿宋" w:eastAsia="仿宋" w:cs="仿宋"/>
                <w:b/>
                <w:color w:val="auto"/>
                <w:sz w:val="24"/>
                <w:szCs w:val="24"/>
              </w:rPr>
              <w:t>该点不加分</w:t>
            </w:r>
            <w:r>
              <w:rPr>
                <w:rFonts w:hint="eastAsia" w:ascii="仿宋" w:hAnsi="仿宋" w:eastAsia="仿宋" w:cs="仿宋"/>
                <w:b/>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32" w:type="pct"/>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990"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整体结构与外观</w:t>
            </w:r>
          </w:p>
        </w:tc>
        <w:tc>
          <w:tcPr>
            <w:tcW w:w="325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根据视频文件对核心产品的外观构造、内部结构、设计理念等进行评审。</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设计理念先进，外部构造和内部结构科学合理，整体结构外观与实战紧贴程度高的，得3分；设计理念较为先进，外部构造和内部结构较为合理，整体结构外观与实战紧贴程度较高的，得2分；设计理念一般，外观构造和内部结构基本合理，整体结构外观与实战紧贴程度不高的，得1分；未提供证明材料或证明材料有缺项的不得分。</w:t>
            </w:r>
          </w:p>
        </w:tc>
        <w:tc>
          <w:tcPr>
            <w:tcW w:w="42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32"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990"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工艺</w:t>
            </w:r>
          </w:p>
        </w:tc>
        <w:tc>
          <w:tcPr>
            <w:tcW w:w="325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根据视频文件对核心产品的安全性、耐用性、实用性等进行评审。</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安全性能高、耐用性能好、实用性能强，工艺符合实战需求程度高的，得3分；安全性能较高、耐用性能良好、实用性能较强，工艺符合实战需求程度较高的，得2分；安全性能不高、耐用性能普通、实用性能一般，工艺符合实战需求程度不高的，得1分；未提供证明材料或证明材料有缺项的不得分。</w:t>
            </w:r>
          </w:p>
        </w:tc>
        <w:tc>
          <w:tcPr>
            <w:tcW w:w="42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32"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990"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操作使用性能</w:t>
            </w:r>
          </w:p>
        </w:tc>
        <w:tc>
          <w:tcPr>
            <w:tcW w:w="325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根据视频文件对核心产品的可靠性、便捷性、稳定性等进行评审。</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可靠性高、便捷性好、稳定性好，操作使用性能提升战斗力程度高的，得4分；可靠性较高、便捷性较好、稳定性良好，操作使用性能提升战斗力程度较高的，得2分；可靠性不高、便捷性和稳定性一般，操作使用性能提升战斗力程度不高的，得1分；未提供证明材料或证明材料有缺项的不得分。</w:t>
            </w:r>
          </w:p>
        </w:tc>
        <w:tc>
          <w:tcPr>
            <w:tcW w:w="423"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32"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p>
        </w:tc>
        <w:tc>
          <w:tcPr>
            <w:tcW w:w="4667" w:type="pct"/>
            <w:gridSpan w:val="4"/>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lang w:eastAsia="zh-CN"/>
              </w:rPr>
            </w:pPr>
            <w:r>
              <w:rPr>
                <w:rFonts w:hint="eastAsia" w:ascii="仿宋" w:hAnsi="仿宋" w:eastAsia="仿宋" w:cs="仿宋"/>
                <w:b/>
                <w:color w:val="auto"/>
                <w:sz w:val="24"/>
                <w:szCs w:val="24"/>
              </w:rPr>
              <w:t>以上评审依据：根据视频文件对产品的整体结构与外观、工艺、操作使用性能进行综合评审，视频文件需对以上三点评审内容进行介绍（包含但不限于以上三点）。视频文件[视频文件格式须为通用格式，佐证视频时长不得超过5分钟，视频清晰度应至少保证所摄的界面文字清晰易辨、画面完整连贯、播放速度正常]应存储于U盘内（单独密封在信封中）与投标文件同时递交，逾期递交不予接收，</w:t>
            </w:r>
            <w:r>
              <w:rPr>
                <w:rFonts w:hint="eastAsia" w:ascii="仿宋" w:hAnsi="仿宋" w:eastAsia="仿宋" w:cs="仿宋"/>
                <w:b/>
                <w:color w:val="auto"/>
                <w:sz w:val="24"/>
                <w:szCs w:val="24"/>
                <w:lang w:eastAsia="zh-CN"/>
              </w:rPr>
              <w:t>U盘由采购代理机构封存，不予退回。未提供视频或视频无法打开的，得0分。</w:t>
            </w:r>
          </w:p>
        </w:tc>
      </w:tr>
    </w:tbl>
    <w:p>
      <w:pPr>
        <w:pageBreakBefore w:val="0"/>
        <w:kinsoku/>
        <w:wordWrap/>
        <w:overflowPunct/>
        <w:topLinePunct w:val="0"/>
        <w:autoSpaceDE/>
        <w:autoSpaceDN/>
        <w:bidi w:val="0"/>
        <w:adjustRightInd/>
        <w:snapToGrid/>
        <w:spacing w:beforeLines="0" w:afterLines="0" w:line="460" w:lineRule="exact"/>
        <w:ind w:firstLine="482" w:firstLineChars="200"/>
        <w:jc w:val="left"/>
        <w:rPr>
          <w:rFonts w:hint="eastAsia" w:ascii="仿宋" w:hAnsi="仿宋" w:eastAsia="仿宋"/>
          <w:b/>
          <w:color w:val="auto"/>
          <w:sz w:val="24"/>
          <w:szCs w:val="24"/>
        </w:rPr>
      </w:pPr>
      <w:r>
        <w:rPr>
          <w:rFonts w:hint="eastAsia" w:ascii="仿宋" w:hAnsi="仿宋" w:eastAsia="仿宋"/>
          <w:b/>
          <w:color w:val="auto"/>
          <w:sz w:val="24"/>
          <w:szCs w:val="24"/>
        </w:rPr>
        <w:t>三、商务部分（1</w:t>
      </w:r>
      <w:r>
        <w:rPr>
          <w:rFonts w:hint="eastAsia" w:ascii="仿宋" w:hAnsi="仿宋" w:eastAsia="仿宋"/>
          <w:b/>
          <w:color w:val="auto"/>
          <w:sz w:val="24"/>
          <w:szCs w:val="24"/>
          <w:lang w:val="en-US" w:eastAsia="zh-CN"/>
        </w:rPr>
        <w:t>5</w:t>
      </w:r>
      <w:r>
        <w:rPr>
          <w:rFonts w:hint="eastAsia" w:ascii="仿宋" w:hAnsi="仿宋" w:eastAsia="仿宋"/>
          <w:b/>
          <w:color w:val="auto"/>
          <w:sz w:val="24"/>
          <w:szCs w:val="24"/>
        </w:rPr>
        <w:t>分）</w:t>
      </w:r>
    </w:p>
    <w:tbl>
      <w:tblPr>
        <w:tblStyle w:val="4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1310"/>
        <w:gridCol w:w="6295"/>
        <w:gridCol w:w="9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eastAsia="仿宋"/>
                <w:b/>
                <w:color w:val="auto"/>
                <w:sz w:val="24"/>
                <w:szCs w:val="24"/>
              </w:rPr>
              <w:t>序号</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eastAsia="仿宋"/>
                <w:b/>
                <w:color w:val="auto"/>
                <w:sz w:val="24"/>
                <w:szCs w:val="24"/>
              </w:rPr>
              <w:t>评审因素</w:t>
            </w:r>
          </w:p>
        </w:tc>
        <w:tc>
          <w:tcPr>
            <w:tcW w:w="338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eastAsia="仿宋"/>
                <w:b/>
                <w:color w:val="auto"/>
                <w:sz w:val="24"/>
                <w:szCs w:val="24"/>
              </w:rPr>
              <w:t>评分标准</w:t>
            </w:r>
          </w:p>
        </w:tc>
        <w:tc>
          <w:tcPr>
            <w:tcW w:w="49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eastAsia="仿宋"/>
                <w:b/>
                <w:color w:val="auto"/>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color w:val="auto"/>
                <w:sz w:val="24"/>
                <w:szCs w:val="24"/>
              </w:rPr>
              <w:t>1</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ascii="仿宋" w:hAnsi="仿宋" w:eastAsia="仿宋" w:cs="仿宋"/>
                <w:color w:val="auto"/>
                <w:sz w:val="24"/>
                <w:szCs w:val="24"/>
              </w:rPr>
              <w:t>符合性评审</w:t>
            </w:r>
          </w:p>
        </w:tc>
        <w:tc>
          <w:tcPr>
            <w:tcW w:w="3887"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cs="Times New Roman"/>
                <w:color w:val="auto"/>
                <w:sz w:val="24"/>
                <w:szCs w:val="22"/>
              </w:rPr>
            </w:pPr>
            <w:r>
              <w:rPr>
                <w:rFonts w:hint="eastAsia" w:eastAsia="仿宋" w:cs="Times New Roman"/>
                <w:color w:val="auto"/>
                <w:sz w:val="24"/>
                <w:szCs w:val="22"/>
              </w:rPr>
              <w:t>投标人必须完全满足招标文件“商务要求”</w:t>
            </w:r>
            <w:r>
              <w:rPr>
                <w:rFonts w:hint="eastAsia" w:eastAsia="仿宋" w:cs="Times New Roman"/>
                <w:color w:val="auto"/>
                <w:sz w:val="24"/>
                <w:szCs w:val="22"/>
                <w:lang w:val="en-US" w:eastAsia="zh-CN"/>
              </w:rPr>
              <w:t>所有</w:t>
            </w:r>
            <w:r>
              <w:rPr>
                <w:rFonts w:hint="eastAsia" w:eastAsia="仿宋" w:cs="Times New Roman"/>
                <w:color w:val="auto"/>
                <w:sz w:val="24"/>
                <w:szCs w:val="22"/>
              </w:rPr>
              <w:t>实质性条款，任意一项不满足作无效投标处理。</w:t>
            </w:r>
          </w:p>
          <w:p>
            <w:pPr>
              <w:pageBreakBefore w:val="0"/>
              <w:kinsoku/>
              <w:wordWrap/>
              <w:overflowPunct/>
              <w:topLinePunct w:val="0"/>
              <w:autoSpaceDE/>
              <w:autoSpaceDN/>
              <w:bidi w:val="0"/>
              <w:adjustRightInd/>
              <w:snapToGrid/>
              <w:spacing w:beforeLines="0" w:afterLines="0" w:line="460" w:lineRule="exact"/>
              <w:rPr>
                <w:rFonts w:hint="eastAsia"/>
                <w:color w:val="auto"/>
                <w:sz w:val="24"/>
                <w:szCs w:val="24"/>
              </w:rPr>
            </w:pPr>
            <w:r>
              <w:rPr>
                <w:rFonts w:hint="eastAsia" w:eastAsia="仿宋" w:cs="Times New Roman"/>
                <w:b/>
                <w:color w:val="auto"/>
                <w:sz w:val="24"/>
                <w:szCs w:val="22"/>
              </w:rPr>
              <w:t>评审依据：投标文件中提供的商务条款响应表。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color w:val="auto"/>
                <w:sz w:val="24"/>
                <w:szCs w:val="24"/>
              </w:rPr>
              <w:t>2</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eastAsia="仿宋"/>
                <w:color w:val="auto"/>
                <w:sz w:val="24"/>
                <w:szCs w:val="24"/>
                <w:lang w:eastAsia="zh-CN"/>
              </w:rPr>
            </w:pPr>
            <w:r>
              <w:rPr>
                <w:rFonts w:hint="eastAsia" w:eastAsia="仿宋"/>
                <w:color w:val="auto"/>
                <w:sz w:val="24"/>
                <w:szCs w:val="24"/>
                <w:lang w:eastAsia="zh-CN"/>
              </w:rPr>
              <w:t>生产制造履约能力</w:t>
            </w:r>
          </w:p>
        </w:tc>
        <w:tc>
          <w:tcPr>
            <w:tcW w:w="338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lang w:eastAsia="zh-CN"/>
              </w:rPr>
            </w:pPr>
            <w:r>
              <w:rPr>
                <w:rFonts w:hint="eastAsia" w:eastAsia="仿宋" w:cs="Times New Roman"/>
                <w:color w:val="auto"/>
                <w:sz w:val="24"/>
                <w:szCs w:val="22"/>
                <w:lang w:val="en-US" w:eastAsia="zh-CN"/>
              </w:rPr>
              <w:t>投标人提供所投核心产品制造商的证明材料（应加盖制造商公章）</w:t>
            </w:r>
            <w:r>
              <w:rPr>
                <w:rFonts w:hint="eastAsia" w:eastAsia="仿宋" w:cs="Times New Roman"/>
                <w:color w:val="auto"/>
                <w:sz w:val="24"/>
                <w:szCs w:val="22"/>
              </w:rPr>
              <w:t>对</w:t>
            </w:r>
            <w:r>
              <w:rPr>
                <w:rFonts w:hint="eastAsia" w:eastAsia="仿宋" w:cs="Times New Roman"/>
                <w:color w:val="auto"/>
                <w:sz w:val="24"/>
                <w:szCs w:val="22"/>
                <w:lang w:eastAsia="zh-CN"/>
              </w:rPr>
              <w:t>生产制造履约能力</w:t>
            </w:r>
            <w:r>
              <w:rPr>
                <w:rFonts w:hint="eastAsia" w:eastAsia="仿宋" w:cs="Times New Roman"/>
                <w:color w:val="auto"/>
                <w:sz w:val="24"/>
                <w:szCs w:val="22"/>
              </w:rPr>
              <w:t>进行评审，包含但不限于</w:t>
            </w:r>
            <w:r>
              <w:rPr>
                <w:rFonts w:hint="eastAsia" w:eastAsia="仿宋" w:cs="Times New Roman"/>
                <w:color w:val="auto"/>
                <w:sz w:val="24"/>
                <w:szCs w:val="22"/>
                <w:lang w:eastAsia="zh-CN"/>
              </w:rPr>
              <w:t>：</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lang w:eastAsia="zh-CN"/>
              </w:rPr>
            </w:pPr>
            <w:r>
              <w:rPr>
                <w:rFonts w:hint="eastAsia" w:eastAsia="仿宋" w:cs="Times New Roman"/>
                <w:color w:val="auto"/>
                <w:sz w:val="24"/>
                <w:szCs w:val="22"/>
                <w:lang w:eastAsia="zh-CN"/>
              </w:rPr>
              <w:t>①制造商生产经营情况简介；</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lang w:eastAsia="zh-CN"/>
              </w:rPr>
            </w:pPr>
            <w:r>
              <w:rPr>
                <w:rFonts w:hint="eastAsia" w:eastAsia="仿宋" w:cs="Times New Roman"/>
                <w:color w:val="auto"/>
                <w:sz w:val="24"/>
                <w:szCs w:val="22"/>
              </w:rPr>
              <w:t>②</w:t>
            </w:r>
            <w:r>
              <w:rPr>
                <w:rFonts w:hint="eastAsia" w:eastAsia="仿宋" w:cs="Times New Roman"/>
                <w:color w:val="auto"/>
                <w:sz w:val="24"/>
                <w:szCs w:val="22"/>
                <w:lang w:eastAsia="zh-CN"/>
              </w:rPr>
              <w:t>生产工艺流程，主要包括生产制造流程图、生产步骤（应含生产车间环境及实际生产照片）等相关情况描述；</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rPr>
            </w:pPr>
            <w:r>
              <w:rPr>
                <w:rFonts w:hint="eastAsia" w:eastAsia="仿宋" w:cs="Times New Roman"/>
                <w:color w:val="auto"/>
                <w:sz w:val="24"/>
                <w:szCs w:val="22"/>
              </w:rPr>
              <w:t>③产品检验流程，包括主要检验设备</w:t>
            </w:r>
            <w:r>
              <w:rPr>
                <w:rFonts w:hint="eastAsia" w:eastAsia="仿宋" w:cs="Times New Roman"/>
                <w:color w:val="auto"/>
                <w:sz w:val="24"/>
                <w:szCs w:val="22"/>
                <w:lang w:eastAsia="zh-CN"/>
              </w:rPr>
              <w:t>（应提供图片）</w:t>
            </w:r>
            <w:r>
              <w:rPr>
                <w:rFonts w:hint="eastAsia" w:eastAsia="仿宋" w:cs="Times New Roman"/>
                <w:color w:val="auto"/>
                <w:sz w:val="24"/>
                <w:szCs w:val="22"/>
              </w:rPr>
              <w:t>、检验步骤等相关情况描述；</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rPr>
            </w:pPr>
            <w:r>
              <w:rPr>
                <w:rFonts w:hint="eastAsia" w:eastAsia="仿宋" w:cs="Times New Roman"/>
                <w:color w:val="auto"/>
                <w:sz w:val="24"/>
                <w:szCs w:val="22"/>
              </w:rPr>
              <w:t>④人员配备：相关专业技术</w:t>
            </w:r>
            <w:r>
              <w:rPr>
                <w:rFonts w:hint="eastAsia" w:eastAsia="仿宋" w:cs="Times New Roman"/>
                <w:color w:val="auto"/>
                <w:sz w:val="24"/>
                <w:szCs w:val="22"/>
                <w:lang w:eastAsia="zh-CN"/>
              </w:rPr>
              <w:t>职称</w:t>
            </w:r>
            <w:r>
              <w:rPr>
                <w:rFonts w:hint="eastAsia" w:eastAsia="仿宋" w:cs="Times New Roman"/>
                <w:color w:val="auto"/>
                <w:sz w:val="24"/>
                <w:szCs w:val="22"/>
              </w:rPr>
              <w:t>人员配置情况</w:t>
            </w:r>
            <w:r>
              <w:rPr>
                <w:rFonts w:hint="eastAsia" w:eastAsia="仿宋" w:cs="Times New Roman"/>
                <w:color w:val="auto"/>
                <w:sz w:val="24"/>
                <w:szCs w:val="22"/>
                <w:lang w:eastAsia="zh-CN"/>
              </w:rPr>
              <w:t>；</w:t>
            </w:r>
            <w:r>
              <w:rPr>
                <w:rFonts w:hint="eastAsia" w:eastAsia="仿宋" w:cs="Times New Roman"/>
                <w:color w:val="auto"/>
                <w:sz w:val="24"/>
                <w:szCs w:val="22"/>
              </w:rPr>
              <w:t>各原材料采购、生产、检验、仓储、运输等环节的人员配备情况；</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b/>
                <w:color w:val="auto"/>
                <w:sz w:val="24"/>
                <w:szCs w:val="22"/>
              </w:rPr>
            </w:pPr>
            <w:r>
              <w:rPr>
                <w:rFonts w:hint="eastAsia" w:eastAsia="仿宋" w:cs="Times New Roman"/>
                <w:b/>
                <w:color w:val="auto"/>
                <w:sz w:val="24"/>
                <w:szCs w:val="22"/>
              </w:rPr>
              <w:t>评审依据：</w:t>
            </w:r>
            <w:r>
              <w:rPr>
                <w:rFonts w:hint="eastAsia" w:eastAsia="仿宋" w:cs="Times New Roman"/>
                <w:b/>
                <w:color w:val="auto"/>
                <w:sz w:val="24"/>
                <w:szCs w:val="22"/>
                <w:lang w:val="en-US" w:eastAsia="zh-CN"/>
              </w:rPr>
              <w:t>根据</w:t>
            </w:r>
            <w:r>
              <w:rPr>
                <w:rFonts w:hint="eastAsia" w:eastAsia="仿宋" w:cs="Times New Roman"/>
                <w:b/>
                <w:color w:val="auto"/>
                <w:sz w:val="24"/>
                <w:szCs w:val="22"/>
              </w:rPr>
              <w:t>投标人提</w:t>
            </w:r>
            <w:r>
              <w:rPr>
                <w:rFonts w:hint="eastAsia" w:eastAsia="仿宋" w:cs="Times New Roman"/>
                <w:b/>
                <w:color w:val="auto"/>
                <w:sz w:val="24"/>
                <w:szCs w:val="22"/>
                <w:lang w:val="en-US" w:eastAsia="zh-CN"/>
              </w:rPr>
              <w:t>供的生产制造履约能力方案内容完整性、组织性、关联性和可操作性进行评审</w:t>
            </w:r>
            <w:r>
              <w:rPr>
                <w:rFonts w:hint="eastAsia" w:eastAsia="仿宋" w:cs="Times New Roman"/>
                <w:b/>
                <w:color w:val="auto"/>
                <w:sz w:val="24"/>
                <w:szCs w:val="22"/>
              </w:rPr>
              <w:t>。</w:t>
            </w:r>
          </w:p>
          <w:p>
            <w:pPr>
              <w:pageBreakBefore w:val="0"/>
              <w:numPr>
                <w:ilvl w:val="0"/>
                <w:numId w:val="0"/>
              </w:numPr>
              <w:kinsoku/>
              <w:wordWrap/>
              <w:overflowPunct/>
              <w:topLinePunct w:val="0"/>
              <w:autoSpaceDE/>
              <w:autoSpaceDN/>
              <w:bidi w:val="0"/>
              <w:adjustRightInd/>
              <w:snapToGrid/>
              <w:spacing w:beforeLines="0" w:afterLines="0" w:line="460" w:lineRule="exact"/>
              <w:rPr>
                <w:rFonts w:hint="eastAsia" w:ascii="仿宋" w:hAnsi="仿宋" w:eastAsia="仿宋" w:cs="仿宋"/>
                <w:b/>
                <w:color w:val="auto"/>
                <w:sz w:val="24"/>
                <w:szCs w:val="24"/>
              </w:rPr>
            </w:pPr>
            <w:r>
              <w:rPr>
                <w:rFonts w:hint="eastAsia" w:ascii="仿宋" w:hAnsi="仿宋" w:eastAsia="仿宋" w:cs="仿宋"/>
                <w:b/>
                <w:color w:val="auto"/>
                <w:sz w:val="24"/>
                <w:szCs w:val="24"/>
                <w:lang w:val="en-US" w:eastAsia="zh-CN"/>
              </w:rPr>
              <w:t>1、所投</w:t>
            </w:r>
            <w:r>
              <w:rPr>
                <w:rFonts w:hint="eastAsia" w:eastAsia="仿宋" w:cs="Times New Roman"/>
                <w:b/>
                <w:color w:val="auto"/>
                <w:sz w:val="24"/>
                <w:szCs w:val="22"/>
                <w:lang w:val="en-US" w:eastAsia="zh-CN"/>
              </w:rPr>
              <w:t>核心产品</w:t>
            </w:r>
            <w:r>
              <w:rPr>
                <w:rFonts w:hint="eastAsia" w:ascii="仿宋" w:hAnsi="仿宋" w:eastAsia="仿宋" w:cs="仿宋"/>
                <w:b/>
                <w:color w:val="auto"/>
                <w:sz w:val="24"/>
                <w:szCs w:val="24"/>
                <w:lang w:val="en-US" w:eastAsia="zh-CN"/>
              </w:rPr>
              <w:t>制造商具备较强自主研发能力及先进的生产工艺，生产车间环境及生产线先进规范，生产步骤完整周详，技术</w:t>
            </w:r>
            <w:r>
              <w:rPr>
                <w:rFonts w:hint="eastAsia" w:ascii="仿宋" w:hAnsi="仿宋" w:eastAsia="仿宋" w:cs="仿宋"/>
                <w:b/>
                <w:color w:val="auto"/>
                <w:sz w:val="24"/>
                <w:szCs w:val="24"/>
              </w:rPr>
              <w:t>人员配备</w:t>
            </w:r>
            <w:r>
              <w:rPr>
                <w:rFonts w:hint="eastAsia" w:ascii="仿宋" w:hAnsi="仿宋" w:eastAsia="仿宋" w:cs="仿宋"/>
                <w:b/>
                <w:color w:val="auto"/>
                <w:sz w:val="24"/>
                <w:szCs w:val="24"/>
                <w:lang w:val="en-US" w:eastAsia="zh-CN"/>
              </w:rPr>
              <w:t>合理专业齐全</w:t>
            </w:r>
            <w:r>
              <w:rPr>
                <w:rFonts w:hint="eastAsia" w:ascii="仿宋" w:hAnsi="仿宋" w:eastAsia="仿宋" w:cs="仿宋"/>
                <w:b/>
                <w:color w:val="auto"/>
                <w:sz w:val="24"/>
                <w:szCs w:val="24"/>
              </w:rPr>
              <w:t>，</w:t>
            </w:r>
            <w:r>
              <w:rPr>
                <w:rFonts w:hint="eastAsia" w:ascii="仿宋" w:hAnsi="仿宋" w:eastAsia="仿宋" w:cs="仿宋"/>
                <w:b/>
                <w:color w:val="auto"/>
                <w:sz w:val="24"/>
                <w:szCs w:val="24"/>
                <w:lang w:val="en-US" w:eastAsia="zh-CN"/>
              </w:rPr>
              <w:t>检验设备配置齐全、检验步骤严密无纰漏，生产制造履约能力</w:t>
            </w:r>
            <w:r>
              <w:rPr>
                <w:rFonts w:hint="eastAsia" w:ascii="仿宋" w:hAnsi="仿宋" w:eastAsia="仿宋" w:cs="仿宋"/>
                <w:b/>
                <w:color w:val="auto"/>
                <w:sz w:val="24"/>
                <w:szCs w:val="24"/>
              </w:rPr>
              <w:t>高的得</w:t>
            </w:r>
            <w:r>
              <w:rPr>
                <w:rFonts w:hint="eastAsia" w:ascii="仿宋" w:hAnsi="仿宋" w:eastAsia="仿宋" w:cs="仿宋"/>
                <w:b/>
                <w:color w:val="auto"/>
                <w:sz w:val="24"/>
                <w:szCs w:val="24"/>
                <w:lang w:val="en-US" w:eastAsia="zh-CN"/>
              </w:rPr>
              <w:t>5</w:t>
            </w:r>
            <w:r>
              <w:rPr>
                <w:rFonts w:hint="eastAsia" w:ascii="仿宋" w:hAnsi="仿宋" w:eastAsia="仿宋" w:cs="仿宋"/>
                <w:b/>
                <w:color w:val="auto"/>
                <w:sz w:val="24"/>
                <w:szCs w:val="24"/>
              </w:rPr>
              <w:t>分；</w:t>
            </w:r>
          </w:p>
          <w:p>
            <w:pPr>
              <w:pageBreakBefore w:val="0"/>
              <w:numPr>
                <w:ilvl w:val="0"/>
                <w:numId w:val="0"/>
              </w:numPr>
              <w:kinsoku/>
              <w:wordWrap/>
              <w:overflowPunct/>
              <w:topLinePunct w:val="0"/>
              <w:autoSpaceDE/>
              <w:autoSpaceDN/>
              <w:bidi w:val="0"/>
              <w:adjustRightInd/>
              <w:snapToGrid/>
              <w:spacing w:beforeLines="0" w:afterLines="0" w:line="460" w:lineRule="exact"/>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2、所投</w:t>
            </w:r>
            <w:r>
              <w:rPr>
                <w:rFonts w:hint="eastAsia" w:eastAsia="仿宋" w:cs="Times New Roman"/>
                <w:b/>
                <w:color w:val="auto"/>
                <w:sz w:val="24"/>
                <w:szCs w:val="22"/>
                <w:lang w:val="en-US" w:eastAsia="zh-CN"/>
              </w:rPr>
              <w:t>核心产品</w:t>
            </w:r>
            <w:r>
              <w:rPr>
                <w:rFonts w:hint="eastAsia" w:ascii="仿宋" w:hAnsi="仿宋" w:eastAsia="仿宋" w:cs="仿宋"/>
                <w:b/>
                <w:color w:val="auto"/>
                <w:sz w:val="24"/>
                <w:szCs w:val="24"/>
                <w:lang w:val="en-US" w:eastAsia="zh-CN"/>
              </w:rPr>
              <w:t>制造商有自主研发能力和生产工艺较完整，生产车间环境及生产线常规，生产步骤较完整周详，技术</w:t>
            </w:r>
            <w:r>
              <w:rPr>
                <w:rFonts w:hint="eastAsia" w:ascii="仿宋" w:hAnsi="仿宋" w:eastAsia="仿宋" w:cs="仿宋"/>
                <w:b/>
                <w:color w:val="auto"/>
                <w:sz w:val="24"/>
                <w:szCs w:val="24"/>
              </w:rPr>
              <w:t>人员配备</w:t>
            </w:r>
            <w:r>
              <w:rPr>
                <w:rFonts w:hint="eastAsia" w:ascii="仿宋" w:hAnsi="仿宋" w:eastAsia="仿宋" w:cs="仿宋"/>
                <w:b/>
                <w:color w:val="auto"/>
                <w:sz w:val="24"/>
                <w:szCs w:val="24"/>
                <w:lang w:eastAsia="zh-CN"/>
              </w:rPr>
              <w:t>相对</w:t>
            </w:r>
            <w:r>
              <w:rPr>
                <w:rFonts w:hint="eastAsia" w:ascii="仿宋" w:hAnsi="仿宋" w:eastAsia="仿宋" w:cs="仿宋"/>
                <w:b/>
                <w:color w:val="auto"/>
                <w:sz w:val="24"/>
                <w:szCs w:val="24"/>
                <w:lang w:val="en-US" w:eastAsia="zh-CN"/>
              </w:rPr>
              <w:t>合理专业齐全</w:t>
            </w:r>
            <w:r>
              <w:rPr>
                <w:rFonts w:hint="eastAsia" w:ascii="仿宋" w:hAnsi="仿宋" w:eastAsia="仿宋" w:cs="仿宋"/>
                <w:b/>
                <w:color w:val="auto"/>
                <w:sz w:val="24"/>
                <w:szCs w:val="24"/>
              </w:rPr>
              <w:t>，</w:t>
            </w:r>
            <w:r>
              <w:rPr>
                <w:rFonts w:hint="eastAsia" w:ascii="仿宋" w:hAnsi="仿宋" w:eastAsia="仿宋" w:cs="仿宋"/>
                <w:b/>
                <w:color w:val="auto"/>
                <w:sz w:val="24"/>
                <w:szCs w:val="24"/>
                <w:lang w:val="en-US" w:eastAsia="zh-CN"/>
              </w:rPr>
              <w:t>检验设备配置较齐全、检验步骤相对完备，生产制造履约能力</w:t>
            </w:r>
            <w:r>
              <w:rPr>
                <w:rFonts w:hint="eastAsia" w:ascii="仿宋" w:hAnsi="仿宋" w:eastAsia="仿宋" w:cs="仿宋"/>
                <w:b/>
                <w:color w:val="auto"/>
                <w:sz w:val="24"/>
                <w:szCs w:val="24"/>
                <w:lang w:eastAsia="zh-CN"/>
              </w:rPr>
              <w:t>较</w:t>
            </w:r>
            <w:r>
              <w:rPr>
                <w:rFonts w:hint="eastAsia" w:ascii="仿宋" w:hAnsi="仿宋" w:eastAsia="仿宋" w:cs="仿宋"/>
                <w:b/>
                <w:color w:val="auto"/>
                <w:sz w:val="24"/>
                <w:szCs w:val="24"/>
              </w:rPr>
              <w:t>高的得</w:t>
            </w:r>
            <w:r>
              <w:rPr>
                <w:rFonts w:hint="eastAsia" w:ascii="仿宋" w:hAnsi="仿宋" w:eastAsia="仿宋" w:cs="仿宋"/>
                <w:b/>
                <w:color w:val="auto"/>
                <w:sz w:val="24"/>
                <w:szCs w:val="24"/>
                <w:lang w:val="en-US" w:eastAsia="zh-CN"/>
              </w:rPr>
              <w:t>3</w:t>
            </w:r>
            <w:r>
              <w:rPr>
                <w:rFonts w:hint="eastAsia" w:ascii="仿宋" w:hAnsi="仿宋" w:eastAsia="仿宋" w:cs="仿宋"/>
                <w:b/>
                <w:color w:val="auto"/>
                <w:sz w:val="24"/>
                <w:szCs w:val="24"/>
              </w:rPr>
              <w:t>分</w:t>
            </w:r>
            <w:r>
              <w:rPr>
                <w:rFonts w:hint="eastAsia" w:ascii="仿宋" w:hAnsi="仿宋" w:eastAsia="仿宋" w:cs="仿宋"/>
                <w:b/>
                <w:color w:val="auto"/>
                <w:sz w:val="24"/>
                <w:szCs w:val="24"/>
                <w:lang w:eastAsia="zh-CN"/>
              </w:rPr>
              <w:t>；</w:t>
            </w:r>
          </w:p>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b/>
                <w:color w:val="auto"/>
                <w:sz w:val="24"/>
                <w:szCs w:val="24"/>
                <w:lang w:eastAsia="zh-CN"/>
              </w:rPr>
            </w:pPr>
            <w:r>
              <w:rPr>
                <w:rFonts w:hint="eastAsia" w:ascii="仿宋" w:hAnsi="仿宋" w:eastAsia="仿宋" w:cs="仿宋"/>
                <w:b/>
                <w:color w:val="auto"/>
                <w:sz w:val="24"/>
                <w:szCs w:val="24"/>
                <w:lang w:val="en-US" w:eastAsia="zh-CN"/>
              </w:rPr>
              <w:t>3、所投</w:t>
            </w:r>
            <w:r>
              <w:rPr>
                <w:rFonts w:hint="eastAsia" w:eastAsia="仿宋" w:cs="Times New Roman"/>
                <w:b/>
                <w:color w:val="auto"/>
                <w:sz w:val="24"/>
                <w:szCs w:val="22"/>
                <w:lang w:val="en-US" w:eastAsia="zh-CN"/>
              </w:rPr>
              <w:t>核心产品</w:t>
            </w:r>
            <w:r>
              <w:rPr>
                <w:rFonts w:hint="eastAsia" w:ascii="仿宋" w:hAnsi="仿宋" w:eastAsia="仿宋" w:cs="仿宋"/>
                <w:b/>
                <w:color w:val="auto"/>
                <w:sz w:val="24"/>
                <w:szCs w:val="24"/>
                <w:lang w:val="en-US" w:eastAsia="zh-CN"/>
              </w:rPr>
              <w:t>制造商有自主研发能力和生产工艺薄弱，生产车间环境及生产线粗糙落后，生产步骤简单，技术</w:t>
            </w:r>
            <w:r>
              <w:rPr>
                <w:rFonts w:hint="eastAsia" w:ascii="仿宋" w:hAnsi="仿宋" w:eastAsia="仿宋" w:cs="仿宋"/>
                <w:b/>
                <w:color w:val="auto"/>
                <w:sz w:val="24"/>
                <w:szCs w:val="24"/>
              </w:rPr>
              <w:t>人员</w:t>
            </w:r>
            <w:r>
              <w:rPr>
                <w:rFonts w:hint="eastAsia" w:ascii="仿宋" w:hAnsi="仿宋" w:eastAsia="仿宋" w:cs="仿宋"/>
                <w:b/>
                <w:color w:val="auto"/>
                <w:sz w:val="24"/>
                <w:szCs w:val="24"/>
                <w:lang w:eastAsia="zh-CN"/>
              </w:rPr>
              <w:t>综合实力一般，</w:t>
            </w:r>
            <w:r>
              <w:rPr>
                <w:rFonts w:hint="eastAsia" w:ascii="仿宋" w:hAnsi="仿宋" w:eastAsia="仿宋" w:cs="仿宋"/>
                <w:b/>
                <w:color w:val="auto"/>
                <w:sz w:val="24"/>
                <w:szCs w:val="24"/>
                <w:lang w:val="en-US" w:eastAsia="zh-CN"/>
              </w:rPr>
              <w:t>检验设备配置简单落后，检验步骤普通，生产制造履约能力</w:t>
            </w:r>
            <w:r>
              <w:rPr>
                <w:rFonts w:hint="eastAsia" w:ascii="仿宋" w:hAnsi="仿宋" w:eastAsia="仿宋" w:cs="仿宋"/>
                <w:b/>
                <w:color w:val="auto"/>
                <w:sz w:val="24"/>
                <w:szCs w:val="24"/>
                <w:lang w:eastAsia="zh-CN"/>
              </w:rPr>
              <w:t>弱</w:t>
            </w:r>
            <w:r>
              <w:rPr>
                <w:rFonts w:hint="eastAsia" w:ascii="仿宋" w:hAnsi="仿宋" w:eastAsia="仿宋" w:cs="仿宋"/>
                <w:b/>
                <w:color w:val="auto"/>
                <w:sz w:val="24"/>
                <w:szCs w:val="24"/>
              </w:rPr>
              <w:t>的得</w:t>
            </w:r>
            <w:r>
              <w:rPr>
                <w:rFonts w:hint="eastAsia" w:ascii="仿宋" w:hAnsi="仿宋" w:eastAsia="仿宋" w:cs="仿宋"/>
                <w:b/>
                <w:color w:val="auto"/>
                <w:sz w:val="24"/>
                <w:szCs w:val="24"/>
                <w:lang w:val="en-US" w:eastAsia="zh-CN"/>
              </w:rPr>
              <w:t>1</w:t>
            </w:r>
            <w:r>
              <w:rPr>
                <w:rFonts w:hint="eastAsia" w:ascii="仿宋" w:hAnsi="仿宋" w:eastAsia="仿宋" w:cs="仿宋"/>
                <w:b/>
                <w:color w:val="auto"/>
                <w:sz w:val="24"/>
                <w:szCs w:val="24"/>
              </w:rPr>
              <w:t>分</w:t>
            </w:r>
            <w:r>
              <w:rPr>
                <w:rFonts w:hint="eastAsia" w:ascii="仿宋" w:hAnsi="仿宋" w:eastAsia="仿宋" w:cs="仿宋"/>
                <w:b/>
                <w:color w:val="auto"/>
                <w:sz w:val="24"/>
                <w:szCs w:val="24"/>
                <w:lang w:eastAsia="zh-CN"/>
              </w:rPr>
              <w:t>；</w:t>
            </w:r>
          </w:p>
          <w:p>
            <w:pPr>
              <w:pageBreakBefore w:val="0"/>
              <w:kinsoku/>
              <w:wordWrap/>
              <w:overflowPunct/>
              <w:topLinePunct w:val="0"/>
              <w:autoSpaceDE/>
              <w:autoSpaceDN/>
              <w:bidi w:val="0"/>
              <w:adjustRightInd/>
              <w:snapToGrid/>
              <w:spacing w:beforeLines="0" w:afterLines="0" w:line="460" w:lineRule="exact"/>
              <w:rPr>
                <w:rFonts w:hint="eastAsia"/>
                <w:color w:val="auto"/>
                <w:sz w:val="24"/>
                <w:szCs w:val="24"/>
              </w:rPr>
            </w:pPr>
            <w:r>
              <w:rPr>
                <w:rFonts w:hint="eastAsia" w:ascii="仿宋" w:hAnsi="仿宋" w:eastAsia="仿宋" w:cs="仿宋"/>
                <w:b/>
                <w:color w:val="auto"/>
                <w:sz w:val="24"/>
                <w:szCs w:val="24"/>
                <w:lang w:val="en-US" w:eastAsia="zh-CN"/>
              </w:rPr>
              <w:t>4、</w:t>
            </w:r>
            <w:r>
              <w:rPr>
                <w:rFonts w:hint="eastAsia" w:ascii="仿宋" w:hAnsi="仿宋" w:eastAsia="仿宋" w:cs="仿宋"/>
                <w:b/>
                <w:color w:val="auto"/>
                <w:sz w:val="24"/>
                <w:szCs w:val="24"/>
              </w:rPr>
              <w:t>未提供证明材料或证明材料有缺项的不得分。</w:t>
            </w:r>
          </w:p>
        </w:tc>
        <w:tc>
          <w:tcPr>
            <w:tcW w:w="49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color w:val="auto"/>
                <w:sz w:val="24"/>
                <w:szCs w:val="24"/>
              </w:rPr>
              <w:t>5</w:t>
            </w:r>
            <w:r>
              <w:rPr>
                <w:rFonts w:hint="eastAsia" w:eastAsia="仿宋"/>
                <w:color w:val="auto"/>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color w:val="auto"/>
                <w:sz w:val="24"/>
                <w:szCs w:val="24"/>
              </w:rPr>
              <w:t>3</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eastAsia="仿宋"/>
                <w:color w:val="auto"/>
                <w:sz w:val="24"/>
                <w:szCs w:val="24"/>
              </w:rPr>
              <w:t>质量保证和保修</w:t>
            </w:r>
          </w:p>
        </w:tc>
        <w:tc>
          <w:tcPr>
            <w:tcW w:w="338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rPr>
                <w:rFonts w:hint="eastAsia"/>
                <w:color w:val="auto"/>
                <w:sz w:val="24"/>
                <w:szCs w:val="24"/>
              </w:rPr>
            </w:pPr>
            <w:r>
              <w:rPr>
                <w:rFonts w:hint="eastAsia" w:eastAsia="仿宋"/>
                <w:color w:val="auto"/>
                <w:sz w:val="24"/>
                <w:szCs w:val="24"/>
              </w:rPr>
              <w:t>在招标文件商务要求中“质保期”和“保修期”要求基础上，承诺“质保期”和“保修期”均每延长一年的加2分，最多加4分。</w:t>
            </w:r>
          </w:p>
          <w:p>
            <w:pPr>
              <w:pageBreakBefore w:val="0"/>
              <w:kinsoku/>
              <w:wordWrap/>
              <w:overflowPunct/>
              <w:topLinePunct w:val="0"/>
              <w:autoSpaceDE/>
              <w:autoSpaceDN/>
              <w:bidi w:val="0"/>
              <w:adjustRightInd/>
              <w:snapToGrid/>
              <w:spacing w:beforeLines="0" w:afterLines="0" w:line="460" w:lineRule="exact"/>
              <w:rPr>
                <w:rFonts w:hint="eastAsia"/>
                <w:color w:val="auto"/>
                <w:sz w:val="24"/>
                <w:szCs w:val="24"/>
              </w:rPr>
            </w:pPr>
            <w:r>
              <w:rPr>
                <w:rFonts w:hint="eastAsia" w:eastAsia="仿宋"/>
                <w:b/>
                <w:color w:val="auto"/>
                <w:sz w:val="24"/>
                <w:szCs w:val="24"/>
              </w:rPr>
              <w:t>评审依据：投标文件中提供“质保期”和“保修期”均延长的承诺函原件。</w:t>
            </w:r>
          </w:p>
        </w:tc>
        <w:tc>
          <w:tcPr>
            <w:tcW w:w="49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color w:val="auto"/>
                <w:sz w:val="24"/>
                <w:szCs w:val="24"/>
              </w:rPr>
              <w:t>4</w:t>
            </w:r>
            <w:r>
              <w:rPr>
                <w:rFonts w:hint="eastAsia" w:eastAsia="仿宋"/>
                <w:color w:val="auto"/>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color w:val="auto"/>
                <w:sz w:val="24"/>
                <w:szCs w:val="24"/>
              </w:rPr>
              <w:t>4</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eastAsia="仿宋"/>
                <w:color w:val="auto"/>
                <w:sz w:val="24"/>
                <w:szCs w:val="24"/>
              </w:rPr>
              <w:t>类似销售</w:t>
            </w:r>
          </w:p>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eastAsia="仿宋"/>
                <w:color w:val="auto"/>
                <w:sz w:val="24"/>
                <w:szCs w:val="24"/>
              </w:rPr>
              <w:t>案例</w:t>
            </w:r>
          </w:p>
        </w:tc>
        <w:tc>
          <w:tcPr>
            <w:tcW w:w="338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rPr>
                <w:rFonts w:hint="eastAsia" w:eastAsia="仿宋" w:cs="Times New Roman"/>
                <w:color w:val="auto"/>
                <w:sz w:val="24"/>
                <w:szCs w:val="22"/>
                <w:lang w:eastAsia="zh-CN"/>
              </w:rPr>
            </w:pPr>
            <w:r>
              <w:rPr>
                <w:rFonts w:hint="eastAsia" w:eastAsia="仿宋" w:cs="Times New Roman"/>
                <w:color w:val="auto"/>
                <w:sz w:val="24"/>
                <w:szCs w:val="22"/>
              </w:rPr>
              <w:t>投标人自</w:t>
            </w:r>
            <w:r>
              <w:rPr>
                <w:rFonts w:hint="eastAsia" w:cs="Times New Roman"/>
                <w:color w:val="auto"/>
                <w:sz w:val="24"/>
                <w:szCs w:val="22"/>
              </w:rPr>
              <w:t>20</w:t>
            </w:r>
            <w:r>
              <w:rPr>
                <w:rFonts w:hint="eastAsia" w:eastAsia="仿宋" w:cs="Times New Roman"/>
                <w:color w:val="auto"/>
                <w:sz w:val="24"/>
                <w:szCs w:val="22"/>
              </w:rPr>
              <w:t>2</w:t>
            </w:r>
            <w:r>
              <w:rPr>
                <w:rFonts w:hint="eastAsia" w:eastAsia="仿宋" w:cs="Times New Roman"/>
                <w:color w:val="auto"/>
                <w:sz w:val="24"/>
                <w:szCs w:val="22"/>
                <w:lang w:val="en-US" w:eastAsia="zh-CN"/>
              </w:rPr>
              <w:t>1</w:t>
            </w:r>
            <w:r>
              <w:rPr>
                <w:rFonts w:hint="eastAsia" w:eastAsia="仿宋" w:cs="Times New Roman"/>
                <w:color w:val="auto"/>
                <w:sz w:val="24"/>
                <w:szCs w:val="22"/>
              </w:rPr>
              <w:t>年</w:t>
            </w:r>
            <w:r>
              <w:rPr>
                <w:rFonts w:hint="eastAsia" w:cs="Times New Roman"/>
                <w:color w:val="auto"/>
                <w:sz w:val="24"/>
                <w:szCs w:val="22"/>
              </w:rPr>
              <w:t>1</w:t>
            </w:r>
            <w:r>
              <w:rPr>
                <w:rFonts w:hint="eastAsia" w:eastAsia="仿宋" w:cs="Times New Roman"/>
                <w:color w:val="auto"/>
                <w:sz w:val="24"/>
                <w:szCs w:val="22"/>
              </w:rPr>
              <w:t>月1日至今（以签订合同时间为准）具有类似</w:t>
            </w:r>
            <w:r>
              <w:rPr>
                <w:rFonts w:hint="eastAsia" w:eastAsia="仿宋" w:cs="Times New Roman"/>
                <w:color w:val="auto"/>
                <w:sz w:val="24"/>
                <w:szCs w:val="22"/>
                <w:lang w:eastAsia="zh-CN"/>
              </w:rPr>
              <w:t>核心</w:t>
            </w:r>
            <w:r>
              <w:rPr>
                <w:rFonts w:hint="eastAsia" w:eastAsia="仿宋" w:cs="Times New Roman"/>
                <w:color w:val="auto"/>
                <w:sz w:val="24"/>
                <w:szCs w:val="22"/>
              </w:rPr>
              <w:t>产品销售案例，每提供1份销售案例加</w:t>
            </w:r>
            <w:r>
              <w:rPr>
                <w:rFonts w:hint="eastAsia" w:eastAsia="仿宋" w:cs="Times New Roman"/>
                <w:color w:val="auto"/>
                <w:sz w:val="24"/>
                <w:szCs w:val="22"/>
                <w:lang w:val="en-US" w:eastAsia="zh-CN"/>
              </w:rPr>
              <w:t>2</w:t>
            </w:r>
            <w:r>
              <w:rPr>
                <w:rFonts w:hint="eastAsia" w:eastAsia="仿宋" w:cs="Times New Roman"/>
                <w:color w:val="auto"/>
                <w:sz w:val="24"/>
                <w:szCs w:val="22"/>
              </w:rPr>
              <w:t>分，本项最多加</w:t>
            </w:r>
            <w:r>
              <w:rPr>
                <w:rFonts w:hint="eastAsia" w:eastAsia="仿宋" w:cs="Times New Roman"/>
                <w:color w:val="auto"/>
                <w:sz w:val="24"/>
                <w:szCs w:val="22"/>
                <w:lang w:val="en-US" w:eastAsia="zh-CN"/>
              </w:rPr>
              <w:t>6</w:t>
            </w:r>
            <w:r>
              <w:rPr>
                <w:rFonts w:hint="eastAsia" w:eastAsia="仿宋" w:cs="Times New Roman"/>
                <w:color w:val="auto"/>
                <w:sz w:val="24"/>
                <w:szCs w:val="22"/>
              </w:rPr>
              <w:t>分。</w:t>
            </w:r>
          </w:p>
          <w:p>
            <w:pPr>
              <w:pageBreakBefore w:val="0"/>
              <w:kinsoku/>
              <w:wordWrap/>
              <w:overflowPunct/>
              <w:topLinePunct w:val="0"/>
              <w:autoSpaceDE/>
              <w:autoSpaceDN/>
              <w:bidi w:val="0"/>
              <w:adjustRightInd/>
              <w:snapToGrid/>
              <w:spacing w:beforeLines="0" w:afterLines="0" w:line="460" w:lineRule="exact"/>
              <w:jc w:val="left"/>
              <w:rPr>
                <w:rFonts w:hint="eastAsia"/>
                <w:b/>
                <w:color w:val="auto"/>
                <w:sz w:val="24"/>
                <w:szCs w:val="24"/>
              </w:rPr>
            </w:pPr>
            <w:r>
              <w:rPr>
                <w:rFonts w:hint="eastAsia" w:eastAsia="仿宋" w:cs="Times New Roman"/>
                <w:b/>
                <w:color w:val="auto"/>
                <w:sz w:val="24"/>
                <w:szCs w:val="22"/>
              </w:rPr>
              <w:t>评审依据：①投标文件中提供销售案例明细表（销售案例明细表包含</w:t>
            </w:r>
            <w:r>
              <w:rPr>
                <w:rFonts w:hint="eastAsia" w:cs="Times New Roman"/>
                <w:b/>
                <w:color w:val="auto"/>
                <w:sz w:val="24"/>
                <w:szCs w:val="22"/>
              </w:rPr>
              <w:t>:</w:t>
            </w:r>
            <w:r>
              <w:rPr>
                <w:rFonts w:hint="eastAsia" w:eastAsia="仿宋" w:cs="Times New Roman"/>
                <w:b/>
                <w:color w:val="auto"/>
                <w:sz w:val="24"/>
                <w:szCs w:val="22"/>
              </w:rPr>
              <w:t>发布网站名称、网页链接地址、采购项目名称、采购单位名称和联系方式、采购代理机构名称和联系方式）；②</w:t>
            </w:r>
            <w:r>
              <w:rPr>
                <w:rFonts w:hint="eastAsia" w:eastAsia="仿宋" w:cs="Times New Roman"/>
                <w:b/>
                <w:color w:val="auto"/>
                <w:sz w:val="24"/>
                <w:szCs w:val="22"/>
                <w:lang w:eastAsia="zh-CN"/>
              </w:rPr>
              <w:t>中标（成交）公告截图（打印网页）、中标通知书复印件和合同复印件（中标通知书或合同复印件应体现类似销售案例的货物），合同签订方必须是投标人本身。</w:t>
            </w:r>
          </w:p>
        </w:tc>
        <w:tc>
          <w:tcPr>
            <w:tcW w:w="49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eastAsia="仿宋"/>
                <w:color w:val="auto"/>
                <w:sz w:val="24"/>
                <w:szCs w:val="24"/>
                <w:lang w:val="en-US" w:eastAsia="zh-CN"/>
              </w:rPr>
              <w:t>6</w:t>
            </w:r>
            <w:r>
              <w:rPr>
                <w:rFonts w:hint="eastAsia" w:eastAsia="仿宋"/>
                <w:color w:val="auto"/>
                <w:sz w:val="24"/>
                <w:szCs w:val="24"/>
              </w:rPr>
              <w:t>分</w:t>
            </w:r>
          </w:p>
        </w:tc>
      </w:tr>
    </w:tbl>
    <w:p>
      <w:pPr>
        <w:pageBreakBefore w:val="0"/>
        <w:kinsoku/>
        <w:wordWrap/>
        <w:overflowPunct/>
        <w:topLinePunct w:val="0"/>
        <w:autoSpaceDE/>
        <w:autoSpaceDN/>
        <w:bidi w:val="0"/>
        <w:adjustRightInd/>
        <w:snapToGrid/>
        <w:spacing w:beforeLines="0" w:afterLines="0" w:line="460" w:lineRule="exact"/>
        <w:rPr>
          <w:rFonts w:hint="eastAsia"/>
          <w:color w:val="auto"/>
          <w:sz w:val="21"/>
          <w:szCs w:val="24"/>
        </w:rPr>
      </w:pPr>
    </w:p>
    <w:p>
      <w:pPr>
        <w:pageBreakBefore w:val="0"/>
        <w:kinsoku/>
        <w:wordWrap/>
        <w:overflowPunct/>
        <w:topLinePunct w:val="0"/>
        <w:autoSpaceDE/>
        <w:autoSpaceDN/>
        <w:bidi w:val="0"/>
        <w:adjustRightInd/>
        <w:snapToGrid/>
        <w:spacing w:beforeLines="0" w:afterLines="0" w:line="460" w:lineRule="exact"/>
        <w:rPr>
          <w:rFonts w:hint="eastAsia"/>
          <w:color w:val="auto"/>
          <w:sz w:val="21"/>
          <w:szCs w:val="24"/>
        </w:rPr>
      </w:pPr>
      <w:r>
        <w:rPr>
          <w:rFonts w:hint="eastAsia"/>
          <w:color w:val="auto"/>
          <w:sz w:val="21"/>
          <w:szCs w:val="24"/>
        </w:rPr>
        <w:br w:type="page"/>
      </w:r>
    </w:p>
    <w:p>
      <w:pPr>
        <w:pStyle w:val="2"/>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8"/>
          <w:szCs w:val="28"/>
          <w:lang w:val="en-US" w:eastAsia="zh-CN"/>
        </w:rPr>
      </w:pPr>
      <w:bookmarkStart w:id="716" w:name="_Toc23494"/>
      <w:bookmarkStart w:id="717" w:name="_Toc25266"/>
      <w:bookmarkStart w:id="718" w:name="_Toc4804"/>
      <w:bookmarkStart w:id="719" w:name="_Toc13528"/>
      <w:bookmarkStart w:id="720" w:name="_Toc13627"/>
      <w:r>
        <w:rPr>
          <w:rFonts w:hint="eastAsia" w:ascii="仿宋" w:hAnsi="仿宋" w:eastAsia="仿宋" w:cs="仿宋"/>
          <w:color w:val="auto"/>
          <w:sz w:val="28"/>
          <w:szCs w:val="28"/>
          <w:lang w:val="en-US" w:eastAsia="zh-CN"/>
        </w:rPr>
        <w:t>55包：抢险救援服装</w:t>
      </w:r>
      <w:bookmarkEnd w:id="716"/>
      <w:bookmarkEnd w:id="717"/>
      <w:r>
        <w:rPr>
          <w:rFonts w:hint="eastAsia" w:ascii="仿宋" w:hAnsi="仿宋" w:eastAsia="仿宋" w:cs="仿宋"/>
          <w:color w:val="auto"/>
          <w:sz w:val="28"/>
          <w:szCs w:val="28"/>
          <w:lang w:val="en-US" w:eastAsia="zh-CN"/>
        </w:rPr>
        <w:t>（核心产品：冬款消防员抢险救援防护服（消防员款）)</w:t>
      </w:r>
      <w:bookmarkEnd w:id="718"/>
      <w:bookmarkEnd w:id="719"/>
      <w:bookmarkEnd w:id="720"/>
    </w:p>
    <w:p>
      <w:pPr>
        <w:pageBreakBefore w:val="0"/>
        <w:kinsoku/>
        <w:wordWrap/>
        <w:overflowPunct/>
        <w:topLinePunct w:val="0"/>
        <w:autoSpaceDE/>
        <w:autoSpaceDN/>
        <w:bidi w:val="0"/>
        <w:adjustRightInd/>
        <w:snapToGrid/>
        <w:spacing w:beforeLines="0" w:afterLines="0" w:line="460" w:lineRule="exact"/>
        <w:ind w:firstLine="482" w:firstLineChars="200"/>
        <w:jc w:val="left"/>
        <w:rPr>
          <w:rFonts w:hint="eastAsia" w:ascii="仿宋" w:hAnsi="仿宋" w:eastAsia="仿宋"/>
          <w:b/>
          <w:color w:val="auto"/>
          <w:sz w:val="24"/>
          <w:szCs w:val="24"/>
        </w:rPr>
      </w:pPr>
      <w:r>
        <w:rPr>
          <w:rFonts w:hint="eastAsia" w:ascii="仿宋" w:hAnsi="仿宋" w:eastAsia="仿宋"/>
          <w:b/>
          <w:color w:val="auto"/>
          <w:sz w:val="24"/>
          <w:szCs w:val="24"/>
        </w:rPr>
        <w:t>一、价格部分（30分）</w:t>
      </w:r>
    </w:p>
    <w:tbl>
      <w:tblPr>
        <w:tblStyle w:val="4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1579"/>
        <w:gridCol w:w="6182"/>
        <w:gridCol w:w="8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76"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序号</w:t>
            </w:r>
          </w:p>
        </w:tc>
        <w:tc>
          <w:tcPr>
            <w:tcW w:w="850"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评审因素</w:t>
            </w:r>
          </w:p>
        </w:tc>
        <w:tc>
          <w:tcPr>
            <w:tcW w:w="332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评分标准</w:t>
            </w:r>
          </w:p>
        </w:tc>
        <w:tc>
          <w:tcPr>
            <w:tcW w:w="444"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b/>
                <w:color w:val="auto"/>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6"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850"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价格分</w:t>
            </w:r>
          </w:p>
        </w:tc>
        <w:tc>
          <w:tcPr>
            <w:tcW w:w="332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根据综合评分法，满足招标文件要求且投标价格最低的投标报价为评标基准价，投标报价得分=（评标基准价／投标报价）×30%×100，计算分数时四舍五入取小数点后两位。</w:t>
            </w:r>
          </w:p>
          <w:p>
            <w:pPr>
              <w:pageBreakBefore w:val="0"/>
              <w:kinsoku/>
              <w:wordWrap/>
              <w:overflowPunct/>
              <w:topLinePunct w:val="0"/>
              <w:autoSpaceDE/>
              <w:autoSpaceDN/>
              <w:bidi w:val="0"/>
              <w:adjustRightInd/>
              <w:snapToGrid/>
              <w:spacing w:beforeLines="0" w:afterLines="0" w:line="460" w:lineRule="exact"/>
              <w:ind w:firstLine="482" w:firstLineChars="200"/>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注：小、微型企业或残疾人福利性单位产品或监狱产品的价格给予10%的扣除，用扣除后的价格参与评审。但残疾人福利性单位本身属于小型、微型企业的，不重复享受政策。</w:t>
            </w:r>
          </w:p>
        </w:tc>
        <w:tc>
          <w:tcPr>
            <w:tcW w:w="444"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30分</w:t>
            </w:r>
          </w:p>
        </w:tc>
      </w:tr>
    </w:tbl>
    <w:p>
      <w:pPr>
        <w:pageBreakBefore w:val="0"/>
        <w:kinsoku/>
        <w:wordWrap/>
        <w:overflowPunct/>
        <w:topLinePunct w:val="0"/>
        <w:autoSpaceDE/>
        <w:autoSpaceDN/>
        <w:bidi w:val="0"/>
        <w:adjustRightInd/>
        <w:snapToGrid/>
        <w:spacing w:beforeLines="0" w:afterLines="0" w:line="460" w:lineRule="exact"/>
        <w:ind w:firstLine="482" w:firstLineChars="200"/>
        <w:jc w:val="left"/>
        <w:rPr>
          <w:rFonts w:hint="eastAsia" w:ascii="仿宋" w:hAnsi="仿宋" w:eastAsia="仿宋"/>
          <w:b/>
          <w:color w:val="auto"/>
          <w:sz w:val="24"/>
          <w:szCs w:val="24"/>
        </w:rPr>
      </w:pPr>
      <w:r>
        <w:rPr>
          <w:rFonts w:hint="eastAsia" w:ascii="仿宋" w:hAnsi="仿宋" w:eastAsia="仿宋"/>
          <w:b/>
          <w:color w:val="auto"/>
          <w:sz w:val="24"/>
          <w:szCs w:val="24"/>
        </w:rPr>
        <w:t>二、技术部分（5</w:t>
      </w:r>
      <w:r>
        <w:rPr>
          <w:rFonts w:hint="eastAsia" w:ascii="仿宋" w:hAnsi="仿宋" w:eastAsia="仿宋"/>
          <w:b/>
          <w:color w:val="auto"/>
          <w:sz w:val="24"/>
          <w:szCs w:val="24"/>
          <w:lang w:val="en-US" w:eastAsia="zh-CN"/>
        </w:rPr>
        <w:t>5</w:t>
      </w:r>
      <w:r>
        <w:rPr>
          <w:rFonts w:hint="eastAsia" w:ascii="仿宋" w:hAnsi="仿宋" w:eastAsia="仿宋"/>
          <w:b/>
          <w:color w:val="auto"/>
          <w:sz w:val="24"/>
          <w:szCs w:val="24"/>
        </w:rPr>
        <w:t>分）</w:t>
      </w:r>
    </w:p>
    <w:tbl>
      <w:tblPr>
        <w:tblStyle w:val="42"/>
        <w:tblW w:w="49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
        <w:gridCol w:w="729"/>
        <w:gridCol w:w="2056"/>
        <w:gridCol w:w="5110"/>
        <w:gridCol w:w="8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0"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序号</w:t>
            </w:r>
          </w:p>
        </w:tc>
        <w:tc>
          <w:tcPr>
            <w:tcW w:w="1513"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评审因素</w:t>
            </w:r>
          </w:p>
        </w:tc>
        <w:tc>
          <w:tcPr>
            <w:tcW w:w="277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评分标准</w:t>
            </w:r>
          </w:p>
        </w:tc>
        <w:tc>
          <w:tcPr>
            <w:tcW w:w="44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260"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513"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技术参数及要求</w:t>
            </w:r>
          </w:p>
        </w:tc>
        <w:tc>
          <w:tcPr>
            <w:tcW w:w="2777" w:type="pct"/>
            <w:tcBorders>
              <w:top w:val="single" w:color="auto" w:sz="4" w:space="0"/>
              <w:left w:val="single" w:color="auto" w:sz="4" w:space="0"/>
              <w:bottom w:val="single" w:color="auto" w:sz="4" w:space="0"/>
              <w:right w:val="single" w:color="auto" w:sz="4" w:space="0"/>
              <w:tl2br w:val="nil"/>
              <w:tr2bl w:val="nil"/>
            </w:tcBorders>
            <w:noWrap w:val="0"/>
            <w:vAlign w:val="top"/>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一、重大负偏离评审依据：</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1、带★条款的响应，不满足招标文件要求的，或有缺项、漏项的，视为重大负偏离；</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2、一般参数和带“▲”参数共有四项及以上（含本数）的负偏离，视为重大负偏离；</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二、负偏离评审依据：</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3、所投产品一般参数或带“▲”参数有一项低于招标文件要求，该项视为负偏离；</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4、所投产品一般参数或带“▲”参数有一项缺项、漏项的，该项视为负偏离。</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注：“一般参数”为非标“★”号参数和非标“▲”号参数。</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评审依据：</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①投标文件中提供的技术条款响应表；</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b/>
                <w:color w:val="auto"/>
                <w:sz w:val="24"/>
                <w:szCs w:val="24"/>
              </w:rPr>
              <w:t>②所投产品技术参数完全满足招标文件要求得</w:t>
            </w:r>
            <w:r>
              <w:rPr>
                <w:rFonts w:hint="eastAsia" w:ascii="仿宋" w:hAnsi="仿宋" w:eastAsia="仿宋" w:cs="仿宋"/>
                <w:b/>
                <w:color w:val="auto"/>
                <w:sz w:val="24"/>
                <w:szCs w:val="24"/>
                <w:lang w:val="en-US" w:eastAsia="zh-CN"/>
              </w:rPr>
              <w:t>25</w:t>
            </w:r>
            <w:r>
              <w:rPr>
                <w:rFonts w:hint="eastAsia" w:ascii="仿宋" w:hAnsi="仿宋" w:eastAsia="仿宋" w:cs="仿宋"/>
                <w:b/>
                <w:color w:val="auto"/>
                <w:sz w:val="24"/>
                <w:szCs w:val="24"/>
              </w:rPr>
              <w:t>分；重大负偏离则视为无效投标；一般参数或带“▲”参数每有一项负偏离减5分，最多减15分，四项或以上负偏离视为无效投标。</w:t>
            </w:r>
          </w:p>
        </w:tc>
        <w:tc>
          <w:tcPr>
            <w:tcW w:w="44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rPr>
              <w:t>25分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260" w:type="pct"/>
            <w:vMerge w:val="restart"/>
            <w:tcBorders>
              <w:top w:val="single" w:color="auto" w:sz="4" w:space="0"/>
              <w:left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w:t>
            </w:r>
          </w:p>
        </w:tc>
        <w:tc>
          <w:tcPr>
            <w:tcW w:w="396" w:type="pct"/>
            <w:vMerge w:val="restart"/>
            <w:tcBorders>
              <w:top w:val="single" w:color="auto" w:sz="4" w:space="0"/>
              <w:left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夏款消防员抢险救援防护服（消防员款）</w:t>
            </w:r>
          </w:p>
        </w:tc>
        <w:tc>
          <w:tcPr>
            <w:tcW w:w="1116"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▲3.1.2.3断裂强力：面料经向干态断裂强力≥650N</w:t>
            </w:r>
          </w:p>
        </w:tc>
        <w:tc>
          <w:tcPr>
            <w:tcW w:w="277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所投产品</w:t>
            </w:r>
            <w:r>
              <w:rPr>
                <w:rFonts w:hint="eastAsia" w:ascii="仿宋" w:hAnsi="仿宋" w:eastAsia="仿宋" w:cs="仿宋"/>
                <w:color w:val="auto"/>
                <w:sz w:val="24"/>
                <w:szCs w:val="24"/>
                <w:lang w:val="en-US" w:eastAsia="zh-CN"/>
              </w:rPr>
              <w:t>面料经向干态断裂强力</w:t>
            </w:r>
            <w:r>
              <w:rPr>
                <w:rFonts w:hint="eastAsia" w:ascii="仿宋" w:hAnsi="仿宋" w:eastAsia="仿宋" w:cs="仿宋"/>
                <w:color w:val="auto"/>
                <w:sz w:val="24"/>
                <w:szCs w:val="24"/>
              </w:rPr>
              <w:t>优于招标文件要求的，</w:t>
            </w:r>
            <w:r>
              <w:rPr>
                <w:rFonts w:hint="eastAsia" w:ascii="仿宋" w:hAnsi="仿宋" w:eastAsia="仿宋" w:cs="仿宋"/>
                <w:color w:val="auto"/>
                <w:sz w:val="24"/>
                <w:szCs w:val="24"/>
                <w:lang w:val="en-US" w:eastAsia="zh-CN"/>
              </w:rPr>
              <w:t>面料经向干态断裂强力</w:t>
            </w:r>
            <w:r>
              <w:rPr>
                <w:rFonts w:hint="eastAsia" w:ascii="仿宋" w:hAnsi="仿宋" w:eastAsia="仿宋" w:cs="仿宋"/>
                <w:color w:val="auto"/>
                <w:sz w:val="24"/>
                <w:szCs w:val="24"/>
              </w:rPr>
              <w:t>最优的加</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分，</w:t>
            </w:r>
            <w:r>
              <w:rPr>
                <w:rFonts w:hint="eastAsia" w:ascii="仿宋" w:hAnsi="仿宋" w:eastAsia="仿宋" w:cs="仿宋"/>
                <w:color w:val="auto"/>
                <w:sz w:val="24"/>
                <w:szCs w:val="24"/>
                <w:lang w:val="en-US" w:eastAsia="zh-CN"/>
              </w:rPr>
              <w:t>面料经向干态断裂强力</w:t>
            </w:r>
            <w:r>
              <w:rPr>
                <w:rFonts w:hint="eastAsia" w:ascii="仿宋" w:hAnsi="仿宋" w:eastAsia="仿宋" w:cs="仿宋"/>
                <w:color w:val="auto"/>
                <w:sz w:val="24"/>
                <w:szCs w:val="24"/>
              </w:rPr>
              <w:t>次优的加2分，其余加1分。（可并列得分）</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注：最优表示</w:t>
            </w:r>
            <w:r>
              <w:rPr>
                <w:rFonts w:hint="eastAsia" w:ascii="仿宋" w:hAnsi="仿宋" w:eastAsia="仿宋" w:cs="仿宋"/>
                <w:b/>
                <w:color w:val="auto"/>
                <w:sz w:val="24"/>
                <w:szCs w:val="24"/>
                <w:lang w:val="en-US" w:eastAsia="zh-CN"/>
              </w:rPr>
              <w:t>面料经向干态断裂强力</w:t>
            </w:r>
            <w:r>
              <w:rPr>
                <w:rFonts w:hint="eastAsia" w:ascii="仿宋" w:hAnsi="仿宋" w:eastAsia="仿宋" w:cs="仿宋"/>
                <w:b/>
                <w:color w:val="auto"/>
                <w:sz w:val="24"/>
                <w:szCs w:val="24"/>
              </w:rPr>
              <w:t>最</w:t>
            </w:r>
            <w:r>
              <w:rPr>
                <w:rFonts w:hint="eastAsia" w:ascii="仿宋" w:hAnsi="仿宋" w:eastAsia="仿宋" w:cs="仿宋"/>
                <w:b/>
                <w:color w:val="auto"/>
                <w:sz w:val="24"/>
                <w:szCs w:val="24"/>
                <w:lang w:eastAsia="zh-CN"/>
              </w:rPr>
              <w:t>大</w:t>
            </w:r>
            <w:r>
              <w:rPr>
                <w:rFonts w:hint="eastAsia" w:ascii="仿宋" w:hAnsi="仿宋" w:eastAsia="仿宋" w:cs="仿宋"/>
                <w:b/>
                <w:color w:val="auto"/>
                <w:sz w:val="24"/>
                <w:szCs w:val="24"/>
              </w:rPr>
              <w:t>，次优表示</w:t>
            </w:r>
            <w:r>
              <w:rPr>
                <w:rFonts w:hint="eastAsia" w:ascii="仿宋" w:hAnsi="仿宋" w:eastAsia="仿宋" w:cs="仿宋"/>
                <w:b/>
                <w:color w:val="auto"/>
                <w:sz w:val="24"/>
                <w:szCs w:val="24"/>
                <w:lang w:val="en-US" w:eastAsia="zh-CN"/>
              </w:rPr>
              <w:t>面料经向干态断裂强力</w:t>
            </w:r>
            <w:r>
              <w:rPr>
                <w:rFonts w:hint="eastAsia" w:ascii="仿宋" w:hAnsi="仿宋" w:eastAsia="仿宋" w:cs="仿宋"/>
                <w:b/>
                <w:color w:val="auto"/>
                <w:sz w:val="24"/>
                <w:szCs w:val="24"/>
              </w:rPr>
              <w:t>仅次于最大值。</w:t>
            </w:r>
          </w:p>
        </w:tc>
        <w:tc>
          <w:tcPr>
            <w:tcW w:w="44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260" w:type="pct"/>
            <w:vMerge w:val="continue"/>
            <w:tcBorders>
              <w:left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396" w:type="pct"/>
            <w:vMerge w:val="continue"/>
            <w:tcBorders>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p>
        </w:tc>
        <w:tc>
          <w:tcPr>
            <w:tcW w:w="1116"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▲3.1.2.4撕破强力：面料经向撕破强力≥100N</w:t>
            </w:r>
          </w:p>
        </w:tc>
        <w:tc>
          <w:tcPr>
            <w:tcW w:w="277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所投产品</w:t>
            </w:r>
            <w:r>
              <w:rPr>
                <w:rFonts w:hint="eastAsia" w:ascii="仿宋" w:hAnsi="仿宋" w:eastAsia="仿宋" w:cs="仿宋"/>
                <w:color w:val="auto"/>
                <w:sz w:val="24"/>
                <w:szCs w:val="24"/>
                <w:lang w:val="en-US" w:eastAsia="zh-CN"/>
              </w:rPr>
              <w:t>面料经向撕破强力</w:t>
            </w:r>
            <w:r>
              <w:rPr>
                <w:rFonts w:hint="eastAsia" w:ascii="仿宋" w:hAnsi="仿宋" w:eastAsia="仿宋" w:cs="仿宋"/>
                <w:color w:val="auto"/>
                <w:sz w:val="24"/>
                <w:szCs w:val="24"/>
              </w:rPr>
              <w:t>优于招标文件要求的，</w:t>
            </w:r>
            <w:r>
              <w:rPr>
                <w:rFonts w:hint="eastAsia" w:ascii="仿宋" w:hAnsi="仿宋" w:eastAsia="仿宋" w:cs="仿宋"/>
                <w:color w:val="auto"/>
                <w:sz w:val="24"/>
                <w:szCs w:val="24"/>
                <w:lang w:val="en-US" w:eastAsia="zh-CN"/>
              </w:rPr>
              <w:t>面料经向撕破强力</w:t>
            </w:r>
            <w:r>
              <w:rPr>
                <w:rFonts w:hint="eastAsia" w:ascii="仿宋" w:hAnsi="仿宋" w:eastAsia="仿宋" w:cs="仿宋"/>
                <w:color w:val="auto"/>
                <w:sz w:val="24"/>
                <w:szCs w:val="24"/>
              </w:rPr>
              <w:t>最优的加</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分，</w:t>
            </w:r>
            <w:r>
              <w:rPr>
                <w:rFonts w:hint="eastAsia" w:ascii="仿宋" w:hAnsi="仿宋" w:eastAsia="仿宋" w:cs="仿宋"/>
                <w:color w:val="auto"/>
                <w:sz w:val="24"/>
                <w:szCs w:val="24"/>
                <w:lang w:val="en-US" w:eastAsia="zh-CN"/>
              </w:rPr>
              <w:t>面料经向撕破强力</w:t>
            </w:r>
            <w:r>
              <w:rPr>
                <w:rFonts w:hint="eastAsia" w:ascii="仿宋" w:hAnsi="仿宋" w:eastAsia="仿宋" w:cs="仿宋"/>
                <w:color w:val="auto"/>
                <w:sz w:val="24"/>
                <w:szCs w:val="24"/>
              </w:rPr>
              <w:t>次优的加2分，其余加1分。（可并列得分）</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注：最优表示</w:t>
            </w:r>
            <w:r>
              <w:rPr>
                <w:rFonts w:hint="eastAsia" w:ascii="仿宋" w:hAnsi="仿宋" w:eastAsia="仿宋" w:cs="仿宋"/>
                <w:b/>
                <w:color w:val="auto"/>
                <w:sz w:val="24"/>
                <w:szCs w:val="24"/>
                <w:lang w:val="en-US" w:eastAsia="zh-CN"/>
              </w:rPr>
              <w:t>面料经向撕破强力</w:t>
            </w:r>
            <w:r>
              <w:rPr>
                <w:rFonts w:hint="eastAsia" w:ascii="仿宋" w:hAnsi="仿宋" w:eastAsia="仿宋" w:cs="仿宋"/>
                <w:b/>
                <w:color w:val="auto"/>
                <w:sz w:val="24"/>
                <w:szCs w:val="24"/>
              </w:rPr>
              <w:t>最</w:t>
            </w:r>
            <w:r>
              <w:rPr>
                <w:rFonts w:hint="eastAsia" w:ascii="仿宋" w:hAnsi="仿宋" w:eastAsia="仿宋" w:cs="仿宋"/>
                <w:b/>
                <w:color w:val="auto"/>
                <w:sz w:val="24"/>
                <w:szCs w:val="24"/>
                <w:lang w:eastAsia="zh-CN"/>
              </w:rPr>
              <w:t>大</w:t>
            </w:r>
            <w:r>
              <w:rPr>
                <w:rFonts w:hint="eastAsia" w:ascii="仿宋" w:hAnsi="仿宋" w:eastAsia="仿宋" w:cs="仿宋"/>
                <w:b/>
                <w:color w:val="auto"/>
                <w:sz w:val="24"/>
                <w:szCs w:val="24"/>
              </w:rPr>
              <w:t>，次优表示</w:t>
            </w:r>
            <w:r>
              <w:rPr>
                <w:rFonts w:hint="eastAsia" w:ascii="仿宋" w:hAnsi="仿宋" w:eastAsia="仿宋" w:cs="仿宋"/>
                <w:b/>
                <w:color w:val="auto"/>
                <w:sz w:val="24"/>
                <w:szCs w:val="24"/>
                <w:lang w:val="en-US" w:eastAsia="zh-CN"/>
              </w:rPr>
              <w:t>面料经向撕破强力</w:t>
            </w:r>
            <w:r>
              <w:rPr>
                <w:rFonts w:hint="eastAsia" w:ascii="仿宋" w:hAnsi="仿宋" w:eastAsia="仿宋" w:cs="仿宋"/>
                <w:b/>
                <w:color w:val="auto"/>
                <w:sz w:val="24"/>
                <w:szCs w:val="24"/>
              </w:rPr>
              <w:t>仅次于最大值。</w:t>
            </w:r>
          </w:p>
        </w:tc>
        <w:tc>
          <w:tcPr>
            <w:tcW w:w="44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260" w:type="pct"/>
            <w:vMerge w:val="continue"/>
            <w:tcBorders>
              <w:left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396" w:type="pct"/>
            <w:vMerge w:val="restart"/>
            <w:tcBorders>
              <w:top w:val="single" w:color="auto" w:sz="4" w:space="0"/>
              <w:left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冬款消防员抢险救援防护服（消防员款）</w:t>
            </w:r>
          </w:p>
        </w:tc>
        <w:tc>
          <w:tcPr>
            <w:tcW w:w="1116"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▲3.2.3.3断裂强力：经向干态断裂强度≥650N</w:t>
            </w:r>
          </w:p>
        </w:tc>
        <w:tc>
          <w:tcPr>
            <w:tcW w:w="277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所投产品</w:t>
            </w:r>
            <w:r>
              <w:rPr>
                <w:rFonts w:hint="eastAsia" w:ascii="仿宋" w:hAnsi="仿宋" w:eastAsia="仿宋" w:cs="仿宋"/>
                <w:color w:val="auto"/>
                <w:sz w:val="24"/>
                <w:szCs w:val="24"/>
                <w:lang w:val="en-US" w:eastAsia="zh-CN"/>
              </w:rPr>
              <w:t>经向干态断裂强度</w:t>
            </w:r>
            <w:r>
              <w:rPr>
                <w:rFonts w:hint="eastAsia" w:ascii="仿宋" w:hAnsi="仿宋" w:eastAsia="仿宋" w:cs="仿宋"/>
                <w:color w:val="auto"/>
                <w:sz w:val="24"/>
                <w:szCs w:val="24"/>
              </w:rPr>
              <w:t>优于招标文件要求的，</w:t>
            </w:r>
            <w:r>
              <w:rPr>
                <w:rFonts w:hint="eastAsia" w:ascii="仿宋" w:hAnsi="仿宋" w:eastAsia="仿宋" w:cs="仿宋"/>
                <w:color w:val="auto"/>
                <w:sz w:val="24"/>
                <w:szCs w:val="24"/>
                <w:lang w:val="en-US" w:eastAsia="zh-CN"/>
              </w:rPr>
              <w:t>经向干态断裂强度</w:t>
            </w:r>
            <w:r>
              <w:rPr>
                <w:rFonts w:hint="eastAsia" w:ascii="仿宋" w:hAnsi="仿宋" w:eastAsia="仿宋" w:cs="仿宋"/>
                <w:color w:val="auto"/>
                <w:sz w:val="24"/>
                <w:szCs w:val="24"/>
              </w:rPr>
              <w:t>最优的加</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分，</w:t>
            </w:r>
            <w:r>
              <w:rPr>
                <w:rFonts w:hint="eastAsia" w:ascii="仿宋" w:hAnsi="仿宋" w:eastAsia="仿宋" w:cs="仿宋"/>
                <w:color w:val="auto"/>
                <w:sz w:val="24"/>
                <w:szCs w:val="24"/>
                <w:lang w:val="en-US" w:eastAsia="zh-CN"/>
              </w:rPr>
              <w:t>经向干态断裂强度</w:t>
            </w:r>
            <w:r>
              <w:rPr>
                <w:rFonts w:hint="eastAsia" w:ascii="仿宋" w:hAnsi="仿宋" w:eastAsia="仿宋" w:cs="仿宋"/>
                <w:color w:val="auto"/>
                <w:sz w:val="24"/>
                <w:szCs w:val="24"/>
              </w:rPr>
              <w:t>次优的加2分，其余加1分。（可并列得分）</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注：最优表示</w:t>
            </w:r>
            <w:r>
              <w:rPr>
                <w:rFonts w:hint="eastAsia" w:ascii="仿宋" w:hAnsi="仿宋" w:eastAsia="仿宋" w:cs="仿宋"/>
                <w:b/>
                <w:color w:val="auto"/>
                <w:sz w:val="24"/>
                <w:szCs w:val="24"/>
                <w:lang w:val="en-US" w:eastAsia="zh-CN"/>
              </w:rPr>
              <w:t>经向干态断裂强度</w:t>
            </w:r>
            <w:r>
              <w:rPr>
                <w:rFonts w:hint="eastAsia" w:ascii="仿宋" w:hAnsi="仿宋" w:eastAsia="仿宋" w:cs="仿宋"/>
                <w:b/>
                <w:color w:val="auto"/>
                <w:sz w:val="24"/>
                <w:szCs w:val="24"/>
              </w:rPr>
              <w:t>最</w:t>
            </w:r>
            <w:r>
              <w:rPr>
                <w:rFonts w:hint="eastAsia" w:ascii="仿宋" w:hAnsi="仿宋" w:eastAsia="仿宋" w:cs="仿宋"/>
                <w:b/>
                <w:color w:val="auto"/>
                <w:sz w:val="24"/>
                <w:szCs w:val="24"/>
                <w:lang w:eastAsia="zh-CN"/>
              </w:rPr>
              <w:t>大</w:t>
            </w:r>
            <w:r>
              <w:rPr>
                <w:rFonts w:hint="eastAsia" w:ascii="仿宋" w:hAnsi="仿宋" w:eastAsia="仿宋" w:cs="仿宋"/>
                <w:b/>
                <w:color w:val="auto"/>
                <w:sz w:val="24"/>
                <w:szCs w:val="24"/>
              </w:rPr>
              <w:t>，次优表示</w:t>
            </w:r>
            <w:r>
              <w:rPr>
                <w:rFonts w:hint="eastAsia" w:ascii="仿宋" w:hAnsi="仿宋" w:eastAsia="仿宋" w:cs="仿宋"/>
                <w:b/>
                <w:color w:val="auto"/>
                <w:sz w:val="24"/>
                <w:szCs w:val="24"/>
                <w:lang w:val="en-US" w:eastAsia="zh-CN"/>
              </w:rPr>
              <w:t>经向干态断裂强度</w:t>
            </w:r>
            <w:r>
              <w:rPr>
                <w:rFonts w:hint="eastAsia" w:ascii="仿宋" w:hAnsi="仿宋" w:eastAsia="仿宋" w:cs="仿宋"/>
                <w:b/>
                <w:color w:val="auto"/>
                <w:sz w:val="24"/>
                <w:szCs w:val="24"/>
              </w:rPr>
              <w:t>仅次于最大值。</w:t>
            </w:r>
          </w:p>
        </w:tc>
        <w:tc>
          <w:tcPr>
            <w:tcW w:w="44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260" w:type="pct"/>
            <w:vMerge w:val="continue"/>
            <w:tcBorders>
              <w:left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396" w:type="pct"/>
            <w:vMerge w:val="continue"/>
            <w:tcBorders>
              <w:left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p>
        </w:tc>
        <w:tc>
          <w:tcPr>
            <w:tcW w:w="1116"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▲3.2.3.4撕破强力：经向撕破强力≥100N</w:t>
            </w:r>
          </w:p>
        </w:tc>
        <w:tc>
          <w:tcPr>
            <w:tcW w:w="277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所投产品</w:t>
            </w:r>
            <w:r>
              <w:rPr>
                <w:rFonts w:hint="eastAsia" w:ascii="仿宋" w:hAnsi="仿宋" w:eastAsia="仿宋" w:cs="仿宋"/>
                <w:color w:val="auto"/>
                <w:sz w:val="24"/>
                <w:szCs w:val="24"/>
                <w:lang w:val="en-US" w:eastAsia="zh-CN"/>
              </w:rPr>
              <w:t>经向撕破强力</w:t>
            </w:r>
            <w:r>
              <w:rPr>
                <w:rFonts w:hint="eastAsia" w:ascii="仿宋" w:hAnsi="仿宋" w:eastAsia="仿宋" w:cs="仿宋"/>
                <w:color w:val="auto"/>
                <w:sz w:val="24"/>
                <w:szCs w:val="24"/>
              </w:rPr>
              <w:t>优于招标文件要求的，</w:t>
            </w:r>
            <w:r>
              <w:rPr>
                <w:rFonts w:hint="eastAsia" w:ascii="仿宋" w:hAnsi="仿宋" w:eastAsia="仿宋" w:cs="仿宋"/>
                <w:color w:val="auto"/>
                <w:sz w:val="24"/>
                <w:szCs w:val="24"/>
                <w:lang w:val="en-US" w:eastAsia="zh-CN"/>
              </w:rPr>
              <w:t>经向撕破强力</w:t>
            </w:r>
            <w:r>
              <w:rPr>
                <w:rFonts w:hint="eastAsia" w:ascii="仿宋" w:hAnsi="仿宋" w:eastAsia="仿宋" w:cs="仿宋"/>
                <w:color w:val="auto"/>
                <w:sz w:val="24"/>
                <w:szCs w:val="24"/>
              </w:rPr>
              <w:t>最优的加</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分，</w:t>
            </w:r>
            <w:r>
              <w:rPr>
                <w:rFonts w:hint="eastAsia" w:ascii="仿宋" w:hAnsi="仿宋" w:eastAsia="仿宋" w:cs="仿宋"/>
                <w:color w:val="auto"/>
                <w:sz w:val="24"/>
                <w:szCs w:val="24"/>
                <w:lang w:val="en-US" w:eastAsia="zh-CN"/>
              </w:rPr>
              <w:t>经向撕破强力</w:t>
            </w:r>
            <w:r>
              <w:rPr>
                <w:rFonts w:hint="eastAsia" w:ascii="仿宋" w:hAnsi="仿宋" w:eastAsia="仿宋" w:cs="仿宋"/>
                <w:color w:val="auto"/>
                <w:sz w:val="24"/>
                <w:szCs w:val="24"/>
              </w:rPr>
              <w:t>次优的加2分，其余加1分。（可并列得分）</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注：最优表示</w:t>
            </w:r>
            <w:r>
              <w:rPr>
                <w:rFonts w:hint="eastAsia" w:ascii="仿宋" w:hAnsi="仿宋" w:eastAsia="仿宋" w:cs="仿宋"/>
                <w:b/>
                <w:color w:val="auto"/>
                <w:sz w:val="24"/>
                <w:szCs w:val="24"/>
                <w:lang w:val="en-US" w:eastAsia="zh-CN"/>
              </w:rPr>
              <w:t>经向撕破强力</w:t>
            </w:r>
            <w:r>
              <w:rPr>
                <w:rFonts w:hint="eastAsia" w:ascii="仿宋" w:hAnsi="仿宋" w:eastAsia="仿宋" w:cs="仿宋"/>
                <w:b/>
                <w:color w:val="auto"/>
                <w:sz w:val="24"/>
                <w:szCs w:val="24"/>
              </w:rPr>
              <w:t>最</w:t>
            </w:r>
            <w:r>
              <w:rPr>
                <w:rFonts w:hint="eastAsia" w:ascii="仿宋" w:hAnsi="仿宋" w:eastAsia="仿宋" w:cs="仿宋"/>
                <w:b/>
                <w:color w:val="auto"/>
                <w:sz w:val="24"/>
                <w:szCs w:val="24"/>
                <w:lang w:eastAsia="zh-CN"/>
              </w:rPr>
              <w:t>大</w:t>
            </w:r>
            <w:r>
              <w:rPr>
                <w:rFonts w:hint="eastAsia" w:ascii="仿宋" w:hAnsi="仿宋" w:eastAsia="仿宋" w:cs="仿宋"/>
                <w:b/>
                <w:color w:val="auto"/>
                <w:sz w:val="24"/>
                <w:szCs w:val="24"/>
              </w:rPr>
              <w:t>，次优表示</w:t>
            </w:r>
            <w:r>
              <w:rPr>
                <w:rFonts w:hint="eastAsia" w:ascii="仿宋" w:hAnsi="仿宋" w:eastAsia="仿宋" w:cs="仿宋"/>
                <w:b/>
                <w:color w:val="auto"/>
                <w:sz w:val="24"/>
                <w:szCs w:val="24"/>
                <w:lang w:val="en-US" w:eastAsia="zh-CN"/>
              </w:rPr>
              <w:t>经向撕破强力</w:t>
            </w:r>
            <w:r>
              <w:rPr>
                <w:rFonts w:hint="eastAsia" w:ascii="仿宋" w:hAnsi="仿宋" w:eastAsia="仿宋" w:cs="仿宋"/>
                <w:b/>
                <w:color w:val="auto"/>
                <w:sz w:val="24"/>
                <w:szCs w:val="24"/>
              </w:rPr>
              <w:t>仅次于最大值。</w:t>
            </w:r>
          </w:p>
        </w:tc>
        <w:tc>
          <w:tcPr>
            <w:tcW w:w="44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260" w:type="pct"/>
            <w:vMerge w:val="continue"/>
            <w:tcBorders>
              <w:left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396" w:type="pct"/>
            <w:vMerge w:val="continue"/>
            <w:tcBorders>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p>
        </w:tc>
        <w:tc>
          <w:tcPr>
            <w:tcW w:w="1116"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▲3.2.3.5接缝断裂强力：面料接缝断裂强力≥650N</w:t>
            </w:r>
          </w:p>
        </w:tc>
        <w:tc>
          <w:tcPr>
            <w:tcW w:w="277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所投产品</w:t>
            </w:r>
            <w:r>
              <w:rPr>
                <w:rFonts w:hint="eastAsia" w:ascii="仿宋" w:hAnsi="仿宋" w:eastAsia="仿宋" w:cs="仿宋"/>
                <w:color w:val="auto"/>
                <w:sz w:val="24"/>
                <w:szCs w:val="24"/>
                <w:lang w:val="en-US" w:eastAsia="zh-CN"/>
              </w:rPr>
              <w:t>面料接缝断裂强力</w:t>
            </w:r>
            <w:r>
              <w:rPr>
                <w:rFonts w:hint="eastAsia" w:ascii="仿宋" w:hAnsi="仿宋" w:eastAsia="仿宋" w:cs="仿宋"/>
                <w:color w:val="auto"/>
                <w:sz w:val="24"/>
                <w:szCs w:val="24"/>
              </w:rPr>
              <w:t>优于招标文件要求的，</w:t>
            </w:r>
            <w:r>
              <w:rPr>
                <w:rFonts w:hint="eastAsia" w:ascii="仿宋" w:hAnsi="仿宋" w:eastAsia="仿宋" w:cs="仿宋"/>
                <w:color w:val="auto"/>
                <w:sz w:val="24"/>
                <w:szCs w:val="24"/>
                <w:lang w:val="en-US" w:eastAsia="zh-CN"/>
              </w:rPr>
              <w:t>面料接缝断裂强力</w:t>
            </w:r>
            <w:r>
              <w:rPr>
                <w:rFonts w:hint="eastAsia" w:ascii="仿宋" w:hAnsi="仿宋" w:eastAsia="仿宋" w:cs="仿宋"/>
                <w:color w:val="auto"/>
                <w:sz w:val="24"/>
                <w:szCs w:val="24"/>
              </w:rPr>
              <w:t>最优的加</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分，</w:t>
            </w:r>
            <w:r>
              <w:rPr>
                <w:rFonts w:hint="eastAsia" w:ascii="仿宋" w:hAnsi="仿宋" w:eastAsia="仿宋" w:cs="仿宋"/>
                <w:color w:val="auto"/>
                <w:sz w:val="24"/>
                <w:szCs w:val="24"/>
                <w:lang w:val="en-US" w:eastAsia="zh-CN"/>
              </w:rPr>
              <w:t>面料接缝断裂强力</w:t>
            </w:r>
            <w:r>
              <w:rPr>
                <w:rFonts w:hint="eastAsia" w:ascii="仿宋" w:hAnsi="仿宋" w:eastAsia="仿宋" w:cs="仿宋"/>
                <w:color w:val="auto"/>
                <w:sz w:val="24"/>
                <w:szCs w:val="24"/>
              </w:rPr>
              <w:t>次优的加2分，其余加1分。（可并列得分）</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注：最优表示</w:t>
            </w:r>
            <w:r>
              <w:rPr>
                <w:rFonts w:hint="eastAsia" w:ascii="仿宋" w:hAnsi="仿宋" w:eastAsia="仿宋" w:cs="仿宋"/>
                <w:b/>
                <w:color w:val="auto"/>
                <w:sz w:val="24"/>
                <w:szCs w:val="24"/>
                <w:lang w:val="en-US" w:eastAsia="zh-CN"/>
              </w:rPr>
              <w:t>面料接缝断裂强力</w:t>
            </w:r>
            <w:r>
              <w:rPr>
                <w:rFonts w:hint="eastAsia" w:ascii="仿宋" w:hAnsi="仿宋" w:eastAsia="仿宋" w:cs="仿宋"/>
                <w:b/>
                <w:color w:val="auto"/>
                <w:sz w:val="24"/>
                <w:szCs w:val="24"/>
              </w:rPr>
              <w:t>最</w:t>
            </w:r>
            <w:r>
              <w:rPr>
                <w:rFonts w:hint="eastAsia" w:ascii="仿宋" w:hAnsi="仿宋" w:eastAsia="仿宋" w:cs="仿宋"/>
                <w:b/>
                <w:color w:val="auto"/>
                <w:sz w:val="24"/>
                <w:szCs w:val="24"/>
                <w:lang w:eastAsia="zh-CN"/>
              </w:rPr>
              <w:t>大</w:t>
            </w:r>
            <w:r>
              <w:rPr>
                <w:rFonts w:hint="eastAsia" w:ascii="仿宋" w:hAnsi="仿宋" w:eastAsia="仿宋" w:cs="仿宋"/>
                <w:b/>
                <w:color w:val="auto"/>
                <w:sz w:val="24"/>
                <w:szCs w:val="24"/>
              </w:rPr>
              <w:t>，次优表示</w:t>
            </w:r>
            <w:r>
              <w:rPr>
                <w:rFonts w:hint="eastAsia" w:ascii="仿宋" w:hAnsi="仿宋" w:eastAsia="仿宋" w:cs="仿宋"/>
                <w:b/>
                <w:color w:val="auto"/>
                <w:sz w:val="24"/>
                <w:szCs w:val="24"/>
                <w:lang w:val="en-US" w:eastAsia="zh-CN"/>
              </w:rPr>
              <w:t>面料接缝断裂强力</w:t>
            </w:r>
            <w:r>
              <w:rPr>
                <w:rFonts w:hint="eastAsia" w:ascii="仿宋" w:hAnsi="仿宋" w:eastAsia="仿宋" w:cs="仿宋"/>
                <w:b/>
                <w:color w:val="auto"/>
                <w:sz w:val="24"/>
                <w:szCs w:val="24"/>
              </w:rPr>
              <w:t>仅次于最大值。</w:t>
            </w:r>
          </w:p>
        </w:tc>
        <w:tc>
          <w:tcPr>
            <w:tcW w:w="44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260" w:type="pct"/>
            <w:vMerge w:val="continue"/>
            <w:tcBorders>
              <w:left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1513"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一般参数</w:t>
            </w:r>
          </w:p>
        </w:tc>
        <w:tc>
          <w:tcPr>
            <w:tcW w:w="277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在完全满足招标文件“</w:t>
            </w:r>
            <w:r>
              <w:rPr>
                <w:rFonts w:hint="eastAsia" w:ascii="仿宋" w:hAnsi="仿宋" w:eastAsia="仿宋" w:cs="仿宋"/>
                <w:color w:val="auto"/>
                <w:sz w:val="24"/>
                <w:szCs w:val="24"/>
                <w:lang w:eastAsia="zh-CN"/>
              </w:rPr>
              <w:t>所有参数</w:t>
            </w:r>
            <w:r>
              <w:rPr>
                <w:rFonts w:hint="eastAsia" w:ascii="仿宋" w:hAnsi="仿宋" w:eastAsia="仿宋" w:cs="仿宋"/>
                <w:color w:val="auto"/>
                <w:sz w:val="24"/>
                <w:szCs w:val="24"/>
              </w:rPr>
              <w:t>”要求的基础上，每有一条“一般参数”优于的加1分，本项最多加</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分。（加分只针对具有“≥”或“≤”的数值，数值更加优于的进行加分；文字内容或其他内容优于的不加分）</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注：“一般参数”为非标“★”号参数和非标“▲”号参数。</w:t>
            </w:r>
          </w:p>
        </w:tc>
        <w:tc>
          <w:tcPr>
            <w:tcW w:w="44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260" w:type="pct"/>
            <w:vMerge w:val="continue"/>
            <w:tcBorders>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4739" w:type="pct"/>
            <w:gridSpan w:val="4"/>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lang w:eastAsia="zh-CN"/>
              </w:rPr>
            </w:pPr>
            <w:r>
              <w:rPr>
                <w:rFonts w:hint="eastAsia" w:ascii="仿宋" w:hAnsi="仿宋" w:eastAsia="仿宋" w:cs="仿宋"/>
                <w:b/>
                <w:color w:val="auto"/>
                <w:sz w:val="24"/>
                <w:szCs w:val="24"/>
              </w:rPr>
              <w:t>评审依据：提供技术条款响应表和技术支撑文件</w:t>
            </w:r>
            <w:r>
              <w:rPr>
                <w:rFonts w:hint="eastAsia" w:ascii="仿宋" w:hAnsi="仿宋" w:eastAsia="仿宋" w:cs="仿宋"/>
                <w:b/>
                <w:color w:val="auto"/>
                <w:sz w:val="24"/>
                <w:szCs w:val="24"/>
                <w:lang w:eastAsia="zh-CN"/>
              </w:rPr>
              <w:t>。</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b/>
                <w:color w:val="auto"/>
                <w:sz w:val="24"/>
                <w:szCs w:val="24"/>
              </w:rPr>
            </w:pPr>
            <w:r>
              <w:rPr>
                <w:rFonts w:hint="eastAsia" w:ascii="仿宋" w:hAnsi="仿宋" w:eastAsia="仿宋" w:cs="仿宋"/>
                <w:b/>
                <w:color w:val="auto"/>
                <w:sz w:val="24"/>
                <w:szCs w:val="24"/>
              </w:rPr>
              <w:t>[</w:t>
            </w:r>
            <w:r>
              <w:rPr>
                <w:rFonts w:hint="eastAsia" w:ascii="仿宋" w:hAnsi="仿宋" w:eastAsia="仿宋" w:cs="仿宋"/>
                <w:b/>
                <w:color w:val="auto"/>
                <w:sz w:val="24"/>
                <w:szCs w:val="24"/>
                <w:lang w:val="en-US" w:eastAsia="zh-CN"/>
              </w:rPr>
              <w:t>说明：技术支撑文件为以下任意3种材料中的其中1种材料：</w:t>
            </w:r>
            <w:r>
              <w:rPr>
                <w:rFonts w:hint="eastAsia" w:ascii="仿宋" w:hAnsi="仿宋" w:eastAsia="仿宋" w:cs="仿宋"/>
                <w:b/>
                <w:color w:val="auto"/>
                <w:sz w:val="24"/>
                <w:szCs w:val="24"/>
              </w:rPr>
              <w:t>①</w:t>
            </w:r>
            <w:r>
              <w:rPr>
                <w:rFonts w:hint="eastAsia" w:ascii="仿宋" w:hAnsi="仿宋" w:eastAsia="仿宋" w:cs="仿宋"/>
                <w:b/>
                <w:color w:val="auto"/>
                <w:sz w:val="24"/>
                <w:szCs w:val="24"/>
                <w:lang w:val="en-US" w:eastAsia="zh-CN"/>
              </w:rPr>
              <w:t>所投</w:t>
            </w:r>
            <w:r>
              <w:rPr>
                <w:rFonts w:hint="eastAsia" w:ascii="仿宋" w:hAnsi="仿宋" w:eastAsia="仿宋" w:cs="仿宋"/>
                <w:b/>
                <w:color w:val="auto"/>
                <w:sz w:val="24"/>
                <w:szCs w:val="24"/>
              </w:rPr>
              <w:t>产品检测报告复印件</w:t>
            </w:r>
            <w:r>
              <w:rPr>
                <w:rFonts w:hint="eastAsia" w:ascii="仿宋" w:hAnsi="仿宋" w:eastAsia="仿宋" w:cs="仿宋"/>
                <w:b/>
                <w:color w:val="auto"/>
                <w:sz w:val="24"/>
                <w:szCs w:val="24"/>
                <w:lang w:val="en-US" w:eastAsia="zh-CN"/>
              </w:rPr>
              <w:t>；</w:t>
            </w:r>
            <w:r>
              <w:rPr>
                <w:rFonts w:hint="eastAsia" w:ascii="仿宋" w:hAnsi="仿宋" w:eastAsia="仿宋" w:cs="仿宋"/>
                <w:b/>
                <w:color w:val="auto"/>
                <w:sz w:val="24"/>
                <w:szCs w:val="24"/>
              </w:rPr>
              <w:t>②</w:t>
            </w:r>
            <w:r>
              <w:rPr>
                <w:rFonts w:hint="eastAsia" w:ascii="仿宋" w:hAnsi="仿宋" w:eastAsia="仿宋" w:cs="仿宋"/>
                <w:b/>
                <w:color w:val="auto"/>
                <w:sz w:val="24"/>
                <w:szCs w:val="24"/>
                <w:lang w:val="en-US" w:eastAsia="zh-CN"/>
              </w:rPr>
              <w:t>制造商公开发布的</w:t>
            </w:r>
            <w:r>
              <w:rPr>
                <w:rFonts w:hint="eastAsia" w:ascii="仿宋" w:hAnsi="仿宋" w:eastAsia="仿宋" w:cs="仿宋"/>
                <w:b/>
                <w:color w:val="auto"/>
                <w:sz w:val="24"/>
                <w:szCs w:val="24"/>
              </w:rPr>
              <w:t>产品</w:t>
            </w:r>
            <w:r>
              <w:rPr>
                <w:rFonts w:hint="eastAsia" w:ascii="仿宋" w:hAnsi="仿宋" w:eastAsia="仿宋" w:cs="仿宋"/>
                <w:b/>
                <w:color w:val="auto"/>
                <w:sz w:val="24"/>
                <w:szCs w:val="24"/>
                <w:lang w:val="en-US" w:eastAsia="zh-CN"/>
              </w:rPr>
              <w:t>印刷资料</w:t>
            </w:r>
            <w:r>
              <w:rPr>
                <w:rFonts w:hint="eastAsia" w:ascii="仿宋" w:hAnsi="仿宋" w:eastAsia="仿宋" w:cs="仿宋"/>
                <w:b/>
                <w:color w:val="auto"/>
                <w:sz w:val="24"/>
                <w:szCs w:val="24"/>
              </w:rPr>
              <w:t>并加盖制造商公章</w:t>
            </w:r>
            <w:r>
              <w:rPr>
                <w:rFonts w:hint="eastAsia" w:ascii="仿宋" w:hAnsi="仿宋" w:eastAsia="仿宋" w:cs="仿宋"/>
                <w:b/>
                <w:color w:val="auto"/>
                <w:sz w:val="24"/>
                <w:szCs w:val="24"/>
                <w:lang w:val="en-US" w:eastAsia="zh-CN"/>
              </w:rPr>
              <w:t>；</w:t>
            </w:r>
            <w:r>
              <w:rPr>
                <w:rFonts w:hint="eastAsia" w:ascii="仿宋" w:hAnsi="仿宋" w:eastAsia="仿宋" w:cs="仿宋"/>
                <w:b/>
                <w:color w:val="auto"/>
                <w:sz w:val="24"/>
                <w:szCs w:val="24"/>
              </w:rPr>
              <w:t>③制造商出具的技术参数证明材料并加盖制造商公章。]</w:t>
            </w:r>
          </w:p>
          <w:p>
            <w:pPr>
              <w:pageBreakBefore w:val="0"/>
              <w:kinsoku/>
              <w:wordWrap/>
              <w:overflowPunct/>
              <w:topLinePunct w:val="0"/>
              <w:autoSpaceDE/>
              <w:autoSpaceDN/>
              <w:bidi w:val="0"/>
              <w:adjustRightInd/>
              <w:snapToGrid/>
              <w:spacing w:beforeLines="0" w:afterLines="0" w:line="460" w:lineRule="exact"/>
              <w:jc w:val="both"/>
              <w:textAlignment w:val="center"/>
              <w:rPr>
                <w:rFonts w:hint="eastAsia" w:ascii="仿宋" w:hAnsi="仿宋" w:eastAsia="仿宋" w:cs="仿宋"/>
                <w:color w:val="auto"/>
                <w:sz w:val="24"/>
                <w:szCs w:val="24"/>
                <w:lang w:val="en-US" w:eastAsia="zh-CN"/>
              </w:rPr>
            </w:pPr>
            <w:r>
              <w:rPr>
                <w:rFonts w:hint="eastAsia" w:ascii="仿宋" w:hAnsi="仿宋" w:eastAsia="仿宋" w:cs="仿宋"/>
                <w:b/>
                <w:color w:val="auto"/>
                <w:sz w:val="24"/>
                <w:szCs w:val="24"/>
              </w:rPr>
              <w:t>注：①供应商应认真提供技术支撑文件，若提供多份技术支撑文件，技术支撑文件佐证不一致时，优先级为：产品检测报告复印件＞制造商公开发布的印刷资料＞制造商出具的技术参数证明</w:t>
            </w:r>
            <w:r>
              <w:rPr>
                <w:rFonts w:hint="eastAsia" w:ascii="仿宋" w:hAnsi="仿宋" w:eastAsia="仿宋" w:cs="仿宋"/>
                <w:b/>
                <w:color w:val="auto"/>
                <w:sz w:val="24"/>
                <w:szCs w:val="24"/>
                <w:lang w:val="en-US" w:eastAsia="zh-CN"/>
              </w:rPr>
              <w:t>材料</w:t>
            </w:r>
            <w:r>
              <w:rPr>
                <w:rFonts w:hint="eastAsia" w:ascii="仿宋" w:hAnsi="仿宋" w:eastAsia="仿宋" w:cs="仿宋"/>
                <w:b/>
                <w:color w:val="auto"/>
                <w:sz w:val="24"/>
                <w:szCs w:val="24"/>
              </w:rPr>
              <w:t>；②技术支撑文件</w:t>
            </w:r>
            <w:r>
              <w:rPr>
                <w:rFonts w:hint="eastAsia" w:ascii="仿宋" w:hAnsi="仿宋" w:eastAsia="仿宋" w:cs="仿宋"/>
                <w:b/>
                <w:color w:val="auto"/>
                <w:sz w:val="24"/>
                <w:szCs w:val="24"/>
                <w:lang w:val="en-US" w:eastAsia="zh-CN"/>
              </w:rPr>
              <w:t>与</w:t>
            </w:r>
            <w:r>
              <w:rPr>
                <w:rFonts w:hint="eastAsia" w:ascii="仿宋" w:hAnsi="仿宋" w:eastAsia="仿宋" w:cs="仿宋"/>
                <w:b/>
                <w:color w:val="auto"/>
                <w:sz w:val="24"/>
                <w:szCs w:val="24"/>
              </w:rPr>
              <w:t>技术条款响应表</w:t>
            </w:r>
            <w:r>
              <w:rPr>
                <w:rFonts w:hint="eastAsia" w:ascii="仿宋" w:hAnsi="仿宋" w:eastAsia="仿宋" w:cs="仿宋"/>
                <w:b/>
                <w:color w:val="auto"/>
                <w:sz w:val="24"/>
                <w:szCs w:val="24"/>
                <w:lang w:eastAsia="zh-CN"/>
              </w:rPr>
              <w:t>不一致，则</w:t>
            </w:r>
            <w:r>
              <w:rPr>
                <w:rFonts w:hint="eastAsia" w:ascii="仿宋" w:hAnsi="仿宋" w:eastAsia="仿宋" w:cs="仿宋"/>
                <w:b/>
                <w:color w:val="auto"/>
                <w:sz w:val="24"/>
                <w:szCs w:val="24"/>
              </w:rPr>
              <w:t>该点不加分</w:t>
            </w:r>
            <w:r>
              <w:rPr>
                <w:rFonts w:hint="eastAsia" w:ascii="仿宋" w:hAnsi="仿宋" w:eastAsia="仿宋" w:cs="仿宋"/>
                <w:b/>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60" w:type="pct"/>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1513"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整体结构与外观</w:t>
            </w:r>
          </w:p>
        </w:tc>
        <w:tc>
          <w:tcPr>
            <w:tcW w:w="277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根据视频文件对</w:t>
            </w:r>
            <w:r>
              <w:rPr>
                <w:rFonts w:hint="eastAsia" w:ascii="仿宋" w:hAnsi="仿宋" w:eastAsia="仿宋" w:cs="仿宋"/>
                <w:color w:val="auto"/>
                <w:sz w:val="24"/>
                <w:szCs w:val="24"/>
                <w:lang w:val="en-US" w:eastAsia="zh-CN"/>
              </w:rPr>
              <w:t>核心</w:t>
            </w:r>
            <w:r>
              <w:rPr>
                <w:rFonts w:hint="eastAsia" w:ascii="仿宋" w:hAnsi="仿宋" w:eastAsia="仿宋" w:cs="仿宋"/>
                <w:color w:val="auto"/>
                <w:sz w:val="24"/>
                <w:szCs w:val="24"/>
                <w:lang w:eastAsia="zh-CN"/>
              </w:rPr>
              <w:t>产品</w:t>
            </w:r>
            <w:r>
              <w:rPr>
                <w:rFonts w:hint="eastAsia" w:ascii="仿宋" w:hAnsi="仿宋" w:eastAsia="仿宋" w:cs="仿宋"/>
                <w:color w:val="auto"/>
                <w:sz w:val="24"/>
                <w:szCs w:val="24"/>
              </w:rPr>
              <w:t>的外观构造、内部结构、设计理念等进行评审。</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设计理念先进，外部构造和内部结构科学合理，整体结构外观与实战紧贴程度高的，得3分；设计理念较为先进，外部构造和内部结构较为合理，整体结构外观与实战紧贴程度较高的，得2分；设计理念一般，外观构造和内部结构基本合理，整体结构外观与实战紧贴程度不高的，得1分；未提供证明材料或证明材料有缺项的不得分。</w:t>
            </w:r>
          </w:p>
        </w:tc>
        <w:tc>
          <w:tcPr>
            <w:tcW w:w="44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60"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1513"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工艺</w:t>
            </w:r>
          </w:p>
        </w:tc>
        <w:tc>
          <w:tcPr>
            <w:tcW w:w="277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根据视频文件对</w:t>
            </w:r>
            <w:r>
              <w:rPr>
                <w:rFonts w:hint="eastAsia" w:ascii="仿宋" w:hAnsi="仿宋" w:eastAsia="仿宋" w:cs="仿宋"/>
                <w:color w:val="auto"/>
                <w:sz w:val="24"/>
                <w:szCs w:val="24"/>
                <w:lang w:val="en-US" w:eastAsia="zh-CN"/>
              </w:rPr>
              <w:t>核心</w:t>
            </w:r>
            <w:r>
              <w:rPr>
                <w:rFonts w:hint="eastAsia" w:ascii="仿宋" w:hAnsi="仿宋" w:eastAsia="仿宋" w:cs="仿宋"/>
                <w:color w:val="auto"/>
                <w:sz w:val="24"/>
                <w:szCs w:val="24"/>
                <w:lang w:eastAsia="zh-CN"/>
              </w:rPr>
              <w:t>产品</w:t>
            </w:r>
            <w:r>
              <w:rPr>
                <w:rFonts w:hint="eastAsia" w:ascii="仿宋" w:hAnsi="仿宋" w:eastAsia="仿宋" w:cs="仿宋"/>
                <w:color w:val="auto"/>
                <w:sz w:val="24"/>
                <w:szCs w:val="24"/>
              </w:rPr>
              <w:t>的安全性、耐用性、实用性等进行评审。</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安全性能高、耐用性能好、实用性能强，工艺符合实战需求程度高的，得3分；安全性能较高、耐用性能良好、实用性能较强，工艺符合实战需求程度较高的，得2分；安全性能不高、耐用性能普通、实用性能一般，工艺符合实战需求程度不高的，得1分；未提供证明材料或证明材料有缺项的不得分。</w:t>
            </w:r>
          </w:p>
        </w:tc>
        <w:tc>
          <w:tcPr>
            <w:tcW w:w="44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60"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ascii="仿宋" w:hAnsi="仿宋" w:eastAsia="仿宋" w:cs="仿宋"/>
                <w:color w:val="auto"/>
                <w:sz w:val="24"/>
                <w:szCs w:val="24"/>
              </w:rPr>
            </w:pPr>
          </w:p>
        </w:tc>
        <w:tc>
          <w:tcPr>
            <w:tcW w:w="1513"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操作使用性能</w:t>
            </w:r>
          </w:p>
        </w:tc>
        <w:tc>
          <w:tcPr>
            <w:tcW w:w="277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根据视频文件对</w:t>
            </w:r>
            <w:r>
              <w:rPr>
                <w:rFonts w:hint="eastAsia" w:ascii="仿宋" w:hAnsi="仿宋" w:eastAsia="仿宋" w:cs="仿宋"/>
                <w:color w:val="auto"/>
                <w:sz w:val="24"/>
                <w:szCs w:val="24"/>
                <w:lang w:val="en-US" w:eastAsia="zh-CN"/>
              </w:rPr>
              <w:t>核心</w:t>
            </w:r>
            <w:r>
              <w:rPr>
                <w:rFonts w:hint="eastAsia" w:ascii="仿宋" w:hAnsi="仿宋" w:eastAsia="仿宋" w:cs="仿宋"/>
                <w:color w:val="auto"/>
                <w:sz w:val="24"/>
                <w:szCs w:val="24"/>
                <w:lang w:eastAsia="zh-CN"/>
              </w:rPr>
              <w:t>产品</w:t>
            </w:r>
            <w:r>
              <w:rPr>
                <w:rFonts w:hint="eastAsia" w:ascii="仿宋" w:hAnsi="仿宋" w:eastAsia="仿宋" w:cs="仿宋"/>
                <w:color w:val="auto"/>
                <w:sz w:val="24"/>
                <w:szCs w:val="24"/>
              </w:rPr>
              <w:t>的可靠性、便捷性、稳定性等进行评审。</w:t>
            </w:r>
          </w:p>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可靠性高、便捷性好、稳定性好，操作使用性能提升战斗力程度高的，得4分；可靠性较高、便捷性较好、稳定性良好，操作使用性能提升战斗力程度较高的，得2分；可靠性不高、便捷性和稳定性一般，操作使用性能提升战斗力程度不高的，得1分；未提供证明材料或证明材料有缺项的不得分。</w:t>
            </w:r>
          </w:p>
        </w:tc>
        <w:tc>
          <w:tcPr>
            <w:tcW w:w="44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textAlignment w:val="center"/>
              <w:rPr>
                <w:rFonts w:hint="eastAsia" w:ascii="仿宋" w:hAnsi="仿宋" w:eastAsia="仿宋" w:cs="仿宋"/>
                <w:color w:val="auto"/>
                <w:sz w:val="24"/>
                <w:szCs w:val="24"/>
              </w:rPr>
            </w:pPr>
            <w:r>
              <w:rPr>
                <w:rFonts w:hint="eastAsia" w:ascii="仿宋" w:hAnsi="仿宋" w:eastAsia="仿宋" w:cs="仿宋"/>
                <w:color w:val="auto"/>
                <w:sz w:val="24"/>
                <w:szCs w:val="24"/>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60" w:type="pct"/>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color w:val="auto"/>
                <w:sz w:val="24"/>
                <w:szCs w:val="24"/>
              </w:rPr>
            </w:pPr>
          </w:p>
        </w:tc>
        <w:tc>
          <w:tcPr>
            <w:tcW w:w="4739" w:type="pct"/>
            <w:gridSpan w:val="4"/>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textAlignment w:val="center"/>
              <w:rPr>
                <w:rFonts w:hint="eastAsia" w:ascii="仿宋" w:hAnsi="仿宋" w:eastAsia="仿宋" w:cs="仿宋"/>
                <w:color w:val="auto"/>
                <w:sz w:val="24"/>
                <w:szCs w:val="24"/>
                <w:lang w:eastAsia="zh-CN"/>
              </w:rPr>
            </w:pPr>
            <w:r>
              <w:rPr>
                <w:rFonts w:hint="eastAsia" w:ascii="仿宋" w:hAnsi="仿宋" w:eastAsia="仿宋" w:cs="仿宋"/>
                <w:b/>
                <w:color w:val="auto"/>
                <w:sz w:val="24"/>
                <w:szCs w:val="24"/>
              </w:rPr>
              <w:t>以上评审依据：根据视频文件对产品的整体结构与外观、工艺、操作使用性能进行综合评审，视频文件需对以上三点评审内容进行介绍（包含但不限于以上三点）。视频文件[视频文件格式须为通用格式，佐证视频时长不得超过5分钟，视频清晰度应至少保证所摄的界面文字清晰易辨、画面完整连贯、播放速度正常]应存储于U盘内（单独密封在信封中）与投标文件同时递交，逾期递交不予接收，</w:t>
            </w:r>
            <w:r>
              <w:rPr>
                <w:rFonts w:hint="eastAsia" w:ascii="仿宋" w:hAnsi="仿宋" w:eastAsia="仿宋" w:cs="仿宋"/>
                <w:b/>
                <w:color w:val="auto"/>
                <w:sz w:val="24"/>
                <w:szCs w:val="24"/>
                <w:lang w:eastAsia="zh-CN"/>
              </w:rPr>
              <w:t>U盘由采购代理机构封存，不予退回。未提供视频或视频无法打开的，得0分。</w:t>
            </w:r>
          </w:p>
        </w:tc>
      </w:tr>
    </w:tbl>
    <w:p>
      <w:pPr>
        <w:pageBreakBefore w:val="0"/>
        <w:kinsoku/>
        <w:wordWrap/>
        <w:overflowPunct/>
        <w:topLinePunct w:val="0"/>
        <w:autoSpaceDE/>
        <w:autoSpaceDN/>
        <w:bidi w:val="0"/>
        <w:adjustRightInd/>
        <w:snapToGrid/>
        <w:spacing w:beforeLines="0" w:afterLines="0" w:line="460" w:lineRule="exact"/>
        <w:ind w:firstLine="482" w:firstLineChars="200"/>
        <w:jc w:val="left"/>
        <w:rPr>
          <w:rFonts w:hint="eastAsia" w:ascii="仿宋" w:hAnsi="仿宋" w:eastAsia="仿宋"/>
          <w:b/>
          <w:color w:val="auto"/>
          <w:sz w:val="24"/>
          <w:szCs w:val="24"/>
        </w:rPr>
      </w:pPr>
      <w:r>
        <w:rPr>
          <w:rFonts w:hint="eastAsia" w:ascii="仿宋" w:hAnsi="仿宋" w:eastAsia="仿宋"/>
          <w:b/>
          <w:color w:val="auto"/>
          <w:sz w:val="24"/>
          <w:szCs w:val="24"/>
        </w:rPr>
        <w:t>三、商务部分（1</w:t>
      </w:r>
      <w:r>
        <w:rPr>
          <w:rFonts w:hint="eastAsia" w:ascii="仿宋" w:hAnsi="仿宋" w:eastAsia="仿宋"/>
          <w:b/>
          <w:color w:val="auto"/>
          <w:sz w:val="24"/>
          <w:szCs w:val="24"/>
          <w:lang w:val="en-US" w:eastAsia="zh-CN"/>
        </w:rPr>
        <w:t>5</w:t>
      </w:r>
      <w:r>
        <w:rPr>
          <w:rFonts w:hint="eastAsia" w:ascii="仿宋" w:hAnsi="仿宋" w:eastAsia="仿宋"/>
          <w:b/>
          <w:color w:val="auto"/>
          <w:sz w:val="24"/>
          <w:szCs w:val="24"/>
        </w:rPr>
        <w:t>分）</w:t>
      </w:r>
    </w:p>
    <w:tbl>
      <w:tblPr>
        <w:tblStyle w:val="4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1310"/>
        <w:gridCol w:w="6295"/>
        <w:gridCol w:w="9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eastAsia="仿宋"/>
                <w:b/>
                <w:color w:val="auto"/>
                <w:sz w:val="24"/>
                <w:szCs w:val="24"/>
              </w:rPr>
              <w:t>序号</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eastAsia="仿宋"/>
                <w:b/>
                <w:color w:val="auto"/>
                <w:sz w:val="24"/>
                <w:szCs w:val="24"/>
              </w:rPr>
              <w:t>评审因素</w:t>
            </w:r>
          </w:p>
        </w:tc>
        <w:tc>
          <w:tcPr>
            <w:tcW w:w="338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eastAsia="仿宋"/>
                <w:b/>
                <w:color w:val="auto"/>
                <w:sz w:val="24"/>
                <w:szCs w:val="24"/>
              </w:rPr>
              <w:t>评分标准</w:t>
            </w:r>
          </w:p>
        </w:tc>
        <w:tc>
          <w:tcPr>
            <w:tcW w:w="49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eastAsia="仿宋"/>
                <w:b/>
                <w:color w:val="auto"/>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color w:val="auto"/>
                <w:sz w:val="24"/>
                <w:szCs w:val="24"/>
              </w:rPr>
              <w:t>1</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ascii="仿宋" w:hAnsi="仿宋" w:eastAsia="仿宋" w:cs="仿宋"/>
                <w:color w:val="auto"/>
                <w:sz w:val="24"/>
                <w:szCs w:val="24"/>
              </w:rPr>
              <w:t>符合性评审</w:t>
            </w:r>
          </w:p>
        </w:tc>
        <w:tc>
          <w:tcPr>
            <w:tcW w:w="3887" w:type="pct"/>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cs="Times New Roman"/>
                <w:color w:val="auto"/>
                <w:sz w:val="24"/>
                <w:szCs w:val="22"/>
              </w:rPr>
            </w:pPr>
            <w:r>
              <w:rPr>
                <w:rFonts w:hint="eastAsia" w:eastAsia="仿宋" w:cs="Times New Roman"/>
                <w:color w:val="auto"/>
                <w:sz w:val="24"/>
                <w:szCs w:val="22"/>
              </w:rPr>
              <w:t>投标人必须完全满足招标文件“商务要求”</w:t>
            </w:r>
            <w:r>
              <w:rPr>
                <w:rFonts w:hint="eastAsia" w:eastAsia="仿宋" w:cs="Times New Roman"/>
                <w:color w:val="auto"/>
                <w:sz w:val="24"/>
                <w:szCs w:val="22"/>
                <w:lang w:val="en-US" w:eastAsia="zh-CN"/>
              </w:rPr>
              <w:t>所有</w:t>
            </w:r>
            <w:r>
              <w:rPr>
                <w:rFonts w:hint="eastAsia" w:eastAsia="仿宋" w:cs="Times New Roman"/>
                <w:color w:val="auto"/>
                <w:sz w:val="24"/>
                <w:szCs w:val="22"/>
              </w:rPr>
              <w:t>实质性条款，任意一项不满足作无效投标处理。</w:t>
            </w:r>
          </w:p>
          <w:p>
            <w:pPr>
              <w:pageBreakBefore w:val="0"/>
              <w:kinsoku/>
              <w:wordWrap/>
              <w:overflowPunct/>
              <w:topLinePunct w:val="0"/>
              <w:autoSpaceDE/>
              <w:autoSpaceDN/>
              <w:bidi w:val="0"/>
              <w:adjustRightInd/>
              <w:snapToGrid/>
              <w:spacing w:beforeLines="0" w:afterLines="0" w:line="460" w:lineRule="exact"/>
              <w:rPr>
                <w:rFonts w:hint="eastAsia"/>
                <w:color w:val="auto"/>
                <w:sz w:val="24"/>
                <w:szCs w:val="24"/>
              </w:rPr>
            </w:pPr>
            <w:r>
              <w:rPr>
                <w:rFonts w:hint="eastAsia" w:eastAsia="仿宋" w:cs="Times New Roman"/>
                <w:b/>
                <w:color w:val="auto"/>
                <w:sz w:val="24"/>
                <w:szCs w:val="22"/>
              </w:rPr>
              <w:t>评审依据：投标文件中提供的商务条款响应表。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color w:val="auto"/>
                <w:sz w:val="24"/>
                <w:szCs w:val="24"/>
              </w:rPr>
              <w:t>2</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eastAsia="仿宋"/>
                <w:color w:val="auto"/>
                <w:sz w:val="24"/>
                <w:szCs w:val="24"/>
                <w:lang w:eastAsia="zh-CN"/>
              </w:rPr>
            </w:pPr>
            <w:r>
              <w:rPr>
                <w:rFonts w:hint="eastAsia" w:eastAsia="仿宋"/>
                <w:color w:val="auto"/>
                <w:sz w:val="24"/>
                <w:szCs w:val="24"/>
                <w:lang w:eastAsia="zh-CN"/>
              </w:rPr>
              <w:t>生产制造履约能力</w:t>
            </w:r>
          </w:p>
        </w:tc>
        <w:tc>
          <w:tcPr>
            <w:tcW w:w="338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lang w:eastAsia="zh-CN"/>
              </w:rPr>
            </w:pPr>
            <w:r>
              <w:rPr>
                <w:rFonts w:hint="eastAsia" w:eastAsia="仿宋" w:cs="Times New Roman"/>
                <w:color w:val="auto"/>
                <w:sz w:val="24"/>
                <w:szCs w:val="22"/>
                <w:lang w:val="en-US" w:eastAsia="zh-CN"/>
              </w:rPr>
              <w:t>投标人提供所投</w:t>
            </w:r>
            <w:r>
              <w:rPr>
                <w:rFonts w:hint="eastAsia" w:ascii="仿宋" w:hAnsi="仿宋" w:eastAsia="仿宋" w:cs="仿宋"/>
                <w:color w:val="auto"/>
                <w:sz w:val="24"/>
                <w:szCs w:val="24"/>
                <w:lang w:val="en-US" w:eastAsia="zh-CN"/>
              </w:rPr>
              <w:t>核心</w:t>
            </w:r>
            <w:r>
              <w:rPr>
                <w:rFonts w:hint="eastAsia" w:eastAsia="仿宋" w:cs="Times New Roman"/>
                <w:color w:val="auto"/>
                <w:sz w:val="24"/>
                <w:szCs w:val="22"/>
                <w:lang w:val="en-US" w:eastAsia="zh-CN"/>
              </w:rPr>
              <w:t>产品制造商的证明材料（应加盖制造商公章）</w:t>
            </w:r>
            <w:r>
              <w:rPr>
                <w:rFonts w:hint="eastAsia" w:eastAsia="仿宋" w:cs="Times New Roman"/>
                <w:color w:val="auto"/>
                <w:sz w:val="24"/>
                <w:szCs w:val="22"/>
              </w:rPr>
              <w:t>对</w:t>
            </w:r>
            <w:r>
              <w:rPr>
                <w:rFonts w:hint="eastAsia" w:eastAsia="仿宋" w:cs="Times New Roman"/>
                <w:color w:val="auto"/>
                <w:sz w:val="24"/>
                <w:szCs w:val="22"/>
                <w:lang w:eastAsia="zh-CN"/>
              </w:rPr>
              <w:t>生产制造履约能力</w:t>
            </w:r>
            <w:r>
              <w:rPr>
                <w:rFonts w:hint="eastAsia" w:eastAsia="仿宋" w:cs="Times New Roman"/>
                <w:color w:val="auto"/>
                <w:sz w:val="24"/>
                <w:szCs w:val="22"/>
              </w:rPr>
              <w:t>进行评审，包含但不限于</w:t>
            </w:r>
            <w:r>
              <w:rPr>
                <w:rFonts w:hint="eastAsia" w:eastAsia="仿宋" w:cs="Times New Roman"/>
                <w:color w:val="auto"/>
                <w:sz w:val="24"/>
                <w:szCs w:val="22"/>
                <w:lang w:eastAsia="zh-CN"/>
              </w:rPr>
              <w:t>：</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lang w:eastAsia="zh-CN"/>
              </w:rPr>
            </w:pPr>
            <w:r>
              <w:rPr>
                <w:rFonts w:hint="eastAsia" w:eastAsia="仿宋" w:cs="Times New Roman"/>
                <w:color w:val="auto"/>
                <w:sz w:val="24"/>
                <w:szCs w:val="22"/>
                <w:lang w:eastAsia="zh-CN"/>
              </w:rPr>
              <w:t>①制造商生产经营情况简介；</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lang w:eastAsia="zh-CN"/>
              </w:rPr>
            </w:pPr>
            <w:r>
              <w:rPr>
                <w:rFonts w:hint="eastAsia" w:eastAsia="仿宋" w:cs="Times New Roman"/>
                <w:color w:val="auto"/>
                <w:sz w:val="24"/>
                <w:szCs w:val="22"/>
              </w:rPr>
              <w:t>②</w:t>
            </w:r>
            <w:r>
              <w:rPr>
                <w:rFonts w:hint="eastAsia" w:eastAsia="仿宋" w:cs="Times New Roman"/>
                <w:color w:val="auto"/>
                <w:sz w:val="24"/>
                <w:szCs w:val="22"/>
                <w:lang w:eastAsia="zh-CN"/>
              </w:rPr>
              <w:t>生产工艺流程，主要包括生产制造流程图、生产步骤（应含生产车间环境及实际生产照片）等相关情况描述；</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rPr>
            </w:pPr>
            <w:r>
              <w:rPr>
                <w:rFonts w:hint="eastAsia" w:eastAsia="仿宋" w:cs="Times New Roman"/>
                <w:color w:val="auto"/>
                <w:sz w:val="24"/>
                <w:szCs w:val="22"/>
              </w:rPr>
              <w:t>③产品检验流程，包括主要检验设备</w:t>
            </w:r>
            <w:r>
              <w:rPr>
                <w:rFonts w:hint="eastAsia" w:eastAsia="仿宋" w:cs="Times New Roman"/>
                <w:color w:val="auto"/>
                <w:sz w:val="24"/>
                <w:szCs w:val="22"/>
                <w:lang w:eastAsia="zh-CN"/>
              </w:rPr>
              <w:t>（应提供图片）</w:t>
            </w:r>
            <w:r>
              <w:rPr>
                <w:rFonts w:hint="eastAsia" w:eastAsia="仿宋" w:cs="Times New Roman"/>
                <w:color w:val="auto"/>
                <w:sz w:val="24"/>
                <w:szCs w:val="22"/>
              </w:rPr>
              <w:t>、检验步骤等相关情况描述；</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color w:val="auto"/>
                <w:sz w:val="24"/>
                <w:szCs w:val="22"/>
              </w:rPr>
            </w:pPr>
            <w:r>
              <w:rPr>
                <w:rFonts w:hint="eastAsia" w:eastAsia="仿宋" w:cs="Times New Roman"/>
                <w:color w:val="auto"/>
                <w:sz w:val="24"/>
                <w:szCs w:val="22"/>
              </w:rPr>
              <w:t>④人员配备：相关专业技术</w:t>
            </w:r>
            <w:r>
              <w:rPr>
                <w:rFonts w:hint="eastAsia" w:eastAsia="仿宋" w:cs="Times New Roman"/>
                <w:color w:val="auto"/>
                <w:sz w:val="24"/>
                <w:szCs w:val="22"/>
                <w:lang w:eastAsia="zh-CN"/>
              </w:rPr>
              <w:t>职称</w:t>
            </w:r>
            <w:r>
              <w:rPr>
                <w:rFonts w:hint="eastAsia" w:eastAsia="仿宋" w:cs="Times New Roman"/>
                <w:color w:val="auto"/>
                <w:sz w:val="24"/>
                <w:szCs w:val="22"/>
              </w:rPr>
              <w:t>人员配置情况</w:t>
            </w:r>
            <w:r>
              <w:rPr>
                <w:rFonts w:hint="eastAsia" w:eastAsia="仿宋" w:cs="Times New Roman"/>
                <w:color w:val="auto"/>
                <w:sz w:val="24"/>
                <w:szCs w:val="22"/>
                <w:lang w:eastAsia="zh-CN"/>
              </w:rPr>
              <w:t>；</w:t>
            </w:r>
            <w:r>
              <w:rPr>
                <w:rFonts w:hint="eastAsia" w:eastAsia="仿宋" w:cs="Times New Roman"/>
                <w:color w:val="auto"/>
                <w:sz w:val="24"/>
                <w:szCs w:val="22"/>
              </w:rPr>
              <w:t>各原材料采购、生产、检验、仓储、运输等环节的人员配备情况；</w:t>
            </w:r>
          </w:p>
          <w:p>
            <w:pPr>
              <w:pageBreakBefore w:val="0"/>
              <w:kinsoku/>
              <w:wordWrap/>
              <w:overflowPunct/>
              <w:topLinePunct w:val="0"/>
              <w:autoSpaceDE/>
              <w:autoSpaceDN/>
              <w:bidi w:val="0"/>
              <w:adjustRightInd/>
              <w:snapToGrid/>
              <w:spacing w:beforeLines="0" w:afterLines="0" w:line="460" w:lineRule="exact"/>
              <w:rPr>
                <w:rFonts w:hint="eastAsia" w:eastAsia="仿宋" w:cs="Times New Roman"/>
                <w:b/>
                <w:color w:val="auto"/>
                <w:sz w:val="24"/>
                <w:szCs w:val="22"/>
              </w:rPr>
            </w:pPr>
            <w:r>
              <w:rPr>
                <w:rFonts w:hint="eastAsia" w:eastAsia="仿宋" w:cs="Times New Roman"/>
                <w:b/>
                <w:color w:val="auto"/>
                <w:sz w:val="24"/>
                <w:szCs w:val="22"/>
              </w:rPr>
              <w:t>评审依据：</w:t>
            </w:r>
            <w:r>
              <w:rPr>
                <w:rFonts w:hint="eastAsia" w:eastAsia="仿宋" w:cs="Times New Roman"/>
                <w:b/>
                <w:color w:val="auto"/>
                <w:sz w:val="24"/>
                <w:szCs w:val="22"/>
                <w:lang w:val="en-US" w:eastAsia="zh-CN"/>
              </w:rPr>
              <w:t>根据</w:t>
            </w:r>
            <w:r>
              <w:rPr>
                <w:rFonts w:hint="eastAsia" w:eastAsia="仿宋" w:cs="Times New Roman"/>
                <w:b/>
                <w:color w:val="auto"/>
                <w:sz w:val="24"/>
                <w:szCs w:val="22"/>
              </w:rPr>
              <w:t>投标人提</w:t>
            </w:r>
            <w:r>
              <w:rPr>
                <w:rFonts w:hint="eastAsia" w:eastAsia="仿宋" w:cs="Times New Roman"/>
                <w:b/>
                <w:color w:val="auto"/>
                <w:sz w:val="24"/>
                <w:szCs w:val="22"/>
                <w:lang w:val="en-US" w:eastAsia="zh-CN"/>
              </w:rPr>
              <w:t>供的生产制造履约能力方案内容完整性、组织性、关联性和可操作性进行评审</w:t>
            </w:r>
            <w:r>
              <w:rPr>
                <w:rFonts w:hint="eastAsia" w:eastAsia="仿宋" w:cs="Times New Roman"/>
                <w:b/>
                <w:color w:val="auto"/>
                <w:sz w:val="24"/>
                <w:szCs w:val="22"/>
              </w:rPr>
              <w:t>。</w:t>
            </w:r>
          </w:p>
          <w:p>
            <w:pPr>
              <w:pageBreakBefore w:val="0"/>
              <w:numPr>
                <w:ilvl w:val="0"/>
                <w:numId w:val="0"/>
              </w:numPr>
              <w:kinsoku/>
              <w:wordWrap/>
              <w:overflowPunct/>
              <w:topLinePunct w:val="0"/>
              <w:autoSpaceDE/>
              <w:autoSpaceDN/>
              <w:bidi w:val="0"/>
              <w:adjustRightInd/>
              <w:snapToGrid/>
              <w:spacing w:beforeLines="0" w:afterLines="0" w:line="460" w:lineRule="exact"/>
              <w:rPr>
                <w:rFonts w:hint="eastAsia" w:ascii="仿宋" w:hAnsi="仿宋" w:eastAsia="仿宋" w:cs="仿宋"/>
                <w:b/>
                <w:color w:val="auto"/>
                <w:sz w:val="24"/>
                <w:szCs w:val="24"/>
              </w:rPr>
            </w:pPr>
            <w:r>
              <w:rPr>
                <w:rFonts w:hint="eastAsia" w:ascii="仿宋" w:hAnsi="仿宋" w:eastAsia="仿宋" w:cs="仿宋"/>
                <w:b/>
                <w:color w:val="auto"/>
                <w:sz w:val="24"/>
                <w:szCs w:val="24"/>
                <w:lang w:val="en-US" w:eastAsia="zh-CN"/>
              </w:rPr>
              <w:t>1、所投</w:t>
            </w:r>
            <w:r>
              <w:rPr>
                <w:rFonts w:hint="eastAsia" w:ascii="仿宋" w:hAnsi="仿宋" w:eastAsia="仿宋" w:cs="仿宋"/>
                <w:b/>
                <w:bCs/>
                <w:color w:val="auto"/>
                <w:sz w:val="24"/>
                <w:szCs w:val="24"/>
                <w:lang w:val="en-US" w:eastAsia="zh-CN"/>
              </w:rPr>
              <w:t>核心</w:t>
            </w:r>
            <w:r>
              <w:rPr>
                <w:rFonts w:hint="eastAsia" w:eastAsia="仿宋" w:cs="Times New Roman"/>
                <w:b/>
                <w:bCs/>
                <w:color w:val="auto"/>
                <w:sz w:val="24"/>
                <w:szCs w:val="22"/>
                <w:lang w:val="en-US" w:eastAsia="zh-CN"/>
              </w:rPr>
              <w:t>产品</w:t>
            </w:r>
            <w:r>
              <w:rPr>
                <w:rFonts w:hint="eastAsia" w:ascii="仿宋" w:hAnsi="仿宋" w:eastAsia="仿宋" w:cs="仿宋"/>
                <w:b/>
                <w:color w:val="auto"/>
                <w:sz w:val="24"/>
                <w:szCs w:val="24"/>
                <w:lang w:val="en-US" w:eastAsia="zh-CN"/>
              </w:rPr>
              <w:t>制造商具备较强自主研发能力及先进的生产工艺，生产车间环境及生产线先进规范，生产步骤完整周详，技术</w:t>
            </w:r>
            <w:r>
              <w:rPr>
                <w:rFonts w:hint="eastAsia" w:ascii="仿宋" w:hAnsi="仿宋" w:eastAsia="仿宋" w:cs="仿宋"/>
                <w:b/>
                <w:color w:val="auto"/>
                <w:sz w:val="24"/>
                <w:szCs w:val="24"/>
              </w:rPr>
              <w:t>人员配备</w:t>
            </w:r>
            <w:r>
              <w:rPr>
                <w:rFonts w:hint="eastAsia" w:ascii="仿宋" w:hAnsi="仿宋" w:eastAsia="仿宋" w:cs="仿宋"/>
                <w:b/>
                <w:color w:val="auto"/>
                <w:sz w:val="24"/>
                <w:szCs w:val="24"/>
                <w:lang w:val="en-US" w:eastAsia="zh-CN"/>
              </w:rPr>
              <w:t>合理专业齐全</w:t>
            </w:r>
            <w:r>
              <w:rPr>
                <w:rFonts w:hint="eastAsia" w:ascii="仿宋" w:hAnsi="仿宋" w:eastAsia="仿宋" w:cs="仿宋"/>
                <w:b/>
                <w:color w:val="auto"/>
                <w:sz w:val="24"/>
                <w:szCs w:val="24"/>
              </w:rPr>
              <w:t>，</w:t>
            </w:r>
            <w:r>
              <w:rPr>
                <w:rFonts w:hint="eastAsia" w:ascii="仿宋" w:hAnsi="仿宋" w:eastAsia="仿宋" w:cs="仿宋"/>
                <w:b/>
                <w:color w:val="auto"/>
                <w:sz w:val="24"/>
                <w:szCs w:val="24"/>
                <w:lang w:val="en-US" w:eastAsia="zh-CN"/>
              </w:rPr>
              <w:t>检验设备配置齐全、检验步骤严密无纰漏，生产制造履约能力</w:t>
            </w:r>
            <w:r>
              <w:rPr>
                <w:rFonts w:hint="eastAsia" w:ascii="仿宋" w:hAnsi="仿宋" w:eastAsia="仿宋" w:cs="仿宋"/>
                <w:b/>
                <w:color w:val="auto"/>
                <w:sz w:val="24"/>
                <w:szCs w:val="24"/>
              </w:rPr>
              <w:t>高的得</w:t>
            </w:r>
            <w:r>
              <w:rPr>
                <w:rFonts w:hint="eastAsia" w:ascii="仿宋" w:hAnsi="仿宋" w:eastAsia="仿宋" w:cs="仿宋"/>
                <w:b/>
                <w:color w:val="auto"/>
                <w:sz w:val="24"/>
                <w:szCs w:val="24"/>
                <w:lang w:val="en-US" w:eastAsia="zh-CN"/>
              </w:rPr>
              <w:t>5</w:t>
            </w:r>
            <w:r>
              <w:rPr>
                <w:rFonts w:hint="eastAsia" w:ascii="仿宋" w:hAnsi="仿宋" w:eastAsia="仿宋" w:cs="仿宋"/>
                <w:b/>
                <w:color w:val="auto"/>
                <w:sz w:val="24"/>
                <w:szCs w:val="24"/>
              </w:rPr>
              <w:t>分；</w:t>
            </w:r>
          </w:p>
          <w:p>
            <w:pPr>
              <w:pageBreakBefore w:val="0"/>
              <w:numPr>
                <w:ilvl w:val="0"/>
                <w:numId w:val="0"/>
              </w:numPr>
              <w:kinsoku/>
              <w:wordWrap/>
              <w:overflowPunct/>
              <w:topLinePunct w:val="0"/>
              <w:autoSpaceDE/>
              <w:autoSpaceDN/>
              <w:bidi w:val="0"/>
              <w:adjustRightInd/>
              <w:snapToGrid/>
              <w:spacing w:beforeLines="0" w:afterLines="0" w:line="460" w:lineRule="exact"/>
              <w:rPr>
                <w:rFonts w:hint="eastAsia" w:ascii="仿宋" w:hAnsi="仿宋" w:eastAsia="仿宋" w:cs="仿宋"/>
                <w:b/>
                <w:color w:val="auto"/>
                <w:sz w:val="24"/>
                <w:szCs w:val="24"/>
                <w:lang w:val="en-US" w:eastAsia="zh-CN"/>
              </w:rPr>
            </w:pPr>
            <w:r>
              <w:rPr>
                <w:rFonts w:hint="eastAsia" w:ascii="仿宋" w:hAnsi="仿宋" w:eastAsia="仿宋" w:cs="仿宋"/>
                <w:b/>
                <w:color w:val="auto"/>
                <w:sz w:val="24"/>
                <w:szCs w:val="24"/>
                <w:lang w:val="en-US" w:eastAsia="zh-CN"/>
              </w:rPr>
              <w:t>2、所投</w:t>
            </w:r>
            <w:r>
              <w:rPr>
                <w:rFonts w:hint="eastAsia" w:ascii="仿宋" w:hAnsi="仿宋" w:eastAsia="仿宋" w:cs="仿宋"/>
                <w:b/>
                <w:bCs/>
                <w:color w:val="auto"/>
                <w:sz w:val="24"/>
                <w:szCs w:val="24"/>
                <w:lang w:val="en-US" w:eastAsia="zh-CN"/>
              </w:rPr>
              <w:t>核心</w:t>
            </w:r>
            <w:r>
              <w:rPr>
                <w:rFonts w:hint="eastAsia" w:eastAsia="仿宋" w:cs="Times New Roman"/>
                <w:b/>
                <w:bCs/>
                <w:color w:val="auto"/>
                <w:sz w:val="24"/>
                <w:szCs w:val="22"/>
                <w:lang w:val="en-US" w:eastAsia="zh-CN"/>
              </w:rPr>
              <w:t>产品</w:t>
            </w:r>
            <w:r>
              <w:rPr>
                <w:rFonts w:hint="eastAsia" w:ascii="仿宋" w:hAnsi="仿宋" w:eastAsia="仿宋" w:cs="仿宋"/>
                <w:b/>
                <w:color w:val="auto"/>
                <w:sz w:val="24"/>
                <w:szCs w:val="24"/>
                <w:lang w:val="en-US" w:eastAsia="zh-CN"/>
              </w:rPr>
              <w:t>制造商有自主研发能力和生产工艺较完整，生产车间环境及生产线常规，生产步骤较完整周详，技术</w:t>
            </w:r>
            <w:r>
              <w:rPr>
                <w:rFonts w:hint="eastAsia" w:ascii="仿宋" w:hAnsi="仿宋" w:eastAsia="仿宋" w:cs="仿宋"/>
                <w:b/>
                <w:color w:val="auto"/>
                <w:sz w:val="24"/>
                <w:szCs w:val="24"/>
              </w:rPr>
              <w:t>人员配备</w:t>
            </w:r>
            <w:r>
              <w:rPr>
                <w:rFonts w:hint="eastAsia" w:ascii="仿宋" w:hAnsi="仿宋" w:eastAsia="仿宋" w:cs="仿宋"/>
                <w:b/>
                <w:color w:val="auto"/>
                <w:sz w:val="24"/>
                <w:szCs w:val="24"/>
                <w:lang w:eastAsia="zh-CN"/>
              </w:rPr>
              <w:t>相对</w:t>
            </w:r>
            <w:r>
              <w:rPr>
                <w:rFonts w:hint="eastAsia" w:ascii="仿宋" w:hAnsi="仿宋" w:eastAsia="仿宋" w:cs="仿宋"/>
                <w:b/>
                <w:color w:val="auto"/>
                <w:sz w:val="24"/>
                <w:szCs w:val="24"/>
                <w:lang w:val="en-US" w:eastAsia="zh-CN"/>
              </w:rPr>
              <w:t>合理专业齐全</w:t>
            </w:r>
            <w:r>
              <w:rPr>
                <w:rFonts w:hint="eastAsia" w:ascii="仿宋" w:hAnsi="仿宋" w:eastAsia="仿宋" w:cs="仿宋"/>
                <w:b/>
                <w:color w:val="auto"/>
                <w:sz w:val="24"/>
                <w:szCs w:val="24"/>
              </w:rPr>
              <w:t>，</w:t>
            </w:r>
            <w:r>
              <w:rPr>
                <w:rFonts w:hint="eastAsia" w:ascii="仿宋" w:hAnsi="仿宋" w:eastAsia="仿宋" w:cs="仿宋"/>
                <w:b/>
                <w:color w:val="auto"/>
                <w:sz w:val="24"/>
                <w:szCs w:val="24"/>
                <w:lang w:val="en-US" w:eastAsia="zh-CN"/>
              </w:rPr>
              <w:t>检验设备配置较齐全、检验步骤相对完备，生产制造履约能力</w:t>
            </w:r>
            <w:r>
              <w:rPr>
                <w:rFonts w:hint="eastAsia" w:ascii="仿宋" w:hAnsi="仿宋" w:eastAsia="仿宋" w:cs="仿宋"/>
                <w:b/>
                <w:color w:val="auto"/>
                <w:sz w:val="24"/>
                <w:szCs w:val="24"/>
                <w:lang w:eastAsia="zh-CN"/>
              </w:rPr>
              <w:t>较</w:t>
            </w:r>
            <w:r>
              <w:rPr>
                <w:rFonts w:hint="eastAsia" w:ascii="仿宋" w:hAnsi="仿宋" w:eastAsia="仿宋" w:cs="仿宋"/>
                <w:b/>
                <w:color w:val="auto"/>
                <w:sz w:val="24"/>
                <w:szCs w:val="24"/>
              </w:rPr>
              <w:t>高的得</w:t>
            </w:r>
            <w:r>
              <w:rPr>
                <w:rFonts w:hint="eastAsia" w:ascii="仿宋" w:hAnsi="仿宋" w:eastAsia="仿宋" w:cs="仿宋"/>
                <w:b/>
                <w:color w:val="auto"/>
                <w:sz w:val="24"/>
                <w:szCs w:val="24"/>
                <w:lang w:val="en-US" w:eastAsia="zh-CN"/>
              </w:rPr>
              <w:t>3</w:t>
            </w:r>
            <w:r>
              <w:rPr>
                <w:rFonts w:hint="eastAsia" w:ascii="仿宋" w:hAnsi="仿宋" w:eastAsia="仿宋" w:cs="仿宋"/>
                <w:b/>
                <w:color w:val="auto"/>
                <w:sz w:val="24"/>
                <w:szCs w:val="24"/>
              </w:rPr>
              <w:t>分</w:t>
            </w:r>
            <w:r>
              <w:rPr>
                <w:rFonts w:hint="eastAsia" w:ascii="仿宋" w:hAnsi="仿宋" w:eastAsia="仿宋" w:cs="仿宋"/>
                <w:b/>
                <w:color w:val="auto"/>
                <w:sz w:val="24"/>
                <w:szCs w:val="24"/>
                <w:lang w:eastAsia="zh-CN"/>
              </w:rPr>
              <w:t>；</w:t>
            </w:r>
          </w:p>
          <w:p>
            <w:pPr>
              <w:pageBreakBefore w:val="0"/>
              <w:kinsoku/>
              <w:wordWrap/>
              <w:overflowPunct/>
              <w:topLinePunct w:val="0"/>
              <w:autoSpaceDE/>
              <w:autoSpaceDN/>
              <w:bidi w:val="0"/>
              <w:adjustRightInd/>
              <w:snapToGrid/>
              <w:spacing w:beforeLines="0" w:afterLines="0" w:line="460" w:lineRule="exact"/>
              <w:rPr>
                <w:rFonts w:hint="eastAsia" w:ascii="仿宋" w:hAnsi="仿宋" w:eastAsia="仿宋" w:cs="仿宋"/>
                <w:b/>
                <w:color w:val="auto"/>
                <w:sz w:val="24"/>
                <w:szCs w:val="24"/>
                <w:lang w:eastAsia="zh-CN"/>
              </w:rPr>
            </w:pPr>
            <w:r>
              <w:rPr>
                <w:rFonts w:hint="eastAsia" w:ascii="仿宋" w:hAnsi="仿宋" w:eastAsia="仿宋" w:cs="仿宋"/>
                <w:b/>
                <w:color w:val="auto"/>
                <w:sz w:val="24"/>
                <w:szCs w:val="24"/>
                <w:lang w:val="en-US" w:eastAsia="zh-CN"/>
              </w:rPr>
              <w:t>3、所投</w:t>
            </w:r>
            <w:r>
              <w:rPr>
                <w:rFonts w:hint="eastAsia" w:ascii="仿宋" w:hAnsi="仿宋" w:eastAsia="仿宋" w:cs="仿宋"/>
                <w:b/>
                <w:bCs/>
                <w:color w:val="auto"/>
                <w:sz w:val="24"/>
                <w:szCs w:val="24"/>
                <w:lang w:val="en-US" w:eastAsia="zh-CN"/>
              </w:rPr>
              <w:t>核心</w:t>
            </w:r>
            <w:r>
              <w:rPr>
                <w:rFonts w:hint="eastAsia" w:eastAsia="仿宋" w:cs="Times New Roman"/>
                <w:b/>
                <w:bCs/>
                <w:color w:val="auto"/>
                <w:sz w:val="24"/>
                <w:szCs w:val="22"/>
                <w:lang w:val="en-US" w:eastAsia="zh-CN"/>
              </w:rPr>
              <w:t>产品</w:t>
            </w:r>
            <w:r>
              <w:rPr>
                <w:rFonts w:hint="eastAsia" w:ascii="仿宋" w:hAnsi="仿宋" w:eastAsia="仿宋" w:cs="仿宋"/>
                <w:b/>
                <w:color w:val="auto"/>
                <w:sz w:val="24"/>
                <w:szCs w:val="24"/>
                <w:lang w:val="en-US" w:eastAsia="zh-CN"/>
              </w:rPr>
              <w:t>制造商有自主研发能力和生产工艺薄弱，生产车间环境及生产线粗糙落后，生产步骤简单，技术</w:t>
            </w:r>
            <w:r>
              <w:rPr>
                <w:rFonts w:hint="eastAsia" w:ascii="仿宋" w:hAnsi="仿宋" w:eastAsia="仿宋" w:cs="仿宋"/>
                <w:b/>
                <w:color w:val="auto"/>
                <w:sz w:val="24"/>
                <w:szCs w:val="24"/>
              </w:rPr>
              <w:t>人员</w:t>
            </w:r>
            <w:r>
              <w:rPr>
                <w:rFonts w:hint="eastAsia" w:ascii="仿宋" w:hAnsi="仿宋" w:eastAsia="仿宋" w:cs="仿宋"/>
                <w:b/>
                <w:color w:val="auto"/>
                <w:sz w:val="24"/>
                <w:szCs w:val="24"/>
                <w:lang w:eastAsia="zh-CN"/>
              </w:rPr>
              <w:t>综合实力一般，</w:t>
            </w:r>
            <w:r>
              <w:rPr>
                <w:rFonts w:hint="eastAsia" w:ascii="仿宋" w:hAnsi="仿宋" w:eastAsia="仿宋" w:cs="仿宋"/>
                <w:b/>
                <w:color w:val="auto"/>
                <w:sz w:val="24"/>
                <w:szCs w:val="24"/>
                <w:lang w:val="en-US" w:eastAsia="zh-CN"/>
              </w:rPr>
              <w:t>检验设备配置简单落后，检验步骤普通，生产制造履约能力</w:t>
            </w:r>
            <w:r>
              <w:rPr>
                <w:rFonts w:hint="eastAsia" w:ascii="仿宋" w:hAnsi="仿宋" w:eastAsia="仿宋" w:cs="仿宋"/>
                <w:b/>
                <w:color w:val="auto"/>
                <w:sz w:val="24"/>
                <w:szCs w:val="24"/>
                <w:lang w:eastAsia="zh-CN"/>
              </w:rPr>
              <w:t>弱</w:t>
            </w:r>
            <w:r>
              <w:rPr>
                <w:rFonts w:hint="eastAsia" w:ascii="仿宋" w:hAnsi="仿宋" w:eastAsia="仿宋" w:cs="仿宋"/>
                <w:b/>
                <w:color w:val="auto"/>
                <w:sz w:val="24"/>
                <w:szCs w:val="24"/>
              </w:rPr>
              <w:t>的得</w:t>
            </w:r>
            <w:r>
              <w:rPr>
                <w:rFonts w:hint="eastAsia" w:ascii="仿宋" w:hAnsi="仿宋" w:eastAsia="仿宋" w:cs="仿宋"/>
                <w:b/>
                <w:color w:val="auto"/>
                <w:sz w:val="24"/>
                <w:szCs w:val="24"/>
                <w:lang w:val="en-US" w:eastAsia="zh-CN"/>
              </w:rPr>
              <w:t>1</w:t>
            </w:r>
            <w:r>
              <w:rPr>
                <w:rFonts w:hint="eastAsia" w:ascii="仿宋" w:hAnsi="仿宋" w:eastAsia="仿宋" w:cs="仿宋"/>
                <w:b/>
                <w:color w:val="auto"/>
                <w:sz w:val="24"/>
                <w:szCs w:val="24"/>
              </w:rPr>
              <w:t>分</w:t>
            </w:r>
            <w:r>
              <w:rPr>
                <w:rFonts w:hint="eastAsia" w:ascii="仿宋" w:hAnsi="仿宋" w:eastAsia="仿宋" w:cs="仿宋"/>
                <w:b/>
                <w:color w:val="auto"/>
                <w:sz w:val="24"/>
                <w:szCs w:val="24"/>
                <w:lang w:eastAsia="zh-CN"/>
              </w:rPr>
              <w:t>；</w:t>
            </w:r>
          </w:p>
          <w:p>
            <w:pPr>
              <w:pageBreakBefore w:val="0"/>
              <w:kinsoku/>
              <w:wordWrap/>
              <w:overflowPunct/>
              <w:topLinePunct w:val="0"/>
              <w:autoSpaceDE/>
              <w:autoSpaceDN/>
              <w:bidi w:val="0"/>
              <w:adjustRightInd/>
              <w:snapToGrid/>
              <w:spacing w:beforeLines="0" w:afterLines="0" w:line="460" w:lineRule="exact"/>
              <w:rPr>
                <w:rFonts w:hint="eastAsia"/>
                <w:color w:val="auto"/>
                <w:sz w:val="24"/>
                <w:szCs w:val="24"/>
              </w:rPr>
            </w:pPr>
            <w:r>
              <w:rPr>
                <w:rFonts w:hint="eastAsia" w:ascii="仿宋" w:hAnsi="仿宋" w:eastAsia="仿宋" w:cs="仿宋"/>
                <w:b/>
                <w:color w:val="auto"/>
                <w:sz w:val="24"/>
                <w:szCs w:val="24"/>
                <w:lang w:val="en-US" w:eastAsia="zh-CN"/>
              </w:rPr>
              <w:t>4、</w:t>
            </w:r>
            <w:r>
              <w:rPr>
                <w:rFonts w:hint="eastAsia" w:ascii="仿宋" w:hAnsi="仿宋" w:eastAsia="仿宋" w:cs="仿宋"/>
                <w:b/>
                <w:color w:val="auto"/>
                <w:sz w:val="24"/>
                <w:szCs w:val="24"/>
              </w:rPr>
              <w:t>未提供证明材料或证明材料有缺项的不得分。</w:t>
            </w:r>
          </w:p>
        </w:tc>
        <w:tc>
          <w:tcPr>
            <w:tcW w:w="49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color w:val="auto"/>
                <w:sz w:val="24"/>
                <w:szCs w:val="24"/>
              </w:rPr>
              <w:t>5</w:t>
            </w:r>
            <w:r>
              <w:rPr>
                <w:rFonts w:hint="eastAsia" w:eastAsia="仿宋"/>
                <w:color w:val="auto"/>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color w:val="auto"/>
                <w:sz w:val="24"/>
                <w:szCs w:val="24"/>
              </w:rPr>
              <w:t>3</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eastAsia="仿宋"/>
                <w:color w:val="auto"/>
                <w:sz w:val="24"/>
                <w:szCs w:val="24"/>
              </w:rPr>
              <w:t>质量保证和保修</w:t>
            </w:r>
          </w:p>
        </w:tc>
        <w:tc>
          <w:tcPr>
            <w:tcW w:w="338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rPr>
                <w:rFonts w:hint="eastAsia"/>
                <w:color w:val="auto"/>
                <w:sz w:val="24"/>
                <w:szCs w:val="24"/>
              </w:rPr>
            </w:pPr>
            <w:r>
              <w:rPr>
                <w:rFonts w:hint="eastAsia" w:eastAsia="仿宋"/>
                <w:color w:val="auto"/>
                <w:sz w:val="24"/>
                <w:szCs w:val="24"/>
              </w:rPr>
              <w:t>在招标文件商务要求中“质保期”和“保修期”要求基础上，承诺“质保期”和“保修期”均每延长一年的加2分，最多加4分。</w:t>
            </w:r>
          </w:p>
          <w:p>
            <w:pPr>
              <w:pageBreakBefore w:val="0"/>
              <w:kinsoku/>
              <w:wordWrap/>
              <w:overflowPunct/>
              <w:topLinePunct w:val="0"/>
              <w:autoSpaceDE/>
              <w:autoSpaceDN/>
              <w:bidi w:val="0"/>
              <w:adjustRightInd/>
              <w:snapToGrid/>
              <w:spacing w:beforeLines="0" w:afterLines="0" w:line="460" w:lineRule="exact"/>
              <w:rPr>
                <w:rFonts w:hint="eastAsia"/>
                <w:color w:val="auto"/>
                <w:sz w:val="24"/>
                <w:szCs w:val="24"/>
              </w:rPr>
            </w:pPr>
            <w:r>
              <w:rPr>
                <w:rFonts w:hint="eastAsia" w:eastAsia="仿宋"/>
                <w:b/>
                <w:color w:val="auto"/>
                <w:sz w:val="24"/>
                <w:szCs w:val="24"/>
              </w:rPr>
              <w:t>评审依据：投标文件中提供“质保期”和“保修期”均延长的承诺函原件。</w:t>
            </w:r>
          </w:p>
        </w:tc>
        <w:tc>
          <w:tcPr>
            <w:tcW w:w="49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color w:val="auto"/>
                <w:sz w:val="24"/>
                <w:szCs w:val="24"/>
              </w:rPr>
              <w:t>4</w:t>
            </w:r>
            <w:r>
              <w:rPr>
                <w:rFonts w:hint="eastAsia" w:eastAsia="仿宋"/>
                <w:color w:val="auto"/>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407"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color w:val="auto"/>
                <w:sz w:val="24"/>
                <w:szCs w:val="24"/>
              </w:rPr>
              <w:t>4</w:t>
            </w:r>
          </w:p>
        </w:tc>
        <w:tc>
          <w:tcPr>
            <w:tcW w:w="705"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eastAsia="仿宋"/>
                <w:color w:val="auto"/>
                <w:sz w:val="24"/>
                <w:szCs w:val="24"/>
              </w:rPr>
              <w:t>类似销售</w:t>
            </w:r>
          </w:p>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eastAsia="仿宋"/>
                <w:color w:val="auto"/>
                <w:sz w:val="24"/>
                <w:szCs w:val="24"/>
              </w:rPr>
              <w:t>案例</w:t>
            </w:r>
          </w:p>
        </w:tc>
        <w:tc>
          <w:tcPr>
            <w:tcW w:w="3389"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left"/>
              <w:rPr>
                <w:rFonts w:hint="eastAsia" w:eastAsia="仿宋" w:cs="Times New Roman"/>
                <w:color w:val="auto"/>
                <w:sz w:val="24"/>
                <w:szCs w:val="22"/>
                <w:lang w:eastAsia="zh-CN"/>
              </w:rPr>
            </w:pPr>
            <w:r>
              <w:rPr>
                <w:rFonts w:hint="eastAsia" w:eastAsia="仿宋" w:cs="Times New Roman"/>
                <w:color w:val="auto"/>
                <w:sz w:val="24"/>
                <w:szCs w:val="22"/>
              </w:rPr>
              <w:t>投标人自</w:t>
            </w:r>
            <w:r>
              <w:rPr>
                <w:rFonts w:hint="eastAsia" w:cs="Times New Roman"/>
                <w:color w:val="auto"/>
                <w:sz w:val="24"/>
                <w:szCs w:val="22"/>
              </w:rPr>
              <w:t>20</w:t>
            </w:r>
            <w:r>
              <w:rPr>
                <w:rFonts w:hint="eastAsia" w:eastAsia="仿宋" w:cs="Times New Roman"/>
                <w:color w:val="auto"/>
                <w:sz w:val="24"/>
                <w:szCs w:val="22"/>
              </w:rPr>
              <w:t>2</w:t>
            </w:r>
            <w:r>
              <w:rPr>
                <w:rFonts w:hint="eastAsia" w:eastAsia="仿宋" w:cs="Times New Roman"/>
                <w:color w:val="auto"/>
                <w:sz w:val="24"/>
                <w:szCs w:val="22"/>
                <w:lang w:val="en-US" w:eastAsia="zh-CN"/>
              </w:rPr>
              <w:t>1</w:t>
            </w:r>
            <w:r>
              <w:rPr>
                <w:rFonts w:hint="eastAsia" w:eastAsia="仿宋" w:cs="Times New Roman"/>
                <w:color w:val="auto"/>
                <w:sz w:val="24"/>
                <w:szCs w:val="22"/>
              </w:rPr>
              <w:t>年</w:t>
            </w:r>
            <w:r>
              <w:rPr>
                <w:rFonts w:hint="eastAsia" w:cs="Times New Roman"/>
                <w:color w:val="auto"/>
                <w:sz w:val="24"/>
                <w:szCs w:val="22"/>
              </w:rPr>
              <w:t>1</w:t>
            </w:r>
            <w:r>
              <w:rPr>
                <w:rFonts w:hint="eastAsia" w:eastAsia="仿宋" w:cs="Times New Roman"/>
                <w:color w:val="auto"/>
                <w:sz w:val="24"/>
                <w:szCs w:val="22"/>
              </w:rPr>
              <w:t>月1日至今（以签订合同时间为准）具有类似</w:t>
            </w:r>
            <w:r>
              <w:rPr>
                <w:rFonts w:hint="eastAsia" w:ascii="仿宋" w:hAnsi="仿宋" w:eastAsia="仿宋" w:cs="仿宋"/>
                <w:color w:val="auto"/>
                <w:sz w:val="24"/>
                <w:szCs w:val="24"/>
                <w:lang w:val="en-US" w:eastAsia="zh-CN"/>
              </w:rPr>
              <w:t>核心</w:t>
            </w:r>
            <w:r>
              <w:rPr>
                <w:rFonts w:hint="eastAsia" w:eastAsia="仿宋" w:cs="Times New Roman"/>
                <w:color w:val="auto"/>
                <w:sz w:val="24"/>
                <w:szCs w:val="22"/>
                <w:lang w:eastAsia="zh-CN"/>
              </w:rPr>
              <w:t>产品</w:t>
            </w:r>
            <w:r>
              <w:rPr>
                <w:rFonts w:hint="eastAsia" w:eastAsia="仿宋" w:cs="Times New Roman"/>
                <w:color w:val="auto"/>
                <w:sz w:val="24"/>
                <w:szCs w:val="22"/>
              </w:rPr>
              <w:t>销售案例，每提供1份销售案例加</w:t>
            </w:r>
            <w:r>
              <w:rPr>
                <w:rFonts w:hint="eastAsia" w:eastAsia="仿宋" w:cs="Times New Roman"/>
                <w:color w:val="auto"/>
                <w:sz w:val="24"/>
                <w:szCs w:val="22"/>
                <w:lang w:val="en-US" w:eastAsia="zh-CN"/>
              </w:rPr>
              <w:t>2</w:t>
            </w:r>
            <w:r>
              <w:rPr>
                <w:rFonts w:hint="eastAsia" w:eastAsia="仿宋" w:cs="Times New Roman"/>
                <w:color w:val="auto"/>
                <w:sz w:val="24"/>
                <w:szCs w:val="22"/>
              </w:rPr>
              <w:t>分，本项最多加</w:t>
            </w:r>
            <w:r>
              <w:rPr>
                <w:rFonts w:hint="eastAsia" w:eastAsia="仿宋" w:cs="Times New Roman"/>
                <w:color w:val="auto"/>
                <w:sz w:val="24"/>
                <w:szCs w:val="22"/>
                <w:lang w:val="en-US" w:eastAsia="zh-CN"/>
              </w:rPr>
              <w:t>6</w:t>
            </w:r>
            <w:r>
              <w:rPr>
                <w:rFonts w:hint="eastAsia" w:eastAsia="仿宋" w:cs="Times New Roman"/>
                <w:color w:val="auto"/>
                <w:sz w:val="24"/>
                <w:szCs w:val="22"/>
              </w:rPr>
              <w:t>分。</w:t>
            </w:r>
          </w:p>
          <w:p>
            <w:pPr>
              <w:pageBreakBefore w:val="0"/>
              <w:kinsoku/>
              <w:wordWrap/>
              <w:overflowPunct/>
              <w:topLinePunct w:val="0"/>
              <w:autoSpaceDE/>
              <w:autoSpaceDN/>
              <w:bidi w:val="0"/>
              <w:adjustRightInd/>
              <w:snapToGrid/>
              <w:spacing w:beforeLines="0" w:afterLines="0" w:line="460" w:lineRule="exact"/>
              <w:jc w:val="left"/>
              <w:rPr>
                <w:rFonts w:hint="eastAsia"/>
                <w:b/>
                <w:color w:val="auto"/>
                <w:sz w:val="24"/>
                <w:szCs w:val="24"/>
              </w:rPr>
            </w:pPr>
            <w:r>
              <w:rPr>
                <w:rFonts w:hint="eastAsia" w:eastAsia="仿宋" w:cs="Times New Roman"/>
                <w:b/>
                <w:color w:val="auto"/>
                <w:sz w:val="24"/>
                <w:szCs w:val="22"/>
              </w:rPr>
              <w:t>评审依据：①投标文件中提供销售案例明细表（销售案例明细表包含</w:t>
            </w:r>
            <w:r>
              <w:rPr>
                <w:rFonts w:hint="eastAsia" w:cs="Times New Roman"/>
                <w:b/>
                <w:color w:val="auto"/>
                <w:sz w:val="24"/>
                <w:szCs w:val="22"/>
              </w:rPr>
              <w:t>:</w:t>
            </w:r>
            <w:r>
              <w:rPr>
                <w:rFonts w:hint="eastAsia" w:eastAsia="仿宋" w:cs="Times New Roman"/>
                <w:b/>
                <w:color w:val="auto"/>
                <w:sz w:val="24"/>
                <w:szCs w:val="22"/>
              </w:rPr>
              <w:t>发布网站名称、网页链接地址、采购项目名称、采购单位名称和联系方式、采购代理机构名称和联系方式）；②</w:t>
            </w:r>
            <w:r>
              <w:rPr>
                <w:rFonts w:hint="eastAsia" w:eastAsia="仿宋" w:cs="Times New Roman"/>
                <w:b/>
                <w:color w:val="auto"/>
                <w:sz w:val="24"/>
                <w:szCs w:val="22"/>
                <w:lang w:eastAsia="zh-CN"/>
              </w:rPr>
              <w:t>中标（成交）公告截图（打印网页）、中标通知书复印件和合同复印件（中标通知书或合同复印件应体现类似销售案例的货物），合同签订方必须是投标人本身。</w:t>
            </w:r>
          </w:p>
        </w:tc>
        <w:tc>
          <w:tcPr>
            <w:tcW w:w="498" w:type="pct"/>
            <w:tcBorders>
              <w:top w:val="single" w:color="auto" w:sz="4" w:space="0"/>
              <w:left w:val="single" w:color="auto" w:sz="4" w:space="0"/>
              <w:bottom w:val="single" w:color="auto" w:sz="4" w:space="0"/>
              <w:right w:val="single" w:color="auto" w:sz="4" w:space="0"/>
              <w:tl2br w:val="nil"/>
              <w:tr2bl w:val="nil"/>
            </w:tcBorders>
            <w:noWrap w:val="0"/>
            <w:vAlign w:val="center"/>
          </w:tcPr>
          <w:p>
            <w:pPr>
              <w:pageBreakBefore w:val="0"/>
              <w:kinsoku/>
              <w:wordWrap/>
              <w:overflowPunct/>
              <w:topLinePunct w:val="0"/>
              <w:autoSpaceDE/>
              <w:autoSpaceDN/>
              <w:bidi w:val="0"/>
              <w:adjustRightInd/>
              <w:snapToGrid/>
              <w:spacing w:beforeLines="0" w:afterLines="0" w:line="460" w:lineRule="exact"/>
              <w:jc w:val="center"/>
              <w:rPr>
                <w:rFonts w:hint="eastAsia"/>
                <w:color w:val="auto"/>
                <w:sz w:val="24"/>
                <w:szCs w:val="24"/>
              </w:rPr>
            </w:pPr>
            <w:r>
              <w:rPr>
                <w:rFonts w:hint="eastAsia" w:eastAsia="仿宋"/>
                <w:color w:val="auto"/>
                <w:sz w:val="24"/>
                <w:szCs w:val="24"/>
                <w:lang w:val="en-US" w:eastAsia="zh-CN"/>
              </w:rPr>
              <w:t>6</w:t>
            </w:r>
            <w:r>
              <w:rPr>
                <w:rFonts w:hint="eastAsia" w:eastAsia="仿宋"/>
                <w:color w:val="auto"/>
                <w:sz w:val="24"/>
                <w:szCs w:val="24"/>
              </w:rPr>
              <w:t>分</w:t>
            </w:r>
          </w:p>
        </w:tc>
      </w:tr>
    </w:tbl>
    <w:p>
      <w:pPr>
        <w:pageBreakBefore w:val="0"/>
        <w:kinsoku/>
        <w:wordWrap/>
        <w:overflowPunct/>
        <w:topLinePunct w:val="0"/>
        <w:autoSpaceDE/>
        <w:autoSpaceDN/>
        <w:bidi w:val="0"/>
        <w:adjustRightInd/>
        <w:snapToGrid/>
        <w:spacing w:beforeLines="0" w:afterLines="0" w:line="460" w:lineRule="exact"/>
        <w:rPr>
          <w:rFonts w:hint="eastAsia"/>
          <w:color w:val="auto"/>
          <w:sz w:val="21"/>
          <w:szCs w:val="24"/>
        </w:rPr>
      </w:pPr>
    </w:p>
    <w:p>
      <w:pPr>
        <w:pageBreakBefore w:val="0"/>
        <w:kinsoku/>
        <w:wordWrap/>
        <w:overflowPunct/>
        <w:topLinePunct w:val="0"/>
        <w:autoSpaceDE/>
        <w:autoSpaceDN/>
        <w:bidi w:val="0"/>
        <w:adjustRightInd/>
        <w:snapToGrid/>
        <w:spacing w:line="460" w:lineRule="exact"/>
        <w:rPr>
          <w:color w:val="auto"/>
        </w:rPr>
      </w:pPr>
    </w:p>
    <w:p>
      <w:pPr>
        <w:pageBreakBefore w:val="0"/>
        <w:kinsoku/>
        <w:wordWrap/>
        <w:overflowPunct/>
        <w:topLinePunct w:val="0"/>
        <w:autoSpaceDE/>
        <w:autoSpaceDN/>
        <w:bidi w:val="0"/>
        <w:adjustRightInd/>
        <w:snapToGrid/>
        <w:spacing w:line="460" w:lineRule="exact"/>
        <w:rPr>
          <w:color w:val="auto"/>
          <w:highlight w:val="none"/>
        </w:rPr>
        <w:sectPr>
          <w:footerReference r:id="rId15" w:type="default"/>
          <w:pgSz w:w="11906" w:h="16838"/>
          <w:pgMar w:top="1247" w:right="1417" w:bottom="1702" w:left="1417" w:header="851" w:footer="992" w:gutter="0"/>
          <w:cols w:space="720" w:num="1"/>
          <w:docGrid w:linePitch="312" w:charSpace="0"/>
        </w:sectPr>
      </w:pPr>
    </w:p>
    <w:p>
      <w:pPr>
        <w:keepNext w:val="0"/>
        <w:keepLines w:val="0"/>
        <w:pageBreakBefore w:val="0"/>
        <w:widowControl w:val="0"/>
        <w:kinsoku/>
        <w:wordWrap/>
        <w:overflowPunct/>
        <w:topLinePunct w:val="0"/>
        <w:autoSpaceDE/>
        <w:autoSpaceDN/>
        <w:bidi w:val="0"/>
        <w:adjustRightInd/>
        <w:snapToGrid/>
        <w:spacing w:line="460" w:lineRule="exact"/>
        <w:jc w:val="left"/>
        <w:textAlignment w:val="auto"/>
        <w:outlineLvl w:val="1"/>
        <w:rPr>
          <w:rFonts w:hint="eastAsia" w:ascii="仿宋" w:hAnsi="仿宋" w:eastAsia="仿宋" w:cs="Times New Roman"/>
          <w:b/>
          <w:bCs/>
          <w:color w:val="auto"/>
          <w:sz w:val="28"/>
          <w:szCs w:val="28"/>
          <w:highlight w:val="none"/>
          <w:lang w:eastAsia="zh-CN"/>
        </w:rPr>
      </w:pPr>
      <w:bookmarkStart w:id="721" w:name="_Toc5171"/>
      <w:bookmarkStart w:id="722" w:name="_Toc23115"/>
      <w:bookmarkStart w:id="723" w:name="_Toc18661"/>
      <w:bookmarkStart w:id="724" w:name="_Toc5196"/>
      <w:bookmarkStart w:id="725" w:name="_Toc11785"/>
      <w:r>
        <w:rPr>
          <w:rFonts w:hint="eastAsia" w:ascii="仿宋" w:hAnsi="仿宋" w:eastAsia="仿宋" w:cs="Times New Roman"/>
          <w:b/>
          <w:bCs/>
          <w:color w:val="auto"/>
          <w:sz w:val="28"/>
          <w:szCs w:val="28"/>
          <w:highlight w:val="none"/>
          <w:lang w:val="en-US" w:eastAsia="zh-CN"/>
        </w:rPr>
        <w:t>61包</w:t>
      </w:r>
      <w:r>
        <w:rPr>
          <w:rFonts w:hint="eastAsia" w:ascii="仿宋" w:hAnsi="仿宋" w:eastAsia="仿宋" w:cs="Times New Roman"/>
          <w:b/>
          <w:bCs/>
          <w:color w:val="auto"/>
          <w:sz w:val="28"/>
          <w:szCs w:val="28"/>
          <w:highlight w:val="none"/>
        </w:rPr>
        <w:t>：</w:t>
      </w:r>
      <w:r>
        <w:rPr>
          <w:rFonts w:hint="eastAsia" w:ascii="仿宋" w:hAnsi="仿宋" w:eastAsia="仿宋" w:cs="Times New Roman"/>
          <w:b/>
          <w:bCs/>
          <w:color w:val="auto"/>
          <w:sz w:val="28"/>
          <w:szCs w:val="28"/>
          <w:highlight w:val="none"/>
          <w:lang w:val="en-US" w:eastAsia="zh-CN"/>
        </w:rPr>
        <w:t>充气式上浮系统、救援桨板、救生拉杆</w:t>
      </w:r>
      <w:r>
        <w:rPr>
          <w:rFonts w:hint="eastAsia" w:ascii="仿宋" w:hAnsi="仿宋" w:eastAsia="仿宋" w:cs="Times New Roman"/>
          <w:b/>
          <w:bCs/>
          <w:color w:val="auto"/>
          <w:sz w:val="28"/>
          <w:szCs w:val="28"/>
          <w:highlight w:val="none"/>
        </w:rPr>
        <w:t>【核心产品】</w:t>
      </w:r>
      <w:r>
        <w:rPr>
          <w:rFonts w:hint="eastAsia" w:ascii="仿宋" w:hAnsi="仿宋" w:eastAsia="仿宋" w:cs="Times New Roman"/>
          <w:b/>
          <w:bCs/>
          <w:color w:val="auto"/>
          <w:sz w:val="28"/>
          <w:szCs w:val="28"/>
          <w:highlight w:val="none"/>
          <w:lang w:val="en-US" w:eastAsia="zh-CN"/>
        </w:rPr>
        <w:t>、滚钩、充气式救生浮板、水下起吊工具组</w:t>
      </w:r>
      <w:bookmarkEnd w:id="721"/>
      <w:bookmarkEnd w:id="722"/>
      <w:bookmarkEnd w:id="723"/>
      <w:bookmarkEnd w:id="724"/>
      <w:bookmarkEnd w:id="725"/>
    </w:p>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hint="eastAsia" w:ascii="仿宋" w:hAnsi="仿宋" w:eastAsia="仿宋"/>
          <w:b/>
          <w:color w:val="auto"/>
          <w:sz w:val="24"/>
          <w:highlight w:val="none"/>
        </w:rPr>
        <w:t>一、价格部分（</w:t>
      </w:r>
      <w:r>
        <w:rPr>
          <w:rFonts w:ascii="仿宋" w:hAnsi="仿宋" w:eastAsia="仿宋"/>
          <w:b/>
          <w:color w:val="auto"/>
          <w:sz w:val="24"/>
          <w:highlight w:val="none"/>
        </w:rPr>
        <w:t>30分）</w:t>
      </w:r>
    </w:p>
    <w:tbl>
      <w:tblPr>
        <w:tblStyle w:val="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1579"/>
        <w:gridCol w:w="6182"/>
        <w:gridCol w:w="8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评审因素</w:t>
            </w:r>
          </w:p>
        </w:tc>
        <w:tc>
          <w:tcPr>
            <w:tcW w:w="3327" w:type="pct"/>
            <w:vAlign w:val="center"/>
          </w:tcPr>
          <w:p>
            <w:pPr>
              <w:pageBreakBefore w:val="0"/>
              <w:kinsoku/>
              <w:wordWrap/>
              <w:overflowPunct/>
              <w:topLinePunct w:val="0"/>
              <w:autoSpaceDE/>
              <w:autoSpaceDN/>
              <w:bidi w:val="0"/>
              <w:adjustRightInd/>
              <w:snapToGrid/>
              <w:spacing w:line="460" w:lineRule="exact"/>
              <w:jc w:val="center"/>
              <w:textAlignment w:val="center"/>
              <w:rPr>
                <w:rFonts w:ascii="仿宋" w:hAnsi="仿宋" w:eastAsia="仿宋" w:cs="仿宋"/>
                <w:b/>
                <w:color w:val="auto"/>
                <w:sz w:val="24"/>
                <w:highlight w:val="none"/>
              </w:rPr>
            </w:pPr>
            <w:r>
              <w:rPr>
                <w:rFonts w:hint="eastAsia" w:ascii="仿宋" w:hAnsi="仿宋" w:eastAsia="仿宋" w:cs="仿宋"/>
                <w:b/>
                <w:bCs/>
                <w:color w:val="auto"/>
                <w:sz w:val="24"/>
                <w:highlight w:val="none"/>
              </w:rPr>
              <w:t>评分标准</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价格分</w:t>
            </w:r>
          </w:p>
        </w:tc>
        <w:tc>
          <w:tcPr>
            <w:tcW w:w="3327" w:type="pct"/>
            <w:vAlign w:val="center"/>
          </w:tcPr>
          <w:p>
            <w:pPr>
              <w:pageBreakBefore w:val="0"/>
              <w:kinsoku/>
              <w:wordWrap/>
              <w:overflowPunct/>
              <w:topLinePunct w:val="0"/>
              <w:autoSpaceDE/>
              <w:autoSpaceDN/>
              <w:bidi w:val="0"/>
              <w:adjustRightInd/>
              <w:snapToGrid/>
              <w:spacing w:line="460" w:lineRule="exact"/>
              <w:jc w:val="left"/>
              <w:textAlignment w:val="center"/>
              <w:rPr>
                <w:rFonts w:ascii="仿宋" w:hAnsi="仿宋" w:eastAsia="仿宋" w:cs="仿宋"/>
                <w:color w:val="auto"/>
                <w:sz w:val="24"/>
                <w:highlight w:val="none"/>
              </w:rPr>
            </w:pPr>
            <w:r>
              <w:rPr>
                <w:rFonts w:hint="eastAsia" w:ascii="仿宋" w:hAnsi="仿宋" w:eastAsia="仿宋" w:cs="仿宋"/>
                <w:color w:val="auto"/>
                <w:sz w:val="24"/>
                <w:highlight w:val="none"/>
              </w:rPr>
              <w:t>根据综合评分法，满足招标文件要求且投标价格最低的投标报价为评标基准价，投标报价得分</w:t>
            </w:r>
            <w:r>
              <w:rPr>
                <w:rFonts w:ascii="仿宋" w:hAnsi="仿宋" w:eastAsia="仿宋" w:cs="仿宋"/>
                <w:color w:val="auto"/>
                <w:sz w:val="24"/>
                <w:highlight w:val="none"/>
              </w:rPr>
              <w:t>=（评标基准价／投标报价）</w:t>
            </w:r>
            <w:r>
              <w:rPr>
                <w:rFonts w:hint="eastAsia" w:ascii="仿宋" w:hAnsi="仿宋" w:eastAsia="仿宋" w:cs="仿宋"/>
                <w:color w:val="auto"/>
                <w:sz w:val="24"/>
                <w:highlight w:val="none"/>
              </w:rPr>
              <w:t>×</w:t>
            </w:r>
            <w:r>
              <w:rPr>
                <w:rFonts w:ascii="仿宋" w:hAnsi="仿宋" w:eastAsia="仿宋" w:cs="仿宋"/>
                <w:color w:val="auto"/>
                <w:sz w:val="24"/>
                <w:highlight w:val="none"/>
              </w:rPr>
              <w:t>30%×100，计算分数时四舍五入取小数点后两位。</w:t>
            </w:r>
          </w:p>
          <w:p>
            <w:pPr>
              <w:pageBreakBefore w:val="0"/>
              <w:kinsoku/>
              <w:wordWrap/>
              <w:overflowPunct/>
              <w:topLinePunct w:val="0"/>
              <w:autoSpaceDE/>
              <w:autoSpaceDN/>
              <w:bidi w:val="0"/>
              <w:adjustRightInd/>
              <w:snapToGrid/>
              <w:spacing w:line="460" w:lineRule="exact"/>
              <w:ind w:firstLine="482" w:firstLineChars="200"/>
              <w:jc w:val="left"/>
              <w:textAlignment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注：</w:t>
            </w:r>
            <w:r>
              <w:rPr>
                <w:rFonts w:ascii="仿宋" w:hAnsi="仿宋" w:eastAsia="仿宋" w:cs="仿宋"/>
                <w:b/>
                <w:bCs/>
                <w:color w:val="auto"/>
                <w:sz w:val="24"/>
                <w:highlight w:val="none"/>
              </w:rPr>
              <w:t>小、微型企业或残疾人福利性单位产品或监狱产品的价格给予10%的扣除，用扣除后的价格参与评审。但残疾人福利性单位本身属于小型、微型企业的，不重复享受政策。</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30分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二、技术部分（5</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3"/>
        <w:gridCol w:w="750"/>
        <w:gridCol w:w="1151"/>
        <w:gridCol w:w="5939"/>
        <w:gridCol w:w="8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25"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1024" w:type="pct"/>
            <w:gridSpan w:val="2"/>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3199"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评分标准</w:t>
            </w:r>
          </w:p>
        </w:tc>
        <w:tc>
          <w:tcPr>
            <w:tcW w:w="450"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325"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024"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技术参数及要求</w:t>
            </w:r>
          </w:p>
        </w:tc>
        <w:tc>
          <w:tcPr>
            <w:tcW w:w="3199" w:type="pct"/>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一、重大负偏离评审依据：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1、带★条款的响应，不满足招标文件要求的，或有缺项、漏项的，视为重大负偏离；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2、一般参数和带“▲”参数共有四项及以上（含本数）的负偏离，视为重大负偏离；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3、所投产品一般参数或带“▲”参数有一项低于招标文件要求，该项视为负偏离；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4、所投产品一般参数或带“▲”参数有一项缺项、漏项的，该项视为负偏离。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注：“一般参数”为非标“★”号参数和非标“▲”号参数。</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①投标文件中提供的技术条款响应表；</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②所投产品技术参数完全满足招标文件要求得</w:t>
            </w:r>
            <w:r>
              <w:rPr>
                <w:rFonts w:hint="eastAsia" w:ascii="仿宋" w:hAnsi="仿宋" w:eastAsia="仿宋" w:cs="仿宋"/>
                <w:b/>
                <w:bCs/>
                <w:color w:val="auto"/>
                <w:sz w:val="24"/>
                <w:highlight w:val="none"/>
                <w:lang w:val="en-US" w:eastAsia="zh-CN"/>
              </w:rPr>
              <w:t>19</w:t>
            </w:r>
            <w:r>
              <w:rPr>
                <w:rFonts w:hint="eastAsia" w:ascii="仿宋" w:hAnsi="仿宋" w:eastAsia="仿宋" w:cs="仿宋"/>
                <w:b/>
                <w:bCs/>
                <w:color w:val="auto"/>
                <w:sz w:val="24"/>
                <w:highlight w:val="none"/>
              </w:rPr>
              <w:t>分；重大负偏离则视为无效投标；一般参数或带“▲”参数每有一项负偏离减5分，最多减15分，四项或以上负偏离视为无效投标。</w:t>
            </w:r>
          </w:p>
        </w:tc>
        <w:tc>
          <w:tcPr>
            <w:tcW w:w="450" w:type="pct"/>
            <w:vAlign w:val="center"/>
          </w:tcPr>
          <w:p>
            <w:pPr>
              <w:pageBreakBefore w:val="0"/>
              <w:kinsoku/>
              <w:wordWrap/>
              <w:overflowPunct/>
              <w:topLinePunct w:val="0"/>
              <w:autoSpaceDE/>
              <w:autoSpaceDN/>
              <w:bidi w:val="0"/>
              <w:adjustRightInd/>
              <w:snapToGrid/>
              <w:spacing w:line="460" w:lineRule="exact"/>
              <w:jc w:val="center"/>
              <w:textAlignment w:val="center"/>
              <w:rPr>
                <w:rFonts w:hint="default"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19分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25"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404" w:type="pc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充气式上浮系统</w:t>
            </w:r>
          </w:p>
        </w:tc>
        <w:tc>
          <w:tcPr>
            <w:tcW w:w="620"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▲3.2提升力≥30kN</w:t>
            </w:r>
          </w:p>
        </w:tc>
        <w:tc>
          <w:tcPr>
            <w:tcW w:w="3199"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highlight w:val="none"/>
                <w:lang w:val="en-US" w:eastAsia="zh-CN"/>
              </w:rPr>
              <w:t>提升力</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提升力</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val="en-US" w:eastAsia="zh-CN"/>
              </w:rPr>
              <w:t>提升力</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val="en-US" w:eastAsia="zh-CN"/>
              </w:rPr>
              <w:t>提升力</w:t>
            </w:r>
            <w:r>
              <w:rPr>
                <w:rFonts w:hint="eastAsia" w:ascii="仿宋" w:hAnsi="仿宋" w:eastAsia="仿宋" w:cs="仿宋"/>
                <w:b/>
                <w:bCs/>
                <w:color w:val="auto"/>
                <w:sz w:val="24"/>
                <w:szCs w:val="24"/>
                <w:highlight w:val="none"/>
              </w:rPr>
              <w:t>最大，次优表示</w:t>
            </w:r>
            <w:r>
              <w:rPr>
                <w:rFonts w:hint="eastAsia" w:ascii="仿宋" w:hAnsi="仿宋" w:eastAsia="仿宋" w:cs="仿宋"/>
                <w:b/>
                <w:bCs/>
                <w:color w:val="auto"/>
                <w:sz w:val="24"/>
                <w:szCs w:val="24"/>
                <w:highlight w:val="none"/>
                <w:lang w:val="en-US" w:eastAsia="zh-CN"/>
              </w:rPr>
              <w:t>提升力</w:t>
            </w:r>
            <w:r>
              <w:rPr>
                <w:rFonts w:hint="eastAsia" w:ascii="仿宋" w:hAnsi="仿宋" w:eastAsia="仿宋" w:cs="仿宋"/>
                <w:b/>
                <w:bCs/>
                <w:color w:val="auto"/>
                <w:sz w:val="24"/>
                <w:szCs w:val="24"/>
                <w:highlight w:val="none"/>
              </w:rPr>
              <w:t>仅次于最大值。</w:t>
            </w:r>
          </w:p>
        </w:tc>
        <w:tc>
          <w:tcPr>
            <w:tcW w:w="450"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25"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404" w:type="pct"/>
            <w:vMerge w:val="restar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救援桨板</w:t>
            </w:r>
          </w:p>
        </w:tc>
        <w:tc>
          <w:tcPr>
            <w:tcW w:w="620"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szCs w:val="24"/>
                <w:highlight w:val="none"/>
                <w:lang w:val="en-US" w:eastAsia="zh-CN"/>
              </w:rPr>
              <w:t>3.2净重≤20kg</w:t>
            </w:r>
          </w:p>
        </w:tc>
        <w:tc>
          <w:tcPr>
            <w:tcW w:w="3199"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eastAsia="zh-CN"/>
              </w:rPr>
              <w:t>的</w:t>
            </w:r>
            <w:r>
              <w:rPr>
                <w:rFonts w:hint="eastAsia" w:ascii="仿宋" w:hAnsi="仿宋" w:eastAsia="仿宋" w:cs="仿宋"/>
                <w:color w:val="auto"/>
                <w:sz w:val="24"/>
                <w:szCs w:val="24"/>
                <w:highlight w:val="none"/>
                <w:lang w:val="en-US" w:eastAsia="zh-CN"/>
              </w:rPr>
              <w:t>净重</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szCs w:val="24"/>
                <w:highlight w:val="none"/>
                <w:lang w:val="en-US" w:eastAsia="zh-CN"/>
              </w:rPr>
              <w:t>净重</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val="en-US" w:eastAsia="zh-CN"/>
              </w:rPr>
              <w:t>净重</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val="en-US" w:eastAsia="zh-CN"/>
              </w:rPr>
              <w:t>净重</w:t>
            </w:r>
            <w:r>
              <w:rPr>
                <w:rFonts w:hint="eastAsia" w:ascii="仿宋" w:hAnsi="仿宋" w:eastAsia="仿宋" w:cs="仿宋"/>
                <w:b/>
                <w:bCs/>
                <w:color w:val="auto"/>
                <w:sz w:val="24"/>
                <w:szCs w:val="24"/>
                <w:highlight w:val="none"/>
              </w:rPr>
              <w:t>最</w:t>
            </w:r>
            <w:r>
              <w:rPr>
                <w:rFonts w:hint="eastAsia" w:ascii="仿宋" w:hAnsi="仿宋" w:eastAsia="仿宋" w:cs="仿宋"/>
                <w:b/>
                <w:bCs/>
                <w:color w:val="auto"/>
                <w:sz w:val="24"/>
                <w:szCs w:val="24"/>
                <w:highlight w:val="none"/>
                <w:lang w:val="en-US" w:eastAsia="zh-CN"/>
              </w:rPr>
              <w:t>小</w:t>
            </w:r>
            <w:r>
              <w:rPr>
                <w:rFonts w:hint="eastAsia" w:ascii="仿宋" w:hAnsi="仿宋" w:eastAsia="仿宋" w:cs="仿宋"/>
                <w:b/>
                <w:bCs/>
                <w:color w:val="auto"/>
                <w:sz w:val="24"/>
                <w:szCs w:val="24"/>
                <w:highlight w:val="none"/>
              </w:rPr>
              <w:t>，次优表示</w:t>
            </w:r>
            <w:r>
              <w:rPr>
                <w:rFonts w:hint="eastAsia" w:ascii="仿宋" w:hAnsi="仿宋" w:eastAsia="仿宋" w:cs="仿宋"/>
                <w:b/>
                <w:bCs/>
                <w:color w:val="auto"/>
                <w:sz w:val="24"/>
                <w:szCs w:val="24"/>
                <w:highlight w:val="none"/>
                <w:lang w:val="en-US" w:eastAsia="zh-CN"/>
              </w:rPr>
              <w:t>净重</w:t>
            </w:r>
            <w:r>
              <w:rPr>
                <w:rFonts w:hint="eastAsia" w:ascii="仿宋" w:hAnsi="仿宋" w:eastAsia="仿宋" w:cs="仿宋"/>
                <w:b/>
                <w:bCs/>
                <w:color w:val="auto"/>
                <w:sz w:val="24"/>
                <w:szCs w:val="24"/>
                <w:highlight w:val="none"/>
              </w:rPr>
              <w:t>仅次于最</w:t>
            </w:r>
            <w:r>
              <w:rPr>
                <w:rFonts w:hint="eastAsia" w:ascii="仿宋" w:hAnsi="仿宋" w:eastAsia="仿宋" w:cs="仿宋"/>
                <w:b/>
                <w:bCs/>
                <w:color w:val="auto"/>
                <w:sz w:val="24"/>
                <w:szCs w:val="24"/>
                <w:highlight w:val="none"/>
                <w:lang w:val="en-US" w:eastAsia="zh-CN"/>
              </w:rPr>
              <w:t>小</w:t>
            </w:r>
            <w:r>
              <w:rPr>
                <w:rFonts w:hint="eastAsia" w:ascii="仿宋" w:hAnsi="仿宋" w:eastAsia="仿宋" w:cs="仿宋"/>
                <w:b/>
                <w:bCs/>
                <w:color w:val="auto"/>
                <w:sz w:val="24"/>
                <w:szCs w:val="24"/>
                <w:highlight w:val="none"/>
              </w:rPr>
              <w:t>值。</w:t>
            </w:r>
          </w:p>
        </w:tc>
        <w:tc>
          <w:tcPr>
            <w:tcW w:w="450" w:type="pct"/>
            <w:vAlign w:val="center"/>
          </w:tcPr>
          <w:p>
            <w:pPr>
              <w:pageBreakBefore w:val="0"/>
              <w:kinsoku/>
              <w:wordWrap/>
              <w:overflowPunct/>
              <w:topLinePunct w:val="0"/>
              <w:autoSpaceDE/>
              <w:autoSpaceDN/>
              <w:bidi w:val="0"/>
              <w:adjustRightInd/>
              <w:snapToGrid/>
              <w:spacing w:line="460" w:lineRule="exact"/>
              <w:jc w:val="center"/>
              <w:textAlignment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25"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404" w:type="pct"/>
            <w:vMerge w:val="continue"/>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p>
        </w:tc>
        <w:tc>
          <w:tcPr>
            <w:tcW w:w="620"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▲3.3浮板承重：≥110KG</w:t>
            </w:r>
          </w:p>
        </w:tc>
        <w:tc>
          <w:tcPr>
            <w:tcW w:w="3199"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eastAsia="zh-CN"/>
              </w:rPr>
              <w:t>的</w:t>
            </w:r>
            <w:r>
              <w:rPr>
                <w:rFonts w:hint="eastAsia" w:ascii="仿宋" w:hAnsi="仿宋" w:eastAsia="仿宋" w:cs="仿宋"/>
                <w:color w:val="auto"/>
                <w:sz w:val="24"/>
                <w:highlight w:val="none"/>
                <w:lang w:val="en-US" w:eastAsia="zh-CN"/>
              </w:rPr>
              <w:t>浮板承重</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浮板承重</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val="en-US" w:eastAsia="zh-CN"/>
              </w:rPr>
              <w:t>浮板承重</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val="en-US" w:eastAsia="zh-CN"/>
              </w:rPr>
              <w:t>浮板承重</w:t>
            </w:r>
            <w:r>
              <w:rPr>
                <w:rFonts w:hint="eastAsia" w:ascii="仿宋" w:hAnsi="仿宋" w:eastAsia="仿宋" w:cs="仿宋"/>
                <w:b/>
                <w:bCs/>
                <w:color w:val="auto"/>
                <w:sz w:val="24"/>
                <w:szCs w:val="24"/>
                <w:highlight w:val="none"/>
              </w:rPr>
              <w:t>最大，次优表示</w:t>
            </w:r>
            <w:r>
              <w:rPr>
                <w:rFonts w:hint="eastAsia" w:ascii="仿宋" w:hAnsi="仿宋" w:eastAsia="仿宋" w:cs="仿宋"/>
                <w:b/>
                <w:bCs/>
                <w:color w:val="auto"/>
                <w:sz w:val="24"/>
                <w:szCs w:val="24"/>
                <w:highlight w:val="none"/>
                <w:lang w:val="en-US" w:eastAsia="zh-CN"/>
              </w:rPr>
              <w:t>浮板承重</w:t>
            </w:r>
            <w:r>
              <w:rPr>
                <w:rFonts w:hint="eastAsia" w:ascii="仿宋" w:hAnsi="仿宋" w:eastAsia="仿宋" w:cs="仿宋"/>
                <w:b/>
                <w:bCs/>
                <w:color w:val="auto"/>
                <w:sz w:val="24"/>
                <w:szCs w:val="24"/>
                <w:highlight w:val="none"/>
              </w:rPr>
              <w:t>仅次于最大值。</w:t>
            </w:r>
          </w:p>
        </w:tc>
        <w:tc>
          <w:tcPr>
            <w:tcW w:w="450"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25"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404" w:type="pct"/>
            <w:vMerge w:val="restar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救生拉杆</w:t>
            </w:r>
          </w:p>
        </w:tc>
        <w:tc>
          <w:tcPr>
            <w:tcW w:w="620"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▲3.4浮球浮力：≥5公斤</w:t>
            </w:r>
          </w:p>
        </w:tc>
        <w:tc>
          <w:tcPr>
            <w:tcW w:w="3199"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eastAsia="zh-CN"/>
              </w:rPr>
              <w:t>的</w:t>
            </w:r>
            <w:r>
              <w:rPr>
                <w:rFonts w:hint="eastAsia" w:ascii="仿宋" w:hAnsi="仿宋" w:eastAsia="仿宋" w:cs="仿宋"/>
                <w:color w:val="auto"/>
                <w:sz w:val="24"/>
                <w:highlight w:val="none"/>
                <w:lang w:val="en-US" w:eastAsia="zh-CN"/>
              </w:rPr>
              <w:t>浮球浮力</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浮球浮力</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val="en-US" w:eastAsia="zh-CN"/>
              </w:rPr>
              <w:t>浮球浮力</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val="en-US" w:eastAsia="zh-CN"/>
              </w:rPr>
              <w:t>浮球浮力</w:t>
            </w:r>
            <w:r>
              <w:rPr>
                <w:rFonts w:hint="eastAsia" w:ascii="仿宋" w:hAnsi="仿宋" w:eastAsia="仿宋" w:cs="仿宋"/>
                <w:b/>
                <w:bCs/>
                <w:color w:val="auto"/>
                <w:sz w:val="24"/>
                <w:szCs w:val="24"/>
                <w:highlight w:val="none"/>
              </w:rPr>
              <w:t>最大，次优表示</w:t>
            </w:r>
            <w:r>
              <w:rPr>
                <w:rFonts w:hint="eastAsia" w:ascii="仿宋" w:hAnsi="仿宋" w:eastAsia="仿宋" w:cs="仿宋"/>
                <w:b/>
                <w:bCs/>
                <w:color w:val="auto"/>
                <w:sz w:val="24"/>
                <w:szCs w:val="24"/>
                <w:highlight w:val="none"/>
                <w:lang w:val="en-US" w:eastAsia="zh-CN"/>
              </w:rPr>
              <w:t>浮球浮力</w:t>
            </w:r>
            <w:r>
              <w:rPr>
                <w:rFonts w:hint="eastAsia" w:ascii="仿宋" w:hAnsi="仿宋" w:eastAsia="仿宋" w:cs="仿宋"/>
                <w:b/>
                <w:bCs/>
                <w:color w:val="auto"/>
                <w:sz w:val="24"/>
                <w:szCs w:val="24"/>
                <w:highlight w:val="none"/>
              </w:rPr>
              <w:t>仅次于最大值。</w:t>
            </w:r>
          </w:p>
        </w:tc>
        <w:tc>
          <w:tcPr>
            <w:tcW w:w="450"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25"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404" w:type="pct"/>
            <w:vMerge w:val="continue"/>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p>
        </w:tc>
        <w:tc>
          <w:tcPr>
            <w:tcW w:w="620"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▲3.4浮力圈浮力：≥3.5公斤</w:t>
            </w:r>
          </w:p>
        </w:tc>
        <w:tc>
          <w:tcPr>
            <w:tcW w:w="3199"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eastAsia="zh-CN"/>
              </w:rPr>
              <w:t>的</w:t>
            </w:r>
            <w:r>
              <w:rPr>
                <w:rFonts w:hint="eastAsia" w:ascii="仿宋" w:hAnsi="仿宋" w:eastAsia="仿宋" w:cs="仿宋"/>
                <w:color w:val="auto"/>
                <w:sz w:val="24"/>
                <w:highlight w:val="none"/>
                <w:lang w:val="en-US" w:eastAsia="zh-CN"/>
              </w:rPr>
              <w:t>浮力圈浮力</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浮力圈浮力</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val="en-US" w:eastAsia="zh-CN"/>
              </w:rPr>
              <w:t>浮力圈浮力</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val="en-US" w:eastAsia="zh-CN"/>
              </w:rPr>
              <w:t>浮力圈浮力</w:t>
            </w:r>
            <w:r>
              <w:rPr>
                <w:rFonts w:hint="eastAsia" w:ascii="仿宋" w:hAnsi="仿宋" w:eastAsia="仿宋" w:cs="仿宋"/>
                <w:b/>
                <w:bCs/>
                <w:color w:val="auto"/>
                <w:sz w:val="24"/>
                <w:szCs w:val="24"/>
                <w:highlight w:val="none"/>
              </w:rPr>
              <w:t>最大，次优表示</w:t>
            </w:r>
            <w:r>
              <w:rPr>
                <w:rFonts w:hint="eastAsia" w:ascii="仿宋" w:hAnsi="仿宋" w:eastAsia="仿宋" w:cs="仿宋"/>
                <w:b/>
                <w:bCs/>
                <w:color w:val="auto"/>
                <w:sz w:val="24"/>
                <w:szCs w:val="24"/>
                <w:highlight w:val="none"/>
                <w:lang w:val="en-US" w:eastAsia="zh-CN"/>
              </w:rPr>
              <w:t>浮力圈浮力</w:t>
            </w:r>
            <w:r>
              <w:rPr>
                <w:rFonts w:hint="eastAsia" w:ascii="仿宋" w:hAnsi="仿宋" w:eastAsia="仿宋" w:cs="仿宋"/>
                <w:b/>
                <w:bCs/>
                <w:color w:val="auto"/>
                <w:sz w:val="24"/>
                <w:szCs w:val="24"/>
                <w:highlight w:val="none"/>
              </w:rPr>
              <w:t>仅次于最大值。</w:t>
            </w:r>
          </w:p>
        </w:tc>
        <w:tc>
          <w:tcPr>
            <w:tcW w:w="450"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25"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404" w:type="pc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充气式救生浮板</w:t>
            </w:r>
          </w:p>
        </w:tc>
        <w:tc>
          <w:tcPr>
            <w:tcW w:w="620"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▲3.6浮力≥1KN</w:t>
            </w:r>
          </w:p>
        </w:tc>
        <w:tc>
          <w:tcPr>
            <w:tcW w:w="3199"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eastAsia="zh-CN"/>
              </w:rPr>
              <w:t>的</w:t>
            </w:r>
            <w:r>
              <w:rPr>
                <w:rFonts w:hint="eastAsia" w:ascii="仿宋" w:hAnsi="仿宋" w:eastAsia="仿宋" w:cs="仿宋"/>
                <w:color w:val="auto"/>
                <w:sz w:val="24"/>
                <w:highlight w:val="none"/>
                <w:lang w:val="en-US" w:eastAsia="zh-CN"/>
              </w:rPr>
              <w:t>浮力</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浮力</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val="en-US" w:eastAsia="zh-CN"/>
              </w:rPr>
              <w:t>浮力</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val="en-US" w:eastAsia="zh-CN"/>
              </w:rPr>
              <w:t>浮力</w:t>
            </w:r>
            <w:r>
              <w:rPr>
                <w:rFonts w:hint="eastAsia" w:ascii="仿宋" w:hAnsi="仿宋" w:eastAsia="仿宋" w:cs="仿宋"/>
                <w:b/>
                <w:bCs/>
                <w:color w:val="auto"/>
                <w:sz w:val="24"/>
                <w:szCs w:val="24"/>
                <w:highlight w:val="none"/>
              </w:rPr>
              <w:t>最大，次优表示</w:t>
            </w:r>
            <w:r>
              <w:rPr>
                <w:rFonts w:hint="eastAsia" w:ascii="仿宋" w:hAnsi="仿宋" w:eastAsia="仿宋" w:cs="仿宋"/>
                <w:b/>
                <w:bCs/>
                <w:color w:val="auto"/>
                <w:sz w:val="24"/>
                <w:szCs w:val="24"/>
                <w:highlight w:val="none"/>
                <w:lang w:val="en-US" w:eastAsia="zh-CN"/>
              </w:rPr>
              <w:t>浮力</w:t>
            </w:r>
            <w:r>
              <w:rPr>
                <w:rFonts w:hint="eastAsia" w:ascii="仿宋" w:hAnsi="仿宋" w:eastAsia="仿宋" w:cs="仿宋"/>
                <w:b/>
                <w:bCs/>
                <w:color w:val="auto"/>
                <w:sz w:val="24"/>
                <w:szCs w:val="24"/>
                <w:highlight w:val="none"/>
              </w:rPr>
              <w:t>仅次于最大值。</w:t>
            </w:r>
          </w:p>
        </w:tc>
        <w:tc>
          <w:tcPr>
            <w:tcW w:w="450"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25"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404" w:type="pc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水下起吊工具组</w:t>
            </w:r>
          </w:p>
        </w:tc>
        <w:tc>
          <w:tcPr>
            <w:tcW w:w="620"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▲3.3工具组起浮总能力≥1.5T</w:t>
            </w:r>
          </w:p>
        </w:tc>
        <w:tc>
          <w:tcPr>
            <w:tcW w:w="3199"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eastAsia="zh-CN"/>
              </w:rPr>
              <w:t>的</w:t>
            </w:r>
            <w:r>
              <w:rPr>
                <w:rFonts w:hint="eastAsia" w:ascii="仿宋" w:hAnsi="仿宋" w:eastAsia="仿宋" w:cs="仿宋"/>
                <w:color w:val="auto"/>
                <w:sz w:val="24"/>
                <w:highlight w:val="none"/>
                <w:lang w:val="en-US" w:eastAsia="zh-CN"/>
              </w:rPr>
              <w:t>工具组起浮总能力</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工具组起浮总能力</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val="en-US" w:eastAsia="zh-CN"/>
              </w:rPr>
              <w:t>工具组起浮总能力</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val="en-US" w:eastAsia="zh-CN"/>
              </w:rPr>
              <w:t>工具组起浮总能力</w:t>
            </w:r>
            <w:r>
              <w:rPr>
                <w:rFonts w:hint="eastAsia" w:ascii="仿宋" w:hAnsi="仿宋" w:eastAsia="仿宋" w:cs="仿宋"/>
                <w:b/>
                <w:bCs/>
                <w:color w:val="auto"/>
                <w:sz w:val="24"/>
                <w:szCs w:val="24"/>
                <w:highlight w:val="none"/>
              </w:rPr>
              <w:t>最大，次优表示</w:t>
            </w:r>
            <w:r>
              <w:rPr>
                <w:rFonts w:hint="eastAsia" w:ascii="仿宋" w:hAnsi="仿宋" w:eastAsia="仿宋" w:cs="仿宋"/>
                <w:b/>
                <w:bCs/>
                <w:color w:val="auto"/>
                <w:sz w:val="24"/>
                <w:szCs w:val="24"/>
                <w:highlight w:val="none"/>
                <w:lang w:val="en-US" w:eastAsia="zh-CN"/>
              </w:rPr>
              <w:t>工具组起浮总能力</w:t>
            </w:r>
            <w:r>
              <w:rPr>
                <w:rFonts w:hint="eastAsia" w:ascii="仿宋" w:hAnsi="仿宋" w:eastAsia="仿宋" w:cs="仿宋"/>
                <w:b/>
                <w:bCs/>
                <w:color w:val="auto"/>
                <w:sz w:val="24"/>
                <w:szCs w:val="24"/>
                <w:highlight w:val="none"/>
              </w:rPr>
              <w:t>仅次于最大值。</w:t>
            </w:r>
          </w:p>
        </w:tc>
        <w:tc>
          <w:tcPr>
            <w:tcW w:w="450"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25"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024"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strike w:val="0"/>
                <w:dstrike w:val="0"/>
                <w:color w:val="auto"/>
                <w:sz w:val="24"/>
                <w:highlight w:val="none"/>
              </w:rPr>
            </w:pPr>
            <w:r>
              <w:rPr>
                <w:rFonts w:hint="eastAsia" w:ascii="仿宋" w:hAnsi="仿宋" w:eastAsia="仿宋" w:cs="仿宋"/>
                <w:strike w:val="0"/>
                <w:dstrike w:val="0"/>
                <w:color w:val="auto"/>
                <w:sz w:val="24"/>
                <w:highlight w:val="none"/>
              </w:rPr>
              <w:t>一般参数</w:t>
            </w:r>
          </w:p>
        </w:tc>
        <w:tc>
          <w:tcPr>
            <w:tcW w:w="3199"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strike w:val="0"/>
                <w:dstrike w:val="0"/>
                <w:color w:val="auto"/>
                <w:sz w:val="24"/>
                <w:highlight w:val="none"/>
              </w:rPr>
            </w:pPr>
            <w:r>
              <w:rPr>
                <w:rFonts w:hint="eastAsia" w:ascii="仿宋" w:hAnsi="仿宋" w:eastAsia="仿宋" w:cs="仿宋"/>
                <w:strike w:val="0"/>
                <w:dstrike w:val="0"/>
                <w:color w:val="auto"/>
                <w:sz w:val="24"/>
                <w:highlight w:val="none"/>
              </w:rPr>
              <w:t>在完全满足招标文件“</w:t>
            </w:r>
            <w:r>
              <w:rPr>
                <w:rFonts w:hint="eastAsia" w:ascii="仿宋" w:hAnsi="仿宋" w:eastAsia="仿宋" w:cs="仿宋"/>
                <w:strike w:val="0"/>
                <w:dstrike w:val="0"/>
                <w:color w:val="auto"/>
                <w:sz w:val="24"/>
                <w:highlight w:val="none"/>
                <w:lang w:eastAsia="zh-CN"/>
              </w:rPr>
              <w:t>所有参数</w:t>
            </w:r>
            <w:r>
              <w:rPr>
                <w:rFonts w:hint="eastAsia" w:ascii="仿宋" w:hAnsi="仿宋" w:eastAsia="仿宋" w:cs="仿宋"/>
                <w:strike w:val="0"/>
                <w:dstrike w:val="0"/>
                <w:color w:val="auto"/>
                <w:sz w:val="24"/>
                <w:highlight w:val="none"/>
              </w:rPr>
              <w:t>”要求的基础上，每有一条“一般参数”优于的加1分，本项最多加</w:t>
            </w:r>
            <w:r>
              <w:rPr>
                <w:rFonts w:hint="eastAsia" w:ascii="仿宋" w:hAnsi="仿宋" w:eastAsia="仿宋" w:cs="仿宋"/>
                <w:strike w:val="0"/>
                <w:dstrike w:val="0"/>
                <w:color w:val="auto"/>
                <w:sz w:val="24"/>
                <w:highlight w:val="none"/>
                <w:lang w:val="en-US" w:eastAsia="zh-CN"/>
              </w:rPr>
              <w:t>5</w:t>
            </w:r>
            <w:r>
              <w:rPr>
                <w:rFonts w:hint="eastAsia" w:ascii="仿宋" w:hAnsi="仿宋" w:eastAsia="仿宋" w:cs="仿宋"/>
                <w:strike w:val="0"/>
                <w:dstrike w:val="0"/>
                <w:color w:val="auto"/>
                <w:sz w:val="24"/>
                <w:highlight w:val="none"/>
              </w:rPr>
              <w:t>分。（加分只针对具有“≥”或“≤”的数值，数值更加优于的进行加分；文字内容或其他内容优于的不加分）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strike w:val="0"/>
                <w:dstrike w:val="0"/>
                <w:color w:val="auto"/>
                <w:sz w:val="24"/>
                <w:highlight w:val="none"/>
              </w:rPr>
            </w:pPr>
            <w:r>
              <w:rPr>
                <w:rFonts w:hint="eastAsia" w:ascii="仿宋" w:hAnsi="仿宋" w:eastAsia="仿宋" w:cs="仿宋"/>
                <w:b/>
                <w:bCs/>
                <w:strike w:val="0"/>
                <w:dstrike w:val="0"/>
                <w:color w:val="auto"/>
                <w:sz w:val="24"/>
                <w:highlight w:val="none"/>
              </w:rPr>
              <w:t>注：“一般参数”为非标“★”号参数和非标“▲”号参数。</w:t>
            </w:r>
          </w:p>
        </w:tc>
        <w:tc>
          <w:tcPr>
            <w:tcW w:w="450"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strike w:val="0"/>
                <w:dstrike w:val="0"/>
                <w:color w:val="auto"/>
                <w:sz w:val="24"/>
                <w:highlight w:val="none"/>
              </w:rPr>
            </w:pPr>
            <w:r>
              <w:rPr>
                <w:rFonts w:hint="eastAsia" w:ascii="仿宋" w:hAnsi="仿宋" w:eastAsia="仿宋" w:cs="仿宋"/>
                <w:strike w:val="0"/>
                <w:dstrike w:val="0"/>
                <w:color w:val="auto"/>
                <w:sz w:val="24"/>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25" w:type="pct"/>
            <w:vMerge w:val="continue"/>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674" w:type="pct"/>
            <w:gridSpan w:val="4"/>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评审依据：提供技术条款响应表和技术支撑文件</w:t>
            </w:r>
            <w:r>
              <w:rPr>
                <w:rFonts w:hint="eastAsia" w:ascii="仿宋" w:hAnsi="仿宋" w:eastAsia="仿宋" w:cs="仿宋"/>
                <w:b/>
                <w:bCs/>
                <w:color w:val="auto"/>
                <w:sz w:val="24"/>
                <w:highlight w:val="none"/>
                <w:lang w:eastAsia="zh-CN"/>
              </w:rPr>
              <w:t>。</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hint="eastAsia"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hint="eastAsia"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hint="eastAsia"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③制造商出具的技术参数证明材料并加盖制造商公章。]</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注：①供应商应认真提供技术支撑文件，若提供多份技术支撑文件，技术支撑文件佐证不一致时，优先级为：产品检测报告复印件＞制造商公开发布的印刷资料＞制造商出具的技术参数证明</w:t>
            </w:r>
            <w:r>
              <w:rPr>
                <w:rFonts w:hint="eastAsia" w:ascii="仿宋" w:hAnsi="仿宋" w:eastAsia="仿宋" w:cs="仿宋"/>
                <w:b/>
                <w:bCs/>
                <w:color w:val="auto"/>
                <w:sz w:val="24"/>
                <w:highlight w:val="none"/>
                <w:lang w:val="en-US" w:eastAsia="zh-CN"/>
              </w:rPr>
              <w:t>材料</w:t>
            </w:r>
            <w:r>
              <w:rPr>
                <w:rFonts w:hint="eastAsia" w:ascii="仿宋" w:hAnsi="仿宋" w:eastAsia="仿宋" w:cs="仿宋"/>
                <w:b/>
                <w:bCs/>
                <w:color w:val="auto"/>
                <w:sz w:val="24"/>
                <w:highlight w:val="none"/>
              </w:rPr>
              <w:t>；②技术支撑文件</w:t>
            </w:r>
            <w:r>
              <w:rPr>
                <w:rFonts w:hint="eastAsia" w:ascii="仿宋" w:hAnsi="仿宋" w:eastAsia="仿宋" w:cs="仿宋"/>
                <w:b/>
                <w:bCs/>
                <w:color w:val="auto"/>
                <w:sz w:val="24"/>
                <w:highlight w:val="none"/>
                <w:lang w:val="en-US" w:eastAsia="zh-CN"/>
              </w:rPr>
              <w:t>与</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不一致，则</w:t>
            </w:r>
            <w:r>
              <w:rPr>
                <w:rFonts w:hint="eastAsia" w:ascii="仿宋" w:hAnsi="仿宋" w:eastAsia="仿宋" w:cs="仿宋"/>
                <w:b/>
                <w:bCs/>
                <w:color w:val="auto"/>
                <w:sz w:val="24"/>
                <w:highlight w:val="none"/>
              </w:rPr>
              <w:t>该点不加分</w:t>
            </w:r>
            <w:r>
              <w:rPr>
                <w:rFonts w:hint="eastAsia" w:ascii="仿宋" w:hAnsi="仿宋" w:eastAsia="仿宋" w:cs="仿宋"/>
                <w:b/>
                <w:bCs/>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25"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024"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整体结构与外观</w:t>
            </w:r>
          </w:p>
        </w:tc>
        <w:tc>
          <w:tcPr>
            <w:tcW w:w="3199"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根据视频文件对核心产品的外观构造、内部结构、设计理念等进行评审。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设计理念先进，外部构造和内部结构科学合理，整体结构外观与实战紧贴程度高的，得3分；设计理念较为先进，外部构造和内部结构较为合理，整体结构外观与实战紧贴程度较高的，得2分；设计理念一般，外观构造和内部结构基本合理，整体结构外观与实战紧贴程度不高的，得1分；未提供证明材料或证明材料有缺项的不得分。</w:t>
            </w:r>
          </w:p>
        </w:tc>
        <w:tc>
          <w:tcPr>
            <w:tcW w:w="450"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25"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024"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工艺</w:t>
            </w:r>
          </w:p>
        </w:tc>
        <w:tc>
          <w:tcPr>
            <w:tcW w:w="3199"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根据视频文件对核心产品的安全性、耐用性、实用性等进行评审。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性能高、耐用性能好、实用性能强，工艺符合实战需求程度高的，得3分；安全性能较高、耐用性能良好、实用性能较强，工艺符合实战需求程度较高的，得2分；安全性能不高、耐用性能普通、实用性能一般，工艺符合实战需求程度不高的，得1分；未提供证明材料或证明材料有缺项的不得分。</w:t>
            </w:r>
          </w:p>
        </w:tc>
        <w:tc>
          <w:tcPr>
            <w:tcW w:w="450"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25"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024"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操作使用性能</w:t>
            </w:r>
          </w:p>
        </w:tc>
        <w:tc>
          <w:tcPr>
            <w:tcW w:w="3199"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根据视频文件对核心产品的可靠性、便捷性、稳定性等进行评审。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可靠性高、便捷性好、稳定性好，操作使用性能提升战斗力程度高的，得4分；可靠性较高、便捷性较好、稳定性良好，操作使用性能提升战斗力程度较高的，得2分；可靠性不高、便捷性和稳定性一般，操作使用性能提升战斗力程度不高的，得1分；未提供证明材料或证明材料有缺项的不得分。</w:t>
            </w:r>
          </w:p>
        </w:tc>
        <w:tc>
          <w:tcPr>
            <w:tcW w:w="450"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25" w:type="pct"/>
            <w:vMerge w:val="continue"/>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674" w:type="pct"/>
            <w:gridSpan w:val="4"/>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lang w:eastAsia="zh-CN"/>
              </w:rPr>
            </w:pPr>
            <w:r>
              <w:rPr>
                <w:rFonts w:hint="eastAsia" w:ascii="仿宋" w:hAnsi="仿宋" w:eastAsia="仿宋" w:cs="仿宋"/>
                <w:b/>
                <w:bCs/>
                <w:color w:val="auto"/>
                <w:sz w:val="24"/>
                <w:highlight w:val="none"/>
              </w:rPr>
              <w:t>以上评审依据：根据视频文件对产品的整体结构与外观、工艺、操作使用性能进行综合评审，视频文件需对以上三点评审内容进行介绍（包含但不限于以上三点）。视频文件[视频文件格式须为通用格式，佐证视频时长不得超过5分钟，视频清晰度应至少保证所摄的界面文字清晰易辨、画面完整连贯、播放速度正常]应存储于U盘内（单独密封在信封中）与投标文件同时递交，逾期递交不予接收，</w:t>
            </w:r>
            <w:r>
              <w:rPr>
                <w:rFonts w:hint="eastAsia" w:ascii="仿宋" w:hAnsi="仿宋" w:eastAsia="仿宋" w:cs="仿宋"/>
                <w:b/>
                <w:bCs/>
                <w:color w:val="auto"/>
                <w:sz w:val="24"/>
                <w:highlight w:val="none"/>
                <w:lang w:eastAsia="zh-CN"/>
              </w:rPr>
              <w:t>U盘由采购代理机构封存，不予退回。未提供视频或视频无法打开的，得0分。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三、商务部分（1</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1310"/>
        <w:gridCol w:w="6295"/>
        <w:gridCol w:w="9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序号</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评审因素</w:t>
            </w:r>
          </w:p>
        </w:tc>
        <w:tc>
          <w:tcPr>
            <w:tcW w:w="3389"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评分标准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1</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bCs/>
                <w:color w:val="auto"/>
                <w:sz w:val="24"/>
                <w:szCs w:val="22"/>
                <w:highlight w:val="none"/>
              </w:rPr>
            </w:pPr>
            <w:r>
              <w:rPr>
                <w:rFonts w:hint="eastAsia" w:ascii="仿宋" w:hAnsi="仿宋" w:eastAsia="仿宋" w:cs="仿宋"/>
                <w:color w:val="auto"/>
                <w:sz w:val="24"/>
                <w:highlight w:val="none"/>
              </w:rPr>
              <w:t>符合性评审</w:t>
            </w:r>
          </w:p>
        </w:tc>
        <w:tc>
          <w:tcPr>
            <w:tcW w:w="3887" w:type="pct"/>
            <w:gridSpan w:val="2"/>
            <w:vAlign w:val="center"/>
          </w:tcPr>
          <w:p>
            <w:pPr>
              <w:pageBreakBefore w:val="0"/>
              <w:kinsoku/>
              <w:wordWrap/>
              <w:overflowPunct/>
              <w:topLinePunct w:val="0"/>
              <w:autoSpaceDE/>
              <w:autoSpaceDN/>
              <w:bidi w:val="0"/>
              <w:adjustRightInd/>
              <w:snapToGrid/>
              <w:spacing w:line="460" w:lineRule="exact"/>
              <w:rPr>
                <w:rFonts w:eastAsia="仿宋" w:cs="Times New Roman"/>
                <w:color w:val="auto"/>
                <w:sz w:val="24"/>
                <w:szCs w:val="22"/>
                <w:highlight w:val="none"/>
              </w:rPr>
            </w:pPr>
            <w:r>
              <w:rPr>
                <w:rFonts w:hint="eastAsia" w:eastAsia="仿宋" w:cs="Times New Roman"/>
                <w:color w:val="auto"/>
                <w:sz w:val="24"/>
                <w:szCs w:val="22"/>
                <w:highlight w:val="none"/>
              </w:rPr>
              <w:t>投标人必须完全满足招标文件“商务要求”</w:t>
            </w:r>
            <w:r>
              <w:rPr>
                <w:rFonts w:hint="eastAsia" w:eastAsia="仿宋" w:cs="Times New Roman"/>
                <w:color w:val="auto"/>
                <w:sz w:val="24"/>
                <w:szCs w:val="22"/>
                <w:highlight w:val="none"/>
                <w:lang w:val="en-US" w:eastAsia="zh-CN"/>
              </w:rPr>
              <w:t>所有</w:t>
            </w:r>
            <w:r>
              <w:rPr>
                <w:rFonts w:hint="eastAsia" w:eastAsia="仿宋" w:cs="Times New Roman"/>
                <w:color w:val="auto"/>
                <w:sz w:val="24"/>
                <w:szCs w:val="22"/>
                <w:highlight w:val="none"/>
              </w:rPr>
              <w:t>实质性条款，任意一项不满足作无效投标处理。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eastAsia="仿宋" w:cs="Times New Roman"/>
                <w:b/>
                <w:bCs/>
                <w:color w:val="auto"/>
                <w:sz w:val="24"/>
                <w:szCs w:val="22"/>
                <w:highlight w:val="none"/>
              </w:rPr>
              <w:t>评审依据：投标文件中提供的商务条款响应表。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2</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hint="eastAsia" w:eastAsia="仿宋"/>
                <w:color w:val="auto"/>
                <w:sz w:val="24"/>
                <w:szCs w:val="22"/>
                <w:highlight w:val="none"/>
                <w:lang w:eastAsia="zh-CN"/>
              </w:rPr>
            </w:pPr>
            <w:r>
              <w:rPr>
                <w:rFonts w:hint="eastAsia" w:eastAsia="仿宋"/>
                <w:color w:val="auto"/>
                <w:sz w:val="24"/>
                <w:szCs w:val="22"/>
                <w:highlight w:val="none"/>
                <w:lang w:eastAsia="zh-CN"/>
              </w:rPr>
              <w:t>生产制造履约能力</w:t>
            </w:r>
          </w:p>
        </w:tc>
        <w:tc>
          <w:tcPr>
            <w:tcW w:w="3389" w:type="pct"/>
            <w:vAlign w:val="center"/>
          </w:tcPr>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val="en-US" w:eastAsia="zh-CN"/>
              </w:rPr>
              <w:t>投标人提供所投核心产品制造商的证明材料（应加盖制造商公章）</w:t>
            </w:r>
            <w:r>
              <w:rPr>
                <w:rFonts w:hint="eastAsia" w:eastAsia="仿宋" w:cs="Times New Roman"/>
                <w:color w:val="auto"/>
                <w:sz w:val="24"/>
                <w:szCs w:val="22"/>
                <w:highlight w:val="none"/>
              </w:rPr>
              <w:t>对</w:t>
            </w:r>
            <w:r>
              <w:rPr>
                <w:rFonts w:hint="eastAsia" w:eastAsia="仿宋" w:cs="Times New Roman"/>
                <w:color w:val="auto"/>
                <w:sz w:val="24"/>
                <w:szCs w:val="22"/>
                <w:highlight w:val="none"/>
                <w:lang w:eastAsia="zh-CN"/>
              </w:rPr>
              <w:t>生产制造履约能力</w:t>
            </w:r>
            <w:r>
              <w:rPr>
                <w:rFonts w:hint="eastAsia" w:eastAsia="仿宋" w:cs="Times New Roman"/>
                <w:color w:val="auto"/>
                <w:sz w:val="24"/>
                <w:szCs w:val="22"/>
                <w:highlight w:val="none"/>
              </w:rPr>
              <w:t>进行评审，包含但不限于</w:t>
            </w:r>
            <w:r>
              <w:rPr>
                <w:rFonts w:hint="eastAsia" w:eastAsia="仿宋" w:cs="Times New Roman"/>
                <w:color w:val="auto"/>
                <w:sz w:val="24"/>
                <w:szCs w:val="22"/>
                <w:highlight w:val="none"/>
                <w:lang w:eastAsia="zh-CN"/>
              </w:rPr>
              <w:t>：</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eastAsia="zh-CN"/>
              </w:rPr>
              <w:t>①制造商生产经营情况简介；</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②生产工艺流程，主要包括</w:t>
            </w:r>
            <w:r>
              <w:rPr>
                <w:rFonts w:hint="eastAsia" w:eastAsia="仿宋" w:cs="Times New Roman"/>
                <w:color w:val="auto"/>
                <w:sz w:val="24"/>
                <w:szCs w:val="22"/>
                <w:highlight w:val="none"/>
                <w:lang w:val="en-US" w:eastAsia="zh-CN"/>
              </w:rPr>
              <w:t>生产制造流程</w:t>
            </w:r>
            <w:r>
              <w:rPr>
                <w:rFonts w:hint="eastAsia" w:eastAsia="仿宋" w:cs="Times New Roman"/>
                <w:color w:val="auto"/>
                <w:sz w:val="24"/>
                <w:szCs w:val="22"/>
                <w:highlight w:val="none"/>
              </w:rPr>
              <w:t>图、生产步骤</w:t>
            </w:r>
            <w:r>
              <w:rPr>
                <w:rFonts w:hint="eastAsia" w:eastAsia="仿宋" w:cs="Times New Roman"/>
                <w:color w:val="auto"/>
                <w:sz w:val="24"/>
                <w:szCs w:val="22"/>
                <w:highlight w:val="none"/>
                <w:lang w:eastAsia="zh-CN"/>
              </w:rPr>
              <w:t>（应含</w:t>
            </w:r>
            <w:r>
              <w:rPr>
                <w:rFonts w:hint="eastAsia" w:eastAsia="仿宋" w:cs="Times New Roman"/>
                <w:color w:val="auto"/>
                <w:sz w:val="24"/>
                <w:szCs w:val="22"/>
                <w:highlight w:val="none"/>
                <w:lang w:val="en-US" w:eastAsia="zh-CN"/>
              </w:rPr>
              <w:t>生产车间环境及实际生产照片</w:t>
            </w:r>
            <w:r>
              <w:rPr>
                <w:rFonts w:hint="eastAsia" w:eastAsia="仿宋" w:cs="Times New Roman"/>
                <w:color w:val="auto"/>
                <w:sz w:val="24"/>
                <w:szCs w:val="22"/>
                <w:highlight w:val="none"/>
                <w:lang w:eastAsia="zh-CN"/>
              </w:rPr>
              <w:t>）</w:t>
            </w:r>
            <w:r>
              <w:rPr>
                <w:rFonts w:hint="eastAsia" w:eastAsia="仿宋" w:cs="Times New Roman"/>
                <w:color w:val="auto"/>
                <w:sz w:val="24"/>
                <w:szCs w:val="22"/>
                <w:highlight w:val="none"/>
              </w:rPr>
              <w:t>等相关情况</w:t>
            </w:r>
            <w:r>
              <w:rPr>
                <w:rFonts w:hint="eastAsia" w:eastAsia="仿宋" w:cs="Times New Roman"/>
                <w:color w:val="auto"/>
                <w:sz w:val="24"/>
                <w:szCs w:val="22"/>
                <w:highlight w:val="none"/>
                <w:lang w:eastAsia="zh-CN"/>
              </w:rPr>
              <w:t>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③产品检验流程，包括主要检验设备</w:t>
            </w:r>
            <w:r>
              <w:rPr>
                <w:rFonts w:hint="eastAsia" w:eastAsia="仿宋" w:cs="Times New Roman"/>
                <w:color w:val="auto"/>
                <w:sz w:val="24"/>
                <w:szCs w:val="22"/>
                <w:highlight w:val="none"/>
                <w:lang w:eastAsia="zh-CN"/>
              </w:rPr>
              <w:t>（应提供图片）</w:t>
            </w:r>
            <w:r>
              <w:rPr>
                <w:rFonts w:hint="eastAsia" w:eastAsia="仿宋" w:cs="Times New Roman"/>
                <w:color w:val="auto"/>
                <w:sz w:val="24"/>
                <w:szCs w:val="22"/>
                <w:highlight w:val="none"/>
              </w:rPr>
              <w:t>、检验步骤等相关情况描述；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④人员配备：相关专业技术</w:t>
            </w:r>
            <w:r>
              <w:rPr>
                <w:rFonts w:hint="eastAsia" w:eastAsia="仿宋" w:cs="Times New Roman"/>
                <w:color w:val="auto"/>
                <w:sz w:val="24"/>
                <w:szCs w:val="22"/>
                <w:highlight w:val="none"/>
                <w:lang w:eastAsia="zh-CN"/>
              </w:rPr>
              <w:t>职称</w:t>
            </w:r>
            <w:r>
              <w:rPr>
                <w:rFonts w:hint="eastAsia" w:eastAsia="仿宋" w:cs="Times New Roman"/>
                <w:color w:val="auto"/>
                <w:sz w:val="24"/>
                <w:szCs w:val="22"/>
                <w:highlight w:val="none"/>
              </w:rPr>
              <w:t>人员配置情况</w:t>
            </w:r>
            <w:r>
              <w:rPr>
                <w:rFonts w:hint="eastAsia" w:eastAsia="仿宋" w:cs="Times New Roman"/>
                <w:color w:val="auto"/>
                <w:sz w:val="24"/>
                <w:szCs w:val="22"/>
                <w:highlight w:val="none"/>
                <w:lang w:eastAsia="zh-CN"/>
              </w:rPr>
              <w:t>；</w:t>
            </w:r>
            <w:r>
              <w:rPr>
                <w:rFonts w:hint="eastAsia" w:eastAsia="仿宋" w:cs="Times New Roman"/>
                <w:color w:val="auto"/>
                <w:sz w:val="24"/>
                <w:szCs w:val="22"/>
                <w:highlight w:val="none"/>
              </w:rPr>
              <w:t>各原材料采购、生产、检验、仓储、运输等环节的人员配备情况；</w:t>
            </w:r>
          </w:p>
          <w:p>
            <w:pPr>
              <w:pageBreakBefore w:val="0"/>
              <w:kinsoku/>
              <w:wordWrap/>
              <w:overflowPunct/>
              <w:topLinePunct w:val="0"/>
              <w:autoSpaceDE/>
              <w:autoSpaceDN/>
              <w:bidi w:val="0"/>
              <w:adjustRightInd/>
              <w:snapToGrid/>
              <w:spacing w:line="460" w:lineRule="exact"/>
              <w:rPr>
                <w:rFonts w:hint="eastAsia" w:eastAsia="仿宋" w:cs="Times New Roman"/>
                <w:b/>
                <w:bCs/>
                <w:color w:val="auto"/>
                <w:sz w:val="24"/>
                <w:szCs w:val="22"/>
                <w:highlight w:val="none"/>
              </w:rPr>
            </w:pPr>
            <w:r>
              <w:rPr>
                <w:rFonts w:hint="eastAsia" w:eastAsia="仿宋" w:cs="Times New Roman"/>
                <w:b/>
                <w:bCs/>
                <w:color w:val="auto"/>
                <w:sz w:val="24"/>
                <w:szCs w:val="22"/>
                <w:highlight w:val="none"/>
              </w:rPr>
              <w:t>评审依据：</w:t>
            </w:r>
            <w:r>
              <w:rPr>
                <w:rFonts w:hint="eastAsia" w:eastAsia="仿宋" w:cs="Times New Roman"/>
                <w:b/>
                <w:bCs/>
                <w:color w:val="auto"/>
                <w:sz w:val="24"/>
                <w:szCs w:val="22"/>
                <w:highlight w:val="none"/>
                <w:lang w:val="en-US" w:eastAsia="zh-CN"/>
              </w:rPr>
              <w:t>根据</w:t>
            </w:r>
            <w:r>
              <w:rPr>
                <w:rFonts w:hint="eastAsia" w:eastAsia="仿宋" w:cs="Times New Roman"/>
                <w:b/>
                <w:bCs/>
                <w:color w:val="auto"/>
                <w:sz w:val="24"/>
                <w:szCs w:val="22"/>
                <w:highlight w:val="none"/>
              </w:rPr>
              <w:t>投标人提</w:t>
            </w:r>
            <w:r>
              <w:rPr>
                <w:rFonts w:hint="eastAsia" w:eastAsia="仿宋" w:cs="Times New Roman"/>
                <w:b/>
                <w:bCs/>
                <w:color w:val="auto"/>
                <w:sz w:val="24"/>
                <w:szCs w:val="22"/>
                <w:highlight w:val="none"/>
                <w:lang w:val="en-US" w:eastAsia="zh-CN"/>
              </w:rPr>
              <w:t>供的生产制造履约能力方案内容完整性、组织性、关联性和可操作性进行评审</w:t>
            </w:r>
            <w:r>
              <w:rPr>
                <w:rFonts w:hint="eastAsia" w:eastAsia="仿宋" w:cs="Times New Roman"/>
                <w:b/>
                <w:bCs/>
                <w:color w:val="auto"/>
                <w:sz w:val="24"/>
                <w:szCs w:val="22"/>
                <w:highlight w:val="none"/>
              </w:rPr>
              <w:t>。</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1、所投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制造商具备较强自主研发能力及先进的生产工艺，生产车间环境及生产线先进规范，生产步骤完整周详，技术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检验设备配置齐全、检验步骤严密无纰漏，生产制造履约能力</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分；</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制造商有自主研发能力和生产工艺较完整，生产车间环境及生产线常规，生产步骤较完整周详，技术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eastAsia="zh-CN"/>
              </w:rPr>
              <w:t>相对</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检验设备配置较齐全、检验步骤相对完备，生产制造履约能力</w:t>
            </w:r>
            <w:r>
              <w:rPr>
                <w:rFonts w:hint="eastAsia" w:ascii="仿宋" w:hAnsi="仿宋" w:eastAsia="仿宋" w:cs="仿宋"/>
                <w:b/>
                <w:bCs/>
                <w:color w:val="auto"/>
                <w:sz w:val="24"/>
                <w:szCs w:val="24"/>
                <w:highlight w:val="none"/>
                <w:lang w:eastAsia="zh-CN"/>
              </w:rPr>
              <w:t>较</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3、所投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制造商有自主研发能力和生产工艺薄弱，生产车间环境及生产线粗糙落后，生产步骤简单，技术</w:t>
            </w:r>
            <w:r>
              <w:rPr>
                <w:rFonts w:hint="eastAsia" w:ascii="仿宋" w:hAnsi="仿宋" w:eastAsia="仿宋" w:cs="仿宋"/>
                <w:b/>
                <w:bCs/>
                <w:color w:val="auto"/>
                <w:sz w:val="24"/>
                <w:szCs w:val="24"/>
                <w:highlight w:val="none"/>
              </w:rPr>
              <w:t>人员</w:t>
            </w:r>
            <w:r>
              <w:rPr>
                <w:rFonts w:hint="eastAsia" w:ascii="仿宋" w:hAnsi="仿宋" w:eastAsia="仿宋" w:cs="仿宋"/>
                <w:b/>
                <w:bCs/>
                <w:color w:val="auto"/>
                <w:sz w:val="24"/>
                <w:szCs w:val="24"/>
                <w:highlight w:val="none"/>
                <w:lang w:eastAsia="zh-CN"/>
              </w:rPr>
              <w:t>综合实力一般，</w:t>
            </w:r>
            <w:r>
              <w:rPr>
                <w:rFonts w:hint="eastAsia" w:ascii="仿宋" w:hAnsi="仿宋" w:eastAsia="仿宋" w:cs="仿宋"/>
                <w:b/>
                <w:bCs/>
                <w:color w:val="auto"/>
                <w:sz w:val="24"/>
                <w:szCs w:val="24"/>
                <w:highlight w:val="none"/>
                <w:lang w:val="en-US" w:eastAsia="zh-CN"/>
              </w:rPr>
              <w:t>检验设备配置简单落后，检验步骤普通，生产制造履约能力</w:t>
            </w:r>
            <w:r>
              <w:rPr>
                <w:rFonts w:hint="eastAsia" w:ascii="仿宋" w:hAnsi="仿宋" w:eastAsia="仿宋" w:cs="仿宋"/>
                <w:b/>
                <w:bCs/>
                <w:color w:val="auto"/>
                <w:sz w:val="24"/>
                <w:szCs w:val="24"/>
                <w:highlight w:val="none"/>
                <w:lang w:eastAsia="zh-CN"/>
              </w:rPr>
              <w:t>弱</w:t>
            </w:r>
            <w:r>
              <w:rPr>
                <w:rFonts w:hint="eastAsia" w:ascii="仿宋" w:hAnsi="仿宋" w:eastAsia="仿宋" w:cs="仿宋"/>
                <w:b/>
                <w:bCs/>
                <w:color w:val="auto"/>
                <w:sz w:val="24"/>
                <w:szCs w:val="24"/>
                <w:highlight w:val="none"/>
              </w:rPr>
              <w:t>的得</w:t>
            </w: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未提供证明材料或证明材料有缺项的不得分。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3</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质量保证和保修</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eastAsia="仿宋"/>
                <w:color w:val="auto"/>
                <w:sz w:val="24"/>
                <w:szCs w:val="22"/>
                <w:highlight w:val="none"/>
              </w:rPr>
            </w:pPr>
            <w:r>
              <w:rPr>
                <w:rFonts w:eastAsia="仿宋"/>
                <w:color w:val="auto"/>
                <w:sz w:val="24"/>
                <w:szCs w:val="22"/>
                <w:highlight w:val="none"/>
              </w:rPr>
              <w:t>在招标文件商务要求中“质保期”和“保修期”要求基础上，承诺“质保期”和“保修期”均每延长一年的加2分，最多加4分。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eastAsia="仿宋"/>
                <w:b/>
                <w:color w:val="auto"/>
                <w:sz w:val="24"/>
                <w:szCs w:val="22"/>
                <w:highlight w:val="none"/>
              </w:rPr>
              <w:t>评审依据：投标文件中提供“质保期”和“保修期”均延长的承诺函原件。</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类似销售</w:t>
            </w:r>
          </w:p>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案例</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投标人自</w:t>
            </w:r>
            <w:r>
              <w:rPr>
                <w:rFonts w:eastAsia="仿宋" w:cs="Times New Roman"/>
                <w:color w:val="auto"/>
                <w:sz w:val="24"/>
                <w:szCs w:val="22"/>
                <w:highlight w:val="none"/>
              </w:rPr>
              <w:t>20</w:t>
            </w:r>
            <w:r>
              <w:rPr>
                <w:rFonts w:hint="eastAsia" w:eastAsia="仿宋" w:cs="Times New Roman"/>
                <w:color w:val="auto"/>
                <w:sz w:val="24"/>
                <w:szCs w:val="22"/>
                <w:highlight w:val="none"/>
              </w:rPr>
              <w:t>2</w:t>
            </w:r>
            <w:r>
              <w:rPr>
                <w:rFonts w:hint="eastAsia" w:eastAsia="仿宋" w:cs="Times New Roman"/>
                <w:color w:val="auto"/>
                <w:sz w:val="24"/>
                <w:szCs w:val="22"/>
                <w:highlight w:val="none"/>
                <w:lang w:val="en-US" w:eastAsia="zh-CN"/>
              </w:rPr>
              <w:t>1</w:t>
            </w:r>
            <w:r>
              <w:rPr>
                <w:rFonts w:hint="eastAsia" w:eastAsia="仿宋" w:cs="Times New Roman"/>
                <w:color w:val="auto"/>
                <w:sz w:val="24"/>
                <w:szCs w:val="22"/>
                <w:highlight w:val="none"/>
              </w:rPr>
              <w:t>年</w:t>
            </w:r>
            <w:r>
              <w:rPr>
                <w:rFonts w:eastAsia="仿宋" w:cs="Times New Roman"/>
                <w:color w:val="auto"/>
                <w:sz w:val="24"/>
                <w:szCs w:val="22"/>
                <w:highlight w:val="none"/>
              </w:rPr>
              <w:t>1月1日至今（以签订合同时间为准）具有类似</w:t>
            </w:r>
            <w:r>
              <w:rPr>
                <w:rFonts w:hint="eastAsia" w:eastAsia="仿宋" w:cs="Times New Roman"/>
                <w:color w:val="auto"/>
                <w:sz w:val="24"/>
                <w:szCs w:val="22"/>
                <w:highlight w:val="none"/>
                <w:lang w:eastAsia="zh-CN"/>
              </w:rPr>
              <w:t>核心</w:t>
            </w:r>
            <w:r>
              <w:rPr>
                <w:rFonts w:eastAsia="仿宋" w:cs="Times New Roman"/>
                <w:color w:val="auto"/>
                <w:sz w:val="24"/>
                <w:szCs w:val="22"/>
                <w:highlight w:val="none"/>
              </w:rPr>
              <w:t>产品销售案例，每提供1份销售案例加</w:t>
            </w:r>
            <w:r>
              <w:rPr>
                <w:rFonts w:hint="eastAsia" w:eastAsia="仿宋" w:cs="Times New Roman"/>
                <w:color w:val="auto"/>
                <w:sz w:val="24"/>
                <w:szCs w:val="22"/>
                <w:highlight w:val="none"/>
                <w:lang w:val="en-US" w:eastAsia="zh-CN"/>
              </w:rPr>
              <w:t>2</w:t>
            </w:r>
            <w:r>
              <w:rPr>
                <w:rFonts w:hint="eastAsia" w:eastAsia="仿宋" w:cs="Times New Roman"/>
                <w:color w:val="auto"/>
                <w:sz w:val="24"/>
                <w:szCs w:val="22"/>
                <w:highlight w:val="none"/>
              </w:rPr>
              <w:t>分，本项最多加</w:t>
            </w:r>
            <w:r>
              <w:rPr>
                <w:rFonts w:hint="eastAsia" w:eastAsia="仿宋" w:cs="Times New Roman"/>
                <w:color w:val="auto"/>
                <w:sz w:val="24"/>
                <w:szCs w:val="22"/>
                <w:highlight w:val="none"/>
                <w:lang w:val="en-US" w:eastAsia="zh-CN"/>
              </w:rPr>
              <w:t>6</w:t>
            </w:r>
            <w:r>
              <w:rPr>
                <w:rFonts w:hint="eastAsia" w:eastAsia="仿宋" w:cs="Times New Roman"/>
                <w:color w:val="auto"/>
                <w:sz w:val="24"/>
                <w:szCs w:val="22"/>
                <w:highlight w:val="none"/>
              </w:rPr>
              <w:t>分。</w:t>
            </w:r>
          </w:p>
          <w:p>
            <w:pPr>
              <w:pageBreakBefore w:val="0"/>
              <w:kinsoku/>
              <w:wordWrap/>
              <w:overflowPunct/>
              <w:topLinePunct w:val="0"/>
              <w:autoSpaceDE/>
              <w:autoSpaceDN/>
              <w:bidi w:val="0"/>
              <w:adjustRightInd/>
              <w:snapToGrid/>
              <w:spacing w:line="460" w:lineRule="exact"/>
              <w:jc w:val="left"/>
              <w:rPr>
                <w:rFonts w:eastAsia="仿宋"/>
                <w:b/>
                <w:bCs/>
                <w:color w:val="auto"/>
                <w:sz w:val="24"/>
                <w:szCs w:val="22"/>
                <w:highlight w:val="none"/>
              </w:rPr>
            </w:pPr>
            <w:r>
              <w:rPr>
                <w:rFonts w:hint="eastAsia" w:eastAsia="仿宋" w:cs="Times New Roman"/>
                <w:b/>
                <w:bCs/>
                <w:color w:val="auto"/>
                <w:sz w:val="24"/>
                <w:szCs w:val="22"/>
                <w:highlight w:val="none"/>
              </w:rPr>
              <w:t>评审依据：①投标文件中提供销售案例明细表（销售案例明细表包含</w:t>
            </w:r>
            <w:r>
              <w:rPr>
                <w:rFonts w:eastAsia="仿宋" w:cs="Times New Roman"/>
                <w:b/>
                <w:bCs/>
                <w:color w:val="auto"/>
                <w:sz w:val="24"/>
                <w:szCs w:val="22"/>
                <w:highlight w:val="none"/>
              </w:rPr>
              <w:t>:发布网站名称、网页链接地址、采购项目名称、采购单位名称和联系方式、采购代理机构名称和联系方式）；</w:t>
            </w:r>
            <w:r>
              <w:rPr>
                <w:rFonts w:hint="eastAsia" w:eastAsia="仿宋" w:cs="Times New Roman"/>
                <w:b/>
                <w:bCs/>
                <w:color w:val="auto"/>
                <w:sz w:val="24"/>
                <w:szCs w:val="22"/>
                <w:highlight w:val="none"/>
              </w:rPr>
              <w:t>②</w:t>
            </w:r>
            <w:r>
              <w:rPr>
                <w:rFonts w:hint="eastAsia" w:eastAsia="仿宋" w:cs="Times New Roman"/>
                <w:b/>
                <w:bCs/>
                <w:color w:val="auto"/>
                <w:sz w:val="24"/>
                <w:szCs w:val="22"/>
                <w:highlight w:val="none"/>
                <w:lang w:eastAsia="zh-CN"/>
              </w:rPr>
              <w:t>中标（成交）公告截图（打印网页）、中标通知书复印件和合同复印件（中标通知书或合同复印件应体现类似销售案例的货物），合同签订方必须是投标人本身。</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hint="eastAsia" w:eastAsia="仿宋"/>
                <w:color w:val="auto"/>
                <w:sz w:val="24"/>
                <w:szCs w:val="22"/>
                <w:highlight w:val="none"/>
                <w:lang w:val="en-US" w:eastAsia="zh-CN"/>
              </w:rPr>
              <w:t>6</w:t>
            </w:r>
            <w:r>
              <w:rPr>
                <w:rFonts w:eastAsia="仿宋"/>
                <w:color w:val="auto"/>
                <w:sz w:val="24"/>
                <w:szCs w:val="22"/>
                <w:highlight w:val="none"/>
              </w:rPr>
              <w:t>分</w:t>
            </w:r>
          </w:p>
        </w:tc>
      </w:tr>
    </w:tbl>
    <w:p>
      <w:pPr>
        <w:pageBreakBefore w:val="0"/>
        <w:kinsoku/>
        <w:wordWrap/>
        <w:overflowPunct/>
        <w:topLinePunct w:val="0"/>
        <w:autoSpaceDE/>
        <w:autoSpaceDN/>
        <w:bidi w:val="0"/>
        <w:adjustRightInd/>
        <w:snapToGrid/>
        <w:spacing w:line="460" w:lineRule="exact"/>
        <w:rPr>
          <w:color w:val="auto"/>
          <w:highlight w:val="none"/>
        </w:rPr>
      </w:pPr>
      <w:r>
        <w:rPr>
          <w:color w:val="auto"/>
          <w:highlight w:val="none"/>
        </w:rPr>
        <w:br w:type="page"/>
      </w:r>
    </w:p>
    <w:p>
      <w:pPr>
        <w:pageBreakBefore w:val="0"/>
        <w:kinsoku/>
        <w:wordWrap/>
        <w:overflowPunct/>
        <w:topLinePunct w:val="0"/>
        <w:autoSpaceDE/>
        <w:autoSpaceDN/>
        <w:bidi w:val="0"/>
        <w:adjustRightInd/>
        <w:snapToGrid/>
        <w:spacing w:line="460" w:lineRule="exact"/>
        <w:rPr>
          <w:color w:val="auto"/>
          <w:highlight w:val="none"/>
        </w:rPr>
      </w:pPr>
    </w:p>
    <w:p>
      <w:pPr>
        <w:keepNext w:val="0"/>
        <w:keepLines w:val="0"/>
        <w:pageBreakBefore w:val="0"/>
        <w:widowControl w:val="0"/>
        <w:kinsoku/>
        <w:wordWrap/>
        <w:overflowPunct/>
        <w:topLinePunct w:val="0"/>
        <w:autoSpaceDE/>
        <w:autoSpaceDN/>
        <w:bidi w:val="0"/>
        <w:adjustRightInd/>
        <w:snapToGrid/>
        <w:spacing w:line="460" w:lineRule="exact"/>
        <w:jc w:val="left"/>
        <w:textAlignment w:val="auto"/>
        <w:outlineLvl w:val="1"/>
        <w:rPr>
          <w:rFonts w:hint="eastAsia" w:ascii="仿宋" w:hAnsi="仿宋" w:eastAsia="仿宋" w:cs="Times New Roman"/>
          <w:b/>
          <w:bCs/>
          <w:color w:val="auto"/>
          <w:sz w:val="28"/>
          <w:szCs w:val="28"/>
          <w:highlight w:val="none"/>
          <w:lang w:val="en-US" w:eastAsia="zh-CN"/>
        </w:rPr>
      </w:pPr>
      <w:bookmarkStart w:id="726" w:name="_Toc27365"/>
      <w:bookmarkStart w:id="727" w:name="_Toc25313"/>
      <w:bookmarkStart w:id="728" w:name="_Toc25190"/>
      <w:bookmarkStart w:id="729" w:name="_Toc26050"/>
      <w:bookmarkStart w:id="730" w:name="_Toc14333"/>
      <w:r>
        <w:rPr>
          <w:rFonts w:hint="eastAsia" w:ascii="仿宋" w:hAnsi="仿宋" w:eastAsia="仿宋" w:cs="Times New Roman"/>
          <w:b/>
          <w:bCs/>
          <w:color w:val="auto"/>
          <w:sz w:val="28"/>
          <w:szCs w:val="28"/>
          <w:highlight w:val="none"/>
          <w:lang w:val="en-US" w:eastAsia="zh-CN"/>
        </w:rPr>
        <w:t>64包：水下推进器、水下红外夜视仪【核心产品】、水下金属探测仪</w:t>
      </w:r>
      <w:bookmarkEnd w:id="726"/>
      <w:bookmarkEnd w:id="727"/>
      <w:bookmarkEnd w:id="728"/>
      <w:bookmarkEnd w:id="729"/>
      <w:bookmarkEnd w:id="730"/>
    </w:p>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hint="eastAsia" w:ascii="仿宋" w:hAnsi="仿宋" w:eastAsia="仿宋"/>
          <w:b/>
          <w:color w:val="auto"/>
          <w:sz w:val="24"/>
          <w:highlight w:val="none"/>
        </w:rPr>
        <w:t>一、价格部分（</w:t>
      </w:r>
      <w:r>
        <w:rPr>
          <w:rFonts w:ascii="仿宋" w:hAnsi="仿宋" w:eastAsia="仿宋"/>
          <w:b/>
          <w:color w:val="auto"/>
          <w:sz w:val="24"/>
          <w:highlight w:val="none"/>
        </w:rPr>
        <w:t>30分）</w:t>
      </w:r>
    </w:p>
    <w:tbl>
      <w:tblPr>
        <w:tblStyle w:val="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1579"/>
        <w:gridCol w:w="6182"/>
        <w:gridCol w:w="8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评审因素</w:t>
            </w:r>
          </w:p>
        </w:tc>
        <w:tc>
          <w:tcPr>
            <w:tcW w:w="3327" w:type="pct"/>
            <w:vAlign w:val="center"/>
          </w:tcPr>
          <w:p>
            <w:pPr>
              <w:pageBreakBefore w:val="0"/>
              <w:kinsoku/>
              <w:wordWrap/>
              <w:overflowPunct/>
              <w:topLinePunct w:val="0"/>
              <w:autoSpaceDE/>
              <w:autoSpaceDN/>
              <w:bidi w:val="0"/>
              <w:adjustRightInd/>
              <w:snapToGrid/>
              <w:spacing w:line="460" w:lineRule="exact"/>
              <w:jc w:val="center"/>
              <w:textAlignment w:val="center"/>
              <w:rPr>
                <w:rFonts w:ascii="仿宋" w:hAnsi="仿宋" w:eastAsia="仿宋" w:cs="仿宋"/>
                <w:b/>
                <w:color w:val="auto"/>
                <w:sz w:val="24"/>
                <w:highlight w:val="none"/>
              </w:rPr>
            </w:pPr>
            <w:r>
              <w:rPr>
                <w:rFonts w:hint="eastAsia" w:ascii="仿宋" w:hAnsi="仿宋" w:eastAsia="仿宋" w:cs="仿宋"/>
                <w:b/>
                <w:bCs/>
                <w:color w:val="auto"/>
                <w:sz w:val="24"/>
                <w:highlight w:val="none"/>
              </w:rPr>
              <w:t>评分标准</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价格分</w:t>
            </w:r>
          </w:p>
        </w:tc>
        <w:tc>
          <w:tcPr>
            <w:tcW w:w="3327" w:type="pct"/>
            <w:vAlign w:val="center"/>
          </w:tcPr>
          <w:p>
            <w:pPr>
              <w:pageBreakBefore w:val="0"/>
              <w:kinsoku/>
              <w:wordWrap/>
              <w:overflowPunct/>
              <w:topLinePunct w:val="0"/>
              <w:autoSpaceDE/>
              <w:autoSpaceDN/>
              <w:bidi w:val="0"/>
              <w:adjustRightInd/>
              <w:snapToGrid/>
              <w:spacing w:line="460" w:lineRule="exact"/>
              <w:jc w:val="left"/>
              <w:textAlignment w:val="center"/>
              <w:rPr>
                <w:rFonts w:ascii="仿宋" w:hAnsi="仿宋" w:eastAsia="仿宋" w:cs="仿宋"/>
                <w:color w:val="auto"/>
                <w:sz w:val="24"/>
                <w:highlight w:val="none"/>
              </w:rPr>
            </w:pPr>
            <w:r>
              <w:rPr>
                <w:rFonts w:hint="eastAsia" w:ascii="仿宋" w:hAnsi="仿宋" w:eastAsia="仿宋" w:cs="仿宋"/>
                <w:color w:val="auto"/>
                <w:sz w:val="24"/>
                <w:highlight w:val="none"/>
              </w:rPr>
              <w:t>根据综合评分法，满足招标文件要求且投标价格最低的投标报价为评标基准价，投标报价得分</w:t>
            </w:r>
            <w:r>
              <w:rPr>
                <w:rFonts w:ascii="仿宋" w:hAnsi="仿宋" w:eastAsia="仿宋" w:cs="仿宋"/>
                <w:color w:val="auto"/>
                <w:sz w:val="24"/>
                <w:highlight w:val="none"/>
              </w:rPr>
              <w:t>=（评标基准价／投标报价）</w:t>
            </w:r>
            <w:r>
              <w:rPr>
                <w:rFonts w:hint="eastAsia" w:ascii="仿宋" w:hAnsi="仿宋" w:eastAsia="仿宋" w:cs="仿宋"/>
                <w:color w:val="auto"/>
                <w:sz w:val="24"/>
                <w:highlight w:val="none"/>
              </w:rPr>
              <w:t>×</w:t>
            </w:r>
            <w:r>
              <w:rPr>
                <w:rFonts w:ascii="仿宋" w:hAnsi="仿宋" w:eastAsia="仿宋" w:cs="仿宋"/>
                <w:color w:val="auto"/>
                <w:sz w:val="24"/>
                <w:highlight w:val="none"/>
              </w:rPr>
              <w:t>30%×100，计算分数时四舍五入取小数点后两位。</w:t>
            </w:r>
          </w:p>
          <w:p>
            <w:pPr>
              <w:pageBreakBefore w:val="0"/>
              <w:kinsoku/>
              <w:wordWrap/>
              <w:overflowPunct/>
              <w:topLinePunct w:val="0"/>
              <w:autoSpaceDE/>
              <w:autoSpaceDN/>
              <w:bidi w:val="0"/>
              <w:adjustRightInd/>
              <w:snapToGrid/>
              <w:spacing w:line="460" w:lineRule="exact"/>
              <w:ind w:firstLine="482" w:firstLineChars="200"/>
              <w:jc w:val="left"/>
              <w:textAlignment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注：</w:t>
            </w:r>
            <w:r>
              <w:rPr>
                <w:rFonts w:ascii="仿宋" w:hAnsi="仿宋" w:eastAsia="仿宋" w:cs="仿宋"/>
                <w:b/>
                <w:bCs/>
                <w:color w:val="auto"/>
                <w:sz w:val="24"/>
                <w:highlight w:val="none"/>
              </w:rPr>
              <w:t>小、微型企业或残疾人福利性单位产品或监狱产品的价格给予10%的扣除，用扣除后的价格参与评审。但残疾人福利性单位本身属于小型、微型企业的，不重复享受政策。</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30分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二、技术部分（5</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1"/>
        <w:gridCol w:w="719"/>
        <w:gridCol w:w="1304"/>
        <w:gridCol w:w="5874"/>
        <w:gridCol w:w="8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02"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1089" w:type="pct"/>
            <w:gridSpan w:val="2"/>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3163"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评分标准</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302"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089"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技术参数及要求</w:t>
            </w:r>
          </w:p>
        </w:tc>
        <w:tc>
          <w:tcPr>
            <w:tcW w:w="3163" w:type="pct"/>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一、重大负偏离评审依据：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1、带★条款的响应，不满足招标文件要求的，或有缺项、漏项的，视为重大负偏离；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2、一般参数和带“▲”参数共有四项及以上（含本数）的负偏离，视为重大负偏离；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3、所投产品一般参数或带“▲”参数有一项低于招标文件要求，该项视为负偏离；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4、所投产品一般参数或带“▲”参数有一项缺项、漏项的，该项视为负偏离。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注：“一般参数”为非标“★”号参数和非标“▲”号参数。</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①投标文件中提供的技术条款响应表；</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②所投产品技术参数完全满足招标文件要求得</w:t>
            </w:r>
            <w:r>
              <w:rPr>
                <w:rFonts w:hint="eastAsia" w:ascii="仿宋" w:hAnsi="仿宋" w:eastAsia="仿宋" w:cs="仿宋"/>
                <w:b/>
                <w:bCs/>
                <w:color w:val="auto"/>
                <w:sz w:val="24"/>
                <w:highlight w:val="none"/>
                <w:lang w:val="en-US" w:eastAsia="zh-CN"/>
              </w:rPr>
              <w:t>21</w:t>
            </w:r>
            <w:r>
              <w:rPr>
                <w:rFonts w:hint="eastAsia" w:ascii="仿宋" w:hAnsi="仿宋" w:eastAsia="仿宋" w:cs="仿宋"/>
                <w:b/>
                <w:bCs/>
                <w:color w:val="auto"/>
                <w:sz w:val="24"/>
                <w:highlight w:val="none"/>
              </w:rPr>
              <w:t>分；重大负偏离则视为无效投标；一般参数或带“▲”参数每有一项负偏离减5分，最多减15分，四项或以上负偏离视为无效投标。</w:t>
            </w:r>
          </w:p>
        </w:tc>
        <w:tc>
          <w:tcPr>
            <w:tcW w:w="444" w:type="pct"/>
            <w:vAlign w:val="center"/>
          </w:tcPr>
          <w:p>
            <w:pPr>
              <w:pageBreakBefore w:val="0"/>
              <w:kinsoku/>
              <w:wordWrap/>
              <w:overflowPunct/>
              <w:topLinePunct w:val="0"/>
              <w:autoSpaceDE/>
              <w:autoSpaceDN/>
              <w:bidi w:val="0"/>
              <w:adjustRightInd/>
              <w:snapToGrid/>
              <w:spacing w:line="460" w:lineRule="exact"/>
              <w:jc w:val="center"/>
              <w:textAlignment w:val="center"/>
              <w:rPr>
                <w:rFonts w:hint="default"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21分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02"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387" w:type="pct"/>
            <w:vMerge w:val="restar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水下推进器</w:t>
            </w:r>
          </w:p>
        </w:tc>
        <w:tc>
          <w:tcPr>
            <w:tcW w:w="701"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▲3.3使用时间≥60分钟</w:t>
            </w:r>
          </w:p>
        </w:tc>
        <w:tc>
          <w:tcPr>
            <w:tcW w:w="3163"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highlight w:val="none"/>
                <w:lang w:val="en-US" w:eastAsia="zh-CN"/>
              </w:rPr>
              <w:t>使用时间</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使用时间</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val="en-US" w:eastAsia="zh-CN"/>
              </w:rPr>
              <w:t>使用时间</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val="en-US" w:eastAsia="zh-CN"/>
              </w:rPr>
              <w:t>使用时间</w:t>
            </w:r>
            <w:r>
              <w:rPr>
                <w:rFonts w:hint="eastAsia" w:ascii="仿宋" w:hAnsi="仿宋" w:eastAsia="仿宋" w:cs="仿宋"/>
                <w:b/>
                <w:bCs/>
                <w:color w:val="auto"/>
                <w:sz w:val="24"/>
                <w:szCs w:val="24"/>
                <w:highlight w:val="none"/>
              </w:rPr>
              <w:t>最</w:t>
            </w:r>
            <w:r>
              <w:rPr>
                <w:rFonts w:hint="eastAsia" w:ascii="仿宋" w:hAnsi="仿宋" w:eastAsia="仿宋" w:cs="仿宋"/>
                <w:b/>
                <w:bCs/>
                <w:color w:val="auto"/>
                <w:sz w:val="24"/>
                <w:szCs w:val="24"/>
                <w:highlight w:val="none"/>
                <w:lang w:val="en-US" w:eastAsia="zh-CN"/>
              </w:rPr>
              <w:t>长</w:t>
            </w:r>
            <w:r>
              <w:rPr>
                <w:rFonts w:hint="eastAsia" w:ascii="仿宋" w:hAnsi="仿宋" w:eastAsia="仿宋" w:cs="仿宋"/>
                <w:b/>
                <w:bCs/>
                <w:color w:val="auto"/>
                <w:sz w:val="24"/>
                <w:szCs w:val="24"/>
                <w:highlight w:val="none"/>
              </w:rPr>
              <w:t>，次优表示</w:t>
            </w:r>
            <w:r>
              <w:rPr>
                <w:rFonts w:hint="eastAsia" w:ascii="仿宋" w:hAnsi="仿宋" w:eastAsia="仿宋" w:cs="仿宋"/>
                <w:b/>
                <w:bCs/>
                <w:color w:val="auto"/>
                <w:sz w:val="24"/>
                <w:szCs w:val="24"/>
                <w:highlight w:val="none"/>
                <w:lang w:val="en-US" w:eastAsia="zh-CN"/>
              </w:rPr>
              <w:t>使用时间</w:t>
            </w:r>
            <w:r>
              <w:rPr>
                <w:rFonts w:hint="eastAsia" w:ascii="仿宋" w:hAnsi="仿宋" w:eastAsia="仿宋" w:cs="仿宋"/>
                <w:b/>
                <w:bCs/>
                <w:color w:val="auto"/>
                <w:sz w:val="24"/>
                <w:szCs w:val="24"/>
                <w:highlight w:val="none"/>
              </w:rPr>
              <w:t>仅次于最大值。</w:t>
            </w:r>
          </w:p>
        </w:tc>
        <w:tc>
          <w:tcPr>
            <w:tcW w:w="44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02"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387" w:type="pct"/>
            <w:vMerge w:val="continue"/>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p>
        </w:tc>
        <w:tc>
          <w:tcPr>
            <w:tcW w:w="701"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▲3.6推力：≥200N</w:t>
            </w:r>
          </w:p>
        </w:tc>
        <w:tc>
          <w:tcPr>
            <w:tcW w:w="3163"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highlight w:val="none"/>
                <w:lang w:val="en-US" w:eastAsia="zh-CN"/>
              </w:rPr>
              <w:t>推力</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推力</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val="en-US" w:eastAsia="zh-CN"/>
              </w:rPr>
              <w:t>推力</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val="en-US" w:eastAsia="zh-CN"/>
              </w:rPr>
              <w:t>推力</w:t>
            </w:r>
            <w:r>
              <w:rPr>
                <w:rFonts w:hint="eastAsia" w:ascii="仿宋" w:hAnsi="仿宋" w:eastAsia="仿宋" w:cs="仿宋"/>
                <w:b/>
                <w:bCs/>
                <w:color w:val="auto"/>
                <w:sz w:val="24"/>
                <w:szCs w:val="24"/>
                <w:highlight w:val="none"/>
              </w:rPr>
              <w:t>最大，次优表示</w:t>
            </w:r>
            <w:r>
              <w:rPr>
                <w:rFonts w:hint="eastAsia" w:ascii="仿宋" w:hAnsi="仿宋" w:eastAsia="仿宋" w:cs="仿宋"/>
                <w:b/>
                <w:bCs/>
                <w:color w:val="auto"/>
                <w:sz w:val="24"/>
                <w:szCs w:val="24"/>
                <w:highlight w:val="none"/>
                <w:lang w:val="en-US" w:eastAsia="zh-CN"/>
              </w:rPr>
              <w:t>推力</w:t>
            </w:r>
            <w:r>
              <w:rPr>
                <w:rFonts w:hint="eastAsia" w:ascii="仿宋" w:hAnsi="仿宋" w:eastAsia="仿宋" w:cs="仿宋"/>
                <w:b/>
                <w:bCs/>
                <w:color w:val="auto"/>
                <w:sz w:val="24"/>
                <w:szCs w:val="24"/>
                <w:highlight w:val="none"/>
              </w:rPr>
              <w:t>仅次于最大值。</w:t>
            </w:r>
          </w:p>
        </w:tc>
        <w:tc>
          <w:tcPr>
            <w:tcW w:w="44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02"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387" w:type="pct"/>
            <w:vMerge w:val="continue"/>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p>
        </w:tc>
        <w:tc>
          <w:tcPr>
            <w:tcW w:w="701"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▲3.7最大速度：≥4Km/h</w:t>
            </w:r>
          </w:p>
        </w:tc>
        <w:tc>
          <w:tcPr>
            <w:tcW w:w="3163"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eastAsia="zh-CN"/>
              </w:rPr>
              <w:t>的</w:t>
            </w:r>
            <w:r>
              <w:rPr>
                <w:rFonts w:hint="eastAsia" w:ascii="仿宋" w:hAnsi="仿宋" w:eastAsia="仿宋" w:cs="仿宋"/>
                <w:color w:val="auto"/>
                <w:sz w:val="24"/>
                <w:highlight w:val="none"/>
                <w:lang w:val="en-US" w:eastAsia="zh-CN"/>
              </w:rPr>
              <w:t>最大速度</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最大速度</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val="en-US" w:eastAsia="zh-CN"/>
              </w:rPr>
              <w:t>最大速度</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val="en-US" w:eastAsia="zh-CN"/>
              </w:rPr>
              <w:t>最大速度</w:t>
            </w:r>
            <w:r>
              <w:rPr>
                <w:rFonts w:hint="eastAsia" w:ascii="仿宋" w:hAnsi="仿宋" w:eastAsia="仿宋" w:cs="仿宋"/>
                <w:b/>
                <w:bCs/>
                <w:color w:val="auto"/>
                <w:sz w:val="24"/>
                <w:szCs w:val="24"/>
                <w:highlight w:val="none"/>
              </w:rPr>
              <w:t>最大，次优表示</w:t>
            </w:r>
            <w:r>
              <w:rPr>
                <w:rFonts w:hint="eastAsia" w:ascii="仿宋" w:hAnsi="仿宋" w:eastAsia="仿宋" w:cs="仿宋"/>
                <w:b/>
                <w:bCs/>
                <w:color w:val="auto"/>
                <w:sz w:val="24"/>
                <w:szCs w:val="24"/>
                <w:highlight w:val="none"/>
                <w:lang w:val="en-US" w:eastAsia="zh-CN"/>
              </w:rPr>
              <w:t>最大速度</w:t>
            </w:r>
            <w:r>
              <w:rPr>
                <w:rFonts w:hint="eastAsia" w:ascii="仿宋" w:hAnsi="仿宋" w:eastAsia="仿宋" w:cs="仿宋"/>
                <w:b/>
                <w:bCs/>
                <w:color w:val="auto"/>
                <w:sz w:val="24"/>
                <w:szCs w:val="24"/>
                <w:highlight w:val="none"/>
              </w:rPr>
              <w:t>仅次于最大值。</w:t>
            </w:r>
          </w:p>
        </w:tc>
        <w:tc>
          <w:tcPr>
            <w:tcW w:w="44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02"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387" w:type="pct"/>
            <w:vMerge w:val="restar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水下红外夜视仪</w:t>
            </w:r>
          </w:p>
        </w:tc>
        <w:tc>
          <w:tcPr>
            <w:tcW w:w="701"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▲3.4.最大水下工作深度≥60m</w:t>
            </w:r>
          </w:p>
        </w:tc>
        <w:tc>
          <w:tcPr>
            <w:tcW w:w="3163"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eastAsia="zh-CN"/>
              </w:rPr>
              <w:t>的</w:t>
            </w:r>
            <w:r>
              <w:rPr>
                <w:rFonts w:hint="eastAsia" w:ascii="仿宋" w:hAnsi="仿宋" w:eastAsia="仿宋" w:cs="仿宋"/>
                <w:color w:val="auto"/>
                <w:sz w:val="24"/>
                <w:highlight w:val="none"/>
                <w:lang w:val="en-US" w:eastAsia="zh-CN"/>
              </w:rPr>
              <w:t>最大水下工作深度</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最大水下工作深度</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val="en-US" w:eastAsia="zh-CN"/>
              </w:rPr>
              <w:t>最大水下工作深度</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val="en-US" w:eastAsia="zh-CN"/>
              </w:rPr>
              <w:t>最大水下工作深度</w:t>
            </w:r>
            <w:r>
              <w:rPr>
                <w:rFonts w:hint="eastAsia" w:ascii="仿宋" w:hAnsi="仿宋" w:eastAsia="仿宋" w:cs="仿宋"/>
                <w:b/>
                <w:bCs/>
                <w:color w:val="auto"/>
                <w:sz w:val="24"/>
                <w:szCs w:val="24"/>
                <w:highlight w:val="none"/>
              </w:rPr>
              <w:t>最大，次优表示</w:t>
            </w:r>
            <w:r>
              <w:rPr>
                <w:rFonts w:hint="eastAsia" w:ascii="仿宋" w:hAnsi="仿宋" w:eastAsia="仿宋" w:cs="仿宋"/>
                <w:b/>
                <w:bCs/>
                <w:color w:val="auto"/>
                <w:sz w:val="24"/>
                <w:szCs w:val="24"/>
                <w:highlight w:val="none"/>
                <w:lang w:val="en-US" w:eastAsia="zh-CN"/>
              </w:rPr>
              <w:t>最大水下工作深度</w:t>
            </w:r>
            <w:r>
              <w:rPr>
                <w:rFonts w:hint="eastAsia" w:ascii="仿宋" w:hAnsi="仿宋" w:eastAsia="仿宋" w:cs="仿宋"/>
                <w:b/>
                <w:bCs/>
                <w:color w:val="auto"/>
                <w:sz w:val="24"/>
                <w:szCs w:val="24"/>
                <w:highlight w:val="none"/>
              </w:rPr>
              <w:t>仅次于最大值。</w:t>
            </w:r>
          </w:p>
        </w:tc>
        <w:tc>
          <w:tcPr>
            <w:tcW w:w="44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02"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387" w:type="pct"/>
            <w:vMerge w:val="continue"/>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p>
        </w:tc>
        <w:tc>
          <w:tcPr>
            <w:tcW w:w="701"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▲3.10.放大倍率：≥1.0x</w:t>
            </w:r>
          </w:p>
        </w:tc>
        <w:tc>
          <w:tcPr>
            <w:tcW w:w="3163"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eastAsia="zh-CN"/>
              </w:rPr>
              <w:t>的</w:t>
            </w:r>
            <w:r>
              <w:rPr>
                <w:rFonts w:hint="eastAsia" w:ascii="仿宋" w:hAnsi="仿宋" w:eastAsia="仿宋" w:cs="仿宋"/>
                <w:color w:val="auto"/>
                <w:sz w:val="24"/>
                <w:highlight w:val="none"/>
                <w:lang w:val="en-US" w:eastAsia="zh-CN"/>
              </w:rPr>
              <w:t>放大倍率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放大倍率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val="en-US" w:eastAsia="zh-CN"/>
              </w:rPr>
              <w:t>放大倍率</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val="en-US" w:eastAsia="zh-CN"/>
              </w:rPr>
              <w:t>放大倍率</w:t>
            </w:r>
            <w:r>
              <w:rPr>
                <w:rFonts w:hint="eastAsia" w:ascii="仿宋" w:hAnsi="仿宋" w:eastAsia="仿宋" w:cs="仿宋"/>
                <w:b/>
                <w:bCs/>
                <w:color w:val="auto"/>
                <w:sz w:val="24"/>
                <w:szCs w:val="24"/>
                <w:highlight w:val="none"/>
              </w:rPr>
              <w:t>最大，次优表示</w:t>
            </w:r>
            <w:r>
              <w:rPr>
                <w:rFonts w:hint="eastAsia" w:ascii="仿宋" w:hAnsi="仿宋" w:eastAsia="仿宋" w:cs="仿宋"/>
                <w:b/>
                <w:bCs/>
                <w:color w:val="auto"/>
                <w:sz w:val="24"/>
                <w:szCs w:val="24"/>
                <w:highlight w:val="none"/>
                <w:lang w:val="en-US" w:eastAsia="zh-CN"/>
              </w:rPr>
              <w:t>放大倍率</w:t>
            </w:r>
            <w:r>
              <w:rPr>
                <w:rFonts w:hint="eastAsia" w:ascii="仿宋" w:hAnsi="仿宋" w:eastAsia="仿宋" w:cs="仿宋"/>
                <w:b/>
                <w:bCs/>
                <w:color w:val="auto"/>
                <w:sz w:val="24"/>
                <w:szCs w:val="24"/>
                <w:highlight w:val="none"/>
              </w:rPr>
              <w:t>仅次于最大值。</w:t>
            </w:r>
          </w:p>
        </w:tc>
        <w:tc>
          <w:tcPr>
            <w:tcW w:w="44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02"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387" w:type="pct"/>
            <w:vMerge w:val="restar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水下金属探测仪</w:t>
            </w:r>
          </w:p>
        </w:tc>
        <w:tc>
          <w:tcPr>
            <w:tcW w:w="701"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▲3.3最大工作深度≥60m</w:t>
            </w:r>
          </w:p>
        </w:tc>
        <w:tc>
          <w:tcPr>
            <w:tcW w:w="3163"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eastAsia="zh-CN"/>
              </w:rPr>
              <w:t>的</w:t>
            </w:r>
            <w:r>
              <w:rPr>
                <w:rFonts w:hint="eastAsia" w:ascii="仿宋" w:hAnsi="仿宋" w:eastAsia="仿宋" w:cs="仿宋"/>
                <w:color w:val="auto"/>
                <w:sz w:val="24"/>
                <w:highlight w:val="none"/>
                <w:lang w:val="en-US" w:eastAsia="zh-CN"/>
              </w:rPr>
              <w:t>最大工作深度</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最大工作深度</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val="en-US" w:eastAsia="zh-CN"/>
              </w:rPr>
              <w:t>最大工作深度</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val="en-US" w:eastAsia="zh-CN"/>
              </w:rPr>
              <w:t>最大工作深度</w:t>
            </w:r>
            <w:r>
              <w:rPr>
                <w:rFonts w:hint="eastAsia" w:ascii="仿宋" w:hAnsi="仿宋" w:eastAsia="仿宋" w:cs="仿宋"/>
                <w:b/>
                <w:bCs/>
                <w:color w:val="auto"/>
                <w:sz w:val="24"/>
                <w:szCs w:val="24"/>
                <w:highlight w:val="none"/>
              </w:rPr>
              <w:t>最大，次优表示</w:t>
            </w:r>
            <w:r>
              <w:rPr>
                <w:rFonts w:hint="eastAsia" w:ascii="仿宋" w:hAnsi="仿宋" w:eastAsia="仿宋" w:cs="仿宋"/>
                <w:b/>
                <w:bCs/>
                <w:color w:val="auto"/>
                <w:sz w:val="24"/>
                <w:szCs w:val="24"/>
                <w:highlight w:val="none"/>
                <w:lang w:val="en-US" w:eastAsia="zh-CN"/>
              </w:rPr>
              <w:t>最大工作深度</w:t>
            </w:r>
            <w:r>
              <w:rPr>
                <w:rFonts w:hint="eastAsia" w:ascii="仿宋" w:hAnsi="仿宋" w:eastAsia="仿宋" w:cs="仿宋"/>
                <w:b/>
                <w:bCs/>
                <w:color w:val="auto"/>
                <w:sz w:val="24"/>
                <w:szCs w:val="24"/>
                <w:highlight w:val="none"/>
              </w:rPr>
              <w:t>仅次于最大值。</w:t>
            </w:r>
          </w:p>
        </w:tc>
        <w:tc>
          <w:tcPr>
            <w:tcW w:w="44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02"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387" w:type="pct"/>
            <w:vMerge w:val="continue"/>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p>
        </w:tc>
        <w:tc>
          <w:tcPr>
            <w:tcW w:w="701"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▲3.4 重量≤5kg</w:t>
            </w:r>
          </w:p>
        </w:tc>
        <w:tc>
          <w:tcPr>
            <w:tcW w:w="3163"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eastAsia="zh-CN"/>
              </w:rPr>
              <w:t>的</w:t>
            </w:r>
            <w:r>
              <w:rPr>
                <w:rFonts w:hint="eastAsia" w:ascii="仿宋" w:hAnsi="仿宋" w:eastAsia="仿宋" w:cs="仿宋"/>
                <w:color w:val="auto"/>
                <w:sz w:val="24"/>
                <w:highlight w:val="none"/>
                <w:lang w:val="en-US" w:eastAsia="zh-CN"/>
              </w:rPr>
              <w:t>重量</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重量</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val="en-US" w:eastAsia="zh-CN"/>
              </w:rPr>
              <w:t>重量</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val="en-US" w:eastAsia="zh-CN"/>
              </w:rPr>
              <w:t>重量</w:t>
            </w:r>
            <w:r>
              <w:rPr>
                <w:rFonts w:hint="eastAsia" w:ascii="仿宋" w:hAnsi="仿宋" w:eastAsia="仿宋" w:cs="仿宋"/>
                <w:b/>
                <w:bCs/>
                <w:color w:val="auto"/>
                <w:sz w:val="24"/>
                <w:szCs w:val="24"/>
                <w:highlight w:val="none"/>
              </w:rPr>
              <w:t>最</w:t>
            </w:r>
            <w:r>
              <w:rPr>
                <w:rFonts w:hint="eastAsia" w:ascii="仿宋" w:hAnsi="仿宋" w:eastAsia="仿宋" w:cs="仿宋"/>
                <w:b/>
                <w:bCs/>
                <w:color w:val="auto"/>
                <w:sz w:val="24"/>
                <w:szCs w:val="24"/>
                <w:highlight w:val="none"/>
                <w:lang w:val="en-US" w:eastAsia="zh-CN"/>
              </w:rPr>
              <w:t>小</w:t>
            </w:r>
            <w:r>
              <w:rPr>
                <w:rFonts w:hint="eastAsia" w:ascii="仿宋" w:hAnsi="仿宋" w:eastAsia="仿宋" w:cs="仿宋"/>
                <w:b/>
                <w:bCs/>
                <w:color w:val="auto"/>
                <w:sz w:val="24"/>
                <w:szCs w:val="24"/>
                <w:highlight w:val="none"/>
              </w:rPr>
              <w:t>，次优表示</w:t>
            </w:r>
            <w:r>
              <w:rPr>
                <w:rFonts w:hint="eastAsia" w:ascii="仿宋" w:hAnsi="仿宋" w:eastAsia="仿宋" w:cs="仿宋"/>
                <w:b/>
                <w:bCs/>
                <w:color w:val="auto"/>
                <w:sz w:val="24"/>
                <w:szCs w:val="24"/>
                <w:highlight w:val="none"/>
                <w:lang w:val="en-US" w:eastAsia="zh-CN"/>
              </w:rPr>
              <w:t>重量</w:t>
            </w:r>
            <w:r>
              <w:rPr>
                <w:rFonts w:hint="eastAsia" w:ascii="仿宋" w:hAnsi="仿宋" w:eastAsia="仿宋" w:cs="仿宋"/>
                <w:b/>
                <w:bCs/>
                <w:color w:val="auto"/>
                <w:sz w:val="24"/>
                <w:szCs w:val="24"/>
                <w:highlight w:val="none"/>
              </w:rPr>
              <w:t>仅次于最</w:t>
            </w:r>
            <w:r>
              <w:rPr>
                <w:rFonts w:hint="eastAsia" w:ascii="仿宋" w:hAnsi="仿宋" w:eastAsia="仿宋" w:cs="仿宋"/>
                <w:b/>
                <w:bCs/>
                <w:color w:val="auto"/>
                <w:sz w:val="24"/>
                <w:szCs w:val="24"/>
                <w:highlight w:val="none"/>
                <w:lang w:val="en-US" w:eastAsia="zh-CN"/>
              </w:rPr>
              <w:t>小</w:t>
            </w:r>
            <w:r>
              <w:rPr>
                <w:rFonts w:hint="eastAsia" w:ascii="仿宋" w:hAnsi="仿宋" w:eastAsia="仿宋" w:cs="仿宋"/>
                <w:b/>
                <w:bCs/>
                <w:color w:val="auto"/>
                <w:sz w:val="24"/>
                <w:szCs w:val="24"/>
                <w:highlight w:val="none"/>
              </w:rPr>
              <w:t>值。</w:t>
            </w:r>
          </w:p>
        </w:tc>
        <w:tc>
          <w:tcPr>
            <w:tcW w:w="44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02"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089"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strike w:val="0"/>
                <w:dstrike w:val="0"/>
                <w:color w:val="auto"/>
                <w:sz w:val="24"/>
                <w:highlight w:val="none"/>
              </w:rPr>
            </w:pPr>
            <w:r>
              <w:rPr>
                <w:rFonts w:hint="eastAsia" w:ascii="仿宋" w:hAnsi="仿宋" w:eastAsia="仿宋" w:cs="仿宋"/>
                <w:strike w:val="0"/>
                <w:dstrike w:val="0"/>
                <w:color w:val="auto"/>
                <w:sz w:val="24"/>
                <w:highlight w:val="none"/>
              </w:rPr>
              <w:t>一般参数</w:t>
            </w:r>
          </w:p>
        </w:tc>
        <w:tc>
          <w:tcPr>
            <w:tcW w:w="3163"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strike w:val="0"/>
                <w:dstrike w:val="0"/>
                <w:color w:val="auto"/>
                <w:sz w:val="24"/>
                <w:highlight w:val="none"/>
              </w:rPr>
            </w:pPr>
            <w:r>
              <w:rPr>
                <w:rFonts w:hint="eastAsia" w:ascii="仿宋" w:hAnsi="仿宋" w:eastAsia="仿宋" w:cs="仿宋"/>
                <w:strike w:val="0"/>
                <w:dstrike w:val="0"/>
                <w:color w:val="auto"/>
                <w:sz w:val="24"/>
                <w:highlight w:val="none"/>
              </w:rPr>
              <w:t>在完全满足招标文件“</w:t>
            </w:r>
            <w:r>
              <w:rPr>
                <w:rFonts w:hint="eastAsia" w:ascii="仿宋" w:hAnsi="仿宋" w:eastAsia="仿宋" w:cs="仿宋"/>
                <w:strike w:val="0"/>
                <w:dstrike w:val="0"/>
                <w:color w:val="auto"/>
                <w:sz w:val="24"/>
                <w:highlight w:val="none"/>
                <w:lang w:eastAsia="zh-CN"/>
              </w:rPr>
              <w:t>所有参数</w:t>
            </w:r>
            <w:r>
              <w:rPr>
                <w:rFonts w:hint="eastAsia" w:ascii="仿宋" w:hAnsi="仿宋" w:eastAsia="仿宋" w:cs="仿宋"/>
                <w:strike w:val="0"/>
                <w:dstrike w:val="0"/>
                <w:color w:val="auto"/>
                <w:sz w:val="24"/>
                <w:highlight w:val="none"/>
              </w:rPr>
              <w:t>”要求的基础上，每有一条“一般参数”优于的加1分，本项最多加</w:t>
            </w:r>
            <w:r>
              <w:rPr>
                <w:rFonts w:hint="eastAsia" w:ascii="仿宋" w:hAnsi="仿宋" w:eastAsia="仿宋" w:cs="仿宋"/>
                <w:strike w:val="0"/>
                <w:dstrike w:val="0"/>
                <w:color w:val="auto"/>
                <w:sz w:val="24"/>
                <w:highlight w:val="none"/>
                <w:lang w:val="en-US" w:eastAsia="zh-CN"/>
              </w:rPr>
              <w:t>3</w:t>
            </w:r>
            <w:r>
              <w:rPr>
                <w:rFonts w:hint="eastAsia" w:ascii="仿宋" w:hAnsi="仿宋" w:eastAsia="仿宋" w:cs="仿宋"/>
                <w:strike w:val="0"/>
                <w:dstrike w:val="0"/>
                <w:color w:val="auto"/>
                <w:sz w:val="24"/>
                <w:highlight w:val="none"/>
              </w:rPr>
              <w:t>分。（加分只针对具有“≥”或“≤”的数值，数值更加优于的进行加分；文字内容或其他内容优于的不加分）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strike w:val="0"/>
                <w:dstrike w:val="0"/>
                <w:color w:val="auto"/>
                <w:sz w:val="24"/>
                <w:highlight w:val="none"/>
              </w:rPr>
            </w:pPr>
            <w:r>
              <w:rPr>
                <w:rFonts w:hint="eastAsia" w:ascii="仿宋" w:hAnsi="仿宋" w:eastAsia="仿宋" w:cs="仿宋"/>
                <w:b/>
                <w:bCs/>
                <w:strike w:val="0"/>
                <w:dstrike w:val="0"/>
                <w:color w:val="auto"/>
                <w:sz w:val="24"/>
                <w:highlight w:val="none"/>
              </w:rPr>
              <w:t>注：“一般参数”为非标“★”号参数和非标“▲”号参数。</w:t>
            </w:r>
          </w:p>
        </w:tc>
        <w:tc>
          <w:tcPr>
            <w:tcW w:w="44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strike w:val="0"/>
                <w:dstrike w:val="0"/>
                <w:color w:val="auto"/>
                <w:sz w:val="24"/>
                <w:highlight w:val="none"/>
              </w:rPr>
            </w:pPr>
            <w:r>
              <w:rPr>
                <w:rFonts w:hint="eastAsia" w:ascii="仿宋" w:hAnsi="仿宋" w:eastAsia="仿宋" w:cs="仿宋"/>
                <w:strike w:val="0"/>
                <w:dstrike w:val="0"/>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02" w:type="pct"/>
            <w:vMerge w:val="continue"/>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697" w:type="pct"/>
            <w:gridSpan w:val="4"/>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评审依据：提供技术条款响应表和技术支撑文件</w:t>
            </w:r>
            <w:r>
              <w:rPr>
                <w:rFonts w:hint="eastAsia" w:ascii="仿宋" w:hAnsi="仿宋" w:eastAsia="仿宋" w:cs="仿宋"/>
                <w:b/>
                <w:bCs/>
                <w:color w:val="auto"/>
                <w:sz w:val="24"/>
                <w:highlight w:val="none"/>
                <w:lang w:eastAsia="zh-CN"/>
              </w:rPr>
              <w:t>。</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hint="eastAsia"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hint="eastAsia"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hint="eastAsia"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③制造商出具的技术参数证明材料并加盖制造商公章。]</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注：①供应商应认真提供技术支撑文件，若提供多份技术支撑文件，技术支撑文件佐证不一致时，优先级为：产品检测报告复印件＞制造商公开发布的印刷资料＞制造商出具的技术参数证明</w:t>
            </w:r>
            <w:r>
              <w:rPr>
                <w:rFonts w:hint="eastAsia" w:ascii="仿宋" w:hAnsi="仿宋" w:eastAsia="仿宋" w:cs="仿宋"/>
                <w:b/>
                <w:bCs/>
                <w:color w:val="auto"/>
                <w:sz w:val="24"/>
                <w:highlight w:val="none"/>
                <w:lang w:val="en-US" w:eastAsia="zh-CN"/>
              </w:rPr>
              <w:t>材料</w:t>
            </w:r>
            <w:r>
              <w:rPr>
                <w:rFonts w:hint="eastAsia" w:ascii="仿宋" w:hAnsi="仿宋" w:eastAsia="仿宋" w:cs="仿宋"/>
                <w:b/>
                <w:bCs/>
                <w:color w:val="auto"/>
                <w:sz w:val="24"/>
                <w:highlight w:val="none"/>
              </w:rPr>
              <w:t>；②技术支撑文件</w:t>
            </w:r>
            <w:r>
              <w:rPr>
                <w:rFonts w:hint="eastAsia" w:ascii="仿宋" w:hAnsi="仿宋" w:eastAsia="仿宋" w:cs="仿宋"/>
                <w:b/>
                <w:bCs/>
                <w:color w:val="auto"/>
                <w:sz w:val="24"/>
                <w:highlight w:val="none"/>
                <w:lang w:val="en-US" w:eastAsia="zh-CN"/>
              </w:rPr>
              <w:t>与</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不一致，则</w:t>
            </w:r>
            <w:r>
              <w:rPr>
                <w:rFonts w:hint="eastAsia" w:ascii="仿宋" w:hAnsi="仿宋" w:eastAsia="仿宋" w:cs="仿宋"/>
                <w:b/>
                <w:bCs/>
                <w:color w:val="auto"/>
                <w:sz w:val="24"/>
                <w:highlight w:val="none"/>
              </w:rPr>
              <w:t>该点不加分</w:t>
            </w:r>
            <w:r>
              <w:rPr>
                <w:rFonts w:hint="eastAsia" w:ascii="仿宋" w:hAnsi="仿宋" w:eastAsia="仿宋" w:cs="仿宋"/>
                <w:b/>
                <w:bCs/>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02"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089"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整体结构与外观</w:t>
            </w:r>
          </w:p>
        </w:tc>
        <w:tc>
          <w:tcPr>
            <w:tcW w:w="3163"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根据视频文件对核心产品的外观构造、内部结构、设计理念等进行评审。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设计理念先进，外部构造和内部结构科学合理，整体结构外观与实战紧贴程度高的，得3分；设计理念较为先进，外部构造和内部结构较为合理，整体结构外观与实战紧贴程度较高的，得2分；设计理念一般，外观构造和内部结构基本合理，整体结构外观与实战紧贴程度不高的，得1分；未提供证明材料或证明材料有缺项的不得分。</w:t>
            </w:r>
          </w:p>
        </w:tc>
        <w:tc>
          <w:tcPr>
            <w:tcW w:w="44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02"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089"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工艺</w:t>
            </w:r>
          </w:p>
        </w:tc>
        <w:tc>
          <w:tcPr>
            <w:tcW w:w="3163"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根据视频文件对核心产品的安全性、耐用性、实用性等进行评审。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性能高、耐用性能好、实用性能强，工艺符合实战需求程度高的，得3分；安全性能较高、耐用性能良好、实用性能较强，工艺符合实战需求程度较高的，得2分；安全性能不高、耐用性能普通、实用性能一般，工艺符合实战需求程度不高的，得1分；未提供证明材料或证明材料有缺项的不得分。</w:t>
            </w:r>
          </w:p>
        </w:tc>
        <w:tc>
          <w:tcPr>
            <w:tcW w:w="44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02"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089"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操作使用性能</w:t>
            </w:r>
          </w:p>
        </w:tc>
        <w:tc>
          <w:tcPr>
            <w:tcW w:w="3163"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根据视频文件对核心产品的可靠性、便捷性、稳定性等进行评审。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可靠性高、便捷性好、稳定性好，操作使用性能提升战斗力程度高的，得4分；可靠性较高、便捷性较好、稳定性良好，操作使用性能提升战斗力程度较高的，得2分；可靠性不高、便捷性和稳定性一般，操作使用性能提升战斗力程度不高的，得1分；未提供证明材料或证明材料有缺项的不得分。</w:t>
            </w:r>
          </w:p>
        </w:tc>
        <w:tc>
          <w:tcPr>
            <w:tcW w:w="44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02" w:type="pct"/>
            <w:vMerge w:val="continue"/>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697" w:type="pct"/>
            <w:gridSpan w:val="4"/>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lang w:eastAsia="zh-CN"/>
              </w:rPr>
            </w:pPr>
            <w:r>
              <w:rPr>
                <w:rFonts w:hint="eastAsia" w:ascii="仿宋" w:hAnsi="仿宋" w:eastAsia="仿宋" w:cs="仿宋"/>
                <w:b/>
                <w:bCs/>
                <w:color w:val="auto"/>
                <w:sz w:val="24"/>
                <w:highlight w:val="none"/>
              </w:rPr>
              <w:t>以上评审依据：根据视频文件对产品的整体结构与外观、工艺、操作使用性能进行综合评审，视频文件需对以上三点评审内容进行介绍（包含但不限于以上三点）。视频文件[视频文件格式须为通用格式，佐证视频时长不得超过5分钟，视频清晰度应至少保证所摄的界面文字清晰易辨、画面完整连贯、播放速度正常]应存储于U盘内（单独密封在信封中）与投标文件同时递交，逾期递交不予接收，</w:t>
            </w:r>
            <w:r>
              <w:rPr>
                <w:rFonts w:hint="eastAsia" w:ascii="仿宋" w:hAnsi="仿宋" w:eastAsia="仿宋" w:cs="仿宋"/>
                <w:b/>
                <w:bCs/>
                <w:color w:val="auto"/>
                <w:sz w:val="24"/>
                <w:highlight w:val="none"/>
                <w:lang w:eastAsia="zh-CN"/>
              </w:rPr>
              <w:t>U盘由采购代理机构封存，不予退回。未提供视频或视频无法打开的，得0分。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三、商务部分（1</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1310"/>
        <w:gridCol w:w="6295"/>
        <w:gridCol w:w="9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序号</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评审因素</w:t>
            </w:r>
          </w:p>
        </w:tc>
        <w:tc>
          <w:tcPr>
            <w:tcW w:w="3389"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评分标准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1</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bCs/>
                <w:color w:val="auto"/>
                <w:sz w:val="24"/>
                <w:szCs w:val="22"/>
                <w:highlight w:val="none"/>
              </w:rPr>
            </w:pPr>
            <w:r>
              <w:rPr>
                <w:rFonts w:hint="eastAsia" w:ascii="仿宋" w:hAnsi="仿宋" w:eastAsia="仿宋" w:cs="仿宋"/>
                <w:color w:val="auto"/>
                <w:sz w:val="24"/>
                <w:highlight w:val="none"/>
              </w:rPr>
              <w:t>符合性评审</w:t>
            </w:r>
          </w:p>
        </w:tc>
        <w:tc>
          <w:tcPr>
            <w:tcW w:w="3887" w:type="pct"/>
            <w:gridSpan w:val="2"/>
            <w:vAlign w:val="center"/>
          </w:tcPr>
          <w:p>
            <w:pPr>
              <w:pageBreakBefore w:val="0"/>
              <w:kinsoku/>
              <w:wordWrap/>
              <w:overflowPunct/>
              <w:topLinePunct w:val="0"/>
              <w:autoSpaceDE/>
              <w:autoSpaceDN/>
              <w:bidi w:val="0"/>
              <w:adjustRightInd/>
              <w:snapToGrid/>
              <w:spacing w:line="460" w:lineRule="exact"/>
              <w:rPr>
                <w:rFonts w:eastAsia="仿宋" w:cs="Times New Roman"/>
                <w:color w:val="auto"/>
                <w:sz w:val="24"/>
                <w:szCs w:val="22"/>
                <w:highlight w:val="none"/>
              </w:rPr>
            </w:pPr>
            <w:r>
              <w:rPr>
                <w:rFonts w:hint="eastAsia" w:eastAsia="仿宋" w:cs="Times New Roman"/>
                <w:color w:val="auto"/>
                <w:sz w:val="24"/>
                <w:szCs w:val="22"/>
                <w:highlight w:val="none"/>
              </w:rPr>
              <w:t>投标人必须完全满足招标文件“商务要求”</w:t>
            </w:r>
            <w:r>
              <w:rPr>
                <w:rFonts w:hint="eastAsia" w:eastAsia="仿宋" w:cs="Times New Roman"/>
                <w:color w:val="auto"/>
                <w:sz w:val="24"/>
                <w:szCs w:val="22"/>
                <w:highlight w:val="none"/>
                <w:lang w:val="en-US" w:eastAsia="zh-CN"/>
              </w:rPr>
              <w:t>所有</w:t>
            </w:r>
            <w:r>
              <w:rPr>
                <w:rFonts w:hint="eastAsia" w:eastAsia="仿宋" w:cs="Times New Roman"/>
                <w:color w:val="auto"/>
                <w:sz w:val="24"/>
                <w:szCs w:val="22"/>
                <w:highlight w:val="none"/>
              </w:rPr>
              <w:t>实质性条款，任意一项不满足作无效投标处理。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eastAsia="仿宋" w:cs="Times New Roman"/>
                <w:b/>
                <w:bCs/>
                <w:color w:val="auto"/>
                <w:sz w:val="24"/>
                <w:szCs w:val="22"/>
                <w:highlight w:val="none"/>
              </w:rPr>
              <w:t>评审依据：投标文件中提供的商务条款响应表。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2</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hint="eastAsia" w:eastAsia="仿宋"/>
                <w:color w:val="auto"/>
                <w:sz w:val="24"/>
                <w:szCs w:val="22"/>
                <w:highlight w:val="none"/>
                <w:lang w:eastAsia="zh-CN"/>
              </w:rPr>
            </w:pPr>
            <w:r>
              <w:rPr>
                <w:rFonts w:hint="eastAsia" w:eastAsia="仿宋"/>
                <w:color w:val="auto"/>
                <w:sz w:val="24"/>
                <w:szCs w:val="22"/>
                <w:highlight w:val="none"/>
                <w:lang w:eastAsia="zh-CN"/>
              </w:rPr>
              <w:t>生产制造履约能力</w:t>
            </w:r>
          </w:p>
        </w:tc>
        <w:tc>
          <w:tcPr>
            <w:tcW w:w="3389" w:type="pct"/>
            <w:vAlign w:val="center"/>
          </w:tcPr>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val="en-US" w:eastAsia="zh-CN"/>
              </w:rPr>
              <w:t>投标人提供所投核心产品制造商的证明材料（应加盖制造商公章）</w:t>
            </w:r>
            <w:r>
              <w:rPr>
                <w:rFonts w:hint="eastAsia" w:eastAsia="仿宋" w:cs="Times New Roman"/>
                <w:color w:val="auto"/>
                <w:sz w:val="24"/>
                <w:szCs w:val="22"/>
                <w:highlight w:val="none"/>
              </w:rPr>
              <w:t>对</w:t>
            </w:r>
            <w:r>
              <w:rPr>
                <w:rFonts w:hint="eastAsia" w:eastAsia="仿宋" w:cs="Times New Roman"/>
                <w:color w:val="auto"/>
                <w:sz w:val="24"/>
                <w:szCs w:val="22"/>
                <w:highlight w:val="none"/>
                <w:lang w:eastAsia="zh-CN"/>
              </w:rPr>
              <w:t>生产制造履约能力</w:t>
            </w:r>
            <w:r>
              <w:rPr>
                <w:rFonts w:hint="eastAsia" w:eastAsia="仿宋" w:cs="Times New Roman"/>
                <w:color w:val="auto"/>
                <w:sz w:val="24"/>
                <w:szCs w:val="22"/>
                <w:highlight w:val="none"/>
              </w:rPr>
              <w:t>进行评审，包含但不限于</w:t>
            </w:r>
            <w:r>
              <w:rPr>
                <w:rFonts w:hint="eastAsia" w:eastAsia="仿宋" w:cs="Times New Roman"/>
                <w:color w:val="auto"/>
                <w:sz w:val="24"/>
                <w:szCs w:val="22"/>
                <w:highlight w:val="none"/>
                <w:lang w:eastAsia="zh-CN"/>
              </w:rPr>
              <w:t>：</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eastAsia="zh-CN"/>
              </w:rPr>
              <w:t>①制造商生产经营情况简介；</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②生产工艺流程，主要包括</w:t>
            </w:r>
            <w:r>
              <w:rPr>
                <w:rFonts w:hint="eastAsia" w:eastAsia="仿宋" w:cs="Times New Roman"/>
                <w:color w:val="auto"/>
                <w:sz w:val="24"/>
                <w:szCs w:val="22"/>
                <w:highlight w:val="none"/>
                <w:lang w:val="en-US" w:eastAsia="zh-CN"/>
              </w:rPr>
              <w:t>生产制造流程</w:t>
            </w:r>
            <w:r>
              <w:rPr>
                <w:rFonts w:hint="eastAsia" w:eastAsia="仿宋" w:cs="Times New Roman"/>
                <w:color w:val="auto"/>
                <w:sz w:val="24"/>
                <w:szCs w:val="22"/>
                <w:highlight w:val="none"/>
              </w:rPr>
              <w:t>图、生产步骤</w:t>
            </w:r>
            <w:r>
              <w:rPr>
                <w:rFonts w:hint="eastAsia" w:eastAsia="仿宋" w:cs="Times New Roman"/>
                <w:color w:val="auto"/>
                <w:sz w:val="24"/>
                <w:szCs w:val="22"/>
                <w:highlight w:val="none"/>
                <w:lang w:eastAsia="zh-CN"/>
              </w:rPr>
              <w:t>（应含</w:t>
            </w:r>
            <w:r>
              <w:rPr>
                <w:rFonts w:hint="eastAsia" w:eastAsia="仿宋" w:cs="Times New Roman"/>
                <w:color w:val="auto"/>
                <w:sz w:val="24"/>
                <w:szCs w:val="22"/>
                <w:highlight w:val="none"/>
                <w:lang w:val="en-US" w:eastAsia="zh-CN"/>
              </w:rPr>
              <w:t>生产车间环境及实际生产照片</w:t>
            </w:r>
            <w:r>
              <w:rPr>
                <w:rFonts w:hint="eastAsia" w:eastAsia="仿宋" w:cs="Times New Roman"/>
                <w:color w:val="auto"/>
                <w:sz w:val="24"/>
                <w:szCs w:val="22"/>
                <w:highlight w:val="none"/>
                <w:lang w:eastAsia="zh-CN"/>
              </w:rPr>
              <w:t>）</w:t>
            </w:r>
            <w:r>
              <w:rPr>
                <w:rFonts w:hint="eastAsia" w:eastAsia="仿宋" w:cs="Times New Roman"/>
                <w:color w:val="auto"/>
                <w:sz w:val="24"/>
                <w:szCs w:val="22"/>
                <w:highlight w:val="none"/>
              </w:rPr>
              <w:t>等相关情况</w:t>
            </w:r>
            <w:r>
              <w:rPr>
                <w:rFonts w:hint="eastAsia" w:eastAsia="仿宋" w:cs="Times New Roman"/>
                <w:color w:val="auto"/>
                <w:sz w:val="24"/>
                <w:szCs w:val="22"/>
                <w:highlight w:val="none"/>
                <w:lang w:eastAsia="zh-CN"/>
              </w:rPr>
              <w:t>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③产品检验流程，包括主要检验设备</w:t>
            </w:r>
            <w:r>
              <w:rPr>
                <w:rFonts w:hint="eastAsia" w:eastAsia="仿宋" w:cs="Times New Roman"/>
                <w:color w:val="auto"/>
                <w:sz w:val="24"/>
                <w:szCs w:val="22"/>
                <w:highlight w:val="none"/>
                <w:lang w:eastAsia="zh-CN"/>
              </w:rPr>
              <w:t>（应提供图片）</w:t>
            </w:r>
            <w:r>
              <w:rPr>
                <w:rFonts w:hint="eastAsia" w:eastAsia="仿宋" w:cs="Times New Roman"/>
                <w:color w:val="auto"/>
                <w:sz w:val="24"/>
                <w:szCs w:val="22"/>
                <w:highlight w:val="none"/>
              </w:rPr>
              <w:t>、检验步骤等相关情况描述；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④人员配备：相关专业技术</w:t>
            </w:r>
            <w:r>
              <w:rPr>
                <w:rFonts w:hint="eastAsia" w:eastAsia="仿宋" w:cs="Times New Roman"/>
                <w:color w:val="auto"/>
                <w:sz w:val="24"/>
                <w:szCs w:val="22"/>
                <w:highlight w:val="none"/>
                <w:lang w:eastAsia="zh-CN"/>
              </w:rPr>
              <w:t>职称</w:t>
            </w:r>
            <w:r>
              <w:rPr>
                <w:rFonts w:hint="eastAsia" w:eastAsia="仿宋" w:cs="Times New Roman"/>
                <w:color w:val="auto"/>
                <w:sz w:val="24"/>
                <w:szCs w:val="22"/>
                <w:highlight w:val="none"/>
              </w:rPr>
              <w:t>人员配置情况</w:t>
            </w:r>
            <w:r>
              <w:rPr>
                <w:rFonts w:hint="eastAsia" w:eastAsia="仿宋" w:cs="Times New Roman"/>
                <w:color w:val="auto"/>
                <w:sz w:val="24"/>
                <w:szCs w:val="22"/>
                <w:highlight w:val="none"/>
                <w:lang w:eastAsia="zh-CN"/>
              </w:rPr>
              <w:t>；</w:t>
            </w:r>
            <w:r>
              <w:rPr>
                <w:rFonts w:hint="eastAsia" w:eastAsia="仿宋" w:cs="Times New Roman"/>
                <w:color w:val="auto"/>
                <w:sz w:val="24"/>
                <w:szCs w:val="22"/>
                <w:highlight w:val="none"/>
              </w:rPr>
              <w:t>各原材料采购、生产、检验、仓储、运输等环节的人员配备情况；</w:t>
            </w:r>
          </w:p>
          <w:p>
            <w:pPr>
              <w:pageBreakBefore w:val="0"/>
              <w:kinsoku/>
              <w:wordWrap/>
              <w:overflowPunct/>
              <w:topLinePunct w:val="0"/>
              <w:autoSpaceDE/>
              <w:autoSpaceDN/>
              <w:bidi w:val="0"/>
              <w:adjustRightInd/>
              <w:snapToGrid/>
              <w:spacing w:line="460" w:lineRule="exact"/>
              <w:rPr>
                <w:rFonts w:hint="eastAsia" w:eastAsia="仿宋" w:cs="Times New Roman"/>
                <w:b/>
                <w:bCs/>
                <w:color w:val="auto"/>
                <w:sz w:val="24"/>
                <w:szCs w:val="22"/>
                <w:highlight w:val="none"/>
              </w:rPr>
            </w:pPr>
            <w:r>
              <w:rPr>
                <w:rFonts w:hint="eastAsia" w:eastAsia="仿宋" w:cs="Times New Roman"/>
                <w:b/>
                <w:bCs/>
                <w:color w:val="auto"/>
                <w:sz w:val="24"/>
                <w:szCs w:val="22"/>
                <w:highlight w:val="none"/>
              </w:rPr>
              <w:t>评审依据：</w:t>
            </w:r>
            <w:r>
              <w:rPr>
                <w:rFonts w:hint="eastAsia" w:eastAsia="仿宋" w:cs="Times New Roman"/>
                <w:b/>
                <w:bCs/>
                <w:color w:val="auto"/>
                <w:sz w:val="24"/>
                <w:szCs w:val="22"/>
                <w:highlight w:val="none"/>
                <w:lang w:val="en-US" w:eastAsia="zh-CN"/>
              </w:rPr>
              <w:t>根据</w:t>
            </w:r>
            <w:r>
              <w:rPr>
                <w:rFonts w:hint="eastAsia" w:eastAsia="仿宋" w:cs="Times New Roman"/>
                <w:b/>
                <w:bCs/>
                <w:color w:val="auto"/>
                <w:sz w:val="24"/>
                <w:szCs w:val="22"/>
                <w:highlight w:val="none"/>
              </w:rPr>
              <w:t>投标人提</w:t>
            </w:r>
            <w:r>
              <w:rPr>
                <w:rFonts w:hint="eastAsia" w:eastAsia="仿宋" w:cs="Times New Roman"/>
                <w:b/>
                <w:bCs/>
                <w:color w:val="auto"/>
                <w:sz w:val="24"/>
                <w:szCs w:val="22"/>
                <w:highlight w:val="none"/>
                <w:lang w:val="en-US" w:eastAsia="zh-CN"/>
              </w:rPr>
              <w:t>供的生产制造履约能力方案内容完整性、组织性、关联性和可操作性进行评审</w:t>
            </w:r>
            <w:r>
              <w:rPr>
                <w:rFonts w:hint="eastAsia" w:eastAsia="仿宋" w:cs="Times New Roman"/>
                <w:b/>
                <w:bCs/>
                <w:color w:val="auto"/>
                <w:sz w:val="24"/>
                <w:szCs w:val="22"/>
                <w:highlight w:val="none"/>
              </w:rPr>
              <w:t>。</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1、所投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制造商具备较强自主研发能力及先进的生产工艺，生产车间环境及生产线先进规范，生产步骤完整周详，技术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检验设备配置齐全、检验步骤严密无纰漏，生产制造履约能力</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分；</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制造商有自主研发能力和生产工艺较完整，生产车间环境及生产线常规，生产步骤较完整周详，技术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eastAsia="zh-CN"/>
              </w:rPr>
              <w:t>相对</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检验设备配置较齐全、检验步骤相对完备，生产制造履约能力</w:t>
            </w:r>
            <w:r>
              <w:rPr>
                <w:rFonts w:hint="eastAsia" w:ascii="仿宋" w:hAnsi="仿宋" w:eastAsia="仿宋" w:cs="仿宋"/>
                <w:b/>
                <w:bCs/>
                <w:color w:val="auto"/>
                <w:sz w:val="24"/>
                <w:szCs w:val="24"/>
                <w:highlight w:val="none"/>
                <w:lang w:eastAsia="zh-CN"/>
              </w:rPr>
              <w:t>较</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3、所投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制造商有自主研发能力和生产工艺薄弱，生产车间环境及生产线粗糙落后，生产步骤简单，技术</w:t>
            </w:r>
            <w:r>
              <w:rPr>
                <w:rFonts w:hint="eastAsia" w:ascii="仿宋" w:hAnsi="仿宋" w:eastAsia="仿宋" w:cs="仿宋"/>
                <w:b/>
                <w:bCs/>
                <w:color w:val="auto"/>
                <w:sz w:val="24"/>
                <w:szCs w:val="24"/>
                <w:highlight w:val="none"/>
              </w:rPr>
              <w:t>人员</w:t>
            </w:r>
            <w:r>
              <w:rPr>
                <w:rFonts w:hint="eastAsia" w:ascii="仿宋" w:hAnsi="仿宋" w:eastAsia="仿宋" w:cs="仿宋"/>
                <w:b/>
                <w:bCs/>
                <w:color w:val="auto"/>
                <w:sz w:val="24"/>
                <w:szCs w:val="24"/>
                <w:highlight w:val="none"/>
                <w:lang w:eastAsia="zh-CN"/>
              </w:rPr>
              <w:t>综合实力一般，</w:t>
            </w:r>
            <w:r>
              <w:rPr>
                <w:rFonts w:hint="eastAsia" w:ascii="仿宋" w:hAnsi="仿宋" w:eastAsia="仿宋" w:cs="仿宋"/>
                <w:b/>
                <w:bCs/>
                <w:color w:val="auto"/>
                <w:sz w:val="24"/>
                <w:szCs w:val="24"/>
                <w:highlight w:val="none"/>
                <w:lang w:val="en-US" w:eastAsia="zh-CN"/>
              </w:rPr>
              <w:t>检验设备配置简单落后，检验步骤普通，生产制造履约能力</w:t>
            </w:r>
            <w:r>
              <w:rPr>
                <w:rFonts w:hint="eastAsia" w:ascii="仿宋" w:hAnsi="仿宋" w:eastAsia="仿宋" w:cs="仿宋"/>
                <w:b/>
                <w:bCs/>
                <w:color w:val="auto"/>
                <w:sz w:val="24"/>
                <w:szCs w:val="24"/>
                <w:highlight w:val="none"/>
                <w:lang w:eastAsia="zh-CN"/>
              </w:rPr>
              <w:t>弱</w:t>
            </w:r>
            <w:r>
              <w:rPr>
                <w:rFonts w:hint="eastAsia" w:ascii="仿宋" w:hAnsi="仿宋" w:eastAsia="仿宋" w:cs="仿宋"/>
                <w:b/>
                <w:bCs/>
                <w:color w:val="auto"/>
                <w:sz w:val="24"/>
                <w:szCs w:val="24"/>
                <w:highlight w:val="none"/>
              </w:rPr>
              <w:t>的得</w:t>
            </w: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未提供证明材料或证明材料有缺项的不得分。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3</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质量保证和保修</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eastAsia="仿宋"/>
                <w:color w:val="auto"/>
                <w:sz w:val="24"/>
                <w:szCs w:val="22"/>
                <w:highlight w:val="none"/>
              </w:rPr>
            </w:pPr>
            <w:r>
              <w:rPr>
                <w:rFonts w:eastAsia="仿宋"/>
                <w:color w:val="auto"/>
                <w:sz w:val="24"/>
                <w:szCs w:val="22"/>
                <w:highlight w:val="none"/>
              </w:rPr>
              <w:t>在招标文件商务要求中“质保期”和“保修期”要求基础上，承诺“质保期”和“保修期”均每延长一年的加2分，最多加4分。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eastAsia="仿宋"/>
                <w:b/>
                <w:color w:val="auto"/>
                <w:sz w:val="24"/>
                <w:szCs w:val="22"/>
                <w:highlight w:val="none"/>
              </w:rPr>
              <w:t>评审依据：投标文件中提供“质保期”和“保修期”均延长的承诺函原件。</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类似销售</w:t>
            </w:r>
          </w:p>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案例</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投标人自</w:t>
            </w:r>
            <w:r>
              <w:rPr>
                <w:rFonts w:eastAsia="仿宋" w:cs="Times New Roman"/>
                <w:color w:val="auto"/>
                <w:sz w:val="24"/>
                <w:szCs w:val="22"/>
                <w:highlight w:val="none"/>
              </w:rPr>
              <w:t>20</w:t>
            </w:r>
            <w:r>
              <w:rPr>
                <w:rFonts w:hint="eastAsia" w:eastAsia="仿宋" w:cs="Times New Roman"/>
                <w:color w:val="auto"/>
                <w:sz w:val="24"/>
                <w:szCs w:val="22"/>
                <w:highlight w:val="none"/>
              </w:rPr>
              <w:t>2</w:t>
            </w:r>
            <w:r>
              <w:rPr>
                <w:rFonts w:hint="eastAsia" w:eastAsia="仿宋" w:cs="Times New Roman"/>
                <w:color w:val="auto"/>
                <w:sz w:val="24"/>
                <w:szCs w:val="22"/>
                <w:highlight w:val="none"/>
                <w:lang w:val="en-US" w:eastAsia="zh-CN"/>
              </w:rPr>
              <w:t>1</w:t>
            </w:r>
            <w:r>
              <w:rPr>
                <w:rFonts w:hint="eastAsia" w:eastAsia="仿宋" w:cs="Times New Roman"/>
                <w:color w:val="auto"/>
                <w:sz w:val="24"/>
                <w:szCs w:val="22"/>
                <w:highlight w:val="none"/>
              </w:rPr>
              <w:t>年</w:t>
            </w:r>
            <w:r>
              <w:rPr>
                <w:rFonts w:eastAsia="仿宋" w:cs="Times New Roman"/>
                <w:color w:val="auto"/>
                <w:sz w:val="24"/>
                <w:szCs w:val="22"/>
                <w:highlight w:val="none"/>
              </w:rPr>
              <w:t>1月1日至今（以签订合同时间为准）具有类似</w:t>
            </w:r>
            <w:r>
              <w:rPr>
                <w:rFonts w:hint="eastAsia" w:eastAsia="仿宋" w:cs="Times New Roman"/>
                <w:color w:val="auto"/>
                <w:sz w:val="24"/>
                <w:szCs w:val="22"/>
                <w:highlight w:val="none"/>
                <w:lang w:eastAsia="zh-CN"/>
              </w:rPr>
              <w:t>核心</w:t>
            </w:r>
            <w:r>
              <w:rPr>
                <w:rFonts w:eastAsia="仿宋" w:cs="Times New Roman"/>
                <w:color w:val="auto"/>
                <w:sz w:val="24"/>
                <w:szCs w:val="22"/>
                <w:highlight w:val="none"/>
              </w:rPr>
              <w:t>产品销售案例，每提供1份销售案例加</w:t>
            </w:r>
            <w:r>
              <w:rPr>
                <w:rFonts w:hint="eastAsia" w:eastAsia="仿宋" w:cs="Times New Roman"/>
                <w:color w:val="auto"/>
                <w:sz w:val="24"/>
                <w:szCs w:val="22"/>
                <w:highlight w:val="none"/>
                <w:lang w:val="en-US" w:eastAsia="zh-CN"/>
              </w:rPr>
              <w:t>2</w:t>
            </w:r>
            <w:r>
              <w:rPr>
                <w:rFonts w:hint="eastAsia" w:eastAsia="仿宋" w:cs="Times New Roman"/>
                <w:color w:val="auto"/>
                <w:sz w:val="24"/>
                <w:szCs w:val="22"/>
                <w:highlight w:val="none"/>
              </w:rPr>
              <w:t>分，本项最多加</w:t>
            </w:r>
            <w:r>
              <w:rPr>
                <w:rFonts w:hint="eastAsia" w:eastAsia="仿宋" w:cs="Times New Roman"/>
                <w:color w:val="auto"/>
                <w:sz w:val="24"/>
                <w:szCs w:val="22"/>
                <w:highlight w:val="none"/>
                <w:lang w:val="en-US" w:eastAsia="zh-CN"/>
              </w:rPr>
              <w:t>6</w:t>
            </w:r>
            <w:r>
              <w:rPr>
                <w:rFonts w:hint="eastAsia" w:eastAsia="仿宋" w:cs="Times New Roman"/>
                <w:color w:val="auto"/>
                <w:sz w:val="24"/>
                <w:szCs w:val="22"/>
                <w:highlight w:val="none"/>
              </w:rPr>
              <w:t>分。</w:t>
            </w:r>
          </w:p>
          <w:p>
            <w:pPr>
              <w:pageBreakBefore w:val="0"/>
              <w:kinsoku/>
              <w:wordWrap/>
              <w:overflowPunct/>
              <w:topLinePunct w:val="0"/>
              <w:autoSpaceDE/>
              <w:autoSpaceDN/>
              <w:bidi w:val="0"/>
              <w:adjustRightInd/>
              <w:snapToGrid/>
              <w:spacing w:line="460" w:lineRule="exact"/>
              <w:jc w:val="left"/>
              <w:rPr>
                <w:rFonts w:eastAsia="仿宋"/>
                <w:b/>
                <w:bCs/>
                <w:color w:val="auto"/>
                <w:sz w:val="24"/>
                <w:szCs w:val="22"/>
                <w:highlight w:val="none"/>
              </w:rPr>
            </w:pPr>
            <w:r>
              <w:rPr>
                <w:rFonts w:hint="eastAsia" w:eastAsia="仿宋" w:cs="Times New Roman"/>
                <w:b/>
                <w:bCs/>
                <w:color w:val="auto"/>
                <w:sz w:val="24"/>
                <w:szCs w:val="22"/>
                <w:highlight w:val="none"/>
              </w:rPr>
              <w:t>评审依据：①投标文件中提供销售案例明细表（销售案例明细表包含</w:t>
            </w:r>
            <w:r>
              <w:rPr>
                <w:rFonts w:eastAsia="仿宋" w:cs="Times New Roman"/>
                <w:b/>
                <w:bCs/>
                <w:color w:val="auto"/>
                <w:sz w:val="24"/>
                <w:szCs w:val="22"/>
                <w:highlight w:val="none"/>
              </w:rPr>
              <w:t>:发布网站名称、网页链接地址、采购项目名称、采购单位名称和联系方式、采购代理机构名称和联系方式）；</w:t>
            </w:r>
            <w:r>
              <w:rPr>
                <w:rFonts w:hint="eastAsia" w:eastAsia="仿宋" w:cs="Times New Roman"/>
                <w:b/>
                <w:bCs/>
                <w:color w:val="auto"/>
                <w:sz w:val="24"/>
                <w:szCs w:val="22"/>
                <w:highlight w:val="none"/>
              </w:rPr>
              <w:t>②</w:t>
            </w:r>
            <w:r>
              <w:rPr>
                <w:rFonts w:hint="eastAsia" w:eastAsia="仿宋" w:cs="Times New Roman"/>
                <w:b/>
                <w:bCs/>
                <w:color w:val="auto"/>
                <w:sz w:val="24"/>
                <w:szCs w:val="22"/>
                <w:highlight w:val="none"/>
                <w:lang w:eastAsia="zh-CN"/>
              </w:rPr>
              <w:t>中标（成交）公告截图（打印网页）、中标通知书复印件和合同复印件（中标通知书或合同复印件应体现类似销售案例的货物），合同签订方必须是投标人本身。</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hint="eastAsia" w:eastAsia="仿宋"/>
                <w:color w:val="auto"/>
                <w:sz w:val="24"/>
                <w:szCs w:val="22"/>
                <w:highlight w:val="none"/>
                <w:lang w:val="en-US" w:eastAsia="zh-CN"/>
              </w:rPr>
              <w:t>6</w:t>
            </w:r>
            <w:r>
              <w:rPr>
                <w:rFonts w:eastAsia="仿宋"/>
                <w:color w:val="auto"/>
                <w:sz w:val="24"/>
                <w:szCs w:val="22"/>
                <w:highlight w:val="none"/>
              </w:rPr>
              <w:t>分</w:t>
            </w:r>
          </w:p>
        </w:tc>
      </w:tr>
    </w:tbl>
    <w:p>
      <w:pPr>
        <w:pageBreakBefore w:val="0"/>
        <w:kinsoku/>
        <w:wordWrap/>
        <w:overflowPunct/>
        <w:topLinePunct w:val="0"/>
        <w:autoSpaceDE/>
        <w:autoSpaceDN/>
        <w:bidi w:val="0"/>
        <w:adjustRightInd/>
        <w:snapToGrid/>
        <w:spacing w:line="460" w:lineRule="exact"/>
        <w:rPr>
          <w:color w:val="auto"/>
          <w:highlight w:val="none"/>
        </w:rPr>
      </w:pPr>
      <w:r>
        <w:rPr>
          <w:color w:val="auto"/>
          <w:highlight w:val="none"/>
        </w:rPr>
        <w:br w:type="page"/>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lang w:val="en-US" w:eastAsia="zh-CN"/>
        </w:rPr>
      </w:pPr>
      <w:bookmarkStart w:id="731" w:name="_Toc2553"/>
      <w:bookmarkStart w:id="732" w:name="_Toc5059"/>
      <w:bookmarkStart w:id="733" w:name="_Toc25845"/>
      <w:bookmarkStart w:id="734" w:name="_Toc24482"/>
    </w:p>
    <w:p>
      <w:pPr>
        <w:keepNext w:val="0"/>
        <w:keepLines w:val="0"/>
        <w:pageBreakBefore w:val="0"/>
        <w:widowControl w:val="0"/>
        <w:kinsoku/>
        <w:wordWrap/>
        <w:overflowPunct/>
        <w:topLinePunct w:val="0"/>
        <w:autoSpaceDE/>
        <w:autoSpaceDN/>
        <w:bidi w:val="0"/>
        <w:adjustRightInd/>
        <w:snapToGrid/>
        <w:spacing w:line="460" w:lineRule="exact"/>
        <w:jc w:val="left"/>
        <w:textAlignment w:val="auto"/>
        <w:outlineLvl w:val="1"/>
        <w:rPr>
          <w:rFonts w:hint="eastAsia" w:ascii="仿宋" w:hAnsi="仿宋" w:eastAsia="仿宋" w:cs="Times New Roman"/>
          <w:b/>
          <w:bCs/>
          <w:color w:val="auto"/>
          <w:sz w:val="28"/>
          <w:szCs w:val="28"/>
          <w:highlight w:val="none"/>
          <w:lang w:val="en-US" w:eastAsia="zh-CN"/>
        </w:rPr>
      </w:pPr>
      <w:bookmarkStart w:id="735" w:name="_Toc30267"/>
      <w:r>
        <w:rPr>
          <w:rFonts w:hint="eastAsia" w:ascii="仿宋" w:hAnsi="仿宋" w:eastAsia="仿宋" w:cs="Times New Roman"/>
          <w:b/>
          <w:bCs/>
          <w:color w:val="auto"/>
          <w:sz w:val="28"/>
          <w:szCs w:val="28"/>
          <w:highlight w:val="none"/>
          <w:lang w:val="en-US" w:eastAsia="zh-CN"/>
        </w:rPr>
        <w:t>65包：无电切割刀【核心产品】、金属弧水陆切割器、水下电焊切割机</w:t>
      </w:r>
      <w:bookmarkEnd w:id="731"/>
      <w:bookmarkEnd w:id="732"/>
      <w:bookmarkEnd w:id="733"/>
      <w:bookmarkEnd w:id="734"/>
      <w:bookmarkEnd w:id="735"/>
    </w:p>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hint="eastAsia" w:ascii="仿宋" w:hAnsi="仿宋" w:eastAsia="仿宋"/>
          <w:b/>
          <w:color w:val="auto"/>
          <w:sz w:val="24"/>
          <w:highlight w:val="none"/>
        </w:rPr>
        <w:t>一、价格部分（</w:t>
      </w:r>
      <w:r>
        <w:rPr>
          <w:rFonts w:ascii="仿宋" w:hAnsi="仿宋" w:eastAsia="仿宋"/>
          <w:b/>
          <w:color w:val="auto"/>
          <w:sz w:val="24"/>
          <w:highlight w:val="none"/>
        </w:rPr>
        <w:t>30分）</w:t>
      </w:r>
    </w:p>
    <w:tbl>
      <w:tblPr>
        <w:tblStyle w:val="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1579"/>
        <w:gridCol w:w="6182"/>
        <w:gridCol w:w="8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评审因素</w:t>
            </w:r>
          </w:p>
        </w:tc>
        <w:tc>
          <w:tcPr>
            <w:tcW w:w="3327" w:type="pct"/>
            <w:vAlign w:val="center"/>
          </w:tcPr>
          <w:p>
            <w:pPr>
              <w:pageBreakBefore w:val="0"/>
              <w:kinsoku/>
              <w:wordWrap/>
              <w:overflowPunct/>
              <w:topLinePunct w:val="0"/>
              <w:autoSpaceDE/>
              <w:autoSpaceDN/>
              <w:bidi w:val="0"/>
              <w:adjustRightInd/>
              <w:snapToGrid/>
              <w:spacing w:line="460" w:lineRule="exact"/>
              <w:jc w:val="center"/>
              <w:textAlignment w:val="center"/>
              <w:rPr>
                <w:rFonts w:ascii="仿宋" w:hAnsi="仿宋" w:eastAsia="仿宋" w:cs="仿宋"/>
                <w:b/>
                <w:color w:val="auto"/>
                <w:sz w:val="24"/>
                <w:highlight w:val="none"/>
              </w:rPr>
            </w:pPr>
            <w:r>
              <w:rPr>
                <w:rFonts w:hint="eastAsia" w:ascii="仿宋" w:hAnsi="仿宋" w:eastAsia="仿宋" w:cs="仿宋"/>
                <w:b/>
                <w:bCs/>
                <w:color w:val="auto"/>
                <w:sz w:val="24"/>
                <w:highlight w:val="none"/>
              </w:rPr>
              <w:t>评分标准</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价格分</w:t>
            </w:r>
          </w:p>
        </w:tc>
        <w:tc>
          <w:tcPr>
            <w:tcW w:w="3327" w:type="pct"/>
            <w:vAlign w:val="center"/>
          </w:tcPr>
          <w:p>
            <w:pPr>
              <w:pageBreakBefore w:val="0"/>
              <w:kinsoku/>
              <w:wordWrap/>
              <w:overflowPunct/>
              <w:topLinePunct w:val="0"/>
              <w:autoSpaceDE/>
              <w:autoSpaceDN/>
              <w:bidi w:val="0"/>
              <w:adjustRightInd/>
              <w:snapToGrid/>
              <w:spacing w:line="460" w:lineRule="exact"/>
              <w:jc w:val="left"/>
              <w:textAlignment w:val="center"/>
              <w:rPr>
                <w:rFonts w:ascii="仿宋" w:hAnsi="仿宋" w:eastAsia="仿宋" w:cs="仿宋"/>
                <w:color w:val="auto"/>
                <w:sz w:val="24"/>
                <w:highlight w:val="none"/>
              </w:rPr>
            </w:pPr>
            <w:r>
              <w:rPr>
                <w:rFonts w:hint="eastAsia" w:ascii="仿宋" w:hAnsi="仿宋" w:eastAsia="仿宋" w:cs="仿宋"/>
                <w:color w:val="auto"/>
                <w:sz w:val="24"/>
                <w:highlight w:val="none"/>
              </w:rPr>
              <w:t>根据综合评分法，满足招标文件要求且投标价格最低的投标报价为评标基准价，投标报价得分</w:t>
            </w:r>
            <w:r>
              <w:rPr>
                <w:rFonts w:ascii="仿宋" w:hAnsi="仿宋" w:eastAsia="仿宋" w:cs="仿宋"/>
                <w:color w:val="auto"/>
                <w:sz w:val="24"/>
                <w:highlight w:val="none"/>
              </w:rPr>
              <w:t>=（评标基准价／投标报价）</w:t>
            </w:r>
            <w:r>
              <w:rPr>
                <w:rFonts w:hint="eastAsia" w:ascii="仿宋" w:hAnsi="仿宋" w:eastAsia="仿宋" w:cs="仿宋"/>
                <w:color w:val="auto"/>
                <w:sz w:val="24"/>
                <w:highlight w:val="none"/>
              </w:rPr>
              <w:t>×</w:t>
            </w:r>
            <w:r>
              <w:rPr>
                <w:rFonts w:ascii="仿宋" w:hAnsi="仿宋" w:eastAsia="仿宋" w:cs="仿宋"/>
                <w:color w:val="auto"/>
                <w:sz w:val="24"/>
                <w:highlight w:val="none"/>
              </w:rPr>
              <w:t>30%×100，计算分数时四舍五入取小数点后两位。</w:t>
            </w:r>
          </w:p>
          <w:p>
            <w:pPr>
              <w:pageBreakBefore w:val="0"/>
              <w:kinsoku/>
              <w:wordWrap/>
              <w:overflowPunct/>
              <w:topLinePunct w:val="0"/>
              <w:autoSpaceDE/>
              <w:autoSpaceDN/>
              <w:bidi w:val="0"/>
              <w:adjustRightInd/>
              <w:snapToGrid/>
              <w:spacing w:line="460" w:lineRule="exact"/>
              <w:ind w:firstLine="482" w:firstLineChars="200"/>
              <w:jc w:val="left"/>
              <w:textAlignment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注：</w:t>
            </w:r>
            <w:r>
              <w:rPr>
                <w:rFonts w:ascii="仿宋" w:hAnsi="仿宋" w:eastAsia="仿宋" w:cs="仿宋"/>
                <w:b/>
                <w:bCs/>
                <w:color w:val="auto"/>
                <w:sz w:val="24"/>
                <w:highlight w:val="none"/>
              </w:rPr>
              <w:t>小、微型企业或残疾人福利性单位产品或监狱产品的价格给予10%的扣除，用扣除后的价格参与评审。但残疾人福利性单位本身属于小型、微型企业的，不重复享受政策。</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30分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二、技术部分（5</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719"/>
        <w:gridCol w:w="1304"/>
        <w:gridCol w:w="5895"/>
        <w:gridCol w:w="8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98"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1089" w:type="pct"/>
            <w:gridSpan w:val="2"/>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3174"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评分标准</w:t>
            </w:r>
          </w:p>
        </w:tc>
        <w:tc>
          <w:tcPr>
            <w:tcW w:w="437"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298"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089"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技术参数及要求</w:t>
            </w:r>
          </w:p>
        </w:tc>
        <w:tc>
          <w:tcPr>
            <w:tcW w:w="3174" w:type="pct"/>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一、重大负偏离评审依据：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1、带★条款的响应，不满足招标文件要求的，或有缺项、漏项的，视为重大负偏离；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2、一般参数和带“▲”参数共有四项及以上（含本数）的负偏离，视为重大负偏离；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3、所投产品一般参数或带“▲”参数有一项低于招标文件要求，该项视为负偏离；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4、所投产品一般参数或带“▲”参数有一项缺项、漏项的，该项视为负偏离。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注：“一般参数”为非标“★”号参数和非标“▲”号参数。</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①投标文件中提供的技术条款响应表；</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②所投产品技术参数完全满足招标文件要求得</w:t>
            </w:r>
            <w:r>
              <w:rPr>
                <w:rFonts w:hint="eastAsia" w:ascii="仿宋" w:hAnsi="仿宋" w:eastAsia="仿宋" w:cs="仿宋"/>
                <w:b/>
                <w:bCs/>
                <w:color w:val="auto"/>
                <w:sz w:val="24"/>
                <w:highlight w:val="none"/>
                <w:lang w:val="en-US" w:eastAsia="zh-CN"/>
              </w:rPr>
              <w:t>32</w:t>
            </w:r>
            <w:r>
              <w:rPr>
                <w:rFonts w:hint="eastAsia" w:ascii="仿宋" w:hAnsi="仿宋" w:eastAsia="仿宋" w:cs="仿宋"/>
                <w:b/>
                <w:bCs/>
                <w:color w:val="auto"/>
                <w:sz w:val="24"/>
                <w:highlight w:val="none"/>
              </w:rPr>
              <w:t>分；重大负偏离则视为无效投标；一般参数或带“▲”参数每有一项负偏离减5分，最多减15分，四项或以上负偏离视为无效投标。</w:t>
            </w:r>
          </w:p>
        </w:tc>
        <w:tc>
          <w:tcPr>
            <w:tcW w:w="437" w:type="pct"/>
            <w:vAlign w:val="center"/>
          </w:tcPr>
          <w:p>
            <w:pPr>
              <w:pageBreakBefore w:val="0"/>
              <w:kinsoku/>
              <w:wordWrap/>
              <w:overflowPunct/>
              <w:topLinePunct w:val="0"/>
              <w:autoSpaceDE/>
              <w:autoSpaceDN/>
              <w:bidi w:val="0"/>
              <w:adjustRightInd/>
              <w:snapToGrid/>
              <w:spacing w:line="460" w:lineRule="exact"/>
              <w:jc w:val="center"/>
              <w:textAlignment w:val="center"/>
              <w:rPr>
                <w:rFonts w:hint="default"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32分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98"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387" w:type="pc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金属弧水陆切割器</w:t>
            </w:r>
          </w:p>
        </w:tc>
        <w:tc>
          <w:tcPr>
            <w:tcW w:w="701"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▲3.6可持续使用≥10根金属弧燃烧棒（直径≥8mm）</w:t>
            </w:r>
          </w:p>
        </w:tc>
        <w:tc>
          <w:tcPr>
            <w:tcW w:w="3174"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highlight w:val="none"/>
                <w:lang w:val="en-US" w:eastAsia="zh-CN"/>
              </w:rPr>
              <w:t>可持续使用金属弧燃烧棒的数量</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可持续使用金属弧燃烧棒的数量</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val="en-US" w:eastAsia="zh-CN"/>
              </w:rPr>
              <w:t>可持续使用金属弧燃烧棒的数量</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val="en-US" w:eastAsia="zh-CN"/>
              </w:rPr>
              <w:t>可持续使用金属弧燃烧棒的数量最多，次优表示可持续使用金属弧燃烧棒的数量仅次于最大值。</w:t>
            </w:r>
          </w:p>
        </w:tc>
        <w:tc>
          <w:tcPr>
            <w:tcW w:w="437"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9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387" w:type="pc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水下电焊切割机</w:t>
            </w:r>
          </w:p>
        </w:tc>
        <w:tc>
          <w:tcPr>
            <w:tcW w:w="701"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▲3.4下潜作业≥30米水深</w:t>
            </w:r>
          </w:p>
        </w:tc>
        <w:tc>
          <w:tcPr>
            <w:tcW w:w="3174"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eastAsia="zh-CN"/>
              </w:rPr>
              <w:t>的</w:t>
            </w:r>
            <w:r>
              <w:rPr>
                <w:rFonts w:hint="eastAsia" w:ascii="仿宋" w:hAnsi="仿宋" w:eastAsia="仿宋" w:cs="仿宋"/>
                <w:color w:val="auto"/>
                <w:sz w:val="24"/>
                <w:highlight w:val="none"/>
                <w:lang w:val="en-US" w:eastAsia="zh-CN"/>
              </w:rPr>
              <w:t>下潜作业水深</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下潜作业水深</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val="en-US" w:eastAsia="zh-CN"/>
              </w:rPr>
              <w:t>下潜作业水深</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val="en-US" w:eastAsia="zh-CN"/>
              </w:rPr>
              <w:t>下潜作业水深</w:t>
            </w:r>
            <w:r>
              <w:rPr>
                <w:rFonts w:hint="eastAsia" w:ascii="仿宋" w:hAnsi="仿宋" w:eastAsia="仿宋" w:cs="仿宋"/>
                <w:b/>
                <w:bCs/>
                <w:color w:val="auto"/>
                <w:sz w:val="24"/>
                <w:szCs w:val="24"/>
                <w:highlight w:val="none"/>
              </w:rPr>
              <w:t>最大，次优表示</w:t>
            </w:r>
            <w:r>
              <w:rPr>
                <w:rFonts w:hint="eastAsia" w:ascii="仿宋" w:hAnsi="仿宋" w:eastAsia="仿宋" w:cs="仿宋"/>
                <w:b/>
                <w:bCs/>
                <w:color w:val="auto"/>
                <w:sz w:val="24"/>
                <w:szCs w:val="24"/>
                <w:highlight w:val="none"/>
                <w:lang w:val="en-US" w:eastAsia="zh-CN"/>
              </w:rPr>
              <w:t>下潜作业水深</w:t>
            </w:r>
            <w:r>
              <w:rPr>
                <w:rFonts w:hint="eastAsia" w:ascii="仿宋" w:hAnsi="仿宋" w:eastAsia="仿宋" w:cs="仿宋"/>
                <w:b/>
                <w:bCs/>
                <w:color w:val="auto"/>
                <w:sz w:val="24"/>
                <w:szCs w:val="24"/>
                <w:highlight w:val="none"/>
              </w:rPr>
              <w:t>仅次于最大值。</w:t>
            </w:r>
          </w:p>
        </w:tc>
        <w:tc>
          <w:tcPr>
            <w:tcW w:w="437"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9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089"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strike w:val="0"/>
                <w:dstrike w:val="0"/>
                <w:color w:val="auto"/>
                <w:sz w:val="24"/>
                <w:highlight w:val="none"/>
              </w:rPr>
            </w:pPr>
            <w:r>
              <w:rPr>
                <w:rFonts w:hint="eastAsia" w:ascii="仿宋" w:hAnsi="仿宋" w:eastAsia="仿宋" w:cs="仿宋"/>
                <w:strike w:val="0"/>
                <w:dstrike w:val="0"/>
                <w:color w:val="auto"/>
                <w:sz w:val="24"/>
                <w:highlight w:val="none"/>
              </w:rPr>
              <w:t>一般参数</w:t>
            </w:r>
          </w:p>
        </w:tc>
        <w:tc>
          <w:tcPr>
            <w:tcW w:w="3174"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strike w:val="0"/>
                <w:dstrike w:val="0"/>
                <w:color w:val="auto"/>
                <w:sz w:val="24"/>
                <w:highlight w:val="none"/>
              </w:rPr>
            </w:pPr>
            <w:r>
              <w:rPr>
                <w:rFonts w:hint="eastAsia" w:ascii="仿宋" w:hAnsi="仿宋" w:eastAsia="仿宋" w:cs="仿宋"/>
                <w:strike w:val="0"/>
                <w:dstrike w:val="0"/>
                <w:color w:val="auto"/>
                <w:sz w:val="24"/>
                <w:highlight w:val="none"/>
              </w:rPr>
              <w:t>在完全满足招标文件“</w:t>
            </w:r>
            <w:r>
              <w:rPr>
                <w:rFonts w:hint="eastAsia" w:ascii="仿宋" w:hAnsi="仿宋" w:eastAsia="仿宋" w:cs="仿宋"/>
                <w:strike w:val="0"/>
                <w:dstrike w:val="0"/>
                <w:color w:val="auto"/>
                <w:sz w:val="24"/>
                <w:highlight w:val="none"/>
                <w:lang w:eastAsia="zh-CN"/>
              </w:rPr>
              <w:t>所有参数</w:t>
            </w:r>
            <w:r>
              <w:rPr>
                <w:rFonts w:hint="eastAsia" w:ascii="仿宋" w:hAnsi="仿宋" w:eastAsia="仿宋" w:cs="仿宋"/>
                <w:strike w:val="0"/>
                <w:dstrike w:val="0"/>
                <w:color w:val="auto"/>
                <w:sz w:val="24"/>
                <w:highlight w:val="none"/>
              </w:rPr>
              <w:t>”要求的基础上，每有一条“一般参数”优于的加1分，本项最多加</w:t>
            </w:r>
            <w:r>
              <w:rPr>
                <w:rFonts w:hint="eastAsia" w:ascii="仿宋" w:hAnsi="仿宋" w:eastAsia="仿宋" w:cs="仿宋"/>
                <w:strike w:val="0"/>
                <w:dstrike w:val="0"/>
                <w:color w:val="auto"/>
                <w:sz w:val="24"/>
                <w:highlight w:val="none"/>
                <w:lang w:val="en-US" w:eastAsia="zh-CN"/>
              </w:rPr>
              <w:t>7</w:t>
            </w:r>
            <w:r>
              <w:rPr>
                <w:rFonts w:hint="eastAsia" w:ascii="仿宋" w:hAnsi="仿宋" w:eastAsia="仿宋" w:cs="仿宋"/>
                <w:strike w:val="0"/>
                <w:dstrike w:val="0"/>
                <w:color w:val="auto"/>
                <w:sz w:val="24"/>
                <w:highlight w:val="none"/>
              </w:rPr>
              <w:t>分。（加分只针对具有“≥”或“≤”的数值，数值更加优于的进行加分；文字内容或其他内容优于的不加分）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strike w:val="0"/>
                <w:dstrike w:val="0"/>
                <w:color w:val="auto"/>
                <w:sz w:val="24"/>
                <w:highlight w:val="none"/>
              </w:rPr>
            </w:pPr>
            <w:r>
              <w:rPr>
                <w:rFonts w:hint="eastAsia" w:ascii="仿宋" w:hAnsi="仿宋" w:eastAsia="仿宋" w:cs="仿宋"/>
                <w:b/>
                <w:bCs/>
                <w:strike w:val="0"/>
                <w:dstrike w:val="0"/>
                <w:color w:val="auto"/>
                <w:sz w:val="24"/>
                <w:highlight w:val="none"/>
              </w:rPr>
              <w:t>注：“一般参数”为非标“★”号参数和非标“▲”号参数。</w:t>
            </w:r>
          </w:p>
        </w:tc>
        <w:tc>
          <w:tcPr>
            <w:tcW w:w="437"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strike/>
                <w:dstrike w:val="0"/>
                <w:color w:val="auto"/>
                <w:sz w:val="24"/>
                <w:highlight w:val="none"/>
              </w:rPr>
            </w:pPr>
            <w:r>
              <w:rPr>
                <w:rFonts w:hint="eastAsia" w:ascii="仿宋" w:hAnsi="仿宋" w:eastAsia="仿宋" w:cs="仿宋"/>
                <w:strike w:val="0"/>
                <w:dstrike w:val="0"/>
                <w:color w:val="auto"/>
                <w:sz w:val="24"/>
                <w:highlight w:val="none"/>
                <w:lang w:val="en-US" w:eastAsia="zh-CN"/>
              </w:rPr>
              <w:t>7分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298" w:type="pct"/>
            <w:vMerge w:val="continue"/>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701" w:type="pct"/>
            <w:gridSpan w:val="4"/>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评审依据：提供技术条款响应表和技术支撑文件</w:t>
            </w:r>
            <w:r>
              <w:rPr>
                <w:rFonts w:hint="eastAsia" w:ascii="仿宋" w:hAnsi="仿宋" w:eastAsia="仿宋" w:cs="仿宋"/>
                <w:b/>
                <w:bCs/>
                <w:color w:val="auto"/>
                <w:sz w:val="24"/>
                <w:highlight w:val="none"/>
                <w:lang w:eastAsia="zh-CN"/>
              </w:rPr>
              <w:t>。</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hint="eastAsia"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hint="eastAsia"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hint="eastAsia"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③制造商出具的技术参数证明材料并加盖制造商公章。]</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注：①供应商应认真提供技术支撑文件，若提供多份技术支撑文件，技术支撑文件佐证不一致时，优先级为：产品检测报告复印件＞制造商公开发布的印刷资料＞制造商出具的技术参数证明</w:t>
            </w:r>
            <w:r>
              <w:rPr>
                <w:rFonts w:hint="eastAsia" w:ascii="仿宋" w:hAnsi="仿宋" w:eastAsia="仿宋" w:cs="仿宋"/>
                <w:b/>
                <w:bCs/>
                <w:color w:val="auto"/>
                <w:sz w:val="24"/>
                <w:highlight w:val="none"/>
                <w:lang w:val="en-US" w:eastAsia="zh-CN"/>
              </w:rPr>
              <w:t>材料</w:t>
            </w:r>
            <w:r>
              <w:rPr>
                <w:rFonts w:hint="eastAsia" w:ascii="仿宋" w:hAnsi="仿宋" w:eastAsia="仿宋" w:cs="仿宋"/>
                <w:b/>
                <w:bCs/>
                <w:color w:val="auto"/>
                <w:sz w:val="24"/>
                <w:highlight w:val="none"/>
              </w:rPr>
              <w:t>；②技术支撑文件</w:t>
            </w:r>
            <w:r>
              <w:rPr>
                <w:rFonts w:hint="eastAsia" w:ascii="仿宋" w:hAnsi="仿宋" w:eastAsia="仿宋" w:cs="仿宋"/>
                <w:b/>
                <w:bCs/>
                <w:color w:val="auto"/>
                <w:sz w:val="24"/>
                <w:highlight w:val="none"/>
                <w:lang w:val="en-US" w:eastAsia="zh-CN"/>
              </w:rPr>
              <w:t>与</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不一致，则</w:t>
            </w:r>
            <w:r>
              <w:rPr>
                <w:rFonts w:hint="eastAsia" w:ascii="仿宋" w:hAnsi="仿宋" w:eastAsia="仿宋" w:cs="仿宋"/>
                <w:b/>
                <w:bCs/>
                <w:color w:val="auto"/>
                <w:sz w:val="24"/>
                <w:highlight w:val="none"/>
              </w:rPr>
              <w:t>该点不加分</w:t>
            </w:r>
            <w:r>
              <w:rPr>
                <w:rFonts w:hint="eastAsia" w:ascii="仿宋" w:hAnsi="仿宋" w:eastAsia="仿宋" w:cs="仿宋"/>
                <w:b/>
                <w:bCs/>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98"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089"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整体结构与外观</w:t>
            </w:r>
          </w:p>
        </w:tc>
        <w:tc>
          <w:tcPr>
            <w:tcW w:w="3174"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根据视频文件对核心产品的外观构造、内部结构、设计理念等进行评审。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设计理念先进，外部构造和内部结构科学合理，整体结构外观与实战紧贴程度高的，得3分；设计理念较为先进，外部构造和内部结构较为合理，整体结构外观与实战紧贴程度较高的，得2分；设计理念一般，外观构造和内部结构基本合理，整体结构外观与实战紧贴程度不高的，得1分；未提供证明材料或证明材料有缺项的不得分。</w:t>
            </w:r>
          </w:p>
        </w:tc>
        <w:tc>
          <w:tcPr>
            <w:tcW w:w="437"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9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089"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工艺</w:t>
            </w:r>
          </w:p>
        </w:tc>
        <w:tc>
          <w:tcPr>
            <w:tcW w:w="3174"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根据视频文件对核心产品的安全性、耐用性、实用性等进行评审。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性能高、耐用性能好、实用性能强，工艺符合实战需求程度高的，得3分；安全性能较高、耐用性能良好、实用性能较强，工艺符合实战需求程度较高的，得2分；安全性能不高、耐用性能普通、实用性能一般，工艺符合实战需求程度不高的，得1分；未提供证明材料或证明材料有缺项的不得分。</w:t>
            </w:r>
          </w:p>
        </w:tc>
        <w:tc>
          <w:tcPr>
            <w:tcW w:w="437"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9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089"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操作使用性能</w:t>
            </w:r>
          </w:p>
        </w:tc>
        <w:tc>
          <w:tcPr>
            <w:tcW w:w="3174"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根据视频文件对核心产品的可靠性、便捷性、稳定性等进行评审。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可靠性高、便捷性好、稳定性好，操作使用性能提升战斗力程度高的，得4分；可靠性较高、便捷性较好、稳定性良好，操作使用性能提升战斗力程度较高的，得2分；可靠性不高、便捷性和稳定性一般，操作使用性能提升战斗力程度不高的，得1分；未提供证明材料或证明材料有缺项的不得分。</w:t>
            </w:r>
          </w:p>
        </w:tc>
        <w:tc>
          <w:tcPr>
            <w:tcW w:w="437"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98" w:type="pct"/>
            <w:vMerge w:val="continue"/>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701" w:type="pct"/>
            <w:gridSpan w:val="4"/>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lang w:eastAsia="zh-CN"/>
              </w:rPr>
            </w:pPr>
            <w:r>
              <w:rPr>
                <w:rFonts w:hint="eastAsia" w:ascii="仿宋" w:hAnsi="仿宋" w:eastAsia="仿宋" w:cs="仿宋"/>
                <w:b/>
                <w:bCs/>
                <w:color w:val="auto"/>
                <w:sz w:val="24"/>
                <w:highlight w:val="none"/>
              </w:rPr>
              <w:t>以上评审依据：根据视频文件对产品的整体结构与外观、工艺、操作使用性能进行综合评审，视频文件需对以上三点评审内容进行介绍（包含但不限于以上三点）。视频文件[视频文件格式须为通用格式，佐证视频时长不得超过5分钟，视频清晰度应至少保证所摄的界面文字清晰易辨、画面完整连贯、播放速度正常]应存储于U盘内（单独密封在信封中）与投标文件同时递交，逾期递交不予接收，</w:t>
            </w:r>
            <w:r>
              <w:rPr>
                <w:rFonts w:hint="eastAsia" w:ascii="仿宋" w:hAnsi="仿宋" w:eastAsia="仿宋" w:cs="仿宋"/>
                <w:b/>
                <w:bCs/>
                <w:color w:val="auto"/>
                <w:sz w:val="24"/>
                <w:highlight w:val="none"/>
                <w:lang w:eastAsia="zh-CN"/>
              </w:rPr>
              <w:t>U盘由采购代理机构封存，不予退回。未提供视频或视频无法打开的，得0分。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三、商务部分（1</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1310"/>
        <w:gridCol w:w="6295"/>
        <w:gridCol w:w="9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序号</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评审因素</w:t>
            </w:r>
          </w:p>
        </w:tc>
        <w:tc>
          <w:tcPr>
            <w:tcW w:w="3389"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评分标准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1</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bCs/>
                <w:color w:val="auto"/>
                <w:sz w:val="24"/>
                <w:szCs w:val="22"/>
                <w:highlight w:val="none"/>
              </w:rPr>
            </w:pPr>
            <w:r>
              <w:rPr>
                <w:rFonts w:hint="eastAsia" w:ascii="仿宋" w:hAnsi="仿宋" w:eastAsia="仿宋" w:cs="仿宋"/>
                <w:color w:val="auto"/>
                <w:sz w:val="24"/>
                <w:highlight w:val="none"/>
              </w:rPr>
              <w:t>符合性评审</w:t>
            </w:r>
          </w:p>
        </w:tc>
        <w:tc>
          <w:tcPr>
            <w:tcW w:w="3887" w:type="pct"/>
            <w:gridSpan w:val="2"/>
            <w:vAlign w:val="center"/>
          </w:tcPr>
          <w:p>
            <w:pPr>
              <w:pageBreakBefore w:val="0"/>
              <w:kinsoku/>
              <w:wordWrap/>
              <w:overflowPunct/>
              <w:topLinePunct w:val="0"/>
              <w:autoSpaceDE/>
              <w:autoSpaceDN/>
              <w:bidi w:val="0"/>
              <w:adjustRightInd/>
              <w:snapToGrid/>
              <w:spacing w:line="460" w:lineRule="exact"/>
              <w:rPr>
                <w:rFonts w:eastAsia="仿宋" w:cs="Times New Roman"/>
                <w:color w:val="auto"/>
                <w:sz w:val="24"/>
                <w:szCs w:val="22"/>
                <w:highlight w:val="none"/>
              </w:rPr>
            </w:pPr>
            <w:r>
              <w:rPr>
                <w:rFonts w:hint="eastAsia" w:eastAsia="仿宋" w:cs="Times New Roman"/>
                <w:color w:val="auto"/>
                <w:sz w:val="24"/>
                <w:szCs w:val="22"/>
                <w:highlight w:val="none"/>
              </w:rPr>
              <w:t>投标人必须完全满足招标文件“商务要求”</w:t>
            </w:r>
            <w:r>
              <w:rPr>
                <w:rFonts w:hint="eastAsia" w:eastAsia="仿宋" w:cs="Times New Roman"/>
                <w:color w:val="auto"/>
                <w:sz w:val="24"/>
                <w:szCs w:val="22"/>
                <w:highlight w:val="none"/>
                <w:lang w:val="en-US" w:eastAsia="zh-CN"/>
              </w:rPr>
              <w:t>所有</w:t>
            </w:r>
            <w:r>
              <w:rPr>
                <w:rFonts w:hint="eastAsia" w:eastAsia="仿宋" w:cs="Times New Roman"/>
                <w:color w:val="auto"/>
                <w:sz w:val="24"/>
                <w:szCs w:val="22"/>
                <w:highlight w:val="none"/>
              </w:rPr>
              <w:t>实质性条款，任意一项不满足作无效投标处理。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eastAsia="仿宋" w:cs="Times New Roman"/>
                <w:b/>
                <w:bCs/>
                <w:color w:val="auto"/>
                <w:sz w:val="24"/>
                <w:szCs w:val="22"/>
                <w:highlight w:val="none"/>
              </w:rPr>
              <w:t>评审依据：投标文件中提供的商务条款响应表。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2</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hint="eastAsia" w:eastAsia="仿宋"/>
                <w:color w:val="auto"/>
                <w:sz w:val="24"/>
                <w:szCs w:val="22"/>
                <w:highlight w:val="none"/>
                <w:lang w:eastAsia="zh-CN"/>
              </w:rPr>
            </w:pPr>
            <w:r>
              <w:rPr>
                <w:rFonts w:hint="eastAsia" w:eastAsia="仿宋"/>
                <w:color w:val="auto"/>
                <w:sz w:val="24"/>
                <w:szCs w:val="22"/>
                <w:highlight w:val="none"/>
                <w:lang w:eastAsia="zh-CN"/>
              </w:rPr>
              <w:t>生产制造履约能力</w:t>
            </w:r>
          </w:p>
        </w:tc>
        <w:tc>
          <w:tcPr>
            <w:tcW w:w="3389" w:type="pct"/>
            <w:vAlign w:val="center"/>
          </w:tcPr>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val="en-US" w:eastAsia="zh-CN"/>
              </w:rPr>
              <w:t>投标人提供所投核心产品制造商的证明材料（应加盖制造商公章）</w:t>
            </w:r>
            <w:r>
              <w:rPr>
                <w:rFonts w:hint="eastAsia" w:eastAsia="仿宋" w:cs="Times New Roman"/>
                <w:color w:val="auto"/>
                <w:sz w:val="24"/>
                <w:szCs w:val="22"/>
                <w:highlight w:val="none"/>
              </w:rPr>
              <w:t>对</w:t>
            </w:r>
            <w:r>
              <w:rPr>
                <w:rFonts w:hint="eastAsia" w:eastAsia="仿宋" w:cs="Times New Roman"/>
                <w:color w:val="auto"/>
                <w:sz w:val="24"/>
                <w:szCs w:val="22"/>
                <w:highlight w:val="none"/>
                <w:lang w:eastAsia="zh-CN"/>
              </w:rPr>
              <w:t>生产制造履约能力</w:t>
            </w:r>
            <w:r>
              <w:rPr>
                <w:rFonts w:hint="eastAsia" w:eastAsia="仿宋" w:cs="Times New Roman"/>
                <w:color w:val="auto"/>
                <w:sz w:val="24"/>
                <w:szCs w:val="22"/>
                <w:highlight w:val="none"/>
              </w:rPr>
              <w:t>进行评审，包含但不限于</w:t>
            </w:r>
            <w:r>
              <w:rPr>
                <w:rFonts w:hint="eastAsia" w:eastAsia="仿宋" w:cs="Times New Roman"/>
                <w:color w:val="auto"/>
                <w:sz w:val="24"/>
                <w:szCs w:val="22"/>
                <w:highlight w:val="none"/>
                <w:lang w:eastAsia="zh-CN"/>
              </w:rPr>
              <w:t>：</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eastAsia="zh-CN"/>
              </w:rPr>
              <w:t>①制造商生产经营情况简介；</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②生产工艺流程，主要包括</w:t>
            </w:r>
            <w:r>
              <w:rPr>
                <w:rFonts w:hint="eastAsia" w:eastAsia="仿宋" w:cs="Times New Roman"/>
                <w:color w:val="auto"/>
                <w:sz w:val="24"/>
                <w:szCs w:val="22"/>
                <w:highlight w:val="none"/>
                <w:lang w:val="en-US" w:eastAsia="zh-CN"/>
              </w:rPr>
              <w:t>生产制造流程</w:t>
            </w:r>
            <w:r>
              <w:rPr>
                <w:rFonts w:hint="eastAsia" w:eastAsia="仿宋" w:cs="Times New Roman"/>
                <w:color w:val="auto"/>
                <w:sz w:val="24"/>
                <w:szCs w:val="22"/>
                <w:highlight w:val="none"/>
              </w:rPr>
              <w:t>图、生产步骤</w:t>
            </w:r>
            <w:r>
              <w:rPr>
                <w:rFonts w:hint="eastAsia" w:eastAsia="仿宋" w:cs="Times New Roman"/>
                <w:color w:val="auto"/>
                <w:sz w:val="24"/>
                <w:szCs w:val="22"/>
                <w:highlight w:val="none"/>
                <w:lang w:eastAsia="zh-CN"/>
              </w:rPr>
              <w:t>（应含</w:t>
            </w:r>
            <w:r>
              <w:rPr>
                <w:rFonts w:hint="eastAsia" w:eastAsia="仿宋" w:cs="Times New Roman"/>
                <w:color w:val="auto"/>
                <w:sz w:val="24"/>
                <w:szCs w:val="22"/>
                <w:highlight w:val="none"/>
                <w:lang w:val="en-US" w:eastAsia="zh-CN"/>
              </w:rPr>
              <w:t>生产车间环境及实际生产照片</w:t>
            </w:r>
            <w:r>
              <w:rPr>
                <w:rFonts w:hint="eastAsia" w:eastAsia="仿宋" w:cs="Times New Roman"/>
                <w:color w:val="auto"/>
                <w:sz w:val="24"/>
                <w:szCs w:val="22"/>
                <w:highlight w:val="none"/>
                <w:lang w:eastAsia="zh-CN"/>
              </w:rPr>
              <w:t>）</w:t>
            </w:r>
            <w:r>
              <w:rPr>
                <w:rFonts w:hint="eastAsia" w:eastAsia="仿宋" w:cs="Times New Roman"/>
                <w:color w:val="auto"/>
                <w:sz w:val="24"/>
                <w:szCs w:val="22"/>
                <w:highlight w:val="none"/>
              </w:rPr>
              <w:t>等相关情况</w:t>
            </w:r>
            <w:r>
              <w:rPr>
                <w:rFonts w:hint="eastAsia" w:eastAsia="仿宋" w:cs="Times New Roman"/>
                <w:color w:val="auto"/>
                <w:sz w:val="24"/>
                <w:szCs w:val="22"/>
                <w:highlight w:val="none"/>
                <w:lang w:eastAsia="zh-CN"/>
              </w:rPr>
              <w:t>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③产品检验流程，包括主要检验设备</w:t>
            </w:r>
            <w:r>
              <w:rPr>
                <w:rFonts w:hint="eastAsia" w:eastAsia="仿宋" w:cs="Times New Roman"/>
                <w:color w:val="auto"/>
                <w:sz w:val="24"/>
                <w:szCs w:val="22"/>
                <w:highlight w:val="none"/>
                <w:lang w:eastAsia="zh-CN"/>
              </w:rPr>
              <w:t>（应提供图片）</w:t>
            </w:r>
            <w:r>
              <w:rPr>
                <w:rFonts w:hint="eastAsia" w:eastAsia="仿宋" w:cs="Times New Roman"/>
                <w:color w:val="auto"/>
                <w:sz w:val="24"/>
                <w:szCs w:val="22"/>
                <w:highlight w:val="none"/>
              </w:rPr>
              <w:t>、检验步骤等相关情况描述；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④人员配备：相关专业技术</w:t>
            </w:r>
            <w:r>
              <w:rPr>
                <w:rFonts w:hint="eastAsia" w:eastAsia="仿宋" w:cs="Times New Roman"/>
                <w:color w:val="auto"/>
                <w:sz w:val="24"/>
                <w:szCs w:val="22"/>
                <w:highlight w:val="none"/>
                <w:lang w:eastAsia="zh-CN"/>
              </w:rPr>
              <w:t>职称</w:t>
            </w:r>
            <w:r>
              <w:rPr>
                <w:rFonts w:hint="eastAsia" w:eastAsia="仿宋" w:cs="Times New Roman"/>
                <w:color w:val="auto"/>
                <w:sz w:val="24"/>
                <w:szCs w:val="22"/>
                <w:highlight w:val="none"/>
              </w:rPr>
              <w:t>人员配置情况</w:t>
            </w:r>
            <w:r>
              <w:rPr>
                <w:rFonts w:hint="eastAsia" w:eastAsia="仿宋" w:cs="Times New Roman"/>
                <w:color w:val="auto"/>
                <w:sz w:val="24"/>
                <w:szCs w:val="22"/>
                <w:highlight w:val="none"/>
                <w:lang w:eastAsia="zh-CN"/>
              </w:rPr>
              <w:t>；</w:t>
            </w:r>
            <w:r>
              <w:rPr>
                <w:rFonts w:hint="eastAsia" w:eastAsia="仿宋" w:cs="Times New Roman"/>
                <w:color w:val="auto"/>
                <w:sz w:val="24"/>
                <w:szCs w:val="22"/>
                <w:highlight w:val="none"/>
              </w:rPr>
              <w:t>各原材料采购、生产、检验、仓储、运输等环节的人员配备情况；</w:t>
            </w:r>
          </w:p>
          <w:p>
            <w:pPr>
              <w:pageBreakBefore w:val="0"/>
              <w:kinsoku/>
              <w:wordWrap/>
              <w:overflowPunct/>
              <w:topLinePunct w:val="0"/>
              <w:autoSpaceDE/>
              <w:autoSpaceDN/>
              <w:bidi w:val="0"/>
              <w:adjustRightInd/>
              <w:snapToGrid/>
              <w:spacing w:line="460" w:lineRule="exact"/>
              <w:rPr>
                <w:rFonts w:hint="eastAsia" w:eastAsia="仿宋" w:cs="Times New Roman"/>
                <w:b/>
                <w:bCs/>
                <w:color w:val="auto"/>
                <w:sz w:val="24"/>
                <w:szCs w:val="22"/>
                <w:highlight w:val="none"/>
              </w:rPr>
            </w:pPr>
            <w:r>
              <w:rPr>
                <w:rFonts w:hint="eastAsia" w:eastAsia="仿宋" w:cs="Times New Roman"/>
                <w:b/>
                <w:bCs/>
                <w:color w:val="auto"/>
                <w:sz w:val="24"/>
                <w:szCs w:val="22"/>
                <w:highlight w:val="none"/>
              </w:rPr>
              <w:t>评审依据：</w:t>
            </w:r>
            <w:r>
              <w:rPr>
                <w:rFonts w:hint="eastAsia" w:eastAsia="仿宋" w:cs="Times New Roman"/>
                <w:b/>
                <w:bCs/>
                <w:color w:val="auto"/>
                <w:sz w:val="24"/>
                <w:szCs w:val="22"/>
                <w:highlight w:val="none"/>
                <w:lang w:val="en-US" w:eastAsia="zh-CN"/>
              </w:rPr>
              <w:t>根据</w:t>
            </w:r>
            <w:r>
              <w:rPr>
                <w:rFonts w:hint="eastAsia" w:eastAsia="仿宋" w:cs="Times New Roman"/>
                <w:b/>
                <w:bCs/>
                <w:color w:val="auto"/>
                <w:sz w:val="24"/>
                <w:szCs w:val="22"/>
                <w:highlight w:val="none"/>
              </w:rPr>
              <w:t>投标人提</w:t>
            </w:r>
            <w:r>
              <w:rPr>
                <w:rFonts w:hint="eastAsia" w:eastAsia="仿宋" w:cs="Times New Roman"/>
                <w:b/>
                <w:bCs/>
                <w:color w:val="auto"/>
                <w:sz w:val="24"/>
                <w:szCs w:val="22"/>
                <w:highlight w:val="none"/>
                <w:lang w:val="en-US" w:eastAsia="zh-CN"/>
              </w:rPr>
              <w:t>供的生产制造履约能力方案内容完整性、组织性、关联性和可操作性进行评审</w:t>
            </w:r>
            <w:r>
              <w:rPr>
                <w:rFonts w:hint="eastAsia" w:eastAsia="仿宋" w:cs="Times New Roman"/>
                <w:b/>
                <w:bCs/>
                <w:color w:val="auto"/>
                <w:sz w:val="24"/>
                <w:szCs w:val="22"/>
                <w:highlight w:val="none"/>
              </w:rPr>
              <w:t>。</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1、所投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制造商具备较强自主研发能力及先进的生产工艺，生产车间环境及生产线先进规范，生产步骤完整周详，技术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检验设备配置齐全、检验步骤严密无纰漏，生产制造履约能力</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分；</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制造商有自主研发能力和生产工艺较完整，生产车间环境及生产线常规，生产步骤较完整周详，技术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eastAsia="zh-CN"/>
              </w:rPr>
              <w:t>相对</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检验设备配置较齐全、检验步骤相对完备，生产制造履约能力</w:t>
            </w:r>
            <w:r>
              <w:rPr>
                <w:rFonts w:hint="eastAsia" w:ascii="仿宋" w:hAnsi="仿宋" w:eastAsia="仿宋" w:cs="仿宋"/>
                <w:b/>
                <w:bCs/>
                <w:color w:val="auto"/>
                <w:sz w:val="24"/>
                <w:szCs w:val="24"/>
                <w:highlight w:val="none"/>
                <w:lang w:eastAsia="zh-CN"/>
              </w:rPr>
              <w:t>较</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3、所投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制造商有自主研发能力和生产工艺薄弱，生产车间环境及生产线粗糙落后，生产步骤简单，技术</w:t>
            </w:r>
            <w:r>
              <w:rPr>
                <w:rFonts w:hint="eastAsia" w:ascii="仿宋" w:hAnsi="仿宋" w:eastAsia="仿宋" w:cs="仿宋"/>
                <w:b/>
                <w:bCs/>
                <w:color w:val="auto"/>
                <w:sz w:val="24"/>
                <w:szCs w:val="24"/>
                <w:highlight w:val="none"/>
              </w:rPr>
              <w:t>人员</w:t>
            </w:r>
            <w:r>
              <w:rPr>
                <w:rFonts w:hint="eastAsia" w:ascii="仿宋" w:hAnsi="仿宋" w:eastAsia="仿宋" w:cs="仿宋"/>
                <w:b/>
                <w:bCs/>
                <w:color w:val="auto"/>
                <w:sz w:val="24"/>
                <w:szCs w:val="24"/>
                <w:highlight w:val="none"/>
                <w:lang w:eastAsia="zh-CN"/>
              </w:rPr>
              <w:t>综合实力一般，</w:t>
            </w:r>
            <w:r>
              <w:rPr>
                <w:rFonts w:hint="eastAsia" w:ascii="仿宋" w:hAnsi="仿宋" w:eastAsia="仿宋" w:cs="仿宋"/>
                <w:b/>
                <w:bCs/>
                <w:color w:val="auto"/>
                <w:sz w:val="24"/>
                <w:szCs w:val="24"/>
                <w:highlight w:val="none"/>
                <w:lang w:val="en-US" w:eastAsia="zh-CN"/>
              </w:rPr>
              <w:t>检验设备配置简单落后，检验步骤普通，生产制造履约能力</w:t>
            </w:r>
            <w:r>
              <w:rPr>
                <w:rFonts w:hint="eastAsia" w:ascii="仿宋" w:hAnsi="仿宋" w:eastAsia="仿宋" w:cs="仿宋"/>
                <w:b/>
                <w:bCs/>
                <w:color w:val="auto"/>
                <w:sz w:val="24"/>
                <w:szCs w:val="24"/>
                <w:highlight w:val="none"/>
                <w:lang w:eastAsia="zh-CN"/>
              </w:rPr>
              <w:t>弱</w:t>
            </w:r>
            <w:r>
              <w:rPr>
                <w:rFonts w:hint="eastAsia" w:ascii="仿宋" w:hAnsi="仿宋" w:eastAsia="仿宋" w:cs="仿宋"/>
                <w:b/>
                <w:bCs/>
                <w:color w:val="auto"/>
                <w:sz w:val="24"/>
                <w:szCs w:val="24"/>
                <w:highlight w:val="none"/>
              </w:rPr>
              <w:t>的得</w:t>
            </w: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未提供证明材料或证明材料有缺项的不得分。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3</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质量保证和保修</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eastAsia="仿宋"/>
                <w:color w:val="auto"/>
                <w:sz w:val="24"/>
                <w:szCs w:val="22"/>
                <w:highlight w:val="none"/>
              </w:rPr>
            </w:pPr>
            <w:r>
              <w:rPr>
                <w:rFonts w:eastAsia="仿宋"/>
                <w:color w:val="auto"/>
                <w:sz w:val="24"/>
                <w:szCs w:val="22"/>
                <w:highlight w:val="none"/>
              </w:rPr>
              <w:t>在招标文件商务要求中“质保期”和“保修期”要求基础上，承诺“质保期”和“保修期”均每延长一年的加2分，最多加4分。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eastAsia="仿宋"/>
                <w:b/>
                <w:color w:val="auto"/>
                <w:sz w:val="24"/>
                <w:szCs w:val="22"/>
                <w:highlight w:val="none"/>
              </w:rPr>
              <w:t>评审依据：投标文件中提供“质保期”和“保修期”均延长的承诺函原件。</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类似销售</w:t>
            </w:r>
          </w:p>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案例</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投标人自</w:t>
            </w:r>
            <w:r>
              <w:rPr>
                <w:rFonts w:eastAsia="仿宋" w:cs="Times New Roman"/>
                <w:color w:val="auto"/>
                <w:sz w:val="24"/>
                <w:szCs w:val="22"/>
                <w:highlight w:val="none"/>
              </w:rPr>
              <w:t>20</w:t>
            </w:r>
            <w:r>
              <w:rPr>
                <w:rFonts w:hint="eastAsia" w:eastAsia="仿宋" w:cs="Times New Roman"/>
                <w:color w:val="auto"/>
                <w:sz w:val="24"/>
                <w:szCs w:val="22"/>
                <w:highlight w:val="none"/>
              </w:rPr>
              <w:t>2</w:t>
            </w:r>
            <w:r>
              <w:rPr>
                <w:rFonts w:hint="eastAsia" w:eastAsia="仿宋" w:cs="Times New Roman"/>
                <w:color w:val="auto"/>
                <w:sz w:val="24"/>
                <w:szCs w:val="22"/>
                <w:highlight w:val="none"/>
                <w:lang w:val="en-US" w:eastAsia="zh-CN"/>
              </w:rPr>
              <w:t>1</w:t>
            </w:r>
            <w:r>
              <w:rPr>
                <w:rFonts w:hint="eastAsia" w:eastAsia="仿宋" w:cs="Times New Roman"/>
                <w:color w:val="auto"/>
                <w:sz w:val="24"/>
                <w:szCs w:val="22"/>
                <w:highlight w:val="none"/>
              </w:rPr>
              <w:t>年</w:t>
            </w:r>
            <w:r>
              <w:rPr>
                <w:rFonts w:eastAsia="仿宋" w:cs="Times New Roman"/>
                <w:color w:val="auto"/>
                <w:sz w:val="24"/>
                <w:szCs w:val="22"/>
                <w:highlight w:val="none"/>
              </w:rPr>
              <w:t>1月1日至今（以签订合同时间为准）具有类似</w:t>
            </w:r>
            <w:r>
              <w:rPr>
                <w:rFonts w:hint="eastAsia" w:eastAsia="仿宋" w:cs="Times New Roman"/>
                <w:color w:val="auto"/>
                <w:sz w:val="24"/>
                <w:szCs w:val="22"/>
                <w:highlight w:val="none"/>
                <w:lang w:eastAsia="zh-CN"/>
              </w:rPr>
              <w:t>核心</w:t>
            </w:r>
            <w:r>
              <w:rPr>
                <w:rFonts w:eastAsia="仿宋" w:cs="Times New Roman"/>
                <w:color w:val="auto"/>
                <w:sz w:val="24"/>
                <w:szCs w:val="22"/>
                <w:highlight w:val="none"/>
              </w:rPr>
              <w:t>产品销售案例，每提供1份销售案例加</w:t>
            </w:r>
            <w:r>
              <w:rPr>
                <w:rFonts w:hint="eastAsia" w:eastAsia="仿宋" w:cs="Times New Roman"/>
                <w:color w:val="auto"/>
                <w:sz w:val="24"/>
                <w:szCs w:val="22"/>
                <w:highlight w:val="none"/>
                <w:lang w:val="en-US" w:eastAsia="zh-CN"/>
              </w:rPr>
              <w:t>2</w:t>
            </w:r>
            <w:r>
              <w:rPr>
                <w:rFonts w:hint="eastAsia" w:eastAsia="仿宋" w:cs="Times New Roman"/>
                <w:color w:val="auto"/>
                <w:sz w:val="24"/>
                <w:szCs w:val="22"/>
                <w:highlight w:val="none"/>
              </w:rPr>
              <w:t>分，本项最多加</w:t>
            </w:r>
            <w:r>
              <w:rPr>
                <w:rFonts w:hint="eastAsia" w:eastAsia="仿宋" w:cs="Times New Roman"/>
                <w:color w:val="auto"/>
                <w:sz w:val="24"/>
                <w:szCs w:val="22"/>
                <w:highlight w:val="none"/>
                <w:lang w:val="en-US" w:eastAsia="zh-CN"/>
              </w:rPr>
              <w:t>6</w:t>
            </w:r>
            <w:r>
              <w:rPr>
                <w:rFonts w:hint="eastAsia" w:eastAsia="仿宋" w:cs="Times New Roman"/>
                <w:color w:val="auto"/>
                <w:sz w:val="24"/>
                <w:szCs w:val="22"/>
                <w:highlight w:val="none"/>
              </w:rPr>
              <w:t>分。</w:t>
            </w:r>
          </w:p>
          <w:p>
            <w:pPr>
              <w:pageBreakBefore w:val="0"/>
              <w:kinsoku/>
              <w:wordWrap/>
              <w:overflowPunct/>
              <w:topLinePunct w:val="0"/>
              <w:autoSpaceDE/>
              <w:autoSpaceDN/>
              <w:bidi w:val="0"/>
              <w:adjustRightInd/>
              <w:snapToGrid/>
              <w:spacing w:line="460" w:lineRule="exact"/>
              <w:jc w:val="left"/>
              <w:rPr>
                <w:rFonts w:eastAsia="仿宋"/>
                <w:b/>
                <w:bCs/>
                <w:color w:val="auto"/>
                <w:sz w:val="24"/>
                <w:szCs w:val="22"/>
                <w:highlight w:val="none"/>
              </w:rPr>
            </w:pPr>
            <w:r>
              <w:rPr>
                <w:rFonts w:hint="eastAsia" w:eastAsia="仿宋" w:cs="Times New Roman"/>
                <w:b/>
                <w:bCs/>
                <w:color w:val="auto"/>
                <w:sz w:val="24"/>
                <w:szCs w:val="22"/>
                <w:highlight w:val="none"/>
              </w:rPr>
              <w:t>评审依据：①投标文件中提供销售案例明细表（销售案例明细表包含</w:t>
            </w:r>
            <w:r>
              <w:rPr>
                <w:rFonts w:eastAsia="仿宋" w:cs="Times New Roman"/>
                <w:b/>
                <w:bCs/>
                <w:color w:val="auto"/>
                <w:sz w:val="24"/>
                <w:szCs w:val="22"/>
                <w:highlight w:val="none"/>
              </w:rPr>
              <w:t>:发布网站名称、网页链接地址、采购项目名称、采购单位名称和联系方式、采购代理机构名称和联系方式）；</w:t>
            </w:r>
            <w:r>
              <w:rPr>
                <w:rFonts w:hint="eastAsia" w:eastAsia="仿宋" w:cs="Times New Roman"/>
                <w:b/>
                <w:bCs/>
                <w:color w:val="auto"/>
                <w:sz w:val="24"/>
                <w:szCs w:val="22"/>
                <w:highlight w:val="none"/>
              </w:rPr>
              <w:t>②</w:t>
            </w:r>
            <w:r>
              <w:rPr>
                <w:rFonts w:hint="eastAsia" w:eastAsia="仿宋" w:cs="Times New Roman"/>
                <w:b/>
                <w:bCs/>
                <w:color w:val="auto"/>
                <w:sz w:val="24"/>
                <w:szCs w:val="22"/>
                <w:highlight w:val="none"/>
                <w:lang w:eastAsia="zh-CN"/>
              </w:rPr>
              <w:t>中标（成交）公告截图（打印网页）、中标通知书复印件和合同复印件（中标通知书或合同复印件应体现类似销售案例的货物），合同签订方必须是投标人本身。</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hint="eastAsia" w:eastAsia="仿宋"/>
                <w:color w:val="auto"/>
                <w:sz w:val="24"/>
                <w:szCs w:val="22"/>
                <w:highlight w:val="none"/>
                <w:lang w:val="en-US" w:eastAsia="zh-CN"/>
              </w:rPr>
              <w:t>6</w:t>
            </w:r>
            <w:r>
              <w:rPr>
                <w:rFonts w:eastAsia="仿宋"/>
                <w:color w:val="auto"/>
                <w:sz w:val="24"/>
                <w:szCs w:val="22"/>
                <w:highlight w:val="none"/>
              </w:rPr>
              <w:t>分</w:t>
            </w:r>
          </w:p>
        </w:tc>
      </w:tr>
    </w:tbl>
    <w:p>
      <w:pPr>
        <w:pageBreakBefore w:val="0"/>
        <w:kinsoku/>
        <w:wordWrap/>
        <w:overflowPunct/>
        <w:topLinePunct w:val="0"/>
        <w:autoSpaceDE/>
        <w:autoSpaceDN/>
        <w:bidi w:val="0"/>
        <w:adjustRightInd/>
        <w:snapToGrid/>
        <w:spacing w:line="460" w:lineRule="exact"/>
        <w:rPr>
          <w:rFonts w:hint="eastAsia" w:ascii="仿宋" w:hAnsi="仿宋" w:eastAsia="仿宋" w:cs="Times New Roman"/>
          <w:b/>
          <w:bCs/>
          <w:color w:val="auto"/>
          <w:sz w:val="28"/>
          <w:szCs w:val="28"/>
          <w:highlight w:val="none"/>
          <w:lang w:val="en-US" w:eastAsia="zh-CN"/>
        </w:rPr>
      </w:pPr>
      <w:r>
        <w:rPr>
          <w:rFonts w:hint="eastAsia" w:ascii="仿宋" w:hAnsi="仿宋" w:eastAsia="仿宋" w:cs="Times New Roman"/>
          <w:b/>
          <w:bCs/>
          <w:color w:val="auto"/>
          <w:sz w:val="28"/>
          <w:szCs w:val="28"/>
          <w:highlight w:val="none"/>
          <w:lang w:val="en-US" w:eastAsia="zh-CN"/>
        </w:rPr>
        <w:br w:type="page"/>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lang w:val="en-US" w:eastAsia="zh-CN"/>
        </w:rPr>
      </w:pPr>
      <w:bookmarkStart w:id="736" w:name="_Toc19362"/>
      <w:bookmarkStart w:id="737" w:name="_Toc14577"/>
      <w:bookmarkStart w:id="738" w:name="_Toc16609"/>
      <w:bookmarkStart w:id="739" w:name="_Toc24390"/>
    </w:p>
    <w:p>
      <w:pPr>
        <w:keepNext w:val="0"/>
        <w:keepLines w:val="0"/>
        <w:pageBreakBefore w:val="0"/>
        <w:widowControl w:val="0"/>
        <w:kinsoku/>
        <w:wordWrap/>
        <w:overflowPunct/>
        <w:topLinePunct w:val="0"/>
        <w:autoSpaceDE/>
        <w:autoSpaceDN/>
        <w:bidi w:val="0"/>
        <w:adjustRightInd/>
        <w:snapToGrid/>
        <w:spacing w:line="460" w:lineRule="exact"/>
        <w:jc w:val="left"/>
        <w:textAlignment w:val="auto"/>
        <w:outlineLvl w:val="1"/>
        <w:rPr>
          <w:rFonts w:hint="eastAsia" w:ascii="仿宋" w:hAnsi="仿宋" w:eastAsia="仿宋" w:cs="Times New Roman"/>
          <w:b/>
          <w:bCs/>
          <w:color w:val="auto"/>
          <w:sz w:val="28"/>
          <w:szCs w:val="28"/>
          <w:highlight w:val="none"/>
          <w:lang w:val="en-US" w:eastAsia="zh-CN"/>
        </w:rPr>
      </w:pPr>
      <w:bookmarkStart w:id="740" w:name="_Toc15266"/>
      <w:r>
        <w:rPr>
          <w:rFonts w:hint="eastAsia" w:ascii="仿宋" w:hAnsi="仿宋" w:eastAsia="仿宋" w:cs="Times New Roman"/>
          <w:b/>
          <w:bCs/>
          <w:color w:val="auto"/>
          <w:sz w:val="28"/>
          <w:szCs w:val="28"/>
          <w:highlight w:val="none"/>
          <w:lang w:val="en-US" w:eastAsia="zh-CN"/>
        </w:rPr>
        <w:t>68包：排水机器人【核心产品】、移动水囊</w:t>
      </w:r>
      <w:bookmarkEnd w:id="736"/>
      <w:bookmarkEnd w:id="737"/>
      <w:bookmarkEnd w:id="738"/>
      <w:bookmarkEnd w:id="739"/>
      <w:bookmarkEnd w:id="740"/>
    </w:p>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hint="eastAsia" w:ascii="仿宋" w:hAnsi="仿宋" w:eastAsia="仿宋"/>
          <w:b/>
          <w:color w:val="auto"/>
          <w:sz w:val="24"/>
          <w:highlight w:val="none"/>
        </w:rPr>
        <w:t>一、价格部分（</w:t>
      </w:r>
      <w:r>
        <w:rPr>
          <w:rFonts w:ascii="仿宋" w:hAnsi="仿宋" w:eastAsia="仿宋"/>
          <w:b/>
          <w:color w:val="auto"/>
          <w:sz w:val="24"/>
          <w:highlight w:val="none"/>
        </w:rPr>
        <w:t>30分）</w:t>
      </w:r>
    </w:p>
    <w:tbl>
      <w:tblPr>
        <w:tblStyle w:val="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1579"/>
        <w:gridCol w:w="6182"/>
        <w:gridCol w:w="8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评审因素</w:t>
            </w:r>
          </w:p>
        </w:tc>
        <w:tc>
          <w:tcPr>
            <w:tcW w:w="3327" w:type="pct"/>
            <w:vAlign w:val="center"/>
          </w:tcPr>
          <w:p>
            <w:pPr>
              <w:pageBreakBefore w:val="0"/>
              <w:kinsoku/>
              <w:wordWrap/>
              <w:overflowPunct/>
              <w:topLinePunct w:val="0"/>
              <w:autoSpaceDE/>
              <w:autoSpaceDN/>
              <w:bidi w:val="0"/>
              <w:adjustRightInd/>
              <w:snapToGrid/>
              <w:spacing w:line="460" w:lineRule="exact"/>
              <w:jc w:val="center"/>
              <w:textAlignment w:val="center"/>
              <w:rPr>
                <w:rFonts w:ascii="仿宋" w:hAnsi="仿宋" w:eastAsia="仿宋" w:cs="仿宋"/>
                <w:b/>
                <w:color w:val="auto"/>
                <w:sz w:val="24"/>
                <w:highlight w:val="none"/>
              </w:rPr>
            </w:pPr>
            <w:r>
              <w:rPr>
                <w:rFonts w:hint="eastAsia" w:ascii="仿宋" w:hAnsi="仿宋" w:eastAsia="仿宋" w:cs="仿宋"/>
                <w:b/>
                <w:bCs/>
                <w:color w:val="auto"/>
                <w:sz w:val="24"/>
                <w:highlight w:val="none"/>
              </w:rPr>
              <w:t>评分标准</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价格分</w:t>
            </w:r>
          </w:p>
        </w:tc>
        <w:tc>
          <w:tcPr>
            <w:tcW w:w="3327" w:type="pct"/>
            <w:vAlign w:val="center"/>
          </w:tcPr>
          <w:p>
            <w:pPr>
              <w:pageBreakBefore w:val="0"/>
              <w:kinsoku/>
              <w:wordWrap/>
              <w:overflowPunct/>
              <w:topLinePunct w:val="0"/>
              <w:autoSpaceDE/>
              <w:autoSpaceDN/>
              <w:bidi w:val="0"/>
              <w:adjustRightInd/>
              <w:snapToGrid/>
              <w:spacing w:line="460" w:lineRule="exact"/>
              <w:jc w:val="left"/>
              <w:textAlignment w:val="center"/>
              <w:rPr>
                <w:rFonts w:ascii="仿宋" w:hAnsi="仿宋" w:eastAsia="仿宋" w:cs="仿宋"/>
                <w:color w:val="auto"/>
                <w:sz w:val="24"/>
                <w:highlight w:val="none"/>
              </w:rPr>
            </w:pPr>
            <w:r>
              <w:rPr>
                <w:rFonts w:hint="eastAsia" w:ascii="仿宋" w:hAnsi="仿宋" w:eastAsia="仿宋" w:cs="仿宋"/>
                <w:color w:val="auto"/>
                <w:sz w:val="24"/>
                <w:highlight w:val="none"/>
              </w:rPr>
              <w:t>根据综合评分法，满足招标文件要求且投标价格最低的投标报价为评标基准价，投标报价得分</w:t>
            </w:r>
            <w:r>
              <w:rPr>
                <w:rFonts w:ascii="仿宋" w:hAnsi="仿宋" w:eastAsia="仿宋" w:cs="仿宋"/>
                <w:color w:val="auto"/>
                <w:sz w:val="24"/>
                <w:highlight w:val="none"/>
              </w:rPr>
              <w:t>=（评标基准价／投标报价）</w:t>
            </w:r>
            <w:r>
              <w:rPr>
                <w:rFonts w:hint="eastAsia" w:ascii="仿宋" w:hAnsi="仿宋" w:eastAsia="仿宋" w:cs="仿宋"/>
                <w:color w:val="auto"/>
                <w:sz w:val="24"/>
                <w:highlight w:val="none"/>
              </w:rPr>
              <w:t>×</w:t>
            </w:r>
            <w:r>
              <w:rPr>
                <w:rFonts w:ascii="仿宋" w:hAnsi="仿宋" w:eastAsia="仿宋" w:cs="仿宋"/>
                <w:color w:val="auto"/>
                <w:sz w:val="24"/>
                <w:highlight w:val="none"/>
              </w:rPr>
              <w:t>30%×100，计算分数时四舍五入取小数点后两位。</w:t>
            </w:r>
          </w:p>
          <w:p>
            <w:pPr>
              <w:pageBreakBefore w:val="0"/>
              <w:kinsoku/>
              <w:wordWrap/>
              <w:overflowPunct/>
              <w:topLinePunct w:val="0"/>
              <w:autoSpaceDE/>
              <w:autoSpaceDN/>
              <w:bidi w:val="0"/>
              <w:adjustRightInd/>
              <w:snapToGrid/>
              <w:spacing w:line="460" w:lineRule="exact"/>
              <w:ind w:firstLine="482" w:firstLineChars="200"/>
              <w:jc w:val="left"/>
              <w:textAlignment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注：</w:t>
            </w:r>
            <w:r>
              <w:rPr>
                <w:rFonts w:ascii="仿宋" w:hAnsi="仿宋" w:eastAsia="仿宋" w:cs="仿宋"/>
                <w:b/>
                <w:bCs/>
                <w:color w:val="auto"/>
                <w:sz w:val="24"/>
                <w:highlight w:val="none"/>
              </w:rPr>
              <w:t>小、微型企业或残疾人福利性单位产品或监狱产品的价格给予10%的扣除，用扣除后的价格参与评审。但残疾人福利性单位本身属于小型、微型企业的，不重复享受政策。</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30分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二、技术部分（5</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719"/>
        <w:gridCol w:w="1304"/>
        <w:gridCol w:w="5878"/>
        <w:gridCol w:w="8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98"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1089" w:type="pct"/>
            <w:gridSpan w:val="2"/>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3165"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评分标准</w:t>
            </w:r>
          </w:p>
        </w:tc>
        <w:tc>
          <w:tcPr>
            <w:tcW w:w="447"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298"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089"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技术参数及要求</w:t>
            </w:r>
          </w:p>
        </w:tc>
        <w:tc>
          <w:tcPr>
            <w:tcW w:w="3165" w:type="pct"/>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一、重大负偏离评审依据：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1、带★条款的响应，不满足招标文件要求的，或有缺项、漏项的，视为重大负偏离；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2、一般参数和带“▲”参数共有四项及以上（含本数）的负偏离，视为重大负偏离；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3、所投产品一般参数或带“▲”参数有一项低于招标文件要求，该项视为负偏离；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4、所投产品一般参数或带“▲”参数有一项缺项、漏项的，该项视为负偏离。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注：“一般参数”为非标“★”号参数和非标“▲”号参数。</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①投标文件中提供的技术条款响应表；</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②所投产品技术参数完全满足招标文件要求得</w:t>
            </w:r>
            <w:r>
              <w:rPr>
                <w:rFonts w:hint="eastAsia" w:ascii="仿宋" w:hAnsi="仿宋" w:eastAsia="仿宋" w:cs="仿宋"/>
                <w:b/>
                <w:bCs/>
                <w:color w:val="auto"/>
                <w:sz w:val="24"/>
                <w:highlight w:val="none"/>
                <w:lang w:val="en-US" w:eastAsia="zh-CN"/>
              </w:rPr>
              <w:t>22</w:t>
            </w:r>
            <w:r>
              <w:rPr>
                <w:rFonts w:hint="eastAsia" w:ascii="仿宋" w:hAnsi="仿宋" w:eastAsia="仿宋" w:cs="仿宋"/>
                <w:b/>
                <w:bCs/>
                <w:color w:val="auto"/>
                <w:sz w:val="24"/>
                <w:highlight w:val="none"/>
              </w:rPr>
              <w:t>分；重大负偏离则视为无效投标；一般参数或带“▲”参数每有一项负偏离减5分，最多减15分，四项或以上负偏离视为无效投标。</w:t>
            </w:r>
          </w:p>
        </w:tc>
        <w:tc>
          <w:tcPr>
            <w:tcW w:w="447" w:type="pct"/>
            <w:vAlign w:val="center"/>
          </w:tcPr>
          <w:p>
            <w:pPr>
              <w:pageBreakBefore w:val="0"/>
              <w:kinsoku/>
              <w:wordWrap/>
              <w:overflowPunct/>
              <w:topLinePunct w:val="0"/>
              <w:autoSpaceDE/>
              <w:autoSpaceDN/>
              <w:bidi w:val="0"/>
              <w:adjustRightInd/>
              <w:snapToGrid/>
              <w:spacing w:line="460" w:lineRule="exact"/>
              <w:jc w:val="center"/>
              <w:textAlignment w:val="center"/>
              <w:rPr>
                <w:rFonts w:hint="default"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22分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98"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387" w:type="pct"/>
            <w:vMerge w:val="restar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排水机器人</w:t>
            </w:r>
          </w:p>
        </w:tc>
        <w:tc>
          <w:tcPr>
            <w:tcW w:w="701"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▲3.3扬程≥10m</w:t>
            </w:r>
          </w:p>
        </w:tc>
        <w:tc>
          <w:tcPr>
            <w:tcW w:w="3165"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highlight w:val="none"/>
                <w:lang w:val="en-US" w:eastAsia="zh-CN"/>
              </w:rPr>
              <w:t>扬程</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扬程</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val="en-US" w:eastAsia="zh-CN"/>
              </w:rPr>
              <w:t>扬程</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val="en-US" w:eastAsia="zh-CN"/>
              </w:rPr>
              <w:t>扬程</w:t>
            </w:r>
            <w:r>
              <w:rPr>
                <w:rFonts w:hint="eastAsia" w:ascii="仿宋" w:hAnsi="仿宋" w:eastAsia="仿宋" w:cs="仿宋"/>
                <w:b/>
                <w:bCs/>
                <w:color w:val="auto"/>
                <w:sz w:val="24"/>
                <w:szCs w:val="24"/>
                <w:highlight w:val="none"/>
              </w:rPr>
              <w:t>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，次优表示</w:t>
            </w:r>
            <w:r>
              <w:rPr>
                <w:rFonts w:hint="eastAsia" w:ascii="仿宋" w:hAnsi="仿宋" w:eastAsia="仿宋" w:cs="仿宋"/>
                <w:b/>
                <w:bCs/>
                <w:color w:val="auto"/>
                <w:sz w:val="24"/>
                <w:szCs w:val="24"/>
                <w:highlight w:val="none"/>
                <w:lang w:val="en-US" w:eastAsia="zh-CN"/>
              </w:rPr>
              <w:t>扬程</w:t>
            </w:r>
            <w:r>
              <w:rPr>
                <w:rFonts w:hint="eastAsia" w:ascii="仿宋" w:hAnsi="仿宋" w:eastAsia="仿宋" w:cs="仿宋"/>
                <w:b/>
                <w:bCs/>
                <w:color w:val="auto"/>
                <w:sz w:val="24"/>
                <w:szCs w:val="24"/>
                <w:highlight w:val="none"/>
              </w:rPr>
              <w:t>仅次于最大值。</w:t>
            </w:r>
          </w:p>
        </w:tc>
        <w:tc>
          <w:tcPr>
            <w:tcW w:w="447"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9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387" w:type="pct"/>
            <w:vMerge w:val="continue"/>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p>
        </w:tc>
        <w:tc>
          <w:tcPr>
            <w:tcW w:w="701"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▲3.4排水量≥700m³/h</w:t>
            </w:r>
          </w:p>
        </w:tc>
        <w:tc>
          <w:tcPr>
            <w:tcW w:w="3165"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highlight w:val="none"/>
                <w:lang w:val="en-US" w:eastAsia="zh-CN"/>
              </w:rPr>
              <w:t>排水量</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排水量</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val="en-US" w:eastAsia="zh-CN"/>
              </w:rPr>
              <w:t>排水量</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val="en-US" w:eastAsia="zh-CN"/>
              </w:rPr>
              <w:t>排水量</w:t>
            </w:r>
            <w:r>
              <w:rPr>
                <w:rFonts w:hint="eastAsia" w:ascii="仿宋" w:hAnsi="仿宋" w:eastAsia="仿宋" w:cs="仿宋"/>
                <w:b/>
                <w:bCs/>
                <w:color w:val="auto"/>
                <w:sz w:val="24"/>
                <w:szCs w:val="24"/>
                <w:highlight w:val="none"/>
              </w:rPr>
              <w:t>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，次优表示</w:t>
            </w:r>
            <w:r>
              <w:rPr>
                <w:rFonts w:hint="eastAsia" w:ascii="仿宋" w:hAnsi="仿宋" w:eastAsia="仿宋" w:cs="仿宋"/>
                <w:b/>
                <w:bCs/>
                <w:color w:val="auto"/>
                <w:sz w:val="24"/>
                <w:szCs w:val="24"/>
                <w:highlight w:val="none"/>
                <w:lang w:val="en-US" w:eastAsia="zh-CN"/>
              </w:rPr>
              <w:t>排水量</w:t>
            </w:r>
            <w:r>
              <w:rPr>
                <w:rFonts w:hint="eastAsia" w:ascii="仿宋" w:hAnsi="仿宋" w:eastAsia="仿宋" w:cs="仿宋"/>
                <w:b/>
                <w:bCs/>
                <w:color w:val="auto"/>
                <w:sz w:val="24"/>
                <w:szCs w:val="24"/>
                <w:highlight w:val="none"/>
              </w:rPr>
              <w:t>仅次于最大值。</w:t>
            </w:r>
          </w:p>
        </w:tc>
        <w:tc>
          <w:tcPr>
            <w:tcW w:w="447"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9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387" w:type="pct"/>
            <w:vMerge w:val="continue"/>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p>
        </w:tc>
        <w:tc>
          <w:tcPr>
            <w:tcW w:w="701"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▲3.5发动机功率≥80KW</w:t>
            </w:r>
          </w:p>
        </w:tc>
        <w:tc>
          <w:tcPr>
            <w:tcW w:w="3165"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highlight w:val="none"/>
                <w:lang w:val="en-US" w:eastAsia="zh-CN"/>
              </w:rPr>
              <w:t>发动机功率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发动机功率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val="en-US" w:eastAsia="zh-CN"/>
              </w:rPr>
              <w:t>发动机功率</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val="en-US" w:eastAsia="zh-CN"/>
              </w:rPr>
              <w:t>发动机功率</w:t>
            </w:r>
            <w:r>
              <w:rPr>
                <w:rFonts w:hint="eastAsia" w:ascii="仿宋" w:hAnsi="仿宋" w:eastAsia="仿宋" w:cs="仿宋"/>
                <w:b/>
                <w:bCs/>
                <w:color w:val="auto"/>
                <w:sz w:val="24"/>
                <w:szCs w:val="24"/>
                <w:highlight w:val="none"/>
              </w:rPr>
              <w:t>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，次优表示</w:t>
            </w:r>
            <w:r>
              <w:rPr>
                <w:rFonts w:hint="eastAsia" w:ascii="仿宋" w:hAnsi="仿宋" w:eastAsia="仿宋" w:cs="仿宋"/>
                <w:b/>
                <w:bCs/>
                <w:color w:val="auto"/>
                <w:sz w:val="24"/>
                <w:szCs w:val="24"/>
                <w:highlight w:val="none"/>
                <w:lang w:val="en-US" w:eastAsia="zh-CN"/>
              </w:rPr>
              <w:t>发动机功率</w:t>
            </w:r>
            <w:r>
              <w:rPr>
                <w:rFonts w:hint="eastAsia" w:ascii="仿宋" w:hAnsi="仿宋" w:eastAsia="仿宋" w:cs="仿宋"/>
                <w:b/>
                <w:bCs/>
                <w:color w:val="auto"/>
                <w:sz w:val="24"/>
                <w:szCs w:val="24"/>
                <w:highlight w:val="none"/>
              </w:rPr>
              <w:t>仅次于最大值。</w:t>
            </w:r>
          </w:p>
        </w:tc>
        <w:tc>
          <w:tcPr>
            <w:tcW w:w="447"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9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387" w:type="pct"/>
            <w:vMerge w:val="continue"/>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p>
        </w:tc>
        <w:tc>
          <w:tcPr>
            <w:tcW w:w="701"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▲3.6最大排水距离≥350m</w:t>
            </w:r>
          </w:p>
        </w:tc>
        <w:tc>
          <w:tcPr>
            <w:tcW w:w="3165"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highlight w:val="none"/>
                <w:lang w:val="en-US" w:eastAsia="zh-CN"/>
              </w:rPr>
              <w:t>最大排水距离</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最大排水距离</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val="en-US" w:eastAsia="zh-CN"/>
              </w:rPr>
              <w:t>最大排水距离</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val="en-US" w:eastAsia="zh-CN"/>
              </w:rPr>
              <w:t>最大排水距离</w:t>
            </w:r>
            <w:r>
              <w:rPr>
                <w:rFonts w:hint="eastAsia" w:ascii="仿宋" w:hAnsi="仿宋" w:eastAsia="仿宋" w:cs="仿宋"/>
                <w:b/>
                <w:bCs/>
                <w:color w:val="auto"/>
                <w:sz w:val="24"/>
                <w:szCs w:val="24"/>
                <w:highlight w:val="none"/>
              </w:rPr>
              <w:t>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，次优表示</w:t>
            </w:r>
            <w:r>
              <w:rPr>
                <w:rFonts w:hint="eastAsia" w:ascii="仿宋" w:hAnsi="仿宋" w:eastAsia="仿宋" w:cs="仿宋"/>
                <w:b/>
                <w:bCs/>
                <w:color w:val="auto"/>
                <w:sz w:val="24"/>
                <w:szCs w:val="24"/>
                <w:highlight w:val="none"/>
                <w:lang w:val="en-US" w:eastAsia="zh-CN"/>
              </w:rPr>
              <w:t>最大排水距离</w:t>
            </w:r>
            <w:r>
              <w:rPr>
                <w:rFonts w:hint="eastAsia" w:ascii="仿宋" w:hAnsi="仿宋" w:eastAsia="仿宋" w:cs="仿宋"/>
                <w:b/>
                <w:bCs/>
                <w:color w:val="auto"/>
                <w:sz w:val="24"/>
                <w:szCs w:val="24"/>
                <w:highlight w:val="none"/>
              </w:rPr>
              <w:t>仅次于最大值。</w:t>
            </w:r>
          </w:p>
        </w:tc>
        <w:tc>
          <w:tcPr>
            <w:tcW w:w="447"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9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387" w:type="pct"/>
            <w:vMerge w:val="continue"/>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p>
        </w:tc>
        <w:tc>
          <w:tcPr>
            <w:tcW w:w="701"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▲3.8涉水深度≥0.5m</w:t>
            </w:r>
          </w:p>
        </w:tc>
        <w:tc>
          <w:tcPr>
            <w:tcW w:w="3165"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highlight w:val="none"/>
                <w:lang w:val="en-US" w:eastAsia="zh-CN"/>
              </w:rPr>
              <w:t>涉水深度</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涉水深度</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val="en-US" w:eastAsia="zh-CN"/>
              </w:rPr>
              <w:t>涉水深度</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val="en-US" w:eastAsia="zh-CN"/>
              </w:rPr>
              <w:t>涉水深度</w:t>
            </w:r>
            <w:r>
              <w:rPr>
                <w:rFonts w:hint="eastAsia" w:ascii="仿宋" w:hAnsi="仿宋" w:eastAsia="仿宋" w:cs="仿宋"/>
                <w:b/>
                <w:bCs/>
                <w:color w:val="auto"/>
                <w:sz w:val="24"/>
                <w:szCs w:val="24"/>
                <w:highlight w:val="none"/>
              </w:rPr>
              <w:t>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，次优表示</w:t>
            </w:r>
            <w:r>
              <w:rPr>
                <w:rFonts w:hint="eastAsia" w:ascii="仿宋" w:hAnsi="仿宋" w:eastAsia="仿宋" w:cs="仿宋"/>
                <w:b/>
                <w:bCs/>
                <w:color w:val="auto"/>
                <w:sz w:val="24"/>
                <w:szCs w:val="24"/>
                <w:highlight w:val="none"/>
                <w:lang w:val="en-US" w:eastAsia="zh-CN"/>
              </w:rPr>
              <w:t>涉水深度</w:t>
            </w:r>
            <w:r>
              <w:rPr>
                <w:rFonts w:hint="eastAsia" w:ascii="仿宋" w:hAnsi="仿宋" w:eastAsia="仿宋" w:cs="仿宋"/>
                <w:b/>
                <w:bCs/>
                <w:color w:val="auto"/>
                <w:sz w:val="24"/>
                <w:szCs w:val="24"/>
                <w:highlight w:val="none"/>
              </w:rPr>
              <w:t>仅次于最大值。</w:t>
            </w:r>
          </w:p>
        </w:tc>
        <w:tc>
          <w:tcPr>
            <w:tcW w:w="447"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9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387" w:type="pc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移动水囊</w:t>
            </w:r>
          </w:p>
        </w:tc>
        <w:tc>
          <w:tcPr>
            <w:tcW w:w="701"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▲3.7整体穿刺性能≥150N</w:t>
            </w:r>
          </w:p>
        </w:tc>
        <w:tc>
          <w:tcPr>
            <w:tcW w:w="3165"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eastAsia="zh-CN"/>
              </w:rPr>
              <w:t>的</w:t>
            </w:r>
            <w:r>
              <w:rPr>
                <w:rFonts w:hint="eastAsia" w:ascii="仿宋" w:hAnsi="仿宋" w:eastAsia="仿宋" w:cs="仿宋"/>
                <w:color w:val="auto"/>
                <w:sz w:val="24"/>
                <w:highlight w:val="none"/>
                <w:lang w:val="en-US" w:eastAsia="zh-CN"/>
              </w:rPr>
              <w:t>整体穿刺性能</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整体穿刺性能</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val="en-US" w:eastAsia="zh-CN"/>
              </w:rPr>
              <w:t>整体穿刺性能</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val="en-US" w:eastAsia="zh-CN"/>
              </w:rPr>
              <w:t>整体穿刺性能</w:t>
            </w:r>
            <w:r>
              <w:rPr>
                <w:rFonts w:hint="eastAsia" w:ascii="仿宋" w:hAnsi="仿宋" w:eastAsia="仿宋" w:cs="仿宋"/>
                <w:b/>
                <w:bCs/>
                <w:color w:val="auto"/>
                <w:sz w:val="24"/>
                <w:szCs w:val="24"/>
                <w:highlight w:val="none"/>
              </w:rPr>
              <w:t>最大，次优表示</w:t>
            </w:r>
            <w:r>
              <w:rPr>
                <w:rFonts w:hint="eastAsia" w:ascii="仿宋" w:hAnsi="仿宋" w:eastAsia="仿宋" w:cs="仿宋"/>
                <w:b/>
                <w:bCs/>
                <w:color w:val="auto"/>
                <w:sz w:val="24"/>
                <w:szCs w:val="24"/>
                <w:highlight w:val="none"/>
                <w:lang w:val="en-US" w:eastAsia="zh-CN"/>
              </w:rPr>
              <w:t>整体穿刺性能</w:t>
            </w:r>
            <w:r>
              <w:rPr>
                <w:rFonts w:hint="eastAsia" w:ascii="仿宋" w:hAnsi="仿宋" w:eastAsia="仿宋" w:cs="仿宋"/>
                <w:b/>
                <w:bCs/>
                <w:color w:val="auto"/>
                <w:sz w:val="24"/>
                <w:szCs w:val="24"/>
                <w:highlight w:val="none"/>
              </w:rPr>
              <w:t>仅次于最大值。</w:t>
            </w:r>
          </w:p>
        </w:tc>
        <w:tc>
          <w:tcPr>
            <w:tcW w:w="447"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9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089"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strike w:val="0"/>
                <w:dstrike w:val="0"/>
                <w:color w:val="auto"/>
                <w:sz w:val="24"/>
                <w:highlight w:val="none"/>
              </w:rPr>
            </w:pPr>
            <w:r>
              <w:rPr>
                <w:rFonts w:hint="eastAsia" w:ascii="仿宋" w:hAnsi="仿宋" w:eastAsia="仿宋" w:cs="仿宋"/>
                <w:strike w:val="0"/>
                <w:dstrike w:val="0"/>
                <w:color w:val="auto"/>
                <w:sz w:val="24"/>
                <w:highlight w:val="none"/>
              </w:rPr>
              <w:t>一般参数</w:t>
            </w:r>
          </w:p>
        </w:tc>
        <w:tc>
          <w:tcPr>
            <w:tcW w:w="3165"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strike w:val="0"/>
                <w:dstrike w:val="0"/>
                <w:color w:val="auto"/>
                <w:sz w:val="24"/>
                <w:highlight w:val="none"/>
              </w:rPr>
            </w:pPr>
            <w:r>
              <w:rPr>
                <w:rFonts w:hint="eastAsia" w:ascii="仿宋" w:hAnsi="仿宋" w:eastAsia="仿宋" w:cs="仿宋"/>
                <w:strike w:val="0"/>
                <w:dstrike w:val="0"/>
                <w:color w:val="auto"/>
                <w:sz w:val="24"/>
                <w:highlight w:val="none"/>
              </w:rPr>
              <w:t>在完全满足招标文件“</w:t>
            </w:r>
            <w:r>
              <w:rPr>
                <w:rFonts w:hint="eastAsia" w:ascii="仿宋" w:hAnsi="仿宋" w:eastAsia="仿宋" w:cs="仿宋"/>
                <w:strike w:val="0"/>
                <w:dstrike w:val="0"/>
                <w:color w:val="auto"/>
                <w:sz w:val="24"/>
                <w:highlight w:val="none"/>
                <w:lang w:eastAsia="zh-CN"/>
              </w:rPr>
              <w:t>所有参数</w:t>
            </w:r>
            <w:r>
              <w:rPr>
                <w:rFonts w:hint="eastAsia" w:ascii="仿宋" w:hAnsi="仿宋" w:eastAsia="仿宋" w:cs="仿宋"/>
                <w:strike w:val="0"/>
                <w:dstrike w:val="0"/>
                <w:color w:val="auto"/>
                <w:sz w:val="24"/>
                <w:highlight w:val="none"/>
              </w:rPr>
              <w:t>”要求的基础上，每有一条“一般参数”优于的加1分，本项最多加</w:t>
            </w:r>
            <w:r>
              <w:rPr>
                <w:rFonts w:hint="eastAsia" w:ascii="仿宋" w:hAnsi="仿宋" w:eastAsia="仿宋" w:cs="仿宋"/>
                <w:strike w:val="0"/>
                <w:dstrike w:val="0"/>
                <w:color w:val="auto"/>
                <w:sz w:val="24"/>
                <w:highlight w:val="none"/>
                <w:lang w:val="en-US" w:eastAsia="zh-CN"/>
              </w:rPr>
              <w:t>5</w:t>
            </w:r>
            <w:r>
              <w:rPr>
                <w:rFonts w:hint="eastAsia" w:ascii="仿宋" w:hAnsi="仿宋" w:eastAsia="仿宋" w:cs="仿宋"/>
                <w:strike w:val="0"/>
                <w:dstrike w:val="0"/>
                <w:color w:val="auto"/>
                <w:sz w:val="24"/>
                <w:highlight w:val="none"/>
              </w:rPr>
              <w:t>分。（加分只针对具有“≥”或“≤”的数值，数值更加优于的进行加分；文字内容或其他内容优于的不加分）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strike w:val="0"/>
                <w:dstrike w:val="0"/>
                <w:color w:val="auto"/>
                <w:sz w:val="24"/>
                <w:highlight w:val="none"/>
              </w:rPr>
            </w:pPr>
            <w:r>
              <w:rPr>
                <w:rFonts w:hint="eastAsia" w:ascii="仿宋" w:hAnsi="仿宋" w:eastAsia="仿宋" w:cs="仿宋"/>
                <w:b/>
                <w:bCs/>
                <w:strike w:val="0"/>
                <w:dstrike w:val="0"/>
                <w:color w:val="auto"/>
                <w:sz w:val="24"/>
                <w:highlight w:val="none"/>
              </w:rPr>
              <w:t>注：“一般参数”为非标“★”号参数和非标“▲”号参数。</w:t>
            </w:r>
          </w:p>
        </w:tc>
        <w:tc>
          <w:tcPr>
            <w:tcW w:w="447"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strike/>
                <w:dstrike w:val="0"/>
                <w:color w:val="auto"/>
                <w:sz w:val="24"/>
                <w:highlight w:val="none"/>
              </w:rPr>
            </w:pPr>
            <w:r>
              <w:rPr>
                <w:rFonts w:hint="eastAsia" w:ascii="仿宋" w:hAnsi="仿宋" w:eastAsia="仿宋" w:cs="仿宋"/>
                <w:strike w:val="0"/>
                <w:dstrike w:val="0"/>
                <w:color w:val="auto"/>
                <w:sz w:val="24"/>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298" w:type="pct"/>
            <w:vMerge w:val="continue"/>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701" w:type="pct"/>
            <w:gridSpan w:val="4"/>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评审依据：提供技术条款响应表和技术支撑文件</w:t>
            </w:r>
            <w:r>
              <w:rPr>
                <w:rFonts w:hint="eastAsia" w:ascii="仿宋" w:hAnsi="仿宋" w:eastAsia="仿宋" w:cs="仿宋"/>
                <w:b/>
                <w:bCs/>
                <w:color w:val="auto"/>
                <w:sz w:val="24"/>
                <w:highlight w:val="none"/>
                <w:lang w:eastAsia="zh-CN"/>
              </w:rPr>
              <w:t>。</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hint="eastAsia"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hint="eastAsia"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hint="eastAsia"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③制造商出具的技术参数证明材料并加盖制造商公章。]</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注：①供应商应认真提供技术支撑文件，若提供多份技术支撑文件，技术支撑文件佐证不一致时，优先级为：产品检测报告复印件＞制造商公开发布的印刷资料＞制造商出具的技术参数证明</w:t>
            </w:r>
            <w:r>
              <w:rPr>
                <w:rFonts w:hint="eastAsia" w:ascii="仿宋" w:hAnsi="仿宋" w:eastAsia="仿宋" w:cs="仿宋"/>
                <w:b/>
                <w:bCs/>
                <w:color w:val="auto"/>
                <w:sz w:val="24"/>
                <w:highlight w:val="none"/>
                <w:lang w:val="en-US" w:eastAsia="zh-CN"/>
              </w:rPr>
              <w:t>材料</w:t>
            </w:r>
            <w:r>
              <w:rPr>
                <w:rFonts w:hint="eastAsia" w:ascii="仿宋" w:hAnsi="仿宋" w:eastAsia="仿宋" w:cs="仿宋"/>
                <w:b/>
                <w:bCs/>
                <w:color w:val="auto"/>
                <w:sz w:val="24"/>
                <w:highlight w:val="none"/>
              </w:rPr>
              <w:t>；②技术支撑文件</w:t>
            </w:r>
            <w:r>
              <w:rPr>
                <w:rFonts w:hint="eastAsia" w:ascii="仿宋" w:hAnsi="仿宋" w:eastAsia="仿宋" w:cs="仿宋"/>
                <w:b/>
                <w:bCs/>
                <w:color w:val="auto"/>
                <w:sz w:val="24"/>
                <w:highlight w:val="none"/>
                <w:lang w:val="en-US" w:eastAsia="zh-CN"/>
              </w:rPr>
              <w:t>与</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不一致，则</w:t>
            </w:r>
            <w:r>
              <w:rPr>
                <w:rFonts w:hint="eastAsia" w:ascii="仿宋" w:hAnsi="仿宋" w:eastAsia="仿宋" w:cs="仿宋"/>
                <w:b/>
                <w:bCs/>
                <w:color w:val="auto"/>
                <w:sz w:val="24"/>
                <w:highlight w:val="none"/>
              </w:rPr>
              <w:t>该点不加分</w:t>
            </w:r>
            <w:r>
              <w:rPr>
                <w:rFonts w:hint="eastAsia" w:ascii="仿宋" w:hAnsi="仿宋" w:eastAsia="仿宋" w:cs="仿宋"/>
                <w:b/>
                <w:bCs/>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98"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089"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整体结构与外观</w:t>
            </w:r>
          </w:p>
        </w:tc>
        <w:tc>
          <w:tcPr>
            <w:tcW w:w="3165"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根据视频文件对核心产品的外观构造、内部结构、设计理念等进行评审。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设计理念先进，外部构造和内部结构科学合理，整体结构外观与实战紧贴程度高的，得3分；设计理念较为先进，外部构造和内部结构较为合理，整体结构外观与实战紧贴程度较高的，得2分；设计理念一般，外观构造和内部结构基本合理，整体结构外观与实战紧贴程度不高的，得1分；未提供证明材料或证明材料有缺项的不得分。</w:t>
            </w:r>
          </w:p>
        </w:tc>
        <w:tc>
          <w:tcPr>
            <w:tcW w:w="447"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9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089"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工艺</w:t>
            </w:r>
          </w:p>
        </w:tc>
        <w:tc>
          <w:tcPr>
            <w:tcW w:w="3165"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根据视频文件对核心产品的安全性、耐用性、实用性等进行评审。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性能高、耐用性能好、实用性能强，工艺符合实战需求程度高的，得3分；安全性能较高、耐用性能良好、实用性能较强，工艺符合实战需求程度较高的，得2分；安全性能不高、耐用性能普通、实用性能一般，工艺符合实战需求程度不高的，得1分；未提供证明材料或证明材料有缺项的不得分。</w:t>
            </w:r>
          </w:p>
        </w:tc>
        <w:tc>
          <w:tcPr>
            <w:tcW w:w="447"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9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089"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操作使用性能</w:t>
            </w:r>
          </w:p>
        </w:tc>
        <w:tc>
          <w:tcPr>
            <w:tcW w:w="3165"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根据视频文件对核心产品的可靠性、便捷性、稳定性等进行评审。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可靠性高、便捷性好、稳定性好，操作使用性能提升战斗力程度高的，得4分；可靠性较高、便捷性较好、稳定性良好，操作使用性能提升战斗力程度较高的，得2分；可靠性不高、便捷性和稳定性一般，操作使用性能提升战斗力程度不高的，得1分；未提供证明材料或证明材料有缺项的不得分。</w:t>
            </w:r>
          </w:p>
        </w:tc>
        <w:tc>
          <w:tcPr>
            <w:tcW w:w="447"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98" w:type="pct"/>
            <w:vMerge w:val="continue"/>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701" w:type="pct"/>
            <w:gridSpan w:val="4"/>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lang w:eastAsia="zh-CN"/>
              </w:rPr>
            </w:pPr>
            <w:r>
              <w:rPr>
                <w:rFonts w:hint="eastAsia" w:ascii="仿宋" w:hAnsi="仿宋" w:eastAsia="仿宋" w:cs="仿宋"/>
                <w:b/>
                <w:bCs/>
                <w:color w:val="auto"/>
                <w:sz w:val="24"/>
                <w:highlight w:val="none"/>
              </w:rPr>
              <w:t>以上评审依据：根据视频文件对产品的整体结构与外观、工艺、操作使用性能进行综合评审，视频文件需对以上三点评审内容进行介绍（包含但不限于以上三点）。视频文件[视频文件格式须为通用格式，佐证视频时长不得超过5分钟，视频清晰度应至少保证所摄的界面文字清晰易辨、画面完整连贯、播放速度正常]应存储于U盘内（单独密封在信封中）与投标文件同时递交，逾期递交不予接收，</w:t>
            </w:r>
            <w:r>
              <w:rPr>
                <w:rFonts w:hint="eastAsia" w:ascii="仿宋" w:hAnsi="仿宋" w:eastAsia="仿宋" w:cs="仿宋"/>
                <w:b/>
                <w:bCs/>
                <w:color w:val="auto"/>
                <w:sz w:val="24"/>
                <w:highlight w:val="none"/>
                <w:lang w:eastAsia="zh-CN"/>
              </w:rPr>
              <w:t>U盘由采购代理机构封存，不予退回。未提供视频或视频无法打开的，得0分。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三、商务部分（1</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1310"/>
        <w:gridCol w:w="6295"/>
        <w:gridCol w:w="9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序号</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评审因素</w:t>
            </w:r>
          </w:p>
        </w:tc>
        <w:tc>
          <w:tcPr>
            <w:tcW w:w="3389"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评分标准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1</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bCs/>
                <w:color w:val="auto"/>
                <w:sz w:val="24"/>
                <w:szCs w:val="22"/>
                <w:highlight w:val="none"/>
              </w:rPr>
            </w:pPr>
            <w:r>
              <w:rPr>
                <w:rFonts w:hint="eastAsia" w:ascii="仿宋" w:hAnsi="仿宋" w:eastAsia="仿宋" w:cs="仿宋"/>
                <w:color w:val="auto"/>
                <w:sz w:val="24"/>
                <w:highlight w:val="none"/>
              </w:rPr>
              <w:t>符合性评审</w:t>
            </w:r>
          </w:p>
        </w:tc>
        <w:tc>
          <w:tcPr>
            <w:tcW w:w="3887" w:type="pct"/>
            <w:gridSpan w:val="2"/>
            <w:vAlign w:val="center"/>
          </w:tcPr>
          <w:p>
            <w:pPr>
              <w:pageBreakBefore w:val="0"/>
              <w:kinsoku/>
              <w:wordWrap/>
              <w:overflowPunct/>
              <w:topLinePunct w:val="0"/>
              <w:autoSpaceDE/>
              <w:autoSpaceDN/>
              <w:bidi w:val="0"/>
              <w:adjustRightInd/>
              <w:snapToGrid/>
              <w:spacing w:line="460" w:lineRule="exact"/>
              <w:rPr>
                <w:rFonts w:eastAsia="仿宋" w:cs="Times New Roman"/>
                <w:color w:val="auto"/>
                <w:sz w:val="24"/>
                <w:szCs w:val="22"/>
                <w:highlight w:val="none"/>
              </w:rPr>
            </w:pPr>
            <w:r>
              <w:rPr>
                <w:rFonts w:hint="eastAsia" w:eastAsia="仿宋" w:cs="Times New Roman"/>
                <w:color w:val="auto"/>
                <w:sz w:val="24"/>
                <w:szCs w:val="22"/>
                <w:highlight w:val="none"/>
              </w:rPr>
              <w:t>投标人必须完全满足招标文件“商务要求”</w:t>
            </w:r>
            <w:r>
              <w:rPr>
                <w:rFonts w:hint="eastAsia" w:eastAsia="仿宋" w:cs="Times New Roman"/>
                <w:color w:val="auto"/>
                <w:sz w:val="24"/>
                <w:szCs w:val="22"/>
                <w:highlight w:val="none"/>
                <w:lang w:val="en-US" w:eastAsia="zh-CN"/>
              </w:rPr>
              <w:t>所有</w:t>
            </w:r>
            <w:r>
              <w:rPr>
                <w:rFonts w:hint="eastAsia" w:eastAsia="仿宋" w:cs="Times New Roman"/>
                <w:color w:val="auto"/>
                <w:sz w:val="24"/>
                <w:szCs w:val="22"/>
                <w:highlight w:val="none"/>
              </w:rPr>
              <w:t>实质性条款，任意一项不满足作无效投标处理。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eastAsia="仿宋" w:cs="Times New Roman"/>
                <w:b/>
                <w:bCs/>
                <w:color w:val="auto"/>
                <w:sz w:val="24"/>
                <w:szCs w:val="22"/>
                <w:highlight w:val="none"/>
              </w:rPr>
              <w:t>评审依据：投标文件中提供的商务条款响应表。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2</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hint="eastAsia" w:eastAsia="仿宋"/>
                <w:color w:val="auto"/>
                <w:sz w:val="24"/>
                <w:szCs w:val="22"/>
                <w:highlight w:val="none"/>
                <w:lang w:eastAsia="zh-CN"/>
              </w:rPr>
            </w:pPr>
            <w:r>
              <w:rPr>
                <w:rFonts w:hint="eastAsia" w:eastAsia="仿宋"/>
                <w:color w:val="auto"/>
                <w:sz w:val="24"/>
                <w:szCs w:val="22"/>
                <w:highlight w:val="none"/>
                <w:lang w:eastAsia="zh-CN"/>
              </w:rPr>
              <w:t>生产制造履约能力</w:t>
            </w:r>
          </w:p>
        </w:tc>
        <w:tc>
          <w:tcPr>
            <w:tcW w:w="3389" w:type="pct"/>
            <w:vAlign w:val="center"/>
          </w:tcPr>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val="en-US" w:eastAsia="zh-CN"/>
              </w:rPr>
              <w:t>投标人提供所投核心产品制造商的证明材料（应加盖制造商公章）</w:t>
            </w:r>
            <w:r>
              <w:rPr>
                <w:rFonts w:hint="eastAsia" w:eastAsia="仿宋" w:cs="Times New Roman"/>
                <w:color w:val="auto"/>
                <w:sz w:val="24"/>
                <w:szCs w:val="22"/>
                <w:highlight w:val="none"/>
              </w:rPr>
              <w:t>对</w:t>
            </w:r>
            <w:r>
              <w:rPr>
                <w:rFonts w:hint="eastAsia" w:eastAsia="仿宋" w:cs="Times New Roman"/>
                <w:color w:val="auto"/>
                <w:sz w:val="24"/>
                <w:szCs w:val="22"/>
                <w:highlight w:val="none"/>
                <w:lang w:eastAsia="zh-CN"/>
              </w:rPr>
              <w:t>生产制造履约能力</w:t>
            </w:r>
            <w:r>
              <w:rPr>
                <w:rFonts w:hint="eastAsia" w:eastAsia="仿宋" w:cs="Times New Roman"/>
                <w:color w:val="auto"/>
                <w:sz w:val="24"/>
                <w:szCs w:val="22"/>
                <w:highlight w:val="none"/>
              </w:rPr>
              <w:t>进行评审，包含但不限于</w:t>
            </w:r>
            <w:r>
              <w:rPr>
                <w:rFonts w:hint="eastAsia" w:eastAsia="仿宋" w:cs="Times New Roman"/>
                <w:color w:val="auto"/>
                <w:sz w:val="24"/>
                <w:szCs w:val="22"/>
                <w:highlight w:val="none"/>
                <w:lang w:eastAsia="zh-CN"/>
              </w:rPr>
              <w:t>：</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eastAsia="zh-CN"/>
              </w:rPr>
              <w:t>①制造商生产经营情况简介；</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②生产工艺流程，主要包括</w:t>
            </w:r>
            <w:r>
              <w:rPr>
                <w:rFonts w:hint="eastAsia" w:eastAsia="仿宋" w:cs="Times New Roman"/>
                <w:color w:val="auto"/>
                <w:sz w:val="24"/>
                <w:szCs w:val="22"/>
                <w:highlight w:val="none"/>
                <w:lang w:val="en-US" w:eastAsia="zh-CN"/>
              </w:rPr>
              <w:t>生产制造流程</w:t>
            </w:r>
            <w:r>
              <w:rPr>
                <w:rFonts w:hint="eastAsia" w:eastAsia="仿宋" w:cs="Times New Roman"/>
                <w:color w:val="auto"/>
                <w:sz w:val="24"/>
                <w:szCs w:val="22"/>
                <w:highlight w:val="none"/>
              </w:rPr>
              <w:t>图、生产步骤</w:t>
            </w:r>
            <w:r>
              <w:rPr>
                <w:rFonts w:hint="eastAsia" w:eastAsia="仿宋" w:cs="Times New Roman"/>
                <w:color w:val="auto"/>
                <w:sz w:val="24"/>
                <w:szCs w:val="22"/>
                <w:highlight w:val="none"/>
                <w:lang w:eastAsia="zh-CN"/>
              </w:rPr>
              <w:t>（应含</w:t>
            </w:r>
            <w:r>
              <w:rPr>
                <w:rFonts w:hint="eastAsia" w:eastAsia="仿宋" w:cs="Times New Roman"/>
                <w:color w:val="auto"/>
                <w:sz w:val="24"/>
                <w:szCs w:val="22"/>
                <w:highlight w:val="none"/>
                <w:lang w:val="en-US" w:eastAsia="zh-CN"/>
              </w:rPr>
              <w:t>生产车间环境及实际生产照片</w:t>
            </w:r>
            <w:r>
              <w:rPr>
                <w:rFonts w:hint="eastAsia" w:eastAsia="仿宋" w:cs="Times New Roman"/>
                <w:color w:val="auto"/>
                <w:sz w:val="24"/>
                <w:szCs w:val="22"/>
                <w:highlight w:val="none"/>
                <w:lang w:eastAsia="zh-CN"/>
              </w:rPr>
              <w:t>）</w:t>
            </w:r>
            <w:r>
              <w:rPr>
                <w:rFonts w:hint="eastAsia" w:eastAsia="仿宋" w:cs="Times New Roman"/>
                <w:color w:val="auto"/>
                <w:sz w:val="24"/>
                <w:szCs w:val="22"/>
                <w:highlight w:val="none"/>
              </w:rPr>
              <w:t>等相关情况</w:t>
            </w:r>
            <w:r>
              <w:rPr>
                <w:rFonts w:hint="eastAsia" w:eastAsia="仿宋" w:cs="Times New Roman"/>
                <w:color w:val="auto"/>
                <w:sz w:val="24"/>
                <w:szCs w:val="22"/>
                <w:highlight w:val="none"/>
                <w:lang w:eastAsia="zh-CN"/>
              </w:rPr>
              <w:t>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③产品检验流程，包括主要检验设备</w:t>
            </w:r>
            <w:r>
              <w:rPr>
                <w:rFonts w:hint="eastAsia" w:eastAsia="仿宋" w:cs="Times New Roman"/>
                <w:color w:val="auto"/>
                <w:sz w:val="24"/>
                <w:szCs w:val="22"/>
                <w:highlight w:val="none"/>
                <w:lang w:eastAsia="zh-CN"/>
              </w:rPr>
              <w:t>（应提供图片）</w:t>
            </w:r>
            <w:r>
              <w:rPr>
                <w:rFonts w:hint="eastAsia" w:eastAsia="仿宋" w:cs="Times New Roman"/>
                <w:color w:val="auto"/>
                <w:sz w:val="24"/>
                <w:szCs w:val="22"/>
                <w:highlight w:val="none"/>
              </w:rPr>
              <w:t>、检验步骤等相关情况描述；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④人员配备：相关专业技术</w:t>
            </w:r>
            <w:r>
              <w:rPr>
                <w:rFonts w:hint="eastAsia" w:eastAsia="仿宋" w:cs="Times New Roman"/>
                <w:color w:val="auto"/>
                <w:sz w:val="24"/>
                <w:szCs w:val="22"/>
                <w:highlight w:val="none"/>
                <w:lang w:eastAsia="zh-CN"/>
              </w:rPr>
              <w:t>职称</w:t>
            </w:r>
            <w:r>
              <w:rPr>
                <w:rFonts w:hint="eastAsia" w:eastAsia="仿宋" w:cs="Times New Roman"/>
                <w:color w:val="auto"/>
                <w:sz w:val="24"/>
                <w:szCs w:val="22"/>
                <w:highlight w:val="none"/>
              </w:rPr>
              <w:t>人员配置情况</w:t>
            </w:r>
            <w:r>
              <w:rPr>
                <w:rFonts w:hint="eastAsia" w:eastAsia="仿宋" w:cs="Times New Roman"/>
                <w:color w:val="auto"/>
                <w:sz w:val="24"/>
                <w:szCs w:val="22"/>
                <w:highlight w:val="none"/>
                <w:lang w:eastAsia="zh-CN"/>
              </w:rPr>
              <w:t>；</w:t>
            </w:r>
            <w:r>
              <w:rPr>
                <w:rFonts w:hint="eastAsia" w:eastAsia="仿宋" w:cs="Times New Roman"/>
                <w:color w:val="auto"/>
                <w:sz w:val="24"/>
                <w:szCs w:val="22"/>
                <w:highlight w:val="none"/>
              </w:rPr>
              <w:t>各原材料采购、生产、检验、仓储、运输等环节的人员配备情况；</w:t>
            </w:r>
          </w:p>
          <w:p>
            <w:pPr>
              <w:pageBreakBefore w:val="0"/>
              <w:kinsoku/>
              <w:wordWrap/>
              <w:overflowPunct/>
              <w:topLinePunct w:val="0"/>
              <w:autoSpaceDE/>
              <w:autoSpaceDN/>
              <w:bidi w:val="0"/>
              <w:adjustRightInd/>
              <w:snapToGrid/>
              <w:spacing w:line="460" w:lineRule="exact"/>
              <w:rPr>
                <w:rFonts w:hint="eastAsia" w:eastAsia="仿宋" w:cs="Times New Roman"/>
                <w:b/>
                <w:bCs/>
                <w:color w:val="auto"/>
                <w:sz w:val="24"/>
                <w:szCs w:val="22"/>
                <w:highlight w:val="none"/>
              </w:rPr>
            </w:pPr>
            <w:r>
              <w:rPr>
                <w:rFonts w:hint="eastAsia" w:eastAsia="仿宋" w:cs="Times New Roman"/>
                <w:b/>
                <w:bCs/>
                <w:color w:val="auto"/>
                <w:sz w:val="24"/>
                <w:szCs w:val="22"/>
                <w:highlight w:val="none"/>
              </w:rPr>
              <w:t>评审依据：</w:t>
            </w:r>
            <w:r>
              <w:rPr>
                <w:rFonts w:hint="eastAsia" w:eastAsia="仿宋" w:cs="Times New Roman"/>
                <w:b/>
                <w:bCs/>
                <w:color w:val="auto"/>
                <w:sz w:val="24"/>
                <w:szCs w:val="22"/>
                <w:highlight w:val="none"/>
                <w:lang w:val="en-US" w:eastAsia="zh-CN"/>
              </w:rPr>
              <w:t>根据</w:t>
            </w:r>
            <w:r>
              <w:rPr>
                <w:rFonts w:hint="eastAsia" w:eastAsia="仿宋" w:cs="Times New Roman"/>
                <w:b/>
                <w:bCs/>
                <w:color w:val="auto"/>
                <w:sz w:val="24"/>
                <w:szCs w:val="22"/>
                <w:highlight w:val="none"/>
              </w:rPr>
              <w:t>投标人提</w:t>
            </w:r>
            <w:r>
              <w:rPr>
                <w:rFonts w:hint="eastAsia" w:eastAsia="仿宋" w:cs="Times New Roman"/>
                <w:b/>
                <w:bCs/>
                <w:color w:val="auto"/>
                <w:sz w:val="24"/>
                <w:szCs w:val="22"/>
                <w:highlight w:val="none"/>
                <w:lang w:val="en-US" w:eastAsia="zh-CN"/>
              </w:rPr>
              <w:t>供的生产制造履约能力方案内容完整性、组织性、关联性和可操作性进行评审</w:t>
            </w:r>
            <w:r>
              <w:rPr>
                <w:rFonts w:hint="eastAsia" w:eastAsia="仿宋" w:cs="Times New Roman"/>
                <w:b/>
                <w:bCs/>
                <w:color w:val="auto"/>
                <w:sz w:val="24"/>
                <w:szCs w:val="22"/>
                <w:highlight w:val="none"/>
              </w:rPr>
              <w:t>。</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1、所投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制造商具备较强自主研发能力及先进的生产工艺，生产车间环境及生产线先进规范，生产步骤完整周详，技术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检验设备配置齐全、检验步骤严密无纰漏，生产制造履约能力</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分；</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制造商有自主研发能力和生产工艺较完整，生产车间环境及生产线常规，生产步骤较完整周详，技术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eastAsia="zh-CN"/>
              </w:rPr>
              <w:t>相对</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检验设备配置较齐全、检验步骤相对完备，生产制造履约能力</w:t>
            </w:r>
            <w:r>
              <w:rPr>
                <w:rFonts w:hint="eastAsia" w:ascii="仿宋" w:hAnsi="仿宋" w:eastAsia="仿宋" w:cs="仿宋"/>
                <w:b/>
                <w:bCs/>
                <w:color w:val="auto"/>
                <w:sz w:val="24"/>
                <w:szCs w:val="24"/>
                <w:highlight w:val="none"/>
                <w:lang w:eastAsia="zh-CN"/>
              </w:rPr>
              <w:t>较</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3、所投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制造商有自主研发能力和生产工艺薄弱，生产车间环境及生产线粗糙落后，生产步骤简单，技术</w:t>
            </w:r>
            <w:r>
              <w:rPr>
                <w:rFonts w:hint="eastAsia" w:ascii="仿宋" w:hAnsi="仿宋" w:eastAsia="仿宋" w:cs="仿宋"/>
                <w:b/>
                <w:bCs/>
                <w:color w:val="auto"/>
                <w:sz w:val="24"/>
                <w:szCs w:val="24"/>
                <w:highlight w:val="none"/>
              </w:rPr>
              <w:t>人员</w:t>
            </w:r>
            <w:r>
              <w:rPr>
                <w:rFonts w:hint="eastAsia" w:ascii="仿宋" w:hAnsi="仿宋" w:eastAsia="仿宋" w:cs="仿宋"/>
                <w:b/>
                <w:bCs/>
                <w:color w:val="auto"/>
                <w:sz w:val="24"/>
                <w:szCs w:val="24"/>
                <w:highlight w:val="none"/>
                <w:lang w:eastAsia="zh-CN"/>
              </w:rPr>
              <w:t>综合实力一般，</w:t>
            </w:r>
            <w:r>
              <w:rPr>
                <w:rFonts w:hint="eastAsia" w:ascii="仿宋" w:hAnsi="仿宋" w:eastAsia="仿宋" w:cs="仿宋"/>
                <w:b/>
                <w:bCs/>
                <w:color w:val="auto"/>
                <w:sz w:val="24"/>
                <w:szCs w:val="24"/>
                <w:highlight w:val="none"/>
                <w:lang w:val="en-US" w:eastAsia="zh-CN"/>
              </w:rPr>
              <w:t>检验设备配置简单落后，检验步骤普通，生产制造履约能力</w:t>
            </w:r>
            <w:r>
              <w:rPr>
                <w:rFonts w:hint="eastAsia" w:ascii="仿宋" w:hAnsi="仿宋" w:eastAsia="仿宋" w:cs="仿宋"/>
                <w:b/>
                <w:bCs/>
                <w:color w:val="auto"/>
                <w:sz w:val="24"/>
                <w:szCs w:val="24"/>
                <w:highlight w:val="none"/>
                <w:lang w:eastAsia="zh-CN"/>
              </w:rPr>
              <w:t>弱</w:t>
            </w:r>
            <w:r>
              <w:rPr>
                <w:rFonts w:hint="eastAsia" w:ascii="仿宋" w:hAnsi="仿宋" w:eastAsia="仿宋" w:cs="仿宋"/>
                <w:b/>
                <w:bCs/>
                <w:color w:val="auto"/>
                <w:sz w:val="24"/>
                <w:szCs w:val="24"/>
                <w:highlight w:val="none"/>
              </w:rPr>
              <w:t>的得</w:t>
            </w: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未提供证明材料或证明材料有缺项的不得分。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3</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质量保证和保修</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eastAsia="仿宋"/>
                <w:color w:val="auto"/>
                <w:sz w:val="24"/>
                <w:szCs w:val="22"/>
                <w:highlight w:val="none"/>
              </w:rPr>
            </w:pPr>
            <w:r>
              <w:rPr>
                <w:rFonts w:eastAsia="仿宋"/>
                <w:color w:val="auto"/>
                <w:sz w:val="24"/>
                <w:szCs w:val="22"/>
                <w:highlight w:val="none"/>
              </w:rPr>
              <w:t>在招标文件商务要求中“质保期”和“保修期”要求基础上，承诺“质保期”和“保修期”均每延长一年的加2分，最多加4分。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eastAsia="仿宋"/>
                <w:b/>
                <w:color w:val="auto"/>
                <w:sz w:val="24"/>
                <w:szCs w:val="22"/>
                <w:highlight w:val="none"/>
              </w:rPr>
              <w:t>评审依据：投标文件中提供“质保期”和“保修期”均延长的承诺函原件。</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类似销售</w:t>
            </w:r>
          </w:p>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案例</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投标人自</w:t>
            </w:r>
            <w:r>
              <w:rPr>
                <w:rFonts w:eastAsia="仿宋" w:cs="Times New Roman"/>
                <w:color w:val="auto"/>
                <w:sz w:val="24"/>
                <w:szCs w:val="22"/>
                <w:highlight w:val="none"/>
              </w:rPr>
              <w:t>20</w:t>
            </w:r>
            <w:r>
              <w:rPr>
                <w:rFonts w:hint="eastAsia" w:eastAsia="仿宋" w:cs="Times New Roman"/>
                <w:color w:val="auto"/>
                <w:sz w:val="24"/>
                <w:szCs w:val="22"/>
                <w:highlight w:val="none"/>
              </w:rPr>
              <w:t>2</w:t>
            </w:r>
            <w:r>
              <w:rPr>
                <w:rFonts w:hint="eastAsia" w:eastAsia="仿宋" w:cs="Times New Roman"/>
                <w:color w:val="auto"/>
                <w:sz w:val="24"/>
                <w:szCs w:val="22"/>
                <w:highlight w:val="none"/>
                <w:lang w:val="en-US" w:eastAsia="zh-CN"/>
              </w:rPr>
              <w:t>1</w:t>
            </w:r>
            <w:r>
              <w:rPr>
                <w:rFonts w:hint="eastAsia" w:eastAsia="仿宋" w:cs="Times New Roman"/>
                <w:color w:val="auto"/>
                <w:sz w:val="24"/>
                <w:szCs w:val="22"/>
                <w:highlight w:val="none"/>
              </w:rPr>
              <w:t>年</w:t>
            </w:r>
            <w:r>
              <w:rPr>
                <w:rFonts w:eastAsia="仿宋" w:cs="Times New Roman"/>
                <w:color w:val="auto"/>
                <w:sz w:val="24"/>
                <w:szCs w:val="22"/>
                <w:highlight w:val="none"/>
              </w:rPr>
              <w:t>1月1日至今（以签订合同时间为准）具有类似</w:t>
            </w:r>
            <w:r>
              <w:rPr>
                <w:rFonts w:hint="eastAsia" w:eastAsia="仿宋" w:cs="Times New Roman"/>
                <w:color w:val="auto"/>
                <w:sz w:val="24"/>
                <w:szCs w:val="22"/>
                <w:highlight w:val="none"/>
                <w:lang w:eastAsia="zh-CN"/>
              </w:rPr>
              <w:t>核心</w:t>
            </w:r>
            <w:r>
              <w:rPr>
                <w:rFonts w:eastAsia="仿宋" w:cs="Times New Roman"/>
                <w:color w:val="auto"/>
                <w:sz w:val="24"/>
                <w:szCs w:val="22"/>
                <w:highlight w:val="none"/>
              </w:rPr>
              <w:t>产品销售案例，每提供1份销售案例加</w:t>
            </w:r>
            <w:r>
              <w:rPr>
                <w:rFonts w:hint="eastAsia" w:eastAsia="仿宋" w:cs="Times New Roman"/>
                <w:color w:val="auto"/>
                <w:sz w:val="24"/>
                <w:szCs w:val="22"/>
                <w:highlight w:val="none"/>
                <w:lang w:val="en-US" w:eastAsia="zh-CN"/>
              </w:rPr>
              <w:t>2</w:t>
            </w:r>
            <w:r>
              <w:rPr>
                <w:rFonts w:hint="eastAsia" w:eastAsia="仿宋" w:cs="Times New Roman"/>
                <w:color w:val="auto"/>
                <w:sz w:val="24"/>
                <w:szCs w:val="22"/>
                <w:highlight w:val="none"/>
              </w:rPr>
              <w:t>分，本项最多加</w:t>
            </w:r>
            <w:r>
              <w:rPr>
                <w:rFonts w:hint="eastAsia" w:eastAsia="仿宋" w:cs="Times New Roman"/>
                <w:color w:val="auto"/>
                <w:sz w:val="24"/>
                <w:szCs w:val="22"/>
                <w:highlight w:val="none"/>
                <w:lang w:val="en-US" w:eastAsia="zh-CN"/>
              </w:rPr>
              <w:t>6</w:t>
            </w:r>
            <w:r>
              <w:rPr>
                <w:rFonts w:hint="eastAsia" w:eastAsia="仿宋" w:cs="Times New Roman"/>
                <w:color w:val="auto"/>
                <w:sz w:val="24"/>
                <w:szCs w:val="22"/>
                <w:highlight w:val="none"/>
              </w:rPr>
              <w:t>分。</w:t>
            </w:r>
          </w:p>
          <w:p>
            <w:pPr>
              <w:pageBreakBefore w:val="0"/>
              <w:kinsoku/>
              <w:wordWrap/>
              <w:overflowPunct/>
              <w:topLinePunct w:val="0"/>
              <w:autoSpaceDE/>
              <w:autoSpaceDN/>
              <w:bidi w:val="0"/>
              <w:adjustRightInd/>
              <w:snapToGrid/>
              <w:spacing w:line="460" w:lineRule="exact"/>
              <w:jc w:val="left"/>
              <w:rPr>
                <w:rFonts w:eastAsia="仿宋"/>
                <w:b/>
                <w:bCs/>
                <w:color w:val="auto"/>
                <w:sz w:val="24"/>
                <w:szCs w:val="22"/>
                <w:highlight w:val="none"/>
              </w:rPr>
            </w:pPr>
            <w:r>
              <w:rPr>
                <w:rFonts w:hint="eastAsia" w:eastAsia="仿宋" w:cs="Times New Roman"/>
                <w:b/>
                <w:bCs/>
                <w:color w:val="auto"/>
                <w:sz w:val="24"/>
                <w:szCs w:val="22"/>
                <w:highlight w:val="none"/>
              </w:rPr>
              <w:t>评审依据：①投标文件中提供销售案例明细表（销售案例明细表包含</w:t>
            </w:r>
            <w:r>
              <w:rPr>
                <w:rFonts w:eastAsia="仿宋" w:cs="Times New Roman"/>
                <w:b/>
                <w:bCs/>
                <w:color w:val="auto"/>
                <w:sz w:val="24"/>
                <w:szCs w:val="22"/>
                <w:highlight w:val="none"/>
              </w:rPr>
              <w:t>:发布网站名称、网页链接地址、采购项目名称、采购单位名称和联系方式、采购代理机构名称和联系方式）；</w:t>
            </w:r>
            <w:r>
              <w:rPr>
                <w:rFonts w:hint="eastAsia" w:eastAsia="仿宋" w:cs="Times New Roman"/>
                <w:b/>
                <w:bCs/>
                <w:color w:val="auto"/>
                <w:sz w:val="24"/>
                <w:szCs w:val="22"/>
                <w:highlight w:val="none"/>
              </w:rPr>
              <w:t>②</w:t>
            </w:r>
            <w:r>
              <w:rPr>
                <w:rFonts w:hint="eastAsia" w:eastAsia="仿宋" w:cs="Times New Roman"/>
                <w:b/>
                <w:bCs/>
                <w:color w:val="auto"/>
                <w:sz w:val="24"/>
                <w:szCs w:val="22"/>
                <w:highlight w:val="none"/>
                <w:lang w:eastAsia="zh-CN"/>
              </w:rPr>
              <w:t>中标（成交）公告截图（打印网页）、中标通知书复印件和合同复印件（中标通知书或合同复印件应体现类似销售案例的货物），合同签订方必须是投标人本身。</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hint="eastAsia" w:eastAsia="仿宋"/>
                <w:color w:val="auto"/>
                <w:sz w:val="24"/>
                <w:szCs w:val="22"/>
                <w:highlight w:val="none"/>
                <w:lang w:val="en-US" w:eastAsia="zh-CN"/>
              </w:rPr>
              <w:t>6</w:t>
            </w:r>
            <w:r>
              <w:rPr>
                <w:rFonts w:eastAsia="仿宋"/>
                <w:color w:val="auto"/>
                <w:sz w:val="24"/>
                <w:szCs w:val="22"/>
                <w:highlight w:val="none"/>
              </w:rPr>
              <w:t>分</w:t>
            </w:r>
          </w:p>
        </w:tc>
      </w:tr>
    </w:tbl>
    <w:p>
      <w:pPr>
        <w:pageBreakBefore w:val="0"/>
        <w:kinsoku/>
        <w:wordWrap/>
        <w:overflowPunct/>
        <w:topLinePunct w:val="0"/>
        <w:autoSpaceDE/>
        <w:autoSpaceDN/>
        <w:bidi w:val="0"/>
        <w:adjustRightInd/>
        <w:snapToGrid/>
        <w:spacing w:line="460" w:lineRule="exact"/>
        <w:rPr>
          <w:color w:val="auto"/>
          <w:highlight w:val="none"/>
        </w:rPr>
      </w:pPr>
    </w:p>
    <w:p>
      <w:pPr>
        <w:pageBreakBefore w:val="0"/>
        <w:kinsoku/>
        <w:wordWrap/>
        <w:overflowPunct/>
        <w:topLinePunct w:val="0"/>
        <w:autoSpaceDE/>
        <w:autoSpaceDN/>
        <w:bidi w:val="0"/>
        <w:adjustRightInd/>
        <w:snapToGrid/>
        <w:spacing w:line="460" w:lineRule="exact"/>
        <w:rPr>
          <w:rFonts w:hint="eastAsia" w:ascii="仿宋" w:hAnsi="仿宋" w:eastAsia="仿宋" w:cs="Times New Roman"/>
          <w:b/>
          <w:bCs/>
          <w:color w:val="auto"/>
          <w:sz w:val="28"/>
          <w:szCs w:val="28"/>
          <w:highlight w:val="none"/>
          <w:lang w:val="en-US" w:eastAsia="zh-CN"/>
        </w:rPr>
      </w:pPr>
      <w:r>
        <w:rPr>
          <w:rFonts w:hint="eastAsia" w:ascii="仿宋" w:hAnsi="仿宋" w:eastAsia="仿宋" w:cs="Times New Roman"/>
          <w:b/>
          <w:bCs/>
          <w:color w:val="auto"/>
          <w:sz w:val="28"/>
          <w:szCs w:val="28"/>
          <w:highlight w:val="none"/>
          <w:lang w:val="en-US" w:eastAsia="zh-CN"/>
        </w:rPr>
        <w:br w:type="page"/>
      </w:r>
    </w:p>
    <w:p>
      <w:pPr>
        <w:pageBreakBefore w:val="0"/>
        <w:kinsoku/>
        <w:wordWrap/>
        <w:overflowPunct/>
        <w:topLinePunct w:val="0"/>
        <w:autoSpaceDE/>
        <w:autoSpaceDN/>
        <w:bidi w:val="0"/>
        <w:adjustRightInd/>
        <w:snapToGrid/>
        <w:spacing w:line="460" w:lineRule="exact"/>
        <w:jc w:val="left"/>
        <w:outlineLvl w:val="1"/>
        <w:rPr>
          <w:rFonts w:hint="eastAsia" w:ascii="仿宋" w:hAnsi="仿宋" w:eastAsia="仿宋" w:cs="Times New Roman"/>
          <w:b/>
          <w:bCs/>
          <w:color w:val="auto"/>
          <w:sz w:val="28"/>
          <w:szCs w:val="28"/>
          <w:highlight w:val="none"/>
          <w:lang w:eastAsia="zh-CN"/>
        </w:rPr>
      </w:pPr>
      <w:bookmarkStart w:id="741" w:name="_Toc18352"/>
      <w:bookmarkStart w:id="742" w:name="_Toc20125"/>
      <w:bookmarkStart w:id="743" w:name="_Toc23340"/>
      <w:bookmarkStart w:id="744" w:name="_Toc2445"/>
      <w:bookmarkStart w:id="745" w:name="_Toc28089"/>
      <w:r>
        <w:rPr>
          <w:rFonts w:hint="eastAsia" w:ascii="仿宋" w:hAnsi="仿宋" w:eastAsia="仿宋" w:cs="Times New Roman"/>
          <w:b/>
          <w:bCs/>
          <w:color w:val="auto"/>
          <w:sz w:val="28"/>
          <w:szCs w:val="28"/>
          <w:highlight w:val="none"/>
          <w:lang w:val="en-US" w:eastAsia="zh-CN"/>
        </w:rPr>
        <w:t>70包</w:t>
      </w:r>
      <w:r>
        <w:rPr>
          <w:rFonts w:hint="eastAsia" w:ascii="仿宋" w:hAnsi="仿宋" w:eastAsia="仿宋" w:cs="Times New Roman"/>
          <w:b/>
          <w:bCs/>
          <w:color w:val="auto"/>
          <w:sz w:val="28"/>
          <w:szCs w:val="28"/>
          <w:highlight w:val="none"/>
        </w:rPr>
        <w:t>：</w:t>
      </w:r>
      <w:r>
        <w:rPr>
          <w:rFonts w:hint="eastAsia" w:ascii="仿宋" w:hAnsi="仿宋" w:eastAsia="仿宋" w:cs="Times New Roman"/>
          <w:b/>
          <w:bCs/>
          <w:color w:val="auto"/>
          <w:sz w:val="28"/>
          <w:szCs w:val="28"/>
          <w:highlight w:val="none"/>
          <w:lang w:val="en-US" w:eastAsia="zh-CN"/>
        </w:rPr>
        <w:t>冰面行动辅助套装、冰面救援滑板、冰面救援服</w:t>
      </w:r>
      <w:r>
        <w:rPr>
          <w:rFonts w:hint="eastAsia" w:ascii="仿宋" w:hAnsi="仿宋" w:eastAsia="仿宋" w:cs="Times New Roman"/>
          <w:b/>
          <w:bCs/>
          <w:color w:val="auto"/>
          <w:sz w:val="28"/>
          <w:szCs w:val="28"/>
          <w:highlight w:val="none"/>
        </w:rPr>
        <w:t>【核心产品】</w:t>
      </w:r>
      <w:bookmarkEnd w:id="741"/>
      <w:bookmarkEnd w:id="742"/>
      <w:bookmarkEnd w:id="743"/>
      <w:bookmarkEnd w:id="744"/>
      <w:bookmarkEnd w:id="745"/>
    </w:p>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hint="eastAsia" w:ascii="仿宋" w:hAnsi="仿宋" w:eastAsia="仿宋"/>
          <w:b/>
          <w:color w:val="auto"/>
          <w:sz w:val="24"/>
          <w:highlight w:val="none"/>
        </w:rPr>
        <w:t>一、价格部分（</w:t>
      </w:r>
      <w:r>
        <w:rPr>
          <w:rFonts w:ascii="仿宋" w:hAnsi="仿宋" w:eastAsia="仿宋"/>
          <w:b/>
          <w:color w:val="auto"/>
          <w:sz w:val="24"/>
          <w:highlight w:val="none"/>
        </w:rPr>
        <w:t>30分）</w:t>
      </w:r>
    </w:p>
    <w:tbl>
      <w:tblPr>
        <w:tblStyle w:val="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1579"/>
        <w:gridCol w:w="6182"/>
        <w:gridCol w:w="8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评审因素</w:t>
            </w:r>
          </w:p>
        </w:tc>
        <w:tc>
          <w:tcPr>
            <w:tcW w:w="3327" w:type="pct"/>
            <w:vAlign w:val="center"/>
          </w:tcPr>
          <w:p>
            <w:pPr>
              <w:pageBreakBefore w:val="0"/>
              <w:kinsoku/>
              <w:wordWrap/>
              <w:overflowPunct/>
              <w:topLinePunct w:val="0"/>
              <w:autoSpaceDE/>
              <w:autoSpaceDN/>
              <w:bidi w:val="0"/>
              <w:adjustRightInd/>
              <w:snapToGrid/>
              <w:spacing w:line="460" w:lineRule="exact"/>
              <w:jc w:val="center"/>
              <w:textAlignment w:val="center"/>
              <w:rPr>
                <w:rFonts w:ascii="仿宋" w:hAnsi="仿宋" w:eastAsia="仿宋" w:cs="仿宋"/>
                <w:b/>
                <w:color w:val="auto"/>
                <w:sz w:val="24"/>
                <w:highlight w:val="none"/>
              </w:rPr>
            </w:pPr>
            <w:r>
              <w:rPr>
                <w:rFonts w:hint="eastAsia" w:ascii="仿宋" w:hAnsi="仿宋" w:eastAsia="仿宋" w:cs="仿宋"/>
                <w:b/>
                <w:bCs/>
                <w:color w:val="auto"/>
                <w:sz w:val="24"/>
                <w:highlight w:val="none"/>
              </w:rPr>
              <w:t>评分标准</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价格分</w:t>
            </w:r>
          </w:p>
        </w:tc>
        <w:tc>
          <w:tcPr>
            <w:tcW w:w="3327" w:type="pct"/>
            <w:vAlign w:val="center"/>
          </w:tcPr>
          <w:p>
            <w:pPr>
              <w:pageBreakBefore w:val="0"/>
              <w:kinsoku/>
              <w:wordWrap/>
              <w:overflowPunct/>
              <w:topLinePunct w:val="0"/>
              <w:autoSpaceDE/>
              <w:autoSpaceDN/>
              <w:bidi w:val="0"/>
              <w:adjustRightInd/>
              <w:snapToGrid/>
              <w:spacing w:line="460" w:lineRule="exact"/>
              <w:jc w:val="left"/>
              <w:textAlignment w:val="center"/>
              <w:rPr>
                <w:rFonts w:ascii="仿宋" w:hAnsi="仿宋" w:eastAsia="仿宋" w:cs="仿宋"/>
                <w:color w:val="auto"/>
                <w:sz w:val="24"/>
                <w:highlight w:val="none"/>
              </w:rPr>
            </w:pPr>
            <w:r>
              <w:rPr>
                <w:rFonts w:hint="eastAsia" w:ascii="仿宋" w:hAnsi="仿宋" w:eastAsia="仿宋" w:cs="仿宋"/>
                <w:color w:val="auto"/>
                <w:sz w:val="24"/>
                <w:highlight w:val="none"/>
              </w:rPr>
              <w:t>根据综合评分法，满足招标文件要求且投标价格最低的投标报价为评标基准价，投标报价得分</w:t>
            </w:r>
            <w:r>
              <w:rPr>
                <w:rFonts w:ascii="仿宋" w:hAnsi="仿宋" w:eastAsia="仿宋" w:cs="仿宋"/>
                <w:color w:val="auto"/>
                <w:sz w:val="24"/>
                <w:highlight w:val="none"/>
              </w:rPr>
              <w:t>=（评标基准价／投标报价）</w:t>
            </w:r>
            <w:r>
              <w:rPr>
                <w:rFonts w:hint="eastAsia" w:ascii="仿宋" w:hAnsi="仿宋" w:eastAsia="仿宋" w:cs="仿宋"/>
                <w:color w:val="auto"/>
                <w:sz w:val="24"/>
                <w:highlight w:val="none"/>
              </w:rPr>
              <w:t>×</w:t>
            </w:r>
            <w:r>
              <w:rPr>
                <w:rFonts w:ascii="仿宋" w:hAnsi="仿宋" w:eastAsia="仿宋" w:cs="仿宋"/>
                <w:color w:val="auto"/>
                <w:sz w:val="24"/>
                <w:highlight w:val="none"/>
              </w:rPr>
              <w:t>30%×100，计算分数时四舍五入取小数点后两位。</w:t>
            </w:r>
          </w:p>
          <w:p>
            <w:pPr>
              <w:pageBreakBefore w:val="0"/>
              <w:kinsoku/>
              <w:wordWrap/>
              <w:overflowPunct/>
              <w:topLinePunct w:val="0"/>
              <w:autoSpaceDE/>
              <w:autoSpaceDN/>
              <w:bidi w:val="0"/>
              <w:adjustRightInd/>
              <w:snapToGrid/>
              <w:spacing w:line="460" w:lineRule="exact"/>
              <w:ind w:firstLine="482" w:firstLineChars="200"/>
              <w:jc w:val="left"/>
              <w:textAlignment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注：</w:t>
            </w:r>
            <w:r>
              <w:rPr>
                <w:rFonts w:ascii="仿宋" w:hAnsi="仿宋" w:eastAsia="仿宋" w:cs="仿宋"/>
                <w:b/>
                <w:bCs/>
                <w:color w:val="auto"/>
                <w:sz w:val="24"/>
                <w:highlight w:val="none"/>
              </w:rPr>
              <w:t>小、微型企业或残疾人福利性单位产品或监狱产品的价格给予10%的扣除，用扣除后的价格参与评审。但残疾人福利性单位本身属于小型、微型企业的，不重复享受政策。</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30分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二、技术部分（5</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5"/>
        <w:gridCol w:w="748"/>
        <w:gridCol w:w="1153"/>
        <w:gridCol w:w="5947"/>
        <w:gridCol w:w="8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26"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1024" w:type="pct"/>
            <w:gridSpan w:val="2"/>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3202"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评分标准</w:t>
            </w:r>
          </w:p>
        </w:tc>
        <w:tc>
          <w:tcPr>
            <w:tcW w:w="446"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326"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024"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技术参数及要求</w:t>
            </w:r>
          </w:p>
        </w:tc>
        <w:tc>
          <w:tcPr>
            <w:tcW w:w="3202" w:type="pct"/>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一、重大负偏离评审依据：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1、带★条款的响应，不满足招标文件要求的，或有缺项、漏项的，视为重大负偏离；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2、一般参数和带“▲”参数共有四项及以上（含本数）的负偏离，视为重大负偏离；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3、所投产品一般参数或带“▲”参数有一项低于招标文件要求，该项视为负偏离；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4、所投产品一般参数或带“▲”参数有一项缺项、漏项的，该项视为负偏离。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注：“一般参数”为非标“★”号参数和非标“▲”号参数。</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①投标文件中提供的技术条款响应表；</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②所投产品技术参数完全满足招标文件要求得</w:t>
            </w:r>
            <w:r>
              <w:rPr>
                <w:rFonts w:hint="eastAsia" w:ascii="仿宋" w:hAnsi="仿宋" w:eastAsia="仿宋" w:cs="仿宋"/>
                <w:b/>
                <w:bCs/>
                <w:color w:val="auto"/>
                <w:sz w:val="24"/>
                <w:highlight w:val="none"/>
                <w:lang w:val="en-US" w:eastAsia="zh-CN"/>
              </w:rPr>
              <w:t>32</w:t>
            </w:r>
            <w:r>
              <w:rPr>
                <w:rFonts w:hint="eastAsia" w:ascii="仿宋" w:hAnsi="仿宋" w:eastAsia="仿宋" w:cs="仿宋"/>
                <w:b/>
                <w:bCs/>
                <w:color w:val="auto"/>
                <w:sz w:val="24"/>
                <w:highlight w:val="none"/>
              </w:rPr>
              <w:t>分；重大负偏离则视为无效投标；一般参数或带“▲”参数每有一项负偏离减5分，最多减15分，四项或以上负偏离视为无效投标。</w:t>
            </w:r>
          </w:p>
        </w:tc>
        <w:tc>
          <w:tcPr>
            <w:tcW w:w="446" w:type="pct"/>
            <w:vAlign w:val="center"/>
          </w:tcPr>
          <w:p>
            <w:pPr>
              <w:pageBreakBefore w:val="0"/>
              <w:kinsoku/>
              <w:wordWrap/>
              <w:overflowPunct/>
              <w:topLinePunct w:val="0"/>
              <w:autoSpaceDE/>
              <w:autoSpaceDN/>
              <w:bidi w:val="0"/>
              <w:adjustRightInd/>
              <w:snapToGrid/>
              <w:spacing w:line="460" w:lineRule="exact"/>
              <w:jc w:val="center"/>
              <w:textAlignment w:val="center"/>
              <w:rPr>
                <w:rFonts w:hint="default"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32分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26"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403" w:type="pc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冰面救援滑板</w:t>
            </w:r>
          </w:p>
        </w:tc>
        <w:tc>
          <w:tcPr>
            <w:tcW w:w="620"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▲3.6水上漂浮载重≥100KG</w:t>
            </w:r>
          </w:p>
        </w:tc>
        <w:tc>
          <w:tcPr>
            <w:tcW w:w="3202"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仿宋"/>
                <w:color w:val="auto"/>
                <w:sz w:val="24"/>
                <w:highlight w:val="none"/>
              </w:rPr>
              <w:t>冰面救援滑板</w:t>
            </w:r>
            <w:r>
              <w:rPr>
                <w:rFonts w:hint="eastAsia" w:ascii="仿宋" w:hAnsi="仿宋" w:eastAsia="仿宋" w:cs="仿宋"/>
                <w:color w:val="auto"/>
                <w:sz w:val="24"/>
                <w:highlight w:val="none"/>
                <w:lang w:val="en-US" w:eastAsia="zh-CN"/>
              </w:rPr>
              <w:t>的</w:t>
            </w:r>
            <w:r>
              <w:rPr>
                <w:rFonts w:hint="eastAsia" w:ascii="仿宋" w:hAnsi="仿宋" w:eastAsia="仿宋" w:cs="仿宋"/>
                <w:color w:val="auto"/>
                <w:sz w:val="24"/>
                <w:highlight w:val="none"/>
              </w:rPr>
              <w:t>水上漂浮载重</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rPr>
              <w:t>水上漂浮载重</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rPr>
              <w:t>水上漂浮载重</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szCs w:val="24"/>
                <w:highlight w:val="none"/>
              </w:rPr>
              <w:t>注：最优表示水上漂浮载重最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，次优表示水上漂浮载重仅次于最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值。</w:t>
            </w:r>
          </w:p>
        </w:tc>
        <w:tc>
          <w:tcPr>
            <w:tcW w:w="44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26"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403" w:type="pct"/>
            <w:vMerge w:val="restar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冰面救援服</w:t>
            </w:r>
          </w:p>
        </w:tc>
        <w:tc>
          <w:tcPr>
            <w:tcW w:w="620"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▲3.4面料经向断裂强力应≥ 750 N</w:t>
            </w:r>
          </w:p>
        </w:tc>
        <w:tc>
          <w:tcPr>
            <w:tcW w:w="3202"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仿宋"/>
                <w:color w:val="auto"/>
                <w:sz w:val="24"/>
                <w:highlight w:val="none"/>
              </w:rPr>
              <w:t>冰面救援服的面料经向断裂强力</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rPr>
              <w:t>面料经向断裂强力</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rPr>
              <w:t>面料经向断裂强力</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注：最优表示面料经向断裂强力最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，次优表示面料经向断裂强力仅次于最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值。</w:t>
            </w:r>
          </w:p>
        </w:tc>
        <w:tc>
          <w:tcPr>
            <w:tcW w:w="44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26"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403" w:type="pct"/>
            <w:vMerge w:val="continue"/>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p>
        </w:tc>
        <w:tc>
          <w:tcPr>
            <w:tcW w:w="620"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▲3.5面料经向撕破强力应≥ 120 N</w:t>
            </w:r>
          </w:p>
        </w:tc>
        <w:tc>
          <w:tcPr>
            <w:tcW w:w="3202"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仿宋"/>
                <w:color w:val="auto"/>
                <w:sz w:val="24"/>
                <w:highlight w:val="none"/>
              </w:rPr>
              <w:t>冰面救援服的面料经向撕破强力</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rPr>
              <w:t>面料经向撕破强力</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rPr>
              <w:t>面料经向撕破强力</w:t>
            </w:r>
            <w:r>
              <w:rPr>
                <w:rFonts w:hint="eastAsia" w:ascii="仿宋" w:hAnsi="仿宋" w:eastAsia="仿宋" w:cs="仿宋"/>
                <w:color w:val="auto"/>
                <w:sz w:val="24"/>
                <w:szCs w:val="24"/>
                <w:highlight w:val="none"/>
              </w:rPr>
              <w:t>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szCs w:val="24"/>
                <w:highlight w:val="none"/>
              </w:rPr>
              <w:t>注：最优表示面料经向撕破强力最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，次优表示面料经向撕破强力仅次于最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值。</w:t>
            </w:r>
          </w:p>
        </w:tc>
        <w:tc>
          <w:tcPr>
            <w:tcW w:w="44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26"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024"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一般参数</w:t>
            </w:r>
          </w:p>
        </w:tc>
        <w:tc>
          <w:tcPr>
            <w:tcW w:w="3202"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在完全满足招标文件“</w:t>
            </w:r>
            <w:r>
              <w:rPr>
                <w:rFonts w:hint="eastAsia" w:ascii="仿宋" w:hAnsi="仿宋" w:eastAsia="仿宋" w:cs="仿宋"/>
                <w:color w:val="auto"/>
                <w:sz w:val="24"/>
                <w:highlight w:val="none"/>
                <w:lang w:eastAsia="zh-CN"/>
              </w:rPr>
              <w:t>所有参数</w:t>
            </w:r>
            <w:r>
              <w:rPr>
                <w:rFonts w:hint="eastAsia" w:ascii="仿宋" w:hAnsi="仿宋" w:eastAsia="仿宋" w:cs="仿宋"/>
                <w:color w:val="auto"/>
                <w:sz w:val="24"/>
                <w:highlight w:val="none"/>
              </w:rPr>
              <w:t>”要求的基础上，每有一条“一般参数”优于的加1分，本项最多加</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分。（加分只针对具有“≥”或“≤”的数值，数值更加优于的进行加分；文字内容或其他内容优于的不加分）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注：“一般参数”为非标“★”号参数和非标“▲”号参数。</w:t>
            </w:r>
          </w:p>
        </w:tc>
        <w:tc>
          <w:tcPr>
            <w:tcW w:w="44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26" w:type="pct"/>
            <w:vMerge w:val="continue"/>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673" w:type="pct"/>
            <w:gridSpan w:val="4"/>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评审依据：提供技术条款响应表和技术支撑文件</w:t>
            </w:r>
            <w:r>
              <w:rPr>
                <w:rFonts w:hint="eastAsia" w:ascii="仿宋" w:hAnsi="仿宋" w:eastAsia="仿宋" w:cs="仿宋"/>
                <w:b/>
                <w:bCs/>
                <w:color w:val="auto"/>
                <w:sz w:val="24"/>
                <w:highlight w:val="none"/>
                <w:lang w:eastAsia="zh-CN"/>
              </w:rPr>
              <w:t>。</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hint="eastAsia"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hint="eastAsia"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hint="eastAsia"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③制造商出具的技术参数证明材料并加盖制造商公章。]</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注：①供应商应认真提供技术支撑文件，若提供多份技术支撑文件，技术支撑文件佐证不一致时，优先级为：产品检测报告复印件＞制造商公开发布的印刷资料＞制造商出具的技术参数证明</w:t>
            </w:r>
            <w:r>
              <w:rPr>
                <w:rFonts w:hint="eastAsia" w:ascii="仿宋" w:hAnsi="仿宋" w:eastAsia="仿宋" w:cs="仿宋"/>
                <w:b/>
                <w:bCs/>
                <w:color w:val="auto"/>
                <w:sz w:val="24"/>
                <w:highlight w:val="none"/>
                <w:lang w:val="en-US" w:eastAsia="zh-CN"/>
              </w:rPr>
              <w:t>材料</w:t>
            </w:r>
            <w:r>
              <w:rPr>
                <w:rFonts w:hint="eastAsia" w:ascii="仿宋" w:hAnsi="仿宋" w:eastAsia="仿宋" w:cs="仿宋"/>
                <w:b/>
                <w:bCs/>
                <w:color w:val="auto"/>
                <w:sz w:val="24"/>
                <w:highlight w:val="none"/>
              </w:rPr>
              <w:t>；②技术支撑文件</w:t>
            </w:r>
            <w:r>
              <w:rPr>
                <w:rFonts w:hint="eastAsia" w:ascii="仿宋" w:hAnsi="仿宋" w:eastAsia="仿宋" w:cs="仿宋"/>
                <w:b/>
                <w:bCs/>
                <w:color w:val="auto"/>
                <w:sz w:val="24"/>
                <w:highlight w:val="none"/>
                <w:lang w:val="en-US" w:eastAsia="zh-CN"/>
              </w:rPr>
              <w:t>与</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不一致，则</w:t>
            </w:r>
            <w:r>
              <w:rPr>
                <w:rFonts w:hint="eastAsia" w:ascii="仿宋" w:hAnsi="仿宋" w:eastAsia="仿宋" w:cs="仿宋"/>
                <w:b/>
                <w:bCs/>
                <w:color w:val="auto"/>
                <w:sz w:val="24"/>
                <w:highlight w:val="none"/>
              </w:rPr>
              <w:t>该点不加分</w:t>
            </w:r>
            <w:r>
              <w:rPr>
                <w:rFonts w:hint="eastAsia" w:ascii="仿宋" w:hAnsi="仿宋" w:eastAsia="仿宋" w:cs="仿宋"/>
                <w:b/>
                <w:bCs/>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26"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024"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整体结构与外观</w:t>
            </w:r>
          </w:p>
        </w:tc>
        <w:tc>
          <w:tcPr>
            <w:tcW w:w="3202"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根据视频文件对核心产品的外观构造、内部结构、设计理念等进行评审。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设计理念先进，外部构造和内部结构科学合理，整体结构外观与实战紧贴程度高的，得3分；设计理念较为先进，外部构造和内部结构较为合理，整体结构外观与实战紧贴程度较高的，得2分；设计理念一般，外观构造和内部结构基本合理，整体结构外观与实战紧贴程度不高的，得1分；未提供证明材料或证明材料有缺项的不得分。</w:t>
            </w:r>
          </w:p>
        </w:tc>
        <w:tc>
          <w:tcPr>
            <w:tcW w:w="44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26"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024"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工艺</w:t>
            </w:r>
          </w:p>
        </w:tc>
        <w:tc>
          <w:tcPr>
            <w:tcW w:w="3202"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根据视频文件对核心产品的安全性、耐用性、实用性等进行评审。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性能高、耐用性能好、实用性能强，工艺符合实战需求程度高的，得3分；安全性能较高、耐用性能良好、实用性能较强，工艺符合实战需求程度较高的，得2分；安全性能不高、耐用性能普通、实用性能一般，工艺符合实战需求程度不高的，得1分；未提供证明材料或证明材料有缺项的不得分。</w:t>
            </w:r>
          </w:p>
        </w:tc>
        <w:tc>
          <w:tcPr>
            <w:tcW w:w="44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26"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024"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操作使用性能</w:t>
            </w:r>
          </w:p>
        </w:tc>
        <w:tc>
          <w:tcPr>
            <w:tcW w:w="3202"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根据视频文件对核心产品的可靠性、便捷性、稳定性等进行评审。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可靠性高、便捷性好、稳定性好，操作使用性能提升战斗力程度高的，得4分；可靠性较高、便捷性较好、稳定性良好，操作使用性能提升战斗力程度较高的，得2分；可靠性不高、便捷性和稳定性一般，操作使用性能提升战斗力程度不高的，得1分；未提供证明材料或证明材料有缺项的不得分。</w:t>
            </w:r>
          </w:p>
        </w:tc>
        <w:tc>
          <w:tcPr>
            <w:tcW w:w="44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26" w:type="pct"/>
            <w:vMerge w:val="continue"/>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673" w:type="pct"/>
            <w:gridSpan w:val="4"/>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lang w:eastAsia="zh-CN"/>
              </w:rPr>
            </w:pPr>
            <w:r>
              <w:rPr>
                <w:rFonts w:hint="eastAsia" w:ascii="仿宋" w:hAnsi="仿宋" w:eastAsia="仿宋" w:cs="仿宋"/>
                <w:b/>
                <w:bCs/>
                <w:color w:val="auto"/>
                <w:sz w:val="24"/>
                <w:highlight w:val="none"/>
              </w:rPr>
              <w:t>以上评审依据：根据视频文件对产品的整体结构与外观、工艺、操作使用性能进行综合评审，视频文件需对以上三点评审内容进行介绍（包含但不限于以上三点）。视频文件[视频文件格式须为通用格式，佐证视频时长不得超过5分钟，视频清晰度应至少保证所摄的界面文字清晰易辨、画面完整连贯、播放速度正常]应存储于U盘内（单独密封在信封中）与投标文件同时递交，逾期递交不予接收，</w:t>
            </w:r>
            <w:r>
              <w:rPr>
                <w:rFonts w:hint="eastAsia" w:ascii="仿宋" w:hAnsi="仿宋" w:eastAsia="仿宋" w:cs="仿宋"/>
                <w:b/>
                <w:bCs/>
                <w:color w:val="auto"/>
                <w:sz w:val="24"/>
                <w:highlight w:val="none"/>
                <w:lang w:eastAsia="zh-CN"/>
              </w:rPr>
              <w:t>U盘由采购代理机构封存，不予退回。未提供视频或视频无法打开的，得0分。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三、商务部分（1</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1310"/>
        <w:gridCol w:w="6295"/>
        <w:gridCol w:w="9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序号</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评审因素</w:t>
            </w:r>
          </w:p>
        </w:tc>
        <w:tc>
          <w:tcPr>
            <w:tcW w:w="3389"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评分标准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1</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bCs/>
                <w:color w:val="auto"/>
                <w:sz w:val="24"/>
                <w:szCs w:val="22"/>
                <w:highlight w:val="none"/>
              </w:rPr>
            </w:pPr>
            <w:r>
              <w:rPr>
                <w:rFonts w:hint="eastAsia" w:ascii="仿宋" w:hAnsi="仿宋" w:eastAsia="仿宋" w:cs="仿宋"/>
                <w:color w:val="auto"/>
                <w:sz w:val="24"/>
                <w:highlight w:val="none"/>
              </w:rPr>
              <w:t>符合性评审</w:t>
            </w:r>
          </w:p>
        </w:tc>
        <w:tc>
          <w:tcPr>
            <w:tcW w:w="3887" w:type="pct"/>
            <w:gridSpan w:val="2"/>
            <w:vAlign w:val="center"/>
          </w:tcPr>
          <w:p>
            <w:pPr>
              <w:pageBreakBefore w:val="0"/>
              <w:kinsoku/>
              <w:wordWrap/>
              <w:overflowPunct/>
              <w:topLinePunct w:val="0"/>
              <w:autoSpaceDE/>
              <w:autoSpaceDN/>
              <w:bidi w:val="0"/>
              <w:adjustRightInd/>
              <w:snapToGrid/>
              <w:spacing w:line="460" w:lineRule="exact"/>
              <w:rPr>
                <w:rFonts w:eastAsia="仿宋" w:cs="Times New Roman"/>
                <w:color w:val="auto"/>
                <w:sz w:val="24"/>
                <w:szCs w:val="22"/>
                <w:highlight w:val="none"/>
              </w:rPr>
            </w:pPr>
            <w:r>
              <w:rPr>
                <w:rFonts w:hint="eastAsia" w:eastAsia="仿宋" w:cs="Times New Roman"/>
                <w:color w:val="auto"/>
                <w:sz w:val="24"/>
                <w:szCs w:val="22"/>
                <w:highlight w:val="none"/>
              </w:rPr>
              <w:t>投标人必须完全满足招标文件“商务要求”</w:t>
            </w:r>
            <w:r>
              <w:rPr>
                <w:rFonts w:hint="eastAsia" w:eastAsia="仿宋" w:cs="Times New Roman"/>
                <w:color w:val="auto"/>
                <w:sz w:val="24"/>
                <w:szCs w:val="22"/>
                <w:highlight w:val="none"/>
                <w:lang w:val="en-US" w:eastAsia="zh-CN"/>
              </w:rPr>
              <w:t>所有</w:t>
            </w:r>
            <w:r>
              <w:rPr>
                <w:rFonts w:hint="eastAsia" w:eastAsia="仿宋" w:cs="Times New Roman"/>
                <w:color w:val="auto"/>
                <w:sz w:val="24"/>
                <w:szCs w:val="22"/>
                <w:highlight w:val="none"/>
              </w:rPr>
              <w:t>实质性条款，任意一项不满足作无效投标处理。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eastAsia="仿宋" w:cs="Times New Roman"/>
                <w:b/>
                <w:bCs/>
                <w:color w:val="auto"/>
                <w:sz w:val="24"/>
                <w:szCs w:val="22"/>
                <w:highlight w:val="none"/>
              </w:rPr>
              <w:t>评审依据：投标文件中提供的商务条款响应表。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2</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hint="eastAsia" w:eastAsia="仿宋"/>
                <w:color w:val="auto"/>
                <w:sz w:val="24"/>
                <w:szCs w:val="22"/>
                <w:highlight w:val="none"/>
                <w:lang w:eastAsia="zh-CN"/>
              </w:rPr>
            </w:pPr>
            <w:r>
              <w:rPr>
                <w:rFonts w:hint="eastAsia" w:eastAsia="仿宋"/>
                <w:color w:val="auto"/>
                <w:sz w:val="24"/>
                <w:szCs w:val="22"/>
                <w:highlight w:val="none"/>
                <w:lang w:eastAsia="zh-CN"/>
              </w:rPr>
              <w:t>生产制造履约能力</w:t>
            </w:r>
          </w:p>
        </w:tc>
        <w:tc>
          <w:tcPr>
            <w:tcW w:w="3389" w:type="pct"/>
            <w:vAlign w:val="center"/>
          </w:tcPr>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val="en-US" w:eastAsia="zh-CN"/>
              </w:rPr>
              <w:t>投标人提供所投核心产品制造商的证明材料（应加盖制造商公章）</w:t>
            </w:r>
            <w:r>
              <w:rPr>
                <w:rFonts w:hint="eastAsia" w:eastAsia="仿宋" w:cs="Times New Roman"/>
                <w:color w:val="auto"/>
                <w:sz w:val="24"/>
                <w:szCs w:val="22"/>
                <w:highlight w:val="none"/>
              </w:rPr>
              <w:t>对</w:t>
            </w:r>
            <w:r>
              <w:rPr>
                <w:rFonts w:hint="eastAsia" w:eastAsia="仿宋" w:cs="Times New Roman"/>
                <w:color w:val="auto"/>
                <w:sz w:val="24"/>
                <w:szCs w:val="22"/>
                <w:highlight w:val="none"/>
                <w:lang w:eastAsia="zh-CN"/>
              </w:rPr>
              <w:t>生产制造履约能力</w:t>
            </w:r>
            <w:r>
              <w:rPr>
                <w:rFonts w:hint="eastAsia" w:eastAsia="仿宋" w:cs="Times New Roman"/>
                <w:color w:val="auto"/>
                <w:sz w:val="24"/>
                <w:szCs w:val="22"/>
                <w:highlight w:val="none"/>
              </w:rPr>
              <w:t>进行评审，包含但不限于</w:t>
            </w:r>
            <w:r>
              <w:rPr>
                <w:rFonts w:hint="eastAsia" w:eastAsia="仿宋" w:cs="Times New Roman"/>
                <w:color w:val="auto"/>
                <w:sz w:val="24"/>
                <w:szCs w:val="22"/>
                <w:highlight w:val="none"/>
                <w:lang w:eastAsia="zh-CN"/>
              </w:rPr>
              <w:t>：</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eastAsia="zh-CN"/>
              </w:rPr>
              <w:t>①制造商生产经营情况简介；</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②生产工艺流程，主要包括</w:t>
            </w:r>
            <w:r>
              <w:rPr>
                <w:rFonts w:hint="eastAsia" w:eastAsia="仿宋" w:cs="Times New Roman"/>
                <w:color w:val="auto"/>
                <w:sz w:val="24"/>
                <w:szCs w:val="22"/>
                <w:highlight w:val="none"/>
                <w:lang w:val="en-US" w:eastAsia="zh-CN"/>
              </w:rPr>
              <w:t>生产制造流程</w:t>
            </w:r>
            <w:r>
              <w:rPr>
                <w:rFonts w:hint="eastAsia" w:eastAsia="仿宋" w:cs="Times New Roman"/>
                <w:color w:val="auto"/>
                <w:sz w:val="24"/>
                <w:szCs w:val="22"/>
                <w:highlight w:val="none"/>
              </w:rPr>
              <w:t>图、生产步骤</w:t>
            </w:r>
            <w:r>
              <w:rPr>
                <w:rFonts w:hint="eastAsia" w:eastAsia="仿宋" w:cs="Times New Roman"/>
                <w:color w:val="auto"/>
                <w:sz w:val="24"/>
                <w:szCs w:val="22"/>
                <w:highlight w:val="none"/>
                <w:lang w:eastAsia="zh-CN"/>
              </w:rPr>
              <w:t>（应含</w:t>
            </w:r>
            <w:r>
              <w:rPr>
                <w:rFonts w:hint="eastAsia" w:eastAsia="仿宋" w:cs="Times New Roman"/>
                <w:color w:val="auto"/>
                <w:sz w:val="24"/>
                <w:szCs w:val="22"/>
                <w:highlight w:val="none"/>
                <w:lang w:val="en-US" w:eastAsia="zh-CN"/>
              </w:rPr>
              <w:t>生产车间环境及实际生产照片</w:t>
            </w:r>
            <w:r>
              <w:rPr>
                <w:rFonts w:hint="eastAsia" w:eastAsia="仿宋" w:cs="Times New Roman"/>
                <w:color w:val="auto"/>
                <w:sz w:val="24"/>
                <w:szCs w:val="22"/>
                <w:highlight w:val="none"/>
                <w:lang w:eastAsia="zh-CN"/>
              </w:rPr>
              <w:t>）</w:t>
            </w:r>
            <w:r>
              <w:rPr>
                <w:rFonts w:hint="eastAsia" w:eastAsia="仿宋" w:cs="Times New Roman"/>
                <w:color w:val="auto"/>
                <w:sz w:val="24"/>
                <w:szCs w:val="22"/>
                <w:highlight w:val="none"/>
              </w:rPr>
              <w:t>等相关情况</w:t>
            </w:r>
            <w:r>
              <w:rPr>
                <w:rFonts w:hint="eastAsia" w:eastAsia="仿宋" w:cs="Times New Roman"/>
                <w:color w:val="auto"/>
                <w:sz w:val="24"/>
                <w:szCs w:val="22"/>
                <w:highlight w:val="none"/>
                <w:lang w:eastAsia="zh-CN"/>
              </w:rPr>
              <w:t>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③产品检验流程，包括主要检验设备</w:t>
            </w:r>
            <w:r>
              <w:rPr>
                <w:rFonts w:hint="eastAsia" w:eastAsia="仿宋" w:cs="Times New Roman"/>
                <w:color w:val="auto"/>
                <w:sz w:val="24"/>
                <w:szCs w:val="22"/>
                <w:highlight w:val="none"/>
                <w:lang w:eastAsia="zh-CN"/>
              </w:rPr>
              <w:t>（应提供图片）</w:t>
            </w:r>
            <w:r>
              <w:rPr>
                <w:rFonts w:hint="eastAsia" w:eastAsia="仿宋" w:cs="Times New Roman"/>
                <w:color w:val="auto"/>
                <w:sz w:val="24"/>
                <w:szCs w:val="22"/>
                <w:highlight w:val="none"/>
              </w:rPr>
              <w:t>、检验步骤等相关情况描述；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④人员配备：相关专业技术</w:t>
            </w:r>
            <w:r>
              <w:rPr>
                <w:rFonts w:hint="eastAsia" w:eastAsia="仿宋" w:cs="Times New Roman"/>
                <w:color w:val="auto"/>
                <w:sz w:val="24"/>
                <w:szCs w:val="22"/>
                <w:highlight w:val="none"/>
                <w:lang w:eastAsia="zh-CN"/>
              </w:rPr>
              <w:t>职称</w:t>
            </w:r>
            <w:r>
              <w:rPr>
                <w:rFonts w:hint="eastAsia" w:eastAsia="仿宋" w:cs="Times New Roman"/>
                <w:color w:val="auto"/>
                <w:sz w:val="24"/>
                <w:szCs w:val="22"/>
                <w:highlight w:val="none"/>
              </w:rPr>
              <w:t>人员配置情况</w:t>
            </w:r>
            <w:r>
              <w:rPr>
                <w:rFonts w:hint="eastAsia" w:eastAsia="仿宋" w:cs="Times New Roman"/>
                <w:color w:val="auto"/>
                <w:sz w:val="24"/>
                <w:szCs w:val="22"/>
                <w:highlight w:val="none"/>
                <w:lang w:eastAsia="zh-CN"/>
              </w:rPr>
              <w:t>；</w:t>
            </w:r>
            <w:r>
              <w:rPr>
                <w:rFonts w:hint="eastAsia" w:eastAsia="仿宋" w:cs="Times New Roman"/>
                <w:color w:val="auto"/>
                <w:sz w:val="24"/>
                <w:szCs w:val="22"/>
                <w:highlight w:val="none"/>
              </w:rPr>
              <w:t>各原材料采购、生产、检验、仓储、运输等环节的人员配备情况；</w:t>
            </w:r>
          </w:p>
          <w:p>
            <w:pPr>
              <w:pageBreakBefore w:val="0"/>
              <w:kinsoku/>
              <w:wordWrap/>
              <w:overflowPunct/>
              <w:topLinePunct w:val="0"/>
              <w:autoSpaceDE/>
              <w:autoSpaceDN/>
              <w:bidi w:val="0"/>
              <w:adjustRightInd/>
              <w:snapToGrid/>
              <w:spacing w:line="460" w:lineRule="exact"/>
              <w:rPr>
                <w:rFonts w:hint="eastAsia" w:eastAsia="仿宋" w:cs="Times New Roman"/>
                <w:b/>
                <w:bCs/>
                <w:color w:val="auto"/>
                <w:sz w:val="24"/>
                <w:szCs w:val="22"/>
                <w:highlight w:val="none"/>
              </w:rPr>
            </w:pPr>
            <w:r>
              <w:rPr>
                <w:rFonts w:hint="eastAsia" w:eastAsia="仿宋" w:cs="Times New Roman"/>
                <w:b/>
                <w:bCs/>
                <w:color w:val="auto"/>
                <w:sz w:val="24"/>
                <w:szCs w:val="22"/>
                <w:highlight w:val="none"/>
              </w:rPr>
              <w:t>评审依据：</w:t>
            </w:r>
            <w:r>
              <w:rPr>
                <w:rFonts w:hint="eastAsia" w:eastAsia="仿宋" w:cs="Times New Roman"/>
                <w:b/>
                <w:bCs/>
                <w:color w:val="auto"/>
                <w:sz w:val="24"/>
                <w:szCs w:val="22"/>
                <w:highlight w:val="none"/>
                <w:lang w:val="en-US" w:eastAsia="zh-CN"/>
              </w:rPr>
              <w:t>根据</w:t>
            </w:r>
            <w:r>
              <w:rPr>
                <w:rFonts w:hint="eastAsia" w:eastAsia="仿宋" w:cs="Times New Roman"/>
                <w:b/>
                <w:bCs/>
                <w:color w:val="auto"/>
                <w:sz w:val="24"/>
                <w:szCs w:val="22"/>
                <w:highlight w:val="none"/>
              </w:rPr>
              <w:t>投标人提</w:t>
            </w:r>
            <w:r>
              <w:rPr>
                <w:rFonts w:hint="eastAsia" w:eastAsia="仿宋" w:cs="Times New Roman"/>
                <w:b/>
                <w:bCs/>
                <w:color w:val="auto"/>
                <w:sz w:val="24"/>
                <w:szCs w:val="22"/>
                <w:highlight w:val="none"/>
                <w:lang w:val="en-US" w:eastAsia="zh-CN"/>
              </w:rPr>
              <w:t>供的生产制造履约能力方案内容完整性、组织性、关联性和可操作性进行评审</w:t>
            </w:r>
            <w:r>
              <w:rPr>
                <w:rFonts w:hint="eastAsia" w:eastAsia="仿宋" w:cs="Times New Roman"/>
                <w:b/>
                <w:bCs/>
                <w:color w:val="auto"/>
                <w:sz w:val="24"/>
                <w:szCs w:val="22"/>
                <w:highlight w:val="none"/>
              </w:rPr>
              <w:t>。</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1、所投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制造商具备较强自主研发能力及先进的生产工艺，生产车间环境及生产线先进规范，生产步骤完整周详，技术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检验设备配置齐全、检验步骤严密无纰漏，生产制造履约能力</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分；</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制造商有自主研发能力和生产工艺较完整，生产车间环境及生产线常规，生产步骤较完整周详，技术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eastAsia="zh-CN"/>
              </w:rPr>
              <w:t>相对</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检验设备配置较齐全、检验步骤相对完备，生产制造履约能力</w:t>
            </w:r>
            <w:r>
              <w:rPr>
                <w:rFonts w:hint="eastAsia" w:ascii="仿宋" w:hAnsi="仿宋" w:eastAsia="仿宋" w:cs="仿宋"/>
                <w:b/>
                <w:bCs/>
                <w:color w:val="auto"/>
                <w:sz w:val="24"/>
                <w:szCs w:val="24"/>
                <w:highlight w:val="none"/>
                <w:lang w:eastAsia="zh-CN"/>
              </w:rPr>
              <w:t>较</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3、所投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制造商有自主研发能力和生产工艺薄弱，生产车间环境及生产线粗糙落后，生产步骤简单，技术</w:t>
            </w:r>
            <w:r>
              <w:rPr>
                <w:rFonts w:hint="eastAsia" w:ascii="仿宋" w:hAnsi="仿宋" w:eastAsia="仿宋" w:cs="仿宋"/>
                <w:b/>
                <w:bCs/>
                <w:color w:val="auto"/>
                <w:sz w:val="24"/>
                <w:szCs w:val="24"/>
                <w:highlight w:val="none"/>
              </w:rPr>
              <w:t>人员</w:t>
            </w:r>
            <w:r>
              <w:rPr>
                <w:rFonts w:hint="eastAsia" w:ascii="仿宋" w:hAnsi="仿宋" w:eastAsia="仿宋" w:cs="仿宋"/>
                <w:b/>
                <w:bCs/>
                <w:color w:val="auto"/>
                <w:sz w:val="24"/>
                <w:szCs w:val="24"/>
                <w:highlight w:val="none"/>
                <w:lang w:eastAsia="zh-CN"/>
              </w:rPr>
              <w:t>综合实力一般，</w:t>
            </w:r>
            <w:r>
              <w:rPr>
                <w:rFonts w:hint="eastAsia" w:ascii="仿宋" w:hAnsi="仿宋" w:eastAsia="仿宋" w:cs="仿宋"/>
                <w:b/>
                <w:bCs/>
                <w:color w:val="auto"/>
                <w:sz w:val="24"/>
                <w:szCs w:val="24"/>
                <w:highlight w:val="none"/>
                <w:lang w:val="en-US" w:eastAsia="zh-CN"/>
              </w:rPr>
              <w:t>检验设备配置简单落后，检验步骤普通，生产制造履约能力</w:t>
            </w:r>
            <w:r>
              <w:rPr>
                <w:rFonts w:hint="eastAsia" w:ascii="仿宋" w:hAnsi="仿宋" w:eastAsia="仿宋" w:cs="仿宋"/>
                <w:b/>
                <w:bCs/>
                <w:color w:val="auto"/>
                <w:sz w:val="24"/>
                <w:szCs w:val="24"/>
                <w:highlight w:val="none"/>
                <w:lang w:eastAsia="zh-CN"/>
              </w:rPr>
              <w:t>弱</w:t>
            </w:r>
            <w:r>
              <w:rPr>
                <w:rFonts w:hint="eastAsia" w:ascii="仿宋" w:hAnsi="仿宋" w:eastAsia="仿宋" w:cs="仿宋"/>
                <w:b/>
                <w:bCs/>
                <w:color w:val="auto"/>
                <w:sz w:val="24"/>
                <w:szCs w:val="24"/>
                <w:highlight w:val="none"/>
              </w:rPr>
              <w:t>的得</w:t>
            </w: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未提供证明材料或证明材料有缺项的不得分。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3</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质量保证和保修</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eastAsia="仿宋"/>
                <w:color w:val="auto"/>
                <w:sz w:val="24"/>
                <w:szCs w:val="22"/>
                <w:highlight w:val="none"/>
              </w:rPr>
            </w:pPr>
            <w:r>
              <w:rPr>
                <w:rFonts w:eastAsia="仿宋"/>
                <w:color w:val="auto"/>
                <w:sz w:val="24"/>
                <w:szCs w:val="22"/>
                <w:highlight w:val="none"/>
              </w:rPr>
              <w:t>在招标文件商务要求中“质保期”和“保修期”要求基础上，承诺“质保期”和“保修期”均每延长一年的加2分，最多加4分。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eastAsia="仿宋"/>
                <w:b/>
                <w:color w:val="auto"/>
                <w:sz w:val="24"/>
                <w:szCs w:val="22"/>
                <w:highlight w:val="none"/>
              </w:rPr>
              <w:t>评审依据：投标文件中提供“质保期”和“保修期”均延长的承诺函原件。</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类似销售</w:t>
            </w:r>
          </w:p>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案例</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投标人自</w:t>
            </w:r>
            <w:r>
              <w:rPr>
                <w:rFonts w:eastAsia="仿宋" w:cs="Times New Roman"/>
                <w:color w:val="auto"/>
                <w:sz w:val="24"/>
                <w:szCs w:val="22"/>
                <w:highlight w:val="none"/>
              </w:rPr>
              <w:t>20</w:t>
            </w:r>
            <w:r>
              <w:rPr>
                <w:rFonts w:hint="eastAsia" w:eastAsia="仿宋" w:cs="Times New Roman"/>
                <w:color w:val="auto"/>
                <w:sz w:val="24"/>
                <w:szCs w:val="22"/>
                <w:highlight w:val="none"/>
              </w:rPr>
              <w:t>2</w:t>
            </w:r>
            <w:r>
              <w:rPr>
                <w:rFonts w:hint="eastAsia" w:eastAsia="仿宋" w:cs="Times New Roman"/>
                <w:color w:val="auto"/>
                <w:sz w:val="24"/>
                <w:szCs w:val="22"/>
                <w:highlight w:val="none"/>
                <w:lang w:val="en-US" w:eastAsia="zh-CN"/>
              </w:rPr>
              <w:t>1</w:t>
            </w:r>
            <w:r>
              <w:rPr>
                <w:rFonts w:hint="eastAsia" w:eastAsia="仿宋" w:cs="Times New Roman"/>
                <w:color w:val="auto"/>
                <w:sz w:val="24"/>
                <w:szCs w:val="22"/>
                <w:highlight w:val="none"/>
              </w:rPr>
              <w:t>年</w:t>
            </w:r>
            <w:r>
              <w:rPr>
                <w:rFonts w:eastAsia="仿宋" w:cs="Times New Roman"/>
                <w:color w:val="auto"/>
                <w:sz w:val="24"/>
                <w:szCs w:val="22"/>
                <w:highlight w:val="none"/>
              </w:rPr>
              <w:t>1月1日至今（以签订合同时间为准）具有类似</w:t>
            </w:r>
            <w:r>
              <w:rPr>
                <w:rFonts w:hint="eastAsia" w:eastAsia="仿宋" w:cs="Times New Roman"/>
                <w:color w:val="auto"/>
                <w:sz w:val="24"/>
                <w:szCs w:val="22"/>
                <w:highlight w:val="none"/>
                <w:lang w:eastAsia="zh-CN"/>
              </w:rPr>
              <w:t>核心</w:t>
            </w:r>
            <w:r>
              <w:rPr>
                <w:rFonts w:eastAsia="仿宋" w:cs="Times New Roman"/>
                <w:color w:val="auto"/>
                <w:sz w:val="24"/>
                <w:szCs w:val="22"/>
                <w:highlight w:val="none"/>
              </w:rPr>
              <w:t>产品销售案例，每提供1份销售案例加</w:t>
            </w:r>
            <w:r>
              <w:rPr>
                <w:rFonts w:hint="eastAsia" w:eastAsia="仿宋" w:cs="Times New Roman"/>
                <w:color w:val="auto"/>
                <w:sz w:val="24"/>
                <w:szCs w:val="22"/>
                <w:highlight w:val="none"/>
                <w:lang w:val="en-US" w:eastAsia="zh-CN"/>
              </w:rPr>
              <w:t>2</w:t>
            </w:r>
            <w:r>
              <w:rPr>
                <w:rFonts w:hint="eastAsia" w:eastAsia="仿宋" w:cs="Times New Roman"/>
                <w:color w:val="auto"/>
                <w:sz w:val="24"/>
                <w:szCs w:val="22"/>
                <w:highlight w:val="none"/>
              </w:rPr>
              <w:t>分，本项最多加</w:t>
            </w:r>
            <w:r>
              <w:rPr>
                <w:rFonts w:hint="eastAsia" w:eastAsia="仿宋" w:cs="Times New Roman"/>
                <w:color w:val="auto"/>
                <w:sz w:val="24"/>
                <w:szCs w:val="22"/>
                <w:highlight w:val="none"/>
                <w:lang w:val="en-US" w:eastAsia="zh-CN"/>
              </w:rPr>
              <w:t>6</w:t>
            </w:r>
            <w:r>
              <w:rPr>
                <w:rFonts w:hint="eastAsia" w:eastAsia="仿宋" w:cs="Times New Roman"/>
                <w:color w:val="auto"/>
                <w:sz w:val="24"/>
                <w:szCs w:val="22"/>
                <w:highlight w:val="none"/>
              </w:rPr>
              <w:t>分。</w:t>
            </w:r>
          </w:p>
          <w:p>
            <w:pPr>
              <w:pageBreakBefore w:val="0"/>
              <w:kinsoku/>
              <w:wordWrap/>
              <w:overflowPunct/>
              <w:topLinePunct w:val="0"/>
              <w:autoSpaceDE/>
              <w:autoSpaceDN/>
              <w:bidi w:val="0"/>
              <w:adjustRightInd/>
              <w:snapToGrid/>
              <w:spacing w:line="460" w:lineRule="exact"/>
              <w:jc w:val="left"/>
              <w:rPr>
                <w:rFonts w:eastAsia="仿宋"/>
                <w:b/>
                <w:bCs/>
                <w:color w:val="auto"/>
                <w:sz w:val="24"/>
                <w:szCs w:val="22"/>
                <w:highlight w:val="none"/>
              </w:rPr>
            </w:pPr>
            <w:r>
              <w:rPr>
                <w:rFonts w:hint="eastAsia" w:eastAsia="仿宋" w:cs="Times New Roman"/>
                <w:b/>
                <w:bCs/>
                <w:color w:val="auto"/>
                <w:sz w:val="24"/>
                <w:szCs w:val="22"/>
                <w:highlight w:val="none"/>
              </w:rPr>
              <w:t>评审依据：①投标文件中提供销售案例明细表（销售案例明细表包含</w:t>
            </w:r>
            <w:r>
              <w:rPr>
                <w:rFonts w:eastAsia="仿宋" w:cs="Times New Roman"/>
                <w:b/>
                <w:bCs/>
                <w:color w:val="auto"/>
                <w:sz w:val="24"/>
                <w:szCs w:val="22"/>
                <w:highlight w:val="none"/>
              </w:rPr>
              <w:t>:发布网站名称、网页链接地址、采购项目名称、采购单位名称和联系方式、采购代理机构名称和联系方式）；</w:t>
            </w:r>
            <w:r>
              <w:rPr>
                <w:rFonts w:hint="eastAsia" w:eastAsia="仿宋" w:cs="Times New Roman"/>
                <w:b/>
                <w:bCs/>
                <w:color w:val="auto"/>
                <w:sz w:val="24"/>
                <w:szCs w:val="22"/>
                <w:highlight w:val="none"/>
              </w:rPr>
              <w:t>②</w:t>
            </w:r>
            <w:r>
              <w:rPr>
                <w:rFonts w:hint="eastAsia" w:eastAsia="仿宋" w:cs="Times New Roman"/>
                <w:b/>
                <w:bCs/>
                <w:color w:val="auto"/>
                <w:sz w:val="24"/>
                <w:szCs w:val="22"/>
                <w:highlight w:val="none"/>
                <w:lang w:eastAsia="zh-CN"/>
              </w:rPr>
              <w:t>中标（成交）公告截图（打印网页）、中标通知书复印件和合同复印件（中标通知书或合同复印件应体现类似销售案例的货物），合同签订方必须是投标人本身。</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hint="eastAsia" w:eastAsia="仿宋"/>
                <w:color w:val="auto"/>
                <w:sz w:val="24"/>
                <w:szCs w:val="22"/>
                <w:highlight w:val="none"/>
                <w:lang w:val="en-US" w:eastAsia="zh-CN"/>
              </w:rPr>
              <w:t>6</w:t>
            </w:r>
            <w:r>
              <w:rPr>
                <w:rFonts w:eastAsia="仿宋"/>
                <w:color w:val="auto"/>
                <w:sz w:val="24"/>
                <w:szCs w:val="22"/>
                <w:highlight w:val="none"/>
              </w:rPr>
              <w:t>分</w:t>
            </w:r>
          </w:p>
        </w:tc>
      </w:tr>
    </w:tbl>
    <w:p>
      <w:pPr>
        <w:pageBreakBefore w:val="0"/>
        <w:kinsoku/>
        <w:wordWrap/>
        <w:overflowPunct/>
        <w:topLinePunct w:val="0"/>
        <w:autoSpaceDE/>
        <w:autoSpaceDN/>
        <w:bidi w:val="0"/>
        <w:adjustRightInd/>
        <w:snapToGrid/>
        <w:spacing w:line="460" w:lineRule="exact"/>
        <w:rPr>
          <w:color w:val="auto"/>
          <w:highlight w:val="none"/>
        </w:rPr>
      </w:pPr>
    </w:p>
    <w:p>
      <w:pPr>
        <w:pageBreakBefore w:val="0"/>
        <w:kinsoku/>
        <w:wordWrap/>
        <w:overflowPunct/>
        <w:topLinePunct w:val="0"/>
        <w:autoSpaceDE/>
        <w:autoSpaceDN/>
        <w:bidi w:val="0"/>
        <w:adjustRightInd/>
        <w:snapToGrid/>
        <w:spacing w:line="460" w:lineRule="exact"/>
        <w:rPr>
          <w:rFonts w:hint="eastAsia" w:ascii="仿宋" w:hAnsi="仿宋" w:eastAsia="仿宋" w:cs="Times New Roman"/>
          <w:b/>
          <w:bCs/>
          <w:color w:val="auto"/>
          <w:sz w:val="28"/>
          <w:szCs w:val="28"/>
          <w:highlight w:val="none"/>
          <w:lang w:val="en-US" w:eastAsia="zh-CN"/>
        </w:rPr>
      </w:pPr>
      <w:r>
        <w:rPr>
          <w:rFonts w:hint="eastAsia" w:ascii="仿宋" w:hAnsi="仿宋" w:eastAsia="仿宋" w:cs="Times New Roman"/>
          <w:b/>
          <w:bCs/>
          <w:color w:val="auto"/>
          <w:sz w:val="28"/>
          <w:szCs w:val="28"/>
          <w:highlight w:val="none"/>
          <w:lang w:val="en-US" w:eastAsia="zh-CN"/>
        </w:rPr>
        <w:br w:type="page"/>
      </w:r>
    </w:p>
    <w:p>
      <w:pPr>
        <w:pageBreakBefore w:val="0"/>
        <w:kinsoku/>
        <w:wordWrap/>
        <w:overflowPunct/>
        <w:topLinePunct w:val="0"/>
        <w:autoSpaceDE/>
        <w:autoSpaceDN/>
        <w:bidi w:val="0"/>
        <w:adjustRightInd/>
        <w:snapToGrid/>
        <w:spacing w:line="460" w:lineRule="exact"/>
        <w:jc w:val="left"/>
        <w:outlineLvl w:val="1"/>
        <w:rPr>
          <w:rFonts w:hint="eastAsia" w:ascii="仿宋" w:hAnsi="仿宋" w:eastAsia="仿宋" w:cs="Times New Roman"/>
          <w:b/>
          <w:bCs/>
          <w:color w:val="auto"/>
          <w:sz w:val="28"/>
          <w:szCs w:val="28"/>
          <w:highlight w:val="none"/>
          <w:lang w:eastAsia="zh-CN"/>
        </w:rPr>
      </w:pPr>
      <w:bookmarkStart w:id="746" w:name="_Toc21555"/>
      <w:bookmarkStart w:id="747" w:name="_Toc18465"/>
      <w:bookmarkStart w:id="748" w:name="_Toc22203"/>
      <w:bookmarkStart w:id="749" w:name="_Toc24384"/>
      <w:bookmarkStart w:id="750" w:name="_Toc2172"/>
      <w:r>
        <w:rPr>
          <w:rFonts w:hint="eastAsia" w:ascii="仿宋" w:hAnsi="仿宋" w:eastAsia="仿宋" w:cs="Times New Roman"/>
          <w:b/>
          <w:bCs/>
          <w:color w:val="auto"/>
          <w:sz w:val="28"/>
          <w:szCs w:val="28"/>
          <w:highlight w:val="none"/>
          <w:lang w:val="en-US" w:eastAsia="zh-CN"/>
        </w:rPr>
        <w:t>72包</w:t>
      </w:r>
      <w:r>
        <w:rPr>
          <w:rFonts w:hint="eastAsia" w:ascii="仿宋" w:hAnsi="仿宋" w:eastAsia="仿宋" w:cs="Times New Roman"/>
          <w:b/>
          <w:bCs/>
          <w:color w:val="auto"/>
          <w:sz w:val="28"/>
          <w:szCs w:val="28"/>
          <w:highlight w:val="none"/>
        </w:rPr>
        <w:t>：化学氧自救呼吸器</w:t>
      </w:r>
      <w:bookmarkEnd w:id="746"/>
      <w:bookmarkEnd w:id="747"/>
      <w:bookmarkEnd w:id="748"/>
      <w:bookmarkEnd w:id="749"/>
      <w:bookmarkEnd w:id="750"/>
    </w:p>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hint="eastAsia" w:ascii="仿宋" w:hAnsi="仿宋" w:eastAsia="仿宋"/>
          <w:b/>
          <w:color w:val="auto"/>
          <w:sz w:val="24"/>
          <w:highlight w:val="none"/>
        </w:rPr>
        <w:t>一、价格部分（</w:t>
      </w:r>
      <w:r>
        <w:rPr>
          <w:rFonts w:ascii="仿宋" w:hAnsi="仿宋" w:eastAsia="仿宋"/>
          <w:b/>
          <w:color w:val="auto"/>
          <w:sz w:val="24"/>
          <w:highlight w:val="none"/>
        </w:rPr>
        <w:t>30分）</w:t>
      </w:r>
    </w:p>
    <w:tbl>
      <w:tblPr>
        <w:tblStyle w:val="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1579"/>
        <w:gridCol w:w="6182"/>
        <w:gridCol w:w="8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评审因素</w:t>
            </w:r>
          </w:p>
        </w:tc>
        <w:tc>
          <w:tcPr>
            <w:tcW w:w="3327" w:type="pct"/>
            <w:vAlign w:val="center"/>
          </w:tcPr>
          <w:p>
            <w:pPr>
              <w:pageBreakBefore w:val="0"/>
              <w:kinsoku/>
              <w:wordWrap/>
              <w:overflowPunct/>
              <w:topLinePunct w:val="0"/>
              <w:autoSpaceDE/>
              <w:autoSpaceDN/>
              <w:bidi w:val="0"/>
              <w:adjustRightInd/>
              <w:snapToGrid/>
              <w:spacing w:line="460" w:lineRule="exact"/>
              <w:jc w:val="center"/>
              <w:textAlignment w:val="center"/>
              <w:rPr>
                <w:rFonts w:ascii="仿宋" w:hAnsi="仿宋" w:eastAsia="仿宋" w:cs="仿宋"/>
                <w:b/>
                <w:color w:val="auto"/>
                <w:sz w:val="24"/>
                <w:highlight w:val="none"/>
              </w:rPr>
            </w:pPr>
            <w:r>
              <w:rPr>
                <w:rFonts w:hint="eastAsia" w:ascii="仿宋" w:hAnsi="仿宋" w:eastAsia="仿宋" w:cs="仿宋"/>
                <w:b/>
                <w:bCs/>
                <w:color w:val="auto"/>
                <w:sz w:val="24"/>
                <w:highlight w:val="none"/>
              </w:rPr>
              <w:t>评分标准</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价格分</w:t>
            </w:r>
          </w:p>
        </w:tc>
        <w:tc>
          <w:tcPr>
            <w:tcW w:w="3327" w:type="pct"/>
            <w:vAlign w:val="center"/>
          </w:tcPr>
          <w:p>
            <w:pPr>
              <w:pageBreakBefore w:val="0"/>
              <w:kinsoku/>
              <w:wordWrap/>
              <w:overflowPunct/>
              <w:topLinePunct w:val="0"/>
              <w:autoSpaceDE/>
              <w:autoSpaceDN/>
              <w:bidi w:val="0"/>
              <w:adjustRightInd/>
              <w:snapToGrid/>
              <w:spacing w:line="460" w:lineRule="exact"/>
              <w:jc w:val="left"/>
              <w:textAlignment w:val="center"/>
              <w:rPr>
                <w:rFonts w:ascii="仿宋" w:hAnsi="仿宋" w:eastAsia="仿宋" w:cs="仿宋"/>
                <w:color w:val="auto"/>
                <w:sz w:val="24"/>
                <w:highlight w:val="none"/>
              </w:rPr>
            </w:pPr>
            <w:r>
              <w:rPr>
                <w:rFonts w:hint="eastAsia" w:ascii="仿宋" w:hAnsi="仿宋" w:eastAsia="仿宋" w:cs="仿宋"/>
                <w:color w:val="auto"/>
                <w:sz w:val="24"/>
                <w:highlight w:val="none"/>
              </w:rPr>
              <w:t>根据综合评分法，满足招标文件要求且投标价格最低的投标报价为评标基准价，投标报价得分</w:t>
            </w:r>
            <w:r>
              <w:rPr>
                <w:rFonts w:ascii="仿宋" w:hAnsi="仿宋" w:eastAsia="仿宋" w:cs="仿宋"/>
                <w:color w:val="auto"/>
                <w:sz w:val="24"/>
                <w:highlight w:val="none"/>
              </w:rPr>
              <w:t>=（评标基准价／投标报价）</w:t>
            </w:r>
            <w:r>
              <w:rPr>
                <w:rFonts w:hint="eastAsia" w:ascii="仿宋" w:hAnsi="仿宋" w:eastAsia="仿宋" w:cs="仿宋"/>
                <w:color w:val="auto"/>
                <w:sz w:val="24"/>
                <w:highlight w:val="none"/>
              </w:rPr>
              <w:t>×</w:t>
            </w:r>
            <w:r>
              <w:rPr>
                <w:rFonts w:ascii="仿宋" w:hAnsi="仿宋" w:eastAsia="仿宋" w:cs="仿宋"/>
                <w:color w:val="auto"/>
                <w:sz w:val="24"/>
                <w:highlight w:val="none"/>
              </w:rPr>
              <w:t>30%×100，计算分数时四舍五入取小数点后两位。</w:t>
            </w:r>
          </w:p>
          <w:p>
            <w:pPr>
              <w:pageBreakBefore w:val="0"/>
              <w:kinsoku/>
              <w:wordWrap/>
              <w:overflowPunct/>
              <w:topLinePunct w:val="0"/>
              <w:autoSpaceDE/>
              <w:autoSpaceDN/>
              <w:bidi w:val="0"/>
              <w:adjustRightInd/>
              <w:snapToGrid/>
              <w:spacing w:line="460" w:lineRule="exact"/>
              <w:ind w:firstLine="482" w:firstLineChars="200"/>
              <w:jc w:val="left"/>
              <w:textAlignment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注：</w:t>
            </w:r>
            <w:r>
              <w:rPr>
                <w:rFonts w:ascii="仿宋" w:hAnsi="仿宋" w:eastAsia="仿宋" w:cs="仿宋"/>
                <w:b/>
                <w:bCs/>
                <w:color w:val="auto"/>
                <w:sz w:val="24"/>
                <w:highlight w:val="none"/>
              </w:rPr>
              <w:t>小、微型企业或残疾人福利性单位产品或监狱产品的价格给予10%的扣除，用扣除后的价格参与评审。但残疾人福利性单位本身属于小型、微型企业的，不重复享受政策。</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30分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二、技术部分（5</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2"/>
        <w:gridCol w:w="1970"/>
        <w:gridCol w:w="5850"/>
        <w:gridCol w:w="8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51"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1061"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3150"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评分标准</w:t>
            </w:r>
          </w:p>
        </w:tc>
        <w:tc>
          <w:tcPr>
            <w:tcW w:w="436"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351"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061"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技术参数及要求</w:t>
            </w:r>
          </w:p>
        </w:tc>
        <w:tc>
          <w:tcPr>
            <w:tcW w:w="3150" w:type="pct"/>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一、重大负偏离评审依据：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1、带★条款的响应，不满足招标文件要求的，或有缺项、漏项的，视为重大负偏离；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2、一般参数和带“▲”参数共有四项及以上（含本数）的负偏离，视为重大负偏离；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3、所投产品一般参数或带“▲”参数有一项低于招标文件要求，该项视为负偏离；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4、所投产品一般参数或带“▲”参数有一项缺项、漏项的，该项视为负偏离。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注：“一般参数”为非标“★”号参数和非标“▲”号参数。</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①投标文件中提供的技术条款响应表；</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②所投产品技术参数完全满足招标文件要求得</w:t>
            </w:r>
            <w:r>
              <w:rPr>
                <w:rFonts w:hint="eastAsia" w:ascii="仿宋" w:hAnsi="仿宋" w:eastAsia="仿宋" w:cs="仿宋"/>
                <w:b/>
                <w:bCs/>
                <w:color w:val="auto"/>
                <w:sz w:val="24"/>
                <w:highlight w:val="none"/>
                <w:lang w:val="en-US" w:eastAsia="zh-CN"/>
              </w:rPr>
              <w:t>35</w:t>
            </w:r>
            <w:r>
              <w:rPr>
                <w:rFonts w:hint="eastAsia" w:ascii="仿宋" w:hAnsi="仿宋" w:eastAsia="仿宋" w:cs="仿宋"/>
                <w:b/>
                <w:bCs/>
                <w:color w:val="auto"/>
                <w:sz w:val="24"/>
                <w:highlight w:val="none"/>
              </w:rPr>
              <w:t>分；重大负偏离则视为无效投标；一般参数或带“▲”参数每有一项负偏离减5分，最多减15分，四项或以上负偏离视为无效投标。</w:t>
            </w:r>
          </w:p>
        </w:tc>
        <w:tc>
          <w:tcPr>
            <w:tcW w:w="436" w:type="pct"/>
            <w:vAlign w:val="center"/>
          </w:tcPr>
          <w:p>
            <w:pPr>
              <w:pageBreakBefore w:val="0"/>
              <w:kinsoku/>
              <w:wordWrap/>
              <w:overflowPunct/>
              <w:topLinePunct w:val="0"/>
              <w:autoSpaceDE/>
              <w:autoSpaceDN/>
              <w:bidi w:val="0"/>
              <w:adjustRightInd/>
              <w:snapToGrid/>
              <w:spacing w:line="460" w:lineRule="exact"/>
              <w:jc w:val="center"/>
              <w:textAlignment w:val="center"/>
              <w:rPr>
                <w:rFonts w:hint="default"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35分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51"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1061"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▲3.4二氧化碳浓度：在防护时间内，贮气袋中二氧化碳平均浓度≤1.5％</w:t>
            </w:r>
          </w:p>
        </w:tc>
        <w:tc>
          <w:tcPr>
            <w:tcW w:w="3150"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highlight w:val="none"/>
                <w:lang w:val="en-US" w:eastAsia="zh-CN"/>
              </w:rPr>
              <w:t>在防护时间内，贮气袋中二氧化碳平均浓度</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二氧化碳平均浓度</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val="en-US" w:eastAsia="zh-CN"/>
              </w:rPr>
              <w:t>二氧化碳平均浓度</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val="en-US" w:eastAsia="zh-CN"/>
              </w:rPr>
              <w:t>二氧化碳平均浓度</w:t>
            </w:r>
            <w:r>
              <w:rPr>
                <w:rFonts w:hint="eastAsia" w:ascii="仿宋" w:hAnsi="仿宋" w:eastAsia="仿宋" w:cs="仿宋"/>
                <w:b/>
                <w:bCs/>
                <w:color w:val="auto"/>
                <w:sz w:val="24"/>
                <w:szCs w:val="24"/>
                <w:highlight w:val="none"/>
              </w:rPr>
              <w:t>最</w:t>
            </w:r>
            <w:r>
              <w:rPr>
                <w:rFonts w:hint="eastAsia" w:ascii="仿宋" w:hAnsi="仿宋" w:eastAsia="仿宋" w:cs="仿宋"/>
                <w:b/>
                <w:bCs/>
                <w:color w:val="auto"/>
                <w:sz w:val="24"/>
                <w:szCs w:val="24"/>
                <w:highlight w:val="none"/>
                <w:lang w:val="en-US" w:eastAsia="zh-CN"/>
              </w:rPr>
              <w:t>小</w:t>
            </w:r>
            <w:r>
              <w:rPr>
                <w:rFonts w:hint="eastAsia" w:ascii="仿宋" w:hAnsi="仿宋" w:eastAsia="仿宋" w:cs="仿宋"/>
                <w:b/>
                <w:bCs/>
                <w:color w:val="auto"/>
                <w:sz w:val="24"/>
                <w:szCs w:val="24"/>
                <w:highlight w:val="none"/>
              </w:rPr>
              <w:t>，次优表示</w:t>
            </w:r>
            <w:r>
              <w:rPr>
                <w:rFonts w:hint="eastAsia" w:ascii="仿宋" w:hAnsi="仿宋" w:eastAsia="仿宋" w:cs="仿宋"/>
                <w:b/>
                <w:bCs/>
                <w:color w:val="auto"/>
                <w:sz w:val="24"/>
                <w:szCs w:val="24"/>
                <w:highlight w:val="none"/>
                <w:lang w:val="en-US" w:eastAsia="zh-CN"/>
              </w:rPr>
              <w:t>二氧化碳平均浓度</w:t>
            </w:r>
            <w:r>
              <w:rPr>
                <w:rFonts w:hint="eastAsia" w:ascii="仿宋" w:hAnsi="仿宋" w:eastAsia="仿宋" w:cs="仿宋"/>
                <w:b/>
                <w:bCs/>
                <w:color w:val="auto"/>
                <w:sz w:val="24"/>
                <w:szCs w:val="24"/>
                <w:highlight w:val="none"/>
              </w:rPr>
              <w:t>仅次于最</w:t>
            </w:r>
            <w:r>
              <w:rPr>
                <w:rFonts w:hint="eastAsia" w:ascii="仿宋" w:hAnsi="仿宋" w:eastAsia="仿宋" w:cs="仿宋"/>
                <w:b/>
                <w:bCs/>
                <w:color w:val="auto"/>
                <w:sz w:val="24"/>
                <w:szCs w:val="24"/>
                <w:highlight w:val="none"/>
                <w:lang w:val="en-US" w:eastAsia="zh-CN"/>
              </w:rPr>
              <w:t>小</w:t>
            </w:r>
            <w:r>
              <w:rPr>
                <w:rFonts w:hint="eastAsia" w:ascii="仿宋" w:hAnsi="仿宋" w:eastAsia="仿宋" w:cs="仿宋"/>
                <w:b/>
                <w:bCs/>
                <w:color w:val="auto"/>
                <w:sz w:val="24"/>
                <w:szCs w:val="24"/>
                <w:highlight w:val="none"/>
              </w:rPr>
              <w:t>值。</w:t>
            </w:r>
          </w:p>
        </w:tc>
        <w:tc>
          <w:tcPr>
            <w:tcW w:w="43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51"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061"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▲3.6吸气温度：在防护时间内，吸气温度≤55℃</w:t>
            </w:r>
          </w:p>
        </w:tc>
        <w:tc>
          <w:tcPr>
            <w:tcW w:w="3150"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仿宋"/>
                <w:color w:val="auto"/>
                <w:sz w:val="24"/>
                <w:szCs w:val="24"/>
                <w:highlight w:val="none"/>
                <w:lang w:val="en-US" w:eastAsia="zh-CN"/>
              </w:rPr>
              <w:t>产品</w:t>
            </w:r>
            <w:r>
              <w:rPr>
                <w:rFonts w:hint="eastAsia" w:ascii="仿宋" w:hAnsi="仿宋" w:eastAsia="仿宋" w:cs="仿宋"/>
                <w:color w:val="auto"/>
                <w:sz w:val="24"/>
                <w:highlight w:val="none"/>
                <w:lang w:val="en-US" w:eastAsia="zh-CN"/>
              </w:rPr>
              <w:t>在防护时间内，吸气温度</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吸气温度</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val="en-US" w:eastAsia="zh-CN"/>
              </w:rPr>
              <w:t>吸气温度</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val="en-US" w:eastAsia="zh-CN"/>
              </w:rPr>
              <w:t>吸气温度</w:t>
            </w:r>
            <w:r>
              <w:rPr>
                <w:rFonts w:hint="eastAsia" w:ascii="仿宋" w:hAnsi="仿宋" w:eastAsia="仿宋" w:cs="仿宋"/>
                <w:b/>
                <w:bCs/>
                <w:color w:val="auto"/>
                <w:sz w:val="24"/>
                <w:szCs w:val="24"/>
                <w:highlight w:val="none"/>
              </w:rPr>
              <w:t>最</w:t>
            </w:r>
            <w:r>
              <w:rPr>
                <w:rFonts w:hint="eastAsia" w:ascii="仿宋" w:hAnsi="仿宋" w:eastAsia="仿宋" w:cs="仿宋"/>
                <w:b/>
                <w:bCs/>
                <w:color w:val="auto"/>
                <w:sz w:val="24"/>
                <w:szCs w:val="24"/>
                <w:highlight w:val="none"/>
                <w:lang w:val="en-US" w:eastAsia="zh-CN"/>
              </w:rPr>
              <w:t>低</w:t>
            </w:r>
            <w:r>
              <w:rPr>
                <w:rFonts w:hint="eastAsia" w:ascii="仿宋" w:hAnsi="仿宋" w:eastAsia="仿宋" w:cs="仿宋"/>
                <w:b/>
                <w:bCs/>
                <w:color w:val="auto"/>
                <w:sz w:val="24"/>
                <w:szCs w:val="24"/>
                <w:highlight w:val="none"/>
              </w:rPr>
              <w:t>，次优表示</w:t>
            </w:r>
            <w:r>
              <w:rPr>
                <w:rFonts w:hint="eastAsia" w:ascii="仿宋" w:hAnsi="仿宋" w:eastAsia="仿宋" w:cs="仿宋"/>
                <w:b/>
                <w:bCs/>
                <w:color w:val="auto"/>
                <w:sz w:val="24"/>
                <w:szCs w:val="24"/>
                <w:highlight w:val="none"/>
                <w:lang w:val="en-US" w:eastAsia="zh-CN"/>
              </w:rPr>
              <w:t>吸气温度</w:t>
            </w:r>
            <w:r>
              <w:rPr>
                <w:rFonts w:hint="eastAsia" w:ascii="仿宋" w:hAnsi="仿宋" w:eastAsia="仿宋" w:cs="仿宋"/>
                <w:b/>
                <w:bCs/>
                <w:color w:val="auto"/>
                <w:sz w:val="24"/>
                <w:szCs w:val="24"/>
                <w:highlight w:val="none"/>
              </w:rPr>
              <w:t>仅次于最</w:t>
            </w:r>
            <w:r>
              <w:rPr>
                <w:rFonts w:hint="eastAsia" w:ascii="仿宋" w:hAnsi="仿宋" w:eastAsia="仿宋" w:cs="仿宋"/>
                <w:b/>
                <w:bCs/>
                <w:color w:val="auto"/>
                <w:sz w:val="24"/>
                <w:szCs w:val="24"/>
                <w:highlight w:val="none"/>
                <w:lang w:val="en-US" w:eastAsia="zh-CN"/>
              </w:rPr>
              <w:t>小</w:t>
            </w:r>
            <w:r>
              <w:rPr>
                <w:rFonts w:hint="eastAsia" w:ascii="仿宋" w:hAnsi="仿宋" w:eastAsia="仿宋" w:cs="仿宋"/>
                <w:b/>
                <w:bCs/>
                <w:color w:val="auto"/>
                <w:sz w:val="24"/>
                <w:szCs w:val="24"/>
                <w:highlight w:val="none"/>
              </w:rPr>
              <w:t>值。</w:t>
            </w:r>
          </w:p>
        </w:tc>
        <w:tc>
          <w:tcPr>
            <w:tcW w:w="43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51"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061"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一般参数</w:t>
            </w:r>
          </w:p>
        </w:tc>
        <w:tc>
          <w:tcPr>
            <w:tcW w:w="3150"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在完全满足招标文件“</w:t>
            </w:r>
            <w:r>
              <w:rPr>
                <w:rFonts w:hint="eastAsia" w:ascii="仿宋" w:hAnsi="仿宋" w:eastAsia="仿宋" w:cs="仿宋"/>
                <w:color w:val="auto"/>
                <w:sz w:val="24"/>
                <w:highlight w:val="none"/>
                <w:lang w:eastAsia="zh-CN"/>
              </w:rPr>
              <w:t>所有参数</w:t>
            </w:r>
            <w:r>
              <w:rPr>
                <w:rFonts w:hint="eastAsia" w:ascii="仿宋" w:hAnsi="仿宋" w:eastAsia="仿宋" w:cs="仿宋"/>
                <w:color w:val="auto"/>
                <w:sz w:val="24"/>
                <w:highlight w:val="none"/>
              </w:rPr>
              <w:t>”要求的基础上，每有一条“一般参数”优于的加1分，本项最多加</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分。（加分只针对具有“≥”或“≤”的数值，数值更加优于的进行加分；文字内容或其他内容优于的不加分）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注：“一般参数”为非标“★”号参数和非标“▲”号参数。</w:t>
            </w:r>
          </w:p>
        </w:tc>
        <w:tc>
          <w:tcPr>
            <w:tcW w:w="43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51" w:type="pct"/>
            <w:vMerge w:val="continue"/>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648" w:type="pct"/>
            <w:gridSpan w:val="3"/>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评审依据：提供技术条款响应表和技术支撑文件</w:t>
            </w:r>
            <w:r>
              <w:rPr>
                <w:rFonts w:hint="eastAsia" w:ascii="仿宋" w:hAnsi="仿宋" w:eastAsia="仿宋" w:cs="仿宋"/>
                <w:b/>
                <w:bCs/>
                <w:color w:val="auto"/>
                <w:sz w:val="24"/>
                <w:highlight w:val="none"/>
                <w:lang w:eastAsia="zh-CN"/>
              </w:rPr>
              <w:t>。</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hint="eastAsia"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hint="eastAsia"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hint="eastAsia"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③制造商出具的技术参数证明材料并加盖制造商公章。]</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注：①供应商应认真提供技术支撑文件，若提供多份技术支撑文件，技术支撑文件佐证不一致时，优先级为：产品检测报告复印件＞制造商公开发布的印刷资料＞制造商出具的技术参数证明</w:t>
            </w:r>
            <w:r>
              <w:rPr>
                <w:rFonts w:hint="eastAsia" w:ascii="仿宋" w:hAnsi="仿宋" w:eastAsia="仿宋" w:cs="仿宋"/>
                <w:b/>
                <w:bCs/>
                <w:color w:val="auto"/>
                <w:sz w:val="24"/>
                <w:highlight w:val="none"/>
                <w:lang w:val="en-US" w:eastAsia="zh-CN"/>
              </w:rPr>
              <w:t>材料</w:t>
            </w:r>
            <w:r>
              <w:rPr>
                <w:rFonts w:hint="eastAsia" w:ascii="仿宋" w:hAnsi="仿宋" w:eastAsia="仿宋" w:cs="仿宋"/>
                <w:b/>
                <w:bCs/>
                <w:color w:val="auto"/>
                <w:sz w:val="24"/>
                <w:highlight w:val="none"/>
              </w:rPr>
              <w:t>；②技术支撑文件</w:t>
            </w:r>
            <w:r>
              <w:rPr>
                <w:rFonts w:hint="eastAsia" w:ascii="仿宋" w:hAnsi="仿宋" w:eastAsia="仿宋" w:cs="仿宋"/>
                <w:b/>
                <w:bCs/>
                <w:color w:val="auto"/>
                <w:sz w:val="24"/>
                <w:highlight w:val="none"/>
                <w:lang w:val="en-US" w:eastAsia="zh-CN"/>
              </w:rPr>
              <w:t>与</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不一致，则</w:t>
            </w:r>
            <w:r>
              <w:rPr>
                <w:rFonts w:hint="eastAsia" w:ascii="仿宋" w:hAnsi="仿宋" w:eastAsia="仿宋" w:cs="仿宋"/>
                <w:b/>
                <w:bCs/>
                <w:color w:val="auto"/>
                <w:sz w:val="24"/>
                <w:highlight w:val="none"/>
              </w:rPr>
              <w:t>该点不加分</w:t>
            </w:r>
            <w:r>
              <w:rPr>
                <w:rFonts w:hint="eastAsia" w:ascii="仿宋" w:hAnsi="仿宋" w:eastAsia="仿宋" w:cs="仿宋"/>
                <w:b/>
                <w:bCs/>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51"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061"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整体结构与外观</w:t>
            </w:r>
          </w:p>
        </w:tc>
        <w:tc>
          <w:tcPr>
            <w:tcW w:w="3150"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根据视频文件对产品的外观构造、内部结构、设计理念等进行评审。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设计理念先进，外部构造和内部结构科学合理，整体结构外观与实战紧贴程度高的，得3分；设计理念较为先进，外部构造和内部结构较为合理，整体结构外观与实战紧贴程度较高的，得2分；设计理念一般，外观构造和内部结构基本合理，整体结构外观与实战紧贴程度不高的，得1分；未提供证明材料或证明材料有缺项的不得分。</w:t>
            </w:r>
          </w:p>
        </w:tc>
        <w:tc>
          <w:tcPr>
            <w:tcW w:w="43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51"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061"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工艺</w:t>
            </w:r>
          </w:p>
        </w:tc>
        <w:tc>
          <w:tcPr>
            <w:tcW w:w="3150"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根据视频文件对产品的安全性、耐用性、实用性等进行评审。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性能高、耐用性能好、实用性能强，工艺符合实战需求程度高的，得3分；安全性能较高、耐用性能良好、实用性能较强，工艺符合实战需求程度较高的，得2分；安全性能不高、耐用性能普通、实用性能一般，工艺符合实战需求程度不高的，得1分；未提供证明材料或证明材料有缺项的不得分。</w:t>
            </w:r>
          </w:p>
        </w:tc>
        <w:tc>
          <w:tcPr>
            <w:tcW w:w="43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51"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061"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操作使用性能</w:t>
            </w:r>
          </w:p>
        </w:tc>
        <w:tc>
          <w:tcPr>
            <w:tcW w:w="3150"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根据视频文件对产品的可靠性、便捷性、稳定性等进行评审。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可靠性高、便捷性好、稳定性好，操作使用性能提升战斗力程度高的，得4分；可靠性较高、便捷性较好、稳定性良好，操作使用性能提升战斗力程度较高的，得2分；可靠性不高、便捷性和稳定性一般，操作使用性能提升战斗力程度不高的，得1分；未提供证明材料或证明材料有缺项的不得分。</w:t>
            </w:r>
          </w:p>
        </w:tc>
        <w:tc>
          <w:tcPr>
            <w:tcW w:w="43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51" w:type="pct"/>
            <w:vMerge w:val="continue"/>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648" w:type="pct"/>
            <w:gridSpan w:val="3"/>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lang w:eastAsia="zh-CN"/>
              </w:rPr>
            </w:pPr>
            <w:r>
              <w:rPr>
                <w:rFonts w:hint="eastAsia" w:ascii="仿宋" w:hAnsi="仿宋" w:eastAsia="仿宋" w:cs="仿宋"/>
                <w:b/>
                <w:bCs/>
                <w:color w:val="auto"/>
                <w:sz w:val="24"/>
                <w:highlight w:val="none"/>
              </w:rPr>
              <w:t>以上评审依据：根据视频文件对产品的整体结构与外观、工艺、操作使用性能进行综合评审，视频文件需对以上三点评审内容进行介绍（包含但不限于以上三点）。视频文件[视频文件格式须为通用格式，佐证视频时长不得超过5分钟，视频清晰度应至少保证所摄的界面文字清晰易辨、画面完整连贯、播放速度正常]应存储于U盘内（单独密封在信封中）与投标文件同时递交，逾期递交不予接收，</w:t>
            </w:r>
            <w:r>
              <w:rPr>
                <w:rFonts w:hint="eastAsia" w:ascii="仿宋" w:hAnsi="仿宋" w:eastAsia="仿宋" w:cs="仿宋"/>
                <w:b/>
                <w:bCs/>
                <w:color w:val="auto"/>
                <w:sz w:val="24"/>
                <w:highlight w:val="none"/>
                <w:lang w:eastAsia="zh-CN"/>
              </w:rPr>
              <w:t>U盘由采购代理机构封存，不予退回。未提供视频或视频无法打开的，得0分。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三、商务部分（1</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1310"/>
        <w:gridCol w:w="6295"/>
        <w:gridCol w:w="9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序号</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评审因素</w:t>
            </w:r>
          </w:p>
        </w:tc>
        <w:tc>
          <w:tcPr>
            <w:tcW w:w="3389"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评分标准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1</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bCs/>
                <w:color w:val="auto"/>
                <w:sz w:val="24"/>
                <w:szCs w:val="22"/>
                <w:highlight w:val="none"/>
              </w:rPr>
            </w:pPr>
            <w:r>
              <w:rPr>
                <w:rFonts w:hint="eastAsia" w:ascii="仿宋" w:hAnsi="仿宋" w:eastAsia="仿宋" w:cs="仿宋"/>
                <w:color w:val="auto"/>
                <w:sz w:val="24"/>
                <w:highlight w:val="none"/>
              </w:rPr>
              <w:t>符合性评审</w:t>
            </w:r>
          </w:p>
        </w:tc>
        <w:tc>
          <w:tcPr>
            <w:tcW w:w="3887" w:type="pct"/>
            <w:gridSpan w:val="2"/>
            <w:vAlign w:val="center"/>
          </w:tcPr>
          <w:p>
            <w:pPr>
              <w:pageBreakBefore w:val="0"/>
              <w:kinsoku/>
              <w:wordWrap/>
              <w:overflowPunct/>
              <w:topLinePunct w:val="0"/>
              <w:autoSpaceDE/>
              <w:autoSpaceDN/>
              <w:bidi w:val="0"/>
              <w:adjustRightInd/>
              <w:snapToGrid/>
              <w:spacing w:line="460" w:lineRule="exact"/>
              <w:rPr>
                <w:rFonts w:eastAsia="仿宋" w:cs="Times New Roman"/>
                <w:color w:val="auto"/>
                <w:sz w:val="24"/>
                <w:szCs w:val="22"/>
                <w:highlight w:val="none"/>
              </w:rPr>
            </w:pPr>
            <w:r>
              <w:rPr>
                <w:rFonts w:hint="eastAsia" w:eastAsia="仿宋" w:cs="Times New Roman"/>
                <w:color w:val="auto"/>
                <w:sz w:val="24"/>
                <w:szCs w:val="22"/>
                <w:highlight w:val="none"/>
              </w:rPr>
              <w:t>投标人必须完全满足招标文件“商务要求”</w:t>
            </w:r>
            <w:r>
              <w:rPr>
                <w:rFonts w:hint="eastAsia" w:eastAsia="仿宋" w:cs="Times New Roman"/>
                <w:color w:val="auto"/>
                <w:sz w:val="24"/>
                <w:szCs w:val="22"/>
                <w:highlight w:val="none"/>
                <w:lang w:val="en-US" w:eastAsia="zh-CN"/>
              </w:rPr>
              <w:t>所有</w:t>
            </w:r>
            <w:r>
              <w:rPr>
                <w:rFonts w:hint="eastAsia" w:eastAsia="仿宋" w:cs="Times New Roman"/>
                <w:color w:val="auto"/>
                <w:sz w:val="24"/>
                <w:szCs w:val="22"/>
                <w:highlight w:val="none"/>
              </w:rPr>
              <w:t>实质性条款，任意一项不满足作无效投标处理。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eastAsia="仿宋" w:cs="Times New Roman"/>
                <w:b/>
                <w:bCs/>
                <w:color w:val="auto"/>
                <w:sz w:val="24"/>
                <w:szCs w:val="22"/>
                <w:highlight w:val="none"/>
              </w:rPr>
              <w:t>评审依据：投标文件中提供的商务条款响应表。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2</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hint="eastAsia" w:eastAsia="仿宋"/>
                <w:color w:val="auto"/>
                <w:sz w:val="24"/>
                <w:szCs w:val="22"/>
                <w:highlight w:val="none"/>
                <w:lang w:eastAsia="zh-CN"/>
              </w:rPr>
            </w:pPr>
            <w:r>
              <w:rPr>
                <w:rFonts w:hint="eastAsia" w:eastAsia="仿宋"/>
                <w:color w:val="auto"/>
                <w:sz w:val="24"/>
                <w:szCs w:val="22"/>
                <w:highlight w:val="none"/>
                <w:lang w:eastAsia="zh-CN"/>
              </w:rPr>
              <w:t>生产制造履约能力</w:t>
            </w:r>
          </w:p>
        </w:tc>
        <w:tc>
          <w:tcPr>
            <w:tcW w:w="3389" w:type="pct"/>
            <w:vAlign w:val="center"/>
          </w:tcPr>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val="en-US" w:eastAsia="zh-CN"/>
              </w:rPr>
              <w:t>投标人提供所投产品制造商的证明材料（应加盖制造商公章）</w:t>
            </w:r>
            <w:r>
              <w:rPr>
                <w:rFonts w:hint="eastAsia" w:eastAsia="仿宋" w:cs="Times New Roman"/>
                <w:color w:val="auto"/>
                <w:sz w:val="24"/>
                <w:szCs w:val="22"/>
                <w:highlight w:val="none"/>
              </w:rPr>
              <w:t>对</w:t>
            </w:r>
            <w:r>
              <w:rPr>
                <w:rFonts w:hint="eastAsia" w:eastAsia="仿宋" w:cs="Times New Roman"/>
                <w:color w:val="auto"/>
                <w:sz w:val="24"/>
                <w:szCs w:val="22"/>
                <w:highlight w:val="none"/>
                <w:lang w:eastAsia="zh-CN"/>
              </w:rPr>
              <w:t>生产制造履约能力</w:t>
            </w:r>
            <w:r>
              <w:rPr>
                <w:rFonts w:hint="eastAsia" w:eastAsia="仿宋" w:cs="Times New Roman"/>
                <w:color w:val="auto"/>
                <w:sz w:val="24"/>
                <w:szCs w:val="22"/>
                <w:highlight w:val="none"/>
              </w:rPr>
              <w:t>进行评审，包含但不限于</w:t>
            </w:r>
            <w:r>
              <w:rPr>
                <w:rFonts w:hint="eastAsia" w:eastAsia="仿宋" w:cs="Times New Roman"/>
                <w:color w:val="auto"/>
                <w:sz w:val="24"/>
                <w:szCs w:val="22"/>
                <w:highlight w:val="none"/>
                <w:lang w:eastAsia="zh-CN"/>
              </w:rPr>
              <w:t>：</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eastAsia="zh-CN"/>
              </w:rPr>
              <w:t>①制造商生产经营情况简介；</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②生产工艺流程，主要包括</w:t>
            </w:r>
            <w:r>
              <w:rPr>
                <w:rFonts w:hint="eastAsia" w:eastAsia="仿宋" w:cs="Times New Roman"/>
                <w:color w:val="auto"/>
                <w:sz w:val="24"/>
                <w:szCs w:val="22"/>
                <w:highlight w:val="none"/>
                <w:lang w:val="en-US" w:eastAsia="zh-CN"/>
              </w:rPr>
              <w:t>生产制造流程</w:t>
            </w:r>
            <w:r>
              <w:rPr>
                <w:rFonts w:hint="eastAsia" w:eastAsia="仿宋" w:cs="Times New Roman"/>
                <w:color w:val="auto"/>
                <w:sz w:val="24"/>
                <w:szCs w:val="22"/>
                <w:highlight w:val="none"/>
              </w:rPr>
              <w:t>图、生产步骤</w:t>
            </w:r>
            <w:r>
              <w:rPr>
                <w:rFonts w:hint="eastAsia" w:eastAsia="仿宋" w:cs="Times New Roman"/>
                <w:color w:val="auto"/>
                <w:sz w:val="24"/>
                <w:szCs w:val="22"/>
                <w:highlight w:val="none"/>
                <w:lang w:eastAsia="zh-CN"/>
              </w:rPr>
              <w:t>（应含</w:t>
            </w:r>
            <w:r>
              <w:rPr>
                <w:rFonts w:hint="eastAsia" w:eastAsia="仿宋" w:cs="Times New Roman"/>
                <w:color w:val="auto"/>
                <w:sz w:val="24"/>
                <w:szCs w:val="22"/>
                <w:highlight w:val="none"/>
                <w:lang w:val="en-US" w:eastAsia="zh-CN"/>
              </w:rPr>
              <w:t>生产车间环境及实际生产照片</w:t>
            </w:r>
            <w:r>
              <w:rPr>
                <w:rFonts w:hint="eastAsia" w:eastAsia="仿宋" w:cs="Times New Roman"/>
                <w:color w:val="auto"/>
                <w:sz w:val="24"/>
                <w:szCs w:val="22"/>
                <w:highlight w:val="none"/>
                <w:lang w:eastAsia="zh-CN"/>
              </w:rPr>
              <w:t>）</w:t>
            </w:r>
            <w:r>
              <w:rPr>
                <w:rFonts w:hint="eastAsia" w:eastAsia="仿宋" w:cs="Times New Roman"/>
                <w:color w:val="auto"/>
                <w:sz w:val="24"/>
                <w:szCs w:val="22"/>
                <w:highlight w:val="none"/>
              </w:rPr>
              <w:t>等相关情况</w:t>
            </w:r>
            <w:r>
              <w:rPr>
                <w:rFonts w:hint="eastAsia" w:eastAsia="仿宋" w:cs="Times New Roman"/>
                <w:color w:val="auto"/>
                <w:sz w:val="24"/>
                <w:szCs w:val="22"/>
                <w:highlight w:val="none"/>
                <w:lang w:eastAsia="zh-CN"/>
              </w:rPr>
              <w:t>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③产品检验流程，包括主要检验设备</w:t>
            </w:r>
            <w:r>
              <w:rPr>
                <w:rFonts w:hint="eastAsia" w:eastAsia="仿宋" w:cs="Times New Roman"/>
                <w:color w:val="auto"/>
                <w:sz w:val="24"/>
                <w:szCs w:val="22"/>
                <w:highlight w:val="none"/>
                <w:lang w:eastAsia="zh-CN"/>
              </w:rPr>
              <w:t>（应提供图片）</w:t>
            </w:r>
            <w:r>
              <w:rPr>
                <w:rFonts w:hint="eastAsia" w:eastAsia="仿宋" w:cs="Times New Roman"/>
                <w:color w:val="auto"/>
                <w:sz w:val="24"/>
                <w:szCs w:val="22"/>
                <w:highlight w:val="none"/>
              </w:rPr>
              <w:t>、检验步骤等相关情况描述；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④人员配备：相关专业技术</w:t>
            </w:r>
            <w:r>
              <w:rPr>
                <w:rFonts w:hint="eastAsia" w:eastAsia="仿宋" w:cs="Times New Roman"/>
                <w:color w:val="auto"/>
                <w:sz w:val="24"/>
                <w:szCs w:val="22"/>
                <w:highlight w:val="none"/>
                <w:lang w:eastAsia="zh-CN"/>
              </w:rPr>
              <w:t>职称</w:t>
            </w:r>
            <w:r>
              <w:rPr>
                <w:rFonts w:hint="eastAsia" w:eastAsia="仿宋" w:cs="Times New Roman"/>
                <w:color w:val="auto"/>
                <w:sz w:val="24"/>
                <w:szCs w:val="22"/>
                <w:highlight w:val="none"/>
              </w:rPr>
              <w:t>人员配置情况</w:t>
            </w:r>
            <w:r>
              <w:rPr>
                <w:rFonts w:hint="eastAsia" w:eastAsia="仿宋" w:cs="Times New Roman"/>
                <w:color w:val="auto"/>
                <w:sz w:val="24"/>
                <w:szCs w:val="22"/>
                <w:highlight w:val="none"/>
                <w:lang w:eastAsia="zh-CN"/>
              </w:rPr>
              <w:t>；</w:t>
            </w:r>
            <w:r>
              <w:rPr>
                <w:rFonts w:hint="eastAsia" w:eastAsia="仿宋" w:cs="Times New Roman"/>
                <w:color w:val="auto"/>
                <w:sz w:val="24"/>
                <w:szCs w:val="22"/>
                <w:highlight w:val="none"/>
              </w:rPr>
              <w:t>各原材料采购、生产、检验、仓储、运输等环节的人员配备情况；</w:t>
            </w:r>
          </w:p>
          <w:p>
            <w:pPr>
              <w:pageBreakBefore w:val="0"/>
              <w:kinsoku/>
              <w:wordWrap/>
              <w:overflowPunct/>
              <w:topLinePunct w:val="0"/>
              <w:autoSpaceDE/>
              <w:autoSpaceDN/>
              <w:bidi w:val="0"/>
              <w:adjustRightInd/>
              <w:snapToGrid/>
              <w:spacing w:line="460" w:lineRule="exact"/>
              <w:rPr>
                <w:rFonts w:hint="eastAsia" w:eastAsia="仿宋" w:cs="Times New Roman"/>
                <w:b/>
                <w:bCs/>
                <w:color w:val="auto"/>
                <w:sz w:val="24"/>
                <w:szCs w:val="22"/>
                <w:highlight w:val="none"/>
              </w:rPr>
            </w:pPr>
            <w:r>
              <w:rPr>
                <w:rFonts w:hint="eastAsia" w:eastAsia="仿宋" w:cs="Times New Roman"/>
                <w:b/>
                <w:bCs/>
                <w:color w:val="auto"/>
                <w:sz w:val="24"/>
                <w:szCs w:val="22"/>
                <w:highlight w:val="none"/>
              </w:rPr>
              <w:t>评审依据：</w:t>
            </w:r>
            <w:r>
              <w:rPr>
                <w:rFonts w:hint="eastAsia" w:eastAsia="仿宋" w:cs="Times New Roman"/>
                <w:b/>
                <w:bCs/>
                <w:color w:val="auto"/>
                <w:sz w:val="24"/>
                <w:szCs w:val="22"/>
                <w:highlight w:val="none"/>
                <w:lang w:val="en-US" w:eastAsia="zh-CN"/>
              </w:rPr>
              <w:t>根据</w:t>
            </w:r>
            <w:r>
              <w:rPr>
                <w:rFonts w:hint="eastAsia" w:eastAsia="仿宋" w:cs="Times New Roman"/>
                <w:b/>
                <w:bCs/>
                <w:color w:val="auto"/>
                <w:sz w:val="24"/>
                <w:szCs w:val="22"/>
                <w:highlight w:val="none"/>
              </w:rPr>
              <w:t>投标人提</w:t>
            </w:r>
            <w:r>
              <w:rPr>
                <w:rFonts w:hint="eastAsia" w:eastAsia="仿宋" w:cs="Times New Roman"/>
                <w:b/>
                <w:bCs/>
                <w:color w:val="auto"/>
                <w:sz w:val="24"/>
                <w:szCs w:val="22"/>
                <w:highlight w:val="none"/>
                <w:lang w:val="en-US" w:eastAsia="zh-CN"/>
              </w:rPr>
              <w:t>供的生产制造履约能力方案内容完整性、组织性、关联性和可操作性进行评审</w:t>
            </w:r>
            <w:r>
              <w:rPr>
                <w:rFonts w:hint="eastAsia" w:eastAsia="仿宋" w:cs="Times New Roman"/>
                <w:b/>
                <w:bCs/>
                <w:color w:val="auto"/>
                <w:sz w:val="24"/>
                <w:szCs w:val="22"/>
                <w:highlight w:val="none"/>
              </w:rPr>
              <w:t>。</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1、所投</w:t>
            </w:r>
            <w:r>
              <w:rPr>
                <w:rFonts w:hint="eastAsia" w:eastAsia="仿宋" w:cs="Times New Roman"/>
                <w:b/>
                <w:bCs/>
                <w:color w:val="auto"/>
                <w:sz w:val="24"/>
                <w:szCs w:val="22"/>
                <w:highlight w:val="none"/>
                <w:lang w:val="en-US" w:eastAsia="zh-CN"/>
              </w:rPr>
              <w:t>产品</w:t>
            </w:r>
            <w:r>
              <w:rPr>
                <w:rFonts w:hint="eastAsia" w:ascii="仿宋" w:hAnsi="仿宋" w:eastAsia="仿宋" w:cs="仿宋"/>
                <w:b/>
                <w:bCs/>
                <w:color w:val="auto"/>
                <w:sz w:val="24"/>
                <w:szCs w:val="24"/>
                <w:highlight w:val="none"/>
                <w:lang w:val="en-US" w:eastAsia="zh-CN"/>
              </w:rPr>
              <w:t>制造商具备较强自主研发能力及先进的生产工艺，生产车间环境及生产线先进规范，生产步骤完整周详，技术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检验设备配置齐全、检验步骤严密无纰漏，生产制造履约能力</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分；</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2、所投</w:t>
            </w:r>
            <w:r>
              <w:rPr>
                <w:rFonts w:hint="eastAsia" w:eastAsia="仿宋" w:cs="Times New Roman"/>
                <w:b/>
                <w:bCs/>
                <w:color w:val="auto"/>
                <w:sz w:val="24"/>
                <w:szCs w:val="22"/>
                <w:highlight w:val="none"/>
                <w:lang w:val="en-US" w:eastAsia="zh-CN"/>
              </w:rPr>
              <w:t>产品</w:t>
            </w:r>
            <w:r>
              <w:rPr>
                <w:rFonts w:hint="eastAsia" w:ascii="仿宋" w:hAnsi="仿宋" w:eastAsia="仿宋" w:cs="仿宋"/>
                <w:b/>
                <w:bCs/>
                <w:color w:val="auto"/>
                <w:sz w:val="24"/>
                <w:szCs w:val="24"/>
                <w:highlight w:val="none"/>
                <w:lang w:val="en-US" w:eastAsia="zh-CN"/>
              </w:rPr>
              <w:t>制造商有自主研发能力和生产工艺较完整，生产车间环境及生产线常规，生产步骤较完整周详，技术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eastAsia="zh-CN"/>
              </w:rPr>
              <w:t>相对</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检验设备配置较齐全、检验步骤相对完备，生产制造履约能力</w:t>
            </w:r>
            <w:r>
              <w:rPr>
                <w:rFonts w:hint="eastAsia" w:ascii="仿宋" w:hAnsi="仿宋" w:eastAsia="仿宋" w:cs="仿宋"/>
                <w:b/>
                <w:bCs/>
                <w:color w:val="auto"/>
                <w:sz w:val="24"/>
                <w:szCs w:val="24"/>
                <w:highlight w:val="none"/>
                <w:lang w:eastAsia="zh-CN"/>
              </w:rPr>
              <w:t>较</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3、所投</w:t>
            </w:r>
            <w:r>
              <w:rPr>
                <w:rFonts w:hint="eastAsia" w:eastAsia="仿宋" w:cs="Times New Roman"/>
                <w:b/>
                <w:bCs/>
                <w:color w:val="auto"/>
                <w:sz w:val="24"/>
                <w:szCs w:val="22"/>
                <w:highlight w:val="none"/>
                <w:lang w:val="en-US" w:eastAsia="zh-CN"/>
              </w:rPr>
              <w:t>产品</w:t>
            </w:r>
            <w:r>
              <w:rPr>
                <w:rFonts w:hint="eastAsia" w:ascii="仿宋" w:hAnsi="仿宋" w:eastAsia="仿宋" w:cs="仿宋"/>
                <w:b/>
                <w:bCs/>
                <w:color w:val="auto"/>
                <w:sz w:val="24"/>
                <w:szCs w:val="24"/>
                <w:highlight w:val="none"/>
                <w:lang w:val="en-US" w:eastAsia="zh-CN"/>
              </w:rPr>
              <w:t>制造商有自主研发能力和生产工艺薄弱，生产车间环境及生产线粗糙落后，生产步骤简单，技术</w:t>
            </w:r>
            <w:r>
              <w:rPr>
                <w:rFonts w:hint="eastAsia" w:ascii="仿宋" w:hAnsi="仿宋" w:eastAsia="仿宋" w:cs="仿宋"/>
                <w:b/>
                <w:bCs/>
                <w:color w:val="auto"/>
                <w:sz w:val="24"/>
                <w:szCs w:val="24"/>
                <w:highlight w:val="none"/>
              </w:rPr>
              <w:t>人员</w:t>
            </w:r>
            <w:r>
              <w:rPr>
                <w:rFonts w:hint="eastAsia" w:ascii="仿宋" w:hAnsi="仿宋" w:eastAsia="仿宋" w:cs="仿宋"/>
                <w:b/>
                <w:bCs/>
                <w:color w:val="auto"/>
                <w:sz w:val="24"/>
                <w:szCs w:val="24"/>
                <w:highlight w:val="none"/>
                <w:lang w:eastAsia="zh-CN"/>
              </w:rPr>
              <w:t>综合实力一般，</w:t>
            </w:r>
            <w:r>
              <w:rPr>
                <w:rFonts w:hint="eastAsia" w:ascii="仿宋" w:hAnsi="仿宋" w:eastAsia="仿宋" w:cs="仿宋"/>
                <w:b/>
                <w:bCs/>
                <w:color w:val="auto"/>
                <w:sz w:val="24"/>
                <w:szCs w:val="24"/>
                <w:highlight w:val="none"/>
                <w:lang w:val="en-US" w:eastAsia="zh-CN"/>
              </w:rPr>
              <w:t>检验设备配置简单落后，检验步骤普通，生产制造履约能力</w:t>
            </w:r>
            <w:r>
              <w:rPr>
                <w:rFonts w:hint="eastAsia" w:ascii="仿宋" w:hAnsi="仿宋" w:eastAsia="仿宋" w:cs="仿宋"/>
                <w:b/>
                <w:bCs/>
                <w:color w:val="auto"/>
                <w:sz w:val="24"/>
                <w:szCs w:val="24"/>
                <w:highlight w:val="none"/>
                <w:lang w:eastAsia="zh-CN"/>
              </w:rPr>
              <w:t>弱</w:t>
            </w:r>
            <w:r>
              <w:rPr>
                <w:rFonts w:hint="eastAsia" w:ascii="仿宋" w:hAnsi="仿宋" w:eastAsia="仿宋" w:cs="仿宋"/>
                <w:b/>
                <w:bCs/>
                <w:color w:val="auto"/>
                <w:sz w:val="24"/>
                <w:szCs w:val="24"/>
                <w:highlight w:val="none"/>
              </w:rPr>
              <w:t>的得</w:t>
            </w: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未提供证明材料或证明材料有缺项的不得分。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3</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质量保证和保修</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eastAsia="仿宋"/>
                <w:color w:val="auto"/>
                <w:sz w:val="24"/>
                <w:szCs w:val="22"/>
                <w:highlight w:val="none"/>
              </w:rPr>
            </w:pPr>
            <w:r>
              <w:rPr>
                <w:rFonts w:eastAsia="仿宋"/>
                <w:color w:val="auto"/>
                <w:sz w:val="24"/>
                <w:szCs w:val="22"/>
                <w:highlight w:val="none"/>
              </w:rPr>
              <w:t>在招标文件商务要求中“质保期”和“保修期”要求基础上，承诺“质保期”和“保修期”均每延长一年的加2分，最多加4分。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eastAsia="仿宋"/>
                <w:b/>
                <w:color w:val="auto"/>
                <w:sz w:val="24"/>
                <w:szCs w:val="22"/>
                <w:highlight w:val="none"/>
              </w:rPr>
              <w:t>评审依据：投标文件中提供“质保期”和“保修期”均延长的承诺函原件。</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类似销售</w:t>
            </w:r>
          </w:p>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案例</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投标人自</w:t>
            </w:r>
            <w:r>
              <w:rPr>
                <w:rFonts w:eastAsia="仿宋" w:cs="Times New Roman"/>
                <w:color w:val="auto"/>
                <w:sz w:val="24"/>
                <w:szCs w:val="22"/>
                <w:highlight w:val="none"/>
              </w:rPr>
              <w:t>20</w:t>
            </w:r>
            <w:r>
              <w:rPr>
                <w:rFonts w:hint="eastAsia" w:eastAsia="仿宋" w:cs="Times New Roman"/>
                <w:color w:val="auto"/>
                <w:sz w:val="24"/>
                <w:szCs w:val="22"/>
                <w:highlight w:val="none"/>
              </w:rPr>
              <w:t>2</w:t>
            </w:r>
            <w:r>
              <w:rPr>
                <w:rFonts w:hint="eastAsia" w:eastAsia="仿宋" w:cs="Times New Roman"/>
                <w:color w:val="auto"/>
                <w:sz w:val="24"/>
                <w:szCs w:val="22"/>
                <w:highlight w:val="none"/>
                <w:lang w:val="en-US" w:eastAsia="zh-CN"/>
              </w:rPr>
              <w:t>1</w:t>
            </w:r>
            <w:r>
              <w:rPr>
                <w:rFonts w:hint="eastAsia" w:eastAsia="仿宋" w:cs="Times New Roman"/>
                <w:color w:val="auto"/>
                <w:sz w:val="24"/>
                <w:szCs w:val="22"/>
                <w:highlight w:val="none"/>
              </w:rPr>
              <w:t>年</w:t>
            </w:r>
            <w:r>
              <w:rPr>
                <w:rFonts w:eastAsia="仿宋" w:cs="Times New Roman"/>
                <w:color w:val="auto"/>
                <w:sz w:val="24"/>
                <w:szCs w:val="22"/>
                <w:highlight w:val="none"/>
              </w:rPr>
              <w:t>1月1日至今（以签订合同时间为准）具有类似产品销售案例，每提供1份销售案例加</w:t>
            </w:r>
            <w:r>
              <w:rPr>
                <w:rFonts w:hint="eastAsia" w:eastAsia="仿宋" w:cs="Times New Roman"/>
                <w:color w:val="auto"/>
                <w:sz w:val="24"/>
                <w:szCs w:val="22"/>
                <w:highlight w:val="none"/>
                <w:lang w:val="en-US" w:eastAsia="zh-CN"/>
              </w:rPr>
              <w:t>2</w:t>
            </w:r>
            <w:r>
              <w:rPr>
                <w:rFonts w:hint="eastAsia" w:eastAsia="仿宋" w:cs="Times New Roman"/>
                <w:color w:val="auto"/>
                <w:sz w:val="24"/>
                <w:szCs w:val="22"/>
                <w:highlight w:val="none"/>
              </w:rPr>
              <w:t>分，本项最多加</w:t>
            </w:r>
            <w:r>
              <w:rPr>
                <w:rFonts w:hint="eastAsia" w:eastAsia="仿宋" w:cs="Times New Roman"/>
                <w:color w:val="auto"/>
                <w:sz w:val="24"/>
                <w:szCs w:val="22"/>
                <w:highlight w:val="none"/>
                <w:lang w:val="en-US" w:eastAsia="zh-CN"/>
              </w:rPr>
              <w:t>6</w:t>
            </w:r>
            <w:r>
              <w:rPr>
                <w:rFonts w:hint="eastAsia" w:eastAsia="仿宋" w:cs="Times New Roman"/>
                <w:color w:val="auto"/>
                <w:sz w:val="24"/>
                <w:szCs w:val="22"/>
                <w:highlight w:val="none"/>
              </w:rPr>
              <w:t>分。</w:t>
            </w:r>
          </w:p>
          <w:p>
            <w:pPr>
              <w:pageBreakBefore w:val="0"/>
              <w:kinsoku/>
              <w:wordWrap/>
              <w:overflowPunct/>
              <w:topLinePunct w:val="0"/>
              <w:autoSpaceDE/>
              <w:autoSpaceDN/>
              <w:bidi w:val="0"/>
              <w:adjustRightInd/>
              <w:snapToGrid/>
              <w:spacing w:line="460" w:lineRule="exact"/>
              <w:jc w:val="left"/>
              <w:rPr>
                <w:rFonts w:eastAsia="仿宋"/>
                <w:b/>
                <w:bCs/>
                <w:color w:val="auto"/>
                <w:sz w:val="24"/>
                <w:szCs w:val="22"/>
                <w:highlight w:val="none"/>
              </w:rPr>
            </w:pPr>
            <w:r>
              <w:rPr>
                <w:rFonts w:hint="eastAsia" w:eastAsia="仿宋" w:cs="Times New Roman"/>
                <w:b/>
                <w:bCs/>
                <w:color w:val="auto"/>
                <w:sz w:val="24"/>
                <w:szCs w:val="22"/>
                <w:highlight w:val="none"/>
              </w:rPr>
              <w:t>评审依据：①投标文件中提供销售案例明细表（销售案例明细表包含</w:t>
            </w:r>
            <w:r>
              <w:rPr>
                <w:rFonts w:eastAsia="仿宋" w:cs="Times New Roman"/>
                <w:b/>
                <w:bCs/>
                <w:color w:val="auto"/>
                <w:sz w:val="24"/>
                <w:szCs w:val="22"/>
                <w:highlight w:val="none"/>
              </w:rPr>
              <w:t>:发布网站名称、网页链接地址、采购项目名称、采购单位名称和联系方式、采购代理机构名称和联系方式）；</w:t>
            </w:r>
            <w:r>
              <w:rPr>
                <w:rFonts w:hint="eastAsia" w:eastAsia="仿宋" w:cs="Times New Roman"/>
                <w:b/>
                <w:bCs/>
                <w:color w:val="auto"/>
                <w:sz w:val="24"/>
                <w:szCs w:val="22"/>
                <w:highlight w:val="none"/>
              </w:rPr>
              <w:t>②</w:t>
            </w:r>
            <w:r>
              <w:rPr>
                <w:rFonts w:hint="eastAsia" w:eastAsia="仿宋" w:cs="Times New Roman"/>
                <w:b/>
                <w:bCs/>
                <w:color w:val="auto"/>
                <w:sz w:val="24"/>
                <w:szCs w:val="22"/>
                <w:highlight w:val="none"/>
                <w:lang w:eastAsia="zh-CN"/>
              </w:rPr>
              <w:t>中标（成交）公告截图（打印网页）、中标通知书复印件和合同复印件（中标通知书或合同复印件应体现类似销售案例的货物），合同签订方必须是投标人本身。</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hint="eastAsia" w:eastAsia="仿宋"/>
                <w:color w:val="auto"/>
                <w:sz w:val="24"/>
                <w:szCs w:val="22"/>
                <w:highlight w:val="none"/>
                <w:lang w:val="en-US" w:eastAsia="zh-CN"/>
              </w:rPr>
              <w:t>6</w:t>
            </w:r>
            <w:r>
              <w:rPr>
                <w:rFonts w:eastAsia="仿宋"/>
                <w:color w:val="auto"/>
                <w:sz w:val="24"/>
                <w:szCs w:val="22"/>
                <w:highlight w:val="none"/>
              </w:rPr>
              <w:t>分</w:t>
            </w:r>
          </w:p>
        </w:tc>
      </w:tr>
    </w:tbl>
    <w:p>
      <w:pPr>
        <w:pageBreakBefore w:val="0"/>
        <w:kinsoku/>
        <w:wordWrap/>
        <w:overflowPunct/>
        <w:topLinePunct w:val="0"/>
        <w:autoSpaceDE/>
        <w:autoSpaceDN/>
        <w:bidi w:val="0"/>
        <w:adjustRightInd/>
        <w:snapToGrid/>
        <w:spacing w:line="460" w:lineRule="exact"/>
        <w:rPr>
          <w:color w:val="auto"/>
          <w:highlight w:val="none"/>
        </w:rPr>
      </w:pPr>
    </w:p>
    <w:p>
      <w:pPr>
        <w:pageBreakBefore w:val="0"/>
        <w:kinsoku/>
        <w:wordWrap/>
        <w:overflowPunct/>
        <w:topLinePunct w:val="0"/>
        <w:autoSpaceDE/>
        <w:autoSpaceDN/>
        <w:bidi w:val="0"/>
        <w:adjustRightInd/>
        <w:snapToGrid/>
        <w:spacing w:line="460" w:lineRule="exact"/>
        <w:rPr>
          <w:color w:val="auto"/>
          <w:highlight w:val="none"/>
        </w:rPr>
      </w:pPr>
      <w:r>
        <w:rPr>
          <w:color w:val="auto"/>
          <w:highlight w:val="none"/>
        </w:rPr>
        <w:br w:type="page"/>
      </w:r>
    </w:p>
    <w:p>
      <w:pPr>
        <w:pageBreakBefore w:val="0"/>
        <w:kinsoku/>
        <w:wordWrap/>
        <w:overflowPunct/>
        <w:topLinePunct w:val="0"/>
        <w:autoSpaceDE/>
        <w:autoSpaceDN/>
        <w:bidi w:val="0"/>
        <w:adjustRightInd/>
        <w:snapToGrid/>
        <w:spacing w:line="460" w:lineRule="exact"/>
        <w:jc w:val="left"/>
        <w:outlineLvl w:val="1"/>
        <w:rPr>
          <w:rFonts w:hint="eastAsia" w:ascii="仿宋" w:hAnsi="仿宋" w:eastAsia="仿宋" w:cs="Times New Roman"/>
          <w:b/>
          <w:bCs/>
          <w:color w:val="auto"/>
          <w:sz w:val="28"/>
          <w:szCs w:val="28"/>
          <w:highlight w:val="none"/>
          <w:lang w:eastAsia="zh-CN"/>
        </w:rPr>
      </w:pPr>
      <w:bookmarkStart w:id="751" w:name="_Toc6519"/>
      <w:bookmarkStart w:id="752" w:name="_Toc1163"/>
      <w:bookmarkStart w:id="753" w:name="_Toc1272"/>
      <w:bookmarkStart w:id="754" w:name="_Toc24411"/>
      <w:bookmarkStart w:id="755" w:name="_Toc15691"/>
      <w:r>
        <w:rPr>
          <w:rFonts w:hint="eastAsia" w:ascii="仿宋" w:hAnsi="仿宋" w:eastAsia="仿宋" w:cs="Times New Roman"/>
          <w:b/>
          <w:bCs/>
          <w:color w:val="auto"/>
          <w:sz w:val="28"/>
          <w:szCs w:val="28"/>
          <w:highlight w:val="none"/>
          <w:lang w:val="en-US" w:eastAsia="zh-CN"/>
        </w:rPr>
        <w:t>77包</w:t>
      </w:r>
      <w:r>
        <w:rPr>
          <w:rFonts w:hint="eastAsia" w:ascii="仿宋" w:hAnsi="仿宋" w:eastAsia="仿宋" w:cs="Times New Roman"/>
          <w:b/>
          <w:bCs/>
          <w:color w:val="auto"/>
          <w:sz w:val="28"/>
          <w:szCs w:val="28"/>
          <w:highlight w:val="none"/>
        </w:rPr>
        <w:t>：</w:t>
      </w:r>
      <w:r>
        <w:rPr>
          <w:rFonts w:hint="eastAsia" w:ascii="仿宋" w:hAnsi="仿宋" w:eastAsia="仿宋" w:cs="Times New Roman"/>
          <w:b/>
          <w:bCs/>
          <w:color w:val="auto"/>
          <w:sz w:val="28"/>
          <w:szCs w:val="28"/>
          <w:highlight w:val="none"/>
          <w:lang w:val="en-US" w:eastAsia="zh-CN"/>
        </w:rPr>
        <w:t>角磨机【核心产品】、电钻</w:t>
      </w:r>
      <w:bookmarkEnd w:id="751"/>
      <w:bookmarkEnd w:id="752"/>
      <w:bookmarkEnd w:id="753"/>
      <w:bookmarkEnd w:id="754"/>
      <w:bookmarkEnd w:id="755"/>
    </w:p>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hint="eastAsia" w:ascii="仿宋" w:hAnsi="仿宋" w:eastAsia="仿宋"/>
          <w:b/>
          <w:color w:val="auto"/>
          <w:sz w:val="24"/>
          <w:highlight w:val="none"/>
        </w:rPr>
        <w:t>一、价格部分（</w:t>
      </w:r>
      <w:r>
        <w:rPr>
          <w:rFonts w:ascii="仿宋" w:hAnsi="仿宋" w:eastAsia="仿宋"/>
          <w:b/>
          <w:color w:val="auto"/>
          <w:sz w:val="24"/>
          <w:highlight w:val="none"/>
        </w:rPr>
        <w:t>30分）</w:t>
      </w:r>
    </w:p>
    <w:tbl>
      <w:tblPr>
        <w:tblStyle w:val="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1579"/>
        <w:gridCol w:w="6182"/>
        <w:gridCol w:w="8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评审因素</w:t>
            </w:r>
          </w:p>
        </w:tc>
        <w:tc>
          <w:tcPr>
            <w:tcW w:w="3327" w:type="pct"/>
            <w:vAlign w:val="center"/>
          </w:tcPr>
          <w:p>
            <w:pPr>
              <w:pageBreakBefore w:val="0"/>
              <w:kinsoku/>
              <w:wordWrap/>
              <w:overflowPunct/>
              <w:topLinePunct w:val="0"/>
              <w:autoSpaceDE/>
              <w:autoSpaceDN/>
              <w:bidi w:val="0"/>
              <w:adjustRightInd/>
              <w:snapToGrid/>
              <w:spacing w:line="460" w:lineRule="exact"/>
              <w:jc w:val="center"/>
              <w:textAlignment w:val="center"/>
              <w:rPr>
                <w:rFonts w:ascii="仿宋" w:hAnsi="仿宋" w:eastAsia="仿宋" w:cs="仿宋"/>
                <w:b/>
                <w:color w:val="auto"/>
                <w:sz w:val="24"/>
                <w:highlight w:val="none"/>
              </w:rPr>
            </w:pPr>
            <w:r>
              <w:rPr>
                <w:rFonts w:hint="eastAsia" w:ascii="仿宋" w:hAnsi="仿宋" w:eastAsia="仿宋" w:cs="仿宋"/>
                <w:b/>
                <w:bCs/>
                <w:color w:val="auto"/>
                <w:sz w:val="24"/>
                <w:highlight w:val="none"/>
              </w:rPr>
              <w:t>评分标准</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价格分</w:t>
            </w:r>
          </w:p>
        </w:tc>
        <w:tc>
          <w:tcPr>
            <w:tcW w:w="3327" w:type="pct"/>
            <w:vAlign w:val="center"/>
          </w:tcPr>
          <w:p>
            <w:pPr>
              <w:pageBreakBefore w:val="0"/>
              <w:kinsoku/>
              <w:wordWrap/>
              <w:overflowPunct/>
              <w:topLinePunct w:val="0"/>
              <w:autoSpaceDE/>
              <w:autoSpaceDN/>
              <w:bidi w:val="0"/>
              <w:adjustRightInd/>
              <w:snapToGrid/>
              <w:spacing w:line="460" w:lineRule="exact"/>
              <w:jc w:val="left"/>
              <w:textAlignment w:val="center"/>
              <w:rPr>
                <w:rFonts w:ascii="仿宋" w:hAnsi="仿宋" w:eastAsia="仿宋" w:cs="仿宋"/>
                <w:color w:val="auto"/>
                <w:sz w:val="24"/>
                <w:highlight w:val="none"/>
              </w:rPr>
            </w:pPr>
            <w:r>
              <w:rPr>
                <w:rFonts w:hint="eastAsia" w:ascii="仿宋" w:hAnsi="仿宋" w:eastAsia="仿宋" w:cs="仿宋"/>
                <w:color w:val="auto"/>
                <w:sz w:val="24"/>
                <w:highlight w:val="none"/>
              </w:rPr>
              <w:t>根据综合评分法，满足招标文件要求且投标价格最低的投标报价为评标基准价，投标报价得分</w:t>
            </w:r>
            <w:r>
              <w:rPr>
                <w:rFonts w:ascii="仿宋" w:hAnsi="仿宋" w:eastAsia="仿宋" w:cs="仿宋"/>
                <w:color w:val="auto"/>
                <w:sz w:val="24"/>
                <w:highlight w:val="none"/>
              </w:rPr>
              <w:t>=（评标基准价／投标报价）</w:t>
            </w:r>
            <w:r>
              <w:rPr>
                <w:rFonts w:hint="eastAsia" w:ascii="仿宋" w:hAnsi="仿宋" w:eastAsia="仿宋" w:cs="仿宋"/>
                <w:color w:val="auto"/>
                <w:sz w:val="24"/>
                <w:highlight w:val="none"/>
              </w:rPr>
              <w:t>×</w:t>
            </w:r>
            <w:r>
              <w:rPr>
                <w:rFonts w:ascii="仿宋" w:hAnsi="仿宋" w:eastAsia="仿宋" w:cs="仿宋"/>
                <w:color w:val="auto"/>
                <w:sz w:val="24"/>
                <w:highlight w:val="none"/>
              </w:rPr>
              <w:t>30%×100，计算分数时四舍五入取小数点后两位。</w:t>
            </w:r>
          </w:p>
          <w:p>
            <w:pPr>
              <w:pageBreakBefore w:val="0"/>
              <w:kinsoku/>
              <w:wordWrap/>
              <w:overflowPunct/>
              <w:topLinePunct w:val="0"/>
              <w:autoSpaceDE/>
              <w:autoSpaceDN/>
              <w:bidi w:val="0"/>
              <w:adjustRightInd/>
              <w:snapToGrid/>
              <w:spacing w:line="460" w:lineRule="exact"/>
              <w:ind w:firstLine="482" w:firstLineChars="200"/>
              <w:jc w:val="left"/>
              <w:textAlignment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注：</w:t>
            </w:r>
            <w:r>
              <w:rPr>
                <w:rFonts w:ascii="仿宋" w:hAnsi="仿宋" w:eastAsia="仿宋" w:cs="仿宋"/>
                <w:b/>
                <w:bCs/>
                <w:color w:val="auto"/>
                <w:sz w:val="24"/>
                <w:highlight w:val="none"/>
              </w:rPr>
              <w:t>小、微型企业或残疾人福利性单位产品或监狱产品的价格给予10%的扣除，用扣除后的价格参与评审。但残疾人福利性单位本身属于小型、微型企业的，不重复享受政策。</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30分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二、技术部分（5</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7"/>
        <w:gridCol w:w="687"/>
        <w:gridCol w:w="1413"/>
        <w:gridCol w:w="5781"/>
        <w:gridCol w:w="8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89"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1131" w:type="pct"/>
            <w:gridSpan w:val="2"/>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3113"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评分标准</w:t>
            </w:r>
          </w:p>
        </w:tc>
        <w:tc>
          <w:tcPr>
            <w:tcW w:w="466"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289"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131"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技术参数及要求</w:t>
            </w:r>
          </w:p>
        </w:tc>
        <w:tc>
          <w:tcPr>
            <w:tcW w:w="3113" w:type="pct"/>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一、重大负偏离评审依据：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1、带★条款的响应，不满足招标文件要求的，或有缺项、漏项的，视为重大负偏离；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2、一般参数和带“▲”参数共有四项及以上（含本数）的负偏离，视为重大负偏离；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3、所投产品一般参数或带“▲”参数有一项低于招标文件要求，该项视为负偏离；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4、所投产品一般参数或带“▲”参数有一项缺项、漏项的，该项视为负偏离。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注：“一般参数”为非标“★”号参数和非标“▲”号参数。</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①投标文件中提供的技术条款响应表；</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②所投产品技术参数完全满足招标文件要求得</w:t>
            </w:r>
            <w:r>
              <w:rPr>
                <w:rFonts w:hint="eastAsia" w:ascii="仿宋" w:hAnsi="仿宋" w:eastAsia="仿宋" w:cs="仿宋"/>
                <w:b/>
                <w:bCs/>
                <w:color w:val="auto"/>
                <w:sz w:val="24"/>
                <w:highlight w:val="none"/>
                <w:lang w:val="en-US" w:eastAsia="zh-CN"/>
              </w:rPr>
              <w:t>30</w:t>
            </w:r>
            <w:r>
              <w:rPr>
                <w:rFonts w:hint="eastAsia" w:ascii="仿宋" w:hAnsi="仿宋" w:eastAsia="仿宋" w:cs="仿宋"/>
                <w:b/>
                <w:bCs/>
                <w:color w:val="auto"/>
                <w:sz w:val="24"/>
                <w:highlight w:val="none"/>
              </w:rPr>
              <w:t>分；重大负偏离则视为无效投标；一般参数或带“▲”参数每有一项负偏离减5分，最多减15分，四项或以上负偏离视为无效投标。</w:t>
            </w:r>
          </w:p>
        </w:tc>
        <w:tc>
          <w:tcPr>
            <w:tcW w:w="466" w:type="pct"/>
            <w:vAlign w:val="center"/>
          </w:tcPr>
          <w:p>
            <w:pPr>
              <w:pageBreakBefore w:val="0"/>
              <w:kinsoku/>
              <w:wordWrap/>
              <w:overflowPunct/>
              <w:topLinePunct w:val="0"/>
              <w:autoSpaceDE/>
              <w:autoSpaceDN/>
              <w:bidi w:val="0"/>
              <w:adjustRightInd/>
              <w:snapToGrid/>
              <w:spacing w:line="460" w:lineRule="exact"/>
              <w:jc w:val="center"/>
              <w:textAlignment w:val="center"/>
              <w:rPr>
                <w:rFonts w:hint="default"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89"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370" w:type="pct"/>
            <w:vMerge w:val="restar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角磨机</w:t>
            </w:r>
          </w:p>
        </w:tc>
        <w:tc>
          <w:tcPr>
            <w:tcW w:w="761"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▲3.3电池容量：≥</w:t>
            </w:r>
            <w:r>
              <w:rPr>
                <w:rFonts w:hint="eastAsia" w:ascii="仿宋" w:hAnsi="仿宋" w:eastAsia="仿宋" w:cs="仿宋"/>
                <w:color w:val="auto"/>
                <w:sz w:val="24"/>
                <w:szCs w:val="24"/>
                <w:highlight w:val="none"/>
                <w:lang w:val="en-US" w:eastAsia="zh-CN"/>
              </w:rPr>
              <w:t>3500</w:t>
            </w:r>
            <w:r>
              <w:rPr>
                <w:rFonts w:hint="eastAsia" w:ascii="仿宋" w:hAnsi="仿宋" w:eastAsia="仿宋" w:cs="仿宋"/>
                <w:color w:val="auto"/>
                <w:sz w:val="24"/>
                <w:highlight w:val="none"/>
                <w:lang w:val="en-US" w:eastAsia="zh-CN"/>
              </w:rPr>
              <w:t>mAh</w:t>
            </w:r>
          </w:p>
        </w:tc>
        <w:tc>
          <w:tcPr>
            <w:tcW w:w="3113"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的</w:t>
            </w:r>
            <w:r>
              <w:rPr>
                <w:rFonts w:hint="eastAsia" w:ascii="仿宋" w:hAnsi="仿宋" w:eastAsia="仿宋" w:cs="仿宋"/>
                <w:color w:val="auto"/>
                <w:sz w:val="24"/>
                <w:highlight w:val="none"/>
                <w:lang w:val="en-US" w:eastAsia="zh-CN"/>
              </w:rPr>
              <w:t>电池容量</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电池容量</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val="en-US" w:eastAsia="zh-CN"/>
              </w:rPr>
              <w:t>电池容量</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szCs w:val="24"/>
                <w:highlight w:val="none"/>
              </w:rPr>
              <w:t>注：最优</w:t>
            </w:r>
            <w:r>
              <w:rPr>
                <w:rFonts w:hint="eastAsia" w:ascii="仿宋" w:hAnsi="仿宋" w:eastAsia="仿宋" w:cs="仿宋"/>
                <w:b/>
                <w:bCs/>
                <w:color w:val="auto"/>
                <w:sz w:val="24"/>
                <w:szCs w:val="24"/>
                <w:highlight w:val="none"/>
                <w:lang w:val="en-US" w:eastAsia="zh-CN"/>
              </w:rPr>
              <w:t>表示电池容量最大，次优</w:t>
            </w:r>
            <w:r>
              <w:rPr>
                <w:rFonts w:hint="eastAsia" w:ascii="仿宋" w:hAnsi="仿宋" w:eastAsia="仿宋" w:cs="仿宋"/>
                <w:b/>
                <w:bCs/>
                <w:color w:val="auto"/>
                <w:sz w:val="24"/>
                <w:szCs w:val="24"/>
                <w:highlight w:val="none"/>
              </w:rPr>
              <w:t>表示</w:t>
            </w:r>
            <w:r>
              <w:rPr>
                <w:rFonts w:hint="eastAsia" w:ascii="仿宋" w:hAnsi="仿宋" w:eastAsia="仿宋" w:cs="仿宋"/>
                <w:b/>
                <w:bCs/>
                <w:color w:val="auto"/>
                <w:sz w:val="24"/>
                <w:szCs w:val="24"/>
                <w:highlight w:val="none"/>
                <w:lang w:val="en-US" w:eastAsia="zh-CN"/>
              </w:rPr>
              <w:t>电池容量</w:t>
            </w:r>
            <w:r>
              <w:rPr>
                <w:rFonts w:hint="eastAsia" w:ascii="仿宋" w:hAnsi="仿宋" w:eastAsia="仿宋" w:cs="仿宋"/>
                <w:b/>
                <w:bCs/>
                <w:color w:val="auto"/>
                <w:sz w:val="24"/>
                <w:szCs w:val="24"/>
                <w:highlight w:val="none"/>
              </w:rPr>
              <w:t>仅次于最大值。</w:t>
            </w:r>
          </w:p>
        </w:tc>
        <w:tc>
          <w:tcPr>
            <w:tcW w:w="46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89"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370" w:type="pct"/>
            <w:vMerge w:val="continue"/>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p>
        </w:tc>
        <w:tc>
          <w:tcPr>
            <w:tcW w:w="761"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color w:val="auto"/>
                <w:kern w:val="2"/>
                <w:sz w:val="24"/>
                <w:szCs w:val="22"/>
                <w:highlight w:val="none"/>
                <w:lang w:val="en-US" w:eastAsia="zh-CN" w:bidi="ar-SA"/>
              </w:rPr>
              <w:t>▲3.5最大切割深度：≥30mm</w:t>
            </w:r>
          </w:p>
        </w:tc>
        <w:tc>
          <w:tcPr>
            <w:tcW w:w="3113"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仿宋"/>
                <w:color w:val="auto"/>
                <w:sz w:val="24"/>
                <w:szCs w:val="24"/>
                <w:highlight w:val="none"/>
                <w:lang w:val="en-US" w:eastAsia="zh-CN"/>
              </w:rPr>
              <w:t>产品</w:t>
            </w:r>
            <w:r>
              <w:rPr>
                <w:rFonts w:hint="eastAsia" w:ascii="仿宋" w:hAnsi="仿宋" w:eastAsia="仿宋" w:cs="仿宋"/>
                <w:color w:val="auto"/>
                <w:sz w:val="24"/>
                <w:szCs w:val="24"/>
                <w:highlight w:val="none"/>
                <w:lang w:eastAsia="zh-CN"/>
              </w:rPr>
              <w:t>的</w:t>
            </w:r>
            <w:r>
              <w:rPr>
                <w:rFonts w:hint="eastAsia" w:ascii="仿宋" w:hAnsi="仿宋" w:eastAsia="仿宋" w:cs="仿宋"/>
                <w:color w:val="auto"/>
                <w:kern w:val="2"/>
                <w:sz w:val="24"/>
                <w:szCs w:val="22"/>
                <w:highlight w:val="none"/>
                <w:lang w:val="en-US" w:eastAsia="zh-CN" w:bidi="ar-SA"/>
              </w:rPr>
              <w:t>最大切割深度</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2"/>
                <w:sz w:val="24"/>
                <w:szCs w:val="22"/>
                <w:highlight w:val="none"/>
                <w:lang w:val="en-US" w:eastAsia="zh-CN" w:bidi="ar-SA"/>
              </w:rPr>
              <w:t>最大切割深度</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2"/>
                <w:sz w:val="24"/>
                <w:szCs w:val="22"/>
                <w:highlight w:val="none"/>
                <w:lang w:val="en-US" w:eastAsia="zh-CN" w:bidi="ar-SA"/>
              </w:rPr>
              <w:t>最大切割深度</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val="en-US" w:eastAsia="zh-CN"/>
              </w:rPr>
              <w:t>最大切割深度</w:t>
            </w:r>
            <w:r>
              <w:rPr>
                <w:rFonts w:hint="eastAsia" w:ascii="仿宋" w:hAnsi="仿宋" w:eastAsia="仿宋" w:cs="仿宋"/>
                <w:b/>
                <w:bCs/>
                <w:color w:val="auto"/>
                <w:sz w:val="24"/>
                <w:szCs w:val="24"/>
                <w:highlight w:val="none"/>
              </w:rPr>
              <w:t>最大，次优表示</w:t>
            </w:r>
            <w:r>
              <w:rPr>
                <w:rFonts w:hint="eastAsia" w:ascii="仿宋" w:hAnsi="仿宋" w:eastAsia="仿宋" w:cs="仿宋"/>
                <w:b/>
                <w:bCs/>
                <w:color w:val="auto"/>
                <w:sz w:val="24"/>
                <w:szCs w:val="24"/>
                <w:highlight w:val="none"/>
                <w:lang w:val="en-US" w:eastAsia="zh-CN"/>
              </w:rPr>
              <w:t>最大切割深度</w:t>
            </w:r>
            <w:r>
              <w:rPr>
                <w:rFonts w:hint="eastAsia" w:ascii="仿宋" w:hAnsi="仿宋" w:eastAsia="仿宋" w:cs="仿宋"/>
                <w:b/>
                <w:bCs/>
                <w:color w:val="auto"/>
                <w:sz w:val="24"/>
                <w:szCs w:val="24"/>
                <w:highlight w:val="none"/>
              </w:rPr>
              <w:t>仅次于最大值。</w:t>
            </w:r>
          </w:p>
        </w:tc>
        <w:tc>
          <w:tcPr>
            <w:tcW w:w="46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89"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370" w:type="pct"/>
            <w:vMerge w:val="continue"/>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p>
        </w:tc>
        <w:tc>
          <w:tcPr>
            <w:tcW w:w="761"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color w:val="auto"/>
                <w:kern w:val="2"/>
                <w:sz w:val="24"/>
                <w:szCs w:val="22"/>
                <w:highlight w:val="none"/>
                <w:lang w:val="en-US" w:eastAsia="zh-CN" w:bidi="ar-SA"/>
              </w:rPr>
              <w:t>▲3.6空载转速：≥</w:t>
            </w:r>
            <w:r>
              <w:rPr>
                <w:rFonts w:hint="eastAsia" w:ascii="仿宋" w:hAnsi="仿宋" w:eastAsia="仿宋" w:cs="仿宋"/>
                <w:color w:val="auto"/>
                <w:sz w:val="24"/>
                <w:szCs w:val="24"/>
                <w:highlight w:val="none"/>
                <w:lang w:val="en-US" w:eastAsia="zh-CN"/>
              </w:rPr>
              <w:t>7000</w:t>
            </w:r>
            <w:r>
              <w:rPr>
                <w:rFonts w:hint="eastAsia" w:ascii="仿宋" w:hAnsi="仿宋" w:eastAsia="仿宋" w:cs="仿宋"/>
                <w:color w:val="auto"/>
                <w:kern w:val="2"/>
                <w:sz w:val="24"/>
                <w:szCs w:val="22"/>
                <w:highlight w:val="none"/>
                <w:lang w:val="en-US" w:eastAsia="zh-CN" w:bidi="ar-SA"/>
              </w:rPr>
              <w:t>rpm</w:t>
            </w:r>
          </w:p>
        </w:tc>
        <w:tc>
          <w:tcPr>
            <w:tcW w:w="3113"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仿宋"/>
                <w:color w:val="auto"/>
                <w:sz w:val="24"/>
                <w:szCs w:val="24"/>
                <w:highlight w:val="none"/>
                <w:lang w:val="en-US" w:eastAsia="zh-CN"/>
              </w:rPr>
              <w:t>产品</w:t>
            </w:r>
            <w:r>
              <w:rPr>
                <w:rFonts w:hint="eastAsia" w:ascii="仿宋" w:hAnsi="仿宋" w:eastAsia="仿宋" w:cs="仿宋"/>
                <w:color w:val="auto"/>
                <w:sz w:val="24"/>
                <w:szCs w:val="24"/>
                <w:highlight w:val="none"/>
                <w:lang w:eastAsia="zh-CN"/>
              </w:rPr>
              <w:t>的</w:t>
            </w:r>
            <w:r>
              <w:rPr>
                <w:rFonts w:hint="eastAsia" w:ascii="仿宋" w:hAnsi="仿宋" w:eastAsia="仿宋" w:cs="仿宋"/>
                <w:color w:val="auto"/>
                <w:kern w:val="2"/>
                <w:sz w:val="24"/>
                <w:szCs w:val="22"/>
                <w:highlight w:val="none"/>
                <w:lang w:val="en-US" w:eastAsia="zh-CN" w:bidi="ar-SA"/>
              </w:rPr>
              <w:t>空载转速</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2"/>
                <w:sz w:val="24"/>
                <w:szCs w:val="22"/>
                <w:highlight w:val="none"/>
                <w:lang w:val="en-US" w:eastAsia="zh-CN" w:bidi="ar-SA"/>
              </w:rPr>
              <w:t>空载转速</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2"/>
                <w:sz w:val="24"/>
                <w:szCs w:val="22"/>
                <w:highlight w:val="none"/>
                <w:lang w:val="en-US" w:eastAsia="zh-CN" w:bidi="ar-SA"/>
              </w:rPr>
              <w:t>空载转速</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val="en-US" w:eastAsia="zh-CN"/>
              </w:rPr>
              <w:t>空载转速</w:t>
            </w:r>
            <w:r>
              <w:rPr>
                <w:rFonts w:hint="eastAsia" w:ascii="仿宋" w:hAnsi="仿宋" w:eastAsia="仿宋" w:cs="仿宋"/>
                <w:b/>
                <w:bCs/>
                <w:color w:val="auto"/>
                <w:sz w:val="24"/>
                <w:szCs w:val="24"/>
                <w:highlight w:val="none"/>
              </w:rPr>
              <w:t>最大，次优表示</w:t>
            </w:r>
            <w:r>
              <w:rPr>
                <w:rFonts w:hint="eastAsia" w:ascii="仿宋" w:hAnsi="仿宋" w:eastAsia="仿宋" w:cs="仿宋"/>
                <w:b/>
                <w:bCs/>
                <w:color w:val="auto"/>
                <w:sz w:val="24"/>
                <w:szCs w:val="24"/>
                <w:highlight w:val="none"/>
                <w:lang w:val="en-US" w:eastAsia="zh-CN"/>
              </w:rPr>
              <w:t>空载转速</w:t>
            </w:r>
            <w:r>
              <w:rPr>
                <w:rFonts w:hint="eastAsia" w:ascii="仿宋" w:hAnsi="仿宋" w:eastAsia="仿宋" w:cs="仿宋"/>
                <w:b/>
                <w:bCs/>
                <w:color w:val="auto"/>
                <w:sz w:val="24"/>
                <w:szCs w:val="24"/>
                <w:highlight w:val="none"/>
              </w:rPr>
              <w:t>仅次于最大值。</w:t>
            </w:r>
          </w:p>
        </w:tc>
        <w:tc>
          <w:tcPr>
            <w:tcW w:w="46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89"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370" w:type="pc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电钻</w:t>
            </w:r>
          </w:p>
        </w:tc>
        <w:tc>
          <w:tcPr>
            <w:tcW w:w="761"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▲3.6最大转速≥</w:t>
            </w:r>
            <w:r>
              <w:rPr>
                <w:rFonts w:hint="eastAsia" w:ascii="仿宋" w:hAnsi="仿宋" w:eastAsia="仿宋" w:cs="仿宋"/>
                <w:bCs/>
                <w:color w:val="auto"/>
                <w:sz w:val="24"/>
                <w:szCs w:val="24"/>
                <w:highlight w:val="none"/>
                <w:lang w:val="en-US" w:eastAsia="zh-CN"/>
              </w:rPr>
              <w:t>2000</w:t>
            </w:r>
            <w:r>
              <w:rPr>
                <w:rFonts w:hint="eastAsia" w:ascii="仿宋" w:hAnsi="仿宋" w:eastAsia="仿宋" w:cs="仿宋"/>
                <w:color w:val="auto"/>
                <w:sz w:val="24"/>
                <w:highlight w:val="none"/>
                <w:lang w:val="en-US" w:eastAsia="zh-CN"/>
              </w:rPr>
              <w:t>转/分钟</w:t>
            </w:r>
          </w:p>
        </w:tc>
        <w:tc>
          <w:tcPr>
            <w:tcW w:w="3113"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仿宋"/>
                <w:color w:val="auto"/>
                <w:sz w:val="24"/>
                <w:szCs w:val="24"/>
                <w:highlight w:val="none"/>
                <w:lang w:val="en-US" w:eastAsia="zh-CN"/>
              </w:rPr>
              <w:t>产品</w:t>
            </w:r>
            <w:r>
              <w:rPr>
                <w:rFonts w:hint="eastAsia" w:ascii="仿宋" w:hAnsi="仿宋" w:eastAsia="仿宋" w:cs="仿宋"/>
                <w:color w:val="auto"/>
                <w:sz w:val="24"/>
                <w:szCs w:val="24"/>
                <w:highlight w:val="none"/>
                <w:lang w:eastAsia="zh-CN"/>
              </w:rPr>
              <w:t>的</w:t>
            </w:r>
            <w:r>
              <w:rPr>
                <w:rFonts w:hint="eastAsia" w:ascii="仿宋" w:hAnsi="仿宋" w:eastAsia="仿宋" w:cs="仿宋"/>
                <w:color w:val="auto"/>
                <w:sz w:val="24"/>
                <w:highlight w:val="none"/>
                <w:lang w:val="en-US" w:eastAsia="zh-CN"/>
              </w:rPr>
              <w:t>最大转速</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最大转速</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val="en-US" w:eastAsia="zh-CN"/>
              </w:rPr>
              <w:t>最大转速</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val="en-US" w:eastAsia="zh-CN"/>
              </w:rPr>
              <w:t>最大转速</w:t>
            </w:r>
            <w:r>
              <w:rPr>
                <w:rFonts w:hint="eastAsia" w:ascii="仿宋" w:hAnsi="仿宋" w:eastAsia="仿宋" w:cs="仿宋"/>
                <w:b/>
                <w:bCs/>
                <w:color w:val="auto"/>
                <w:sz w:val="24"/>
                <w:szCs w:val="24"/>
                <w:highlight w:val="none"/>
              </w:rPr>
              <w:t>最大，次优表示</w:t>
            </w:r>
            <w:r>
              <w:rPr>
                <w:rFonts w:hint="eastAsia" w:ascii="仿宋" w:hAnsi="仿宋" w:eastAsia="仿宋" w:cs="仿宋"/>
                <w:b/>
                <w:bCs/>
                <w:color w:val="auto"/>
                <w:sz w:val="24"/>
                <w:szCs w:val="24"/>
                <w:highlight w:val="none"/>
                <w:lang w:val="en-US" w:eastAsia="zh-CN"/>
              </w:rPr>
              <w:t>最大转速</w:t>
            </w:r>
            <w:r>
              <w:rPr>
                <w:rFonts w:hint="eastAsia" w:ascii="仿宋" w:hAnsi="仿宋" w:eastAsia="仿宋" w:cs="仿宋"/>
                <w:b/>
                <w:bCs/>
                <w:color w:val="auto"/>
                <w:sz w:val="24"/>
                <w:szCs w:val="24"/>
                <w:highlight w:val="none"/>
              </w:rPr>
              <w:t>仅次于最大值。</w:t>
            </w:r>
          </w:p>
        </w:tc>
        <w:tc>
          <w:tcPr>
            <w:tcW w:w="46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89"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131"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一般参数</w:t>
            </w:r>
          </w:p>
        </w:tc>
        <w:tc>
          <w:tcPr>
            <w:tcW w:w="3113"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在完全满足招标文件“</w:t>
            </w:r>
            <w:r>
              <w:rPr>
                <w:rFonts w:hint="eastAsia" w:ascii="仿宋" w:hAnsi="仿宋" w:eastAsia="仿宋" w:cs="仿宋"/>
                <w:color w:val="auto"/>
                <w:sz w:val="24"/>
                <w:highlight w:val="none"/>
                <w:lang w:eastAsia="zh-CN"/>
              </w:rPr>
              <w:t>所有参数</w:t>
            </w:r>
            <w:r>
              <w:rPr>
                <w:rFonts w:hint="eastAsia" w:ascii="仿宋" w:hAnsi="仿宋" w:eastAsia="仿宋" w:cs="仿宋"/>
                <w:color w:val="auto"/>
                <w:sz w:val="24"/>
                <w:highlight w:val="none"/>
              </w:rPr>
              <w:t>”要求的基础上，每有一条“一般参数”优于的加1分，本项最多加</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分。（加分只针对具有“≥”或“≤”的数值，数值更加优于的进行加分；文字内容或其他内容优于的不加分）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注：“一般参数”为非标“★”号参数和非标“▲”号参数。</w:t>
            </w:r>
          </w:p>
        </w:tc>
        <w:tc>
          <w:tcPr>
            <w:tcW w:w="46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289" w:type="pct"/>
            <w:vMerge w:val="continue"/>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710" w:type="pct"/>
            <w:gridSpan w:val="4"/>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评审依据：提供技术条款响应表和技术支撑文件</w:t>
            </w:r>
            <w:r>
              <w:rPr>
                <w:rFonts w:hint="eastAsia" w:ascii="仿宋" w:hAnsi="仿宋" w:eastAsia="仿宋" w:cs="仿宋"/>
                <w:b/>
                <w:bCs/>
                <w:color w:val="auto"/>
                <w:sz w:val="24"/>
                <w:highlight w:val="none"/>
                <w:lang w:eastAsia="zh-CN"/>
              </w:rPr>
              <w:t>。</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hint="eastAsia"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hint="eastAsia"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hint="eastAsia"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③制造商出具的技术参数证明材料并加盖制造商公章。]</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注：①供应商应认真提供技术支撑文件，若提供多份技术支撑文件，技术支撑文件佐证不一致时，优先级为：产品检测报告复印件＞制造商公开发布的印刷资料＞制造商出具的技术参数证明</w:t>
            </w:r>
            <w:r>
              <w:rPr>
                <w:rFonts w:hint="eastAsia" w:ascii="仿宋" w:hAnsi="仿宋" w:eastAsia="仿宋" w:cs="仿宋"/>
                <w:b/>
                <w:bCs/>
                <w:color w:val="auto"/>
                <w:sz w:val="24"/>
                <w:highlight w:val="none"/>
                <w:lang w:val="en-US" w:eastAsia="zh-CN"/>
              </w:rPr>
              <w:t>材料</w:t>
            </w:r>
            <w:r>
              <w:rPr>
                <w:rFonts w:hint="eastAsia" w:ascii="仿宋" w:hAnsi="仿宋" w:eastAsia="仿宋" w:cs="仿宋"/>
                <w:b/>
                <w:bCs/>
                <w:color w:val="auto"/>
                <w:sz w:val="24"/>
                <w:highlight w:val="none"/>
              </w:rPr>
              <w:t>；②技术支撑文件</w:t>
            </w:r>
            <w:r>
              <w:rPr>
                <w:rFonts w:hint="eastAsia" w:ascii="仿宋" w:hAnsi="仿宋" w:eastAsia="仿宋" w:cs="仿宋"/>
                <w:b/>
                <w:bCs/>
                <w:color w:val="auto"/>
                <w:sz w:val="24"/>
                <w:highlight w:val="none"/>
                <w:lang w:val="en-US" w:eastAsia="zh-CN"/>
              </w:rPr>
              <w:t>与</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不一致，则</w:t>
            </w:r>
            <w:r>
              <w:rPr>
                <w:rFonts w:hint="eastAsia" w:ascii="仿宋" w:hAnsi="仿宋" w:eastAsia="仿宋" w:cs="仿宋"/>
                <w:b/>
                <w:bCs/>
                <w:color w:val="auto"/>
                <w:sz w:val="24"/>
                <w:highlight w:val="none"/>
              </w:rPr>
              <w:t>该点不加分</w:t>
            </w:r>
            <w:r>
              <w:rPr>
                <w:rFonts w:hint="eastAsia" w:ascii="仿宋" w:hAnsi="仿宋" w:eastAsia="仿宋" w:cs="仿宋"/>
                <w:b/>
                <w:bCs/>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89"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131"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整体结构与外观</w:t>
            </w:r>
          </w:p>
        </w:tc>
        <w:tc>
          <w:tcPr>
            <w:tcW w:w="3113"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根据视频文件对核心产品的外观构造、内部结构、设计理念等进行评审。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设计理念先进，外部构造和内部结构科学合理，整体结构外观与实战紧贴程度高的，得3分；设计理念较为先进，外部构造和内部结构较为合理，整体结构外观与实战紧贴程度较高的，得2分；设计理念一般，外观构造和内部结构基本合理，整体结构外观与实战紧贴程度不高的，得1分；未提供证明材料或证明材料有缺项的不得分。</w:t>
            </w:r>
          </w:p>
        </w:tc>
        <w:tc>
          <w:tcPr>
            <w:tcW w:w="46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89"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131"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工艺</w:t>
            </w:r>
          </w:p>
        </w:tc>
        <w:tc>
          <w:tcPr>
            <w:tcW w:w="3113"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根据视频文件对核心产品的安全性、耐用性、实用性等进行评审。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性能高、耐用性能好、实用性能强，工艺符合实战需求程度高的，得3分；安全性能较高、耐用性能良好、实用性能较强，工艺符合实战需求程度较高的，得2分；安全性能不高、耐用性能普通、实用性能一般，工艺符合实战需求程度不高的，得1分；未提供证明材料或证明材料有缺项的不得分。</w:t>
            </w:r>
          </w:p>
        </w:tc>
        <w:tc>
          <w:tcPr>
            <w:tcW w:w="46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89"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131"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操作使用性能</w:t>
            </w:r>
          </w:p>
        </w:tc>
        <w:tc>
          <w:tcPr>
            <w:tcW w:w="3113"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根据视频文件对核心产品的可靠性、便捷性、稳定性等进行评审。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可靠性高、便捷性好、稳定性好，操作使用性能提升战斗力程度高的，得4分；可靠性较高、便捷性较好、稳定性良好，操作使用性能提升战斗力程度较高的，得2分；可靠性不高、便捷性和稳定性一般，操作使用性能提升战斗力程度不高的，得1分；未提供证明材料或证明材料有缺项的不得分。</w:t>
            </w:r>
          </w:p>
        </w:tc>
        <w:tc>
          <w:tcPr>
            <w:tcW w:w="466"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89" w:type="pct"/>
            <w:vMerge w:val="continue"/>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710" w:type="pct"/>
            <w:gridSpan w:val="4"/>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lang w:eastAsia="zh-CN"/>
              </w:rPr>
            </w:pPr>
            <w:r>
              <w:rPr>
                <w:rFonts w:hint="eastAsia" w:ascii="仿宋" w:hAnsi="仿宋" w:eastAsia="仿宋" w:cs="仿宋"/>
                <w:b/>
                <w:bCs/>
                <w:color w:val="auto"/>
                <w:sz w:val="24"/>
                <w:highlight w:val="none"/>
              </w:rPr>
              <w:t>以上评审依据：根据视频文件对产品的整体结构与外观、工艺、操作使用性能进行综合评审，视频文件需对以上三点评审内容进行介绍（包含但不限于以上三点）。视频文件[视频文件格式须为通用格式，佐证视频时长不得超过5分钟，视频清晰度应至少保证所摄的界面文字清晰易辨、画面完整连贯、播放速度正常]应存储于U盘内（单独密封在信封中）与投标文件同时递交，逾期递交不予接收，</w:t>
            </w:r>
            <w:r>
              <w:rPr>
                <w:rFonts w:hint="eastAsia" w:ascii="仿宋" w:hAnsi="仿宋" w:eastAsia="仿宋" w:cs="仿宋"/>
                <w:b/>
                <w:bCs/>
                <w:color w:val="auto"/>
                <w:sz w:val="24"/>
                <w:highlight w:val="none"/>
                <w:lang w:eastAsia="zh-CN"/>
              </w:rPr>
              <w:t>U盘由采购代理机构封存，不予退回。未提供视频或视频无法打开的，得0分。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三、商务部分（1</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1310"/>
        <w:gridCol w:w="6295"/>
        <w:gridCol w:w="9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序号</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评审因素</w:t>
            </w:r>
          </w:p>
        </w:tc>
        <w:tc>
          <w:tcPr>
            <w:tcW w:w="3389"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评分标准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1</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bCs/>
                <w:color w:val="auto"/>
                <w:sz w:val="24"/>
                <w:szCs w:val="22"/>
                <w:highlight w:val="none"/>
              </w:rPr>
            </w:pPr>
            <w:r>
              <w:rPr>
                <w:rFonts w:hint="eastAsia" w:ascii="仿宋" w:hAnsi="仿宋" w:eastAsia="仿宋" w:cs="仿宋"/>
                <w:color w:val="auto"/>
                <w:sz w:val="24"/>
                <w:highlight w:val="none"/>
              </w:rPr>
              <w:t>符合性评审</w:t>
            </w:r>
          </w:p>
        </w:tc>
        <w:tc>
          <w:tcPr>
            <w:tcW w:w="3887" w:type="pct"/>
            <w:gridSpan w:val="2"/>
            <w:vAlign w:val="center"/>
          </w:tcPr>
          <w:p>
            <w:pPr>
              <w:pageBreakBefore w:val="0"/>
              <w:kinsoku/>
              <w:wordWrap/>
              <w:overflowPunct/>
              <w:topLinePunct w:val="0"/>
              <w:autoSpaceDE/>
              <w:autoSpaceDN/>
              <w:bidi w:val="0"/>
              <w:adjustRightInd/>
              <w:snapToGrid/>
              <w:spacing w:line="460" w:lineRule="exact"/>
              <w:rPr>
                <w:rFonts w:eastAsia="仿宋" w:cs="Times New Roman"/>
                <w:color w:val="auto"/>
                <w:sz w:val="24"/>
                <w:szCs w:val="22"/>
                <w:highlight w:val="none"/>
              </w:rPr>
            </w:pPr>
            <w:r>
              <w:rPr>
                <w:rFonts w:hint="eastAsia" w:eastAsia="仿宋" w:cs="Times New Roman"/>
                <w:color w:val="auto"/>
                <w:sz w:val="24"/>
                <w:szCs w:val="22"/>
                <w:highlight w:val="none"/>
              </w:rPr>
              <w:t>投标人必须完全满足招标文件“商务要求”</w:t>
            </w:r>
            <w:r>
              <w:rPr>
                <w:rFonts w:hint="eastAsia" w:eastAsia="仿宋" w:cs="Times New Roman"/>
                <w:color w:val="auto"/>
                <w:sz w:val="24"/>
                <w:szCs w:val="22"/>
                <w:highlight w:val="none"/>
                <w:lang w:val="en-US" w:eastAsia="zh-CN"/>
              </w:rPr>
              <w:t>所有</w:t>
            </w:r>
            <w:r>
              <w:rPr>
                <w:rFonts w:hint="eastAsia" w:eastAsia="仿宋" w:cs="Times New Roman"/>
                <w:color w:val="auto"/>
                <w:sz w:val="24"/>
                <w:szCs w:val="22"/>
                <w:highlight w:val="none"/>
              </w:rPr>
              <w:t>实质性条款，任意一项不满足作无效投标处理。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eastAsia="仿宋" w:cs="Times New Roman"/>
                <w:b/>
                <w:bCs/>
                <w:color w:val="auto"/>
                <w:sz w:val="24"/>
                <w:szCs w:val="22"/>
                <w:highlight w:val="none"/>
              </w:rPr>
              <w:t>评审依据：投标文件中提供的商务条款响应表。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2</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hint="eastAsia" w:eastAsia="仿宋"/>
                <w:color w:val="auto"/>
                <w:sz w:val="24"/>
                <w:szCs w:val="22"/>
                <w:highlight w:val="none"/>
                <w:lang w:eastAsia="zh-CN"/>
              </w:rPr>
            </w:pPr>
            <w:r>
              <w:rPr>
                <w:rFonts w:hint="eastAsia" w:eastAsia="仿宋"/>
                <w:color w:val="auto"/>
                <w:sz w:val="24"/>
                <w:szCs w:val="22"/>
                <w:highlight w:val="none"/>
                <w:lang w:eastAsia="zh-CN"/>
              </w:rPr>
              <w:t>生产制造履约能力</w:t>
            </w:r>
          </w:p>
        </w:tc>
        <w:tc>
          <w:tcPr>
            <w:tcW w:w="3389" w:type="pct"/>
            <w:vAlign w:val="center"/>
          </w:tcPr>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val="en-US" w:eastAsia="zh-CN"/>
              </w:rPr>
              <w:t>投标人提供所投核心产品制造商的证明材料（应加盖制造商公章）</w:t>
            </w:r>
            <w:r>
              <w:rPr>
                <w:rFonts w:hint="eastAsia" w:eastAsia="仿宋" w:cs="Times New Roman"/>
                <w:color w:val="auto"/>
                <w:sz w:val="24"/>
                <w:szCs w:val="22"/>
                <w:highlight w:val="none"/>
              </w:rPr>
              <w:t>对</w:t>
            </w:r>
            <w:r>
              <w:rPr>
                <w:rFonts w:hint="eastAsia" w:eastAsia="仿宋" w:cs="Times New Roman"/>
                <w:color w:val="auto"/>
                <w:sz w:val="24"/>
                <w:szCs w:val="22"/>
                <w:highlight w:val="none"/>
                <w:lang w:eastAsia="zh-CN"/>
              </w:rPr>
              <w:t>生产制造履约能力</w:t>
            </w:r>
            <w:r>
              <w:rPr>
                <w:rFonts w:hint="eastAsia" w:eastAsia="仿宋" w:cs="Times New Roman"/>
                <w:color w:val="auto"/>
                <w:sz w:val="24"/>
                <w:szCs w:val="22"/>
                <w:highlight w:val="none"/>
              </w:rPr>
              <w:t>进行评审，包含但不限于</w:t>
            </w:r>
            <w:r>
              <w:rPr>
                <w:rFonts w:hint="eastAsia" w:eastAsia="仿宋" w:cs="Times New Roman"/>
                <w:color w:val="auto"/>
                <w:sz w:val="24"/>
                <w:szCs w:val="22"/>
                <w:highlight w:val="none"/>
                <w:lang w:eastAsia="zh-CN"/>
              </w:rPr>
              <w:t>：</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eastAsia="zh-CN"/>
              </w:rPr>
              <w:t>①制造商生产经营情况简介；</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②生产工艺流程，主要包括</w:t>
            </w:r>
            <w:r>
              <w:rPr>
                <w:rFonts w:hint="eastAsia" w:eastAsia="仿宋" w:cs="Times New Roman"/>
                <w:color w:val="auto"/>
                <w:sz w:val="24"/>
                <w:szCs w:val="22"/>
                <w:highlight w:val="none"/>
                <w:lang w:val="en-US" w:eastAsia="zh-CN"/>
              </w:rPr>
              <w:t>生产制造流程</w:t>
            </w:r>
            <w:r>
              <w:rPr>
                <w:rFonts w:hint="eastAsia" w:eastAsia="仿宋" w:cs="Times New Roman"/>
                <w:color w:val="auto"/>
                <w:sz w:val="24"/>
                <w:szCs w:val="22"/>
                <w:highlight w:val="none"/>
              </w:rPr>
              <w:t>图、生产步骤</w:t>
            </w:r>
            <w:r>
              <w:rPr>
                <w:rFonts w:hint="eastAsia" w:eastAsia="仿宋" w:cs="Times New Roman"/>
                <w:color w:val="auto"/>
                <w:sz w:val="24"/>
                <w:szCs w:val="22"/>
                <w:highlight w:val="none"/>
                <w:lang w:eastAsia="zh-CN"/>
              </w:rPr>
              <w:t>（应含</w:t>
            </w:r>
            <w:r>
              <w:rPr>
                <w:rFonts w:hint="eastAsia" w:eastAsia="仿宋" w:cs="Times New Roman"/>
                <w:color w:val="auto"/>
                <w:sz w:val="24"/>
                <w:szCs w:val="22"/>
                <w:highlight w:val="none"/>
                <w:lang w:val="en-US" w:eastAsia="zh-CN"/>
              </w:rPr>
              <w:t>生产车间环境及实际生产照片</w:t>
            </w:r>
            <w:r>
              <w:rPr>
                <w:rFonts w:hint="eastAsia" w:eastAsia="仿宋" w:cs="Times New Roman"/>
                <w:color w:val="auto"/>
                <w:sz w:val="24"/>
                <w:szCs w:val="22"/>
                <w:highlight w:val="none"/>
                <w:lang w:eastAsia="zh-CN"/>
              </w:rPr>
              <w:t>）</w:t>
            </w:r>
            <w:r>
              <w:rPr>
                <w:rFonts w:hint="eastAsia" w:eastAsia="仿宋" w:cs="Times New Roman"/>
                <w:color w:val="auto"/>
                <w:sz w:val="24"/>
                <w:szCs w:val="22"/>
                <w:highlight w:val="none"/>
              </w:rPr>
              <w:t>等相关情况</w:t>
            </w:r>
            <w:r>
              <w:rPr>
                <w:rFonts w:hint="eastAsia" w:eastAsia="仿宋" w:cs="Times New Roman"/>
                <w:color w:val="auto"/>
                <w:sz w:val="24"/>
                <w:szCs w:val="22"/>
                <w:highlight w:val="none"/>
                <w:lang w:eastAsia="zh-CN"/>
              </w:rPr>
              <w:t>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③产品检验流程，包括主要检验设备</w:t>
            </w:r>
            <w:r>
              <w:rPr>
                <w:rFonts w:hint="eastAsia" w:eastAsia="仿宋" w:cs="Times New Roman"/>
                <w:color w:val="auto"/>
                <w:sz w:val="24"/>
                <w:szCs w:val="22"/>
                <w:highlight w:val="none"/>
                <w:lang w:eastAsia="zh-CN"/>
              </w:rPr>
              <w:t>（应提供图片）</w:t>
            </w:r>
            <w:r>
              <w:rPr>
                <w:rFonts w:hint="eastAsia" w:eastAsia="仿宋" w:cs="Times New Roman"/>
                <w:color w:val="auto"/>
                <w:sz w:val="24"/>
                <w:szCs w:val="22"/>
                <w:highlight w:val="none"/>
              </w:rPr>
              <w:t>、检验步骤等相关情况描述；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④人员配备：相关专业技术</w:t>
            </w:r>
            <w:r>
              <w:rPr>
                <w:rFonts w:hint="eastAsia" w:eastAsia="仿宋" w:cs="Times New Roman"/>
                <w:color w:val="auto"/>
                <w:sz w:val="24"/>
                <w:szCs w:val="22"/>
                <w:highlight w:val="none"/>
                <w:lang w:eastAsia="zh-CN"/>
              </w:rPr>
              <w:t>职称</w:t>
            </w:r>
            <w:r>
              <w:rPr>
                <w:rFonts w:hint="eastAsia" w:eastAsia="仿宋" w:cs="Times New Roman"/>
                <w:color w:val="auto"/>
                <w:sz w:val="24"/>
                <w:szCs w:val="22"/>
                <w:highlight w:val="none"/>
              </w:rPr>
              <w:t>人员配置情况</w:t>
            </w:r>
            <w:r>
              <w:rPr>
                <w:rFonts w:hint="eastAsia" w:eastAsia="仿宋" w:cs="Times New Roman"/>
                <w:color w:val="auto"/>
                <w:sz w:val="24"/>
                <w:szCs w:val="22"/>
                <w:highlight w:val="none"/>
                <w:lang w:eastAsia="zh-CN"/>
              </w:rPr>
              <w:t>；</w:t>
            </w:r>
            <w:r>
              <w:rPr>
                <w:rFonts w:hint="eastAsia" w:eastAsia="仿宋" w:cs="Times New Roman"/>
                <w:color w:val="auto"/>
                <w:sz w:val="24"/>
                <w:szCs w:val="22"/>
                <w:highlight w:val="none"/>
              </w:rPr>
              <w:t>各原材料采购、生产、检验、仓储、运输等环节的人员配备情况；</w:t>
            </w:r>
          </w:p>
          <w:p>
            <w:pPr>
              <w:pageBreakBefore w:val="0"/>
              <w:kinsoku/>
              <w:wordWrap/>
              <w:overflowPunct/>
              <w:topLinePunct w:val="0"/>
              <w:autoSpaceDE/>
              <w:autoSpaceDN/>
              <w:bidi w:val="0"/>
              <w:adjustRightInd/>
              <w:snapToGrid/>
              <w:spacing w:line="460" w:lineRule="exact"/>
              <w:rPr>
                <w:rFonts w:hint="eastAsia" w:eastAsia="仿宋" w:cs="Times New Roman"/>
                <w:b/>
                <w:bCs/>
                <w:color w:val="auto"/>
                <w:sz w:val="24"/>
                <w:szCs w:val="22"/>
                <w:highlight w:val="none"/>
              </w:rPr>
            </w:pPr>
            <w:r>
              <w:rPr>
                <w:rFonts w:hint="eastAsia" w:eastAsia="仿宋" w:cs="Times New Roman"/>
                <w:b/>
                <w:bCs/>
                <w:color w:val="auto"/>
                <w:sz w:val="24"/>
                <w:szCs w:val="22"/>
                <w:highlight w:val="none"/>
              </w:rPr>
              <w:t>评审依据：</w:t>
            </w:r>
            <w:r>
              <w:rPr>
                <w:rFonts w:hint="eastAsia" w:eastAsia="仿宋" w:cs="Times New Roman"/>
                <w:b/>
                <w:bCs/>
                <w:color w:val="auto"/>
                <w:sz w:val="24"/>
                <w:szCs w:val="22"/>
                <w:highlight w:val="none"/>
                <w:lang w:val="en-US" w:eastAsia="zh-CN"/>
              </w:rPr>
              <w:t>根据</w:t>
            </w:r>
            <w:r>
              <w:rPr>
                <w:rFonts w:hint="eastAsia" w:eastAsia="仿宋" w:cs="Times New Roman"/>
                <w:b/>
                <w:bCs/>
                <w:color w:val="auto"/>
                <w:sz w:val="24"/>
                <w:szCs w:val="22"/>
                <w:highlight w:val="none"/>
              </w:rPr>
              <w:t>投标人提</w:t>
            </w:r>
            <w:r>
              <w:rPr>
                <w:rFonts w:hint="eastAsia" w:eastAsia="仿宋" w:cs="Times New Roman"/>
                <w:b/>
                <w:bCs/>
                <w:color w:val="auto"/>
                <w:sz w:val="24"/>
                <w:szCs w:val="22"/>
                <w:highlight w:val="none"/>
                <w:lang w:val="en-US" w:eastAsia="zh-CN"/>
              </w:rPr>
              <w:t>供的生产制造履约能力方案内容完整性、组织性、关联性和可操作性进行评审</w:t>
            </w:r>
            <w:r>
              <w:rPr>
                <w:rFonts w:hint="eastAsia" w:eastAsia="仿宋" w:cs="Times New Roman"/>
                <w:b/>
                <w:bCs/>
                <w:color w:val="auto"/>
                <w:sz w:val="24"/>
                <w:szCs w:val="22"/>
                <w:highlight w:val="none"/>
              </w:rPr>
              <w:t>。</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1、所投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制造商具备较强自主研发能力及先进的生产工艺，生产车间环境及生产线先进规范，生产步骤完整周详，技术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检验设备配置齐全、检验步骤严密无纰漏，生产制造履约能力</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分；</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制造商有自主研发能力和生产工艺较完整，生产车间环境及生产线常规，生产步骤较完整周详，技术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eastAsia="zh-CN"/>
              </w:rPr>
              <w:t>相对</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检验设备配置较齐全、检验步骤相对完备，生产制造履约能力</w:t>
            </w:r>
            <w:r>
              <w:rPr>
                <w:rFonts w:hint="eastAsia" w:ascii="仿宋" w:hAnsi="仿宋" w:eastAsia="仿宋" w:cs="仿宋"/>
                <w:b/>
                <w:bCs/>
                <w:color w:val="auto"/>
                <w:sz w:val="24"/>
                <w:szCs w:val="24"/>
                <w:highlight w:val="none"/>
                <w:lang w:eastAsia="zh-CN"/>
              </w:rPr>
              <w:t>较</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3、所投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制造商有自主研发能力和生产工艺薄弱，生产车间环境及生产线粗糙落后，生产步骤简单，技术</w:t>
            </w:r>
            <w:r>
              <w:rPr>
                <w:rFonts w:hint="eastAsia" w:ascii="仿宋" w:hAnsi="仿宋" w:eastAsia="仿宋" w:cs="仿宋"/>
                <w:b/>
                <w:bCs/>
                <w:color w:val="auto"/>
                <w:sz w:val="24"/>
                <w:szCs w:val="24"/>
                <w:highlight w:val="none"/>
              </w:rPr>
              <w:t>人员</w:t>
            </w:r>
            <w:r>
              <w:rPr>
                <w:rFonts w:hint="eastAsia" w:ascii="仿宋" w:hAnsi="仿宋" w:eastAsia="仿宋" w:cs="仿宋"/>
                <w:b/>
                <w:bCs/>
                <w:color w:val="auto"/>
                <w:sz w:val="24"/>
                <w:szCs w:val="24"/>
                <w:highlight w:val="none"/>
                <w:lang w:eastAsia="zh-CN"/>
              </w:rPr>
              <w:t>综合实力一般，</w:t>
            </w:r>
            <w:r>
              <w:rPr>
                <w:rFonts w:hint="eastAsia" w:ascii="仿宋" w:hAnsi="仿宋" w:eastAsia="仿宋" w:cs="仿宋"/>
                <w:b/>
                <w:bCs/>
                <w:color w:val="auto"/>
                <w:sz w:val="24"/>
                <w:szCs w:val="24"/>
                <w:highlight w:val="none"/>
                <w:lang w:val="en-US" w:eastAsia="zh-CN"/>
              </w:rPr>
              <w:t>检验设备配置简单落后，检验步骤普通，生产制造履约能力</w:t>
            </w:r>
            <w:r>
              <w:rPr>
                <w:rFonts w:hint="eastAsia" w:ascii="仿宋" w:hAnsi="仿宋" w:eastAsia="仿宋" w:cs="仿宋"/>
                <w:b/>
                <w:bCs/>
                <w:color w:val="auto"/>
                <w:sz w:val="24"/>
                <w:szCs w:val="24"/>
                <w:highlight w:val="none"/>
                <w:lang w:eastAsia="zh-CN"/>
              </w:rPr>
              <w:t>弱</w:t>
            </w:r>
            <w:r>
              <w:rPr>
                <w:rFonts w:hint="eastAsia" w:ascii="仿宋" w:hAnsi="仿宋" w:eastAsia="仿宋" w:cs="仿宋"/>
                <w:b/>
                <w:bCs/>
                <w:color w:val="auto"/>
                <w:sz w:val="24"/>
                <w:szCs w:val="24"/>
                <w:highlight w:val="none"/>
              </w:rPr>
              <w:t>的得</w:t>
            </w: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未提供证明材料或证明材料有缺项的不得分。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3</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质量保证和保修</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eastAsia="仿宋"/>
                <w:color w:val="auto"/>
                <w:sz w:val="24"/>
                <w:szCs w:val="22"/>
                <w:highlight w:val="none"/>
              </w:rPr>
            </w:pPr>
            <w:r>
              <w:rPr>
                <w:rFonts w:eastAsia="仿宋"/>
                <w:color w:val="auto"/>
                <w:sz w:val="24"/>
                <w:szCs w:val="22"/>
                <w:highlight w:val="none"/>
              </w:rPr>
              <w:t>在招标文件商务要求中“质保期”和“保修期”要求基础上，承诺“质保期”和“保修期”均每延长一年的加2分，最多加4分。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eastAsia="仿宋"/>
                <w:b/>
                <w:color w:val="auto"/>
                <w:sz w:val="24"/>
                <w:szCs w:val="22"/>
                <w:highlight w:val="none"/>
              </w:rPr>
              <w:t>评审依据：投标文件中提供“质保期”和“保修期”均延长的承诺函原件。</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类似销售</w:t>
            </w:r>
          </w:p>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案例</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投标人自</w:t>
            </w:r>
            <w:r>
              <w:rPr>
                <w:rFonts w:eastAsia="仿宋" w:cs="Times New Roman"/>
                <w:color w:val="auto"/>
                <w:sz w:val="24"/>
                <w:szCs w:val="22"/>
                <w:highlight w:val="none"/>
              </w:rPr>
              <w:t>20</w:t>
            </w:r>
            <w:r>
              <w:rPr>
                <w:rFonts w:hint="eastAsia" w:eastAsia="仿宋" w:cs="Times New Roman"/>
                <w:color w:val="auto"/>
                <w:sz w:val="24"/>
                <w:szCs w:val="22"/>
                <w:highlight w:val="none"/>
              </w:rPr>
              <w:t>2</w:t>
            </w:r>
            <w:r>
              <w:rPr>
                <w:rFonts w:hint="eastAsia" w:eastAsia="仿宋" w:cs="Times New Roman"/>
                <w:color w:val="auto"/>
                <w:sz w:val="24"/>
                <w:szCs w:val="22"/>
                <w:highlight w:val="none"/>
                <w:lang w:val="en-US" w:eastAsia="zh-CN"/>
              </w:rPr>
              <w:t>1</w:t>
            </w:r>
            <w:r>
              <w:rPr>
                <w:rFonts w:hint="eastAsia" w:eastAsia="仿宋" w:cs="Times New Roman"/>
                <w:color w:val="auto"/>
                <w:sz w:val="24"/>
                <w:szCs w:val="22"/>
                <w:highlight w:val="none"/>
              </w:rPr>
              <w:t>年</w:t>
            </w:r>
            <w:r>
              <w:rPr>
                <w:rFonts w:eastAsia="仿宋" w:cs="Times New Roman"/>
                <w:color w:val="auto"/>
                <w:sz w:val="24"/>
                <w:szCs w:val="22"/>
                <w:highlight w:val="none"/>
              </w:rPr>
              <w:t>1月1日至今（以签订合同时间为准）具有类似</w:t>
            </w:r>
            <w:r>
              <w:rPr>
                <w:rFonts w:hint="eastAsia" w:eastAsia="仿宋" w:cs="Times New Roman"/>
                <w:color w:val="auto"/>
                <w:sz w:val="24"/>
                <w:szCs w:val="22"/>
                <w:highlight w:val="none"/>
                <w:lang w:eastAsia="zh-CN"/>
              </w:rPr>
              <w:t>核心</w:t>
            </w:r>
            <w:r>
              <w:rPr>
                <w:rFonts w:eastAsia="仿宋" w:cs="Times New Roman"/>
                <w:color w:val="auto"/>
                <w:sz w:val="24"/>
                <w:szCs w:val="22"/>
                <w:highlight w:val="none"/>
              </w:rPr>
              <w:t>产品销售案例，每提供1份销售案例加</w:t>
            </w:r>
            <w:r>
              <w:rPr>
                <w:rFonts w:hint="eastAsia" w:eastAsia="仿宋" w:cs="Times New Roman"/>
                <w:color w:val="auto"/>
                <w:sz w:val="24"/>
                <w:szCs w:val="22"/>
                <w:highlight w:val="none"/>
                <w:lang w:val="en-US" w:eastAsia="zh-CN"/>
              </w:rPr>
              <w:t>2</w:t>
            </w:r>
            <w:r>
              <w:rPr>
                <w:rFonts w:hint="eastAsia" w:eastAsia="仿宋" w:cs="Times New Roman"/>
                <w:color w:val="auto"/>
                <w:sz w:val="24"/>
                <w:szCs w:val="22"/>
                <w:highlight w:val="none"/>
              </w:rPr>
              <w:t>分，本项最多加</w:t>
            </w:r>
            <w:r>
              <w:rPr>
                <w:rFonts w:hint="eastAsia" w:eastAsia="仿宋" w:cs="Times New Roman"/>
                <w:color w:val="auto"/>
                <w:sz w:val="24"/>
                <w:szCs w:val="22"/>
                <w:highlight w:val="none"/>
                <w:lang w:val="en-US" w:eastAsia="zh-CN"/>
              </w:rPr>
              <w:t>6</w:t>
            </w:r>
            <w:r>
              <w:rPr>
                <w:rFonts w:hint="eastAsia" w:eastAsia="仿宋" w:cs="Times New Roman"/>
                <w:color w:val="auto"/>
                <w:sz w:val="24"/>
                <w:szCs w:val="22"/>
                <w:highlight w:val="none"/>
              </w:rPr>
              <w:t>分。</w:t>
            </w:r>
          </w:p>
          <w:p>
            <w:pPr>
              <w:pageBreakBefore w:val="0"/>
              <w:kinsoku/>
              <w:wordWrap/>
              <w:overflowPunct/>
              <w:topLinePunct w:val="0"/>
              <w:autoSpaceDE/>
              <w:autoSpaceDN/>
              <w:bidi w:val="0"/>
              <w:adjustRightInd/>
              <w:snapToGrid/>
              <w:spacing w:line="460" w:lineRule="exact"/>
              <w:jc w:val="left"/>
              <w:rPr>
                <w:rFonts w:eastAsia="仿宋"/>
                <w:b/>
                <w:bCs/>
                <w:color w:val="auto"/>
                <w:sz w:val="24"/>
                <w:szCs w:val="22"/>
                <w:highlight w:val="none"/>
              </w:rPr>
            </w:pPr>
            <w:r>
              <w:rPr>
                <w:rFonts w:hint="eastAsia" w:eastAsia="仿宋" w:cs="Times New Roman"/>
                <w:b/>
                <w:bCs/>
                <w:color w:val="auto"/>
                <w:sz w:val="24"/>
                <w:szCs w:val="22"/>
                <w:highlight w:val="none"/>
              </w:rPr>
              <w:t>评审依据：①投标文件中提供销售案例明细表（销售案例明细表包含</w:t>
            </w:r>
            <w:r>
              <w:rPr>
                <w:rFonts w:eastAsia="仿宋" w:cs="Times New Roman"/>
                <w:b/>
                <w:bCs/>
                <w:color w:val="auto"/>
                <w:sz w:val="24"/>
                <w:szCs w:val="22"/>
                <w:highlight w:val="none"/>
              </w:rPr>
              <w:t>:发布网站名称、网页链接地址、采购项目名称、采购单位名称和联系方式、采购代理机构名称和联系方式）；</w:t>
            </w:r>
            <w:r>
              <w:rPr>
                <w:rFonts w:hint="eastAsia" w:eastAsia="仿宋" w:cs="Times New Roman"/>
                <w:b/>
                <w:bCs/>
                <w:color w:val="auto"/>
                <w:sz w:val="24"/>
                <w:szCs w:val="22"/>
                <w:highlight w:val="none"/>
              </w:rPr>
              <w:t>②</w:t>
            </w:r>
            <w:r>
              <w:rPr>
                <w:rFonts w:hint="eastAsia" w:eastAsia="仿宋" w:cs="Times New Roman"/>
                <w:b/>
                <w:bCs/>
                <w:color w:val="auto"/>
                <w:sz w:val="24"/>
                <w:szCs w:val="22"/>
                <w:highlight w:val="none"/>
                <w:lang w:eastAsia="zh-CN"/>
              </w:rPr>
              <w:t>中标（成交）公告截图（打印网页）、中标通知书复印件和合同复印件（中标通知书或合同复印件应体现类似销售案例的货物），合同签订方必须是投标人本身。</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hint="eastAsia" w:eastAsia="仿宋"/>
                <w:color w:val="auto"/>
                <w:sz w:val="24"/>
                <w:szCs w:val="22"/>
                <w:highlight w:val="none"/>
                <w:lang w:val="en-US" w:eastAsia="zh-CN"/>
              </w:rPr>
              <w:t>6</w:t>
            </w:r>
            <w:r>
              <w:rPr>
                <w:rFonts w:eastAsia="仿宋"/>
                <w:color w:val="auto"/>
                <w:sz w:val="24"/>
                <w:szCs w:val="22"/>
                <w:highlight w:val="none"/>
              </w:rPr>
              <w:t>分</w:t>
            </w:r>
          </w:p>
        </w:tc>
      </w:tr>
    </w:tbl>
    <w:p>
      <w:pPr>
        <w:pageBreakBefore w:val="0"/>
        <w:kinsoku/>
        <w:wordWrap/>
        <w:overflowPunct/>
        <w:topLinePunct w:val="0"/>
        <w:autoSpaceDE/>
        <w:autoSpaceDN/>
        <w:bidi w:val="0"/>
        <w:adjustRightInd/>
        <w:snapToGrid/>
        <w:spacing w:line="460" w:lineRule="exact"/>
        <w:rPr>
          <w:rFonts w:hint="eastAsia" w:ascii="仿宋" w:hAnsi="仿宋" w:eastAsia="仿宋" w:cs="Times New Roman"/>
          <w:b/>
          <w:bCs/>
          <w:color w:val="auto"/>
          <w:sz w:val="28"/>
          <w:szCs w:val="28"/>
          <w:highlight w:val="none"/>
          <w:lang w:val="en-US" w:eastAsia="zh-CN"/>
        </w:rPr>
      </w:pPr>
      <w:r>
        <w:rPr>
          <w:rFonts w:hint="eastAsia" w:ascii="仿宋" w:hAnsi="仿宋" w:eastAsia="仿宋" w:cs="Times New Roman"/>
          <w:b/>
          <w:bCs/>
          <w:color w:val="auto"/>
          <w:sz w:val="28"/>
          <w:szCs w:val="28"/>
          <w:highlight w:val="none"/>
          <w:lang w:val="en-US" w:eastAsia="zh-CN"/>
        </w:rPr>
        <w:br w:type="page"/>
      </w:r>
    </w:p>
    <w:p>
      <w:pPr>
        <w:pageBreakBefore w:val="0"/>
        <w:kinsoku/>
        <w:wordWrap/>
        <w:overflowPunct/>
        <w:topLinePunct w:val="0"/>
        <w:autoSpaceDE/>
        <w:autoSpaceDN/>
        <w:bidi w:val="0"/>
        <w:adjustRightInd/>
        <w:snapToGrid/>
        <w:spacing w:line="460" w:lineRule="exact"/>
        <w:jc w:val="left"/>
        <w:outlineLvl w:val="1"/>
        <w:rPr>
          <w:rFonts w:hint="eastAsia" w:ascii="仿宋" w:hAnsi="仿宋" w:eastAsia="仿宋" w:cs="Times New Roman"/>
          <w:b/>
          <w:bCs/>
          <w:color w:val="auto"/>
          <w:sz w:val="28"/>
          <w:szCs w:val="28"/>
          <w:highlight w:val="none"/>
          <w:lang w:eastAsia="zh-CN"/>
        </w:rPr>
      </w:pPr>
      <w:bookmarkStart w:id="756" w:name="_Toc26995"/>
      <w:bookmarkStart w:id="757" w:name="_Toc29654"/>
      <w:bookmarkStart w:id="758" w:name="_Toc28998"/>
      <w:bookmarkStart w:id="759" w:name="_Toc9107"/>
      <w:bookmarkStart w:id="760" w:name="_Toc1801"/>
      <w:r>
        <w:rPr>
          <w:rFonts w:hint="eastAsia" w:ascii="仿宋" w:hAnsi="仿宋" w:eastAsia="仿宋" w:cs="Times New Roman"/>
          <w:b/>
          <w:bCs/>
          <w:color w:val="auto"/>
          <w:sz w:val="28"/>
          <w:szCs w:val="28"/>
          <w:highlight w:val="none"/>
          <w:lang w:val="en-US" w:eastAsia="zh-CN"/>
        </w:rPr>
        <w:t>79包</w:t>
      </w:r>
      <w:r>
        <w:rPr>
          <w:rFonts w:hint="eastAsia" w:ascii="仿宋" w:hAnsi="仿宋" w:eastAsia="仿宋" w:cs="Times New Roman"/>
          <w:b/>
          <w:bCs/>
          <w:color w:val="auto"/>
          <w:sz w:val="28"/>
          <w:szCs w:val="28"/>
          <w:highlight w:val="none"/>
        </w:rPr>
        <w:t>：</w:t>
      </w:r>
      <w:r>
        <w:rPr>
          <w:rFonts w:hint="eastAsia" w:ascii="仿宋" w:hAnsi="仿宋" w:eastAsia="仿宋" w:cs="Times New Roman"/>
          <w:b/>
          <w:bCs/>
          <w:color w:val="auto"/>
          <w:sz w:val="28"/>
          <w:szCs w:val="28"/>
          <w:highlight w:val="none"/>
          <w:lang w:val="en-US" w:eastAsia="zh-CN"/>
        </w:rPr>
        <w:t>防电服【核心产品】、电绝缘装具</w:t>
      </w:r>
      <w:bookmarkEnd w:id="756"/>
      <w:bookmarkEnd w:id="757"/>
      <w:bookmarkEnd w:id="758"/>
      <w:bookmarkEnd w:id="759"/>
      <w:bookmarkEnd w:id="760"/>
    </w:p>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hint="eastAsia" w:ascii="仿宋" w:hAnsi="仿宋" w:eastAsia="仿宋"/>
          <w:b/>
          <w:color w:val="auto"/>
          <w:sz w:val="24"/>
          <w:highlight w:val="none"/>
        </w:rPr>
        <w:t>一、价格部分（</w:t>
      </w:r>
      <w:r>
        <w:rPr>
          <w:rFonts w:ascii="仿宋" w:hAnsi="仿宋" w:eastAsia="仿宋"/>
          <w:b/>
          <w:color w:val="auto"/>
          <w:sz w:val="24"/>
          <w:highlight w:val="none"/>
        </w:rPr>
        <w:t>30分）</w:t>
      </w:r>
    </w:p>
    <w:tbl>
      <w:tblPr>
        <w:tblStyle w:val="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1579"/>
        <w:gridCol w:w="6182"/>
        <w:gridCol w:w="8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评审因素</w:t>
            </w:r>
          </w:p>
        </w:tc>
        <w:tc>
          <w:tcPr>
            <w:tcW w:w="3327" w:type="pct"/>
            <w:vAlign w:val="center"/>
          </w:tcPr>
          <w:p>
            <w:pPr>
              <w:pageBreakBefore w:val="0"/>
              <w:kinsoku/>
              <w:wordWrap/>
              <w:overflowPunct/>
              <w:topLinePunct w:val="0"/>
              <w:autoSpaceDE/>
              <w:autoSpaceDN/>
              <w:bidi w:val="0"/>
              <w:adjustRightInd/>
              <w:snapToGrid/>
              <w:spacing w:line="460" w:lineRule="exact"/>
              <w:jc w:val="center"/>
              <w:textAlignment w:val="center"/>
              <w:rPr>
                <w:rFonts w:ascii="仿宋" w:hAnsi="仿宋" w:eastAsia="仿宋" w:cs="仿宋"/>
                <w:b/>
                <w:color w:val="auto"/>
                <w:sz w:val="24"/>
                <w:highlight w:val="none"/>
              </w:rPr>
            </w:pPr>
            <w:r>
              <w:rPr>
                <w:rFonts w:hint="eastAsia" w:ascii="仿宋" w:hAnsi="仿宋" w:eastAsia="仿宋" w:cs="仿宋"/>
                <w:b/>
                <w:bCs/>
                <w:color w:val="auto"/>
                <w:sz w:val="24"/>
                <w:highlight w:val="none"/>
              </w:rPr>
              <w:t>评分标准</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价格分</w:t>
            </w:r>
          </w:p>
        </w:tc>
        <w:tc>
          <w:tcPr>
            <w:tcW w:w="3327" w:type="pct"/>
            <w:vAlign w:val="center"/>
          </w:tcPr>
          <w:p>
            <w:pPr>
              <w:pageBreakBefore w:val="0"/>
              <w:kinsoku/>
              <w:wordWrap/>
              <w:overflowPunct/>
              <w:topLinePunct w:val="0"/>
              <w:autoSpaceDE/>
              <w:autoSpaceDN/>
              <w:bidi w:val="0"/>
              <w:adjustRightInd/>
              <w:snapToGrid/>
              <w:spacing w:line="460" w:lineRule="exact"/>
              <w:jc w:val="left"/>
              <w:textAlignment w:val="center"/>
              <w:rPr>
                <w:rFonts w:ascii="仿宋" w:hAnsi="仿宋" w:eastAsia="仿宋" w:cs="仿宋"/>
                <w:color w:val="auto"/>
                <w:sz w:val="24"/>
                <w:highlight w:val="none"/>
              </w:rPr>
            </w:pPr>
            <w:r>
              <w:rPr>
                <w:rFonts w:hint="eastAsia" w:ascii="仿宋" w:hAnsi="仿宋" w:eastAsia="仿宋" w:cs="仿宋"/>
                <w:color w:val="auto"/>
                <w:sz w:val="24"/>
                <w:highlight w:val="none"/>
              </w:rPr>
              <w:t>根据综合评分法，满足招标文件要求且投标价格最低的投标报价为评标基准价，投标报价得分</w:t>
            </w:r>
            <w:r>
              <w:rPr>
                <w:rFonts w:ascii="仿宋" w:hAnsi="仿宋" w:eastAsia="仿宋" w:cs="仿宋"/>
                <w:color w:val="auto"/>
                <w:sz w:val="24"/>
                <w:highlight w:val="none"/>
              </w:rPr>
              <w:t>=（评标基准价／投标报价）</w:t>
            </w:r>
            <w:r>
              <w:rPr>
                <w:rFonts w:hint="eastAsia" w:ascii="仿宋" w:hAnsi="仿宋" w:eastAsia="仿宋" w:cs="仿宋"/>
                <w:color w:val="auto"/>
                <w:sz w:val="24"/>
                <w:highlight w:val="none"/>
              </w:rPr>
              <w:t>×</w:t>
            </w:r>
            <w:r>
              <w:rPr>
                <w:rFonts w:ascii="仿宋" w:hAnsi="仿宋" w:eastAsia="仿宋" w:cs="仿宋"/>
                <w:color w:val="auto"/>
                <w:sz w:val="24"/>
                <w:highlight w:val="none"/>
              </w:rPr>
              <w:t>30%×100，计算分数时四舍五入取小数点后两位。</w:t>
            </w:r>
          </w:p>
          <w:p>
            <w:pPr>
              <w:pageBreakBefore w:val="0"/>
              <w:kinsoku/>
              <w:wordWrap/>
              <w:overflowPunct/>
              <w:topLinePunct w:val="0"/>
              <w:autoSpaceDE/>
              <w:autoSpaceDN/>
              <w:bidi w:val="0"/>
              <w:adjustRightInd/>
              <w:snapToGrid/>
              <w:spacing w:line="460" w:lineRule="exact"/>
              <w:ind w:firstLine="482" w:firstLineChars="200"/>
              <w:jc w:val="left"/>
              <w:textAlignment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注：</w:t>
            </w:r>
            <w:r>
              <w:rPr>
                <w:rFonts w:ascii="仿宋" w:hAnsi="仿宋" w:eastAsia="仿宋" w:cs="仿宋"/>
                <w:b/>
                <w:bCs/>
                <w:color w:val="auto"/>
                <w:sz w:val="24"/>
                <w:highlight w:val="none"/>
              </w:rPr>
              <w:t>小、微型企业或残疾人福利性单位产品或监狱产品的价格给予10%的扣除，用扣除后的价格参与评审。但残疾人福利性单位本身属于小型、微型企业的，不重复享受政策。</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30分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二、技术部分（5</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5"/>
        <w:gridCol w:w="685"/>
        <w:gridCol w:w="1413"/>
        <w:gridCol w:w="5795"/>
        <w:gridCol w:w="8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88"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1130" w:type="pct"/>
            <w:gridSpan w:val="2"/>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3121"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评分标准</w:t>
            </w:r>
          </w:p>
        </w:tc>
        <w:tc>
          <w:tcPr>
            <w:tcW w:w="459"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288"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130"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技术参数及要求</w:t>
            </w:r>
          </w:p>
        </w:tc>
        <w:tc>
          <w:tcPr>
            <w:tcW w:w="3121" w:type="pct"/>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一、重大负偏离评审依据：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1、带★条款的响应，不满足招标文件要求的，或有缺项、漏项的，视为重大负偏离；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2、一般参数和带“▲”参数共有四项及以上（含本数）的负偏离，视为重大负偏离；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3、所投产品一般参数或带“▲”参数有一项低于招标文件要求，该项视为负偏离；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4、所投产品一般参数或带“▲”参数有一项缺项、漏项的，该项视为负偏离。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注：“一般参数”为非标“★”号参数和非标“▲”号参数。</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①投标文件中提供的技术条款响应表；</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②所投产品技术参数完全满足招标文件要求得</w:t>
            </w:r>
            <w:r>
              <w:rPr>
                <w:rFonts w:hint="eastAsia" w:ascii="仿宋" w:hAnsi="仿宋" w:eastAsia="仿宋" w:cs="仿宋"/>
                <w:b/>
                <w:bCs/>
                <w:color w:val="auto"/>
                <w:sz w:val="24"/>
                <w:highlight w:val="none"/>
                <w:lang w:val="en-US" w:eastAsia="zh-CN"/>
              </w:rPr>
              <w:t>30</w:t>
            </w:r>
            <w:r>
              <w:rPr>
                <w:rFonts w:hint="eastAsia" w:ascii="仿宋" w:hAnsi="仿宋" w:eastAsia="仿宋" w:cs="仿宋"/>
                <w:b/>
                <w:bCs/>
                <w:color w:val="auto"/>
                <w:sz w:val="24"/>
                <w:highlight w:val="none"/>
              </w:rPr>
              <w:t>分；重大负偏离则视为无效投标；一般参数或带“▲”参数每有一项负偏离减5分，最多减15分，四项或以上负偏离视为无效投标。</w:t>
            </w:r>
          </w:p>
        </w:tc>
        <w:tc>
          <w:tcPr>
            <w:tcW w:w="459" w:type="pct"/>
            <w:vAlign w:val="center"/>
          </w:tcPr>
          <w:p>
            <w:pPr>
              <w:pageBreakBefore w:val="0"/>
              <w:kinsoku/>
              <w:wordWrap/>
              <w:overflowPunct/>
              <w:topLinePunct w:val="0"/>
              <w:autoSpaceDE/>
              <w:autoSpaceDN/>
              <w:bidi w:val="0"/>
              <w:adjustRightInd/>
              <w:snapToGrid/>
              <w:spacing w:line="460" w:lineRule="exact"/>
              <w:jc w:val="center"/>
              <w:textAlignment w:val="center"/>
              <w:rPr>
                <w:rFonts w:hint="default"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88"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369" w:type="pct"/>
            <w:vMerge w:val="restar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防电服</w:t>
            </w:r>
          </w:p>
        </w:tc>
        <w:tc>
          <w:tcPr>
            <w:tcW w:w="760"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▲3.3</w:t>
            </w:r>
            <w:r>
              <w:rPr>
                <w:rFonts w:hint="eastAsia" w:ascii="仿宋" w:hAnsi="仿宋" w:eastAsia="仿宋" w:cs="仿宋"/>
                <w:color w:val="auto"/>
                <w:sz w:val="24"/>
                <w:szCs w:val="24"/>
                <w:highlight w:val="none"/>
                <w:lang w:val="en-US" w:eastAsia="zh-CN"/>
              </w:rPr>
              <w:t>电绝</w:t>
            </w:r>
            <w:r>
              <w:rPr>
                <w:rFonts w:hint="eastAsia" w:ascii="仿宋" w:hAnsi="仿宋" w:eastAsia="仿宋" w:cs="仿宋"/>
                <w:color w:val="auto"/>
                <w:sz w:val="24"/>
                <w:highlight w:val="none"/>
                <w:lang w:val="en-US" w:eastAsia="zh-CN"/>
              </w:rPr>
              <w:t>缘靴服装最大使用电压≥17000V</w:t>
            </w:r>
          </w:p>
        </w:tc>
        <w:tc>
          <w:tcPr>
            <w:tcW w:w="3121"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仿宋"/>
                <w:color w:val="auto"/>
                <w:sz w:val="24"/>
                <w:szCs w:val="24"/>
                <w:highlight w:val="none"/>
                <w:lang w:val="en-US" w:eastAsia="zh-CN"/>
              </w:rPr>
              <w:t>电绝</w:t>
            </w:r>
            <w:r>
              <w:rPr>
                <w:rFonts w:hint="eastAsia" w:ascii="仿宋" w:hAnsi="仿宋" w:eastAsia="仿宋" w:cs="仿宋"/>
                <w:color w:val="auto"/>
                <w:sz w:val="24"/>
                <w:highlight w:val="none"/>
                <w:lang w:val="en-US" w:eastAsia="zh-CN"/>
              </w:rPr>
              <w:t>缘靴服装最大使用电压</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最大使用电压</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val="en-US" w:eastAsia="zh-CN"/>
              </w:rPr>
              <w:t>最大使用电压</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szCs w:val="24"/>
                <w:highlight w:val="none"/>
              </w:rPr>
              <w:t>注：最优</w:t>
            </w:r>
            <w:r>
              <w:rPr>
                <w:rFonts w:hint="eastAsia" w:ascii="仿宋" w:hAnsi="仿宋" w:eastAsia="仿宋" w:cs="仿宋"/>
                <w:b/>
                <w:bCs/>
                <w:color w:val="auto"/>
                <w:sz w:val="24"/>
                <w:szCs w:val="24"/>
                <w:highlight w:val="none"/>
                <w:lang w:val="en-US" w:eastAsia="zh-CN"/>
              </w:rPr>
              <w:t>表示电绝缘靴服装最大使用电压最大，次优</w:t>
            </w:r>
            <w:r>
              <w:rPr>
                <w:rFonts w:hint="eastAsia" w:ascii="仿宋" w:hAnsi="仿宋" w:eastAsia="仿宋" w:cs="仿宋"/>
                <w:b/>
                <w:bCs/>
                <w:color w:val="auto"/>
                <w:sz w:val="24"/>
                <w:szCs w:val="24"/>
                <w:highlight w:val="none"/>
              </w:rPr>
              <w:t>表示</w:t>
            </w:r>
            <w:r>
              <w:rPr>
                <w:rFonts w:hint="eastAsia" w:ascii="仿宋" w:hAnsi="仿宋" w:eastAsia="仿宋" w:cs="仿宋"/>
                <w:b/>
                <w:bCs/>
                <w:color w:val="auto"/>
                <w:sz w:val="24"/>
                <w:szCs w:val="24"/>
                <w:highlight w:val="none"/>
                <w:lang w:val="en-US" w:eastAsia="zh-CN"/>
              </w:rPr>
              <w:t>电绝缘靴服装最大使用电压</w:t>
            </w:r>
            <w:r>
              <w:rPr>
                <w:rFonts w:hint="eastAsia" w:ascii="仿宋" w:hAnsi="仿宋" w:eastAsia="仿宋" w:cs="仿宋"/>
                <w:b/>
                <w:bCs/>
                <w:color w:val="auto"/>
                <w:sz w:val="24"/>
                <w:szCs w:val="24"/>
                <w:highlight w:val="none"/>
              </w:rPr>
              <w:t>仅次于最大值。</w:t>
            </w:r>
          </w:p>
        </w:tc>
        <w:tc>
          <w:tcPr>
            <w:tcW w:w="459"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8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369" w:type="pct"/>
            <w:vMerge w:val="continue"/>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p>
        </w:tc>
        <w:tc>
          <w:tcPr>
            <w:tcW w:w="760"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color w:val="auto"/>
                <w:kern w:val="2"/>
                <w:sz w:val="24"/>
                <w:szCs w:val="22"/>
                <w:highlight w:val="none"/>
                <w:lang w:val="en-US" w:eastAsia="zh-CN" w:bidi="ar-SA"/>
              </w:rPr>
              <w:t>▲3.4电绝缘手套</w:t>
            </w:r>
            <w:r>
              <w:rPr>
                <w:rFonts w:hint="eastAsia" w:ascii="仿宋" w:hAnsi="仿宋" w:eastAsia="仿宋" w:cs="仿宋"/>
                <w:color w:val="auto"/>
                <w:sz w:val="24"/>
                <w:szCs w:val="24"/>
                <w:highlight w:val="none"/>
              </w:rPr>
              <w:t>泄漏电流：≤10mA</w:t>
            </w:r>
          </w:p>
        </w:tc>
        <w:tc>
          <w:tcPr>
            <w:tcW w:w="3121"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仿宋"/>
                <w:color w:val="auto"/>
                <w:kern w:val="2"/>
                <w:sz w:val="24"/>
                <w:szCs w:val="22"/>
                <w:highlight w:val="none"/>
                <w:lang w:val="en-US" w:eastAsia="zh-CN" w:bidi="ar-SA"/>
              </w:rPr>
              <w:t>电绝缘手套</w:t>
            </w:r>
            <w:r>
              <w:rPr>
                <w:rFonts w:hint="eastAsia" w:ascii="仿宋" w:hAnsi="仿宋" w:eastAsia="仿宋" w:cs="仿宋"/>
                <w:color w:val="auto"/>
                <w:sz w:val="24"/>
                <w:szCs w:val="24"/>
                <w:highlight w:val="none"/>
              </w:rPr>
              <w:t>泄漏电流优于招标文件要求的，泄漏电流最优的加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分，泄漏电流次优的加2分，其余加1分。（可并列得分）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val="en-US" w:eastAsia="zh-CN"/>
              </w:rPr>
              <w:t>电绝缘手套</w:t>
            </w:r>
            <w:r>
              <w:rPr>
                <w:rFonts w:hint="eastAsia" w:ascii="仿宋" w:hAnsi="仿宋" w:eastAsia="仿宋" w:cs="仿宋"/>
                <w:b/>
                <w:bCs/>
                <w:color w:val="auto"/>
                <w:sz w:val="24"/>
                <w:szCs w:val="24"/>
                <w:highlight w:val="none"/>
              </w:rPr>
              <w:t>泄漏电流最</w:t>
            </w:r>
            <w:r>
              <w:rPr>
                <w:rFonts w:hint="eastAsia" w:ascii="仿宋" w:hAnsi="仿宋" w:eastAsia="仿宋" w:cs="仿宋"/>
                <w:b/>
                <w:bCs/>
                <w:color w:val="auto"/>
                <w:sz w:val="24"/>
                <w:szCs w:val="24"/>
                <w:highlight w:val="none"/>
                <w:lang w:val="en-US" w:eastAsia="zh-CN"/>
              </w:rPr>
              <w:t>小</w:t>
            </w:r>
            <w:r>
              <w:rPr>
                <w:rFonts w:hint="eastAsia" w:ascii="仿宋" w:hAnsi="仿宋" w:eastAsia="仿宋" w:cs="仿宋"/>
                <w:b/>
                <w:bCs/>
                <w:color w:val="auto"/>
                <w:sz w:val="24"/>
                <w:szCs w:val="24"/>
                <w:highlight w:val="none"/>
              </w:rPr>
              <w:t>，次优表示</w:t>
            </w:r>
            <w:r>
              <w:rPr>
                <w:rFonts w:hint="eastAsia" w:ascii="仿宋" w:hAnsi="仿宋" w:eastAsia="仿宋" w:cs="仿宋"/>
                <w:b/>
                <w:bCs/>
                <w:color w:val="auto"/>
                <w:sz w:val="24"/>
                <w:szCs w:val="24"/>
                <w:highlight w:val="none"/>
                <w:lang w:val="en-US" w:eastAsia="zh-CN"/>
              </w:rPr>
              <w:t>电绝缘手套</w:t>
            </w:r>
            <w:r>
              <w:rPr>
                <w:rFonts w:hint="eastAsia" w:ascii="仿宋" w:hAnsi="仿宋" w:eastAsia="仿宋" w:cs="仿宋"/>
                <w:b/>
                <w:bCs/>
                <w:color w:val="auto"/>
                <w:sz w:val="24"/>
                <w:szCs w:val="24"/>
                <w:highlight w:val="none"/>
              </w:rPr>
              <w:t>泄漏电流仅次于最</w:t>
            </w:r>
            <w:r>
              <w:rPr>
                <w:rFonts w:hint="eastAsia" w:ascii="仿宋" w:hAnsi="仿宋" w:eastAsia="仿宋" w:cs="仿宋"/>
                <w:b/>
                <w:bCs/>
                <w:color w:val="auto"/>
                <w:sz w:val="24"/>
                <w:szCs w:val="24"/>
                <w:highlight w:val="none"/>
                <w:lang w:val="en-US" w:eastAsia="zh-CN"/>
              </w:rPr>
              <w:t>小</w:t>
            </w:r>
            <w:r>
              <w:rPr>
                <w:rFonts w:hint="eastAsia" w:ascii="仿宋" w:hAnsi="仿宋" w:eastAsia="仿宋" w:cs="仿宋"/>
                <w:b/>
                <w:bCs/>
                <w:color w:val="auto"/>
                <w:sz w:val="24"/>
                <w:szCs w:val="24"/>
                <w:highlight w:val="none"/>
              </w:rPr>
              <w:t>值。</w:t>
            </w:r>
          </w:p>
        </w:tc>
        <w:tc>
          <w:tcPr>
            <w:tcW w:w="459"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8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369" w:type="pct"/>
            <w:vMerge w:val="continue"/>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p>
        </w:tc>
        <w:tc>
          <w:tcPr>
            <w:tcW w:w="760"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color w:val="auto"/>
                <w:kern w:val="2"/>
                <w:sz w:val="24"/>
                <w:szCs w:val="22"/>
                <w:highlight w:val="none"/>
                <w:lang w:val="en-US" w:eastAsia="zh-CN" w:bidi="ar-SA"/>
              </w:rPr>
              <w:t>▲3.5电绝缘靴</w:t>
            </w:r>
            <w:r>
              <w:rPr>
                <w:rFonts w:hint="eastAsia" w:ascii="仿宋" w:hAnsi="仿宋" w:eastAsia="仿宋" w:cs="仿宋"/>
                <w:color w:val="auto"/>
                <w:sz w:val="24"/>
                <w:szCs w:val="24"/>
                <w:highlight w:val="none"/>
              </w:rPr>
              <w:t>泄漏电流：≤1mA</w:t>
            </w:r>
          </w:p>
        </w:tc>
        <w:tc>
          <w:tcPr>
            <w:tcW w:w="3121"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仿宋"/>
                <w:color w:val="auto"/>
                <w:kern w:val="2"/>
                <w:sz w:val="24"/>
                <w:szCs w:val="22"/>
                <w:highlight w:val="none"/>
                <w:lang w:val="en-US" w:eastAsia="zh-CN" w:bidi="ar-SA"/>
              </w:rPr>
              <w:t>电绝缘靴</w:t>
            </w:r>
            <w:r>
              <w:rPr>
                <w:rFonts w:hint="eastAsia" w:ascii="仿宋" w:hAnsi="仿宋" w:eastAsia="仿宋" w:cs="仿宋"/>
                <w:color w:val="auto"/>
                <w:sz w:val="24"/>
                <w:szCs w:val="24"/>
                <w:highlight w:val="none"/>
              </w:rPr>
              <w:t>泄漏电流优于招标文件要求的，泄漏电流最优的加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分，泄漏电流次优的加2分，其余加1分。（可并列得分）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kern w:val="2"/>
                <w:sz w:val="24"/>
                <w:szCs w:val="22"/>
                <w:highlight w:val="none"/>
                <w:lang w:val="en-US" w:eastAsia="zh-CN" w:bidi="ar-SA"/>
              </w:rPr>
              <w:t>电绝缘靴</w:t>
            </w:r>
            <w:r>
              <w:rPr>
                <w:rFonts w:hint="eastAsia" w:ascii="仿宋" w:hAnsi="仿宋" w:eastAsia="仿宋" w:cs="仿宋"/>
                <w:b/>
                <w:bCs/>
                <w:color w:val="auto"/>
                <w:sz w:val="24"/>
                <w:szCs w:val="24"/>
                <w:highlight w:val="none"/>
              </w:rPr>
              <w:t>泄漏电流最</w:t>
            </w:r>
            <w:r>
              <w:rPr>
                <w:rFonts w:hint="eastAsia" w:ascii="仿宋" w:hAnsi="仿宋" w:eastAsia="仿宋" w:cs="仿宋"/>
                <w:b/>
                <w:bCs/>
                <w:color w:val="auto"/>
                <w:sz w:val="24"/>
                <w:szCs w:val="24"/>
                <w:highlight w:val="none"/>
                <w:lang w:val="en-US" w:eastAsia="zh-CN"/>
              </w:rPr>
              <w:t>小</w:t>
            </w:r>
            <w:r>
              <w:rPr>
                <w:rFonts w:hint="eastAsia" w:ascii="仿宋" w:hAnsi="仿宋" w:eastAsia="仿宋" w:cs="仿宋"/>
                <w:b/>
                <w:bCs/>
                <w:color w:val="auto"/>
                <w:sz w:val="24"/>
                <w:szCs w:val="24"/>
                <w:highlight w:val="none"/>
              </w:rPr>
              <w:t>，次优表示</w:t>
            </w:r>
            <w:r>
              <w:rPr>
                <w:rFonts w:hint="eastAsia" w:ascii="仿宋" w:hAnsi="仿宋" w:eastAsia="仿宋" w:cs="仿宋"/>
                <w:b/>
                <w:bCs/>
                <w:color w:val="auto"/>
                <w:kern w:val="2"/>
                <w:sz w:val="24"/>
                <w:szCs w:val="22"/>
                <w:highlight w:val="none"/>
                <w:lang w:val="en-US" w:eastAsia="zh-CN" w:bidi="ar-SA"/>
              </w:rPr>
              <w:t>电绝缘靴</w:t>
            </w:r>
            <w:r>
              <w:rPr>
                <w:rFonts w:hint="eastAsia" w:ascii="仿宋" w:hAnsi="仿宋" w:eastAsia="仿宋" w:cs="仿宋"/>
                <w:b/>
                <w:bCs/>
                <w:color w:val="auto"/>
                <w:sz w:val="24"/>
                <w:szCs w:val="24"/>
                <w:highlight w:val="none"/>
              </w:rPr>
              <w:t>泄漏电流仅次于最</w:t>
            </w:r>
            <w:r>
              <w:rPr>
                <w:rFonts w:hint="eastAsia" w:ascii="仿宋" w:hAnsi="仿宋" w:eastAsia="仿宋" w:cs="仿宋"/>
                <w:b/>
                <w:bCs/>
                <w:color w:val="auto"/>
                <w:sz w:val="24"/>
                <w:szCs w:val="24"/>
                <w:highlight w:val="none"/>
                <w:lang w:val="en-US" w:eastAsia="zh-CN"/>
              </w:rPr>
              <w:t>小</w:t>
            </w:r>
            <w:r>
              <w:rPr>
                <w:rFonts w:hint="eastAsia" w:ascii="仿宋" w:hAnsi="仿宋" w:eastAsia="仿宋" w:cs="仿宋"/>
                <w:b/>
                <w:bCs/>
                <w:color w:val="auto"/>
                <w:sz w:val="24"/>
                <w:szCs w:val="24"/>
                <w:highlight w:val="none"/>
              </w:rPr>
              <w:t>值。</w:t>
            </w:r>
          </w:p>
        </w:tc>
        <w:tc>
          <w:tcPr>
            <w:tcW w:w="459"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8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369" w:type="pct"/>
            <w:vMerge w:val="restar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电绝缘装具</w:t>
            </w:r>
          </w:p>
        </w:tc>
        <w:tc>
          <w:tcPr>
            <w:tcW w:w="760"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kern w:val="2"/>
                <w:sz w:val="24"/>
                <w:szCs w:val="22"/>
                <w:highlight w:val="none"/>
                <w:lang w:val="en-US" w:eastAsia="zh-CN" w:bidi="ar-SA"/>
              </w:rPr>
              <w:t>▲3.3</w:t>
            </w:r>
            <w:r>
              <w:rPr>
                <w:rFonts w:hint="eastAsia" w:ascii="仿宋" w:hAnsi="仿宋" w:eastAsia="仿宋" w:cs="仿宋"/>
                <w:color w:val="auto"/>
                <w:kern w:val="0"/>
                <w:sz w:val="24"/>
                <w:szCs w:val="24"/>
                <w:highlight w:val="none"/>
              </w:rPr>
              <w:t>整体耐电压性能在≥10kV，测试时间1min实验性无闪络、击穿和发热现象，泄露电流≤10mA</w:t>
            </w:r>
          </w:p>
        </w:tc>
        <w:tc>
          <w:tcPr>
            <w:tcW w:w="3121"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仿宋"/>
                <w:color w:val="auto"/>
                <w:kern w:val="2"/>
                <w:sz w:val="24"/>
                <w:szCs w:val="22"/>
                <w:highlight w:val="none"/>
                <w:lang w:val="en-US" w:eastAsia="zh-CN" w:bidi="ar-SA"/>
              </w:rPr>
              <w:t>产品的</w:t>
            </w:r>
            <w:r>
              <w:rPr>
                <w:rFonts w:hint="eastAsia" w:ascii="仿宋" w:hAnsi="仿宋" w:eastAsia="仿宋" w:cs="仿宋"/>
                <w:color w:val="auto"/>
                <w:kern w:val="0"/>
                <w:sz w:val="24"/>
                <w:szCs w:val="24"/>
                <w:highlight w:val="none"/>
              </w:rPr>
              <w:t>整体耐电压性能在≥10kV，测试时间1min实验性无闪络、击穿和发热现象，泄露电流</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2"/>
                <w:sz w:val="24"/>
                <w:szCs w:val="22"/>
                <w:highlight w:val="none"/>
                <w:lang w:val="en-US" w:eastAsia="zh-CN" w:bidi="ar-SA"/>
              </w:rPr>
              <w:t>泄露电流</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2"/>
                <w:sz w:val="24"/>
                <w:szCs w:val="22"/>
                <w:highlight w:val="none"/>
                <w:lang w:val="en-US" w:eastAsia="zh-CN" w:bidi="ar-SA"/>
              </w:rPr>
              <w:t>泄露电流</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val="en-US" w:eastAsia="zh-CN"/>
              </w:rPr>
              <w:t>产品的</w:t>
            </w:r>
            <w:r>
              <w:rPr>
                <w:rFonts w:hint="eastAsia" w:ascii="仿宋" w:hAnsi="仿宋" w:eastAsia="仿宋" w:cs="仿宋"/>
                <w:b/>
                <w:bCs/>
                <w:color w:val="auto"/>
                <w:kern w:val="0"/>
                <w:sz w:val="24"/>
                <w:szCs w:val="24"/>
                <w:highlight w:val="none"/>
              </w:rPr>
              <w:t>整体耐电压性能在≥10kV，测试时间1min实验性无闪络、击穿和发热现象，泄露电流</w:t>
            </w:r>
            <w:r>
              <w:rPr>
                <w:rFonts w:hint="eastAsia" w:ascii="仿宋" w:hAnsi="仿宋" w:eastAsia="仿宋" w:cs="仿宋"/>
                <w:b/>
                <w:bCs/>
                <w:color w:val="auto"/>
                <w:sz w:val="24"/>
                <w:szCs w:val="24"/>
                <w:highlight w:val="none"/>
              </w:rPr>
              <w:t>最</w:t>
            </w:r>
            <w:r>
              <w:rPr>
                <w:rFonts w:hint="eastAsia" w:ascii="仿宋" w:hAnsi="仿宋" w:eastAsia="仿宋" w:cs="仿宋"/>
                <w:b/>
                <w:bCs/>
                <w:color w:val="auto"/>
                <w:sz w:val="24"/>
                <w:szCs w:val="24"/>
                <w:highlight w:val="none"/>
                <w:lang w:val="en-US" w:eastAsia="zh-CN"/>
              </w:rPr>
              <w:t>小</w:t>
            </w:r>
            <w:r>
              <w:rPr>
                <w:rFonts w:hint="eastAsia" w:ascii="仿宋" w:hAnsi="仿宋" w:eastAsia="仿宋" w:cs="仿宋"/>
                <w:b/>
                <w:bCs/>
                <w:color w:val="auto"/>
                <w:sz w:val="24"/>
                <w:szCs w:val="24"/>
                <w:highlight w:val="none"/>
              </w:rPr>
              <w:t>，次优表示</w:t>
            </w:r>
            <w:r>
              <w:rPr>
                <w:rFonts w:hint="eastAsia" w:ascii="仿宋" w:hAnsi="仿宋" w:eastAsia="仿宋" w:cs="仿宋"/>
                <w:b/>
                <w:bCs/>
                <w:color w:val="auto"/>
                <w:sz w:val="24"/>
                <w:szCs w:val="24"/>
                <w:highlight w:val="none"/>
                <w:lang w:val="en-US" w:eastAsia="zh-CN"/>
              </w:rPr>
              <w:t>产品的</w:t>
            </w:r>
            <w:r>
              <w:rPr>
                <w:rFonts w:hint="eastAsia" w:ascii="仿宋" w:hAnsi="仿宋" w:eastAsia="仿宋" w:cs="仿宋"/>
                <w:b/>
                <w:bCs/>
                <w:color w:val="auto"/>
                <w:kern w:val="0"/>
                <w:sz w:val="24"/>
                <w:szCs w:val="24"/>
                <w:highlight w:val="none"/>
              </w:rPr>
              <w:t>整体耐电压性能在≥10kV，测试时间1min实验性无闪络、击穿和发热现象，泄露电流</w:t>
            </w:r>
            <w:r>
              <w:rPr>
                <w:rFonts w:hint="eastAsia" w:ascii="仿宋" w:hAnsi="仿宋" w:eastAsia="仿宋" w:cs="仿宋"/>
                <w:b/>
                <w:bCs/>
                <w:color w:val="auto"/>
                <w:sz w:val="24"/>
                <w:szCs w:val="24"/>
                <w:highlight w:val="none"/>
              </w:rPr>
              <w:t>仅次于最</w:t>
            </w:r>
            <w:r>
              <w:rPr>
                <w:rFonts w:hint="eastAsia" w:ascii="仿宋" w:hAnsi="仿宋" w:eastAsia="仿宋" w:cs="仿宋"/>
                <w:b/>
                <w:bCs/>
                <w:color w:val="auto"/>
                <w:sz w:val="24"/>
                <w:szCs w:val="24"/>
                <w:highlight w:val="none"/>
                <w:lang w:val="en-US" w:eastAsia="zh-CN"/>
              </w:rPr>
              <w:t>小</w:t>
            </w:r>
            <w:r>
              <w:rPr>
                <w:rFonts w:hint="eastAsia" w:ascii="仿宋" w:hAnsi="仿宋" w:eastAsia="仿宋" w:cs="仿宋"/>
                <w:b/>
                <w:bCs/>
                <w:color w:val="auto"/>
                <w:sz w:val="24"/>
                <w:szCs w:val="24"/>
                <w:highlight w:val="none"/>
              </w:rPr>
              <w:t>值。</w:t>
            </w:r>
          </w:p>
        </w:tc>
        <w:tc>
          <w:tcPr>
            <w:tcW w:w="459"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8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369" w:type="pct"/>
            <w:vMerge w:val="continue"/>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p>
        </w:tc>
        <w:tc>
          <w:tcPr>
            <w:tcW w:w="760"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kern w:val="2"/>
                <w:sz w:val="24"/>
                <w:szCs w:val="22"/>
                <w:highlight w:val="none"/>
                <w:lang w:val="en-US" w:eastAsia="zh-CN" w:bidi="ar-SA"/>
              </w:rPr>
              <w:t>▲3.7电绝缘手套：耐电压≥10000V</w:t>
            </w:r>
          </w:p>
        </w:tc>
        <w:tc>
          <w:tcPr>
            <w:tcW w:w="3121"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仿宋"/>
                <w:color w:val="auto"/>
                <w:kern w:val="2"/>
                <w:sz w:val="24"/>
                <w:szCs w:val="22"/>
                <w:highlight w:val="none"/>
                <w:lang w:val="en-US" w:eastAsia="zh-CN" w:bidi="ar-SA"/>
              </w:rPr>
              <w:t>电绝缘手套的耐电压</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2"/>
                <w:sz w:val="24"/>
                <w:szCs w:val="22"/>
                <w:highlight w:val="none"/>
                <w:lang w:val="en-US" w:eastAsia="zh-CN" w:bidi="ar-SA"/>
              </w:rPr>
              <w:t>耐电压</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2"/>
                <w:sz w:val="24"/>
                <w:szCs w:val="22"/>
                <w:highlight w:val="none"/>
                <w:lang w:val="en-US" w:eastAsia="zh-CN" w:bidi="ar-SA"/>
              </w:rPr>
              <w:t>耐电压</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val="en-US" w:eastAsia="zh-CN"/>
              </w:rPr>
              <w:t>电绝缘手套的耐电压</w:t>
            </w:r>
            <w:r>
              <w:rPr>
                <w:rFonts w:hint="eastAsia" w:ascii="仿宋" w:hAnsi="仿宋" w:eastAsia="仿宋" w:cs="仿宋"/>
                <w:b/>
                <w:bCs/>
                <w:color w:val="auto"/>
                <w:sz w:val="24"/>
                <w:szCs w:val="24"/>
                <w:highlight w:val="none"/>
              </w:rPr>
              <w:t>最大，次优表示</w:t>
            </w:r>
            <w:r>
              <w:rPr>
                <w:rFonts w:hint="eastAsia" w:ascii="仿宋" w:hAnsi="仿宋" w:eastAsia="仿宋" w:cs="仿宋"/>
                <w:b/>
                <w:bCs/>
                <w:color w:val="auto"/>
                <w:sz w:val="24"/>
                <w:szCs w:val="24"/>
                <w:highlight w:val="none"/>
                <w:lang w:val="en-US" w:eastAsia="zh-CN"/>
              </w:rPr>
              <w:t>电绝缘手套的耐电压</w:t>
            </w:r>
            <w:r>
              <w:rPr>
                <w:rFonts w:hint="eastAsia" w:ascii="仿宋" w:hAnsi="仿宋" w:eastAsia="仿宋" w:cs="仿宋"/>
                <w:b/>
                <w:bCs/>
                <w:color w:val="auto"/>
                <w:sz w:val="24"/>
                <w:szCs w:val="24"/>
                <w:highlight w:val="none"/>
              </w:rPr>
              <w:t>仅次于最大值。</w:t>
            </w:r>
          </w:p>
        </w:tc>
        <w:tc>
          <w:tcPr>
            <w:tcW w:w="459"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288" w:type="pct"/>
            <w:vMerge w:val="continue"/>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711" w:type="pct"/>
            <w:gridSpan w:val="4"/>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评审依据：提供技术条款响应表和技术支撑文件</w:t>
            </w:r>
            <w:r>
              <w:rPr>
                <w:rFonts w:hint="eastAsia" w:ascii="仿宋" w:hAnsi="仿宋" w:eastAsia="仿宋" w:cs="仿宋"/>
                <w:b/>
                <w:bCs/>
                <w:color w:val="auto"/>
                <w:sz w:val="24"/>
                <w:highlight w:val="none"/>
                <w:lang w:eastAsia="zh-CN"/>
              </w:rPr>
              <w:t>。</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hint="eastAsia"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hint="eastAsia"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hint="eastAsia"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③制造商出具的技术参数证明材料并加盖制造商公章。]</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注：①供应商应认真提供技术支撑文件，若提供多份技术支撑文件，技术支撑文件佐证不一致时，优先级为：产品检测报告复印件＞制造商公开发布的印刷资料＞制造商出具的技术参数证明</w:t>
            </w:r>
            <w:r>
              <w:rPr>
                <w:rFonts w:hint="eastAsia" w:ascii="仿宋" w:hAnsi="仿宋" w:eastAsia="仿宋" w:cs="仿宋"/>
                <w:b/>
                <w:bCs/>
                <w:color w:val="auto"/>
                <w:sz w:val="24"/>
                <w:highlight w:val="none"/>
                <w:lang w:val="en-US" w:eastAsia="zh-CN"/>
              </w:rPr>
              <w:t>材料</w:t>
            </w:r>
            <w:r>
              <w:rPr>
                <w:rFonts w:hint="eastAsia" w:ascii="仿宋" w:hAnsi="仿宋" w:eastAsia="仿宋" w:cs="仿宋"/>
                <w:b/>
                <w:bCs/>
                <w:color w:val="auto"/>
                <w:sz w:val="24"/>
                <w:highlight w:val="none"/>
              </w:rPr>
              <w:t>；②技术支撑文件</w:t>
            </w:r>
            <w:r>
              <w:rPr>
                <w:rFonts w:hint="eastAsia" w:ascii="仿宋" w:hAnsi="仿宋" w:eastAsia="仿宋" w:cs="仿宋"/>
                <w:b/>
                <w:bCs/>
                <w:color w:val="auto"/>
                <w:sz w:val="24"/>
                <w:highlight w:val="none"/>
                <w:lang w:val="en-US" w:eastAsia="zh-CN"/>
              </w:rPr>
              <w:t>与</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不一致，则</w:t>
            </w:r>
            <w:r>
              <w:rPr>
                <w:rFonts w:hint="eastAsia" w:ascii="仿宋" w:hAnsi="仿宋" w:eastAsia="仿宋" w:cs="仿宋"/>
                <w:b/>
                <w:bCs/>
                <w:color w:val="auto"/>
                <w:sz w:val="24"/>
                <w:highlight w:val="none"/>
              </w:rPr>
              <w:t>该点不加分</w:t>
            </w:r>
            <w:r>
              <w:rPr>
                <w:rFonts w:hint="eastAsia" w:ascii="仿宋" w:hAnsi="仿宋" w:eastAsia="仿宋" w:cs="仿宋"/>
                <w:b/>
                <w:bCs/>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88"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130"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整体结构与外观</w:t>
            </w:r>
          </w:p>
        </w:tc>
        <w:tc>
          <w:tcPr>
            <w:tcW w:w="3121"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根据视频文件对核心产品的外观构造、内部结构、设计理念等进行评审。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设计理念先进，外部构造和内部结构科学合理，整体结构外观与实战紧贴程度高的，得3分；设计理念较为先进，外部构造和内部结构较为合理，整体结构外观与实战紧贴程度较高的，得2分；设计理念一般，外观构造和内部结构基本合理，整体结构外观与实战紧贴程度不高的，得1分；未提供证明材料或证明材料有缺项的不得分。</w:t>
            </w:r>
          </w:p>
        </w:tc>
        <w:tc>
          <w:tcPr>
            <w:tcW w:w="459"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8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130"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工艺</w:t>
            </w:r>
          </w:p>
        </w:tc>
        <w:tc>
          <w:tcPr>
            <w:tcW w:w="3121"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根据视频文件对核心产品的安全性、耐用性、实用性等进行评审。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性能高、耐用性能好、实用性能强，工艺符合实战需求程度高的，得3分；安全性能较高、耐用性能良好、实用性能较强，工艺符合实战需求程度较高的，得2分；安全性能不高、耐用性能普通、实用性能一般，工艺符合实战需求程度不高的，得1分；未提供证明材料或证明材料有缺项的不得分。</w:t>
            </w:r>
          </w:p>
        </w:tc>
        <w:tc>
          <w:tcPr>
            <w:tcW w:w="459"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8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130"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操作使用性能</w:t>
            </w:r>
          </w:p>
        </w:tc>
        <w:tc>
          <w:tcPr>
            <w:tcW w:w="3121"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根据视频文件对核心产品的可靠性、便捷性、稳定性等进行评审。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可靠性高、便捷性好、稳定性好，操作使用性能提升战斗力程度高的，得4分；可靠性较高、便捷性较好、稳定性良好，操作使用性能提升战斗力程度较高的，得2分；可靠性不高、便捷性和稳定性一般，操作使用性能提升战斗力程度不高的，得1分；未提供证明材料或证明材料有缺项的不得分。</w:t>
            </w:r>
          </w:p>
        </w:tc>
        <w:tc>
          <w:tcPr>
            <w:tcW w:w="459"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88" w:type="pct"/>
            <w:vMerge w:val="continue"/>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711" w:type="pct"/>
            <w:gridSpan w:val="4"/>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lang w:eastAsia="zh-CN"/>
              </w:rPr>
            </w:pPr>
            <w:r>
              <w:rPr>
                <w:rFonts w:hint="eastAsia" w:ascii="仿宋" w:hAnsi="仿宋" w:eastAsia="仿宋" w:cs="仿宋"/>
                <w:b/>
                <w:bCs/>
                <w:color w:val="auto"/>
                <w:sz w:val="24"/>
                <w:highlight w:val="none"/>
              </w:rPr>
              <w:t>以上评审依据：根据视频文件对产品的整体结构与外观、工艺、操作使用性能进行综合评审，视频文件需对以上三点评审内容进行介绍（包含但不限于以上三点）。视频文件[视频文件格式须为通用格式，佐证视频时长不得超过5分钟，视频清晰度应至少保证所摄的界面文字清晰易辨、画面完整连贯、播放速度正常]应存储于U盘内（单独密封在信封中）与投标文件同时递交，逾期递交不予接收，</w:t>
            </w:r>
            <w:r>
              <w:rPr>
                <w:rFonts w:hint="eastAsia" w:ascii="仿宋" w:hAnsi="仿宋" w:eastAsia="仿宋" w:cs="仿宋"/>
                <w:b/>
                <w:bCs/>
                <w:color w:val="auto"/>
                <w:sz w:val="24"/>
                <w:highlight w:val="none"/>
                <w:lang w:eastAsia="zh-CN"/>
              </w:rPr>
              <w:t>U盘由采购代理机构封存，不予退回。未提供视频或视频无法打开的，得0分。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三、商务部分（1</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1310"/>
        <w:gridCol w:w="6295"/>
        <w:gridCol w:w="9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序号</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评审因素</w:t>
            </w:r>
          </w:p>
        </w:tc>
        <w:tc>
          <w:tcPr>
            <w:tcW w:w="3389"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评分标准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1</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bCs/>
                <w:color w:val="auto"/>
                <w:sz w:val="24"/>
                <w:szCs w:val="22"/>
                <w:highlight w:val="none"/>
              </w:rPr>
            </w:pPr>
            <w:r>
              <w:rPr>
                <w:rFonts w:hint="eastAsia" w:ascii="仿宋" w:hAnsi="仿宋" w:eastAsia="仿宋" w:cs="仿宋"/>
                <w:color w:val="auto"/>
                <w:sz w:val="24"/>
                <w:highlight w:val="none"/>
              </w:rPr>
              <w:t>符合性评审</w:t>
            </w:r>
          </w:p>
        </w:tc>
        <w:tc>
          <w:tcPr>
            <w:tcW w:w="3887" w:type="pct"/>
            <w:gridSpan w:val="2"/>
            <w:vAlign w:val="center"/>
          </w:tcPr>
          <w:p>
            <w:pPr>
              <w:pageBreakBefore w:val="0"/>
              <w:kinsoku/>
              <w:wordWrap/>
              <w:overflowPunct/>
              <w:topLinePunct w:val="0"/>
              <w:autoSpaceDE/>
              <w:autoSpaceDN/>
              <w:bidi w:val="0"/>
              <w:adjustRightInd/>
              <w:snapToGrid/>
              <w:spacing w:line="460" w:lineRule="exact"/>
              <w:rPr>
                <w:rFonts w:eastAsia="仿宋" w:cs="Times New Roman"/>
                <w:color w:val="auto"/>
                <w:sz w:val="24"/>
                <w:szCs w:val="22"/>
                <w:highlight w:val="none"/>
              </w:rPr>
            </w:pPr>
            <w:r>
              <w:rPr>
                <w:rFonts w:hint="eastAsia" w:eastAsia="仿宋" w:cs="Times New Roman"/>
                <w:color w:val="auto"/>
                <w:sz w:val="24"/>
                <w:szCs w:val="22"/>
                <w:highlight w:val="none"/>
              </w:rPr>
              <w:t>投标人必须完全满足招标文件“商务要求”</w:t>
            </w:r>
            <w:r>
              <w:rPr>
                <w:rFonts w:hint="eastAsia" w:eastAsia="仿宋" w:cs="Times New Roman"/>
                <w:color w:val="auto"/>
                <w:sz w:val="24"/>
                <w:szCs w:val="22"/>
                <w:highlight w:val="none"/>
                <w:lang w:val="en-US" w:eastAsia="zh-CN"/>
              </w:rPr>
              <w:t>所有</w:t>
            </w:r>
            <w:r>
              <w:rPr>
                <w:rFonts w:hint="eastAsia" w:eastAsia="仿宋" w:cs="Times New Roman"/>
                <w:color w:val="auto"/>
                <w:sz w:val="24"/>
                <w:szCs w:val="22"/>
                <w:highlight w:val="none"/>
              </w:rPr>
              <w:t>实质性条款，任意一项不满足作无效投标处理。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eastAsia="仿宋" w:cs="Times New Roman"/>
                <w:b/>
                <w:bCs/>
                <w:color w:val="auto"/>
                <w:sz w:val="24"/>
                <w:szCs w:val="22"/>
                <w:highlight w:val="none"/>
              </w:rPr>
              <w:t>评审依据：投标文件中提供的商务条款响应表。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2</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hint="eastAsia" w:eastAsia="仿宋"/>
                <w:color w:val="auto"/>
                <w:sz w:val="24"/>
                <w:szCs w:val="22"/>
                <w:highlight w:val="none"/>
                <w:lang w:eastAsia="zh-CN"/>
              </w:rPr>
            </w:pPr>
            <w:r>
              <w:rPr>
                <w:rFonts w:hint="eastAsia" w:eastAsia="仿宋"/>
                <w:color w:val="auto"/>
                <w:sz w:val="24"/>
                <w:szCs w:val="22"/>
                <w:highlight w:val="none"/>
                <w:lang w:eastAsia="zh-CN"/>
              </w:rPr>
              <w:t>生产制造履约能力</w:t>
            </w:r>
          </w:p>
        </w:tc>
        <w:tc>
          <w:tcPr>
            <w:tcW w:w="3389" w:type="pct"/>
            <w:vAlign w:val="center"/>
          </w:tcPr>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val="en-US" w:eastAsia="zh-CN"/>
              </w:rPr>
              <w:t>投标人提供所投核心产品制造商的证明材料（应加盖制造商公章）</w:t>
            </w:r>
            <w:r>
              <w:rPr>
                <w:rFonts w:hint="eastAsia" w:eastAsia="仿宋" w:cs="Times New Roman"/>
                <w:color w:val="auto"/>
                <w:sz w:val="24"/>
                <w:szCs w:val="22"/>
                <w:highlight w:val="none"/>
              </w:rPr>
              <w:t>对</w:t>
            </w:r>
            <w:r>
              <w:rPr>
                <w:rFonts w:hint="eastAsia" w:eastAsia="仿宋" w:cs="Times New Roman"/>
                <w:color w:val="auto"/>
                <w:sz w:val="24"/>
                <w:szCs w:val="22"/>
                <w:highlight w:val="none"/>
                <w:lang w:eastAsia="zh-CN"/>
              </w:rPr>
              <w:t>生产制造履约能力</w:t>
            </w:r>
            <w:r>
              <w:rPr>
                <w:rFonts w:hint="eastAsia" w:eastAsia="仿宋" w:cs="Times New Roman"/>
                <w:color w:val="auto"/>
                <w:sz w:val="24"/>
                <w:szCs w:val="22"/>
                <w:highlight w:val="none"/>
              </w:rPr>
              <w:t>进行评审，包含但不限于</w:t>
            </w:r>
            <w:r>
              <w:rPr>
                <w:rFonts w:hint="eastAsia" w:eastAsia="仿宋" w:cs="Times New Roman"/>
                <w:color w:val="auto"/>
                <w:sz w:val="24"/>
                <w:szCs w:val="22"/>
                <w:highlight w:val="none"/>
                <w:lang w:eastAsia="zh-CN"/>
              </w:rPr>
              <w:t>：</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eastAsia="zh-CN"/>
              </w:rPr>
              <w:t>①制造商生产经营情况简介；</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②生产工艺流程，主要包括</w:t>
            </w:r>
            <w:r>
              <w:rPr>
                <w:rFonts w:hint="eastAsia" w:eastAsia="仿宋" w:cs="Times New Roman"/>
                <w:color w:val="auto"/>
                <w:sz w:val="24"/>
                <w:szCs w:val="22"/>
                <w:highlight w:val="none"/>
                <w:lang w:val="en-US" w:eastAsia="zh-CN"/>
              </w:rPr>
              <w:t>生产制造流程</w:t>
            </w:r>
            <w:r>
              <w:rPr>
                <w:rFonts w:hint="eastAsia" w:eastAsia="仿宋" w:cs="Times New Roman"/>
                <w:color w:val="auto"/>
                <w:sz w:val="24"/>
                <w:szCs w:val="22"/>
                <w:highlight w:val="none"/>
              </w:rPr>
              <w:t>图、生产步骤</w:t>
            </w:r>
            <w:r>
              <w:rPr>
                <w:rFonts w:hint="eastAsia" w:eastAsia="仿宋" w:cs="Times New Roman"/>
                <w:color w:val="auto"/>
                <w:sz w:val="24"/>
                <w:szCs w:val="22"/>
                <w:highlight w:val="none"/>
                <w:lang w:eastAsia="zh-CN"/>
              </w:rPr>
              <w:t>（应含</w:t>
            </w:r>
            <w:r>
              <w:rPr>
                <w:rFonts w:hint="eastAsia" w:eastAsia="仿宋" w:cs="Times New Roman"/>
                <w:color w:val="auto"/>
                <w:sz w:val="24"/>
                <w:szCs w:val="22"/>
                <w:highlight w:val="none"/>
                <w:lang w:val="en-US" w:eastAsia="zh-CN"/>
              </w:rPr>
              <w:t>生产车间环境及实际生产照片</w:t>
            </w:r>
            <w:r>
              <w:rPr>
                <w:rFonts w:hint="eastAsia" w:eastAsia="仿宋" w:cs="Times New Roman"/>
                <w:color w:val="auto"/>
                <w:sz w:val="24"/>
                <w:szCs w:val="22"/>
                <w:highlight w:val="none"/>
                <w:lang w:eastAsia="zh-CN"/>
              </w:rPr>
              <w:t>）</w:t>
            </w:r>
            <w:r>
              <w:rPr>
                <w:rFonts w:hint="eastAsia" w:eastAsia="仿宋" w:cs="Times New Roman"/>
                <w:color w:val="auto"/>
                <w:sz w:val="24"/>
                <w:szCs w:val="22"/>
                <w:highlight w:val="none"/>
              </w:rPr>
              <w:t>等相关情况</w:t>
            </w:r>
            <w:r>
              <w:rPr>
                <w:rFonts w:hint="eastAsia" w:eastAsia="仿宋" w:cs="Times New Roman"/>
                <w:color w:val="auto"/>
                <w:sz w:val="24"/>
                <w:szCs w:val="22"/>
                <w:highlight w:val="none"/>
                <w:lang w:eastAsia="zh-CN"/>
              </w:rPr>
              <w:t>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③产品检验流程，包括主要检验设备</w:t>
            </w:r>
            <w:r>
              <w:rPr>
                <w:rFonts w:hint="eastAsia" w:eastAsia="仿宋" w:cs="Times New Roman"/>
                <w:color w:val="auto"/>
                <w:sz w:val="24"/>
                <w:szCs w:val="22"/>
                <w:highlight w:val="none"/>
                <w:lang w:eastAsia="zh-CN"/>
              </w:rPr>
              <w:t>（应提供图片）</w:t>
            </w:r>
            <w:r>
              <w:rPr>
                <w:rFonts w:hint="eastAsia" w:eastAsia="仿宋" w:cs="Times New Roman"/>
                <w:color w:val="auto"/>
                <w:sz w:val="24"/>
                <w:szCs w:val="22"/>
                <w:highlight w:val="none"/>
              </w:rPr>
              <w:t>、检验步骤等相关情况描述；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④人员配备：相关专业技术</w:t>
            </w:r>
            <w:r>
              <w:rPr>
                <w:rFonts w:hint="eastAsia" w:eastAsia="仿宋" w:cs="Times New Roman"/>
                <w:color w:val="auto"/>
                <w:sz w:val="24"/>
                <w:szCs w:val="22"/>
                <w:highlight w:val="none"/>
                <w:lang w:eastAsia="zh-CN"/>
              </w:rPr>
              <w:t>职称</w:t>
            </w:r>
            <w:r>
              <w:rPr>
                <w:rFonts w:hint="eastAsia" w:eastAsia="仿宋" w:cs="Times New Roman"/>
                <w:color w:val="auto"/>
                <w:sz w:val="24"/>
                <w:szCs w:val="22"/>
                <w:highlight w:val="none"/>
              </w:rPr>
              <w:t>人员配置情况</w:t>
            </w:r>
            <w:r>
              <w:rPr>
                <w:rFonts w:hint="eastAsia" w:eastAsia="仿宋" w:cs="Times New Roman"/>
                <w:color w:val="auto"/>
                <w:sz w:val="24"/>
                <w:szCs w:val="22"/>
                <w:highlight w:val="none"/>
                <w:lang w:eastAsia="zh-CN"/>
              </w:rPr>
              <w:t>；</w:t>
            </w:r>
            <w:r>
              <w:rPr>
                <w:rFonts w:hint="eastAsia" w:eastAsia="仿宋" w:cs="Times New Roman"/>
                <w:color w:val="auto"/>
                <w:sz w:val="24"/>
                <w:szCs w:val="22"/>
                <w:highlight w:val="none"/>
              </w:rPr>
              <w:t>各原材料采购、生产、检验、仓储、运输等环节的人员配备情况；</w:t>
            </w:r>
          </w:p>
          <w:p>
            <w:pPr>
              <w:pageBreakBefore w:val="0"/>
              <w:kinsoku/>
              <w:wordWrap/>
              <w:overflowPunct/>
              <w:topLinePunct w:val="0"/>
              <w:autoSpaceDE/>
              <w:autoSpaceDN/>
              <w:bidi w:val="0"/>
              <w:adjustRightInd/>
              <w:snapToGrid/>
              <w:spacing w:line="460" w:lineRule="exact"/>
              <w:rPr>
                <w:rFonts w:hint="eastAsia" w:eastAsia="仿宋" w:cs="Times New Roman"/>
                <w:b/>
                <w:bCs/>
                <w:color w:val="auto"/>
                <w:sz w:val="24"/>
                <w:szCs w:val="22"/>
                <w:highlight w:val="none"/>
              </w:rPr>
            </w:pPr>
            <w:r>
              <w:rPr>
                <w:rFonts w:hint="eastAsia" w:eastAsia="仿宋" w:cs="Times New Roman"/>
                <w:b/>
                <w:bCs/>
                <w:color w:val="auto"/>
                <w:sz w:val="24"/>
                <w:szCs w:val="22"/>
                <w:highlight w:val="none"/>
              </w:rPr>
              <w:t>评审依据：</w:t>
            </w:r>
            <w:r>
              <w:rPr>
                <w:rFonts w:hint="eastAsia" w:eastAsia="仿宋" w:cs="Times New Roman"/>
                <w:b/>
                <w:bCs/>
                <w:color w:val="auto"/>
                <w:sz w:val="24"/>
                <w:szCs w:val="22"/>
                <w:highlight w:val="none"/>
                <w:lang w:val="en-US" w:eastAsia="zh-CN"/>
              </w:rPr>
              <w:t>根据</w:t>
            </w:r>
            <w:r>
              <w:rPr>
                <w:rFonts w:hint="eastAsia" w:eastAsia="仿宋" w:cs="Times New Roman"/>
                <w:b/>
                <w:bCs/>
                <w:color w:val="auto"/>
                <w:sz w:val="24"/>
                <w:szCs w:val="22"/>
                <w:highlight w:val="none"/>
              </w:rPr>
              <w:t>投标人提</w:t>
            </w:r>
            <w:r>
              <w:rPr>
                <w:rFonts w:hint="eastAsia" w:eastAsia="仿宋" w:cs="Times New Roman"/>
                <w:b/>
                <w:bCs/>
                <w:color w:val="auto"/>
                <w:sz w:val="24"/>
                <w:szCs w:val="22"/>
                <w:highlight w:val="none"/>
                <w:lang w:val="en-US" w:eastAsia="zh-CN"/>
              </w:rPr>
              <w:t>供的生产制造履约能力方案内容完整性、组织性、关联性和可操作性进行评审</w:t>
            </w:r>
            <w:r>
              <w:rPr>
                <w:rFonts w:hint="eastAsia" w:eastAsia="仿宋" w:cs="Times New Roman"/>
                <w:b/>
                <w:bCs/>
                <w:color w:val="auto"/>
                <w:sz w:val="24"/>
                <w:szCs w:val="22"/>
                <w:highlight w:val="none"/>
              </w:rPr>
              <w:t>。</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1、所投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制造商具备较强自主研发能力及先进的生产工艺，生产车间环境及生产线先进规范，生产步骤完整周详，技术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检验设备配置齐全、检验步骤严密无纰漏，生产制造履约能力</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分；</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制造商有自主研发能力和生产工艺较完整，生产车间环境及生产线常规，生产步骤较完整周详，技术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eastAsia="zh-CN"/>
              </w:rPr>
              <w:t>相对</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检验设备配置较齐全、检验步骤相对完备，生产制造履约能力</w:t>
            </w:r>
            <w:r>
              <w:rPr>
                <w:rFonts w:hint="eastAsia" w:ascii="仿宋" w:hAnsi="仿宋" w:eastAsia="仿宋" w:cs="仿宋"/>
                <w:b/>
                <w:bCs/>
                <w:color w:val="auto"/>
                <w:sz w:val="24"/>
                <w:szCs w:val="24"/>
                <w:highlight w:val="none"/>
                <w:lang w:eastAsia="zh-CN"/>
              </w:rPr>
              <w:t>较</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3、所投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制造商有自主研发能力和生产工艺薄弱，生产车间环境及生产线粗糙落后，生产步骤简单，技术</w:t>
            </w:r>
            <w:r>
              <w:rPr>
                <w:rFonts w:hint="eastAsia" w:ascii="仿宋" w:hAnsi="仿宋" w:eastAsia="仿宋" w:cs="仿宋"/>
                <w:b/>
                <w:bCs/>
                <w:color w:val="auto"/>
                <w:sz w:val="24"/>
                <w:szCs w:val="24"/>
                <w:highlight w:val="none"/>
              </w:rPr>
              <w:t>人员</w:t>
            </w:r>
            <w:r>
              <w:rPr>
                <w:rFonts w:hint="eastAsia" w:ascii="仿宋" w:hAnsi="仿宋" w:eastAsia="仿宋" w:cs="仿宋"/>
                <w:b/>
                <w:bCs/>
                <w:color w:val="auto"/>
                <w:sz w:val="24"/>
                <w:szCs w:val="24"/>
                <w:highlight w:val="none"/>
                <w:lang w:eastAsia="zh-CN"/>
              </w:rPr>
              <w:t>综合实力一般，</w:t>
            </w:r>
            <w:r>
              <w:rPr>
                <w:rFonts w:hint="eastAsia" w:ascii="仿宋" w:hAnsi="仿宋" w:eastAsia="仿宋" w:cs="仿宋"/>
                <w:b/>
                <w:bCs/>
                <w:color w:val="auto"/>
                <w:sz w:val="24"/>
                <w:szCs w:val="24"/>
                <w:highlight w:val="none"/>
                <w:lang w:val="en-US" w:eastAsia="zh-CN"/>
              </w:rPr>
              <w:t>检验设备配置简单落后，检验步骤普通，生产制造履约能力</w:t>
            </w:r>
            <w:r>
              <w:rPr>
                <w:rFonts w:hint="eastAsia" w:ascii="仿宋" w:hAnsi="仿宋" w:eastAsia="仿宋" w:cs="仿宋"/>
                <w:b/>
                <w:bCs/>
                <w:color w:val="auto"/>
                <w:sz w:val="24"/>
                <w:szCs w:val="24"/>
                <w:highlight w:val="none"/>
                <w:lang w:eastAsia="zh-CN"/>
              </w:rPr>
              <w:t>弱</w:t>
            </w:r>
            <w:r>
              <w:rPr>
                <w:rFonts w:hint="eastAsia" w:ascii="仿宋" w:hAnsi="仿宋" w:eastAsia="仿宋" w:cs="仿宋"/>
                <w:b/>
                <w:bCs/>
                <w:color w:val="auto"/>
                <w:sz w:val="24"/>
                <w:szCs w:val="24"/>
                <w:highlight w:val="none"/>
              </w:rPr>
              <w:t>的得</w:t>
            </w: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未提供证明材料或证明材料有缺项的不得分。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3</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质量保证和保修</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eastAsia="仿宋"/>
                <w:color w:val="auto"/>
                <w:sz w:val="24"/>
                <w:szCs w:val="22"/>
                <w:highlight w:val="none"/>
              </w:rPr>
            </w:pPr>
            <w:r>
              <w:rPr>
                <w:rFonts w:eastAsia="仿宋"/>
                <w:color w:val="auto"/>
                <w:sz w:val="24"/>
                <w:szCs w:val="22"/>
                <w:highlight w:val="none"/>
              </w:rPr>
              <w:t>在招标文件商务要求中“质保期”和“保修期”要求基础上，承诺“质保期”和“保修期”均每延长一年的加2分，最多加4分。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eastAsia="仿宋"/>
                <w:b/>
                <w:color w:val="auto"/>
                <w:sz w:val="24"/>
                <w:szCs w:val="22"/>
                <w:highlight w:val="none"/>
              </w:rPr>
              <w:t>评审依据：投标文件中提供“质保期”和“保修期”均延长的承诺函原件。</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类似销售</w:t>
            </w:r>
          </w:p>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案例</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投标人自</w:t>
            </w:r>
            <w:r>
              <w:rPr>
                <w:rFonts w:eastAsia="仿宋" w:cs="Times New Roman"/>
                <w:color w:val="auto"/>
                <w:sz w:val="24"/>
                <w:szCs w:val="22"/>
                <w:highlight w:val="none"/>
              </w:rPr>
              <w:t>20</w:t>
            </w:r>
            <w:r>
              <w:rPr>
                <w:rFonts w:hint="eastAsia" w:eastAsia="仿宋" w:cs="Times New Roman"/>
                <w:color w:val="auto"/>
                <w:sz w:val="24"/>
                <w:szCs w:val="22"/>
                <w:highlight w:val="none"/>
              </w:rPr>
              <w:t>2</w:t>
            </w:r>
            <w:r>
              <w:rPr>
                <w:rFonts w:hint="eastAsia" w:eastAsia="仿宋" w:cs="Times New Roman"/>
                <w:color w:val="auto"/>
                <w:sz w:val="24"/>
                <w:szCs w:val="22"/>
                <w:highlight w:val="none"/>
                <w:lang w:val="en-US" w:eastAsia="zh-CN"/>
              </w:rPr>
              <w:t>1</w:t>
            </w:r>
            <w:r>
              <w:rPr>
                <w:rFonts w:hint="eastAsia" w:eastAsia="仿宋" w:cs="Times New Roman"/>
                <w:color w:val="auto"/>
                <w:sz w:val="24"/>
                <w:szCs w:val="22"/>
                <w:highlight w:val="none"/>
              </w:rPr>
              <w:t>年</w:t>
            </w:r>
            <w:r>
              <w:rPr>
                <w:rFonts w:eastAsia="仿宋" w:cs="Times New Roman"/>
                <w:color w:val="auto"/>
                <w:sz w:val="24"/>
                <w:szCs w:val="22"/>
                <w:highlight w:val="none"/>
              </w:rPr>
              <w:t>1月1日至今（以签订合同时间为准）具有类似</w:t>
            </w:r>
            <w:r>
              <w:rPr>
                <w:rFonts w:hint="eastAsia" w:eastAsia="仿宋" w:cs="Times New Roman"/>
                <w:color w:val="auto"/>
                <w:sz w:val="24"/>
                <w:szCs w:val="22"/>
                <w:highlight w:val="none"/>
                <w:lang w:eastAsia="zh-CN"/>
              </w:rPr>
              <w:t>核心</w:t>
            </w:r>
            <w:r>
              <w:rPr>
                <w:rFonts w:eastAsia="仿宋" w:cs="Times New Roman"/>
                <w:color w:val="auto"/>
                <w:sz w:val="24"/>
                <w:szCs w:val="22"/>
                <w:highlight w:val="none"/>
              </w:rPr>
              <w:t>产品销售案例，每提供1份销售案例加</w:t>
            </w:r>
            <w:r>
              <w:rPr>
                <w:rFonts w:hint="eastAsia" w:eastAsia="仿宋" w:cs="Times New Roman"/>
                <w:color w:val="auto"/>
                <w:sz w:val="24"/>
                <w:szCs w:val="22"/>
                <w:highlight w:val="none"/>
                <w:lang w:val="en-US" w:eastAsia="zh-CN"/>
              </w:rPr>
              <w:t>2</w:t>
            </w:r>
            <w:r>
              <w:rPr>
                <w:rFonts w:hint="eastAsia" w:eastAsia="仿宋" w:cs="Times New Roman"/>
                <w:color w:val="auto"/>
                <w:sz w:val="24"/>
                <w:szCs w:val="22"/>
                <w:highlight w:val="none"/>
              </w:rPr>
              <w:t>分，本项最多加</w:t>
            </w:r>
            <w:r>
              <w:rPr>
                <w:rFonts w:hint="eastAsia" w:eastAsia="仿宋" w:cs="Times New Roman"/>
                <w:color w:val="auto"/>
                <w:sz w:val="24"/>
                <w:szCs w:val="22"/>
                <w:highlight w:val="none"/>
                <w:lang w:val="en-US" w:eastAsia="zh-CN"/>
              </w:rPr>
              <w:t>6</w:t>
            </w:r>
            <w:r>
              <w:rPr>
                <w:rFonts w:hint="eastAsia" w:eastAsia="仿宋" w:cs="Times New Roman"/>
                <w:color w:val="auto"/>
                <w:sz w:val="24"/>
                <w:szCs w:val="22"/>
                <w:highlight w:val="none"/>
              </w:rPr>
              <w:t>分。</w:t>
            </w:r>
          </w:p>
          <w:p>
            <w:pPr>
              <w:pageBreakBefore w:val="0"/>
              <w:kinsoku/>
              <w:wordWrap/>
              <w:overflowPunct/>
              <w:topLinePunct w:val="0"/>
              <w:autoSpaceDE/>
              <w:autoSpaceDN/>
              <w:bidi w:val="0"/>
              <w:adjustRightInd/>
              <w:snapToGrid/>
              <w:spacing w:line="460" w:lineRule="exact"/>
              <w:jc w:val="left"/>
              <w:rPr>
                <w:rFonts w:eastAsia="仿宋"/>
                <w:b/>
                <w:bCs/>
                <w:color w:val="auto"/>
                <w:sz w:val="24"/>
                <w:szCs w:val="22"/>
                <w:highlight w:val="none"/>
              </w:rPr>
            </w:pPr>
            <w:r>
              <w:rPr>
                <w:rFonts w:hint="eastAsia" w:eastAsia="仿宋" w:cs="Times New Roman"/>
                <w:b/>
                <w:bCs/>
                <w:color w:val="auto"/>
                <w:sz w:val="24"/>
                <w:szCs w:val="22"/>
                <w:highlight w:val="none"/>
              </w:rPr>
              <w:t>评审依据：①投标文件中提供销售案例明细表（销售案例明细表包含</w:t>
            </w:r>
            <w:r>
              <w:rPr>
                <w:rFonts w:eastAsia="仿宋" w:cs="Times New Roman"/>
                <w:b/>
                <w:bCs/>
                <w:color w:val="auto"/>
                <w:sz w:val="24"/>
                <w:szCs w:val="22"/>
                <w:highlight w:val="none"/>
              </w:rPr>
              <w:t>:发布网站名称、网页链接地址、采购项目名称、采购单位名称和联系方式、采购代理机构名称和联系方式）；</w:t>
            </w:r>
            <w:r>
              <w:rPr>
                <w:rFonts w:hint="eastAsia" w:eastAsia="仿宋" w:cs="Times New Roman"/>
                <w:b/>
                <w:bCs/>
                <w:color w:val="auto"/>
                <w:sz w:val="24"/>
                <w:szCs w:val="22"/>
                <w:highlight w:val="none"/>
              </w:rPr>
              <w:t>②</w:t>
            </w:r>
            <w:r>
              <w:rPr>
                <w:rFonts w:hint="eastAsia" w:eastAsia="仿宋" w:cs="Times New Roman"/>
                <w:b/>
                <w:bCs/>
                <w:color w:val="auto"/>
                <w:sz w:val="24"/>
                <w:szCs w:val="22"/>
                <w:highlight w:val="none"/>
                <w:lang w:eastAsia="zh-CN"/>
              </w:rPr>
              <w:t>中标（成交）公告截图（打印网页）、中标通知书复印件和合同复印件（中标通知书或合同复印件应体现类似销售案例的货物），合同签订方必须是投标人本身。</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hint="eastAsia" w:eastAsia="仿宋"/>
                <w:color w:val="auto"/>
                <w:sz w:val="24"/>
                <w:szCs w:val="22"/>
                <w:highlight w:val="none"/>
                <w:lang w:val="en-US" w:eastAsia="zh-CN"/>
              </w:rPr>
              <w:t>6</w:t>
            </w:r>
            <w:r>
              <w:rPr>
                <w:rFonts w:eastAsia="仿宋"/>
                <w:color w:val="auto"/>
                <w:sz w:val="24"/>
                <w:szCs w:val="22"/>
                <w:highlight w:val="none"/>
              </w:rPr>
              <w:t>分</w:t>
            </w:r>
          </w:p>
        </w:tc>
      </w:tr>
    </w:tbl>
    <w:p>
      <w:pPr>
        <w:pageBreakBefore w:val="0"/>
        <w:kinsoku/>
        <w:wordWrap/>
        <w:overflowPunct/>
        <w:topLinePunct w:val="0"/>
        <w:autoSpaceDE/>
        <w:autoSpaceDN/>
        <w:bidi w:val="0"/>
        <w:adjustRightInd/>
        <w:snapToGrid/>
        <w:spacing w:line="460" w:lineRule="exact"/>
        <w:rPr>
          <w:rFonts w:hint="eastAsia" w:ascii="仿宋" w:hAnsi="仿宋" w:eastAsia="仿宋" w:cs="Times New Roman"/>
          <w:b/>
          <w:bCs/>
          <w:color w:val="auto"/>
          <w:sz w:val="28"/>
          <w:szCs w:val="28"/>
          <w:highlight w:val="none"/>
          <w:lang w:val="en-US" w:eastAsia="zh-CN"/>
        </w:rPr>
      </w:pPr>
      <w:r>
        <w:rPr>
          <w:rFonts w:hint="eastAsia" w:ascii="仿宋" w:hAnsi="仿宋" w:eastAsia="仿宋" w:cs="Times New Roman"/>
          <w:b/>
          <w:bCs/>
          <w:color w:val="auto"/>
          <w:sz w:val="28"/>
          <w:szCs w:val="28"/>
          <w:highlight w:val="none"/>
          <w:lang w:val="en-US" w:eastAsia="zh-CN"/>
        </w:rPr>
        <w:br w:type="page"/>
      </w:r>
    </w:p>
    <w:p>
      <w:pPr>
        <w:keepNext w:val="0"/>
        <w:keepLines w:val="0"/>
        <w:pageBreakBefore w:val="0"/>
        <w:widowControl w:val="0"/>
        <w:kinsoku/>
        <w:wordWrap/>
        <w:overflowPunct/>
        <w:topLinePunct w:val="0"/>
        <w:autoSpaceDE/>
        <w:autoSpaceDN/>
        <w:bidi w:val="0"/>
        <w:adjustRightInd/>
        <w:snapToGrid/>
        <w:spacing w:line="460" w:lineRule="exact"/>
        <w:jc w:val="left"/>
        <w:textAlignment w:val="auto"/>
        <w:outlineLvl w:val="1"/>
        <w:rPr>
          <w:rFonts w:hint="eastAsia" w:ascii="仿宋" w:hAnsi="仿宋" w:eastAsia="仿宋" w:cs="Times New Roman"/>
          <w:b/>
          <w:bCs/>
          <w:color w:val="auto"/>
          <w:sz w:val="28"/>
          <w:szCs w:val="28"/>
          <w:highlight w:val="none"/>
          <w:lang w:eastAsia="zh-CN"/>
        </w:rPr>
      </w:pPr>
      <w:bookmarkStart w:id="761" w:name="_Toc14406"/>
      <w:bookmarkStart w:id="762" w:name="_Toc32710"/>
      <w:bookmarkStart w:id="763" w:name="_Toc3477"/>
      <w:bookmarkStart w:id="764" w:name="_Toc1166"/>
      <w:bookmarkStart w:id="765" w:name="_Toc19198"/>
      <w:r>
        <w:rPr>
          <w:rFonts w:hint="eastAsia" w:ascii="仿宋" w:hAnsi="仿宋" w:eastAsia="仿宋" w:cs="Times New Roman"/>
          <w:b/>
          <w:bCs/>
          <w:color w:val="auto"/>
          <w:sz w:val="28"/>
          <w:szCs w:val="28"/>
          <w:highlight w:val="none"/>
          <w:lang w:val="en-US" w:eastAsia="zh-CN"/>
        </w:rPr>
        <w:t>83包</w:t>
      </w:r>
      <w:r>
        <w:rPr>
          <w:rFonts w:hint="eastAsia" w:ascii="仿宋" w:hAnsi="仿宋" w:eastAsia="仿宋" w:cs="Times New Roman"/>
          <w:b/>
          <w:bCs/>
          <w:color w:val="auto"/>
          <w:sz w:val="28"/>
          <w:szCs w:val="28"/>
          <w:highlight w:val="none"/>
        </w:rPr>
        <w:t>：</w:t>
      </w:r>
      <w:r>
        <w:rPr>
          <w:rFonts w:hint="eastAsia" w:ascii="仿宋" w:hAnsi="仿宋" w:eastAsia="仿宋" w:cs="Times New Roman"/>
          <w:b/>
          <w:bCs/>
          <w:color w:val="auto"/>
          <w:sz w:val="28"/>
          <w:szCs w:val="28"/>
          <w:highlight w:val="none"/>
          <w:lang w:val="en-US" w:eastAsia="zh-CN"/>
        </w:rPr>
        <w:t>消防防坠落辅助部件【核心产品】、消防全身式安全吊带、消防通用安全绳、水面漂浮救生绳（200米）</w:t>
      </w:r>
      <w:bookmarkEnd w:id="761"/>
      <w:bookmarkEnd w:id="762"/>
      <w:bookmarkEnd w:id="763"/>
      <w:bookmarkEnd w:id="764"/>
      <w:bookmarkEnd w:id="765"/>
    </w:p>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hint="eastAsia" w:ascii="仿宋" w:hAnsi="仿宋" w:eastAsia="仿宋"/>
          <w:b/>
          <w:color w:val="auto"/>
          <w:sz w:val="24"/>
          <w:highlight w:val="none"/>
        </w:rPr>
        <w:t>一、价格部分（</w:t>
      </w:r>
      <w:r>
        <w:rPr>
          <w:rFonts w:ascii="仿宋" w:hAnsi="仿宋" w:eastAsia="仿宋"/>
          <w:b/>
          <w:color w:val="auto"/>
          <w:sz w:val="24"/>
          <w:highlight w:val="none"/>
        </w:rPr>
        <w:t>30分）</w:t>
      </w:r>
    </w:p>
    <w:tbl>
      <w:tblPr>
        <w:tblStyle w:val="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1579"/>
        <w:gridCol w:w="6182"/>
        <w:gridCol w:w="8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评审因素</w:t>
            </w:r>
          </w:p>
        </w:tc>
        <w:tc>
          <w:tcPr>
            <w:tcW w:w="3327" w:type="pct"/>
            <w:vAlign w:val="center"/>
          </w:tcPr>
          <w:p>
            <w:pPr>
              <w:pageBreakBefore w:val="0"/>
              <w:kinsoku/>
              <w:wordWrap/>
              <w:overflowPunct/>
              <w:topLinePunct w:val="0"/>
              <w:autoSpaceDE/>
              <w:autoSpaceDN/>
              <w:bidi w:val="0"/>
              <w:adjustRightInd/>
              <w:snapToGrid/>
              <w:spacing w:line="460" w:lineRule="exact"/>
              <w:jc w:val="center"/>
              <w:textAlignment w:val="center"/>
              <w:rPr>
                <w:rFonts w:ascii="仿宋" w:hAnsi="仿宋" w:eastAsia="仿宋" w:cs="仿宋"/>
                <w:b/>
                <w:color w:val="auto"/>
                <w:sz w:val="24"/>
                <w:highlight w:val="none"/>
              </w:rPr>
            </w:pPr>
            <w:r>
              <w:rPr>
                <w:rFonts w:hint="eastAsia" w:ascii="仿宋" w:hAnsi="仿宋" w:eastAsia="仿宋" w:cs="仿宋"/>
                <w:b/>
                <w:bCs/>
                <w:color w:val="auto"/>
                <w:sz w:val="24"/>
                <w:highlight w:val="none"/>
              </w:rPr>
              <w:t>评分标准</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价格分</w:t>
            </w:r>
          </w:p>
        </w:tc>
        <w:tc>
          <w:tcPr>
            <w:tcW w:w="3327" w:type="pct"/>
            <w:vAlign w:val="center"/>
          </w:tcPr>
          <w:p>
            <w:pPr>
              <w:pageBreakBefore w:val="0"/>
              <w:kinsoku/>
              <w:wordWrap/>
              <w:overflowPunct/>
              <w:topLinePunct w:val="0"/>
              <w:autoSpaceDE/>
              <w:autoSpaceDN/>
              <w:bidi w:val="0"/>
              <w:adjustRightInd/>
              <w:snapToGrid/>
              <w:spacing w:line="460" w:lineRule="exact"/>
              <w:jc w:val="left"/>
              <w:textAlignment w:val="center"/>
              <w:rPr>
                <w:rFonts w:ascii="仿宋" w:hAnsi="仿宋" w:eastAsia="仿宋" w:cs="仿宋"/>
                <w:color w:val="auto"/>
                <w:sz w:val="24"/>
                <w:highlight w:val="none"/>
              </w:rPr>
            </w:pPr>
            <w:r>
              <w:rPr>
                <w:rFonts w:hint="eastAsia" w:ascii="仿宋" w:hAnsi="仿宋" w:eastAsia="仿宋" w:cs="仿宋"/>
                <w:color w:val="auto"/>
                <w:sz w:val="24"/>
                <w:highlight w:val="none"/>
              </w:rPr>
              <w:t>根据综合评分法，满足招标文件要求且投标价格最低的投标报价为评标基准价，投标报价得分</w:t>
            </w:r>
            <w:r>
              <w:rPr>
                <w:rFonts w:ascii="仿宋" w:hAnsi="仿宋" w:eastAsia="仿宋" w:cs="仿宋"/>
                <w:color w:val="auto"/>
                <w:sz w:val="24"/>
                <w:highlight w:val="none"/>
              </w:rPr>
              <w:t>=（评标基准价／投标报价）</w:t>
            </w:r>
            <w:r>
              <w:rPr>
                <w:rFonts w:hint="eastAsia" w:ascii="仿宋" w:hAnsi="仿宋" w:eastAsia="仿宋" w:cs="仿宋"/>
                <w:color w:val="auto"/>
                <w:sz w:val="24"/>
                <w:highlight w:val="none"/>
              </w:rPr>
              <w:t>×</w:t>
            </w:r>
            <w:r>
              <w:rPr>
                <w:rFonts w:ascii="仿宋" w:hAnsi="仿宋" w:eastAsia="仿宋" w:cs="仿宋"/>
                <w:color w:val="auto"/>
                <w:sz w:val="24"/>
                <w:highlight w:val="none"/>
              </w:rPr>
              <w:t>30%×100，计算分数时四舍五入取小数点后两位。</w:t>
            </w:r>
          </w:p>
          <w:p>
            <w:pPr>
              <w:pageBreakBefore w:val="0"/>
              <w:kinsoku/>
              <w:wordWrap/>
              <w:overflowPunct/>
              <w:topLinePunct w:val="0"/>
              <w:autoSpaceDE/>
              <w:autoSpaceDN/>
              <w:bidi w:val="0"/>
              <w:adjustRightInd/>
              <w:snapToGrid/>
              <w:spacing w:line="460" w:lineRule="exact"/>
              <w:ind w:firstLine="482" w:firstLineChars="200"/>
              <w:jc w:val="left"/>
              <w:textAlignment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注：</w:t>
            </w:r>
            <w:r>
              <w:rPr>
                <w:rFonts w:ascii="仿宋" w:hAnsi="仿宋" w:eastAsia="仿宋" w:cs="仿宋"/>
                <w:b/>
                <w:bCs/>
                <w:color w:val="auto"/>
                <w:sz w:val="24"/>
                <w:highlight w:val="none"/>
              </w:rPr>
              <w:t>小、微型企业或残疾人福利性单位产品或监狱产品的价格给予10%的扣除，用扣除后的价格参与评审。但残疾人福利性单位本身属于小型、微型企业的，不重复享受政策。</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30分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二、技术部分（5</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0"/>
        <w:gridCol w:w="899"/>
        <w:gridCol w:w="1253"/>
        <w:gridCol w:w="5849"/>
        <w:gridCol w:w="7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80"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1159" w:type="pct"/>
            <w:gridSpan w:val="2"/>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3150"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评分标准</w:t>
            </w:r>
          </w:p>
        </w:tc>
        <w:tc>
          <w:tcPr>
            <w:tcW w:w="409"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280"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159"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技术参数及要求</w:t>
            </w:r>
          </w:p>
        </w:tc>
        <w:tc>
          <w:tcPr>
            <w:tcW w:w="3150" w:type="pct"/>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一、重大负偏离评审依据：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1、带★条款的响应，不满足招标文件要求的，或有缺项、漏项的，视为重大负偏离；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2、一般参数和带“▲”参数共有四项及以上（含本数）的负偏离，视为重大负偏离；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3、所投产品一般参数或带“▲”参数有一项低于招标文件要求，该项视为负偏离；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4、所投产品一般参数或带“▲”参数有一项缺项、漏项的，该项视为负偏离。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注：“一般参数”为非标“★”号参数和非标“▲”号参数。</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①投标文件中提供的技术条款响应表；</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②所投产品技术参数完全满足招标文件要求得</w:t>
            </w:r>
            <w:r>
              <w:rPr>
                <w:rFonts w:hint="eastAsia" w:ascii="仿宋" w:hAnsi="仿宋" w:eastAsia="仿宋" w:cs="仿宋"/>
                <w:b/>
                <w:bCs/>
                <w:color w:val="auto"/>
                <w:sz w:val="24"/>
                <w:highlight w:val="none"/>
                <w:lang w:val="en-US" w:eastAsia="zh-CN"/>
              </w:rPr>
              <w:t>22</w:t>
            </w:r>
            <w:r>
              <w:rPr>
                <w:rFonts w:hint="eastAsia" w:ascii="仿宋" w:hAnsi="仿宋" w:eastAsia="仿宋" w:cs="仿宋"/>
                <w:b/>
                <w:bCs/>
                <w:color w:val="auto"/>
                <w:sz w:val="24"/>
                <w:highlight w:val="none"/>
              </w:rPr>
              <w:t>分；重大负偏离则视为无效投标；一般参数或带“▲”参数每有一项负偏离减5分，最多减15分，四项或以上负偏离视为无效投标。</w:t>
            </w:r>
          </w:p>
        </w:tc>
        <w:tc>
          <w:tcPr>
            <w:tcW w:w="409" w:type="pct"/>
            <w:vAlign w:val="center"/>
          </w:tcPr>
          <w:p>
            <w:pPr>
              <w:pageBreakBefore w:val="0"/>
              <w:kinsoku/>
              <w:wordWrap/>
              <w:overflowPunct/>
              <w:topLinePunct w:val="0"/>
              <w:autoSpaceDE/>
              <w:autoSpaceDN/>
              <w:bidi w:val="0"/>
              <w:adjustRightInd/>
              <w:snapToGrid/>
              <w:spacing w:line="460" w:lineRule="exact"/>
              <w:jc w:val="center"/>
              <w:textAlignment w:val="center"/>
              <w:rPr>
                <w:rFonts w:hint="default"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22分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80"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484" w:type="pct"/>
            <w:vMerge w:val="restar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b w:val="0"/>
                <w:bCs w:val="0"/>
                <w:color w:val="auto"/>
                <w:sz w:val="24"/>
                <w:szCs w:val="24"/>
                <w:highlight w:val="none"/>
              </w:rPr>
            </w:pPr>
            <w:r>
              <w:rPr>
                <w:rFonts w:hint="eastAsia" w:ascii="仿宋" w:hAnsi="仿宋" w:eastAsia="仿宋" w:cs="Times New Roman"/>
                <w:b w:val="0"/>
                <w:bCs w:val="0"/>
                <w:color w:val="auto"/>
                <w:sz w:val="24"/>
                <w:szCs w:val="24"/>
                <w:highlight w:val="none"/>
                <w:lang w:val="en-US" w:eastAsia="zh-CN"/>
              </w:rPr>
              <w:t>消防防坠落辅助部件</w:t>
            </w:r>
          </w:p>
        </w:tc>
        <w:tc>
          <w:tcPr>
            <w:tcW w:w="675" w:type="pct"/>
            <w:tcBorders>
              <w:lef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▲3.4轻型安全钩：</w:t>
            </w:r>
            <w:r>
              <w:rPr>
                <w:rFonts w:hint="eastAsia" w:ascii="仿宋" w:hAnsi="仿宋" w:eastAsia="仿宋" w:cs="仿宋"/>
                <w:color w:val="auto"/>
                <w:sz w:val="24"/>
                <w:szCs w:val="24"/>
                <w:highlight w:val="none"/>
              </w:rPr>
              <w:t>在开口闭合状态时，长轴的破断强度≥27KN</w:t>
            </w:r>
          </w:p>
        </w:tc>
        <w:tc>
          <w:tcPr>
            <w:tcW w:w="3150"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仿宋"/>
                <w:i w:val="0"/>
                <w:iCs w:val="0"/>
                <w:color w:val="auto"/>
                <w:kern w:val="0"/>
                <w:sz w:val="24"/>
                <w:szCs w:val="24"/>
                <w:highlight w:val="none"/>
                <w:u w:val="none"/>
                <w:lang w:val="en-US" w:eastAsia="zh-CN" w:bidi="ar"/>
              </w:rPr>
              <w:t>轻型安全钩</w:t>
            </w:r>
            <w:r>
              <w:rPr>
                <w:rFonts w:hint="eastAsia" w:ascii="仿宋" w:hAnsi="仿宋" w:eastAsia="仿宋" w:cs="仿宋"/>
                <w:color w:val="auto"/>
                <w:sz w:val="24"/>
                <w:szCs w:val="24"/>
                <w:highlight w:val="none"/>
              </w:rPr>
              <w:t>在开口闭合状态时，长轴的破断强度最优的加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i w:val="0"/>
                <w:iCs w:val="0"/>
                <w:color w:val="auto"/>
                <w:kern w:val="0"/>
                <w:sz w:val="24"/>
                <w:szCs w:val="24"/>
                <w:highlight w:val="none"/>
                <w:u w:val="none"/>
                <w:lang w:val="en-US" w:eastAsia="zh-CN" w:bidi="ar"/>
              </w:rPr>
              <w:t>长轴破断强度</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i w:val="0"/>
                <w:iCs w:val="0"/>
                <w:color w:val="auto"/>
                <w:kern w:val="0"/>
                <w:sz w:val="24"/>
                <w:szCs w:val="24"/>
                <w:highlight w:val="none"/>
                <w:u w:val="none"/>
                <w:lang w:val="en-US" w:eastAsia="zh-CN" w:bidi="ar"/>
              </w:rPr>
              <w:t>轻型安全钩</w:t>
            </w:r>
            <w:r>
              <w:rPr>
                <w:rFonts w:hint="eastAsia" w:ascii="仿宋" w:hAnsi="仿宋" w:eastAsia="仿宋" w:cs="仿宋"/>
                <w:b/>
                <w:bCs/>
                <w:color w:val="auto"/>
                <w:sz w:val="24"/>
                <w:szCs w:val="24"/>
                <w:highlight w:val="none"/>
              </w:rPr>
              <w:t>在开口闭合状态时，长轴的破断强度最大，次优表示在开口闭合状态时，长轴的破断强度仅次于最大值。</w:t>
            </w:r>
          </w:p>
        </w:tc>
        <w:tc>
          <w:tcPr>
            <w:tcW w:w="409"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80"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484" w:type="pct"/>
            <w:vMerge w:val="continue"/>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Times New Roman"/>
                <w:b w:val="0"/>
                <w:bCs w:val="0"/>
                <w:color w:val="auto"/>
                <w:sz w:val="24"/>
                <w:szCs w:val="24"/>
                <w:highlight w:val="none"/>
                <w:lang w:val="en-US" w:eastAsia="zh-CN"/>
              </w:rPr>
            </w:pPr>
          </w:p>
        </w:tc>
        <w:tc>
          <w:tcPr>
            <w:tcW w:w="675" w:type="pct"/>
            <w:tcBorders>
              <w:lef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▲3.5通用型安全钩：在开口闭合状态时，长轴的破断强度为≥40KN</w:t>
            </w:r>
          </w:p>
        </w:tc>
        <w:tc>
          <w:tcPr>
            <w:tcW w:w="3150"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仿宋"/>
                <w:i w:val="0"/>
                <w:iCs w:val="0"/>
                <w:color w:val="auto"/>
                <w:kern w:val="0"/>
                <w:sz w:val="24"/>
                <w:szCs w:val="24"/>
                <w:highlight w:val="none"/>
                <w:u w:val="none"/>
                <w:lang w:val="en-US" w:eastAsia="zh-CN" w:bidi="ar"/>
              </w:rPr>
              <w:t>通用型安全钩在开口闭合状态时的长轴破断强度</w:t>
            </w:r>
            <w:r>
              <w:rPr>
                <w:rFonts w:hint="eastAsia" w:ascii="仿宋" w:hAnsi="仿宋" w:eastAsia="仿宋" w:cs="仿宋"/>
                <w:color w:val="auto"/>
                <w:sz w:val="24"/>
                <w:szCs w:val="24"/>
                <w:highlight w:val="none"/>
              </w:rPr>
              <w:t>优于招标文件要求的，</w:t>
            </w:r>
            <w:r>
              <w:rPr>
                <w:rFonts w:hint="eastAsia" w:ascii="仿宋" w:hAnsi="仿宋" w:eastAsia="仿宋" w:cs="仿宋"/>
                <w:i w:val="0"/>
                <w:iCs w:val="0"/>
                <w:color w:val="auto"/>
                <w:kern w:val="0"/>
                <w:sz w:val="24"/>
                <w:szCs w:val="24"/>
                <w:highlight w:val="none"/>
                <w:u w:val="none"/>
                <w:lang w:val="en-US" w:eastAsia="zh-CN" w:bidi="ar"/>
              </w:rPr>
              <w:t>长轴破断强度</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i w:val="0"/>
                <w:iCs w:val="0"/>
                <w:color w:val="auto"/>
                <w:kern w:val="0"/>
                <w:sz w:val="24"/>
                <w:szCs w:val="24"/>
                <w:highlight w:val="none"/>
                <w:u w:val="none"/>
                <w:lang w:val="en-US" w:eastAsia="zh-CN" w:bidi="ar"/>
              </w:rPr>
              <w:t>长轴破断强度</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i w:val="0"/>
                <w:iCs w:val="0"/>
                <w:color w:val="auto"/>
                <w:kern w:val="0"/>
                <w:sz w:val="24"/>
                <w:szCs w:val="24"/>
                <w:highlight w:val="none"/>
                <w:u w:val="none"/>
                <w:lang w:val="en-US" w:eastAsia="zh-CN" w:bidi="ar"/>
              </w:rPr>
              <w:t>通用型安全钩在开口闭合状态时的长轴破断强度</w:t>
            </w:r>
            <w:r>
              <w:rPr>
                <w:rFonts w:hint="eastAsia" w:ascii="仿宋" w:hAnsi="仿宋" w:eastAsia="仿宋" w:cs="仿宋"/>
                <w:b/>
                <w:bCs/>
                <w:color w:val="auto"/>
                <w:sz w:val="24"/>
                <w:szCs w:val="24"/>
                <w:highlight w:val="none"/>
              </w:rPr>
              <w:t>最大，次优表示</w:t>
            </w:r>
            <w:r>
              <w:rPr>
                <w:rFonts w:hint="eastAsia" w:ascii="仿宋" w:hAnsi="仿宋" w:eastAsia="仿宋" w:cs="仿宋"/>
                <w:b/>
                <w:bCs/>
                <w:i w:val="0"/>
                <w:iCs w:val="0"/>
                <w:color w:val="auto"/>
                <w:kern w:val="0"/>
                <w:sz w:val="24"/>
                <w:szCs w:val="24"/>
                <w:highlight w:val="none"/>
                <w:u w:val="none"/>
                <w:lang w:val="en-US" w:eastAsia="zh-CN" w:bidi="ar"/>
              </w:rPr>
              <w:t>通用型安全钩在开口闭合状态时的长轴破断强度</w:t>
            </w:r>
            <w:r>
              <w:rPr>
                <w:rFonts w:hint="eastAsia" w:ascii="仿宋" w:hAnsi="仿宋" w:eastAsia="仿宋" w:cs="仿宋"/>
                <w:b/>
                <w:bCs/>
                <w:color w:val="auto"/>
                <w:sz w:val="24"/>
                <w:szCs w:val="24"/>
                <w:highlight w:val="none"/>
              </w:rPr>
              <w:t>仅次于最大值。</w:t>
            </w:r>
          </w:p>
        </w:tc>
        <w:tc>
          <w:tcPr>
            <w:tcW w:w="409"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80"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484" w:type="pct"/>
            <w:vMerge w:val="continue"/>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Times New Roman"/>
                <w:b w:val="0"/>
                <w:bCs w:val="0"/>
                <w:color w:val="auto"/>
                <w:sz w:val="24"/>
                <w:szCs w:val="24"/>
                <w:highlight w:val="none"/>
                <w:lang w:val="en-US" w:eastAsia="zh-CN"/>
              </w:rPr>
            </w:pPr>
          </w:p>
        </w:tc>
        <w:tc>
          <w:tcPr>
            <w:tcW w:w="675" w:type="pct"/>
            <w:tcBorders>
              <w:lef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▲3.9抓绳器：断裂负荷：≥11KN</w:t>
            </w:r>
          </w:p>
        </w:tc>
        <w:tc>
          <w:tcPr>
            <w:tcW w:w="3150"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仿宋"/>
                <w:i w:val="0"/>
                <w:iCs w:val="0"/>
                <w:color w:val="auto"/>
                <w:kern w:val="0"/>
                <w:sz w:val="24"/>
                <w:szCs w:val="24"/>
                <w:highlight w:val="none"/>
                <w:u w:val="none"/>
                <w:lang w:val="en-US" w:eastAsia="zh-CN" w:bidi="ar"/>
              </w:rPr>
              <w:t>抓绳器的断裂负荷</w:t>
            </w:r>
            <w:r>
              <w:rPr>
                <w:rFonts w:hint="eastAsia" w:ascii="仿宋" w:hAnsi="仿宋" w:eastAsia="仿宋" w:cs="仿宋"/>
                <w:color w:val="auto"/>
                <w:sz w:val="24"/>
                <w:szCs w:val="24"/>
                <w:highlight w:val="none"/>
              </w:rPr>
              <w:t>优于招标文件要求的，</w:t>
            </w:r>
            <w:r>
              <w:rPr>
                <w:rFonts w:hint="eastAsia" w:ascii="仿宋" w:hAnsi="仿宋" w:eastAsia="仿宋" w:cs="仿宋"/>
                <w:i w:val="0"/>
                <w:iCs w:val="0"/>
                <w:color w:val="auto"/>
                <w:kern w:val="0"/>
                <w:sz w:val="24"/>
                <w:szCs w:val="24"/>
                <w:highlight w:val="none"/>
                <w:u w:val="none"/>
                <w:lang w:val="en-US" w:eastAsia="zh-CN" w:bidi="ar"/>
              </w:rPr>
              <w:t>抓绳器的断裂负荷</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i w:val="0"/>
                <w:iCs w:val="0"/>
                <w:color w:val="auto"/>
                <w:kern w:val="0"/>
                <w:sz w:val="24"/>
                <w:szCs w:val="24"/>
                <w:highlight w:val="none"/>
                <w:u w:val="none"/>
                <w:lang w:val="en-US" w:eastAsia="zh-CN" w:bidi="ar"/>
              </w:rPr>
              <w:t>抓绳器的断裂负荷</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i w:val="0"/>
                <w:iCs w:val="0"/>
                <w:color w:val="auto"/>
                <w:kern w:val="0"/>
                <w:sz w:val="24"/>
                <w:szCs w:val="24"/>
                <w:highlight w:val="none"/>
                <w:u w:val="none"/>
                <w:lang w:val="en-US" w:eastAsia="zh-CN" w:bidi="ar"/>
              </w:rPr>
              <w:t>抓绳器的断裂负荷</w:t>
            </w:r>
            <w:r>
              <w:rPr>
                <w:rFonts w:hint="eastAsia" w:ascii="仿宋" w:hAnsi="仿宋" w:eastAsia="仿宋" w:cs="仿宋"/>
                <w:b/>
                <w:bCs/>
                <w:color w:val="auto"/>
                <w:sz w:val="24"/>
                <w:szCs w:val="24"/>
                <w:highlight w:val="none"/>
              </w:rPr>
              <w:t>最大，次优表示</w:t>
            </w:r>
            <w:r>
              <w:rPr>
                <w:rFonts w:hint="eastAsia" w:ascii="仿宋" w:hAnsi="仿宋" w:eastAsia="仿宋" w:cs="仿宋"/>
                <w:b/>
                <w:bCs/>
                <w:i w:val="0"/>
                <w:iCs w:val="0"/>
                <w:color w:val="auto"/>
                <w:kern w:val="0"/>
                <w:sz w:val="24"/>
                <w:szCs w:val="24"/>
                <w:highlight w:val="none"/>
                <w:u w:val="none"/>
                <w:lang w:val="en-US" w:eastAsia="zh-CN" w:bidi="ar"/>
              </w:rPr>
              <w:t>抓绳器的断裂负荷</w:t>
            </w:r>
            <w:r>
              <w:rPr>
                <w:rFonts w:hint="eastAsia" w:ascii="仿宋" w:hAnsi="仿宋" w:eastAsia="仿宋" w:cs="仿宋"/>
                <w:b/>
                <w:bCs/>
                <w:color w:val="auto"/>
                <w:sz w:val="24"/>
                <w:szCs w:val="24"/>
                <w:highlight w:val="none"/>
              </w:rPr>
              <w:t>仅次于最大值。</w:t>
            </w:r>
          </w:p>
        </w:tc>
        <w:tc>
          <w:tcPr>
            <w:tcW w:w="409"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80"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484" w:type="pc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lang w:val="en-US" w:eastAsia="zh-CN"/>
              </w:rPr>
              <w:t>消防通用安全绳</w:t>
            </w:r>
          </w:p>
        </w:tc>
        <w:tc>
          <w:tcPr>
            <w:tcW w:w="675" w:type="pct"/>
            <w:tcBorders>
              <w:lef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▲3.3最小破断强度：≥40kN</w:t>
            </w:r>
          </w:p>
        </w:tc>
        <w:tc>
          <w:tcPr>
            <w:tcW w:w="3150"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Times New Roman"/>
                <w:b w:val="0"/>
                <w:bCs w:val="0"/>
                <w:color w:val="auto"/>
                <w:sz w:val="24"/>
                <w:szCs w:val="24"/>
                <w:highlight w:val="none"/>
                <w:lang w:val="en-US" w:eastAsia="zh-CN"/>
              </w:rPr>
              <w:t>产品</w:t>
            </w:r>
            <w:r>
              <w:rPr>
                <w:rFonts w:hint="eastAsia" w:ascii="仿宋" w:hAnsi="仿宋" w:eastAsia="仿宋" w:cs="仿宋"/>
                <w:b w:val="0"/>
                <w:bCs w:val="0"/>
                <w:color w:val="auto"/>
                <w:sz w:val="24"/>
                <w:szCs w:val="24"/>
                <w:highlight w:val="none"/>
                <w:lang w:val="en-US" w:eastAsia="zh-CN"/>
              </w:rPr>
              <w:t>的</w:t>
            </w:r>
            <w:r>
              <w:rPr>
                <w:rFonts w:hint="eastAsia" w:ascii="仿宋" w:hAnsi="仿宋" w:eastAsia="仿宋" w:cs="仿宋"/>
                <w:b w:val="0"/>
                <w:bCs w:val="0"/>
                <w:i w:val="0"/>
                <w:iCs w:val="0"/>
                <w:color w:val="auto"/>
                <w:kern w:val="0"/>
                <w:sz w:val="24"/>
                <w:szCs w:val="24"/>
                <w:highlight w:val="none"/>
                <w:u w:val="none"/>
                <w:lang w:val="en-US" w:eastAsia="zh-CN" w:bidi="ar"/>
              </w:rPr>
              <w:t>最小破断强度</w:t>
            </w:r>
            <w:r>
              <w:rPr>
                <w:rFonts w:hint="eastAsia" w:ascii="仿宋" w:hAnsi="仿宋" w:eastAsia="仿宋" w:cs="仿宋"/>
                <w:b w:val="0"/>
                <w:bCs w:val="0"/>
                <w:color w:val="auto"/>
                <w:sz w:val="24"/>
                <w:szCs w:val="24"/>
                <w:highlight w:val="none"/>
              </w:rPr>
              <w:t>优于招标文件要求的，</w:t>
            </w:r>
            <w:r>
              <w:rPr>
                <w:rFonts w:hint="eastAsia" w:ascii="仿宋" w:hAnsi="仿宋" w:eastAsia="仿宋" w:cs="仿宋"/>
                <w:b w:val="0"/>
                <w:bCs w:val="0"/>
                <w:i w:val="0"/>
                <w:iCs w:val="0"/>
                <w:color w:val="auto"/>
                <w:kern w:val="0"/>
                <w:sz w:val="24"/>
                <w:szCs w:val="24"/>
                <w:highlight w:val="none"/>
                <w:u w:val="none"/>
                <w:lang w:val="en-US" w:eastAsia="zh-CN" w:bidi="ar"/>
              </w:rPr>
              <w:t>最小破断强度</w:t>
            </w:r>
            <w:r>
              <w:rPr>
                <w:rFonts w:hint="eastAsia" w:ascii="仿宋" w:hAnsi="仿宋" w:eastAsia="仿宋" w:cs="仿宋"/>
                <w:b w:val="0"/>
                <w:bCs w:val="0"/>
                <w:color w:val="auto"/>
                <w:sz w:val="24"/>
                <w:szCs w:val="24"/>
                <w:highlight w:val="none"/>
              </w:rPr>
              <w:t>最优</w:t>
            </w:r>
            <w:r>
              <w:rPr>
                <w:rFonts w:hint="eastAsia" w:ascii="仿宋" w:hAnsi="仿宋" w:eastAsia="仿宋" w:cs="仿宋"/>
                <w:color w:val="auto"/>
                <w:sz w:val="24"/>
                <w:szCs w:val="24"/>
                <w:highlight w:val="none"/>
              </w:rPr>
              <w:t>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i w:val="0"/>
                <w:iCs w:val="0"/>
                <w:color w:val="auto"/>
                <w:kern w:val="0"/>
                <w:sz w:val="24"/>
                <w:szCs w:val="24"/>
                <w:highlight w:val="none"/>
                <w:u w:val="none"/>
                <w:lang w:val="en-US" w:eastAsia="zh-CN" w:bidi="ar"/>
              </w:rPr>
              <w:t>最小破断强度</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i w:val="0"/>
                <w:iCs w:val="0"/>
                <w:color w:val="auto"/>
                <w:kern w:val="0"/>
                <w:sz w:val="24"/>
                <w:szCs w:val="24"/>
                <w:highlight w:val="none"/>
                <w:u w:val="none"/>
                <w:lang w:val="en-US" w:eastAsia="zh-CN" w:bidi="ar"/>
              </w:rPr>
              <w:t>最小破断强度</w:t>
            </w:r>
            <w:r>
              <w:rPr>
                <w:rFonts w:hint="eastAsia" w:ascii="仿宋" w:hAnsi="仿宋" w:eastAsia="仿宋" w:cs="仿宋"/>
                <w:b/>
                <w:bCs/>
                <w:color w:val="auto"/>
                <w:sz w:val="24"/>
                <w:szCs w:val="24"/>
                <w:highlight w:val="none"/>
              </w:rPr>
              <w:t>最大，次优表示</w:t>
            </w:r>
            <w:r>
              <w:rPr>
                <w:rFonts w:hint="eastAsia" w:ascii="仿宋" w:hAnsi="仿宋" w:eastAsia="仿宋" w:cs="仿宋"/>
                <w:b/>
                <w:bCs/>
                <w:i w:val="0"/>
                <w:iCs w:val="0"/>
                <w:color w:val="auto"/>
                <w:kern w:val="0"/>
                <w:sz w:val="24"/>
                <w:szCs w:val="24"/>
                <w:highlight w:val="none"/>
                <w:u w:val="none"/>
                <w:lang w:val="en-US" w:eastAsia="zh-CN" w:bidi="ar"/>
              </w:rPr>
              <w:t>最小破断强度</w:t>
            </w:r>
            <w:r>
              <w:rPr>
                <w:rFonts w:hint="eastAsia" w:ascii="仿宋" w:hAnsi="仿宋" w:eastAsia="仿宋" w:cs="仿宋"/>
                <w:b/>
                <w:bCs/>
                <w:color w:val="auto"/>
                <w:sz w:val="24"/>
                <w:szCs w:val="24"/>
                <w:highlight w:val="none"/>
              </w:rPr>
              <w:t>仅次于最大值。</w:t>
            </w:r>
          </w:p>
        </w:tc>
        <w:tc>
          <w:tcPr>
            <w:tcW w:w="409"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80"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484" w:type="pct"/>
            <w:vMerge w:val="restar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lang w:val="en-US" w:eastAsia="zh-CN"/>
              </w:rPr>
              <w:t>水面漂浮救生绳（200米）</w:t>
            </w:r>
          </w:p>
        </w:tc>
        <w:tc>
          <w:tcPr>
            <w:tcW w:w="675" w:type="pct"/>
            <w:tcBorders>
              <w:lef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▲3.4最小破断强度：≥40kN</w:t>
            </w:r>
          </w:p>
        </w:tc>
        <w:tc>
          <w:tcPr>
            <w:tcW w:w="3150"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Times New Roman"/>
                <w:b w:val="0"/>
                <w:bCs w:val="0"/>
                <w:color w:val="auto"/>
                <w:sz w:val="24"/>
                <w:szCs w:val="24"/>
                <w:highlight w:val="none"/>
                <w:lang w:val="en-US" w:eastAsia="zh-CN"/>
              </w:rPr>
              <w:t>产品</w:t>
            </w:r>
            <w:r>
              <w:rPr>
                <w:rFonts w:hint="eastAsia" w:ascii="仿宋" w:hAnsi="仿宋" w:eastAsia="仿宋" w:cs="仿宋"/>
                <w:color w:val="auto"/>
                <w:sz w:val="24"/>
                <w:szCs w:val="24"/>
                <w:highlight w:val="none"/>
                <w:lang w:val="en-US" w:eastAsia="zh-CN"/>
              </w:rPr>
              <w:t>的最小破断强度</w:t>
            </w:r>
            <w:r>
              <w:rPr>
                <w:rFonts w:hint="eastAsia" w:ascii="仿宋" w:hAnsi="仿宋" w:eastAsia="仿宋" w:cs="仿宋"/>
                <w:color w:val="auto"/>
                <w:sz w:val="24"/>
                <w:szCs w:val="24"/>
                <w:highlight w:val="none"/>
              </w:rPr>
              <w:t>优于招标文件要求的，最小破断强度最优的加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分，最小破断强度次优的加2分，其余加1分。（可并列得分）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b/>
                <w:bCs/>
                <w:color w:val="auto"/>
                <w:sz w:val="24"/>
                <w:szCs w:val="24"/>
                <w:highlight w:val="none"/>
              </w:rPr>
              <w:t>注：最优表示最小破断强度最大，次优表示最小破断强度仅次于最大值。</w:t>
            </w:r>
          </w:p>
        </w:tc>
        <w:tc>
          <w:tcPr>
            <w:tcW w:w="409"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80"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484" w:type="pct"/>
            <w:vMerge w:val="continue"/>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Times New Roman"/>
                <w:b/>
                <w:bCs/>
                <w:color w:val="auto"/>
                <w:sz w:val="24"/>
                <w:szCs w:val="24"/>
                <w:highlight w:val="none"/>
                <w:lang w:val="en-US" w:eastAsia="zh-CN"/>
              </w:rPr>
            </w:pPr>
          </w:p>
        </w:tc>
        <w:tc>
          <w:tcPr>
            <w:tcW w:w="675" w:type="pct"/>
            <w:tcBorders>
              <w:lef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▲3.6承重达到最小破断强度的10%时救生绳延伸率≤3%</w:t>
            </w:r>
          </w:p>
        </w:tc>
        <w:tc>
          <w:tcPr>
            <w:tcW w:w="3150"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Times New Roman"/>
                <w:b w:val="0"/>
                <w:bCs w:val="0"/>
                <w:color w:val="auto"/>
                <w:sz w:val="24"/>
                <w:szCs w:val="24"/>
                <w:highlight w:val="none"/>
                <w:lang w:val="en-US" w:eastAsia="zh-CN"/>
              </w:rPr>
              <w:t>产品</w:t>
            </w:r>
            <w:r>
              <w:rPr>
                <w:rFonts w:hint="eastAsia" w:ascii="仿宋" w:hAnsi="仿宋" w:eastAsia="仿宋" w:cs="仿宋"/>
                <w:color w:val="auto"/>
                <w:sz w:val="24"/>
                <w:szCs w:val="24"/>
                <w:highlight w:val="none"/>
                <w:lang w:val="en-US" w:eastAsia="zh-CN"/>
              </w:rPr>
              <w:t>的</w:t>
            </w:r>
            <w:r>
              <w:rPr>
                <w:rFonts w:hint="eastAsia" w:ascii="仿宋" w:hAnsi="仿宋" w:eastAsia="仿宋" w:cs="仿宋"/>
                <w:i w:val="0"/>
                <w:iCs w:val="0"/>
                <w:color w:val="auto"/>
                <w:kern w:val="0"/>
                <w:sz w:val="24"/>
                <w:szCs w:val="24"/>
                <w:highlight w:val="none"/>
                <w:u w:val="none"/>
                <w:lang w:val="en-US" w:eastAsia="zh-CN" w:bidi="ar"/>
              </w:rPr>
              <w:t>承重达到最小破断强度的10%时救生绳延伸率</w:t>
            </w:r>
            <w:r>
              <w:rPr>
                <w:rFonts w:hint="eastAsia" w:ascii="仿宋" w:hAnsi="仿宋" w:eastAsia="仿宋" w:cs="仿宋"/>
                <w:color w:val="auto"/>
                <w:sz w:val="24"/>
                <w:szCs w:val="24"/>
                <w:highlight w:val="none"/>
              </w:rPr>
              <w:t>优于招标文件要求的，</w:t>
            </w:r>
            <w:r>
              <w:rPr>
                <w:rFonts w:hint="eastAsia" w:ascii="仿宋" w:hAnsi="仿宋" w:eastAsia="仿宋" w:cs="仿宋"/>
                <w:i w:val="0"/>
                <w:iCs w:val="0"/>
                <w:color w:val="auto"/>
                <w:kern w:val="0"/>
                <w:sz w:val="24"/>
                <w:szCs w:val="24"/>
                <w:highlight w:val="none"/>
                <w:u w:val="none"/>
                <w:lang w:val="en-US" w:eastAsia="zh-CN" w:bidi="ar"/>
              </w:rPr>
              <w:t>承重达到最小破断强度的10%时救生绳延伸率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i w:val="0"/>
                <w:iCs w:val="0"/>
                <w:color w:val="auto"/>
                <w:kern w:val="0"/>
                <w:sz w:val="24"/>
                <w:szCs w:val="24"/>
                <w:highlight w:val="none"/>
                <w:u w:val="none"/>
                <w:lang w:val="en-US" w:eastAsia="zh-CN" w:bidi="ar"/>
              </w:rPr>
              <w:t>承重达到最小破断强度的10%时救生绳延伸率</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i w:val="0"/>
                <w:iCs w:val="0"/>
                <w:color w:val="auto"/>
                <w:kern w:val="0"/>
                <w:sz w:val="24"/>
                <w:szCs w:val="24"/>
                <w:highlight w:val="none"/>
                <w:u w:val="none"/>
                <w:lang w:val="en-US" w:eastAsia="zh-CN" w:bidi="ar"/>
              </w:rPr>
              <w:t>承重达到最小破断强度的10%时救生绳延伸率</w:t>
            </w:r>
            <w:r>
              <w:rPr>
                <w:rFonts w:hint="eastAsia" w:ascii="仿宋" w:hAnsi="仿宋" w:eastAsia="仿宋" w:cs="仿宋"/>
                <w:b/>
                <w:bCs/>
                <w:color w:val="auto"/>
                <w:sz w:val="24"/>
                <w:szCs w:val="24"/>
                <w:highlight w:val="none"/>
              </w:rPr>
              <w:t>最</w:t>
            </w:r>
            <w:r>
              <w:rPr>
                <w:rFonts w:hint="eastAsia" w:ascii="仿宋" w:hAnsi="仿宋" w:eastAsia="仿宋" w:cs="仿宋"/>
                <w:b/>
                <w:bCs/>
                <w:color w:val="auto"/>
                <w:sz w:val="24"/>
                <w:szCs w:val="24"/>
                <w:highlight w:val="none"/>
                <w:lang w:val="en-US" w:eastAsia="zh-CN"/>
              </w:rPr>
              <w:t>小</w:t>
            </w:r>
            <w:r>
              <w:rPr>
                <w:rFonts w:hint="eastAsia" w:ascii="仿宋" w:hAnsi="仿宋" w:eastAsia="仿宋" w:cs="仿宋"/>
                <w:b/>
                <w:bCs/>
                <w:color w:val="auto"/>
                <w:sz w:val="24"/>
                <w:szCs w:val="24"/>
                <w:highlight w:val="none"/>
              </w:rPr>
              <w:t>，次优表示</w:t>
            </w:r>
            <w:r>
              <w:rPr>
                <w:rFonts w:hint="eastAsia" w:ascii="仿宋" w:hAnsi="仿宋" w:eastAsia="仿宋" w:cs="仿宋"/>
                <w:b/>
                <w:bCs/>
                <w:i w:val="0"/>
                <w:iCs w:val="0"/>
                <w:color w:val="auto"/>
                <w:kern w:val="0"/>
                <w:sz w:val="24"/>
                <w:szCs w:val="24"/>
                <w:highlight w:val="none"/>
                <w:u w:val="none"/>
                <w:lang w:val="en-US" w:eastAsia="zh-CN" w:bidi="ar"/>
              </w:rPr>
              <w:t>承重达到最小破断强度的10%时救生绳延伸率</w:t>
            </w:r>
            <w:r>
              <w:rPr>
                <w:rFonts w:hint="eastAsia" w:ascii="仿宋" w:hAnsi="仿宋" w:eastAsia="仿宋" w:cs="仿宋"/>
                <w:b/>
                <w:bCs/>
                <w:color w:val="auto"/>
                <w:sz w:val="24"/>
                <w:szCs w:val="24"/>
                <w:highlight w:val="none"/>
              </w:rPr>
              <w:t>仅</w:t>
            </w:r>
            <w:r>
              <w:rPr>
                <w:rFonts w:hint="eastAsia" w:ascii="仿宋" w:hAnsi="仿宋" w:eastAsia="仿宋" w:cs="仿宋"/>
                <w:b/>
                <w:bCs/>
                <w:color w:val="auto"/>
                <w:sz w:val="24"/>
                <w:szCs w:val="24"/>
                <w:highlight w:val="none"/>
                <w:lang w:val="en-US" w:eastAsia="zh-CN"/>
              </w:rPr>
              <w:t>次</w:t>
            </w:r>
            <w:r>
              <w:rPr>
                <w:rFonts w:hint="eastAsia" w:ascii="仿宋" w:hAnsi="仿宋" w:eastAsia="仿宋" w:cs="仿宋"/>
                <w:b/>
                <w:bCs/>
                <w:color w:val="auto"/>
                <w:sz w:val="24"/>
                <w:szCs w:val="24"/>
                <w:highlight w:val="none"/>
              </w:rPr>
              <w:t>于最</w:t>
            </w:r>
            <w:r>
              <w:rPr>
                <w:rFonts w:hint="eastAsia" w:ascii="仿宋" w:hAnsi="仿宋" w:eastAsia="仿宋" w:cs="仿宋"/>
                <w:b/>
                <w:bCs/>
                <w:color w:val="auto"/>
                <w:sz w:val="24"/>
                <w:szCs w:val="24"/>
                <w:highlight w:val="none"/>
                <w:lang w:val="en-US" w:eastAsia="zh-CN"/>
              </w:rPr>
              <w:t>小</w:t>
            </w:r>
            <w:r>
              <w:rPr>
                <w:rFonts w:hint="eastAsia" w:ascii="仿宋" w:hAnsi="仿宋" w:eastAsia="仿宋" w:cs="仿宋"/>
                <w:b/>
                <w:bCs/>
                <w:color w:val="auto"/>
                <w:sz w:val="24"/>
                <w:szCs w:val="24"/>
                <w:highlight w:val="none"/>
              </w:rPr>
              <w:t>值。</w:t>
            </w:r>
          </w:p>
        </w:tc>
        <w:tc>
          <w:tcPr>
            <w:tcW w:w="409"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80"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159"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一般参数</w:t>
            </w:r>
          </w:p>
        </w:tc>
        <w:tc>
          <w:tcPr>
            <w:tcW w:w="3150"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在完全满足招标文件“</w:t>
            </w:r>
            <w:r>
              <w:rPr>
                <w:rFonts w:hint="eastAsia" w:ascii="仿宋" w:hAnsi="仿宋" w:eastAsia="仿宋" w:cs="仿宋"/>
                <w:color w:val="auto"/>
                <w:sz w:val="24"/>
                <w:highlight w:val="none"/>
                <w:lang w:eastAsia="zh-CN"/>
              </w:rPr>
              <w:t>所有参数</w:t>
            </w:r>
            <w:r>
              <w:rPr>
                <w:rFonts w:hint="eastAsia" w:ascii="仿宋" w:hAnsi="仿宋" w:eastAsia="仿宋" w:cs="仿宋"/>
                <w:color w:val="auto"/>
                <w:sz w:val="24"/>
                <w:highlight w:val="none"/>
              </w:rPr>
              <w:t>”要求的基础上，每有一条“一般参数”优于的加1分，本项最多加</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分。（加分只针对具有“≥”或“≤”的数值，数值更加优于的进行加分；文字内容或其他内容优于的不加分）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注：“一般参数”为非标“★”号参数和非标“▲”号参数。</w:t>
            </w:r>
          </w:p>
        </w:tc>
        <w:tc>
          <w:tcPr>
            <w:tcW w:w="409"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280" w:type="pct"/>
            <w:vMerge w:val="continue"/>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719" w:type="pct"/>
            <w:gridSpan w:val="4"/>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评审依据：提供技术条款响应表和技术支撑文件</w:t>
            </w:r>
            <w:r>
              <w:rPr>
                <w:rFonts w:hint="eastAsia" w:ascii="仿宋" w:hAnsi="仿宋" w:eastAsia="仿宋" w:cs="仿宋"/>
                <w:b/>
                <w:bCs/>
                <w:color w:val="auto"/>
                <w:sz w:val="24"/>
                <w:highlight w:val="none"/>
                <w:lang w:eastAsia="zh-CN"/>
              </w:rPr>
              <w:t>。</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hint="eastAsia"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hint="eastAsia"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hint="eastAsia"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③制造商出具的技术参数证明材料并加盖制造商公章。]</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注：①供应商应认真提供技术支撑文件，若提供多份技术支撑文件，技术支撑文件佐证不一致时，优先级为：产品检测报告复印件＞制造商公开发布的印刷资料＞制造商出具的技术参数证明</w:t>
            </w:r>
            <w:r>
              <w:rPr>
                <w:rFonts w:hint="eastAsia" w:ascii="仿宋" w:hAnsi="仿宋" w:eastAsia="仿宋" w:cs="仿宋"/>
                <w:b/>
                <w:bCs/>
                <w:color w:val="auto"/>
                <w:sz w:val="24"/>
                <w:highlight w:val="none"/>
                <w:lang w:val="en-US" w:eastAsia="zh-CN"/>
              </w:rPr>
              <w:t>材料</w:t>
            </w:r>
            <w:r>
              <w:rPr>
                <w:rFonts w:hint="eastAsia" w:ascii="仿宋" w:hAnsi="仿宋" w:eastAsia="仿宋" w:cs="仿宋"/>
                <w:b/>
                <w:bCs/>
                <w:color w:val="auto"/>
                <w:sz w:val="24"/>
                <w:highlight w:val="none"/>
              </w:rPr>
              <w:t>；②技术支撑文件</w:t>
            </w:r>
            <w:r>
              <w:rPr>
                <w:rFonts w:hint="eastAsia" w:ascii="仿宋" w:hAnsi="仿宋" w:eastAsia="仿宋" w:cs="仿宋"/>
                <w:b/>
                <w:bCs/>
                <w:color w:val="auto"/>
                <w:sz w:val="24"/>
                <w:highlight w:val="none"/>
                <w:lang w:val="en-US" w:eastAsia="zh-CN"/>
              </w:rPr>
              <w:t>与</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不一致，则</w:t>
            </w:r>
            <w:r>
              <w:rPr>
                <w:rFonts w:hint="eastAsia" w:ascii="仿宋" w:hAnsi="仿宋" w:eastAsia="仿宋" w:cs="仿宋"/>
                <w:b/>
                <w:bCs/>
                <w:color w:val="auto"/>
                <w:sz w:val="24"/>
                <w:highlight w:val="none"/>
              </w:rPr>
              <w:t>该点不加分</w:t>
            </w:r>
            <w:r>
              <w:rPr>
                <w:rFonts w:hint="eastAsia" w:ascii="仿宋" w:hAnsi="仿宋" w:eastAsia="仿宋" w:cs="仿宋"/>
                <w:b/>
                <w:bCs/>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80"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159"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整体结构与外观</w:t>
            </w:r>
          </w:p>
        </w:tc>
        <w:tc>
          <w:tcPr>
            <w:tcW w:w="3150"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w:t>
            </w:r>
            <w:r>
              <w:rPr>
                <w:rFonts w:hint="eastAsia" w:ascii="仿宋" w:hAnsi="仿宋" w:eastAsia="仿宋" w:cs="仿宋"/>
                <w:color w:val="auto"/>
                <w:sz w:val="24"/>
                <w:highlight w:val="none"/>
                <w:lang w:val="en-US" w:eastAsia="zh-CN"/>
              </w:rPr>
              <w:t>核心</w:t>
            </w:r>
            <w:r>
              <w:rPr>
                <w:rFonts w:hint="eastAsia" w:ascii="仿宋" w:hAnsi="仿宋" w:eastAsia="仿宋" w:cs="仿宋"/>
                <w:color w:val="auto"/>
                <w:sz w:val="24"/>
                <w:highlight w:val="none"/>
              </w:rPr>
              <w:t>产品的外观构造、内部结构、设计理念等进行评审。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设计理念先进，外部构造和内部结构科学合理，整体结构外观与实战紧贴程度高的，得3分；设计理念较为先进，外部构造和内部结构较为合理，整体结构外观与实战紧贴程度较高的，得2分；设计理念一般，外观构造和内部结构基本合理，整体结构外观与实战紧贴程度不高的，得1分；未提供证明材料或证明材料有缺项的不得分。</w:t>
            </w:r>
          </w:p>
        </w:tc>
        <w:tc>
          <w:tcPr>
            <w:tcW w:w="409"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80"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159"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工艺</w:t>
            </w:r>
          </w:p>
        </w:tc>
        <w:tc>
          <w:tcPr>
            <w:tcW w:w="3150"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w:t>
            </w:r>
            <w:r>
              <w:rPr>
                <w:rFonts w:hint="eastAsia" w:ascii="仿宋" w:hAnsi="仿宋" w:eastAsia="仿宋" w:cs="仿宋"/>
                <w:color w:val="auto"/>
                <w:sz w:val="24"/>
                <w:highlight w:val="none"/>
                <w:lang w:val="en-US" w:eastAsia="zh-CN"/>
              </w:rPr>
              <w:t>核心</w:t>
            </w:r>
            <w:r>
              <w:rPr>
                <w:rFonts w:hint="eastAsia" w:ascii="仿宋" w:hAnsi="仿宋" w:eastAsia="仿宋" w:cs="仿宋"/>
                <w:color w:val="auto"/>
                <w:sz w:val="24"/>
                <w:highlight w:val="none"/>
              </w:rPr>
              <w:t>产品的安全性、耐用性、实用性等进行评审。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性能高、耐用性能好、实用性能强，工艺符合实战需求程度高的，得3分；安全性能较高、耐用性能良好、实用性能较强，工艺符合实战需求程度较高的，得2分；安全性能不高、耐用性能普通、实用性能一般，工艺符合实战需求程度不高的，得1分；未提供证明材料或证明材料有缺项的不得分。</w:t>
            </w:r>
          </w:p>
        </w:tc>
        <w:tc>
          <w:tcPr>
            <w:tcW w:w="409"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80"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159"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操作使用性能</w:t>
            </w:r>
          </w:p>
        </w:tc>
        <w:tc>
          <w:tcPr>
            <w:tcW w:w="3150"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w:t>
            </w:r>
            <w:r>
              <w:rPr>
                <w:rFonts w:hint="eastAsia" w:ascii="仿宋" w:hAnsi="仿宋" w:eastAsia="仿宋" w:cs="仿宋"/>
                <w:color w:val="auto"/>
                <w:sz w:val="24"/>
                <w:highlight w:val="none"/>
                <w:lang w:val="en-US" w:eastAsia="zh-CN"/>
              </w:rPr>
              <w:t>核心</w:t>
            </w:r>
            <w:r>
              <w:rPr>
                <w:rFonts w:hint="eastAsia" w:ascii="仿宋" w:hAnsi="仿宋" w:eastAsia="仿宋" w:cs="仿宋"/>
                <w:color w:val="auto"/>
                <w:sz w:val="24"/>
                <w:highlight w:val="none"/>
              </w:rPr>
              <w:t>产品的可靠性、便捷性、稳定性等进行评审。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可靠性高、便捷性好、稳定性好，操作使用性能提升战斗力程度高的，得4分；可靠性较高、便捷性较好、稳定性良好，操作使用性能提升战斗力程度较高的，得2分；可靠性不高、便捷性和稳定性一般，操作使用性能提升战斗力程度不高的，得1分；未提供证明材料或证明材料有缺项的不得分。</w:t>
            </w:r>
          </w:p>
        </w:tc>
        <w:tc>
          <w:tcPr>
            <w:tcW w:w="409"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80" w:type="pct"/>
            <w:vMerge w:val="continue"/>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719" w:type="pct"/>
            <w:gridSpan w:val="4"/>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lang w:eastAsia="zh-CN"/>
              </w:rPr>
            </w:pPr>
            <w:r>
              <w:rPr>
                <w:rFonts w:hint="eastAsia" w:ascii="仿宋" w:hAnsi="仿宋" w:eastAsia="仿宋" w:cs="仿宋"/>
                <w:b/>
                <w:bCs/>
                <w:color w:val="auto"/>
                <w:sz w:val="24"/>
                <w:highlight w:val="none"/>
              </w:rPr>
              <w:t>以上评审依据：根据视频文件对产品的整体结构与外观、工艺、操作使用性能进行综合评审，视频文件需对以上三点评审内容进行介绍（包含但不限于以上三点）。视频文件[视频文件格式须为通用格式，佐证视频时长不得超过5分钟，视频清晰度应至少保证所摄的界面文字清晰易辨、画面完整连贯、播放速度正常]应存储于U盘内（单独密封在信封中）与投标文件同时递交，逾期递交不予接收，</w:t>
            </w:r>
            <w:r>
              <w:rPr>
                <w:rFonts w:hint="eastAsia" w:ascii="仿宋" w:hAnsi="仿宋" w:eastAsia="仿宋" w:cs="仿宋"/>
                <w:b/>
                <w:bCs/>
                <w:color w:val="auto"/>
                <w:sz w:val="24"/>
                <w:highlight w:val="none"/>
                <w:lang w:eastAsia="zh-CN"/>
              </w:rPr>
              <w:t>U盘由采购代理机构封存，不予退回。未提供视频或视频无法打开的，得0分。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三、商务部分（1</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2"/>
        <w:gridCol w:w="1650"/>
        <w:gridCol w:w="5957"/>
        <w:gridCol w:w="9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序号</w:t>
            </w:r>
          </w:p>
        </w:tc>
        <w:tc>
          <w:tcPr>
            <w:tcW w:w="88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评审因素</w:t>
            </w:r>
          </w:p>
        </w:tc>
        <w:tc>
          <w:tcPr>
            <w:tcW w:w="32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评分标准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1</w:t>
            </w:r>
          </w:p>
        </w:tc>
        <w:tc>
          <w:tcPr>
            <w:tcW w:w="888" w:type="pct"/>
            <w:vAlign w:val="center"/>
          </w:tcPr>
          <w:p>
            <w:pPr>
              <w:pageBreakBefore w:val="0"/>
              <w:kinsoku/>
              <w:wordWrap/>
              <w:overflowPunct/>
              <w:topLinePunct w:val="0"/>
              <w:autoSpaceDE/>
              <w:autoSpaceDN/>
              <w:bidi w:val="0"/>
              <w:adjustRightInd/>
              <w:snapToGrid/>
              <w:spacing w:line="460" w:lineRule="exact"/>
              <w:jc w:val="center"/>
              <w:rPr>
                <w:rFonts w:eastAsia="仿宋"/>
                <w:bCs/>
                <w:color w:val="auto"/>
                <w:sz w:val="24"/>
                <w:szCs w:val="22"/>
                <w:highlight w:val="none"/>
              </w:rPr>
            </w:pPr>
            <w:r>
              <w:rPr>
                <w:rFonts w:hint="eastAsia" w:ascii="仿宋" w:hAnsi="仿宋" w:eastAsia="仿宋" w:cs="仿宋"/>
                <w:color w:val="auto"/>
                <w:sz w:val="24"/>
                <w:highlight w:val="none"/>
              </w:rPr>
              <w:t>符合性评审</w:t>
            </w:r>
          </w:p>
        </w:tc>
        <w:tc>
          <w:tcPr>
            <w:tcW w:w="3705" w:type="pct"/>
            <w:gridSpan w:val="2"/>
            <w:vAlign w:val="center"/>
          </w:tcPr>
          <w:p>
            <w:pPr>
              <w:pageBreakBefore w:val="0"/>
              <w:kinsoku/>
              <w:wordWrap/>
              <w:overflowPunct/>
              <w:topLinePunct w:val="0"/>
              <w:autoSpaceDE/>
              <w:autoSpaceDN/>
              <w:bidi w:val="0"/>
              <w:adjustRightInd/>
              <w:snapToGrid/>
              <w:spacing w:line="460" w:lineRule="exact"/>
              <w:rPr>
                <w:rFonts w:eastAsia="仿宋" w:cs="Times New Roman"/>
                <w:color w:val="auto"/>
                <w:sz w:val="24"/>
                <w:szCs w:val="22"/>
                <w:highlight w:val="none"/>
              </w:rPr>
            </w:pPr>
            <w:r>
              <w:rPr>
                <w:rFonts w:hint="eastAsia" w:eastAsia="仿宋" w:cs="Times New Roman"/>
                <w:color w:val="auto"/>
                <w:sz w:val="24"/>
                <w:szCs w:val="22"/>
                <w:highlight w:val="none"/>
              </w:rPr>
              <w:t>投标人必须完全满足招标文件“商务要求”</w:t>
            </w:r>
            <w:r>
              <w:rPr>
                <w:rFonts w:hint="eastAsia" w:eastAsia="仿宋" w:cs="Times New Roman"/>
                <w:color w:val="auto"/>
                <w:sz w:val="24"/>
                <w:szCs w:val="22"/>
                <w:highlight w:val="none"/>
                <w:lang w:val="en-US" w:eastAsia="zh-CN"/>
              </w:rPr>
              <w:t>所有</w:t>
            </w:r>
            <w:r>
              <w:rPr>
                <w:rFonts w:hint="eastAsia" w:eastAsia="仿宋" w:cs="Times New Roman"/>
                <w:color w:val="auto"/>
                <w:sz w:val="24"/>
                <w:szCs w:val="22"/>
                <w:highlight w:val="none"/>
              </w:rPr>
              <w:t>实质性条款，任意一项不满足作无效投标处理。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eastAsia="仿宋" w:cs="Times New Roman"/>
                <w:b/>
                <w:bCs/>
                <w:color w:val="auto"/>
                <w:sz w:val="24"/>
                <w:szCs w:val="22"/>
                <w:highlight w:val="none"/>
              </w:rPr>
              <w:t>评审依据：投标文件中提供的商务条款响应表。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2</w:t>
            </w:r>
          </w:p>
        </w:tc>
        <w:tc>
          <w:tcPr>
            <w:tcW w:w="888" w:type="pct"/>
            <w:vAlign w:val="center"/>
          </w:tcPr>
          <w:p>
            <w:pPr>
              <w:pageBreakBefore w:val="0"/>
              <w:kinsoku/>
              <w:wordWrap/>
              <w:overflowPunct/>
              <w:topLinePunct w:val="0"/>
              <w:autoSpaceDE/>
              <w:autoSpaceDN/>
              <w:bidi w:val="0"/>
              <w:adjustRightInd/>
              <w:snapToGrid/>
              <w:spacing w:line="460" w:lineRule="exact"/>
              <w:jc w:val="center"/>
              <w:rPr>
                <w:rFonts w:hint="eastAsia" w:eastAsia="仿宋"/>
                <w:color w:val="auto"/>
                <w:sz w:val="24"/>
                <w:szCs w:val="22"/>
                <w:highlight w:val="none"/>
                <w:lang w:eastAsia="zh-CN"/>
              </w:rPr>
            </w:pPr>
            <w:r>
              <w:rPr>
                <w:rFonts w:hint="eastAsia" w:eastAsia="仿宋"/>
                <w:color w:val="auto"/>
                <w:sz w:val="24"/>
                <w:szCs w:val="22"/>
                <w:highlight w:val="none"/>
                <w:lang w:eastAsia="zh-CN"/>
              </w:rPr>
              <w:t>生产制造履约能力</w:t>
            </w:r>
          </w:p>
        </w:tc>
        <w:tc>
          <w:tcPr>
            <w:tcW w:w="3207" w:type="pct"/>
            <w:vAlign w:val="center"/>
          </w:tcPr>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val="en-US" w:eastAsia="zh-CN"/>
              </w:rPr>
              <w:t>投标人提供所投</w:t>
            </w:r>
            <w:r>
              <w:rPr>
                <w:rFonts w:hint="eastAsia" w:ascii="仿宋" w:hAnsi="仿宋" w:eastAsia="仿宋" w:cs="仿宋"/>
                <w:color w:val="auto"/>
                <w:sz w:val="24"/>
                <w:highlight w:val="none"/>
                <w:lang w:val="en-US" w:eastAsia="zh-CN"/>
              </w:rPr>
              <w:t>核心</w:t>
            </w:r>
            <w:r>
              <w:rPr>
                <w:rFonts w:hint="eastAsia" w:eastAsia="仿宋" w:cs="Times New Roman"/>
                <w:color w:val="auto"/>
                <w:sz w:val="24"/>
                <w:szCs w:val="22"/>
                <w:highlight w:val="none"/>
                <w:lang w:val="en-US" w:eastAsia="zh-CN"/>
              </w:rPr>
              <w:t>产品制造商的证明材料（应加盖制造商公章）</w:t>
            </w:r>
            <w:r>
              <w:rPr>
                <w:rFonts w:hint="eastAsia" w:eastAsia="仿宋" w:cs="Times New Roman"/>
                <w:color w:val="auto"/>
                <w:sz w:val="24"/>
                <w:szCs w:val="22"/>
                <w:highlight w:val="none"/>
              </w:rPr>
              <w:t>对</w:t>
            </w:r>
            <w:r>
              <w:rPr>
                <w:rFonts w:hint="eastAsia" w:eastAsia="仿宋" w:cs="Times New Roman"/>
                <w:color w:val="auto"/>
                <w:sz w:val="24"/>
                <w:szCs w:val="22"/>
                <w:highlight w:val="none"/>
                <w:lang w:eastAsia="zh-CN"/>
              </w:rPr>
              <w:t>生产制造履约能力</w:t>
            </w:r>
            <w:r>
              <w:rPr>
                <w:rFonts w:hint="eastAsia" w:eastAsia="仿宋" w:cs="Times New Roman"/>
                <w:color w:val="auto"/>
                <w:sz w:val="24"/>
                <w:szCs w:val="22"/>
                <w:highlight w:val="none"/>
              </w:rPr>
              <w:t>进行评审，包含但不限于</w:t>
            </w:r>
            <w:r>
              <w:rPr>
                <w:rFonts w:hint="eastAsia" w:eastAsia="仿宋" w:cs="Times New Roman"/>
                <w:color w:val="auto"/>
                <w:sz w:val="24"/>
                <w:szCs w:val="22"/>
                <w:highlight w:val="none"/>
                <w:lang w:eastAsia="zh-CN"/>
              </w:rPr>
              <w:t>：</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eastAsia="zh-CN"/>
              </w:rPr>
              <w:t>①制造商生产经营情况简介；</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②</w:t>
            </w:r>
            <w:r>
              <w:rPr>
                <w:rFonts w:hint="eastAsia" w:eastAsia="仿宋" w:cs="Times New Roman"/>
                <w:color w:val="auto"/>
                <w:sz w:val="24"/>
                <w:szCs w:val="22"/>
                <w:highlight w:val="none"/>
                <w:lang w:eastAsia="zh-CN"/>
              </w:rPr>
              <w:t>生产工艺流程，主要包括生产制造流程图、生产步骤（应含生产车间环境及实际生产照片）等相关情况描述；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③产品检验流程，包括主要检验设备</w:t>
            </w:r>
            <w:r>
              <w:rPr>
                <w:rFonts w:hint="eastAsia" w:eastAsia="仿宋" w:cs="Times New Roman"/>
                <w:color w:val="auto"/>
                <w:sz w:val="24"/>
                <w:szCs w:val="22"/>
                <w:highlight w:val="none"/>
                <w:lang w:eastAsia="zh-CN"/>
              </w:rPr>
              <w:t>（应提供图片）</w:t>
            </w:r>
            <w:r>
              <w:rPr>
                <w:rFonts w:hint="eastAsia" w:eastAsia="仿宋" w:cs="Times New Roman"/>
                <w:color w:val="auto"/>
                <w:sz w:val="24"/>
                <w:szCs w:val="22"/>
                <w:highlight w:val="none"/>
              </w:rPr>
              <w:t>、检验步骤等相关情况描述；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④人员配备：相关专业技术</w:t>
            </w:r>
            <w:r>
              <w:rPr>
                <w:rFonts w:hint="eastAsia" w:eastAsia="仿宋" w:cs="Times New Roman"/>
                <w:color w:val="auto"/>
                <w:sz w:val="24"/>
                <w:szCs w:val="22"/>
                <w:highlight w:val="none"/>
                <w:lang w:eastAsia="zh-CN"/>
              </w:rPr>
              <w:t>职称</w:t>
            </w:r>
            <w:r>
              <w:rPr>
                <w:rFonts w:hint="eastAsia" w:eastAsia="仿宋" w:cs="Times New Roman"/>
                <w:color w:val="auto"/>
                <w:sz w:val="24"/>
                <w:szCs w:val="22"/>
                <w:highlight w:val="none"/>
              </w:rPr>
              <w:t>人员配置情况</w:t>
            </w:r>
            <w:r>
              <w:rPr>
                <w:rFonts w:hint="eastAsia" w:eastAsia="仿宋" w:cs="Times New Roman"/>
                <w:color w:val="auto"/>
                <w:sz w:val="24"/>
                <w:szCs w:val="22"/>
                <w:highlight w:val="none"/>
                <w:lang w:eastAsia="zh-CN"/>
              </w:rPr>
              <w:t>；</w:t>
            </w:r>
            <w:r>
              <w:rPr>
                <w:rFonts w:hint="eastAsia" w:eastAsia="仿宋" w:cs="Times New Roman"/>
                <w:color w:val="auto"/>
                <w:sz w:val="24"/>
                <w:szCs w:val="22"/>
                <w:highlight w:val="none"/>
              </w:rPr>
              <w:t>各原材料采购、生产、检验、仓储、运输等环节的人员配备情况；</w:t>
            </w:r>
          </w:p>
          <w:p>
            <w:pPr>
              <w:pageBreakBefore w:val="0"/>
              <w:kinsoku/>
              <w:wordWrap/>
              <w:overflowPunct/>
              <w:topLinePunct w:val="0"/>
              <w:autoSpaceDE/>
              <w:autoSpaceDN/>
              <w:bidi w:val="0"/>
              <w:adjustRightInd/>
              <w:snapToGrid/>
              <w:spacing w:line="460" w:lineRule="exact"/>
              <w:rPr>
                <w:rFonts w:hint="eastAsia" w:eastAsia="仿宋" w:cs="Times New Roman"/>
                <w:b/>
                <w:bCs/>
                <w:color w:val="auto"/>
                <w:sz w:val="24"/>
                <w:szCs w:val="22"/>
                <w:highlight w:val="none"/>
              </w:rPr>
            </w:pPr>
            <w:r>
              <w:rPr>
                <w:rFonts w:hint="eastAsia" w:eastAsia="仿宋" w:cs="Times New Roman"/>
                <w:b/>
                <w:bCs/>
                <w:color w:val="auto"/>
                <w:sz w:val="24"/>
                <w:szCs w:val="22"/>
                <w:highlight w:val="none"/>
              </w:rPr>
              <w:t>评审依据：</w:t>
            </w:r>
            <w:r>
              <w:rPr>
                <w:rFonts w:hint="eastAsia" w:eastAsia="仿宋" w:cs="Times New Roman"/>
                <w:b/>
                <w:bCs/>
                <w:color w:val="auto"/>
                <w:sz w:val="24"/>
                <w:szCs w:val="22"/>
                <w:highlight w:val="none"/>
                <w:lang w:val="en-US" w:eastAsia="zh-CN"/>
              </w:rPr>
              <w:t>根据</w:t>
            </w:r>
            <w:r>
              <w:rPr>
                <w:rFonts w:hint="eastAsia" w:eastAsia="仿宋" w:cs="Times New Roman"/>
                <w:b/>
                <w:bCs/>
                <w:color w:val="auto"/>
                <w:sz w:val="24"/>
                <w:szCs w:val="22"/>
                <w:highlight w:val="none"/>
              </w:rPr>
              <w:t>投标人提</w:t>
            </w:r>
            <w:r>
              <w:rPr>
                <w:rFonts w:hint="eastAsia" w:eastAsia="仿宋" w:cs="Times New Roman"/>
                <w:b/>
                <w:bCs/>
                <w:color w:val="auto"/>
                <w:sz w:val="24"/>
                <w:szCs w:val="22"/>
                <w:highlight w:val="none"/>
                <w:lang w:val="en-US" w:eastAsia="zh-CN"/>
              </w:rPr>
              <w:t>供的生产制造履约能力方案内容完整性、组织性、关联性和可操作性进行评审</w:t>
            </w:r>
            <w:r>
              <w:rPr>
                <w:rFonts w:hint="eastAsia" w:eastAsia="仿宋" w:cs="Times New Roman"/>
                <w:b/>
                <w:bCs/>
                <w:color w:val="auto"/>
                <w:sz w:val="24"/>
                <w:szCs w:val="22"/>
                <w:highlight w:val="none"/>
              </w:rPr>
              <w:t>。</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1、所投</w:t>
            </w:r>
            <w:r>
              <w:rPr>
                <w:rFonts w:hint="eastAsia" w:ascii="仿宋" w:hAnsi="仿宋" w:eastAsia="仿宋" w:cs="仿宋"/>
                <w:b/>
                <w:bCs/>
                <w:color w:val="auto"/>
                <w:sz w:val="24"/>
                <w:highlight w:val="none"/>
                <w:lang w:val="en-US" w:eastAsia="zh-CN"/>
              </w:rPr>
              <w:t>核心</w:t>
            </w:r>
            <w:r>
              <w:rPr>
                <w:rFonts w:hint="eastAsia" w:eastAsia="仿宋" w:cs="Times New Roman"/>
                <w:b/>
                <w:bCs/>
                <w:color w:val="auto"/>
                <w:sz w:val="24"/>
                <w:szCs w:val="22"/>
                <w:highlight w:val="none"/>
                <w:lang w:val="en-US" w:eastAsia="zh-CN"/>
              </w:rPr>
              <w:t>产品</w:t>
            </w:r>
            <w:r>
              <w:rPr>
                <w:rFonts w:hint="eastAsia" w:ascii="仿宋" w:hAnsi="仿宋" w:eastAsia="仿宋" w:cs="仿宋"/>
                <w:b/>
                <w:bCs/>
                <w:color w:val="auto"/>
                <w:sz w:val="24"/>
                <w:szCs w:val="24"/>
                <w:highlight w:val="none"/>
                <w:lang w:val="en-US" w:eastAsia="zh-CN"/>
              </w:rPr>
              <w:t>制造商具备较强自主研发能力及先进的生产工艺，生产车间环境及生产线先进规范，生产步骤完整周详，技术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检验设备配置齐全、检验步骤严密无纰漏，生产制造履约能力</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分；</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2、所投</w:t>
            </w:r>
            <w:r>
              <w:rPr>
                <w:rFonts w:hint="eastAsia" w:ascii="仿宋" w:hAnsi="仿宋" w:eastAsia="仿宋" w:cs="仿宋"/>
                <w:b/>
                <w:bCs/>
                <w:color w:val="auto"/>
                <w:sz w:val="24"/>
                <w:highlight w:val="none"/>
                <w:lang w:val="en-US" w:eastAsia="zh-CN"/>
              </w:rPr>
              <w:t>核心</w:t>
            </w:r>
            <w:r>
              <w:rPr>
                <w:rFonts w:hint="eastAsia" w:eastAsia="仿宋" w:cs="Times New Roman"/>
                <w:b/>
                <w:bCs/>
                <w:color w:val="auto"/>
                <w:sz w:val="24"/>
                <w:szCs w:val="22"/>
                <w:highlight w:val="none"/>
                <w:lang w:val="en-US" w:eastAsia="zh-CN"/>
              </w:rPr>
              <w:t>产品</w:t>
            </w:r>
            <w:r>
              <w:rPr>
                <w:rFonts w:hint="eastAsia" w:ascii="仿宋" w:hAnsi="仿宋" w:eastAsia="仿宋" w:cs="仿宋"/>
                <w:b/>
                <w:bCs/>
                <w:color w:val="auto"/>
                <w:sz w:val="24"/>
                <w:szCs w:val="24"/>
                <w:highlight w:val="none"/>
                <w:lang w:val="en-US" w:eastAsia="zh-CN"/>
              </w:rPr>
              <w:t>制造商有自主研发能力和生产工艺较完整，生产车间环境及生产线常规，生产步骤较完整周详，技术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eastAsia="zh-CN"/>
              </w:rPr>
              <w:t>相对</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检验设备配置较齐全、检验步骤相对完备，生产制造履约能力</w:t>
            </w:r>
            <w:r>
              <w:rPr>
                <w:rFonts w:hint="eastAsia" w:ascii="仿宋" w:hAnsi="仿宋" w:eastAsia="仿宋" w:cs="仿宋"/>
                <w:b/>
                <w:bCs/>
                <w:color w:val="auto"/>
                <w:sz w:val="24"/>
                <w:szCs w:val="24"/>
                <w:highlight w:val="none"/>
                <w:lang w:eastAsia="zh-CN"/>
              </w:rPr>
              <w:t>较</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3、所投</w:t>
            </w:r>
            <w:r>
              <w:rPr>
                <w:rFonts w:hint="eastAsia" w:ascii="仿宋" w:hAnsi="仿宋" w:eastAsia="仿宋" w:cs="仿宋"/>
                <w:b/>
                <w:bCs/>
                <w:color w:val="auto"/>
                <w:sz w:val="24"/>
                <w:highlight w:val="none"/>
                <w:lang w:val="en-US" w:eastAsia="zh-CN"/>
              </w:rPr>
              <w:t>核心</w:t>
            </w:r>
            <w:r>
              <w:rPr>
                <w:rFonts w:hint="eastAsia" w:eastAsia="仿宋" w:cs="Times New Roman"/>
                <w:b/>
                <w:bCs/>
                <w:color w:val="auto"/>
                <w:sz w:val="24"/>
                <w:szCs w:val="22"/>
                <w:highlight w:val="none"/>
                <w:lang w:val="en-US" w:eastAsia="zh-CN"/>
              </w:rPr>
              <w:t>产品</w:t>
            </w:r>
            <w:r>
              <w:rPr>
                <w:rFonts w:hint="eastAsia" w:ascii="仿宋" w:hAnsi="仿宋" w:eastAsia="仿宋" w:cs="仿宋"/>
                <w:b/>
                <w:bCs/>
                <w:color w:val="auto"/>
                <w:sz w:val="24"/>
                <w:szCs w:val="24"/>
                <w:highlight w:val="none"/>
                <w:lang w:val="en-US" w:eastAsia="zh-CN"/>
              </w:rPr>
              <w:t>制造商有自主研发能力和生产工艺薄弱，生产车间环境及生产线粗糙落后，生产步骤简单，技术</w:t>
            </w:r>
            <w:r>
              <w:rPr>
                <w:rFonts w:hint="eastAsia" w:ascii="仿宋" w:hAnsi="仿宋" w:eastAsia="仿宋" w:cs="仿宋"/>
                <w:b/>
                <w:bCs/>
                <w:color w:val="auto"/>
                <w:sz w:val="24"/>
                <w:szCs w:val="24"/>
                <w:highlight w:val="none"/>
              </w:rPr>
              <w:t>人员</w:t>
            </w:r>
            <w:r>
              <w:rPr>
                <w:rFonts w:hint="eastAsia" w:ascii="仿宋" w:hAnsi="仿宋" w:eastAsia="仿宋" w:cs="仿宋"/>
                <w:b/>
                <w:bCs/>
                <w:color w:val="auto"/>
                <w:sz w:val="24"/>
                <w:szCs w:val="24"/>
                <w:highlight w:val="none"/>
                <w:lang w:eastAsia="zh-CN"/>
              </w:rPr>
              <w:t>综合实力一般，</w:t>
            </w:r>
            <w:r>
              <w:rPr>
                <w:rFonts w:hint="eastAsia" w:ascii="仿宋" w:hAnsi="仿宋" w:eastAsia="仿宋" w:cs="仿宋"/>
                <w:b/>
                <w:bCs/>
                <w:color w:val="auto"/>
                <w:sz w:val="24"/>
                <w:szCs w:val="24"/>
                <w:highlight w:val="none"/>
                <w:lang w:val="en-US" w:eastAsia="zh-CN"/>
              </w:rPr>
              <w:t>检验设备配置简单落后，检验步骤普通，生产制造履约能力</w:t>
            </w:r>
            <w:r>
              <w:rPr>
                <w:rFonts w:hint="eastAsia" w:ascii="仿宋" w:hAnsi="仿宋" w:eastAsia="仿宋" w:cs="仿宋"/>
                <w:b/>
                <w:bCs/>
                <w:color w:val="auto"/>
                <w:sz w:val="24"/>
                <w:szCs w:val="24"/>
                <w:highlight w:val="none"/>
                <w:lang w:eastAsia="zh-CN"/>
              </w:rPr>
              <w:t>弱</w:t>
            </w:r>
            <w:r>
              <w:rPr>
                <w:rFonts w:hint="eastAsia" w:ascii="仿宋" w:hAnsi="仿宋" w:eastAsia="仿宋" w:cs="仿宋"/>
                <w:b/>
                <w:bCs/>
                <w:color w:val="auto"/>
                <w:sz w:val="24"/>
                <w:szCs w:val="24"/>
                <w:highlight w:val="none"/>
              </w:rPr>
              <w:t>的得</w:t>
            </w: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未提供证明材料或证明材料有缺项的不得分。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3</w:t>
            </w:r>
          </w:p>
        </w:tc>
        <w:tc>
          <w:tcPr>
            <w:tcW w:w="88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质量保证和保修</w:t>
            </w:r>
          </w:p>
        </w:tc>
        <w:tc>
          <w:tcPr>
            <w:tcW w:w="3207" w:type="pct"/>
            <w:vAlign w:val="center"/>
          </w:tcPr>
          <w:p>
            <w:pPr>
              <w:pageBreakBefore w:val="0"/>
              <w:kinsoku/>
              <w:wordWrap/>
              <w:overflowPunct/>
              <w:topLinePunct w:val="0"/>
              <w:autoSpaceDE/>
              <w:autoSpaceDN/>
              <w:bidi w:val="0"/>
              <w:adjustRightInd/>
              <w:snapToGrid/>
              <w:spacing w:line="460" w:lineRule="exact"/>
              <w:jc w:val="left"/>
              <w:rPr>
                <w:rFonts w:eastAsia="仿宋"/>
                <w:color w:val="auto"/>
                <w:sz w:val="24"/>
                <w:szCs w:val="22"/>
                <w:highlight w:val="none"/>
              </w:rPr>
            </w:pPr>
            <w:r>
              <w:rPr>
                <w:rFonts w:eastAsia="仿宋"/>
                <w:color w:val="auto"/>
                <w:sz w:val="24"/>
                <w:szCs w:val="22"/>
                <w:highlight w:val="none"/>
              </w:rPr>
              <w:t>在招标文件商务要求中“质保期”和“保修期”要求基础上，承诺“质保期”和“保修期”均每延长一年的加2分，最多加4分。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eastAsia="仿宋"/>
                <w:b/>
                <w:color w:val="auto"/>
                <w:sz w:val="24"/>
                <w:szCs w:val="22"/>
                <w:highlight w:val="none"/>
              </w:rPr>
              <w:t>评审依据：投标文件中提供“质保期”和“保修期”均延长的承诺函原件。</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4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w:t>
            </w:r>
          </w:p>
        </w:tc>
        <w:tc>
          <w:tcPr>
            <w:tcW w:w="88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类似销售</w:t>
            </w:r>
          </w:p>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案例</w:t>
            </w:r>
          </w:p>
        </w:tc>
        <w:tc>
          <w:tcPr>
            <w:tcW w:w="3207" w:type="pct"/>
            <w:vAlign w:val="center"/>
          </w:tcPr>
          <w:p>
            <w:pPr>
              <w:pageBreakBefore w:val="0"/>
              <w:kinsoku/>
              <w:wordWrap/>
              <w:overflowPunct/>
              <w:topLinePunct w:val="0"/>
              <w:autoSpaceDE/>
              <w:autoSpaceDN/>
              <w:bidi w:val="0"/>
              <w:adjustRightInd/>
              <w:snapToGrid/>
              <w:spacing w:line="460" w:lineRule="exact"/>
              <w:jc w:val="lef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投标人自</w:t>
            </w:r>
            <w:r>
              <w:rPr>
                <w:rFonts w:eastAsia="仿宋" w:cs="Times New Roman"/>
                <w:color w:val="auto"/>
                <w:sz w:val="24"/>
                <w:szCs w:val="22"/>
                <w:highlight w:val="none"/>
              </w:rPr>
              <w:t>20</w:t>
            </w:r>
            <w:r>
              <w:rPr>
                <w:rFonts w:hint="eastAsia" w:eastAsia="仿宋" w:cs="Times New Roman"/>
                <w:color w:val="auto"/>
                <w:sz w:val="24"/>
                <w:szCs w:val="22"/>
                <w:highlight w:val="none"/>
              </w:rPr>
              <w:t>2</w:t>
            </w:r>
            <w:r>
              <w:rPr>
                <w:rFonts w:hint="eastAsia" w:eastAsia="仿宋" w:cs="Times New Roman"/>
                <w:color w:val="auto"/>
                <w:sz w:val="24"/>
                <w:szCs w:val="22"/>
                <w:highlight w:val="none"/>
                <w:lang w:val="en-US" w:eastAsia="zh-CN"/>
              </w:rPr>
              <w:t>1</w:t>
            </w:r>
            <w:r>
              <w:rPr>
                <w:rFonts w:hint="eastAsia" w:eastAsia="仿宋" w:cs="Times New Roman"/>
                <w:color w:val="auto"/>
                <w:sz w:val="24"/>
                <w:szCs w:val="22"/>
                <w:highlight w:val="none"/>
              </w:rPr>
              <w:t>年</w:t>
            </w:r>
            <w:r>
              <w:rPr>
                <w:rFonts w:eastAsia="仿宋" w:cs="Times New Roman"/>
                <w:color w:val="auto"/>
                <w:sz w:val="24"/>
                <w:szCs w:val="22"/>
                <w:highlight w:val="none"/>
              </w:rPr>
              <w:t>1月1日至今（以签订合同时间为准）具有类似</w:t>
            </w:r>
            <w:r>
              <w:rPr>
                <w:rFonts w:hint="eastAsia" w:ascii="仿宋" w:hAnsi="仿宋" w:eastAsia="仿宋" w:cs="仿宋"/>
                <w:color w:val="auto"/>
                <w:sz w:val="24"/>
                <w:highlight w:val="none"/>
                <w:lang w:val="en-US" w:eastAsia="zh-CN"/>
              </w:rPr>
              <w:t>核心</w:t>
            </w:r>
            <w:r>
              <w:rPr>
                <w:rFonts w:eastAsia="仿宋" w:cs="Times New Roman"/>
                <w:color w:val="auto"/>
                <w:sz w:val="24"/>
                <w:szCs w:val="22"/>
                <w:highlight w:val="none"/>
              </w:rPr>
              <w:t>产品销售案例，每提供1份销售案例加</w:t>
            </w:r>
            <w:r>
              <w:rPr>
                <w:rFonts w:hint="eastAsia" w:eastAsia="仿宋" w:cs="Times New Roman"/>
                <w:color w:val="auto"/>
                <w:sz w:val="24"/>
                <w:szCs w:val="22"/>
                <w:highlight w:val="none"/>
                <w:lang w:val="en-US" w:eastAsia="zh-CN"/>
              </w:rPr>
              <w:t>2</w:t>
            </w:r>
            <w:r>
              <w:rPr>
                <w:rFonts w:hint="eastAsia" w:eastAsia="仿宋" w:cs="Times New Roman"/>
                <w:color w:val="auto"/>
                <w:sz w:val="24"/>
                <w:szCs w:val="22"/>
                <w:highlight w:val="none"/>
              </w:rPr>
              <w:t>分，本项最多加</w:t>
            </w:r>
            <w:r>
              <w:rPr>
                <w:rFonts w:hint="eastAsia" w:eastAsia="仿宋" w:cs="Times New Roman"/>
                <w:color w:val="auto"/>
                <w:sz w:val="24"/>
                <w:szCs w:val="22"/>
                <w:highlight w:val="none"/>
                <w:lang w:val="en-US" w:eastAsia="zh-CN"/>
              </w:rPr>
              <w:t>6</w:t>
            </w:r>
            <w:r>
              <w:rPr>
                <w:rFonts w:hint="eastAsia" w:eastAsia="仿宋" w:cs="Times New Roman"/>
                <w:color w:val="auto"/>
                <w:sz w:val="24"/>
                <w:szCs w:val="22"/>
                <w:highlight w:val="none"/>
              </w:rPr>
              <w:t>分。</w:t>
            </w:r>
          </w:p>
          <w:p>
            <w:pPr>
              <w:pageBreakBefore w:val="0"/>
              <w:kinsoku/>
              <w:wordWrap/>
              <w:overflowPunct/>
              <w:topLinePunct w:val="0"/>
              <w:autoSpaceDE/>
              <w:autoSpaceDN/>
              <w:bidi w:val="0"/>
              <w:adjustRightInd/>
              <w:snapToGrid/>
              <w:spacing w:line="460" w:lineRule="exact"/>
              <w:jc w:val="left"/>
              <w:rPr>
                <w:rFonts w:eastAsia="仿宋"/>
                <w:b/>
                <w:bCs/>
                <w:color w:val="auto"/>
                <w:sz w:val="24"/>
                <w:szCs w:val="22"/>
                <w:highlight w:val="none"/>
              </w:rPr>
            </w:pPr>
            <w:r>
              <w:rPr>
                <w:rFonts w:hint="eastAsia" w:eastAsia="仿宋" w:cs="Times New Roman"/>
                <w:b/>
                <w:bCs/>
                <w:color w:val="auto"/>
                <w:sz w:val="24"/>
                <w:szCs w:val="22"/>
                <w:highlight w:val="none"/>
              </w:rPr>
              <w:t>评审依据：①投标文件中提供销售案例明细表（销售案例明细表包含</w:t>
            </w:r>
            <w:r>
              <w:rPr>
                <w:rFonts w:eastAsia="仿宋" w:cs="Times New Roman"/>
                <w:b/>
                <w:bCs/>
                <w:color w:val="auto"/>
                <w:sz w:val="24"/>
                <w:szCs w:val="22"/>
                <w:highlight w:val="none"/>
              </w:rPr>
              <w:t>:发布网站名称、网页链接地址、采购项目名称、采购单位名称和联系方式、采购代理机构名称和联系方式）；</w:t>
            </w:r>
            <w:r>
              <w:rPr>
                <w:rFonts w:hint="eastAsia" w:eastAsia="仿宋" w:cs="Times New Roman"/>
                <w:b/>
                <w:bCs/>
                <w:color w:val="auto"/>
                <w:sz w:val="24"/>
                <w:szCs w:val="22"/>
                <w:highlight w:val="none"/>
              </w:rPr>
              <w:t>②</w:t>
            </w:r>
            <w:r>
              <w:rPr>
                <w:rFonts w:hint="eastAsia" w:eastAsia="仿宋" w:cs="Times New Roman"/>
                <w:b/>
                <w:bCs/>
                <w:color w:val="auto"/>
                <w:sz w:val="24"/>
                <w:szCs w:val="22"/>
                <w:highlight w:val="none"/>
                <w:lang w:eastAsia="zh-CN"/>
              </w:rPr>
              <w:t>中标（成交）公告截图（打印网页）、中标通知书复印件和合同复印件（中标通知书或合同复印件应体现类似销售案例的货物），合同签订方必须是投标人本身。</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hint="eastAsia" w:eastAsia="仿宋"/>
                <w:color w:val="auto"/>
                <w:sz w:val="24"/>
                <w:szCs w:val="22"/>
                <w:highlight w:val="none"/>
                <w:lang w:val="en-US" w:eastAsia="zh-CN"/>
              </w:rPr>
              <w:t>6</w:t>
            </w:r>
            <w:r>
              <w:rPr>
                <w:rFonts w:eastAsia="仿宋"/>
                <w:color w:val="auto"/>
                <w:sz w:val="24"/>
                <w:szCs w:val="22"/>
                <w:highlight w:val="none"/>
              </w:rPr>
              <w:t>分</w:t>
            </w:r>
          </w:p>
        </w:tc>
      </w:tr>
    </w:tbl>
    <w:p>
      <w:pPr>
        <w:pageBreakBefore w:val="0"/>
        <w:kinsoku/>
        <w:wordWrap/>
        <w:overflowPunct/>
        <w:topLinePunct w:val="0"/>
        <w:autoSpaceDE/>
        <w:autoSpaceDN/>
        <w:bidi w:val="0"/>
        <w:adjustRightInd/>
        <w:snapToGrid/>
        <w:spacing w:line="460" w:lineRule="exact"/>
        <w:rPr>
          <w:color w:val="auto"/>
          <w:highlight w:val="none"/>
        </w:rPr>
      </w:pPr>
    </w:p>
    <w:p>
      <w:pPr>
        <w:pageBreakBefore w:val="0"/>
        <w:kinsoku/>
        <w:wordWrap/>
        <w:overflowPunct/>
        <w:topLinePunct w:val="0"/>
        <w:autoSpaceDE/>
        <w:autoSpaceDN/>
        <w:bidi w:val="0"/>
        <w:adjustRightInd/>
        <w:snapToGrid/>
        <w:spacing w:line="460" w:lineRule="exact"/>
        <w:rPr>
          <w:color w:val="auto"/>
          <w:highlight w:val="none"/>
        </w:rPr>
      </w:pPr>
    </w:p>
    <w:p>
      <w:pPr>
        <w:pageBreakBefore w:val="0"/>
        <w:kinsoku/>
        <w:wordWrap/>
        <w:overflowPunct/>
        <w:topLinePunct w:val="0"/>
        <w:autoSpaceDE/>
        <w:autoSpaceDN/>
        <w:bidi w:val="0"/>
        <w:adjustRightInd/>
        <w:snapToGrid/>
        <w:spacing w:line="460" w:lineRule="exact"/>
        <w:rPr>
          <w:color w:val="auto"/>
          <w:highlight w:val="none"/>
        </w:rPr>
        <w:sectPr>
          <w:headerReference r:id="rId16" w:type="default"/>
          <w:footerReference r:id="rId17" w:type="default"/>
          <w:pgSz w:w="11906" w:h="16838"/>
          <w:pgMar w:top="1247" w:right="1417" w:bottom="1702" w:left="1417" w:header="851" w:footer="992" w:gutter="0"/>
          <w:cols w:space="720" w:num="1"/>
          <w:docGrid w:linePitch="312" w:charSpace="0"/>
        </w:sectPr>
      </w:pPr>
    </w:p>
    <w:p>
      <w:pPr>
        <w:keepNext w:val="0"/>
        <w:keepLines w:val="0"/>
        <w:pageBreakBefore w:val="0"/>
        <w:widowControl w:val="0"/>
        <w:kinsoku/>
        <w:wordWrap/>
        <w:overflowPunct/>
        <w:topLinePunct w:val="0"/>
        <w:autoSpaceDE/>
        <w:autoSpaceDN/>
        <w:bidi w:val="0"/>
        <w:adjustRightInd/>
        <w:snapToGrid/>
        <w:spacing w:line="460" w:lineRule="exact"/>
        <w:jc w:val="left"/>
        <w:textAlignment w:val="auto"/>
        <w:outlineLvl w:val="1"/>
        <w:rPr>
          <w:rFonts w:hint="eastAsia" w:ascii="仿宋" w:hAnsi="仿宋" w:eastAsia="仿宋" w:cs="Times New Roman"/>
          <w:b/>
          <w:bCs/>
          <w:color w:val="auto"/>
          <w:sz w:val="28"/>
          <w:szCs w:val="28"/>
          <w:highlight w:val="none"/>
          <w:lang w:eastAsia="zh-CN"/>
        </w:rPr>
      </w:pPr>
      <w:bookmarkStart w:id="766" w:name="_Toc2514"/>
      <w:bookmarkStart w:id="767" w:name="_Toc20497"/>
      <w:bookmarkStart w:id="768" w:name="_Toc13994"/>
      <w:bookmarkStart w:id="769" w:name="_Toc31911"/>
      <w:bookmarkStart w:id="770" w:name="_Toc20094"/>
      <w:r>
        <w:rPr>
          <w:rFonts w:hint="eastAsia" w:ascii="仿宋" w:hAnsi="仿宋" w:eastAsia="仿宋" w:cs="Times New Roman"/>
          <w:b/>
          <w:bCs/>
          <w:color w:val="auto"/>
          <w:sz w:val="28"/>
          <w:szCs w:val="28"/>
          <w:highlight w:val="none"/>
          <w:lang w:val="en-US" w:eastAsia="zh-CN"/>
        </w:rPr>
        <w:t>86包</w:t>
      </w:r>
      <w:r>
        <w:rPr>
          <w:rFonts w:hint="eastAsia" w:ascii="仿宋" w:hAnsi="仿宋" w:eastAsia="仿宋" w:cs="Times New Roman"/>
          <w:b/>
          <w:bCs/>
          <w:color w:val="auto"/>
          <w:sz w:val="28"/>
          <w:szCs w:val="28"/>
          <w:highlight w:val="none"/>
        </w:rPr>
        <w:t>：</w:t>
      </w:r>
      <w:r>
        <w:rPr>
          <w:rFonts w:hint="eastAsia" w:ascii="仿宋" w:hAnsi="仿宋" w:eastAsia="仿宋" w:cs="Times New Roman"/>
          <w:b/>
          <w:bCs/>
          <w:color w:val="auto"/>
          <w:sz w:val="28"/>
          <w:szCs w:val="28"/>
          <w:highlight w:val="none"/>
          <w:lang w:val="en-US" w:eastAsia="zh-CN"/>
        </w:rPr>
        <w:t>干式潜水衣【核心产品】、湿式潜水衣</w:t>
      </w:r>
      <w:bookmarkEnd w:id="766"/>
      <w:bookmarkEnd w:id="767"/>
      <w:bookmarkEnd w:id="768"/>
      <w:bookmarkEnd w:id="769"/>
      <w:bookmarkEnd w:id="770"/>
    </w:p>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hint="eastAsia" w:ascii="仿宋" w:hAnsi="仿宋" w:eastAsia="仿宋"/>
          <w:b/>
          <w:color w:val="auto"/>
          <w:sz w:val="24"/>
          <w:highlight w:val="none"/>
        </w:rPr>
        <w:t>一、价格部分（</w:t>
      </w:r>
      <w:r>
        <w:rPr>
          <w:rFonts w:ascii="仿宋" w:hAnsi="仿宋" w:eastAsia="仿宋"/>
          <w:b/>
          <w:color w:val="auto"/>
          <w:sz w:val="24"/>
          <w:highlight w:val="none"/>
        </w:rPr>
        <w:t>30分）</w:t>
      </w:r>
    </w:p>
    <w:tbl>
      <w:tblPr>
        <w:tblStyle w:val="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1"/>
        <w:gridCol w:w="1449"/>
        <w:gridCol w:w="5672"/>
        <w:gridCol w:w="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评审因素</w:t>
            </w:r>
          </w:p>
        </w:tc>
        <w:tc>
          <w:tcPr>
            <w:tcW w:w="3327" w:type="pct"/>
            <w:vAlign w:val="center"/>
          </w:tcPr>
          <w:p>
            <w:pPr>
              <w:pageBreakBefore w:val="0"/>
              <w:kinsoku/>
              <w:wordWrap/>
              <w:overflowPunct/>
              <w:topLinePunct w:val="0"/>
              <w:autoSpaceDE/>
              <w:autoSpaceDN/>
              <w:bidi w:val="0"/>
              <w:adjustRightInd/>
              <w:snapToGrid/>
              <w:spacing w:line="460" w:lineRule="exact"/>
              <w:jc w:val="center"/>
              <w:textAlignment w:val="center"/>
              <w:rPr>
                <w:rFonts w:ascii="仿宋" w:hAnsi="仿宋" w:eastAsia="仿宋" w:cs="仿宋"/>
                <w:b/>
                <w:color w:val="auto"/>
                <w:sz w:val="24"/>
                <w:highlight w:val="none"/>
              </w:rPr>
            </w:pPr>
            <w:r>
              <w:rPr>
                <w:rFonts w:hint="eastAsia" w:ascii="仿宋" w:hAnsi="仿宋" w:eastAsia="仿宋" w:cs="仿宋"/>
                <w:b/>
                <w:bCs/>
                <w:color w:val="auto"/>
                <w:sz w:val="24"/>
                <w:highlight w:val="none"/>
              </w:rPr>
              <w:t>评分标准</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价格分</w:t>
            </w:r>
          </w:p>
        </w:tc>
        <w:tc>
          <w:tcPr>
            <w:tcW w:w="3327" w:type="pct"/>
            <w:vAlign w:val="center"/>
          </w:tcPr>
          <w:p>
            <w:pPr>
              <w:pageBreakBefore w:val="0"/>
              <w:kinsoku/>
              <w:wordWrap/>
              <w:overflowPunct/>
              <w:topLinePunct w:val="0"/>
              <w:autoSpaceDE/>
              <w:autoSpaceDN/>
              <w:bidi w:val="0"/>
              <w:adjustRightInd/>
              <w:snapToGrid/>
              <w:spacing w:line="460" w:lineRule="exact"/>
              <w:jc w:val="left"/>
              <w:textAlignment w:val="center"/>
              <w:rPr>
                <w:rFonts w:ascii="仿宋" w:hAnsi="仿宋" w:eastAsia="仿宋" w:cs="仿宋"/>
                <w:color w:val="auto"/>
                <w:sz w:val="24"/>
                <w:highlight w:val="none"/>
              </w:rPr>
            </w:pPr>
            <w:r>
              <w:rPr>
                <w:rFonts w:hint="eastAsia" w:ascii="仿宋" w:hAnsi="仿宋" w:eastAsia="仿宋" w:cs="仿宋"/>
                <w:color w:val="auto"/>
                <w:sz w:val="24"/>
                <w:highlight w:val="none"/>
              </w:rPr>
              <w:t>根据综合评分法，满足招标文件要求且投标价格最低的投标报价为评标基准价，投标报价得分</w:t>
            </w:r>
            <w:r>
              <w:rPr>
                <w:rFonts w:ascii="仿宋" w:hAnsi="仿宋" w:eastAsia="仿宋" w:cs="仿宋"/>
                <w:color w:val="auto"/>
                <w:sz w:val="24"/>
                <w:highlight w:val="none"/>
              </w:rPr>
              <w:t>=（评标基准价／投标报价）</w:t>
            </w:r>
            <w:r>
              <w:rPr>
                <w:rFonts w:hint="eastAsia" w:ascii="仿宋" w:hAnsi="仿宋" w:eastAsia="仿宋" w:cs="仿宋"/>
                <w:color w:val="auto"/>
                <w:sz w:val="24"/>
                <w:highlight w:val="none"/>
              </w:rPr>
              <w:t>×</w:t>
            </w:r>
            <w:r>
              <w:rPr>
                <w:rFonts w:ascii="仿宋" w:hAnsi="仿宋" w:eastAsia="仿宋" w:cs="仿宋"/>
                <w:color w:val="auto"/>
                <w:sz w:val="24"/>
                <w:highlight w:val="none"/>
              </w:rPr>
              <w:t>30%×100，计算分数时四舍五入取小数点后两位。</w:t>
            </w:r>
          </w:p>
          <w:p>
            <w:pPr>
              <w:pageBreakBefore w:val="0"/>
              <w:kinsoku/>
              <w:wordWrap/>
              <w:overflowPunct/>
              <w:topLinePunct w:val="0"/>
              <w:autoSpaceDE/>
              <w:autoSpaceDN/>
              <w:bidi w:val="0"/>
              <w:adjustRightInd/>
              <w:snapToGrid/>
              <w:spacing w:line="460" w:lineRule="exact"/>
              <w:ind w:firstLine="482" w:firstLineChars="200"/>
              <w:jc w:val="left"/>
              <w:textAlignment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注：</w:t>
            </w:r>
            <w:r>
              <w:rPr>
                <w:rFonts w:ascii="仿宋" w:hAnsi="仿宋" w:eastAsia="仿宋" w:cs="仿宋"/>
                <w:b/>
                <w:bCs/>
                <w:color w:val="auto"/>
                <w:sz w:val="24"/>
                <w:highlight w:val="none"/>
              </w:rPr>
              <w:t>小、微型企业或残疾人福利性单位产品或监狱产品的价格给予10%的扣除，用扣除后的价格参与评审。但残疾人福利性单位本身属于小型、微型企业的，不重复享受政策。</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30分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二、技术部分（5</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703"/>
        <w:gridCol w:w="1417"/>
        <w:gridCol w:w="5096"/>
        <w:gridCol w:w="8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1245" w:type="pct"/>
            <w:gridSpan w:val="2"/>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2993"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评分标准</w:t>
            </w:r>
          </w:p>
        </w:tc>
        <w:tc>
          <w:tcPr>
            <w:tcW w:w="492"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268"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245"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技术参数及要求</w:t>
            </w:r>
          </w:p>
        </w:tc>
        <w:tc>
          <w:tcPr>
            <w:tcW w:w="2993" w:type="pct"/>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一、重大负偏离评审依据：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1、带★条款的响应，不满足招标文件要求的，或有缺项、漏项的，视为重大负偏离；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2、一般参数和带“▲”参数共有四项及以上（含本数）的负偏离，视为重大负偏离；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3、所投产品一般参数或带“▲”参数有一项低于招标文件要求，该项视为负偏离；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4、所投产品一般参数或带“▲”参数有一项缺项、漏项的，该项视为负偏离。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注：“一般参数”为非标“★”号参数和非标“▲”号参数。</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①投标文件中提供的技术条款响应表；</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②所投产品技术参数完全满足招标文件要求得</w:t>
            </w:r>
            <w:r>
              <w:rPr>
                <w:rFonts w:hint="eastAsia" w:ascii="仿宋" w:hAnsi="仿宋" w:eastAsia="仿宋" w:cs="仿宋"/>
                <w:b/>
                <w:bCs/>
                <w:color w:val="auto"/>
                <w:sz w:val="24"/>
                <w:highlight w:val="none"/>
                <w:lang w:val="en-US" w:eastAsia="zh-CN"/>
              </w:rPr>
              <w:t>33</w:t>
            </w:r>
            <w:r>
              <w:rPr>
                <w:rFonts w:hint="eastAsia" w:ascii="仿宋" w:hAnsi="仿宋" w:eastAsia="仿宋" w:cs="仿宋"/>
                <w:b/>
                <w:bCs/>
                <w:color w:val="auto"/>
                <w:sz w:val="24"/>
                <w:highlight w:val="none"/>
              </w:rPr>
              <w:t>分；重大负偏离则视为无效投标；一般参数或带“▲”参数每有一项负偏离减5分，最多减15分，四项或以上负偏离视为无效投标。</w:t>
            </w:r>
          </w:p>
        </w:tc>
        <w:tc>
          <w:tcPr>
            <w:tcW w:w="492" w:type="pct"/>
            <w:vAlign w:val="center"/>
          </w:tcPr>
          <w:p>
            <w:pPr>
              <w:pageBreakBefore w:val="0"/>
              <w:kinsoku/>
              <w:wordWrap/>
              <w:overflowPunct/>
              <w:topLinePunct w:val="0"/>
              <w:autoSpaceDE/>
              <w:autoSpaceDN/>
              <w:bidi w:val="0"/>
              <w:adjustRightInd/>
              <w:snapToGrid/>
              <w:spacing w:line="460" w:lineRule="exact"/>
              <w:jc w:val="center"/>
              <w:textAlignment w:val="center"/>
              <w:rPr>
                <w:rFonts w:hint="default"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33分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413" w:type="pct"/>
            <w:vMerge w:val="restar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b w:val="0"/>
                <w:bCs w:val="0"/>
                <w:color w:val="auto"/>
                <w:sz w:val="24"/>
                <w:szCs w:val="24"/>
                <w:highlight w:val="none"/>
              </w:rPr>
            </w:pPr>
            <w:r>
              <w:rPr>
                <w:rFonts w:hint="eastAsia" w:ascii="仿宋" w:hAnsi="仿宋" w:eastAsia="仿宋" w:cs="Times New Roman"/>
                <w:b w:val="0"/>
                <w:bCs w:val="0"/>
                <w:color w:val="auto"/>
                <w:sz w:val="24"/>
                <w:szCs w:val="24"/>
                <w:highlight w:val="none"/>
                <w:lang w:val="en-US" w:eastAsia="zh-CN"/>
              </w:rPr>
              <w:t>干式潜水衣</w:t>
            </w:r>
          </w:p>
        </w:tc>
        <w:tc>
          <w:tcPr>
            <w:tcW w:w="832" w:type="pct"/>
            <w:tcBorders>
              <w:lef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auto"/>
                <w:kern w:val="0"/>
                <w:sz w:val="24"/>
                <w:szCs w:val="24"/>
                <w:highlight w:val="none"/>
                <w:u w:val="none"/>
                <w:lang w:val="en-US" w:eastAsia="zh-CN" w:bidi="ar"/>
              </w:rPr>
              <w:t>▲3.2面料经向断裂强力应≥ 750 N</w:t>
            </w:r>
          </w:p>
        </w:tc>
        <w:tc>
          <w:tcPr>
            <w:tcW w:w="2993"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Times New Roman"/>
                <w:b w:val="0"/>
                <w:bCs w:val="0"/>
                <w:color w:val="auto"/>
                <w:sz w:val="24"/>
                <w:szCs w:val="24"/>
                <w:highlight w:val="none"/>
                <w:lang w:val="en-US" w:eastAsia="zh-CN"/>
              </w:rPr>
              <w:t>产品</w:t>
            </w:r>
            <w:r>
              <w:rPr>
                <w:rFonts w:hint="eastAsia" w:ascii="仿宋" w:hAnsi="仿宋" w:eastAsia="仿宋" w:cs="仿宋"/>
                <w:i w:val="0"/>
                <w:iCs w:val="0"/>
                <w:color w:val="auto"/>
                <w:kern w:val="0"/>
                <w:sz w:val="24"/>
                <w:szCs w:val="24"/>
                <w:highlight w:val="none"/>
                <w:u w:val="none"/>
                <w:lang w:val="en-US" w:eastAsia="zh-CN" w:bidi="ar"/>
              </w:rPr>
              <w:t>的面料经向断裂强力</w:t>
            </w:r>
            <w:r>
              <w:rPr>
                <w:rFonts w:hint="eastAsia" w:ascii="仿宋" w:hAnsi="仿宋" w:eastAsia="仿宋" w:cs="仿宋"/>
                <w:color w:val="auto"/>
                <w:sz w:val="24"/>
                <w:szCs w:val="24"/>
                <w:highlight w:val="none"/>
              </w:rPr>
              <w:t>优于招标文件要求的，</w:t>
            </w:r>
            <w:r>
              <w:rPr>
                <w:rFonts w:hint="eastAsia" w:ascii="仿宋" w:hAnsi="仿宋" w:eastAsia="仿宋" w:cs="仿宋"/>
                <w:i w:val="0"/>
                <w:iCs w:val="0"/>
                <w:color w:val="auto"/>
                <w:kern w:val="0"/>
                <w:sz w:val="24"/>
                <w:szCs w:val="24"/>
                <w:highlight w:val="none"/>
                <w:u w:val="none"/>
                <w:lang w:val="en-US" w:eastAsia="zh-CN" w:bidi="ar"/>
              </w:rPr>
              <w:t>面料经向断裂强力</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i w:val="0"/>
                <w:iCs w:val="0"/>
                <w:color w:val="auto"/>
                <w:kern w:val="0"/>
                <w:sz w:val="24"/>
                <w:szCs w:val="24"/>
                <w:highlight w:val="none"/>
                <w:u w:val="none"/>
                <w:lang w:val="en-US" w:eastAsia="zh-CN" w:bidi="ar"/>
              </w:rPr>
              <w:t>面料经向断裂强力</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i w:val="0"/>
                <w:iCs w:val="0"/>
                <w:color w:val="auto"/>
                <w:kern w:val="0"/>
                <w:sz w:val="24"/>
                <w:szCs w:val="24"/>
                <w:highlight w:val="none"/>
                <w:u w:val="none"/>
                <w:lang w:val="en-US" w:eastAsia="zh-CN" w:bidi="ar"/>
              </w:rPr>
              <w:t>面料经向断裂强力</w:t>
            </w:r>
            <w:r>
              <w:rPr>
                <w:rFonts w:hint="eastAsia" w:ascii="仿宋" w:hAnsi="仿宋" w:eastAsia="仿宋" w:cs="仿宋"/>
                <w:b/>
                <w:bCs/>
                <w:color w:val="auto"/>
                <w:sz w:val="24"/>
                <w:szCs w:val="24"/>
                <w:highlight w:val="none"/>
              </w:rPr>
              <w:t>最大，次优表示</w:t>
            </w:r>
            <w:r>
              <w:rPr>
                <w:rFonts w:hint="eastAsia" w:ascii="仿宋" w:hAnsi="仿宋" w:eastAsia="仿宋" w:cs="仿宋"/>
                <w:b/>
                <w:bCs/>
                <w:i w:val="0"/>
                <w:iCs w:val="0"/>
                <w:color w:val="auto"/>
                <w:kern w:val="0"/>
                <w:sz w:val="24"/>
                <w:szCs w:val="24"/>
                <w:highlight w:val="none"/>
                <w:u w:val="none"/>
                <w:lang w:val="en-US" w:eastAsia="zh-CN" w:bidi="ar"/>
              </w:rPr>
              <w:t>面料经向断裂强力</w:t>
            </w:r>
            <w:r>
              <w:rPr>
                <w:rFonts w:hint="eastAsia" w:ascii="仿宋" w:hAnsi="仿宋" w:eastAsia="仿宋" w:cs="仿宋"/>
                <w:b/>
                <w:bCs/>
                <w:color w:val="auto"/>
                <w:sz w:val="24"/>
                <w:szCs w:val="24"/>
                <w:highlight w:val="none"/>
              </w:rPr>
              <w:t>仅次于最大值。</w:t>
            </w:r>
          </w:p>
        </w:tc>
        <w:tc>
          <w:tcPr>
            <w:tcW w:w="492"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413" w:type="pct"/>
            <w:vMerge w:val="continue"/>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Times New Roman"/>
                <w:b w:val="0"/>
                <w:bCs w:val="0"/>
                <w:color w:val="auto"/>
                <w:sz w:val="24"/>
                <w:szCs w:val="24"/>
                <w:highlight w:val="none"/>
                <w:lang w:val="en-US" w:eastAsia="zh-CN"/>
              </w:rPr>
            </w:pPr>
          </w:p>
        </w:tc>
        <w:tc>
          <w:tcPr>
            <w:tcW w:w="832" w:type="pct"/>
            <w:tcBorders>
              <w:lef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▲3.2面料经向撕破强力应≥ 120 N</w:t>
            </w:r>
          </w:p>
        </w:tc>
        <w:tc>
          <w:tcPr>
            <w:tcW w:w="2993"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Times New Roman"/>
                <w:b w:val="0"/>
                <w:bCs w:val="0"/>
                <w:color w:val="auto"/>
                <w:sz w:val="24"/>
                <w:szCs w:val="24"/>
                <w:highlight w:val="none"/>
                <w:lang w:val="en-US" w:eastAsia="zh-CN"/>
              </w:rPr>
              <w:t>产品</w:t>
            </w:r>
            <w:r>
              <w:rPr>
                <w:rFonts w:hint="eastAsia" w:ascii="仿宋" w:hAnsi="仿宋" w:eastAsia="仿宋" w:cs="仿宋"/>
                <w:i w:val="0"/>
                <w:iCs w:val="0"/>
                <w:color w:val="auto"/>
                <w:kern w:val="0"/>
                <w:sz w:val="24"/>
                <w:szCs w:val="24"/>
                <w:highlight w:val="none"/>
                <w:u w:val="none"/>
                <w:lang w:val="en-US" w:eastAsia="zh-CN" w:bidi="ar"/>
              </w:rPr>
              <w:t>的面料经向撕破强力</w:t>
            </w:r>
            <w:r>
              <w:rPr>
                <w:rFonts w:hint="eastAsia" w:ascii="仿宋" w:hAnsi="仿宋" w:eastAsia="仿宋" w:cs="仿宋"/>
                <w:color w:val="auto"/>
                <w:sz w:val="24"/>
                <w:szCs w:val="24"/>
                <w:highlight w:val="none"/>
              </w:rPr>
              <w:t>优于招标文件要求的，</w:t>
            </w:r>
            <w:r>
              <w:rPr>
                <w:rFonts w:hint="eastAsia" w:ascii="仿宋" w:hAnsi="仿宋" w:eastAsia="仿宋" w:cs="仿宋"/>
                <w:i w:val="0"/>
                <w:iCs w:val="0"/>
                <w:color w:val="auto"/>
                <w:kern w:val="0"/>
                <w:sz w:val="24"/>
                <w:szCs w:val="24"/>
                <w:highlight w:val="none"/>
                <w:u w:val="none"/>
                <w:lang w:val="en-US" w:eastAsia="zh-CN" w:bidi="ar"/>
              </w:rPr>
              <w:t>面料经向撕破强力</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i w:val="0"/>
                <w:iCs w:val="0"/>
                <w:color w:val="auto"/>
                <w:kern w:val="0"/>
                <w:sz w:val="24"/>
                <w:szCs w:val="24"/>
                <w:highlight w:val="none"/>
                <w:u w:val="none"/>
                <w:lang w:val="en-US" w:eastAsia="zh-CN" w:bidi="ar"/>
              </w:rPr>
              <w:t>面料经向撕破强力</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i w:val="0"/>
                <w:iCs w:val="0"/>
                <w:color w:val="auto"/>
                <w:kern w:val="0"/>
                <w:sz w:val="24"/>
                <w:szCs w:val="24"/>
                <w:highlight w:val="none"/>
                <w:u w:val="none"/>
                <w:lang w:val="en-US" w:eastAsia="zh-CN" w:bidi="ar"/>
              </w:rPr>
              <w:t>面料经向撕破强力</w:t>
            </w:r>
            <w:r>
              <w:rPr>
                <w:rFonts w:hint="eastAsia" w:ascii="仿宋" w:hAnsi="仿宋" w:eastAsia="仿宋" w:cs="仿宋"/>
                <w:b/>
                <w:bCs/>
                <w:color w:val="auto"/>
                <w:sz w:val="24"/>
                <w:szCs w:val="24"/>
                <w:highlight w:val="none"/>
              </w:rPr>
              <w:t>最大，次优表示</w:t>
            </w:r>
            <w:r>
              <w:rPr>
                <w:rFonts w:hint="eastAsia" w:ascii="仿宋" w:hAnsi="仿宋" w:eastAsia="仿宋" w:cs="仿宋"/>
                <w:b/>
                <w:bCs/>
                <w:i w:val="0"/>
                <w:iCs w:val="0"/>
                <w:color w:val="auto"/>
                <w:kern w:val="0"/>
                <w:sz w:val="24"/>
                <w:szCs w:val="24"/>
                <w:highlight w:val="none"/>
                <w:u w:val="none"/>
                <w:lang w:val="en-US" w:eastAsia="zh-CN" w:bidi="ar"/>
              </w:rPr>
              <w:t>面料经向撕破强力</w:t>
            </w:r>
            <w:r>
              <w:rPr>
                <w:rFonts w:hint="eastAsia" w:ascii="仿宋" w:hAnsi="仿宋" w:eastAsia="仿宋" w:cs="仿宋"/>
                <w:b/>
                <w:bCs/>
                <w:color w:val="auto"/>
                <w:sz w:val="24"/>
                <w:szCs w:val="24"/>
                <w:highlight w:val="none"/>
              </w:rPr>
              <w:t>仅次于最大值。</w:t>
            </w:r>
          </w:p>
        </w:tc>
        <w:tc>
          <w:tcPr>
            <w:tcW w:w="492"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413" w:type="pct"/>
            <w:vMerge w:val="continue"/>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Times New Roman"/>
                <w:b w:val="0"/>
                <w:bCs w:val="0"/>
                <w:color w:val="auto"/>
                <w:sz w:val="24"/>
                <w:szCs w:val="24"/>
                <w:highlight w:val="none"/>
                <w:lang w:val="en-US" w:eastAsia="zh-CN"/>
              </w:rPr>
            </w:pPr>
          </w:p>
        </w:tc>
        <w:tc>
          <w:tcPr>
            <w:tcW w:w="832" w:type="pct"/>
            <w:tcBorders>
              <w:lef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▲3.9在0.6MPa的充气压力下，通过充气装置的气体流量应≥100L/min</w:t>
            </w:r>
          </w:p>
        </w:tc>
        <w:tc>
          <w:tcPr>
            <w:tcW w:w="2993"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Times New Roman"/>
                <w:b w:val="0"/>
                <w:bCs w:val="0"/>
                <w:color w:val="auto"/>
                <w:sz w:val="24"/>
                <w:szCs w:val="24"/>
                <w:highlight w:val="none"/>
                <w:lang w:val="en-US" w:eastAsia="zh-CN"/>
              </w:rPr>
              <w:t>产品</w:t>
            </w:r>
            <w:r>
              <w:rPr>
                <w:rFonts w:hint="eastAsia" w:ascii="仿宋" w:hAnsi="仿宋" w:eastAsia="仿宋" w:cs="仿宋"/>
                <w:i w:val="0"/>
                <w:iCs w:val="0"/>
                <w:color w:val="auto"/>
                <w:kern w:val="0"/>
                <w:sz w:val="24"/>
                <w:szCs w:val="24"/>
                <w:highlight w:val="none"/>
                <w:u w:val="none"/>
                <w:lang w:val="en-US" w:eastAsia="zh-CN" w:bidi="ar"/>
              </w:rPr>
              <w:t>在0.6MPa的充气压力下，通过充气装置的气体流量</w:t>
            </w:r>
            <w:r>
              <w:rPr>
                <w:rFonts w:hint="eastAsia" w:ascii="仿宋" w:hAnsi="仿宋" w:eastAsia="仿宋" w:cs="仿宋"/>
                <w:color w:val="auto"/>
                <w:sz w:val="24"/>
                <w:szCs w:val="24"/>
                <w:highlight w:val="none"/>
              </w:rPr>
              <w:t>优于招标文件要求的，</w:t>
            </w:r>
            <w:r>
              <w:rPr>
                <w:rFonts w:hint="eastAsia" w:ascii="仿宋" w:hAnsi="仿宋" w:eastAsia="仿宋" w:cs="仿宋"/>
                <w:i w:val="0"/>
                <w:iCs w:val="0"/>
                <w:color w:val="auto"/>
                <w:kern w:val="0"/>
                <w:sz w:val="24"/>
                <w:szCs w:val="24"/>
                <w:highlight w:val="none"/>
                <w:u w:val="none"/>
                <w:lang w:val="en-US" w:eastAsia="zh-CN" w:bidi="ar"/>
              </w:rPr>
              <w:t>在0.6MPa的充气压力下，通过充气装置的气体流量</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i w:val="0"/>
                <w:iCs w:val="0"/>
                <w:color w:val="auto"/>
                <w:kern w:val="0"/>
                <w:sz w:val="24"/>
                <w:szCs w:val="24"/>
                <w:highlight w:val="none"/>
                <w:u w:val="none"/>
                <w:lang w:val="en-US" w:eastAsia="zh-CN" w:bidi="ar"/>
              </w:rPr>
              <w:t>在0.6MPa的充气压力下，通过充气装置的气体流量</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i w:val="0"/>
                <w:iCs w:val="0"/>
                <w:color w:val="auto"/>
                <w:kern w:val="0"/>
                <w:sz w:val="24"/>
                <w:szCs w:val="24"/>
                <w:highlight w:val="none"/>
                <w:u w:val="none"/>
                <w:lang w:val="en-US" w:eastAsia="zh-CN" w:bidi="ar"/>
              </w:rPr>
              <w:t>在0.6MPa的充气压力下，通过充气装置的气体流量</w:t>
            </w:r>
            <w:r>
              <w:rPr>
                <w:rFonts w:hint="eastAsia" w:ascii="仿宋" w:hAnsi="仿宋" w:eastAsia="仿宋" w:cs="仿宋"/>
                <w:b/>
                <w:bCs/>
                <w:color w:val="auto"/>
                <w:sz w:val="24"/>
                <w:szCs w:val="24"/>
                <w:highlight w:val="none"/>
              </w:rPr>
              <w:t>最大，次优表示</w:t>
            </w:r>
            <w:r>
              <w:rPr>
                <w:rFonts w:hint="eastAsia" w:ascii="仿宋" w:hAnsi="仿宋" w:eastAsia="仿宋" w:cs="仿宋"/>
                <w:b/>
                <w:bCs/>
                <w:i w:val="0"/>
                <w:iCs w:val="0"/>
                <w:color w:val="auto"/>
                <w:kern w:val="0"/>
                <w:sz w:val="24"/>
                <w:szCs w:val="24"/>
                <w:highlight w:val="none"/>
                <w:u w:val="none"/>
                <w:lang w:val="en-US" w:eastAsia="zh-CN" w:bidi="ar"/>
              </w:rPr>
              <w:t>在0.6MPa的充气压力下，通过充气装置的气体流量</w:t>
            </w:r>
            <w:r>
              <w:rPr>
                <w:rFonts w:hint="eastAsia" w:ascii="仿宋" w:hAnsi="仿宋" w:eastAsia="仿宋" w:cs="仿宋"/>
                <w:b/>
                <w:bCs/>
                <w:color w:val="auto"/>
                <w:sz w:val="24"/>
                <w:szCs w:val="24"/>
                <w:highlight w:val="none"/>
              </w:rPr>
              <w:t>仅次于最大值。</w:t>
            </w:r>
          </w:p>
        </w:tc>
        <w:tc>
          <w:tcPr>
            <w:tcW w:w="492"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245"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一般参数</w:t>
            </w:r>
          </w:p>
        </w:tc>
        <w:tc>
          <w:tcPr>
            <w:tcW w:w="2993"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在完全满足招标文件“</w:t>
            </w:r>
            <w:r>
              <w:rPr>
                <w:rFonts w:hint="eastAsia" w:ascii="仿宋" w:hAnsi="仿宋" w:eastAsia="仿宋" w:cs="仿宋"/>
                <w:color w:val="auto"/>
                <w:sz w:val="24"/>
                <w:highlight w:val="none"/>
                <w:lang w:eastAsia="zh-CN"/>
              </w:rPr>
              <w:t>所有参数</w:t>
            </w:r>
            <w:r>
              <w:rPr>
                <w:rFonts w:hint="eastAsia" w:ascii="仿宋" w:hAnsi="仿宋" w:eastAsia="仿宋" w:cs="仿宋"/>
                <w:color w:val="auto"/>
                <w:sz w:val="24"/>
                <w:highlight w:val="none"/>
              </w:rPr>
              <w:t>”要求的基础上，每有一条“一般参数”优于的加1分，本项最多加</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分。（加分只针对具有“≥”或“≤”的数值，数值更加优于的进行加分；文字内容或其他内容优于的不加分）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注：“一般参数”为非标“★”号参数和非标“▲”号参数。</w:t>
            </w:r>
          </w:p>
        </w:tc>
        <w:tc>
          <w:tcPr>
            <w:tcW w:w="492"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268" w:type="pct"/>
            <w:vMerge w:val="continue"/>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731" w:type="pct"/>
            <w:gridSpan w:val="4"/>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评审依据：提供技术条款响应表和技术支撑文件</w:t>
            </w:r>
            <w:r>
              <w:rPr>
                <w:rFonts w:hint="eastAsia" w:ascii="仿宋" w:hAnsi="仿宋" w:eastAsia="仿宋" w:cs="仿宋"/>
                <w:b/>
                <w:bCs/>
                <w:color w:val="auto"/>
                <w:sz w:val="24"/>
                <w:highlight w:val="none"/>
                <w:lang w:eastAsia="zh-CN"/>
              </w:rPr>
              <w:t>。</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hint="eastAsia"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hint="eastAsia"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hint="eastAsia"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③制造商出具的技术参数证明材料并加盖制造商公章。]</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注：①供应商应认真提供技术支撑文件，若提供多份技术支撑文件，技术支撑文件佐证不一致时，优先级为：产品检测报告复印件＞制造商公开发布的印刷资料＞制造商出具的技术参数证明</w:t>
            </w:r>
            <w:r>
              <w:rPr>
                <w:rFonts w:hint="eastAsia" w:ascii="仿宋" w:hAnsi="仿宋" w:eastAsia="仿宋" w:cs="仿宋"/>
                <w:b/>
                <w:bCs/>
                <w:color w:val="auto"/>
                <w:sz w:val="24"/>
                <w:highlight w:val="none"/>
                <w:lang w:val="en-US" w:eastAsia="zh-CN"/>
              </w:rPr>
              <w:t>材料</w:t>
            </w:r>
            <w:r>
              <w:rPr>
                <w:rFonts w:hint="eastAsia" w:ascii="仿宋" w:hAnsi="仿宋" w:eastAsia="仿宋" w:cs="仿宋"/>
                <w:b/>
                <w:bCs/>
                <w:color w:val="auto"/>
                <w:sz w:val="24"/>
                <w:highlight w:val="none"/>
              </w:rPr>
              <w:t>；②技术支撑文件</w:t>
            </w:r>
            <w:r>
              <w:rPr>
                <w:rFonts w:hint="eastAsia" w:ascii="仿宋" w:hAnsi="仿宋" w:eastAsia="仿宋" w:cs="仿宋"/>
                <w:b/>
                <w:bCs/>
                <w:color w:val="auto"/>
                <w:sz w:val="24"/>
                <w:highlight w:val="none"/>
                <w:lang w:val="en-US" w:eastAsia="zh-CN"/>
              </w:rPr>
              <w:t>与</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不一致，则</w:t>
            </w:r>
            <w:r>
              <w:rPr>
                <w:rFonts w:hint="eastAsia" w:ascii="仿宋" w:hAnsi="仿宋" w:eastAsia="仿宋" w:cs="仿宋"/>
                <w:b/>
                <w:bCs/>
                <w:color w:val="auto"/>
                <w:sz w:val="24"/>
                <w:highlight w:val="none"/>
              </w:rPr>
              <w:t>该点不加分</w:t>
            </w:r>
            <w:r>
              <w:rPr>
                <w:rFonts w:hint="eastAsia" w:ascii="仿宋" w:hAnsi="仿宋" w:eastAsia="仿宋" w:cs="仿宋"/>
                <w:b/>
                <w:bCs/>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68"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245"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整体结构与外观</w:t>
            </w:r>
          </w:p>
        </w:tc>
        <w:tc>
          <w:tcPr>
            <w:tcW w:w="2993"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w:t>
            </w:r>
            <w:r>
              <w:rPr>
                <w:rFonts w:hint="eastAsia" w:ascii="仿宋" w:hAnsi="仿宋" w:eastAsia="仿宋" w:cs="仿宋"/>
                <w:color w:val="auto"/>
                <w:sz w:val="24"/>
                <w:highlight w:val="none"/>
                <w:lang w:val="en-US" w:eastAsia="zh-CN"/>
              </w:rPr>
              <w:t>核心</w:t>
            </w:r>
            <w:r>
              <w:rPr>
                <w:rFonts w:hint="eastAsia" w:ascii="仿宋" w:hAnsi="仿宋" w:eastAsia="仿宋" w:cs="仿宋"/>
                <w:color w:val="auto"/>
                <w:sz w:val="24"/>
                <w:highlight w:val="none"/>
              </w:rPr>
              <w:t>产品的外观构造、内部结构、设计理念等进行评审。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设计理念先进，外部构造和内部结构科学合理，整体结构外观与实战紧贴程度高的，得3分；设计理念较为先进，外部构造和内部结构较为合理，整体结构外观与实战紧贴程度较高的，得2分；设计理念一般，外观构造和内部结构基本合理，整体结构外观与实战紧贴程度不高的，得1分；未提供证明材料或证明材料有缺项的不得分。</w:t>
            </w:r>
          </w:p>
        </w:tc>
        <w:tc>
          <w:tcPr>
            <w:tcW w:w="492"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245"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工艺</w:t>
            </w:r>
          </w:p>
        </w:tc>
        <w:tc>
          <w:tcPr>
            <w:tcW w:w="2993"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w:t>
            </w:r>
            <w:r>
              <w:rPr>
                <w:rFonts w:hint="eastAsia" w:ascii="仿宋" w:hAnsi="仿宋" w:eastAsia="仿宋" w:cs="仿宋"/>
                <w:color w:val="auto"/>
                <w:sz w:val="24"/>
                <w:highlight w:val="none"/>
                <w:lang w:val="en-US" w:eastAsia="zh-CN"/>
              </w:rPr>
              <w:t>核心</w:t>
            </w:r>
            <w:r>
              <w:rPr>
                <w:rFonts w:hint="eastAsia" w:ascii="仿宋" w:hAnsi="仿宋" w:eastAsia="仿宋" w:cs="仿宋"/>
                <w:color w:val="auto"/>
                <w:sz w:val="24"/>
                <w:highlight w:val="none"/>
              </w:rPr>
              <w:t>产品的安全性、耐用性、实用性等进行评审。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性能高、耐用性能好、实用性能强，工艺符合实战需求程度高的，得3分；安全性能较高、耐用性能良好、实用性能较强，工艺符合实战需求程度较高的，得2分；安全性能不高、耐用性能普通、实用性能一般，工艺符合实战需求程度不高的，得1分；未提供证明材料或证明材料有缺项的不得分。</w:t>
            </w:r>
          </w:p>
        </w:tc>
        <w:tc>
          <w:tcPr>
            <w:tcW w:w="492"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245"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操作使用性能</w:t>
            </w:r>
          </w:p>
        </w:tc>
        <w:tc>
          <w:tcPr>
            <w:tcW w:w="2993"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w:t>
            </w:r>
            <w:r>
              <w:rPr>
                <w:rFonts w:hint="eastAsia" w:ascii="仿宋" w:hAnsi="仿宋" w:eastAsia="仿宋" w:cs="仿宋"/>
                <w:color w:val="auto"/>
                <w:sz w:val="24"/>
                <w:highlight w:val="none"/>
                <w:lang w:val="en-US" w:eastAsia="zh-CN"/>
              </w:rPr>
              <w:t>核心</w:t>
            </w:r>
            <w:r>
              <w:rPr>
                <w:rFonts w:hint="eastAsia" w:ascii="仿宋" w:hAnsi="仿宋" w:eastAsia="仿宋" w:cs="仿宋"/>
                <w:color w:val="auto"/>
                <w:sz w:val="24"/>
                <w:highlight w:val="none"/>
              </w:rPr>
              <w:t>产品的可靠性、便捷性、稳定性等进行评审。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可靠性高、便捷性好、稳定性好，操作使用性能提升战斗力程度高的，得4分；可靠性较高、便捷性较好、稳定性良好，操作使用性能提升战斗力程度较高的，得2分；可靠性不高、便捷性和稳定性一般，操作使用性能提升战斗力程度不高的，得1分；未提供证明材料或证明材料有缺项的不得分。</w:t>
            </w:r>
          </w:p>
        </w:tc>
        <w:tc>
          <w:tcPr>
            <w:tcW w:w="492"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731" w:type="pct"/>
            <w:gridSpan w:val="4"/>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lang w:eastAsia="zh-CN"/>
              </w:rPr>
            </w:pPr>
            <w:r>
              <w:rPr>
                <w:rFonts w:hint="eastAsia" w:ascii="仿宋" w:hAnsi="仿宋" w:eastAsia="仿宋" w:cs="仿宋"/>
                <w:b/>
                <w:bCs/>
                <w:color w:val="auto"/>
                <w:sz w:val="24"/>
                <w:highlight w:val="none"/>
              </w:rPr>
              <w:t>以上评审依据：根据视频文件对产品的整体结构与外观、工艺、操作使用性能进行综合评审，视频文件需对以上三点评审内容进行介绍（包含但不限于以上三点）。视频文件[视频文件格式须为通用格式，佐证视频时长不得超过5分钟，视频清晰度应至少保证所摄的界面文字清晰易辨、画面完整连贯、播放速度正常]应存储于U盘内（单独密封在信封中）与投标文件同时递交，逾期递交不予接收，</w:t>
            </w:r>
            <w:r>
              <w:rPr>
                <w:rFonts w:hint="eastAsia" w:ascii="仿宋" w:hAnsi="仿宋" w:eastAsia="仿宋" w:cs="仿宋"/>
                <w:b/>
                <w:bCs/>
                <w:color w:val="auto"/>
                <w:sz w:val="24"/>
                <w:highlight w:val="none"/>
                <w:lang w:eastAsia="zh-CN"/>
              </w:rPr>
              <w:t>U盘由采购代理机构封存，不予退回。未提供视频或视频无法打开的，得0分。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三、商务部分（1</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2"/>
        <w:gridCol w:w="1524"/>
        <w:gridCol w:w="5454"/>
        <w:gridCol w:w="8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6"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序号</w:t>
            </w:r>
          </w:p>
        </w:tc>
        <w:tc>
          <w:tcPr>
            <w:tcW w:w="894"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评审因素</w:t>
            </w:r>
          </w:p>
        </w:tc>
        <w:tc>
          <w:tcPr>
            <w:tcW w:w="3200"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评分标准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6"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1</w:t>
            </w:r>
          </w:p>
        </w:tc>
        <w:tc>
          <w:tcPr>
            <w:tcW w:w="894" w:type="pct"/>
            <w:vAlign w:val="center"/>
          </w:tcPr>
          <w:p>
            <w:pPr>
              <w:pageBreakBefore w:val="0"/>
              <w:kinsoku/>
              <w:wordWrap/>
              <w:overflowPunct/>
              <w:topLinePunct w:val="0"/>
              <w:autoSpaceDE/>
              <w:autoSpaceDN/>
              <w:bidi w:val="0"/>
              <w:adjustRightInd/>
              <w:snapToGrid/>
              <w:spacing w:line="460" w:lineRule="exact"/>
              <w:jc w:val="center"/>
              <w:rPr>
                <w:rFonts w:eastAsia="仿宋"/>
                <w:bCs/>
                <w:color w:val="auto"/>
                <w:sz w:val="24"/>
                <w:szCs w:val="22"/>
                <w:highlight w:val="none"/>
              </w:rPr>
            </w:pPr>
            <w:r>
              <w:rPr>
                <w:rFonts w:hint="eastAsia" w:ascii="仿宋" w:hAnsi="仿宋" w:eastAsia="仿宋" w:cs="仿宋"/>
                <w:color w:val="auto"/>
                <w:sz w:val="24"/>
                <w:highlight w:val="none"/>
              </w:rPr>
              <w:t>符合性评审</w:t>
            </w:r>
          </w:p>
        </w:tc>
        <w:tc>
          <w:tcPr>
            <w:tcW w:w="3698" w:type="pct"/>
            <w:gridSpan w:val="2"/>
            <w:vAlign w:val="center"/>
          </w:tcPr>
          <w:p>
            <w:pPr>
              <w:pageBreakBefore w:val="0"/>
              <w:kinsoku/>
              <w:wordWrap/>
              <w:overflowPunct/>
              <w:topLinePunct w:val="0"/>
              <w:autoSpaceDE/>
              <w:autoSpaceDN/>
              <w:bidi w:val="0"/>
              <w:adjustRightInd/>
              <w:snapToGrid/>
              <w:spacing w:line="460" w:lineRule="exact"/>
              <w:rPr>
                <w:rFonts w:eastAsia="仿宋" w:cs="Times New Roman"/>
                <w:color w:val="auto"/>
                <w:sz w:val="24"/>
                <w:szCs w:val="22"/>
                <w:highlight w:val="none"/>
              </w:rPr>
            </w:pPr>
            <w:r>
              <w:rPr>
                <w:rFonts w:hint="eastAsia" w:eastAsia="仿宋" w:cs="Times New Roman"/>
                <w:color w:val="auto"/>
                <w:sz w:val="24"/>
                <w:szCs w:val="22"/>
                <w:highlight w:val="none"/>
              </w:rPr>
              <w:t>投标人必须完全满足招标文件“商务要求”</w:t>
            </w:r>
            <w:r>
              <w:rPr>
                <w:rFonts w:hint="eastAsia" w:eastAsia="仿宋" w:cs="Times New Roman"/>
                <w:color w:val="auto"/>
                <w:sz w:val="24"/>
                <w:szCs w:val="22"/>
                <w:highlight w:val="none"/>
                <w:lang w:val="en-US" w:eastAsia="zh-CN"/>
              </w:rPr>
              <w:t>所有</w:t>
            </w:r>
            <w:r>
              <w:rPr>
                <w:rFonts w:hint="eastAsia" w:eastAsia="仿宋" w:cs="Times New Roman"/>
                <w:color w:val="auto"/>
                <w:sz w:val="24"/>
                <w:szCs w:val="22"/>
                <w:highlight w:val="none"/>
              </w:rPr>
              <w:t>实质性条款，任意一项不满足作无效投标处理。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eastAsia="仿宋" w:cs="Times New Roman"/>
                <w:b/>
                <w:bCs/>
                <w:color w:val="auto"/>
                <w:sz w:val="24"/>
                <w:szCs w:val="22"/>
                <w:highlight w:val="none"/>
              </w:rPr>
              <w:t>评审依据：投标文件中提供的商务条款响应表。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6"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2</w:t>
            </w:r>
          </w:p>
        </w:tc>
        <w:tc>
          <w:tcPr>
            <w:tcW w:w="894" w:type="pct"/>
            <w:vAlign w:val="center"/>
          </w:tcPr>
          <w:p>
            <w:pPr>
              <w:pageBreakBefore w:val="0"/>
              <w:kinsoku/>
              <w:wordWrap/>
              <w:overflowPunct/>
              <w:topLinePunct w:val="0"/>
              <w:autoSpaceDE/>
              <w:autoSpaceDN/>
              <w:bidi w:val="0"/>
              <w:adjustRightInd/>
              <w:snapToGrid/>
              <w:spacing w:line="460" w:lineRule="exact"/>
              <w:jc w:val="center"/>
              <w:rPr>
                <w:rFonts w:hint="eastAsia" w:eastAsia="仿宋"/>
                <w:color w:val="auto"/>
                <w:sz w:val="24"/>
                <w:szCs w:val="22"/>
                <w:highlight w:val="none"/>
                <w:lang w:eastAsia="zh-CN"/>
              </w:rPr>
            </w:pPr>
            <w:r>
              <w:rPr>
                <w:rFonts w:hint="eastAsia" w:eastAsia="仿宋"/>
                <w:color w:val="auto"/>
                <w:sz w:val="24"/>
                <w:szCs w:val="22"/>
                <w:highlight w:val="none"/>
                <w:lang w:eastAsia="zh-CN"/>
              </w:rPr>
              <w:t>生产制造履约能力</w:t>
            </w:r>
          </w:p>
        </w:tc>
        <w:tc>
          <w:tcPr>
            <w:tcW w:w="3200" w:type="pct"/>
            <w:vAlign w:val="center"/>
          </w:tcPr>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val="en-US" w:eastAsia="zh-CN"/>
              </w:rPr>
              <w:t>投标人提供所投</w:t>
            </w:r>
            <w:r>
              <w:rPr>
                <w:rFonts w:hint="eastAsia" w:ascii="仿宋" w:hAnsi="仿宋" w:eastAsia="仿宋" w:cs="仿宋"/>
                <w:color w:val="auto"/>
                <w:sz w:val="24"/>
                <w:highlight w:val="none"/>
                <w:lang w:val="en-US" w:eastAsia="zh-CN"/>
              </w:rPr>
              <w:t>核心</w:t>
            </w:r>
            <w:r>
              <w:rPr>
                <w:rFonts w:hint="eastAsia" w:eastAsia="仿宋" w:cs="Times New Roman"/>
                <w:color w:val="auto"/>
                <w:sz w:val="24"/>
                <w:szCs w:val="22"/>
                <w:highlight w:val="none"/>
                <w:lang w:val="en-US" w:eastAsia="zh-CN"/>
              </w:rPr>
              <w:t>产品制造商的证明材料（应加盖制造商公章）</w:t>
            </w:r>
            <w:r>
              <w:rPr>
                <w:rFonts w:hint="eastAsia" w:eastAsia="仿宋" w:cs="Times New Roman"/>
                <w:color w:val="auto"/>
                <w:sz w:val="24"/>
                <w:szCs w:val="22"/>
                <w:highlight w:val="none"/>
              </w:rPr>
              <w:t>对</w:t>
            </w:r>
            <w:r>
              <w:rPr>
                <w:rFonts w:hint="eastAsia" w:eastAsia="仿宋" w:cs="Times New Roman"/>
                <w:color w:val="auto"/>
                <w:sz w:val="24"/>
                <w:szCs w:val="22"/>
                <w:highlight w:val="none"/>
                <w:lang w:eastAsia="zh-CN"/>
              </w:rPr>
              <w:t>生产制造履约能力</w:t>
            </w:r>
            <w:r>
              <w:rPr>
                <w:rFonts w:hint="eastAsia" w:eastAsia="仿宋" w:cs="Times New Roman"/>
                <w:color w:val="auto"/>
                <w:sz w:val="24"/>
                <w:szCs w:val="22"/>
                <w:highlight w:val="none"/>
              </w:rPr>
              <w:t>进行评审，包含但不限于</w:t>
            </w:r>
            <w:r>
              <w:rPr>
                <w:rFonts w:hint="eastAsia" w:eastAsia="仿宋" w:cs="Times New Roman"/>
                <w:color w:val="auto"/>
                <w:sz w:val="24"/>
                <w:szCs w:val="22"/>
                <w:highlight w:val="none"/>
                <w:lang w:eastAsia="zh-CN"/>
              </w:rPr>
              <w:t>：</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eastAsia="zh-CN"/>
              </w:rPr>
              <w:t>①制造商生产经营情况简介；</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②</w:t>
            </w:r>
            <w:r>
              <w:rPr>
                <w:rFonts w:hint="eastAsia" w:eastAsia="仿宋" w:cs="Times New Roman"/>
                <w:color w:val="auto"/>
                <w:sz w:val="24"/>
                <w:szCs w:val="22"/>
                <w:highlight w:val="none"/>
                <w:lang w:eastAsia="zh-CN"/>
              </w:rPr>
              <w:t>生产工艺流程，主要包括生产制造流程图、生产步骤（应含生产车间环境及实际生产照片）等相关情况描述；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③产品检验流程，包括主要检验设备</w:t>
            </w:r>
            <w:r>
              <w:rPr>
                <w:rFonts w:hint="eastAsia" w:eastAsia="仿宋" w:cs="Times New Roman"/>
                <w:color w:val="auto"/>
                <w:sz w:val="24"/>
                <w:szCs w:val="22"/>
                <w:highlight w:val="none"/>
                <w:lang w:eastAsia="zh-CN"/>
              </w:rPr>
              <w:t>（应提供图片）</w:t>
            </w:r>
            <w:r>
              <w:rPr>
                <w:rFonts w:hint="eastAsia" w:eastAsia="仿宋" w:cs="Times New Roman"/>
                <w:color w:val="auto"/>
                <w:sz w:val="24"/>
                <w:szCs w:val="22"/>
                <w:highlight w:val="none"/>
              </w:rPr>
              <w:t>、检验步骤等相关情况描述；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④人员配备：相关专业技术</w:t>
            </w:r>
            <w:r>
              <w:rPr>
                <w:rFonts w:hint="eastAsia" w:eastAsia="仿宋" w:cs="Times New Roman"/>
                <w:color w:val="auto"/>
                <w:sz w:val="24"/>
                <w:szCs w:val="22"/>
                <w:highlight w:val="none"/>
                <w:lang w:eastAsia="zh-CN"/>
              </w:rPr>
              <w:t>职称</w:t>
            </w:r>
            <w:r>
              <w:rPr>
                <w:rFonts w:hint="eastAsia" w:eastAsia="仿宋" w:cs="Times New Roman"/>
                <w:color w:val="auto"/>
                <w:sz w:val="24"/>
                <w:szCs w:val="22"/>
                <w:highlight w:val="none"/>
              </w:rPr>
              <w:t>人员配置情况</w:t>
            </w:r>
            <w:r>
              <w:rPr>
                <w:rFonts w:hint="eastAsia" w:eastAsia="仿宋" w:cs="Times New Roman"/>
                <w:color w:val="auto"/>
                <w:sz w:val="24"/>
                <w:szCs w:val="22"/>
                <w:highlight w:val="none"/>
                <w:lang w:eastAsia="zh-CN"/>
              </w:rPr>
              <w:t>；</w:t>
            </w:r>
            <w:r>
              <w:rPr>
                <w:rFonts w:hint="eastAsia" w:eastAsia="仿宋" w:cs="Times New Roman"/>
                <w:color w:val="auto"/>
                <w:sz w:val="24"/>
                <w:szCs w:val="22"/>
                <w:highlight w:val="none"/>
              </w:rPr>
              <w:t>各原材料采购、生产、检验、仓储、运输等环节的人员配备情况；</w:t>
            </w:r>
          </w:p>
          <w:p>
            <w:pPr>
              <w:pageBreakBefore w:val="0"/>
              <w:kinsoku/>
              <w:wordWrap/>
              <w:overflowPunct/>
              <w:topLinePunct w:val="0"/>
              <w:autoSpaceDE/>
              <w:autoSpaceDN/>
              <w:bidi w:val="0"/>
              <w:adjustRightInd/>
              <w:snapToGrid/>
              <w:spacing w:line="460" w:lineRule="exact"/>
              <w:rPr>
                <w:rFonts w:hint="eastAsia" w:eastAsia="仿宋" w:cs="Times New Roman"/>
                <w:b/>
                <w:bCs/>
                <w:color w:val="auto"/>
                <w:sz w:val="24"/>
                <w:szCs w:val="22"/>
                <w:highlight w:val="none"/>
              </w:rPr>
            </w:pPr>
            <w:r>
              <w:rPr>
                <w:rFonts w:hint="eastAsia" w:eastAsia="仿宋" w:cs="Times New Roman"/>
                <w:b/>
                <w:bCs/>
                <w:color w:val="auto"/>
                <w:sz w:val="24"/>
                <w:szCs w:val="22"/>
                <w:highlight w:val="none"/>
              </w:rPr>
              <w:t>评审依据：</w:t>
            </w:r>
            <w:r>
              <w:rPr>
                <w:rFonts w:hint="eastAsia" w:eastAsia="仿宋" w:cs="Times New Roman"/>
                <w:b/>
                <w:bCs/>
                <w:color w:val="auto"/>
                <w:sz w:val="24"/>
                <w:szCs w:val="22"/>
                <w:highlight w:val="none"/>
                <w:lang w:val="en-US" w:eastAsia="zh-CN"/>
              </w:rPr>
              <w:t>根据</w:t>
            </w:r>
            <w:r>
              <w:rPr>
                <w:rFonts w:hint="eastAsia" w:eastAsia="仿宋" w:cs="Times New Roman"/>
                <w:b/>
                <w:bCs/>
                <w:color w:val="auto"/>
                <w:sz w:val="24"/>
                <w:szCs w:val="22"/>
                <w:highlight w:val="none"/>
              </w:rPr>
              <w:t>投标人提</w:t>
            </w:r>
            <w:r>
              <w:rPr>
                <w:rFonts w:hint="eastAsia" w:eastAsia="仿宋" w:cs="Times New Roman"/>
                <w:b/>
                <w:bCs/>
                <w:color w:val="auto"/>
                <w:sz w:val="24"/>
                <w:szCs w:val="22"/>
                <w:highlight w:val="none"/>
                <w:lang w:val="en-US" w:eastAsia="zh-CN"/>
              </w:rPr>
              <w:t>供的生产制造履约能力方案内容完整性、组织性、关联性和可操作性进行评审</w:t>
            </w:r>
            <w:r>
              <w:rPr>
                <w:rFonts w:hint="eastAsia" w:eastAsia="仿宋" w:cs="Times New Roman"/>
                <w:b/>
                <w:bCs/>
                <w:color w:val="auto"/>
                <w:sz w:val="24"/>
                <w:szCs w:val="22"/>
                <w:highlight w:val="none"/>
              </w:rPr>
              <w:t>。</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1、所投</w:t>
            </w:r>
            <w:r>
              <w:rPr>
                <w:rFonts w:hint="eastAsia" w:ascii="仿宋" w:hAnsi="仿宋" w:eastAsia="仿宋" w:cs="仿宋"/>
                <w:b/>
                <w:bCs/>
                <w:color w:val="auto"/>
                <w:sz w:val="24"/>
                <w:highlight w:val="none"/>
                <w:lang w:val="en-US" w:eastAsia="zh-CN"/>
              </w:rPr>
              <w:t>核心</w:t>
            </w:r>
            <w:r>
              <w:rPr>
                <w:rFonts w:hint="eastAsia" w:eastAsia="仿宋" w:cs="Times New Roman"/>
                <w:b/>
                <w:bCs/>
                <w:color w:val="auto"/>
                <w:sz w:val="24"/>
                <w:szCs w:val="22"/>
                <w:highlight w:val="none"/>
                <w:lang w:val="en-US" w:eastAsia="zh-CN"/>
              </w:rPr>
              <w:t>产品</w:t>
            </w:r>
            <w:r>
              <w:rPr>
                <w:rFonts w:hint="eastAsia" w:ascii="仿宋" w:hAnsi="仿宋" w:eastAsia="仿宋" w:cs="仿宋"/>
                <w:b/>
                <w:bCs/>
                <w:color w:val="auto"/>
                <w:sz w:val="24"/>
                <w:szCs w:val="24"/>
                <w:highlight w:val="none"/>
                <w:lang w:val="en-US" w:eastAsia="zh-CN"/>
              </w:rPr>
              <w:t>制造商具备较强自主研发能力及先进的生产工艺，生产车间环境及生产线先进规范，生产步骤完整周详，技术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检验设备配置齐全、检验步骤严密无纰漏，生产制造履约能力</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分；</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2、所投</w:t>
            </w:r>
            <w:r>
              <w:rPr>
                <w:rFonts w:hint="eastAsia" w:ascii="仿宋" w:hAnsi="仿宋" w:eastAsia="仿宋" w:cs="仿宋"/>
                <w:b/>
                <w:bCs/>
                <w:color w:val="auto"/>
                <w:sz w:val="24"/>
                <w:highlight w:val="none"/>
                <w:lang w:val="en-US" w:eastAsia="zh-CN"/>
              </w:rPr>
              <w:t>核心</w:t>
            </w:r>
            <w:r>
              <w:rPr>
                <w:rFonts w:hint="eastAsia" w:eastAsia="仿宋" w:cs="Times New Roman"/>
                <w:b/>
                <w:bCs/>
                <w:color w:val="auto"/>
                <w:sz w:val="24"/>
                <w:szCs w:val="22"/>
                <w:highlight w:val="none"/>
                <w:lang w:val="en-US" w:eastAsia="zh-CN"/>
              </w:rPr>
              <w:t>产品</w:t>
            </w:r>
            <w:r>
              <w:rPr>
                <w:rFonts w:hint="eastAsia" w:ascii="仿宋" w:hAnsi="仿宋" w:eastAsia="仿宋" w:cs="仿宋"/>
                <w:b/>
                <w:bCs/>
                <w:color w:val="auto"/>
                <w:sz w:val="24"/>
                <w:szCs w:val="24"/>
                <w:highlight w:val="none"/>
                <w:lang w:val="en-US" w:eastAsia="zh-CN"/>
              </w:rPr>
              <w:t>制造商有自主研发能力和生产工艺较完整，生产车间环境及生产线常规，生产步骤较完整周详，技术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eastAsia="zh-CN"/>
              </w:rPr>
              <w:t>相对</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检验设备配置较齐全、检验步骤相对完备，生产制造履约能力</w:t>
            </w:r>
            <w:r>
              <w:rPr>
                <w:rFonts w:hint="eastAsia" w:ascii="仿宋" w:hAnsi="仿宋" w:eastAsia="仿宋" w:cs="仿宋"/>
                <w:b/>
                <w:bCs/>
                <w:color w:val="auto"/>
                <w:sz w:val="24"/>
                <w:szCs w:val="24"/>
                <w:highlight w:val="none"/>
                <w:lang w:eastAsia="zh-CN"/>
              </w:rPr>
              <w:t>较</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3、所投</w:t>
            </w:r>
            <w:r>
              <w:rPr>
                <w:rFonts w:hint="eastAsia" w:ascii="仿宋" w:hAnsi="仿宋" w:eastAsia="仿宋" w:cs="仿宋"/>
                <w:b/>
                <w:bCs/>
                <w:color w:val="auto"/>
                <w:sz w:val="24"/>
                <w:highlight w:val="none"/>
                <w:lang w:val="en-US" w:eastAsia="zh-CN"/>
              </w:rPr>
              <w:t>核心</w:t>
            </w:r>
            <w:r>
              <w:rPr>
                <w:rFonts w:hint="eastAsia" w:eastAsia="仿宋" w:cs="Times New Roman"/>
                <w:b/>
                <w:bCs/>
                <w:color w:val="auto"/>
                <w:sz w:val="24"/>
                <w:szCs w:val="22"/>
                <w:highlight w:val="none"/>
                <w:lang w:val="en-US" w:eastAsia="zh-CN"/>
              </w:rPr>
              <w:t>产品</w:t>
            </w:r>
            <w:r>
              <w:rPr>
                <w:rFonts w:hint="eastAsia" w:ascii="仿宋" w:hAnsi="仿宋" w:eastAsia="仿宋" w:cs="仿宋"/>
                <w:b/>
                <w:bCs/>
                <w:color w:val="auto"/>
                <w:sz w:val="24"/>
                <w:szCs w:val="24"/>
                <w:highlight w:val="none"/>
                <w:lang w:val="en-US" w:eastAsia="zh-CN"/>
              </w:rPr>
              <w:t>制造商有自主研发能力和生产工艺薄弱，生产车间环境及生产线粗糙落后，生产步骤简单，技术</w:t>
            </w:r>
            <w:r>
              <w:rPr>
                <w:rFonts w:hint="eastAsia" w:ascii="仿宋" w:hAnsi="仿宋" w:eastAsia="仿宋" w:cs="仿宋"/>
                <w:b/>
                <w:bCs/>
                <w:color w:val="auto"/>
                <w:sz w:val="24"/>
                <w:szCs w:val="24"/>
                <w:highlight w:val="none"/>
              </w:rPr>
              <w:t>人员</w:t>
            </w:r>
            <w:r>
              <w:rPr>
                <w:rFonts w:hint="eastAsia" w:ascii="仿宋" w:hAnsi="仿宋" w:eastAsia="仿宋" w:cs="仿宋"/>
                <w:b/>
                <w:bCs/>
                <w:color w:val="auto"/>
                <w:sz w:val="24"/>
                <w:szCs w:val="24"/>
                <w:highlight w:val="none"/>
                <w:lang w:eastAsia="zh-CN"/>
              </w:rPr>
              <w:t>综合实力一般，</w:t>
            </w:r>
            <w:r>
              <w:rPr>
                <w:rFonts w:hint="eastAsia" w:ascii="仿宋" w:hAnsi="仿宋" w:eastAsia="仿宋" w:cs="仿宋"/>
                <w:b/>
                <w:bCs/>
                <w:color w:val="auto"/>
                <w:sz w:val="24"/>
                <w:szCs w:val="24"/>
                <w:highlight w:val="none"/>
                <w:lang w:val="en-US" w:eastAsia="zh-CN"/>
              </w:rPr>
              <w:t>检验设备配置简单落后，检验步骤普通，生产制造履约能力</w:t>
            </w:r>
            <w:r>
              <w:rPr>
                <w:rFonts w:hint="eastAsia" w:ascii="仿宋" w:hAnsi="仿宋" w:eastAsia="仿宋" w:cs="仿宋"/>
                <w:b/>
                <w:bCs/>
                <w:color w:val="auto"/>
                <w:sz w:val="24"/>
                <w:szCs w:val="24"/>
                <w:highlight w:val="none"/>
                <w:lang w:eastAsia="zh-CN"/>
              </w:rPr>
              <w:t>弱</w:t>
            </w:r>
            <w:r>
              <w:rPr>
                <w:rFonts w:hint="eastAsia" w:ascii="仿宋" w:hAnsi="仿宋" w:eastAsia="仿宋" w:cs="仿宋"/>
                <w:b/>
                <w:bCs/>
                <w:color w:val="auto"/>
                <w:sz w:val="24"/>
                <w:szCs w:val="24"/>
                <w:highlight w:val="none"/>
              </w:rPr>
              <w:t>的得</w:t>
            </w: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未提供证明材料或证明材料有缺项的不得分。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6"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3</w:t>
            </w:r>
          </w:p>
        </w:tc>
        <w:tc>
          <w:tcPr>
            <w:tcW w:w="894"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质量保证和保修</w:t>
            </w:r>
          </w:p>
        </w:tc>
        <w:tc>
          <w:tcPr>
            <w:tcW w:w="3200" w:type="pct"/>
            <w:vAlign w:val="center"/>
          </w:tcPr>
          <w:p>
            <w:pPr>
              <w:pageBreakBefore w:val="0"/>
              <w:kinsoku/>
              <w:wordWrap/>
              <w:overflowPunct/>
              <w:topLinePunct w:val="0"/>
              <w:autoSpaceDE/>
              <w:autoSpaceDN/>
              <w:bidi w:val="0"/>
              <w:adjustRightInd/>
              <w:snapToGrid/>
              <w:spacing w:line="460" w:lineRule="exact"/>
              <w:jc w:val="left"/>
              <w:rPr>
                <w:rFonts w:eastAsia="仿宋"/>
                <w:color w:val="auto"/>
                <w:sz w:val="24"/>
                <w:szCs w:val="22"/>
                <w:highlight w:val="none"/>
              </w:rPr>
            </w:pPr>
            <w:r>
              <w:rPr>
                <w:rFonts w:eastAsia="仿宋"/>
                <w:color w:val="auto"/>
                <w:sz w:val="24"/>
                <w:szCs w:val="22"/>
                <w:highlight w:val="none"/>
              </w:rPr>
              <w:t>在招标文件商务要求中“质保期”和“保修期”要求基础上，承诺“质保期”和“保修期”均每延长一年的加2分，最多加4分。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eastAsia="仿宋"/>
                <w:b/>
                <w:color w:val="auto"/>
                <w:sz w:val="24"/>
                <w:szCs w:val="22"/>
                <w:highlight w:val="none"/>
              </w:rPr>
              <w:t>评审依据：投标文件中提供“质保期”和“保修期”均延长的承诺函原件。</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406"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w:t>
            </w:r>
          </w:p>
        </w:tc>
        <w:tc>
          <w:tcPr>
            <w:tcW w:w="894"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类似销售</w:t>
            </w:r>
          </w:p>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案例</w:t>
            </w:r>
          </w:p>
        </w:tc>
        <w:tc>
          <w:tcPr>
            <w:tcW w:w="3200" w:type="pct"/>
            <w:vAlign w:val="center"/>
          </w:tcPr>
          <w:p>
            <w:pPr>
              <w:pageBreakBefore w:val="0"/>
              <w:kinsoku/>
              <w:wordWrap/>
              <w:overflowPunct/>
              <w:topLinePunct w:val="0"/>
              <w:autoSpaceDE/>
              <w:autoSpaceDN/>
              <w:bidi w:val="0"/>
              <w:adjustRightInd/>
              <w:snapToGrid/>
              <w:spacing w:line="460" w:lineRule="exact"/>
              <w:jc w:val="lef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投标人自</w:t>
            </w:r>
            <w:r>
              <w:rPr>
                <w:rFonts w:eastAsia="仿宋" w:cs="Times New Roman"/>
                <w:color w:val="auto"/>
                <w:sz w:val="24"/>
                <w:szCs w:val="22"/>
                <w:highlight w:val="none"/>
              </w:rPr>
              <w:t>20</w:t>
            </w:r>
            <w:r>
              <w:rPr>
                <w:rFonts w:hint="eastAsia" w:eastAsia="仿宋" w:cs="Times New Roman"/>
                <w:color w:val="auto"/>
                <w:sz w:val="24"/>
                <w:szCs w:val="22"/>
                <w:highlight w:val="none"/>
              </w:rPr>
              <w:t>2</w:t>
            </w:r>
            <w:r>
              <w:rPr>
                <w:rFonts w:hint="eastAsia" w:eastAsia="仿宋" w:cs="Times New Roman"/>
                <w:color w:val="auto"/>
                <w:sz w:val="24"/>
                <w:szCs w:val="22"/>
                <w:highlight w:val="none"/>
                <w:lang w:val="en-US" w:eastAsia="zh-CN"/>
              </w:rPr>
              <w:t>1</w:t>
            </w:r>
            <w:r>
              <w:rPr>
                <w:rFonts w:hint="eastAsia" w:eastAsia="仿宋" w:cs="Times New Roman"/>
                <w:color w:val="auto"/>
                <w:sz w:val="24"/>
                <w:szCs w:val="22"/>
                <w:highlight w:val="none"/>
              </w:rPr>
              <w:t>年</w:t>
            </w:r>
            <w:r>
              <w:rPr>
                <w:rFonts w:eastAsia="仿宋" w:cs="Times New Roman"/>
                <w:color w:val="auto"/>
                <w:sz w:val="24"/>
                <w:szCs w:val="22"/>
                <w:highlight w:val="none"/>
              </w:rPr>
              <w:t>1月1日至今（以签订合同时间为准）具有类似</w:t>
            </w:r>
            <w:r>
              <w:rPr>
                <w:rFonts w:hint="eastAsia" w:ascii="仿宋" w:hAnsi="仿宋" w:eastAsia="仿宋" w:cs="仿宋"/>
                <w:b w:val="0"/>
                <w:bCs w:val="0"/>
                <w:color w:val="auto"/>
                <w:sz w:val="24"/>
                <w:highlight w:val="none"/>
                <w:lang w:val="en-US" w:eastAsia="zh-CN"/>
              </w:rPr>
              <w:t>核心</w:t>
            </w:r>
            <w:r>
              <w:rPr>
                <w:rFonts w:eastAsia="仿宋" w:cs="Times New Roman"/>
                <w:color w:val="auto"/>
                <w:sz w:val="24"/>
                <w:szCs w:val="22"/>
                <w:highlight w:val="none"/>
              </w:rPr>
              <w:t>产品销售案例，每提供1份销售案例加</w:t>
            </w:r>
            <w:r>
              <w:rPr>
                <w:rFonts w:hint="eastAsia" w:eastAsia="仿宋" w:cs="Times New Roman"/>
                <w:color w:val="auto"/>
                <w:sz w:val="24"/>
                <w:szCs w:val="22"/>
                <w:highlight w:val="none"/>
                <w:lang w:val="en-US" w:eastAsia="zh-CN"/>
              </w:rPr>
              <w:t>2</w:t>
            </w:r>
            <w:r>
              <w:rPr>
                <w:rFonts w:hint="eastAsia" w:eastAsia="仿宋" w:cs="Times New Roman"/>
                <w:color w:val="auto"/>
                <w:sz w:val="24"/>
                <w:szCs w:val="22"/>
                <w:highlight w:val="none"/>
              </w:rPr>
              <w:t>分，本项最多加</w:t>
            </w:r>
            <w:r>
              <w:rPr>
                <w:rFonts w:hint="eastAsia" w:eastAsia="仿宋" w:cs="Times New Roman"/>
                <w:color w:val="auto"/>
                <w:sz w:val="24"/>
                <w:szCs w:val="22"/>
                <w:highlight w:val="none"/>
                <w:lang w:val="en-US" w:eastAsia="zh-CN"/>
              </w:rPr>
              <w:t>6</w:t>
            </w:r>
            <w:r>
              <w:rPr>
                <w:rFonts w:hint="eastAsia" w:eastAsia="仿宋" w:cs="Times New Roman"/>
                <w:color w:val="auto"/>
                <w:sz w:val="24"/>
                <w:szCs w:val="22"/>
                <w:highlight w:val="none"/>
              </w:rPr>
              <w:t>分。</w:t>
            </w:r>
          </w:p>
          <w:p>
            <w:pPr>
              <w:pageBreakBefore w:val="0"/>
              <w:kinsoku/>
              <w:wordWrap/>
              <w:overflowPunct/>
              <w:topLinePunct w:val="0"/>
              <w:autoSpaceDE/>
              <w:autoSpaceDN/>
              <w:bidi w:val="0"/>
              <w:adjustRightInd/>
              <w:snapToGrid/>
              <w:spacing w:line="460" w:lineRule="exact"/>
              <w:jc w:val="left"/>
              <w:rPr>
                <w:rFonts w:eastAsia="仿宋"/>
                <w:b/>
                <w:bCs/>
                <w:color w:val="auto"/>
                <w:sz w:val="24"/>
                <w:szCs w:val="22"/>
                <w:highlight w:val="none"/>
              </w:rPr>
            </w:pPr>
            <w:r>
              <w:rPr>
                <w:rFonts w:hint="eastAsia" w:eastAsia="仿宋" w:cs="Times New Roman"/>
                <w:b/>
                <w:bCs/>
                <w:color w:val="auto"/>
                <w:sz w:val="24"/>
                <w:szCs w:val="22"/>
                <w:highlight w:val="none"/>
              </w:rPr>
              <w:t>评审依据：①投标文件中提供销售案例明细表（销售案例明细表包含</w:t>
            </w:r>
            <w:r>
              <w:rPr>
                <w:rFonts w:eastAsia="仿宋" w:cs="Times New Roman"/>
                <w:b/>
                <w:bCs/>
                <w:color w:val="auto"/>
                <w:sz w:val="24"/>
                <w:szCs w:val="22"/>
                <w:highlight w:val="none"/>
              </w:rPr>
              <w:t>:发布网站名称、网页链接地址、采购项目名称、采购单位名称和联系方式、采购代理机构名称和联系方式）；</w:t>
            </w:r>
            <w:r>
              <w:rPr>
                <w:rFonts w:hint="eastAsia" w:eastAsia="仿宋" w:cs="Times New Roman"/>
                <w:b/>
                <w:bCs/>
                <w:color w:val="auto"/>
                <w:sz w:val="24"/>
                <w:szCs w:val="22"/>
                <w:highlight w:val="none"/>
              </w:rPr>
              <w:t>②</w:t>
            </w:r>
            <w:r>
              <w:rPr>
                <w:rFonts w:hint="eastAsia" w:eastAsia="仿宋" w:cs="Times New Roman"/>
                <w:b/>
                <w:bCs/>
                <w:color w:val="auto"/>
                <w:sz w:val="24"/>
                <w:szCs w:val="22"/>
                <w:highlight w:val="none"/>
                <w:lang w:eastAsia="zh-CN"/>
              </w:rPr>
              <w:t>中标（成交）公告截图（打印网页）、中标通知书复印件和合同复印件（中标通知书或合同复印件应体现类似销售案例的货物），合同签订方必须是投标人本身。</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hint="eastAsia" w:eastAsia="仿宋"/>
                <w:color w:val="auto"/>
                <w:sz w:val="24"/>
                <w:szCs w:val="22"/>
                <w:highlight w:val="none"/>
                <w:lang w:val="en-US" w:eastAsia="zh-CN"/>
              </w:rPr>
              <w:t>6</w:t>
            </w:r>
            <w:r>
              <w:rPr>
                <w:rFonts w:eastAsia="仿宋"/>
                <w:color w:val="auto"/>
                <w:sz w:val="24"/>
                <w:szCs w:val="22"/>
                <w:highlight w:val="none"/>
              </w:rPr>
              <w:t>分</w:t>
            </w:r>
          </w:p>
        </w:tc>
      </w:tr>
    </w:tbl>
    <w:p>
      <w:pPr>
        <w:pageBreakBefore w:val="0"/>
        <w:kinsoku/>
        <w:wordWrap/>
        <w:overflowPunct/>
        <w:topLinePunct w:val="0"/>
        <w:autoSpaceDE/>
        <w:autoSpaceDN/>
        <w:bidi w:val="0"/>
        <w:adjustRightInd/>
        <w:snapToGrid/>
        <w:spacing w:line="460" w:lineRule="exact"/>
        <w:rPr>
          <w:color w:val="auto"/>
        </w:rPr>
      </w:pPr>
      <w:r>
        <w:rPr>
          <w:color w:val="auto"/>
        </w:rPr>
        <w:br w:type="page"/>
      </w:r>
    </w:p>
    <w:p>
      <w:pPr>
        <w:pageBreakBefore w:val="0"/>
        <w:kinsoku/>
        <w:wordWrap/>
        <w:overflowPunct/>
        <w:topLinePunct w:val="0"/>
        <w:autoSpaceDE/>
        <w:autoSpaceDN/>
        <w:bidi w:val="0"/>
        <w:adjustRightInd/>
        <w:snapToGrid/>
        <w:spacing w:line="460" w:lineRule="exact"/>
        <w:jc w:val="left"/>
        <w:outlineLvl w:val="1"/>
        <w:rPr>
          <w:rFonts w:hint="eastAsia" w:ascii="仿宋" w:hAnsi="仿宋" w:eastAsia="仿宋" w:cs="Times New Roman"/>
          <w:b/>
          <w:bCs/>
          <w:color w:val="auto"/>
          <w:sz w:val="28"/>
          <w:szCs w:val="28"/>
          <w:highlight w:val="none"/>
        </w:rPr>
      </w:pPr>
      <w:bookmarkStart w:id="771" w:name="_Toc11334"/>
      <w:bookmarkStart w:id="772" w:name="_Toc13856"/>
      <w:bookmarkStart w:id="773" w:name="_Toc16099"/>
      <w:bookmarkStart w:id="774" w:name="_Toc3849"/>
      <w:bookmarkStart w:id="775" w:name="_Toc32015"/>
      <w:r>
        <w:rPr>
          <w:rFonts w:hint="eastAsia" w:ascii="仿宋" w:hAnsi="仿宋" w:eastAsia="仿宋" w:cs="Times New Roman"/>
          <w:b/>
          <w:bCs/>
          <w:color w:val="auto"/>
          <w:sz w:val="28"/>
          <w:szCs w:val="28"/>
          <w:highlight w:val="none"/>
          <w:lang w:val="en-US" w:eastAsia="zh-CN"/>
        </w:rPr>
        <w:t>93包：堵漏工具组</w:t>
      </w:r>
      <w:bookmarkEnd w:id="771"/>
      <w:bookmarkEnd w:id="772"/>
      <w:bookmarkEnd w:id="773"/>
      <w:bookmarkEnd w:id="774"/>
      <w:bookmarkEnd w:id="775"/>
    </w:p>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hint="eastAsia" w:ascii="仿宋" w:hAnsi="仿宋" w:eastAsia="仿宋"/>
          <w:b/>
          <w:color w:val="auto"/>
          <w:sz w:val="24"/>
          <w:highlight w:val="none"/>
        </w:rPr>
        <w:t>一、价格部分（</w:t>
      </w:r>
      <w:r>
        <w:rPr>
          <w:rFonts w:ascii="仿宋" w:hAnsi="仿宋" w:eastAsia="仿宋"/>
          <w:b/>
          <w:color w:val="auto"/>
          <w:sz w:val="24"/>
          <w:highlight w:val="none"/>
        </w:rPr>
        <w:t>30分）</w:t>
      </w:r>
    </w:p>
    <w:tbl>
      <w:tblPr>
        <w:tblStyle w:val="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0"/>
        <w:gridCol w:w="1449"/>
        <w:gridCol w:w="5673"/>
        <w:gridCol w:w="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评审因素</w:t>
            </w:r>
          </w:p>
        </w:tc>
        <w:tc>
          <w:tcPr>
            <w:tcW w:w="3329" w:type="pct"/>
            <w:vAlign w:val="center"/>
          </w:tcPr>
          <w:p>
            <w:pPr>
              <w:pageBreakBefore w:val="0"/>
              <w:kinsoku/>
              <w:wordWrap/>
              <w:overflowPunct/>
              <w:topLinePunct w:val="0"/>
              <w:autoSpaceDE/>
              <w:autoSpaceDN/>
              <w:bidi w:val="0"/>
              <w:adjustRightInd/>
              <w:snapToGrid/>
              <w:spacing w:line="460" w:lineRule="exact"/>
              <w:jc w:val="center"/>
              <w:textAlignment w:val="center"/>
              <w:rPr>
                <w:rFonts w:ascii="仿宋" w:hAnsi="仿宋" w:eastAsia="仿宋" w:cs="仿宋"/>
                <w:b/>
                <w:color w:val="auto"/>
                <w:sz w:val="24"/>
                <w:highlight w:val="none"/>
              </w:rPr>
            </w:pPr>
            <w:r>
              <w:rPr>
                <w:rFonts w:hint="eastAsia" w:ascii="仿宋" w:hAnsi="仿宋" w:eastAsia="仿宋" w:cs="仿宋"/>
                <w:b/>
                <w:bCs/>
                <w:color w:val="auto"/>
                <w:sz w:val="24"/>
                <w:highlight w:val="none"/>
              </w:rPr>
              <w:t>评分标准</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价格分</w:t>
            </w:r>
          </w:p>
        </w:tc>
        <w:tc>
          <w:tcPr>
            <w:tcW w:w="3329" w:type="pct"/>
            <w:vAlign w:val="center"/>
          </w:tcPr>
          <w:p>
            <w:pPr>
              <w:pageBreakBefore w:val="0"/>
              <w:kinsoku/>
              <w:wordWrap/>
              <w:overflowPunct/>
              <w:topLinePunct w:val="0"/>
              <w:autoSpaceDE/>
              <w:autoSpaceDN/>
              <w:bidi w:val="0"/>
              <w:adjustRightInd/>
              <w:snapToGrid/>
              <w:spacing w:line="460" w:lineRule="exact"/>
              <w:jc w:val="left"/>
              <w:textAlignment w:val="center"/>
              <w:rPr>
                <w:rFonts w:ascii="仿宋" w:hAnsi="仿宋" w:eastAsia="仿宋" w:cs="仿宋"/>
                <w:color w:val="auto"/>
                <w:sz w:val="24"/>
                <w:highlight w:val="none"/>
              </w:rPr>
            </w:pPr>
            <w:r>
              <w:rPr>
                <w:rFonts w:hint="eastAsia" w:ascii="仿宋" w:hAnsi="仿宋" w:eastAsia="仿宋" w:cs="仿宋"/>
                <w:color w:val="auto"/>
                <w:sz w:val="24"/>
                <w:highlight w:val="none"/>
              </w:rPr>
              <w:t>根据综合评分法，满足招标文件要求且投标价格最低的投标报价为评标基准价，投标报价得分</w:t>
            </w:r>
            <w:r>
              <w:rPr>
                <w:rFonts w:ascii="仿宋" w:hAnsi="仿宋" w:eastAsia="仿宋" w:cs="仿宋"/>
                <w:color w:val="auto"/>
                <w:sz w:val="24"/>
                <w:highlight w:val="none"/>
              </w:rPr>
              <w:t>=（评标基准价／投标报价）</w:t>
            </w:r>
            <w:r>
              <w:rPr>
                <w:rFonts w:hint="eastAsia" w:ascii="仿宋" w:hAnsi="仿宋" w:eastAsia="仿宋" w:cs="仿宋"/>
                <w:color w:val="auto"/>
                <w:sz w:val="24"/>
                <w:highlight w:val="none"/>
              </w:rPr>
              <w:t>×</w:t>
            </w:r>
            <w:r>
              <w:rPr>
                <w:rFonts w:ascii="仿宋" w:hAnsi="仿宋" w:eastAsia="仿宋" w:cs="仿宋"/>
                <w:color w:val="auto"/>
                <w:sz w:val="24"/>
                <w:highlight w:val="none"/>
              </w:rPr>
              <w:t>30%×100，计算分数时四舍五入取小数点后两位。</w:t>
            </w:r>
          </w:p>
          <w:p>
            <w:pPr>
              <w:pageBreakBefore w:val="0"/>
              <w:kinsoku/>
              <w:wordWrap/>
              <w:overflowPunct/>
              <w:topLinePunct w:val="0"/>
              <w:autoSpaceDE/>
              <w:autoSpaceDN/>
              <w:bidi w:val="0"/>
              <w:adjustRightInd/>
              <w:snapToGrid/>
              <w:spacing w:line="460" w:lineRule="exact"/>
              <w:ind w:firstLine="482" w:firstLineChars="200"/>
              <w:jc w:val="left"/>
              <w:textAlignment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注：</w:t>
            </w:r>
            <w:r>
              <w:rPr>
                <w:rFonts w:ascii="仿宋" w:hAnsi="仿宋" w:eastAsia="仿宋" w:cs="仿宋"/>
                <w:b/>
                <w:bCs/>
                <w:color w:val="auto"/>
                <w:sz w:val="24"/>
                <w:highlight w:val="none"/>
              </w:rPr>
              <w:t>小、微型企业或残疾人福利性单位产品或监狱产品的价格给予10%的扣除，用扣除后的价格参与评审。但残疾人福利性单位本身属于小型、微型企业的，不重复享受政策。</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30分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二、技术部分（5</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5"/>
        <w:gridCol w:w="1604"/>
        <w:gridCol w:w="5569"/>
        <w:gridCol w:w="7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55"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941"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3268"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评分标准</w:t>
            </w:r>
          </w:p>
        </w:tc>
        <w:tc>
          <w:tcPr>
            <w:tcW w:w="434"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355"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941"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技术参数及要求</w:t>
            </w:r>
          </w:p>
        </w:tc>
        <w:tc>
          <w:tcPr>
            <w:tcW w:w="3268" w:type="pct"/>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一、重大负偏离评审依据：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1、带★条款的响应，不满足招标文件要求的，或有缺项、漏项的，视为重大负偏离；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2、一般参数共有四项及以上（含本数）的负偏离，视为重大负偏离；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3、所投产品一般参数有一项低于招标文件要求，该项视为负偏离；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4、所投产品一般参数有一项缺项、漏项的，该项视为负偏离。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注：“一般参数”为非标“★”号参数。</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①投标文件中提供的技术条款响应表；</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②所投产品技术参数完全满足招标文件要求得</w:t>
            </w:r>
            <w:r>
              <w:rPr>
                <w:rFonts w:hint="eastAsia" w:ascii="仿宋" w:hAnsi="仿宋" w:eastAsia="仿宋" w:cs="仿宋"/>
                <w:b/>
                <w:bCs/>
                <w:color w:val="auto"/>
                <w:sz w:val="24"/>
                <w:highlight w:val="none"/>
                <w:lang w:val="en-US" w:eastAsia="zh-CN"/>
              </w:rPr>
              <w:t>40</w:t>
            </w:r>
            <w:r>
              <w:rPr>
                <w:rFonts w:hint="eastAsia" w:ascii="仿宋" w:hAnsi="仿宋" w:eastAsia="仿宋" w:cs="仿宋"/>
                <w:b/>
                <w:bCs/>
                <w:color w:val="auto"/>
                <w:sz w:val="24"/>
                <w:highlight w:val="none"/>
              </w:rPr>
              <w:t>分；重大负偏离则视为无效投标；一般参数每有一项负偏离减5分，最多减15分，四项或以上负偏离视为无效投标。</w:t>
            </w:r>
          </w:p>
        </w:tc>
        <w:tc>
          <w:tcPr>
            <w:tcW w:w="434" w:type="pct"/>
            <w:vAlign w:val="center"/>
          </w:tcPr>
          <w:p>
            <w:pPr>
              <w:pageBreakBefore w:val="0"/>
              <w:kinsoku/>
              <w:wordWrap/>
              <w:overflowPunct/>
              <w:topLinePunct w:val="0"/>
              <w:autoSpaceDE/>
              <w:autoSpaceDN/>
              <w:bidi w:val="0"/>
              <w:adjustRightInd/>
              <w:snapToGrid/>
              <w:spacing w:line="460" w:lineRule="exact"/>
              <w:jc w:val="center"/>
              <w:textAlignment w:val="center"/>
              <w:rPr>
                <w:rFonts w:hint="default"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40分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55"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941"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一般参数</w:t>
            </w:r>
          </w:p>
        </w:tc>
        <w:tc>
          <w:tcPr>
            <w:tcW w:w="3268"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在完全满足招标文件“</w:t>
            </w:r>
            <w:r>
              <w:rPr>
                <w:rFonts w:hint="eastAsia" w:ascii="仿宋" w:hAnsi="仿宋" w:eastAsia="仿宋" w:cs="仿宋"/>
                <w:color w:val="auto"/>
                <w:sz w:val="24"/>
                <w:highlight w:val="none"/>
                <w:lang w:eastAsia="zh-CN"/>
              </w:rPr>
              <w:t>所有参数</w:t>
            </w:r>
            <w:r>
              <w:rPr>
                <w:rFonts w:hint="eastAsia" w:ascii="仿宋" w:hAnsi="仿宋" w:eastAsia="仿宋" w:cs="仿宋"/>
                <w:color w:val="auto"/>
                <w:sz w:val="24"/>
                <w:highlight w:val="none"/>
              </w:rPr>
              <w:t>”要求的基础上，每有一条“一般参数”优于的加1分，本项最多加</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分。（加分只针对具有“≥”或“≤”的数值，数值更加优于的进行加分；文字内容或其他内容优于的不加分）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注：“一般参数”为非标“★”号参数。</w:t>
            </w:r>
          </w:p>
        </w:tc>
        <w:tc>
          <w:tcPr>
            <w:tcW w:w="43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55" w:type="pct"/>
            <w:vMerge w:val="continue"/>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644" w:type="pct"/>
            <w:gridSpan w:val="3"/>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评审依据：提供技术条款响应表和技术支撑文件</w:t>
            </w:r>
            <w:r>
              <w:rPr>
                <w:rFonts w:hint="eastAsia" w:ascii="仿宋" w:hAnsi="仿宋" w:eastAsia="仿宋" w:cs="仿宋"/>
                <w:b/>
                <w:bCs/>
                <w:color w:val="auto"/>
                <w:sz w:val="24"/>
                <w:highlight w:val="none"/>
                <w:lang w:eastAsia="zh-CN"/>
              </w:rPr>
              <w:t>。</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hint="eastAsia"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hint="eastAsia"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hint="eastAsia"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③制造商出具的技术参数证明材料并加盖制造商公章。]</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注：①供应商应认真提供技术支撑文件，若提供多份技术支撑文件，技术支撑文件佐证不一致时，优先级为：产品检测报告复印件＞制造商公开发布的印刷资料＞制造商出具的技术参数证明</w:t>
            </w:r>
            <w:r>
              <w:rPr>
                <w:rFonts w:hint="eastAsia" w:ascii="仿宋" w:hAnsi="仿宋" w:eastAsia="仿宋" w:cs="仿宋"/>
                <w:b/>
                <w:bCs/>
                <w:color w:val="auto"/>
                <w:sz w:val="24"/>
                <w:highlight w:val="none"/>
                <w:lang w:val="en-US" w:eastAsia="zh-CN"/>
              </w:rPr>
              <w:t>材料</w:t>
            </w:r>
            <w:r>
              <w:rPr>
                <w:rFonts w:hint="eastAsia" w:ascii="仿宋" w:hAnsi="仿宋" w:eastAsia="仿宋" w:cs="仿宋"/>
                <w:b/>
                <w:bCs/>
                <w:color w:val="auto"/>
                <w:sz w:val="24"/>
                <w:highlight w:val="none"/>
              </w:rPr>
              <w:t>；②技术支撑文件</w:t>
            </w:r>
            <w:r>
              <w:rPr>
                <w:rFonts w:hint="eastAsia" w:ascii="仿宋" w:hAnsi="仿宋" w:eastAsia="仿宋" w:cs="仿宋"/>
                <w:b/>
                <w:bCs/>
                <w:color w:val="auto"/>
                <w:sz w:val="24"/>
                <w:highlight w:val="none"/>
                <w:lang w:val="en-US" w:eastAsia="zh-CN"/>
              </w:rPr>
              <w:t>与</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不一致，则</w:t>
            </w:r>
            <w:r>
              <w:rPr>
                <w:rFonts w:hint="eastAsia" w:ascii="仿宋" w:hAnsi="仿宋" w:eastAsia="仿宋" w:cs="仿宋"/>
                <w:b/>
                <w:bCs/>
                <w:color w:val="auto"/>
                <w:sz w:val="24"/>
                <w:highlight w:val="none"/>
              </w:rPr>
              <w:t>该点不加分</w:t>
            </w:r>
            <w:r>
              <w:rPr>
                <w:rFonts w:hint="eastAsia" w:ascii="仿宋" w:hAnsi="仿宋" w:eastAsia="仿宋" w:cs="仿宋"/>
                <w:b/>
                <w:bCs/>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55"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941"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整体结构与外观</w:t>
            </w:r>
          </w:p>
        </w:tc>
        <w:tc>
          <w:tcPr>
            <w:tcW w:w="3268"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w:t>
            </w:r>
            <w:r>
              <w:rPr>
                <w:rFonts w:hint="eastAsia" w:ascii="仿宋" w:hAnsi="仿宋" w:eastAsia="仿宋" w:cs="仿宋"/>
                <w:color w:val="auto"/>
                <w:sz w:val="24"/>
                <w:highlight w:val="none"/>
                <w:lang w:eastAsia="zh-CN"/>
              </w:rPr>
              <w:t>产品</w:t>
            </w:r>
            <w:r>
              <w:rPr>
                <w:rFonts w:hint="eastAsia" w:ascii="仿宋" w:hAnsi="仿宋" w:eastAsia="仿宋" w:cs="仿宋"/>
                <w:color w:val="auto"/>
                <w:sz w:val="24"/>
                <w:highlight w:val="none"/>
              </w:rPr>
              <w:t>的外观构造、内部结构、设计理念等进行评审。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设计理念先进，外部构造和内部结构科学合理，整体结构外观与实战紧贴程度高的，得3分；设计理念较为先进，外部构造和内部结构较为合理，整体结构外观与实战紧贴程度较高的，得2分；设计理念一般，外观构造和内部结构基本合理，整体结构外观与实战紧贴程度不高的，得1分；未提供证明材料或证明材料有缺项的不得分。</w:t>
            </w:r>
          </w:p>
        </w:tc>
        <w:tc>
          <w:tcPr>
            <w:tcW w:w="43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55"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941"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工艺</w:t>
            </w:r>
          </w:p>
        </w:tc>
        <w:tc>
          <w:tcPr>
            <w:tcW w:w="3268"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w:t>
            </w:r>
            <w:r>
              <w:rPr>
                <w:rFonts w:hint="eastAsia" w:ascii="仿宋" w:hAnsi="仿宋" w:eastAsia="仿宋" w:cs="仿宋"/>
                <w:color w:val="auto"/>
                <w:sz w:val="24"/>
                <w:highlight w:val="none"/>
                <w:lang w:eastAsia="zh-CN"/>
              </w:rPr>
              <w:t>产品</w:t>
            </w:r>
            <w:r>
              <w:rPr>
                <w:rFonts w:hint="eastAsia" w:ascii="仿宋" w:hAnsi="仿宋" w:eastAsia="仿宋" w:cs="仿宋"/>
                <w:color w:val="auto"/>
                <w:sz w:val="24"/>
                <w:highlight w:val="none"/>
              </w:rPr>
              <w:t>的安全性、耐用性、实用性等进行评审。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性能高、耐用性能好、实用性能强，工艺符合实战需求程度高的，得3分；安全性能较高、耐用性能良好、实用性能较强，工艺符合实战需求程度较高的，得2分；安全性能不高、耐用性能普通、实用性能一般，工艺符合实战需求程度不高的，得1分；未提供证明材料或证明材料有缺项的不得分。</w:t>
            </w:r>
          </w:p>
        </w:tc>
        <w:tc>
          <w:tcPr>
            <w:tcW w:w="43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55"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941"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操作使用性能</w:t>
            </w:r>
          </w:p>
        </w:tc>
        <w:tc>
          <w:tcPr>
            <w:tcW w:w="3268"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w:t>
            </w:r>
            <w:r>
              <w:rPr>
                <w:rFonts w:hint="eastAsia" w:ascii="仿宋" w:hAnsi="仿宋" w:eastAsia="仿宋" w:cs="仿宋"/>
                <w:color w:val="auto"/>
                <w:sz w:val="24"/>
                <w:highlight w:val="none"/>
                <w:lang w:eastAsia="zh-CN"/>
              </w:rPr>
              <w:t>产品</w:t>
            </w:r>
            <w:r>
              <w:rPr>
                <w:rFonts w:hint="eastAsia" w:ascii="仿宋" w:hAnsi="仿宋" w:eastAsia="仿宋" w:cs="仿宋"/>
                <w:color w:val="auto"/>
                <w:sz w:val="24"/>
                <w:highlight w:val="none"/>
              </w:rPr>
              <w:t>的可靠性、便捷性、稳定性等进行评审。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可靠性高、便捷性好、稳定性好，操作使用性能提升战斗力程度高的，得4分；可靠性较高、便捷性较好、稳定性良好，操作使用性能提升战斗力程度较高的，得2分；可靠性不高、便捷性和稳定性一般，操作使用性能提升战斗力程度不高的，得1分；未提供证明材料或证明材料有缺项的不得分。</w:t>
            </w:r>
          </w:p>
        </w:tc>
        <w:tc>
          <w:tcPr>
            <w:tcW w:w="43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55" w:type="pct"/>
            <w:vMerge w:val="continue"/>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644" w:type="pct"/>
            <w:gridSpan w:val="3"/>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lang w:eastAsia="zh-CN"/>
              </w:rPr>
            </w:pPr>
            <w:r>
              <w:rPr>
                <w:rFonts w:hint="eastAsia" w:ascii="仿宋" w:hAnsi="仿宋" w:eastAsia="仿宋" w:cs="仿宋"/>
                <w:b/>
                <w:bCs/>
                <w:color w:val="auto"/>
                <w:sz w:val="24"/>
                <w:highlight w:val="none"/>
              </w:rPr>
              <w:t>以上评审依据：根据视频文件对产品的整体结构与外观、工艺、操作使用性能进行综合评审，视频文件需对以上三点评审内容进行介绍（包含但不限于以上三点）。视频文件[视频文件格式须为通用格式，佐证视频时长不得超过5分钟，视频清晰度应至少保证所摄的界面文字清晰易辨、画面完整连贯、播放速度正常]应存储于U盘内（单独密封在信封中）与投标文件同时递交，逾期递交不予接收，</w:t>
            </w:r>
            <w:r>
              <w:rPr>
                <w:rFonts w:hint="eastAsia" w:ascii="仿宋" w:hAnsi="仿宋" w:eastAsia="仿宋" w:cs="仿宋"/>
                <w:b/>
                <w:bCs/>
                <w:color w:val="auto"/>
                <w:sz w:val="24"/>
                <w:highlight w:val="none"/>
                <w:lang w:eastAsia="zh-CN"/>
              </w:rPr>
              <w:t>U盘由采购代理机构封存，不予退回。未提供视频或视频无法打开的，得0分。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三、商务部分（1</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2"/>
        <w:gridCol w:w="1202"/>
        <w:gridCol w:w="5776"/>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6"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序号</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评审因素</w:t>
            </w:r>
          </w:p>
        </w:tc>
        <w:tc>
          <w:tcPr>
            <w:tcW w:w="3389"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评分标准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6"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1</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bCs/>
                <w:color w:val="auto"/>
                <w:sz w:val="24"/>
                <w:szCs w:val="22"/>
                <w:highlight w:val="none"/>
              </w:rPr>
            </w:pPr>
            <w:r>
              <w:rPr>
                <w:rFonts w:hint="eastAsia" w:ascii="仿宋" w:hAnsi="仿宋" w:eastAsia="仿宋" w:cs="仿宋"/>
                <w:color w:val="auto"/>
                <w:sz w:val="24"/>
                <w:highlight w:val="none"/>
              </w:rPr>
              <w:t>符合性评审</w:t>
            </w:r>
          </w:p>
        </w:tc>
        <w:tc>
          <w:tcPr>
            <w:tcW w:w="3888" w:type="pct"/>
            <w:gridSpan w:val="2"/>
            <w:vAlign w:val="center"/>
          </w:tcPr>
          <w:p>
            <w:pPr>
              <w:pageBreakBefore w:val="0"/>
              <w:kinsoku/>
              <w:wordWrap/>
              <w:overflowPunct/>
              <w:topLinePunct w:val="0"/>
              <w:autoSpaceDE/>
              <w:autoSpaceDN/>
              <w:bidi w:val="0"/>
              <w:adjustRightInd/>
              <w:snapToGrid/>
              <w:spacing w:line="460" w:lineRule="exact"/>
              <w:rPr>
                <w:rFonts w:eastAsia="仿宋" w:cs="Times New Roman"/>
                <w:color w:val="auto"/>
                <w:sz w:val="24"/>
                <w:szCs w:val="22"/>
                <w:highlight w:val="none"/>
              </w:rPr>
            </w:pPr>
            <w:r>
              <w:rPr>
                <w:rFonts w:hint="eastAsia" w:eastAsia="仿宋" w:cs="Times New Roman"/>
                <w:color w:val="auto"/>
                <w:sz w:val="24"/>
                <w:szCs w:val="22"/>
                <w:highlight w:val="none"/>
              </w:rPr>
              <w:t>投标人必须完全满足招标文件“商务要求”</w:t>
            </w:r>
            <w:r>
              <w:rPr>
                <w:rFonts w:hint="eastAsia" w:eastAsia="仿宋" w:cs="Times New Roman"/>
                <w:color w:val="auto"/>
                <w:sz w:val="24"/>
                <w:szCs w:val="22"/>
                <w:highlight w:val="none"/>
                <w:lang w:val="en-US" w:eastAsia="zh-CN"/>
              </w:rPr>
              <w:t>所有</w:t>
            </w:r>
            <w:r>
              <w:rPr>
                <w:rFonts w:hint="eastAsia" w:eastAsia="仿宋" w:cs="Times New Roman"/>
                <w:color w:val="auto"/>
                <w:sz w:val="24"/>
                <w:szCs w:val="22"/>
                <w:highlight w:val="none"/>
              </w:rPr>
              <w:t>实质性条款，任意一项不满足作无效投标处理。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eastAsia="仿宋" w:cs="Times New Roman"/>
                <w:b/>
                <w:bCs/>
                <w:color w:val="auto"/>
                <w:sz w:val="24"/>
                <w:szCs w:val="22"/>
                <w:highlight w:val="none"/>
              </w:rPr>
              <w:t>评审依据：投标文件中提供的商务条款响应表。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6"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2</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hint="eastAsia" w:eastAsia="仿宋"/>
                <w:color w:val="auto"/>
                <w:sz w:val="24"/>
                <w:szCs w:val="22"/>
                <w:highlight w:val="none"/>
                <w:lang w:eastAsia="zh-CN"/>
              </w:rPr>
            </w:pPr>
            <w:r>
              <w:rPr>
                <w:rFonts w:hint="eastAsia" w:eastAsia="仿宋"/>
                <w:color w:val="auto"/>
                <w:sz w:val="24"/>
                <w:szCs w:val="22"/>
                <w:highlight w:val="none"/>
                <w:lang w:eastAsia="zh-CN"/>
              </w:rPr>
              <w:t>生产制造履约能力</w:t>
            </w:r>
          </w:p>
        </w:tc>
        <w:tc>
          <w:tcPr>
            <w:tcW w:w="3389" w:type="pct"/>
            <w:vAlign w:val="center"/>
          </w:tcPr>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val="en-US" w:eastAsia="zh-CN"/>
              </w:rPr>
              <w:t>投标人提供所投产品制造商的证明材料（应加盖制造商公章）</w:t>
            </w:r>
            <w:r>
              <w:rPr>
                <w:rFonts w:hint="eastAsia" w:eastAsia="仿宋" w:cs="Times New Roman"/>
                <w:color w:val="auto"/>
                <w:sz w:val="24"/>
                <w:szCs w:val="22"/>
                <w:highlight w:val="none"/>
              </w:rPr>
              <w:t>对</w:t>
            </w:r>
            <w:r>
              <w:rPr>
                <w:rFonts w:hint="eastAsia" w:eastAsia="仿宋" w:cs="Times New Roman"/>
                <w:color w:val="auto"/>
                <w:sz w:val="24"/>
                <w:szCs w:val="22"/>
                <w:highlight w:val="none"/>
                <w:lang w:eastAsia="zh-CN"/>
              </w:rPr>
              <w:t>生产制造履约能力</w:t>
            </w:r>
            <w:r>
              <w:rPr>
                <w:rFonts w:hint="eastAsia" w:eastAsia="仿宋" w:cs="Times New Roman"/>
                <w:color w:val="auto"/>
                <w:sz w:val="24"/>
                <w:szCs w:val="22"/>
                <w:highlight w:val="none"/>
              </w:rPr>
              <w:t>进行评审，包含但不限于</w:t>
            </w:r>
            <w:r>
              <w:rPr>
                <w:rFonts w:hint="eastAsia" w:eastAsia="仿宋" w:cs="Times New Roman"/>
                <w:color w:val="auto"/>
                <w:sz w:val="24"/>
                <w:szCs w:val="22"/>
                <w:highlight w:val="none"/>
                <w:lang w:eastAsia="zh-CN"/>
              </w:rPr>
              <w:t>：</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eastAsia="zh-CN"/>
              </w:rPr>
              <w:t>①制造商生产经营情况简介；</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②</w:t>
            </w:r>
            <w:r>
              <w:rPr>
                <w:rFonts w:hint="eastAsia" w:eastAsia="仿宋" w:cs="Times New Roman"/>
                <w:color w:val="auto"/>
                <w:sz w:val="24"/>
                <w:szCs w:val="22"/>
                <w:highlight w:val="none"/>
                <w:lang w:eastAsia="zh-CN"/>
              </w:rPr>
              <w:t>生产工艺流程，主要包括生产制造流程图、生产步骤（应含生产车间环境及实际生产照片）等相关情况描述；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③产品检验流程，包括主要检验设备</w:t>
            </w:r>
            <w:r>
              <w:rPr>
                <w:rFonts w:hint="eastAsia" w:eastAsia="仿宋" w:cs="Times New Roman"/>
                <w:color w:val="auto"/>
                <w:sz w:val="24"/>
                <w:szCs w:val="22"/>
                <w:highlight w:val="none"/>
                <w:lang w:eastAsia="zh-CN"/>
              </w:rPr>
              <w:t>（应提供图片）</w:t>
            </w:r>
            <w:r>
              <w:rPr>
                <w:rFonts w:hint="eastAsia" w:eastAsia="仿宋" w:cs="Times New Roman"/>
                <w:color w:val="auto"/>
                <w:sz w:val="24"/>
                <w:szCs w:val="22"/>
                <w:highlight w:val="none"/>
              </w:rPr>
              <w:t>、检验步骤等相关情况描述；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④人员配备：相关专业技术</w:t>
            </w:r>
            <w:r>
              <w:rPr>
                <w:rFonts w:hint="eastAsia" w:eastAsia="仿宋" w:cs="Times New Roman"/>
                <w:color w:val="auto"/>
                <w:sz w:val="24"/>
                <w:szCs w:val="22"/>
                <w:highlight w:val="none"/>
                <w:lang w:eastAsia="zh-CN"/>
              </w:rPr>
              <w:t>职称</w:t>
            </w:r>
            <w:r>
              <w:rPr>
                <w:rFonts w:hint="eastAsia" w:eastAsia="仿宋" w:cs="Times New Roman"/>
                <w:color w:val="auto"/>
                <w:sz w:val="24"/>
                <w:szCs w:val="22"/>
                <w:highlight w:val="none"/>
              </w:rPr>
              <w:t>人员配置情况</w:t>
            </w:r>
            <w:r>
              <w:rPr>
                <w:rFonts w:hint="eastAsia" w:eastAsia="仿宋" w:cs="Times New Roman"/>
                <w:color w:val="auto"/>
                <w:sz w:val="24"/>
                <w:szCs w:val="22"/>
                <w:highlight w:val="none"/>
                <w:lang w:eastAsia="zh-CN"/>
              </w:rPr>
              <w:t>；</w:t>
            </w:r>
            <w:r>
              <w:rPr>
                <w:rFonts w:hint="eastAsia" w:eastAsia="仿宋" w:cs="Times New Roman"/>
                <w:color w:val="auto"/>
                <w:sz w:val="24"/>
                <w:szCs w:val="22"/>
                <w:highlight w:val="none"/>
              </w:rPr>
              <w:t>各原材料采购、生产、检验、仓储、运输等环节的人员配备情况；</w:t>
            </w:r>
          </w:p>
          <w:p>
            <w:pPr>
              <w:pageBreakBefore w:val="0"/>
              <w:kinsoku/>
              <w:wordWrap/>
              <w:overflowPunct/>
              <w:topLinePunct w:val="0"/>
              <w:autoSpaceDE/>
              <w:autoSpaceDN/>
              <w:bidi w:val="0"/>
              <w:adjustRightInd/>
              <w:snapToGrid/>
              <w:spacing w:line="460" w:lineRule="exact"/>
              <w:rPr>
                <w:rFonts w:hint="eastAsia" w:eastAsia="仿宋" w:cs="Times New Roman"/>
                <w:b/>
                <w:bCs/>
                <w:color w:val="auto"/>
                <w:sz w:val="24"/>
                <w:szCs w:val="22"/>
                <w:highlight w:val="none"/>
              </w:rPr>
            </w:pPr>
            <w:r>
              <w:rPr>
                <w:rFonts w:hint="eastAsia" w:eastAsia="仿宋" w:cs="Times New Roman"/>
                <w:b/>
                <w:bCs/>
                <w:color w:val="auto"/>
                <w:sz w:val="24"/>
                <w:szCs w:val="22"/>
                <w:highlight w:val="none"/>
              </w:rPr>
              <w:t>评审依据：</w:t>
            </w:r>
            <w:r>
              <w:rPr>
                <w:rFonts w:hint="eastAsia" w:eastAsia="仿宋" w:cs="Times New Roman"/>
                <w:b/>
                <w:bCs/>
                <w:color w:val="auto"/>
                <w:sz w:val="24"/>
                <w:szCs w:val="22"/>
                <w:highlight w:val="none"/>
                <w:lang w:val="en-US" w:eastAsia="zh-CN"/>
              </w:rPr>
              <w:t>根据</w:t>
            </w:r>
            <w:r>
              <w:rPr>
                <w:rFonts w:hint="eastAsia" w:eastAsia="仿宋" w:cs="Times New Roman"/>
                <w:b/>
                <w:bCs/>
                <w:color w:val="auto"/>
                <w:sz w:val="24"/>
                <w:szCs w:val="22"/>
                <w:highlight w:val="none"/>
              </w:rPr>
              <w:t>投标人提</w:t>
            </w:r>
            <w:r>
              <w:rPr>
                <w:rFonts w:hint="eastAsia" w:eastAsia="仿宋" w:cs="Times New Roman"/>
                <w:b/>
                <w:bCs/>
                <w:color w:val="auto"/>
                <w:sz w:val="24"/>
                <w:szCs w:val="22"/>
                <w:highlight w:val="none"/>
                <w:lang w:val="en-US" w:eastAsia="zh-CN"/>
              </w:rPr>
              <w:t>供的生产制造履约能力方案内容完整性、组织性、关联性和可操作性进行评审</w:t>
            </w:r>
            <w:r>
              <w:rPr>
                <w:rFonts w:hint="eastAsia" w:eastAsia="仿宋" w:cs="Times New Roman"/>
                <w:b/>
                <w:bCs/>
                <w:color w:val="auto"/>
                <w:sz w:val="24"/>
                <w:szCs w:val="22"/>
                <w:highlight w:val="none"/>
              </w:rPr>
              <w:t>。</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1、所投</w:t>
            </w:r>
            <w:r>
              <w:rPr>
                <w:rFonts w:hint="eastAsia" w:eastAsia="仿宋" w:cs="Times New Roman"/>
                <w:b/>
                <w:bCs/>
                <w:color w:val="auto"/>
                <w:sz w:val="24"/>
                <w:szCs w:val="22"/>
                <w:highlight w:val="none"/>
                <w:lang w:val="en-US" w:eastAsia="zh-CN"/>
              </w:rPr>
              <w:t>产品</w:t>
            </w:r>
            <w:r>
              <w:rPr>
                <w:rFonts w:hint="eastAsia" w:ascii="仿宋" w:hAnsi="仿宋" w:eastAsia="仿宋" w:cs="仿宋"/>
                <w:b/>
                <w:bCs/>
                <w:color w:val="auto"/>
                <w:sz w:val="24"/>
                <w:szCs w:val="24"/>
                <w:highlight w:val="none"/>
                <w:lang w:val="en-US" w:eastAsia="zh-CN"/>
              </w:rPr>
              <w:t>制造商具备较强自主研发能力及先进的生产工艺，生产车间环境及生产线先进规范，生产步骤完整周详，技术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检验设备配置齐全、检验步骤严密无纰漏，生产制造履约能力</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分；</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2、所投</w:t>
            </w:r>
            <w:r>
              <w:rPr>
                <w:rFonts w:hint="eastAsia" w:eastAsia="仿宋" w:cs="Times New Roman"/>
                <w:b/>
                <w:bCs/>
                <w:color w:val="auto"/>
                <w:sz w:val="24"/>
                <w:szCs w:val="22"/>
                <w:highlight w:val="none"/>
                <w:lang w:val="en-US" w:eastAsia="zh-CN"/>
              </w:rPr>
              <w:t>产品</w:t>
            </w:r>
            <w:r>
              <w:rPr>
                <w:rFonts w:hint="eastAsia" w:ascii="仿宋" w:hAnsi="仿宋" w:eastAsia="仿宋" w:cs="仿宋"/>
                <w:b/>
                <w:bCs/>
                <w:color w:val="auto"/>
                <w:sz w:val="24"/>
                <w:szCs w:val="24"/>
                <w:highlight w:val="none"/>
                <w:lang w:val="en-US" w:eastAsia="zh-CN"/>
              </w:rPr>
              <w:t>制造商有自主研发能力和生产工艺较完整，生产车间环境及生产线常规，生产步骤较完整周详，技术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eastAsia="zh-CN"/>
              </w:rPr>
              <w:t>相对</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检验设备配置较齐全、检验步骤相对完备，生产制造履约能力</w:t>
            </w:r>
            <w:r>
              <w:rPr>
                <w:rFonts w:hint="eastAsia" w:ascii="仿宋" w:hAnsi="仿宋" w:eastAsia="仿宋" w:cs="仿宋"/>
                <w:b/>
                <w:bCs/>
                <w:color w:val="auto"/>
                <w:sz w:val="24"/>
                <w:szCs w:val="24"/>
                <w:highlight w:val="none"/>
                <w:lang w:eastAsia="zh-CN"/>
              </w:rPr>
              <w:t>较</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3、所投</w:t>
            </w:r>
            <w:r>
              <w:rPr>
                <w:rFonts w:hint="eastAsia" w:eastAsia="仿宋" w:cs="Times New Roman"/>
                <w:b/>
                <w:bCs/>
                <w:color w:val="auto"/>
                <w:sz w:val="24"/>
                <w:szCs w:val="22"/>
                <w:highlight w:val="none"/>
                <w:lang w:val="en-US" w:eastAsia="zh-CN"/>
              </w:rPr>
              <w:t>产品</w:t>
            </w:r>
            <w:r>
              <w:rPr>
                <w:rFonts w:hint="eastAsia" w:ascii="仿宋" w:hAnsi="仿宋" w:eastAsia="仿宋" w:cs="仿宋"/>
                <w:b/>
                <w:bCs/>
                <w:color w:val="auto"/>
                <w:sz w:val="24"/>
                <w:szCs w:val="24"/>
                <w:highlight w:val="none"/>
                <w:lang w:val="en-US" w:eastAsia="zh-CN"/>
              </w:rPr>
              <w:t>制造商有自主研发能力和生产工艺薄弱，生产车间环境及生产线粗糙落后，生产步骤简单，技术</w:t>
            </w:r>
            <w:r>
              <w:rPr>
                <w:rFonts w:hint="eastAsia" w:ascii="仿宋" w:hAnsi="仿宋" w:eastAsia="仿宋" w:cs="仿宋"/>
                <w:b/>
                <w:bCs/>
                <w:color w:val="auto"/>
                <w:sz w:val="24"/>
                <w:szCs w:val="24"/>
                <w:highlight w:val="none"/>
              </w:rPr>
              <w:t>人员</w:t>
            </w:r>
            <w:r>
              <w:rPr>
                <w:rFonts w:hint="eastAsia" w:ascii="仿宋" w:hAnsi="仿宋" w:eastAsia="仿宋" w:cs="仿宋"/>
                <w:b/>
                <w:bCs/>
                <w:color w:val="auto"/>
                <w:sz w:val="24"/>
                <w:szCs w:val="24"/>
                <w:highlight w:val="none"/>
                <w:lang w:eastAsia="zh-CN"/>
              </w:rPr>
              <w:t>综合实力一般，</w:t>
            </w:r>
            <w:r>
              <w:rPr>
                <w:rFonts w:hint="eastAsia" w:ascii="仿宋" w:hAnsi="仿宋" w:eastAsia="仿宋" w:cs="仿宋"/>
                <w:b/>
                <w:bCs/>
                <w:color w:val="auto"/>
                <w:sz w:val="24"/>
                <w:szCs w:val="24"/>
                <w:highlight w:val="none"/>
                <w:lang w:val="en-US" w:eastAsia="zh-CN"/>
              </w:rPr>
              <w:t>检验设备配置简单落后，检验步骤普通，生产制造履约能力</w:t>
            </w:r>
            <w:r>
              <w:rPr>
                <w:rFonts w:hint="eastAsia" w:ascii="仿宋" w:hAnsi="仿宋" w:eastAsia="仿宋" w:cs="仿宋"/>
                <w:b/>
                <w:bCs/>
                <w:color w:val="auto"/>
                <w:sz w:val="24"/>
                <w:szCs w:val="24"/>
                <w:highlight w:val="none"/>
                <w:lang w:eastAsia="zh-CN"/>
              </w:rPr>
              <w:t>弱</w:t>
            </w:r>
            <w:r>
              <w:rPr>
                <w:rFonts w:hint="eastAsia" w:ascii="仿宋" w:hAnsi="仿宋" w:eastAsia="仿宋" w:cs="仿宋"/>
                <w:b/>
                <w:bCs/>
                <w:color w:val="auto"/>
                <w:sz w:val="24"/>
                <w:szCs w:val="24"/>
                <w:highlight w:val="none"/>
              </w:rPr>
              <w:t>的得</w:t>
            </w: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未提供证明材料或证明材料有缺项的不得分。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6"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3</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质量保证和保修</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eastAsia="仿宋"/>
                <w:color w:val="auto"/>
                <w:sz w:val="24"/>
                <w:szCs w:val="22"/>
                <w:highlight w:val="none"/>
              </w:rPr>
            </w:pPr>
            <w:r>
              <w:rPr>
                <w:rFonts w:eastAsia="仿宋"/>
                <w:color w:val="auto"/>
                <w:sz w:val="24"/>
                <w:szCs w:val="22"/>
                <w:highlight w:val="none"/>
              </w:rPr>
              <w:t>在招标文件商务要求中“质保期”和“保修期”要求基础上，承诺“质保期”和“保修期”均每延长一年的加2分，最多加4分。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eastAsia="仿宋"/>
                <w:b/>
                <w:color w:val="auto"/>
                <w:sz w:val="24"/>
                <w:szCs w:val="22"/>
                <w:highlight w:val="none"/>
              </w:rPr>
              <w:t>评审依据：投标文件中提供“质保期”和“保修期”均延长的承诺函原件。</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406"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类似销售</w:t>
            </w:r>
          </w:p>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案例</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投标人自</w:t>
            </w:r>
            <w:r>
              <w:rPr>
                <w:rFonts w:eastAsia="仿宋" w:cs="Times New Roman"/>
                <w:color w:val="auto"/>
                <w:sz w:val="24"/>
                <w:szCs w:val="22"/>
                <w:highlight w:val="none"/>
              </w:rPr>
              <w:t>20</w:t>
            </w:r>
            <w:r>
              <w:rPr>
                <w:rFonts w:hint="eastAsia" w:eastAsia="仿宋" w:cs="Times New Roman"/>
                <w:color w:val="auto"/>
                <w:sz w:val="24"/>
                <w:szCs w:val="22"/>
                <w:highlight w:val="none"/>
              </w:rPr>
              <w:t>2</w:t>
            </w:r>
            <w:r>
              <w:rPr>
                <w:rFonts w:hint="eastAsia" w:eastAsia="仿宋" w:cs="Times New Roman"/>
                <w:color w:val="auto"/>
                <w:sz w:val="24"/>
                <w:szCs w:val="22"/>
                <w:highlight w:val="none"/>
                <w:lang w:val="en-US" w:eastAsia="zh-CN"/>
              </w:rPr>
              <w:t>1</w:t>
            </w:r>
            <w:r>
              <w:rPr>
                <w:rFonts w:hint="eastAsia" w:eastAsia="仿宋" w:cs="Times New Roman"/>
                <w:color w:val="auto"/>
                <w:sz w:val="24"/>
                <w:szCs w:val="22"/>
                <w:highlight w:val="none"/>
              </w:rPr>
              <w:t>年</w:t>
            </w:r>
            <w:r>
              <w:rPr>
                <w:rFonts w:eastAsia="仿宋" w:cs="Times New Roman"/>
                <w:color w:val="auto"/>
                <w:sz w:val="24"/>
                <w:szCs w:val="22"/>
                <w:highlight w:val="none"/>
              </w:rPr>
              <w:t>1月1日至今（以签订合同时间为准）具有类似</w:t>
            </w:r>
            <w:r>
              <w:rPr>
                <w:rFonts w:hint="eastAsia" w:eastAsia="仿宋" w:cs="Times New Roman"/>
                <w:color w:val="auto"/>
                <w:sz w:val="24"/>
                <w:szCs w:val="22"/>
                <w:highlight w:val="none"/>
                <w:lang w:eastAsia="zh-CN"/>
              </w:rPr>
              <w:t>产品</w:t>
            </w:r>
            <w:r>
              <w:rPr>
                <w:rFonts w:eastAsia="仿宋" w:cs="Times New Roman"/>
                <w:color w:val="auto"/>
                <w:sz w:val="24"/>
                <w:szCs w:val="22"/>
                <w:highlight w:val="none"/>
              </w:rPr>
              <w:t>销售案例，每提供1份销售案例加</w:t>
            </w:r>
            <w:r>
              <w:rPr>
                <w:rFonts w:hint="eastAsia" w:eastAsia="仿宋" w:cs="Times New Roman"/>
                <w:color w:val="auto"/>
                <w:sz w:val="24"/>
                <w:szCs w:val="22"/>
                <w:highlight w:val="none"/>
                <w:lang w:val="en-US" w:eastAsia="zh-CN"/>
              </w:rPr>
              <w:t>2</w:t>
            </w:r>
            <w:r>
              <w:rPr>
                <w:rFonts w:hint="eastAsia" w:eastAsia="仿宋" w:cs="Times New Roman"/>
                <w:color w:val="auto"/>
                <w:sz w:val="24"/>
                <w:szCs w:val="22"/>
                <w:highlight w:val="none"/>
              </w:rPr>
              <w:t>分，本项最多加</w:t>
            </w:r>
            <w:r>
              <w:rPr>
                <w:rFonts w:hint="eastAsia" w:eastAsia="仿宋" w:cs="Times New Roman"/>
                <w:color w:val="auto"/>
                <w:sz w:val="24"/>
                <w:szCs w:val="22"/>
                <w:highlight w:val="none"/>
                <w:lang w:val="en-US" w:eastAsia="zh-CN"/>
              </w:rPr>
              <w:t>6</w:t>
            </w:r>
            <w:r>
              <w:rPr>
                <w:rFonts w:hint="eastAsia" w:eastAsia="仿宋" w:cs="Times New Roman"/>
                <w:color w:val="auto"/>
                <w:sz w:val="24"/>
                <w:szCs w:val="22"/>
                <w:highlight w:val="none"/>
              </w:rPr>
              <w:t>分。</w:t>
            </w:r>
          </w:p>
          <w:p>
            <w:pPr>
              <w:pageBreakBefore w:val="0"/>
              <w:kinsoku/>
              <w:wordWrap/>
              <w:overflowPunct/>
              <w:topLinePunct w:val="0"/>
              <w:autoSpaceDE/>
              <w:autoSpaceDN/>
              <w:bidi w:val="0"/>
              <w:adjustRightInd/>
              <w:snapToGrid/>
              <w:spacing w:line="460" w:lineRule="exact"/>
              <w:jc w:val="left"/>
              <w:rPr>
                <w:rFonts w:eastAsia="仿宋"/>
                <w:b/>
                <w:bCs/>
                <w:color w:val="auto"/>
                <w:sz w:val="24"/>
                <w:szCs w:val="22"/>
                <w:highlight w:val="none"/>
              </w:rPr>
            </w:pPr>
            <w:r>
              <w:rPr>
                <w:rFonts w:hint="eastAsia" w:eastAsia="仿宋" w:cs="Times New Roman"/>
                <w:b/>
                <w:bCs/>
                <w:color w:val="auto"/>
                <w:sz w:val="24"/>
                <w:szCs w:val="22"/>
                <w:highlight w:val="none"/>
              </w:rPr>
              <w:t>评审依据：①投标文件中提供销售案例明细表（销售案例明细表包含</w:t>
            </w:r>
            <w:r>
              <w:rPr>
                <w:rFonts w:eastAsia="仿宋" w:cs="Times New Roman"/>
                <w:b/>
                <w:bCs/>
                <w:color w:val="auto"/>
                <w:sz w:val="24"/>
                <w:szCs w:val="22"/>
                <w:highlight w:val="none"/>
              </w:rPr>
              <w:t>:发布网站名称、网页链接地址、采购项目名称、采购单位名称和联系方式、采购代理机构名称和联系方式）；</w:t>
            </w:r>
            <w:r>
              <w:rPr>
                <w:rFonts w:hint="eastAsia" w:eastAsia="仿宋" w:cs="Times New Roman"/>
                <w:b/>
                <w:bCs/>
                <w:color w:val="auto"/>
                <w:sz w:val="24"/>
                <w:szCs w:val="22"/>
                <w:highlight w:val="none"/>
              </w:rPr>
              <w:t>②</w:t>
            </w:r>
            <w:r>
              <w:rPr>
                <w:rFonts w:hint="eastAsia" w:eastAsia="仿宋" w:cs="Times New Roman"/>
                <w:b/>
                <w:bCs/>
                <w:color w:val="auto"/>
                <w:sz w:val="24"/>
                <w:szCs w:val="22"/>
                <w:highlight w:val="none"/>
                <w:lang w:eastAsia="zh-CN"/>
              </w:rPr>
              <w:t>中标（成交）公告截图（打印网页）、中标通知书复印件和合同复印件（中标通知书或合同复印件应体现类似销售案例的货物），合同签订方必须是投标人本身。</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hint="eastAsia" w:eastAsia="仿宋"/>
                <w:color w:val="auto"/>
                <w:sz w:val="24"/>
                <w:szCs w:val="22"/>
                <w:highlight w:val="none"/>
                <w:lang w:val="en-US" w:eastAsia="zh-CN"/>
              </w:rPr>
              <w:t>6</w:t>
            </w:r>
            <w:r>
              <w:rPr>
                <w:rFonts w:eastAsia="仿宋"/>
                <w:color w:val="auto"/>
                <w:sz w:val="24"/>
                <w:szCs w:val="22"/>
                <w:highlight w:val="none"/>
              </w:rPr>
              <w:t>分</w:t>
            </w:r>
          </w:p>
        </w:tc>
      </w:tr>
    </w:tbl>
    <w:p>
      <w:pPr>
        <w:pageBreakBefore w:val="0"/>
        <w:kinsoku/>
        <w:wordWrap/>
        <w:overflowPunct/>
        <w:topLinePunct w:val="0"/>
        <w:autoSpaceDE/>
        <w:autoSpaceDN/>
        <w:bidi w:val="0"/>
        <w:adjustRightInd/>
        <w:snapToGrid/>
        <w:spacing w:line="460" w:lineRule="exact"/>
        <w:rPr>
          <w:color w:val="auto"/>
        </w:rPr>
      </w:pPr>
      <w:r>
        <w:rPr>
          <w:color w:val="auto"/>
        </w:rPr>
        <w:br w:type="page"/>
      </w:r>
    </w:p>
    <w:p>
      <w:pPr>
        <w:keepNext w:val="0"/>
        <w:keepLines w:val="0"/>
        <w:pageBreakBefore w:val="0"/>
        <w:widowControl/>
        <w:kinsoku/>
        <w:wordWrap/>
        <w:overflowPunct/>
        <w:topLinePunct w:val="0"/>
        <w:autoSpaceDE/>
        <w:autoSpaceDN/>
        <w:bidi w:val="0"/>
        <w:adjustRightInd/>
        <w:snapToGrid/>
        <w:spacing w:line="460" w:lineRule="exact"/>
        <w:jc w:val="left"/>
        <w:textAlignment w:val="auto"/>
        <w:outlineLvl w:val="1"/>
        <w:rPr>
          <w:rFonts w:hint="eastAsia" w:ascii="仿宋" w:hAnsi="仿宋" w:eastAsia="仿宋" w:cs="Times New Roman"/>
          <w:b/>
          <w:bCs/>
          <w:color w:val="auto"/>
          <w:sz w:val="28"/>
          <w:szCs w:val="28"/>
          <w:highlight w:val="none"/>
          <w:lang w:eastAsia="zh-CN"/>
        </w:rPr>
      </w:pPr>
      <w:bookmarkStart w:id="776" w:name="_Toc19061"/>
      <w:bookmarkStart w:id="777" w:name="_Toc12672"/>
      <w:bookmarkStart w:id="778" w:name="_Toc30308"/>
      <w:bookmarkStart w:id="779" w:name="_Toc21829"/>
      <w:bookmarkStart w:id="780" w:name="_Toc4255"/>
      <w:r>
        <w:rPr>
          <w:rFonts w:hint="eastAsia" w:ascii="仿宋" w:hAnsi="仿宋" w:eastAsia="仿宋" w:cs="Times New Roman"/>
          <w:b/>
          <w:bCs/>
          <w:color w:val="auto"/>
          <w:sz w:val="28"/>
          <w:szCs w:val="28"/>
          <w:highlight w:val="none"/>
          <w:lang w:val="en-US" w:eastAsia="zh-CN"/>
        </w:rPr>
        <w:t>97包</w:t>
      </w:r>
      <w:r>
        <w:rPr>
          <w:rFonts w:hint="eastAsia" w:ascii="仿宋" w:hAnsi="仿宋" w:eastAsia="仿宋" w:cs="Times New Roman"/>
          <w:b/>
          <w:bCs/>
          <w:color w:val="auto"/>
          <w:sz w:val="28"/>
          <w:szCs w:val="28"/>
          <w:highlight w:val="none"/>
        </w:rPr>
        <w:t>：</w:t>
      </w:r>
      <w:r>
        <w:rPr>
          <w:rFonts w:hint="eastAsia" w:ascii="仿宋" w:hAnsi="仿宋" w:eastAsia="仿宋" w:cs="Times New Roman"/>
          <w:b/>
          <w:bCs/>
          <w:color w:val="auto"/>
          <w:sz w:val="28"/>
          <w:szCs w:val="28"/>
          <w:highlight w:val="none"/>
          <w:lang w:val="en-US" w:eastAsia="zh-CN"/>
        </w:rPr>
        <w:t>排用炊事单元、单兵携行包【核心产品】、净水设备</w:t>
      </w:r>
      <w:bookmarkEnd w:id="776"/>
      <w:bookmarkEnd w:id="777"/>
      <w:bookmarkEnd w:id="778"/>
      <w:bookmarkEnd w:id="779"/>
      <w:bookmarkEnd w:id="780"/>
    </w:p>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hint="eastAsia" w:ascii="仿宋" w:hAnsi="仿宋" w:eastAsia="仿宋"/>
          <w:b/>
          <w:color w:val="auto"/>
          <w:sz w:val="24"/>
          <w:highlight w:val="none"/>
        </w:rPr>
        <w:t>一、价格部分（</w:t>
      </w:r>
      <w:r>
        <w:rPr>
          <w:rFonts w:ascii="仿宋" w:hAnsi="仿宋" w:eastAsia="仿宋"/>
          <w:b/>
          <w:color w:val="auto"/>
          <w:sz w:val="24"/>
          <w:highlight w:val="none"/>
        </w:rPr>
        <w:t>30分）</w:t>
      </w:r>
    </w:p>
    <w:tbl>
      <w:tblPr>
        <w:tblStyle w:val="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1"/>
        <w:gridCol w:w="1449"/>
        <w:gridCol w:w="5672"/>
        <w:gridCol w:w="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评审因素</w:t>
            </w:r>
          </w:p>
        </w:tc>
        <w:tc>
          <w:tcPr>
            <w:tcW w:w="3327" w:type="pct"/>
            <w:vAlign w:val="center"/>
          </w:tcPr>
          <w:p>
            <w:pPr>
              <w:pageBreakBefore w:val="0"/>
              <w:kinsoku/>
              <w:wordWrap/>
              <w:overflowPunct/>
              <w:topLinePunct w:val="0"/>
              <w:autoSpaceDE/>
              <w:autoSpaceDN/>
              <w:bidi w:val="0"/>
              <w:adjustRightInd/>
              <w:snapToGrid/>
              <w:spacing w:line="460" w:lineRule="exact"/>
              <w:jc w:val="center"/>
              <w:textAlignment w:val="center"/>
              <w:rPr>
                <w:rFonts w:ascii="仿宋" w:hAnsi="仿宋" w:eastAsia="仿宋" w:cs="仿宋"/>
                <w:b/>
                <w:color w:val="auto"/>
                <w:sz w:val="24"/>
                <w:highlight w:val="none"/>
              </w:rPr>
            </w:pPr>
            <w:r>
              <w:rPr>
                <w:rFonts w:hint="eastAsia" w:ascii="仿宋" w:hAnsi="仿宋" w:eastAsia="仿宋" w:cs="仿宋"/>
                <w:b/>
                <w:bCs/>
                <w:color w:val="auto"/>
                <w:sz w:val="24"/>
                <w:highlight w:val="none"/>
              </w:rPr>
              <w:t>评分标准</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价格分</w:t>
            </w:r>
          </w:p>
        </w:tc>
        <w:tc>
          <w:tcPr>
            <w:tcW w:w="3327" w:type="pct"/>
            <w:vAlign w:val="center"/>
          </w:tcPr>
          <w:p>
            <w:pPr>
              <w:pageBreakBefore w:val="0"/>
              <w:kinsoku/>
              <w:wordWrap/>
              <w:overflowPunct/>
              <w:topLinePunct w:val="0"/>
              <w:autoSpaceDE/>
              <w:autoSpaceDN/>
              <w:bidi w:val="0"/>
              <w:adjustRightInd/>
              <w:snapToGrid/>
              <w:spacing w:line="460" w:lineRule="exact"/>
              <w:jc w:val="left"/>
              <w:textAlignment w:val="center"/>
              <w:rPr>
                <w:rFonts w:ascii="仿宋" w:hAnsi="仿宋" w:eastAsia="仿宋" w:cs="仿宋"/>
                <w:color w:val="auto"/>
                <w:sz w:val="24"/>
                <w:highlight w:val="none"/>
              </w:rPr>
            </w:pPr>
            <w:r>
              <w:rPr>
                <w:rFonts w:hint="eastAsia" w:ascii="仿宋" w:hAnsi="仿宋" w:eastAsia="仿宋" w:cs="仿宋"/>
                <w:color w:val="auto"/>
                <w:sz w:val="24"/>
                <w:highlight w:val="none"/>
              </w:rPr>
              <w:t>根据综合评分法，满足招标文件要求且投标价格最低的投标报价为评标基准价，投标报价得分</w:t>
            </w:r>
            <w:r>
              <w:rPr>
                <w:rFonts w:ascii="仿宋" w:hAnsi="仿宋" w:eastAsia="仿宋" w:cs="仿宋"/>
                <w:color w:val="auto"/>
                <w:sz w:val="24"/>
                <w:highlight w:val="none"/>
              </w:rPr>
              <w:t>=（评标基准价／投标报价）</w:t>
            </w:r>
            <w:r>
              <w:rPr>
                <w:rFonts w:hint="eastAsia" w:ascii="仿宋" w:hAnsi="仿宋" w:eastAsia="仿宋" w:cs="仿宋"/>
                <w:color w:val="auto"/>
                <w:sz w:val="24"/>
                <w:highlight w:val="none"/>
              </w:rPr>
              <w:t>×</w:t>
            </w:r>
            <w:r>
              <w:rPr>
                <w:rFonts w:ascii="仿宋" w:hAnsi="仿宋" w:eastAsia="仿宋" w:cs="仿宋"/>
                <w:color w:val="auto"/>
                <w:sz w:val="24"/>
                <w:highlight w:val="none"/>
              </w:rPr>
              <w:t>30%×100，计算分数时四舍五入取小数点后两位。</w:t>
            </w:r>
          </w:p>
          <w:p>
            <w:pPr>
              <w:pageBreakBefore w:val="0"/>
              <w:kinsoku/>
              <w:wordWrap/>
              <w:overflowPunct/>
              <w:topLinePunct w:val="0"/>
              <w:autoSpaceDE/>
              <w:autoSpaceDN/>
              <w:bidi w:val="0"/>
              <w:adjustRightInd/>
              <w:snapToGrid/>
              <w:spacing w:line="460" w:lineRule="exact"/>
              <w:ind w:firstLine="482" w:firstLineChars="200"/>
              <w:jc w:val="left"/>
              <w:textAlignment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注：</w:t>
            </w:r>
            <w:r>
              <w:rPr>
                <w:rFonts w:ascii="仿宋" w:hAnsi="仿宋" w:eastAsia="仿宋" w:cs="仿宋"/>
                <w:b/>
                <w:bCs/>
                <w:color w:val="auto"/>
                <w:sz w:val="24"/>
                <w:highlight w:val="none"/>
              </w:rPr>
              <w:t>小、微型企业或残疾人福利性单位产品或监狱产品的价格给予10%的扣除，用扣除后的价格参与评审。但残疾人福利性单位本身属于小型、微型企业的，不重复享受政策。</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30分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二、技术部分（5</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7"/>
        <w:gridCol w:w="894"/>
        <w:gridCol w:w="1063"/>
        <w:gridCol w:w="5339"/>
        <w:gridCol w:w="7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1149" w:type="pct"/>
            <w:gridSpan w:val="2"/>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3136"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评分标准</w:t>
            </w:r>
          </w:p>
        </w:tc>
        <w:tc>
          <w:tcPr>
            <w:tcW w:w="445"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268"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149"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技术参数及要求</w:t>
            </w:r>
          </w:p>
        </w:tc>
        <w:tc>
          <w:tcPr>
            <w:tcW w:w="3136" w:type="pct"/>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一、重大负偏离评审依据：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1、带★条款的响应，不满足招标文件要求的，或有缺项、漏项的，视为重大负偏离；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2、一般参数和带“▲”参数共有四项及以上（含本数）的负偏离，视为重大负偏离；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3、所投产品一般参数或带“▲”参数有一项低于招标文件要求，该项视为负偏离；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4、所投产品一般参数或带“▲”参数有一项缺项、漏项的，该项视为负偏离。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注：“一般参数”为非标“★”号参数和非标“▲”号参数。</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①投标文件中提供的技术条款响应表；</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②所投产品技术参数完全满足招标文件要求得</w:t>
            </w:r>
            <w:r>
              <w:rPr>
                <w:rFonts w:hint="eastAsia" w:ascii="仿宋" w:hAnsi="仿宋" w:eastAsia="仿宋" w:cs="仿宋"/>
                <w:b/>
                <w:bCs/>
                <w:color w:val="auto"/>
                <w:sz w:val="24"/>
                <w:highlight w:val="none"/>
                <w:lang w:val="en-US" w:eastAsia="zh-CN"/>
              </w:rPr>
              <w:t>32</w:t>
            </w:r>
            <w:r>
              <w:rPr>
                <w:rFonts w:hint="eastAsia" w:ascii="仿宋" w:hAnsi="仿宋" w:eastAsia="仿宋" w:cs="仿宋"/>
                <w:b/>
                <w:bCs/>
                <w:color w:val="auto"/>
                <w:sz w:val="24"/>
                <w:highlight w:val="none"/>
              </w:rPr>
              <w:t>分；重大负偏离则视为无效投标；一般参数或带“▲”参数每有一项负偏离减5分，最多减15分，四项或以上负偏离视为无效投标。</w:t>
            </w:r>
          </w:p>
        </w:tc>
        <w:tc>
          <w:tcPr>
            <w:tcW w:w="445" w:type="pct"/>
            <w:vAlign w:val="center"/>
          </w:tcPr>
          <w:p>
            <w:pPr>
              <w:pageBreakBefore w:val="0"/>
              <w:kinsoku/>
              <w:wordWrap/>
              <w:overflowPunct/>
              <w:topLinePunct w:val="0"/>
              <w:autoSpaceDE/>
              <w:autoSpaceDN/>
              <w:bidi w:val="0"/>
              <w:adjustRightInd/>
              <w:snapToGrid/>
              <w:spacing w:line="460" w:lineRule="exact"/>
              <w:jc w:val="center"/>
              <w:textAlignment w:val="center"/>
              <w:rPr>
                <w:rFonts w:hint="default"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32分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525" w:type="pct"/>
            <w:vMerge w:val="restart"/>
            <w:tcBorders>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单兵携行包</w:t>
            </w:r>
          </w:p>
        </w:tc>
        <w:tc>
          <w:tcPr>
            <w:tcW w:w="624" w:type="pct"/>
            <w:tcBorders>
              <w:lef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▲3.3.3面料撕破力经向≥250N</w:t>
            </w:r>
          </w:p>
        </w:tc>
        <w:tc>
          <w:tcPr>
            <w:tcW w:w="3136"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Times New Roman"/>
                <w:b w:val="0"/>
                <w:bCs w:val="0"/>
                <w:color w:val="auto"/>
                <w:sz w:val="24"/>
                <w:szCs w:val="24"/>
                <w:highlight w:val="none"/>
                <w:lang w:val="en-US" w:eastAsia="zh-CN"/>
              </w:rPr>
              <w:t>产品</w:t>
            </w:r>
            <w:r>
              <w:rPr>
                <w:rFonts w:hint="eastAsia" w:ascii="仿宋" w:hAnsi="仿宋" w:eastAsia="仿宋" w:cs="仿宋"/>
                <w:i w:val="0"/>
                <w:iCs w:val="0"/>
                <w:color w:val="auto"/>
                <w:kern w:val="0"/>
                <w:sz w:val="24"/>
                <w:szCs w:val="24"/>
                <w:highlight w:val="none"/>
                <w:u w:val="none"/>
                <w:lang w:val="en-US" w:eastAsia="zh-CN" w:bidi="ar"/>
              </w:rPr>
              <w:t>的面料撕破力经向</w:t>
            </w:r>
            <w:r>
              <w:rPr>
                <w:rFonts w:hint="eastAsia" w:ascii="仿宋" w:hAnsi="仿宋" w:eastAsia="仿宋" w:cs="仿宋"/>
                <w:color w:val="auto"/>
                <w:sz w:val="24"/>
                <w:szCs w:val="24"/>
                <w:highlight w:val="none"/>
              </w:rPr>
              <w:t>优于招标文件要求的，</w:t>
            </w:r>
            <w:r>
              <w:rPr>
                <w:rFonts w:hint="eastAsia" w:ascii="仿宋" w:hAnsi="仿宋" w:eastAsia="仿宋" w:cs="仿宋"/>
                <w:i w:val="0"/>
                <w:iCs w:val="0"/>
                <w:color w:val="auto"/>
                <w:kern w:val="0"/>
                <w:sz w:val="24"/>
                <w:szCs w:val="24"/>
                <w:highlight w:val="none"/>
                <w:u w:val="none"/>
                <w:lang w:val="en-US" w:eastAsia="zh-CN" w:bidi="ar"/>
              </w:rPr>
              <w:t>面料撕破力经向</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i w:val="0"/>
                <w:iCs w:val="0"/>
                <w:color w:val="auto"/>
                <w:kern w:val="0"/>
                <w:sz w:val="24"/>
                <w:szCs w:val="24"/>
                <w:highlight w:val="none"/>
                <w:u w:val="none"/>
                <w:lang w:val="en-US" w:eastAsia="zh-CN" w:bidi="ar"/>
              </w:rPr>
              <w:t>面料撕破力经向</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i w:val="0"/>
                <w:iCs w:val="0"/>
                <w:color w:val="auto"/>
                <w:kern w:val="0"/>
                <w:sz w:val="24"/>
                <w:szCs w:val="24"/>
                <w:highlight w:val="none"/>
                <w:u w:val="none"/>
                <w:lang w:val="en-US" w:eastAsia="zh-CN" w:bidi="ar"/>
              </w:rPr>
              <w:t>面料撕破力经向</w:t>
            </w:r>
            <w:r>
              <w:rPr>
                <w:rFonts w:hint="eastAsia" w:ascii="仿宋" w:hAnsi="仿宋" w:eastAsia="仿宋" w:cs="仿宋"/>
                <w:b/>
                <w:bCs/>
                <w:color w:val="auto"/>
                <w:sz w:val="24"/>
                <w:szCs w:val="24"/>
                <w:highlight w:val="none"/>
              </w:rPr>
              <w:t>最大，次优表示</w:t>
            </w:r>
            <w:r>
              <w:rPr>
                <w:rFonts w:hint="eastAsia" w:ascii="仿宋" w:hAnsi="仿宋" w:eastAsia="仿宋" w:cs="仿宋"/>
                <w:b/>
                <w:bCs/>
                <w:i w:val="0"/>
                <w:iCs w:val="0"/>
                <w:color w:val="auto"/>
                <w:kern w:val="0"/>
                <w:sz w:val="24"/>
                <w:szCs w:val="24"/>
                <w:highlight w:val="none"/>
                <w:u w:val="none"/>
                <w:lang w:val="en-US" w:eastAsia="zh-CN" w:bidi="ar"/>
              </w:rPr>
              <w:t>面料撕破力经向</w:t>
            </w:r>
            <w:r>
              <w:rPr>
                <w:rFonts w:hint="eastAsia" w:ascii="仿宋" w:hAnsi="仿宋" w:eastAsia="仿宋" w:cs="仿宋"/>
                <w:b/>
                <w:bCs/>
                <w:color w:val="auto"/>
                <w:sz w:val="24"/>
                <w:szCs w:val="24"/>
                <w:highlight w:val="none"/>
              </w:rPr>
              <w:t>仅次于最大值。</w:t>
            </w:r>
          </w:p>
        </w:tc>
        <w:tc>
          <w:tcPr>
            <w:tcW w:w="445"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525" w:type="pct"/>
            <w:vMerge w:val="continue"/>
            <w:tcBorders>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p>
        </w:tc>
        <w:tc>
          <w:tcPr>
            <w:tcW w:w="624" w:type="pct"/>
            <w:tcBorders>
              <w:lef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▲3.3.3面料撕破力纬向≥250N</w:t>
            </w:r>
          </w:p>
        </w:tc>
        <w:tc>
          <w:tcPr>
            <w:tcW w:w="3136"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Times New Roman"/>
                <w:b w:val="0"/>
                <w:bCs w:val="0"/>
                <w:color w:val="auto"/>
                <w:sz w:val="24"/>
                <w:szCs w:val="24"/>
                <w:highlight w:val="none"/>
                <w:lang w:val="en-US" w:eastAsia="zh-CN"/>
              </w:rPr>
              <w:t>产品</w:t>
            </w:r>
            <w:r>
              <w:rPr>
                <w:rFonts w:hint="eastAsia" w:ascii="仿宋" w:hAnsi="仿宋" w:eastAsia="仿宋" w:cs="仿宋"/>
                <w:i w:val="0"/>
                <w:iCs w:val="0"/>
                <w:color w:val="auto"/>
                <w:kern w:val="0"/>
                <w:sz w:val="24"/>
                <w:szCs w:val="24"/>
                <w:highlight w:val="none"/>
                <w:u w:val="none"/>
                <w:lang w:val="en-US" w:eastAsia="zh-CN" w:bidi="ar"/>
              </w:rPr>
              <w:t>的面料撕破力纬向</w:t>
            </w:r>
            <w:r>
              <w:rPr>
                <w:rFonts w:hint="eastAsia" w:ascii="仿宋" w:hAnsi="仿宋" w:eastAsia="仿宋" w:cs="仿宋"/>
                <w:color w:val="auto"/>
                <w:sz w:val="24"/>
                <w:szCs w:val="24"/>
                <w:highlight w:val="none"/>
              </w:rPr>
              <w:t>优于招标文件要求的，</w:t>
            </w:r>
            <w:r>
              <w:rPr>
                <w:rFonts w:hint="eastAsia" w:ascii="仿宋" w:hAnsi="仿宋" w:eastAsia="仿宋" w:cs="仿宋"/>
                <w:i w:val="0"/>
                <w:iCs w:val="0"/>
                <w:color w:val="auto"/>
                <w:kern w:val="0"/>
                <w:sz w:val="24"/>
                <w:szCs w:val="24"/>
                <w:highlight w:val="none"/>
                <w:u w:val="none"/>
                <w:lang w:val="en-US" w:eastAsia="zh-CN" w:bidi="ar"/>
              </w:rPr>
              <w:t>面料撕破力纬向</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i w:val="0"/>
                <w:iCs w:val="0"/>
                <w:color w:val="auto"/>
                <w:kern w:val="0"/>
                <w:sz w:val="24"/>
                <w:szCs w:val="24"/>
                <w:highlight w:val="none"/>
                <w:u w:val="none"/>
                <w:lang w:val="en-US" w:eastAsia="zh-CN" w:bidi="ar"/>
              </w:rPr>
              <w:t>面料撕破力纬向</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i w:val="0"/>
                <w:iCs w:val="0"/>
                <w:color w:val="auto"/>
                <w:kern w:val="0"/>
                <w:sz w:val="24"/>
                <w:szCs w:val="24"/>
                <w:highlight w:val="none"/>
                <w:u w:val="none"/>
                <w:lang w:val="en-US" w:eastAsia="zh-CN" w:bidi="ar"/>
              </w:rPr>
              <w:t>面料撕破力纬向</w:t>
            </w:r>
            <w:r>
              <w:rPr>
                <w:rFonts w:hint="eastAsia" w:ascii="仿宋" w:hAnsi="仿宋" w:eastAsia="仿宋" w:cs="仿宋"/>
                <w:b/>
                <w:bCs/>
                <w:color w:val="auto"/>
                <w:sz w:val="24"/>
                <w:szCs w:val="24"/>
                <w:highlight w:val="none"/>
              </w:rPr>
              <w:t>最大，次优表示</w:t>
            </w:r>
            <w:r>
              <w:rPr>
                <w:rFonts w:hint="eastAsia" w:ascii="仿宋" w:hAnsi="仿宋" w:eastAsia="仿宋" w:cs="仿宋"/>
                <w:b/>
                <w:bCs/>
                <w:i w:val="0"/>
                <w:iCs w:val="0"/>
                <w:color w:val="auto"/>
                <w:kern w:val="0"/>
                <w:sz w:val="24"/>
                <w:szCs w:val="24"/>
                <w:highlight w:val="none"/>
                <w:u w:val="none"/>
                <w:lang w:val="en-US" w:eastAsia="zh-CN" w:bidi="ar"/>
              </w:rPr>
              <w:t>面料撕破力纬向</w:t>
            </w:r>
            <w:r>
              <w:rPr>
                <w:rFonts w:hint="eastAsia" w:ascii="仿宋" w:hAnsi="仿宋" w:eastAsia="仿宋" w:cs="仿宋"/>
                <w:b/>
                <w:bCs/>
                <w:color w:val="auto"/>
                <w:sz w:val="24"/>
                <w:szCs w:val="24"/>
                <w:highlight w:val="none"/>
              </w:rPr>
              <w:t>仅次于最大值。</w:t>
            </w:r>
          </w:p>
        </w:tc>
        <w:tc>
          <w:tcPr>
            <w:tcW w:w="445"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525" w:type="pc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color w:val="auto"/>
                <w:sz w:val="24"/>
                <w:highlight w:val="none"/>
              </w:rPr>
              <w:t>一般参数</w:t>
            </w:r>
          </w:p>
        </w:tc>
        <w:tc>
          <w:tcPr>
            <w:tcW w:w="3760" w:type="pct"/>
            <w:gridSpan w:val="2"/>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在完全满足招标文件“</w:t>
            </w:r>
            <w:r>
              <w:rPr>
                <w:rFonts w:hint="eastAsia" w:ascii="仿宋" w:hAnsi="仿宋" w:eastAsia="仿宋" w:cs="仿宋"/>
                <w:color w:val="auto"/>
                <w:sz w:val="24"/>
                <w:highlight w:val="none"/>
                <w:lang w:eastAsia="zh-CN"/>
              </w:rPr>
              <w:t>所有参数</w:t>
            </w:r>
            <w:r>
              <w:rPr>
                <w:rFonts w:hint="eastAsia" w:ascii="仿宋" w:hAnsi="仿宋" w:eastAsia="仿宋" w:cs="仿宋"/>
                <w:color w:val="auto"/>
                <w:sz w:val="24"/>
                <w:highlight w:val="none"/>
              </w:rPr>
              <w:t>”要求的基础上，每有一条“一般参数”优于的加1分，本项最多加</w:t>
            </w: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分。（加分只针对具有“≥”或“≤”的数值，数值更加优于的进行加分；文字内容或其他内容优于的不加分）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highlight w:val="none"/>
              </w:rPr>
              <w:t>注：“一般参数”为非标“★”号参数和非标“▲”号参数。</w:t>
            </w:r>
          </w:p>
        </w:tc>
        <w:tc>
          <w:tcPr>
            <w:tcW w:w="445"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268" w:type="pct"/>
            <w:vMerge w:val="continue"/>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731" w:type="pct"/>
            <w:gridSpan w:val="4"/>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评审依据：提供技术条款响应表和技术支撑文件</w:t>
            </w:r>
            <w:r>
              <w:rPr>
                <w:rFonts w:hint="eastAsia" w:ascii="仿宋" w:hAnsi="仿宋" w:eastAsia="仿宋" w:cs="仿宋"/>
                <w:b/>
                <w:bCs/>
                <w:color w:val="auto"/>
                <w:sz w:val="24"/>
                <w:highlight w:val="none"/>
                <w:lang w:eastAsia="zh-CN"/>
              </w:rPr>
              <w:t>。</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hint="eastAsia"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hint="eastAsia"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hint="eastAsia"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③制造商出具的技术参数证明材料并加盖制造商公章。]</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注：①供应商应认真提供技术支撑文件，若提供多份技术支撑文件，技术支撑文件佐证不一致时，优先级为：产品检测报告复印件＞制造商公开发布的印刷资料＞制造商出具的技术参数证明</w:t>
            </w:r>
            <w:r>
              <w:rPr>
                <w:rFonts w:hint="eastAsia" w:ascii="仿宋" w:hAnsi="仿宋" w:eastAsia="仿宋" w:cs="仿宋"/>
                <w:b/>
                <w:bCs/>
                <w:color w:val="auto"/>
                <w:sz w:val="24"/>
                <w:highlight w:val="none"/>
                <w:lang w:val="en-US" w:eastAsia="zh-CN"/>
              </w:rPr>
              <w:t>材料</w:t>
            </w:r>
            <w:r>
              <w:rPr>
                <w:rFonts w:hint="eastAsia" w:ascii="仿宋" w:hAnsi="仿宋" w:eastAsia="仿宋" w:cs="仿宋"/>
                <w:b/>
                <w:bCs/>
                <w:color w:val="auto"/>
                <w:sz w:val="24"/>
                <w:highlight w:val="none"/>
              </w:rPr>
              <w:t>；②技术支撑文件</w:t>
            </w:r>
            <w:r>
              <w:rPr>
                <w:rFonts w:hint="eastAsia" w:ascii="仿宋" w:hAnsi="仿宋" w:eastAsia="仿宋" w:cs="仿宋"/>
                <w:b/>
                <w:bCs/>
                <w:color w:val="auto"/>
                <w:sz w:val="24"/>
                <w:highlight w:val="none"/>
                <w:lang w:val="en-US" w:eastAsia="zh-CN"/>
              </w:rPr>
              <w:t>与</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不一致，则</w:t>
            </w:r>
            <w:r>
              <w:rPr>
                <w:rFonts w:hint="eastAsia" w:ascii="仿宋" w:hAnsi="仿宋" w:eastAsia="仿宋" w:cs="仿宋"/>
                <w:b/>
                <w:bCs/>
                <w:color w:val="auto"/>
                <w:sz w:val="24"/>
                <w:highlight w:val="none"/>
              </w:rPr>
              <w:t>该点不加分</w:t>
            </w:r>
            <w:r>
              <w:rPr>
                <w:rFonts w:hint="eastAsia" w:ascii="仿宋" w:hAnsi="仿宋" w:eastAsia="仿宋" w:cs="仿宋"/>
                <w:b/>
                <w:bCs/>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68"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149"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整体结构与外观</w:t>
            </w:r>
          </w:p>
        </w:tc>
        <w:tc>
          <w:tcPr>
            <w:tcW w:w="3136"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w:t>
            </w:r>
            <w:r>
              <w:rPr>
                <w:rFonts w:hint="eastAsia" w:ascii="仿宋" w:hAnsi="仿宋" w:eastAsia="仿宋" w:cs="仿宋"/>
                <w:color w:val="auto"/>
                <w:sz w:val="24"/>
                <w:highlight w:val="none"/>
                <w:lang w:val="en-US" w:eastAsia="zh-CN"/>
              </w:rPr>
              <w:t>核心</w:t>
            </w:r>
            <w:r>
              <w:rPr>
                <w:rFonts w:hint="eastAsia" w:ascii="仿宋" w:hAnsi="仿宋" w:eastAsia="仿宋" w:cs="仿宋"/>
                <w:color w:val="auto"/>
                <w:sz w:val="24"/>
                <w:highlight w:val="none"/>
              </w:rPr>
              <w:t>产品的外观构造、内部结构、设计理念等进行评审。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设计理念先进，外部构造和内部结构科学合理，整体结构外观与实战紧贴程度高的，得3分；设计理念较为先进，外部构造和内部结构较为合理，整体结构外观与实战紧贴程度较高的，得2分；设计理念一般，外观构造和内部结构基本合理，整体结构外观与实战紧贴程度不高的，得1分；未提供证明材料或证明材料有缺项的不得分。</w:t>
            </w:r>
          </w:p>
        </w:tc>
        <w:tc>
          <w:tcPr>
            <w:tcW w:w="445"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149"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工艺</w:t>
            </w:r>
          </w:p>
        </w:tc>
        <w:tc>
          <w:tcPr>
            <w:tcW w:w="3136"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w:t>
            </w:r>
            <w:r>
              <w:rPr>
                <w:rFonts w:hint="eastAsia" w:ascii="仿宋" w:hAnsi="仿宋" w:eastAsia="仿宋" w:cs="仿宋"/>
                <w:color w:val="auto"/>
                <w:sz w:val="24"/>
                <w:highlight w:val="none"/>
                <w:lang w:val="en-US" w:eastAsia="zh-CN"/>
              </w:rPr>
              <w:t>核心</w:t>
            </w:r>
            <w:r>
              <w:rPr>
                <w:rFonts w:hint="eastAsia" w:ascii="仿宋" w:hAnsi="仿宋" w:eastAsia="仿宋" w:cs="仿宋"/>
                <w:color w:val="auto"/>
                <w:sz w:val="24"/>
                <w:highlight w:val="none"/>
              </w:rPr>
              <w:t>产品的安全性、耐用性、实用性等进行评审。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性能高、耐用性能好、实用性能强，工艺符合实战需求程度高的，得3分；安全性能较高、耐用性能良好、实用性能较强，工艺符合实战需求程度较高的，得2分；安全性能不高、耐用性能普通、实用性能一般，工艺符合实战需求程度不高的，得1分；未提供证明材料或证明材料有缺项的不得分。</w:t>
            </w:r>
          </w:p>
        </w:tc>
        <w:tc>
          <w:tcPr>
            <w:tcW w:w="445"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149"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操作使用性能</w:t>
            </w:r>
          </w:p>
        </w:tc>
        <w:tc>
          <w:tcPr>
            <w:tcW w:w="3136"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w:t>
            </w:r>
            <w:r>
              <w:rPr>
                <w:rFonts w:hint="eastAsia" w:ascii="仿宋" w:hAnsi="仿宋" w:eastAsia="仿宋" w:cs="仿宋"/>
                <w:color w:val="auto"/>
                <w:sz w:val="24"/>
                <w:highlight w:val="none"/>
                <w:lang w:val="en-US" w:eastAsia="zh-CN"/>
              </w:rPr>
              <w:t>核心</w:t>
            </w:r>
            <w:r>
              <w:rPr>
                <w:rFonts w:hint="eastAsia" w:ascii="仿宋" w:hAnsi="仿宋" w:eastAsia="仿宋" w:cs="仿宋"/>
                <w:color w:val="auto"/>
                <w:sz w:val="24"/>
                <w:highlight w:val="none"/>
              </w:rPr>
              <w:t>产品的可靠性、便捷性、稳定性等进行评审。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可靠性高、便捷性好、稳定性好，操作使用性能提升战斗力程度高的，得4分；可靠性较高、便捷性较好、稳定性良好，操作使用性能提升战斗力程度较高的，得2分；可靠性不高、便捷性和稳定性一般，操作使用性能提升战斗力程度不高的，得1分；未提供证明材料或证明材料有缺项的不得分。</w:t>
            </w:r>
          </w:p>
        </w:tc>
        <w:tc>
          <w:tcPr>
            <w:tcW w:w="445"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68" w:type="pct"/>
            <w:vMerge w:val="continue"/>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731" w:type="pct"/>
            <w:gridSpan w:val="4"/>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lang w:eastAsia="zh-CN"/>
              </w:rPr>
            </w:pPr>
            <w:r>
              <w:rPr>
                <w:rFonts w:hint="eastAsia" w:ascii="仿宋" w:hAnsi="仿宋" w:eastAsia="仿宋" w:cs="仿宋"/>
                <w:b/>
                <w:bCs/>
                <w:color w:val="auto"/>
                <w:sz w:val="24"/>
                <w:highlight w:val="none"/>
              </w:rPr>
              <w:t>以上评审依据：根据视频文件对产品的整体结构与外观、工艺、操作使用性能进行综合评审，视频文件需对以上三点评审内容进行介绍（包含但不限于以上三点）。视频文件[视频文件格式须为通用格式，佐证视频时长不得超过5分钟，视频清晰度应至少保证所摄的界面文字清晰易辨、画面完整连贯、播放速度正常]应存储于U盘内（单独密封在信封中）与投标文件同时递交，逾期递交不予接收，</w:t>
            </w:r>
            <w:r>
              <w:rPr>
                <w:rFonts w:hint="eastAsia" w:ascii="仿宋" w:hAnsi="仿宋" w:eastAsia="仿宋" w:cs="仿宋"/>
                <w:b/>
                <w:bCs/>
                <w:color w:val="auto"/>
                <w:sz w:val="24"/>
                <w:highlight w:val="none"/>
                <w:lang w:eastAsia="zh-CN"/>
              </w:rPr>
              <w:t>U盘由采购代理机构封存，不予退回。未提供视频或视频无法打开的，得0分。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三、商务部分（1</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3"/>
        <w:gridCol w:w="1202"/>
        <w:gridCol w:w="5776"/>
        <w:gridCol w:w="8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序号</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评审因素</w:t>
            </w:r>
          </w:p>
        </w:tc>
        <w:tc>
          <w:tcPr>
            <w:tcW w:w="3389"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评分标准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1</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bCs/>
                <w:color w:val="auto"/>
                <w:sz w:val="24"/>
                <w:szCs w:val="22"/>
                <w:highlight w:val="none"/>
              </w:rPr>
            </w:pPr>
            <w:r>
              <w:rPr>
                <w:rFonts w:hint="eastAsia" w:ascii="仿宋" w:hAnsi="仿宋" w:eastAsia="仿宋" w:cs="仿宋"/>
                <w:color w:val="auto"/>
                <w:sz w:val="24"/>
                <w:highlight w:val="none"/>
              </w:rPr>
              <w:t>符合性评审</w:t>
            </w:r>
          </w:p>
        </w:tc>
        <w:tc>
          <w:tcPr>
            <w:tcW w:w="3887" w:type="pct"/>
            <w:gridSpan w:val="2"/>
            <w:vAlign w:val="center"/>
          </w:tcPr>
          <w:p>
            <w:pPr>
              <w:pageBreakBefore w:val="0"/>
              <w:kinsoku/>
              <w:wordWrap/>
              <w:overflowPunct/>
              <w:topLinePunct w:val="0"/>
              <w:autoSpaceDE/>
              <w:autoSpaceDN/>
              <w:bidi w:val="0"/>
              <w:adjustRightInd/>
              <w:snapToGrid/>
              <w:spacing w:line="460" w:lineRule="exact"/>
              <w:rPr>
                <w:rFonts w:eastAsia="仿宋" w:cs="Times New Roman"/>
                <w:color w:val="auto"/>
                <w:sz w:val="24"/>
                <w:szCs w:val="22"/>
                <w:highlight w:val="none"/>
              </w:rPr>
            </w:pPr>
            <w:r>
              <w:rPr>
                <w:rFonts w:hint="eastAsia" w:eastAsia="仿宋" w:cs="Times New Roman"/>
                <w:color w:val="auto"/>
                <w:sz w:val="24"/>
                <w:szCs w:val="22"/>
                <w:highlight w:val="none"/>
              </w:rPr>
              <w:t>投标人必须完全满足招标文件“商务要求”</w:t>
            </w:r>
            <w:r>
              <w:rPr>
                <w:rFonts w:hint="eastAsia" w:eastAsia="仿宋" w:cs="Times New Roman"/>
                <w:color w:val="auto"/>
                <w:sz w:val="24"/>
                <w:szCs w:val="22"/>
                <w:highlight w:val="none"/>
                <w:lang w:val="en-US" w:eastAsia="zh-CN"/>
              </w:rPr>
              <w:t>所有</w:t>
            </w:r>
            <w:r>
              <w:rPr>
                <w:rFonts w:hint="eastAsia" w:eastAsia="仿宋" w:cs="Times New Roman"/>
                <w:color w:val="auto"/>
                <w:sz w:val="24"/>
                <w:szCs w:val="22"/>
                <w:highlight w:val="none"/>
              </w:rPr>
              <w:t>实质性条款，任意一项不满足作无效投标处理。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eastAsia="仿宋" w:cs="Times New Roman"/>
                <w:b/>
                <w:bCs/>
                <w:color w:val="auto"/>
                <w:sz w:val="24"/>
                <w:szCs w:val="22"/>
                <w:highlight w:val="none"/>
              </w:rPr>
              <w:t>评审依据：投标文件中提供的商务条款响应表。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2</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hint="eastAsia" w:eastAsia="仿宋"/>
                <w:color w:val="auto"/>
                <w:sz w:val="24"/>
                <w:szCs w:val="22"/>
                <w:highlight w:val="none"/>
                <w:lang w:eastAsia="zh-CN"/>
              </w:rPr>
            </w:pPr>
            <w:r>
              <w:rPr>
                <w:rFonts w:hint="eastAsia" w:eastAsia="仿宋"/>
                <w:color w:val="auto"/>
                <w:sz w:val="24"/>
                <w:szCs w:val="22"/>
                <w:highlight w:val="none"/>
                <w:lang w:eastAsia="zh-CN"/>
              </w:rPr>
              <w:t>生产制造履约能力</w:t>
            </w:r>
          </w:p>
        </w:tc>
        <w:tc>
          <w:tcPr>
            <w:tcW w:w="3389" w:type="pct"/>
            <w:vAlign w:val="center"/>
          </w:tcPr>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val="en-US" w:eastAsia="zh-CN"/>
              </w:rPr>
              <w:t>投标人提供所投</w:t>
            </w:r>
            <w:r>
              <w:rPr>
                <w:rFonts w:hint="eastAsia" w:ascii="仿宋" w:hAnsi="仿宋" w:eastAsia="仿宋" w:cs="仿宋"/>
                <w:color w:val="auto"/>
                <w:sz w:val="24"/>
                <w:highlight w:val="none"/>
                <w:lang w:val="en-US" w:eastAsia="zh-CN"/>
              </w:rPr>
              <w:t>核心</w:t>
            </w:r>
            <w:r>
              <w:rPr>
                <w:rFonts w:hint="eastAsia" w:eastAsia="仿宋" w:cs="Times New Roman"/>
                <w:color w:val="auto"/>
                <w:sz w:val="24"/>
                <w:szCs w:val="22"/>
                <w:highlight w:val="none"/>
                <w:lang w:val="en-US" w:eastAsia="zh-CN"/>
              </w:rPr>
              <w:t>产品制造商的证明材料（应加盖制造商公章）</w:t>
            </w:r>
            <w:r>
              <w:rPr>
                <w:rFonts w:hint="eastAsia" w:eastAsia="仿宋" w:cs="Times New Roman"/>
                <w:color w:val="auto"/>
                <w:sz w:val="24"/>
                <w:szCs w:val="22"/>
                <w:highlight w:val="none"/>
              </w:rPr>
              <w:t>对</w:t>
            </w:r>
            <w:r>
              <w:rPr>
                <w:rFonts w:hint="eastAsia" w:eastAsia="仿宋" w:cs="Times New Roman"/>
                <w:color w:val="auto"/>
                <w:sz w:val="24"/>
                <w:szCs w:val="22"/>
                <w:highlight w:val="none"/>
                <w:lang w:eastAsia="zh-CN"/>
              </w:rPr>
              <w:t>生产制造履约能力</w:t>
            </w:r>
            <w:r>
              <w:rPr>
                <w:rFonts w:hint="eastAsia" w:eastAsia="仿宋" w:cs="Times New Roman"/>
                <w:color w:val="auto"/>
                <w:sz w:val="24"/>
                <w:szCs w:val="22"/>
                <w:highlight w:val="none"/>
              </w:rPr>
              <w:t>进行评审，包含但不限于</w:t>
            </w:r>
            <w:r>
              <w:rPr>
                <w:rFonts w:hint="eastAsia" w:eastAsia="仿宋" w:cs="Times New Roman"/>
                <w:color w:val="auto"/>
                <w:sz w:val="24"/>
                <w:szCs w:val="22"/>
                <w:highlight w:val="none"/>
                <w:lang w:eastAsia="zh-CN"/>
              </w:rPr>
              <w:t>：</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eastAsia="zh-CN"/>
              </w:rPr>
              <w:t>①制造商生产经营情况简介；</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②</w:t>
            </w:r>
            <w:r>
              <w:rPr>
                <w:rFonts w:hint="eastAsia" w:eastAsia="仿宋" w:cs="Times New Roman"/>
                <w:color w:val="auto"/>
                <w:sz w:val="24"/>
                <w:szCs w:val="22"/>
                <w:highlight w:val="none"/>
                <w:lang w:eastAsia="zh-CN"/>
              </w:rPr>
              <w:t>生产工艺流程，主要包括生产制造流程图、生产步骤（应含生产车间环境及实际生产照片）等相关情况描述；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③产品检验流程，包括主要检验设备</w:t>
            </w:r>
            <w:r>
              <w:rPr>
                <w:rFonts w:hint="eastAsia" w:eastAsia="仿宋" w:cs="Times New Roman"/>
                <w:color w:val="auto"/>
                <w:sz w:val="24"/>
                <w:szCs w:val="22"/>
                <w:highlight w:val="none"/>
                <w:lang w:eastAsia="zh-CN"/>
              </w:rPr>
              <w:t>（应提供图片）</w:t>
            </w:r>
            <w:r>
              <w:rPr>
                <w:rFonts w:hint="eastAsia" w:eastAsia="仿宋" w:cs="Times New Roman"/>
                <w:color w:val="auto"/>
                <w:sz w:val="24"/>
                <w:szCs w:val="22"/>
                <w:highlight w:val="none"/>
              </w:rPr>
              <w:t>、检验步骤等相关情况描述；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④人员配备：相关专业技术</w:t>
            </w:r>
            <w:r>
              <w:rPr>
                <w:rFonts w:hint="eastAsia" w:eastAsia="仿宋" w:cs="Times New Roman"/>
                <w:color w:val="auto"/>
                <w:sz w:val="24"/>
                <w:szCs w:val="22"/>
                <w:highlight w:val="none"/>
                <w:lang w:eastAsia="zh-CN"/>
              </w:rPr>
              <w:t>职称</w:t>
            </w:r>
            <w:r>
              <w:rPr>
                <w:rFonts w:hint="eastAsia" w:eastAsia="仿宋" w:cs="Times New Roman"/>
                <w:color w:val="auto"/>
                <w:sz w:val="24"/>
                <w:szCs w:val="22"/>
                <w:highlight w:val="none"/>
              </w:rPr>
              <w:t>人员配置情况</w:t>
            </w:r>
            <w:r>
              <w:rPr>
                <w:rFonts w:hint="eastAsia" w:eastAsia="仿宋" w:cs="Times New Roman"/>
                <w:color w:val="auto"/>
                <w:sz w:val="24"/>
                <w:szCs w:val="22"/>
                <w:highlight w:val="none"/>
                <w:lang w:eastAsia="zh-CN"/>
              </w:rPr>
              <w:t>；</w:t>
            </w:r>
            <w:r>
              <w:rPr>
                <w:rFonts w:hint="eastAsia" w:eastAsia="仿宋" w:cs="Times New Roman"/>
                <w:color w:val="auto"/>
                <w:sz w:val="24"/>
                <w:szCs w:val="22"/>
                <w:highlight w:val="none"/>
              </w:rPr>
              <w:t>各原材料采购、生产、检验、仓储、运输等环节的人员配备情况；</w:t>
            </w:r>
          </w:p>
          <w:p>
            <w:pPr>
              <w:pageBreakBefore w:val="0"/>
              <w:kinsoku/>
              <w:wordWrap/>
              <w:overflowPunct/>
              <w:topLinePunct w:val="0"/>
              <w:autoSpaceDE/>
              <w:autoSpaceDN/>
              <w:bidi w:val="0"/>
              <w:adjustRightInd/>
              <w:snapToGrid/>
              <w:spacing w:line="460" w:lineRule="exact"/>
              <w:rPr>
                <w:rFonts w:hint="eastAsia" w:eastAsia="仿宋" w:cs="Times New Roman"/>
                <w:b/>
                <w:bCs/>
                <w:color w:val="auto"/>
                <w:sz w:val="24"/>
                <w:szCs w:val="22"/>
                <w:highlight w:val="none"/>
              </w:rPr>
            </w:pPr>
            <w:r>
              <w:rPr>
                <w:rFonts w:hint="eastAsia" w:eastAsia="仿宋" w:cs="Times New Roman"/>
                <w:b/>
                <w:bCs/>
                <w:color w:val="auto"/>
                <w:sz w:val="24"/>
                <w:szCs w:val="22"/>
                <w:highlight w:val="none"/>
              </w:rPr>
              <w:t>评审依据：</w:t>
            </w:r>
            <w:r>
              <w:rPr>
                <w:rFonts w:hint="eastAsia" w:eastAsia="仿宋" w:cs="Times New Roman"/>
                <w:b/>
                <w:bCs/>
                <w:color w:val="auto"/>
                <w:sz w:val="24"/>
                <w:szCs w:val="22"/>
                <w:highlight w:val="none"/>
                <w:lang w:val="en-US" w:eastAsia="zh-CN"/>
              </w:rPr>
              <w:t>根据</w:t>
            </w:r>
            <w:r>
              <w:rPr>
                <w:rFonts w:hint="eastAsia" w:eastAsia="仿宋" w:cs="Times New Roman"/>
                <w:b/>
                <w:bCs/>
                <w:color w:val="auto"/>
                <w:sz w:val="24"/>
                <w:szCs w:val="22"/>
                <w:highlight w:val="none"/>
              </w:rPr>
              <w:t>投标人提</w:t>
            </w:r>
            <w:r>
              <w:rPr>
                <w:rFonts w:hint="eastAsia" w:eastAsia="仿宋" w:cs="Times New Roman"/>
                <w:b/>
                <w:bCs/>
                <w:color w:val="auto"/>
                <w:sz w:val="24"/>
                <w:szCs w:val="22"/>
                <w:highlight w:val="none"/>
                <w:lang w:val="en-US" w:eastAsia="zh-CN"/>
              </w:rPr>
              <w:t>供的生产制造履约能力方案内容完整性、组织性、关联性和可操作性进行评审</w:t>
            </w:r>
            <w:r>
              <w:rPr>
                <w:rFonts w:hint="eastAsia" w:eastAsia="仿宋" w:cs="Times New Roman"/>
                <w:b/>
                <w:bCs/>
                <w:color w:val="auto"/>
                <w:sz w:val="24"/>
                <w:szCs w:val="22"/>
                <w:highlight w:val="none"/>
              </w:rPr>
              <w:t>。</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1、所投</w:t>
            </w:r>
            <w:r>
              <w:rPr>
                <w:rFonts w:hint="eastAsia" w:ascii="仿宋" w:hAnsi="仿宋" w:eastAsia="仿宋" w:cs="仿宋"/>
                <w:b/>
                <w:bCs/>
                <w:color w:val="auto"/>
                <w:sz w:val="24"/>
                <w:highlight w:val="none"/>
                <w:lang w:val="en-US" w:eastAsia="zh-CN"/>
              </w:rPr>
              <w:t>核心</w:t>
            </w:r>
            <w:r>
              <w:rPr>
                <w:rFonts w:hint="eastAsia" w:eastAsia="仿宋" w:cs="Times New Roman"/>
                <w:b/>
                <w:bCs/>
                <w:color w:val="auto"/>
                <w:sz w:val="24"/>
                <w:szCs w:val="22"/>
                <w:highlight w:val="none"/>
                <w:lang w:val="en-US" w:eastAsia="zh-CN"/>
              </w:rPr>
              <w:t>产品</w:t>
            </w:r>
            <w:r>
              <w:rPr>
                <w:rFonts w:hint="eastAsia" w:ascii="仿宋" w:hAnsi="仿宋" w:eastAsia="仿宋" w:cs="仿宋"/>
                <w:b/>
                <w:bCs/>
                <w:color w:val="auto"/>
                <w:sz w:val="24"/>
                <w:szCs w:val="24"/>
                <w:highlight w:val="none"/>
                <w:lang w:val="en-US" w:eastAsia="zh-CN"/>
              </w:rPr>
              <w:t>制造商具备较强自主研发能力及先进的生产工艺，生产车间环境及生产线先进规范，生产步骤完整周详，技术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检验设备配置齐全、检验步骤严密无纰漏，生产制造履约能力</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分；</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2、所投</w:t>
            </w:r>
            <w:r>
              <w:rPr>
                <w:rFonts w:hint="eastAsia" w:ascii="仿宋" w:hAnsi="仿宋" w:eastAsia="仿宋" w:cs="仿宋"/>
                <w:b/>
                <w:bCs/>
                <w:color w:val="auto"/>
                <w:sz w:val="24"/>
                <w:highlight w:val="none"/>
                <w:lang w:val="en-US" w:eastAsia="zh-CN"/>
              </w:rPr>
              <w:t>核心</w:t>
            </w:r>
            <w:r>
              <w:rPr>
                <w:rFonts w:hint="eastAsia" w:eastAsia="仿宋" w:cs="Times New Roman"/>
                <w:b/>
                <w:bCs/>
                <w:color w:val="auto"/>
                <w:sz w:val="24"/>
                <w:szCs w:val="22"/>
                <w:highlight w:val="none"/>
                <w:lang w:val="en-US" w:eastAsia="zh-CN"/>
              </w:rPr>
              <w:t>产品</w:t>
            </w:r>
            <w:r>
              <w:rPr>
                <w:rFonts w:hint="eastAsia" w:ascii="仿宋" w:hAnsi="仿宋" w:eastAsia="仿宋" w:cs="仿宋"/>
                <w:b/>
                <w:bCs/>
                <w:color w:val="auto"/>
                <w:sz w:val="24"/>
                <w:szCs w:val="24"/>
                <w:highlight w:val="none"/>
                <w:lang w:val="en-US" w:eastAsia="zh-CN"/>
              </w:rPr>
              <w:t>制造商有自主研发能力和生产工艺较完整，生产车间环境及生产线常规，生产步骤较完整周详，技术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eastAsia="zh-CN"/>
              </w:rPr>
              <w:t>相对</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检验设备配置较齐全、检验步骤相对完备，生产制造履约能力</w:t>
            </w:r>
            <w:r>
              <w:rPr>
                <w:rFonts w:hint="eastAsia" w:ascii="仿宋" w:hAnsi="仿宋" w:eastAsia="仿宋" w:cs="仿宋"/>
                <w:b/>
                <w:bCs/>
                <w:color w:val="auto"/>
                <w:sz w:val="24"/>
                <w:szCs w:val="24"/>
                <w:highlight w:val="none"/>
                <w:lang w:eastAsia="zh-CN"/>
              </w:rPr>
              <w:t>较</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3、所投</w:t>
            </w:r>
            <w:r>
              <w:rPr>
                <w:rFonts w:hint="eastAsia" w:ascii="仿宋" w:hAnsi="仿宋" w:eastAsia="仿宋" w:cs="仿宋"/>
                <w:b/>
                <w:bCs/>
                <w:color w:val="auto"/>
                <w:sz w:val="24"/>
                <w:highlight w:val="none"/>
                <w:lang w:val="en-US" w:eastAsia="zh-CN"/>
              </w:rPr>
              <w:t>核心</w:t>
            </w:r>
            <w:r>
              <w:rPr>
                <w:rFonts w:hint="eastAsia" w:eastAsia="仿宋" w:cs="Times New Roman"/>
                <w:b/>
                <w:bCs/>
                <w:color w:val="auto"/>
                <w:sz w:val="24"/>
                <w:szCs w:val="22"/>
                <w:highlight w:val="none"/>
                <w:lang w:val="en-US" w:eastAsia="zh-CN"/>
              </w:rPr>
              <w:t>产品</w:t>
            </w:r>
            <w:r>
              <w:rPr>
                <w:rFonts w:hint="eastAsia" w:ascii="仿宋" w:hAnsi="仿宋" w:eastAsia="仿宋" w:cs="仿宋"/>
                <w:b/>
                <w:bCs/>
                <w:color w:val="auto"/>
                <w:sz w:val="24"/>
                <w:szCs w:val="24"/>
                <w:highlight w:val="none"/>
                <w:lang w:val="en-US" w:eastAsia="zh-CN"/>
              </w:rPr>
              <w:t>制造商有自主研发能力和生产工艺薄弱，生产车间环境及生产线粗糙落后，生产步骤简单，技术</w:t>
            </w:r>
            <w:r>
              <w:rPr>
                <w:rFonts w:hint="eastAsia" w:ascii="仿宋" w:hAnsi="仿宋" w:eastAsia="仿宋" w:cs="仿宋"/>
                <w:b/>
                <w:bCs/>
                <w:color w:val="auto"/>
                <w:sz w:val="24"/>
                <w:szCs w:val="24"/>
                <w:highlight w:val="none"/>
              </w:rPr>
              <w:t>人员</w:t>
            </w:r>
            <w:r>
              <w:rPr>
                <w:rFonts w:hint="eastAsia" w:ascii="仿宋" w:hAnsi="仿宋" w:eastAsia="仿宋" w:cs="仿宋"/>
                <w:b/>
                <w:bCs/>
                <w:color w:val="auto"/>
                <w:sz w:val="24"/>
                <w:szCs w:val="24"/>
                <w:highlight w:val="none"/>
                <w:lang w:eastAsia="zh-CN"/>
              </w:rPr>
              <w:t>综合实力一般，</w:t>
            </w:r>
            <w:r>
              <w:rPr>
                <w:rFonts w:hint="eastAsia" w:ascii="仿宋" w:hAnsi="仿宋" w:eastAsia="仿宋" w:cs="仿宋"/>
                <w:b/>
                <w:bCs/>
                <w:color w:val="auto"/>
                <w:sz w:val="24"/>
                <w:szCs w:val="24"/>
                <w:highlight w:val="none"/>
                <w:lang w:val="en-US" w:eastAsia="zh-CN"/>
              </w:rPr>
              <w:t>检验设备配置简单落后，检验步骤普通，生产制造履约能力</w:t>
            </w:r>
            <w:r>
              <w:rPr>
                <w:rFonts w:hint="eastAsia" w:ascii="仿宋" w:hAnsi="仿宋" w:eastAsia="仿宋" w:cs="仿宋"/>
                <w:b/>
                <w:bCs/>
                <w:color w:val="auto"/>
                <w:sz w:val="24"/>
                <w:szCs w:val="24"/>
                <w:highlight w:val="none"/>
                <w:lang w:eastAsia="zh-CN"/>
              </w:rPr>
              <w:t>弱</w:t>
            </w:r>
            <w:r>
              <w:rPr>
                <w:rFonts w:hint="eastAsia" w:ascii="仿宋" w:hAnsi="仿宋" w:eastAsia="仿宋" w:cs="仿宋"/>
                <w:b/>
                <w:bCs/>
                <w:color w:val="auto"/>
                <w:sz w:val="24"/>
                <w:szCs w:val="24"/>
                <w:highlight w:val="none"/>
              </w:rPr>
              <w:t>的得</w:t>
            </w: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未提供证明材料或证明材料有缺项的不得分。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3</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质量保证和保修</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eastAsia="仿宋"/>
                <w:color w:val="auto"/>
                <w:sz w:val="24"/>
                <w:szCs w:val="22"/>
                <w:highlight w:val="none"/>
              </w:rPr>
            </w:pPr>
            <w:r>
              <w:rPr>
                <w:rFonts w:eastAsia="仿宋"/>
                <w:color w:val="auto"/>
                <w:sz w:val="24"/>
                <w:szCs w:val="22"/>
                <w:highlight w:val="none"/>
              </w:rPr>
              <w:t>在招标文件商务要求中“质保期”和“保修期”要求基础上，承诺“质保期”和“保修期”均每延长一年的加2分，最多加4分。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eastAsia="仿宋"/>
                <w:b/>
                <w:color w:val="auto"/>
                <w:sz w:val="24"/>
                <w:szCs w:val="22"/>
                <w:highlight w:val="none"/>
              </w:rPr>
              <w:t>评审依据：投标文件中提供“质保期”和“保修期”均延长的承诺函原件。</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类似销售</w:t>
            </w:r>
          </w:p>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案例</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投标人自</w:t>
            </w:r>
            <w:r>
              <w:rPr>
                <w:rFonts w:eastAsia="仿宋" w:cs="Times New Roman"/>
                <w:color w:val="auto"/>
                <w:sz w:val="24"/>
                <w:szCs w:val="22"/>
                <w:highlight w:val="none"/>
              </w:rPr>
              <w:t>20</w:t>
            </w:r>
            <w:r>
              <w:rPr>
                <w:rFonts w:hint="eastAsia" w:eastAsia="仿宋" w:cs="Times New Roman"/>
                <w:color w:val="auto"/>
                <w:sz w:val="24"/>
                <w:szCs w:val="22"/>
                <w:highlight w:val="none"/>
              </w:rPr>
              <w:t>2</w:t>
            </w:r>
            <w:r>
              <w:rPr>
                <w:rFonts w:hint="eastAsia" w:eastAsia="仿宋" w:cs="Times New Roman"/>
                <w:color w:val="auto"/>
                <w:sz w:val="24"/>
                <w:szCs w:val="22"/>
                <w:highlight w:val="none"/>
                <w:lang w:val="en-US" w:eastAsia="zh-CN"/>
              </w:rPr>
              <w:t>1</w:t>
            </w:r>
            <w:r>
              <w:rPr>
                <w:rFonts w:hint="eastAsia" w:eastAsia="仿宋" w:cs="Times New Roman"/>
                <w:color w:val="auto"/>
                <w:sz w:val="24"/>
                <w:szCs w:val="22"/>
                <w:highlight w:val="none"/>
              </w:rPr>
              <w:t>年</w:t>
            </w:r>
            <w:r>
              <w:rPr>
                <w:rFonts w:eastAsia="仿宋" w:cs="Times New Roman"/>
                <w:color w:val="auto"/>
                <w:sz w:val="24"/>
                <w:szCs w:val="22"/>
                <w:highlight w:val="none"/>
              </w:rPr>
              <w:t>1月1日至今（以签订合同时间为准）具有类似</w:t>
            </w:r>
            <w:r>
              <w:rPr>
                <w:rFonts w:hint="eastAsia" w:ascii="仿宋" w:hAnsi="仿宋" w:eastAsia="仿宋" w:cs="仿宋"/>
                <w:color w:val="auto"/>
                <w:sz w:val="24"/>
                <w:highlight w:val="none"/>
                <w:lang w:val="en-US" w:eastAsia="zh-CN"/>
              </w:rPr>
              <w:t>核心</w:t>
            </w:r>
            <w:r>
              <w:rPr>
                <w:rFonts w:eastAsia="仿宋" w:cs="Times New Roman"/>
                <w:color w:val="auto"/>
                <w:sz w:val="24"/>
                <w:szCs w:val="22"/>
                <w:highlight w:val="none"/>
              </w:rPr>
              <w:t>产品销售案例，每提供1份销售案例加</w:t>
            </w:r>
            <w:r>
              <w:rPr>
                <w:rFonts w:hint="eastAsia" w:eastAsia="仿宋" w:cs="Times New Roman"/>
                <w:color w:val="auto"/>
                <w:sz w:val="24"/>
                <w:szCs w:val="22"/>
                <w:highlight w:val="none"/>
                <w:lang w:val="en-US" w:eastAsia="zh-CN"/>
              </w:rPr>
              <w:t>2</w:t>
            </w:r>
            <w:r>
              <w:rPr>
                <w:rFonts w:hint="eastAsia" w:eastAsia="仿宋" w:cs="Times New Roman"/>
                <w:color w:val="auto"/>
                <w:sz w:val="24"/>
                <w:szCs w:val="22"/>
                <w:highlight w:val="none"/>
              </w:rPr>
              <w:t>分，本项最多加</w:t>
            </w:r>
            <w:r>
              <w:rPr>
                <w:rFonts w:hint="eastAsia" w:eastAsia="仿宋" w:cs="Times New Roman"/>
                <w:color w:val="auto"/>
                <w:sz w:val="24"/>
                <w:szCs w:val="22"/>
                <w:highlight w:val="none"/>
                <w:lang w:val="en-US" w:eastAsia="zh-CN"/>
              </w:rPr>
              <w:t>6</w:t>
            </w:r>
            <w:r>
              <w:rPr>
                <w:rFonts w:hint="eastAsia" w:eastAsia="仿宋" w:cs="Times New Roman"/>
                <w:color w:val="auto"/>
                <w:sz w:val="24"/>
                <w:szCs w:val="22"/>
                <w:highlight w:val="none"/>
              </w:rPr>
              <w:t>分。</w:t>
            </w:r>
          </w:p>
          <w:p>
            <w:pPr>
              <w:pageBreakBefore w:val="0"/>
              <w:kinsoku/>
              <w:wordWrap/>
              <w:overflowPunct/>
              <w:topLinePunct w:val="0"/>
              <w:autoSpaceDE/>
              <w:autoSpaceDN/>
              <w:bidi w:val="0"/>
              <w:adjustRightInd/>
              <w:snapToGrid/>
              <w:spacing w:line="460" w:lineRule="exact"/>
              <w:jc w:val="left"/>
              <w:rPr>
                <w:rFonts w:eastAsia="仿宋"/>
                <w:b/>
                <w:bCs/>
                <w:color w:val="auto"/>
                <w:sz w:val="24"/>
                <w:szCs w:val="22"/>
                <w:highlight w:val="none"/>
              </w:rPr>
            </w:pPr>
            <w:r>
              <w:rPr>
                <w:rFonts w:hint="eastAsia" w:eastAsia="仿宋" w:cs="Times New Roman"/>
                <w:b/>
                <w:bCs/>
                <w:color w:val="auto"/>
                <w:sz w:val="24"/>
                <w:szCs w:val="22"/>
                <w:highlight w:val="none"/>
              </w:rPr>
              <w:t>评审依据：①投标文件中提供销售案例明细表（销售案例明细表包含</w:t>
            </w:r>
            <w:r>
              <w:rPr>
                <w:rFonts w:eastAsia="仿宋" w:cs="Times New Roman"/>
                <w:b/>
                <w:bCs/>
                <w:color w:val="auto"/>
                <w:sz w:val="24"/>
                <w:szCs w:val="22"/>
                <w:highlight w:val="none"/>
              </w:rPr>
              <w:t>:发布网站名称、网页链接地址、采购项目名称、采购单位名称和联系方式、采购代理机构名称和联系方式）；</w:t>
            </w:r>
            <w:r>
              <w:rPr>
                <w:rFonts w:hint="eastAsia" w:eastAsia="仿宋" w:cs="Times New Roman"/>
                <w:b/>
                <w:bCs/>
                <w:color w:val="auto"/>
                <w:sz w:val="24"/>
                <w:szCs w:val="22"/>
                <w:highlight w:val="none"/>
              </w:rPr>
              <w:t>②</w:t>
            </w:r>
            <w:r>
              <w:rPr>
                <w:rFonts w:hint="eastAsia" w:eastAsia="仿宋" w:cs="Times New Roman"/>
                <w:b/>
                <w:bCs/>
                <w:color w:val="auto"/>
                <w:sz w:val="24"/>
                <w:szCs w:val="22"/>
                <w:highlight w:val="none"/>
                <w:lang w:eastAsia="zh-CN"/>
              </w:rPr>
              <w:t>中标（成交）公告截图（打印网页）、中标通知书复印件和合同复印件（中标通知书或合同复印件应体现类似销售案例的货物），合同签订方必须是投标人本身。</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hint="eastAsia" w:eastAsia="仿宋"/>
                <w:color w:val="auto"/>
                <w:sz w:val="24"/>
                <w:szCs w:val="22"/>
                <w:highlight w:val="none"/>
                <w:lang w:val="en-US" w:eastAsia="zh-CN"/>
              </w:rPr>
              <w:t>6</w:t>
            </w:r>
            <w:r>
              <w:rPr>
                <w:rFonts w:eastAsia="仿宋"/>
                <w:color w:val="auto"/>
                <w:sz w:val="24"/>
                <w:szCs w:val="22"/>
                <w:highlight w:val="none"/>
              </w:rPr>
              <w:t>分</w:t>
            </w:r>
          </w:p>
        </w:tc>
      </w:tr>
    </w:tbl>
    <w:p>
      <w:pPr>
        <w:pageBreakBefore w:val="0"/>
        <w:kinsoku/>
        <w:wordWrap/>
        <w:overflowPunct/>
        <w:topLinePunct w:val="0"/>
        <w:autoSpaceDE/>
        <w:autoSpaceDN/>
        <w:bidi w:val="0"/>
        <w:adjustRightInd/>
        <w:snapToGrid/>
        <w:spacing w:line="460" w:lineRule="exact"/>
        <w:rPr>
          <w:color w:val="auto"/>
        </w:rPr>
      </w:pPr>
      <w:r>
        <w:rPr>
          <w:color w:val="auto"/>
        </w:rPr>
        <w:br w:type="page"/>
      </w:r>
    </w:p>
    <w:p>
      <w:pPr>
        <w:pageBreakBefore w:val="0"/>
        <w:kinsoku/>
        <w:wordWrap/>
        <w:overflowPunct/>
        <w:topLinePunct w:val="0"/>
        <w:autoSpaceDE/>
        <w:autoSpaceDN/>
        <w:bidi w:val="0"/>
        <w:adjustRightInd/>
        <w:snapToGrid/>
        <w:spacing w:line="460" w:lineRule="exact"/>
        <w:jc w:val="left"/>
        <w:outlineLvl w:val="1"/>
        <w:rPr>
          <w:rFonts w:hint="eastAsia" w:ascii="仿宋" w:hAnsi="仿宋" w:eastAsia="仿宋" w:cs="Times New Roman"/>
          <w:b/>
          <w:bCs/>
          <w:color w:val="auto"/>
          <w:sz w:val="28"/>
          <w:szCs w:val="28"/>
          <w:highlight w:val="none"/>
        </w:rPr>
      </w:pPr>
      <w:bookmarkStart w:id="781" w:name="_Toc6053"/>
      <w:bookmarkStart w:id="782" w:name="_Toc7433"/>
      <w:bookmarkStart w:id="783" w:name="_Toc17149"/>
      <w:bookmarkStart w:id="784" w:name="_Toc28823"/>
      <w:bookmarkStart w:id="785" w:name="_Toc22749"/>
      <w:r>
        <w:rPr>
          <w:rFonts w:hint="eastAsia" w:ascii="仿宋" w:hAnsi="仿宋" w:eastAsia="仿宋" w:cs="Times New Roman"/>
          <w:b/>
          <w:bCs/>
          <w:color w:val="auto"/>
          <w:sz w:val="28"/>
          <w:szCs w:val="28"/>
          <w:highlight w:val="none"/>
          <w:lang w:val="en-US" w:eastAsia="zh-CN"/>
        </w:rPr>
        <w:t>98包：宿营方舱</w:t>
      </w:r>
      <w:bookmarkEnd w:id="781"/>
      <w:bookmarkEnd w:id="782"/>
      <w:bookmarkEnd w:id="783"/>
      <w:bookmarkEnd w:id="784"/>
      <w:bookmarkEnd w:id="785"/>
    </w:p>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hint="eastAsia" w:ascii="仿宋" w:hAnsi="仿宋" w:eastAsia="仿宋"/>
          <w:b/>
          <w:color w:val="auto"/>
          <w:sz w:val="24"/>
          <w:highlight w:val="none"/>
        </w:rPr>
        <w:t>一、价格部分（</w:t>
      </w:r>
      <w:r>
        <w:rPr>
          <w:rFonts w:ascii="仿宋" w:hAnsi="仿宋" w:eastAsia="仿宋"/>
          <w:b/>
          <w:color w:val="auto"/>
          <w:sz w:val="24"/>
          <w:highlight w:val="none"/>
        </w:rPr>
        <w:t>30分）</w:t>
      </w:r>
    </w:p>
    <w:tbl>
      <w:tblPr>
        <w:tblStyle w:val="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0"/>
        <w:gridCol w:w="1449"/>
        <w:gridCol w:w="5673"/>
        <w:gridCol w:w="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评审因素</w:t>
            </w:r>
          </w:p>
        </w:tc>
        <w:tc>
          <w:tcPr>
            <w:tcW w:w="3329" w:type="pct"/>
            <w:vAlign w:val="center"/>
          </w:tcPr>
          <w:p>
            <w:pPr>
              <w:pageBreakBefore w:val="0"/>
              <w:kinsoku/>
              <w:wordWrap/>
              <w:overflowPunct/>
              <w:topLinePunct w:val="0"/>
              <w:autoSpaceDE/>
              <w:autoSpaceDN/>
              <w:bidi w:val="0"/>
              <w:adjustRightInd/>
              <w:snapToGrid/>
              <w:spacing w:line="460" w:lineRule="exact"/>
              <w:jc w:val="center"/>
              <w:textAlignment w:val="center"/>
              <w:rPr>
                <w:rFonts w:ascii="仿宋" w:hAnsi="仿宋" w:eastAsia="仿宋" w:cs="仿宋"/>
                <w:b/>
                <w:color w:val="auto"/>
                <w:sz w:val="24"/>
                <w:highlight w:val="none"/>
              </w:rPr>
            </w:pPr>
            <w:r>
              <w:rPr>
                <w:rFonts w:hint="eastAsia" w:ascii="仿宋" w:hAnsi="仿宋" w:eastAsia="仿宋" w:cs="仿宋"/>
                <w:b/>
                <w:bCs/>
                <w:color w:val="auto"/>
                <w:sz w:val="24"/>
                <w:highlight w:val="none"/>
              </w:rPr>
              <w:t>评分标准</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价格分</w:t>
            </w:r>
          </w:p>
        </w:tc>
        <w:tc>
          <w:tcPr>
            <w:tcW w:w="3329" w:type="pct"/>
            <w:vAlign w:val="center"/>
          </w:tcPr>
          <w:p>
            <w:pPr>
              <w:pageBreakBefore w:val="0"/>
              <w:kinsoku/>
              <w:wordWrap/>
              <w:overflowPunct/>
              <w:topLinePunct w:val="0"/>
              <w:autoSpaceDE/>
              <w:autoSpaceDN/>
              <w:bidi w:val="0"/>
              <w:adjustRightInd/>
              <w:snapToGrid/>
              <w:spacing w:line="460" w:lineRule="exact"/>
              <w:jc w:val="left"/>
              <w:textAlignment w:val="center"/>
              <w:rPr>
                <w:rFonts w:ascii="仿宋" w:hAnsi="仿宋" w:eastAsia="仿宋" w:cs="仿宋"/>
                <w:color w:val="auto"/>
                <w:sz w:val="24"/>
                <w:highlight w:val="none"/>
              </w:rPr>
            </w:pPr>
            <w:r>
              <w:rPr>
                <w:rFonts w:hint="eastAsia" w:ascii="仿宋" w:hAnsi="仿宋" w:eastAsia="仿宋" w:cs="仿宋"/>
                <w:color w:val="auto"/>
                <w:sz w:val="24"/>
                <w:highlight w:val="none"/>
              </w:rPr>
              <w:t>根据综合评分法，满足招标文件要求且投标价格最低的投标报价为评标基准价，投标报价得分</w:t>
            </w:r>
            <w:r>
              <w:rPr>
                <w:rFonts w:ascii="仿宋" w:hAnsi="仿宋" w:eastAsia="仿宋" w:cs="仿宋"/>
                <w:color w:val="auto"/>
                <w:sz w:val="24"/>
                <w:highlight w:val="none"/>
              </w:rPr>
              <w:t>=（评标基准价／投标报价）</w:t>
            </w:r>
            <w:r>
              <w:rPr>
                <w:rFonts w:hint="eastAsia" w:ascii="仿宋" w:hAnsi="仿宋" w:eastAsia="仿宋" w:cs="仿宋"/>
                <w:color w:val="auto"/>
                <w:sz w:val="24"/>
                <w:highlight w:val="none"/>
              </w:rPr>
              <w:t>×</w:t>
            </w:r>
            <w:r>
              <w:rPr>
                <w:rFonts w:ascii="仿宋" w:hAnsi="仿宋" w:eastAsia="仿宋" w:cs="仿宋"/>
                <w:color w:val="auto"/>
                <w:sz w:val="24"/>
                <w:highlight w:val="none"/>
              </w:rPr>
              <w:t>30%×100，计算分数时四舍五入取小数点后两位。</w:t>
            </w:r>
          </w:p>
          <w:p>
            <w:pPr>
              <w:pageBreakBefore w:val="0"/>
              <w:kinsoku/>
              <w:wordWrap/>
              <w:overflowPunct/>
              <w:topLinePunct w:val="0"/>
              <w:autoSpaceDE/>
              <w:autoSpaceDN/>
              <w:bidi w:val="0"/>
              <w:adjustRightInd/>
              <w:snapToGrid/>
              <w:spacing w:line="460" w:lineRule="exact"/>
              <w:ind w:firstLine="482" w:firstLineChars="200"/>
              <w:jc w:val="left"/>
              <w:textAlignment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注：</w:t>
            </w:r>
            <w:r>
              <w:rPr>
                <w:rFonts w:ascii="仿宋" w:hAnsi="仿宋" w:eastAsia="仿宋" w:cs="仿宋"/>
                <w:b/>
                <w:bCs/>
                <w:color w:val="auto"/>
                <w:sz w:val="24"/>
                <w:highlight w:val="none"/>
              </w:rPr>
              <w:t>小、微型企业或残疾人福利性单位产品或监狱产品的价格给予10%的扣除，用扣除后的价格参与评审。但残疾人福利性单位本身属于小型、微型企业的，不重复享受政策。</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30分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二、技术部分（5</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0"/>
        <w:gridCol w:w="1793"/>
        <w:gridCol w:w="5390"/>
        <w:gridCol w:w="8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11"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1052"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3163"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评分标准</w:t>
            </w:r>
          </w:p>
        </w:tc>
        <w:tc>
          <w:tcPr>
            <w:tcW w:w="473"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311"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052"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技术参数及要求</w:t>
            </w:r>
          </w:p>
        </w:tc>
        <w:tc>
          <w:tcPr>
            <w:tcW w:w="3163" w:type="pct"/>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一、重大负偏离评审依据：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1、带★条款的响应，不满足招标文件要求的，或有缺项、漏项的，视为重大负偏离；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2、一般参数共有四项及以上（含本数）的负偏离，视为重大负偏离；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3、所投产品一般参数有一项低于招标文件要求，该项视为负偏离；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4、所投产品一般参数有一项缺项、漏项的，该项视为负偏离。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注：“一般参数”为非标“★”号参数和非标“▲”号参数。</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①投标文件中提供的技术条款响应表；</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②所投产品技术参数完全满足招标文件要求得</w:t>
            </w:r>
            <w:r>
              <w:rPr>
                <w:rFonts w:hint="eastAsia" w:ascii="仿宋" w:hAnsi="仿宋" w:eastAsia="仿宋" w:cs="仿宋"/>
                <w:b/>
                <w:bCs/>
                <w:color w:val="auto"/>
                <w:sz w:val="24"/>
                <w:highlight w:val="none"/>
                <w:lang w:val="en-US" w:eastAsia="zh-CN"/>
              </w:rPr>
              <w:t>34</w:t>
            </w:r>
            <w:r>
              <w:rPr>
                <w:rFonts w:hint="eastAsia" w:ascii="仿宋" w:hAnsi="仿宋" w:eastAsia="仿宋" w:cs="仿宋"/>
                <w:b/>
                <w:bCs/>
                <w:color w:val="auto"/>
                <w:sz w:val="24"/>
                <w:highlight w:val="none"/>
              </w:rPr>
              <w:t>分；重大负偏离则视为无效投标；一般参数每有一项负偏离减5分，最多减15分，四项或以上负偏离视为无效投标。</w:t>
            </w:r>
          </w:p>
        </w:tc>
        <w:tc>
          <w:tcPr>
            <w:tcW w:w="473" w:type="pct"/>
            <w:vAlign w:val="center"/>
          </w:tcPr>
          <w:p>
            <w:pPr>
              <w:pageBreakBefore w:val="0"/>
              <w:kinsoku/>
              <w:wordWrap/>
              <w:overflowPunct/>
              <w:topLinePunct w:val="0"/>
              <w:autoSpaceDE/>
              <w:autoSpaceDN/>
              <w:bidi w:val="0"/>
              <w:adjustRightInd/>
              <w:snapToGrid/>
              <w:spacing w:line="460" w:lineRule="exact"/>
              <w:jc w:val="center"/>
              <w:textAlignment w:val="center"/>
              <w:rPr>
                <w:rFonts w:hint="default"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34分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11"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1052" w:type="pct"/>
            <w:vAlign w:val="center"/>
          </w:tcPr>
          <w:p>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▲3.5.1 安装两台均≥1.5P冷暖空调</w:t>
            </w:r>
          </w:p>
        </w:tc>
        <w:tc>
          <w:tcPr>
            <w:tcW w:w="3163"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仿宋"/>
                <w:color w:val="auto"/>
                <w:sz w:val="24"/>
                <w:szCs w:val="24"/>
                <w:highlight w:val="none"/>
                <w:lang w:val="en-US" w:eastAsia="zh-CN"/>
              </w:rPr>
              <w:t>两台冷暖空调匹数均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szCs w:val="24"/>
                <w:highlight w:val="none"/>
                <w:lang w:val="en-US" w:eastAsia="zh-CN"/>
              </w:rPr>
              <w:t>匹数</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val="en-US" w:eastAsia="zh-CN"/>
              </w:rPr>
              <w:t>匹数</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val="en-US" w:eastAsia="zh-CN"/>
              </w:rPr>
              <w:t>冷暖空调匹数</w:t>
            </w:r>
            <w:r>
              <w:rPr>
                <w:rFonts w:hint="eastAsia" w:ascii="仿宋" w:hAnsi="仿宋" w:eastAsia="仿宋" w:cs="仿宋"/>
                <w:b/>
                <w:bCs/>
                <w:color w:val="auto"/>
                <w:sz w:val="24"/>
                <w:szCs w:val="24"/>
                <w:highlight w:val="none"/>
              </w:rPr>
              <w:t>最大，次优表示</w:t>
            </w:r>
            <w:r>
              <w:rPr>
                <w:rFonts w:hint="eastAsia" w:ascii="仿宋" w:hAnsi="仿宋" w:eastAsia="仿宋" w:cs="仿宋"/>
                <w:b/>
                <w:bCs/>
                <w:color w:val="auto"/>
                <w:sz w:val="24"/>
                <w:szCs w:val="24"/>
                <w:highlight w:val="none"/>
                <w:lang w:val="en-US" w:eastAsia="zh-CN"/>
              </w:rPr>
              <w:t>冷暖空调匹数</w:t>
            </w:r>
            <w:r>
              <w:rPr>
                <w:rFonts w:hint="eastAsia" w:ascii="仿宋" w:hAnsi="仿宋" w:eastAsia="仿宋" w:cs="仿宋"/>
                <w:b/>
                <w:bCs/>
                <w:color w:val="auto"/>
                <w:sz w:val="24"/>
                <w:szCs w:val="24"/>
                <w:highlight w:val="none"/>
              </w:rPr>
              <w:t>仅次于最大值。</w:t>
            </w:r>
          </w:p>
        </w:tc>
        <w:tc>
          <w:tcPr>
            <w:tcW w:w="473"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11"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lang w:val="en-US" w:eastAsia="zh-CN"/>
              </w:rPr>
            </w:pPr>
          </w:p>
        </w:tc>
        <w:tc>
          <w:tcPr>
            <w:tcW w:w="1052"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一般参数</w:t>
            </w:r>
          </w:p>
        </w:tc>
        <w:tc>
          <w:tcPr>
            <w:tcW w:w="3163"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在完全满足招标文件“</w:t>
            </w:r>
            <w:r>
              <w:rPr>
                <w:rFonts w:hint="eastAsia" w:ascii="仿宋" w:hAnsi="仿宋" w:eastAsia="仿宋" w:cs="仿宋"/>
                <w:color w:val="auto"/>
                <w:sz w:val="24"/>
                <w:highlight w:val="none"/>
                <w:lang w:eastAsia="zh-CN"/>
              </w:rPr>
              <w:t>所有参数</w:t>
            </w:r>
            <w:r>
              <w:rPr>
                <w:rFonts w:hint="eastAsia" w:ascii="仿宋" w:hAnsi="仿宋" w:eastAsia="仿宋" w:cs="仿宋"/>
                <w:color w:val="auto"/>
                <w:sz w:val="24"/>
                <w:highlight w:val="none"/>
              </w:rPr>
              <w:t>”要求的基础上，每有一条“一般参数”优于的加1分，本项最多加</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分。（加分只针对具有“≥”或“≤”的数值，数值更加优于的进行加分；文字内容或其他内容优于的不加分）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注：“一般参数”为非标“★”号参数和非标“▲”号参数。</w:t>
            </w:r>
          </w:p>
        </w:tc>
        <w:tc>
          <w:tcPr>
            <w:tcW w:w="473"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11" w:type="pct"/>
            <w:vMerge w:val="continue"/>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688" w:type="pct"/>
            <w:gridSpan w:val="3"/>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评审依据：提供技术条款响应表和技术支撑文件</w:t>
            </w:r>
            <w:r>
              <w:rPr>
                <w:rFonts w:hint="eastAsia" w:ascii="仿宋" w:hAnsi="仿宋" w:eastAsia="仿宋" w:cs="仿宋"/>
                <w:b/>
                <w:bCs/>
                <w:color w:val="auto"/>
                <w:sz w:val="24"/>
                <w:highlight w:val="none"/>
                <w:lang w:eastAsia="zh-CN"/>
              </w:rPr>
              <w:t>。</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hint="eastAsia"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hint="eastAsia"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hint="eastAsia"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③制造商出具的技术参数证明材料并加盖制造商公章。]</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注：①供应商应认真提供技术支撑文件，若提供多份技术支撑文件，技术支撑文件佐证不一致时，优先级为：产品检测报告复印件＞制造商公开发布的印刷资料＞制造商出具的技术参数证明</w:t>
            </w:r>
            <w:r>
              <w:rPr>
                <w:rFonts w:hint="eastAsia" w:ascii="仿宋" w:hAnsi="仿宋" w:eastAsia="仿宋" w:cs="仿宋"/>
                <w:b/>
                <w:bCs/>
                <w:color w:val="auto"/>
                <w:sz w:val="24"/>
                <w:highlight w:val="none"/>
                <w:lang w:val="en-US" w:eastAsia="zh-CN"/>
              </w:rPr>
              <w:t>材料</w:t>
            </w:r>
            <w:r>
              <w:rPr>
                <w:rFonts w:hint="eastAsia" w:ascii="仿宋" w:hAnsi="仿宋" w:eastAsia="仿宋" w:cs="仿宋"/>
                <w:b/>
                <w:bCs/>
                <w:color w:val="auto"/>
                <w:sz w:val="24"/>
                <w:highlight w:val="none"/>
              </w:rPr>
              <w:t>；②技术支撑文件</w:t>
            </w:r>
            <w:r>
              <w:rPr>
                <w:rFonts w:hint="eastAsia" w:ascii="仿宋" w:hAnsi="仿宋" w:eastAsia="仿宋" w:cs="仿宋"/>
                <w:b/>
                <w:bCs/>
                <w:color w:val="auto"/>
                <w:sz w:val="24"/>
                <w:highlight w:val="none"/>
                <w:lang w:val="en-US" w:eastAsia="zh-CN"/>
              </w:rPr>
              <w:t>与</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不一致，则</w:t>
            </w:r>
            <w:r>
              <w:rPr>
                <w:rFonts w:hint="eastAsia" w:ascii="仿宋" w:hAnsi="仿宋" w:eastAsia="仿宋" w:cs="仿宋"/>
                <w:b/>
                <w:bCs/>
                <w:color w:val="auto"/>
                <w:sz w:val="24"/>
                <w:highlight w:val="none"/>
              </w:rPr>
              <w:t>该点不加分</w:t>
            </w:r>
            <w:r>
              <w:rPr>
                <w:rFonts w:hint="eastAsia" w:ascii="仿宋" w:hAnsi="仿宋" w:eastAsia="仿宋" w:cs="仿宋"/>
                <w:b/>
                <w:bCs/>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11"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052" w:type="pct"/>
            <w:vAlign w:val="center"/>
          </w:tcPr>
          <w:p>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rPr>
              <w:t>▲3.6.5配备一台汽油静音发电机，功率≥10KW（提供第三方检测报告复印件）</w:t>
            </w:r>
          </w:p>
        </w:tc>
        <w:tc>
          <w:tcPr>
            <w:tcW w:w="3163"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所投汽油静音发电机</w:t>
            </w:r>
            <w:r>
              <w:rPr>
                <w:rFonts w:hint="eastAsia" w:ascii="仿宋" w:hAnsi="仿宋" w:eastAsia="仿宋" w:cs="仿宋"/>
                <w:i w:val="0"/>
                <w:iCs w:val="0"/>
                <w:color w:val="auto"/>
                <w:kern w:val="0"/>
                <w:sz w:val="24"/>
                <w:szCs w:val="24"/>
                <w:highlight w:val="none"/>
                <w:u w:val="none"/>
                <w:lang w:val="en-US" w:eastAsia="zh-CN" w:bidi="ar"/>
              </w:rPr>
              <w:t>的</w:t>
            </w:r>
            <w:r>
              <w:rPr>
                <w:rFonts w:hint="eastAsia" w:ascii="仿宋" w:hAnsi="仿宋" w:eastAsia="仿宋" w:cs="仿宋"/>
                <w:color w:val="auto"/>
                <w:sz w:val="24"/>
                <w:szCs w:val="24"/>
              </w:rPr>
              <w:t>功率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szCs w:val="24"/>
              </w:rPr>
              <w:t>功率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rPr>
              <w:t>功率</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szCs w:val="24"/>
                <w:highlight w:val="none"/>
              </w:rPr>
              <w:t>注：最优表示功率最大，次优表示功率仅次于最大值。</w:t>
            </w:r>
          </w:p>
        </w:tc>
        <w:tc>
          <w:tcPr>
            <w:tcW w:w="473"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11"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4688" w:type="pct"/>
            <w:gridSpan w:val="3"/>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评审依据：提供技术条款响应表和</w:t>
            </w:r>
            <w:r>
              <w:rPr>
                <w:rFonts w:hint="eastAsia" w:ascii="仿宋" w:hAnsi="仿宋" w:eastAsia="仿宋" w:cs="仿宋"/>
                <w:b/>
                <w:bCs/>
                <w:color w:val="auto"/>
                <w:sz w:val="24"/>
                <w:highlight w:val="none"/>
                <w:lang w:val="en-US" w:eastAsia="zh-CN"/>
              </w:rPr>
              <w:t>检测报告，检测报告与技术条款响应表不一致，则该点不加分。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11"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052"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整体结构与外观</w:t>
            </w:r>
          </w:p>
        </w:tc>
        <w:tc>
          <w:tcPr>
            <w:tcW w:w="3163"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w:t>
            </w:r>
            <w:r>
              <w:rPr>
                <w:rFonts w:hint="eastAsia" w:ascii="仿宋" w:hAnsi="仿宋" w:eastAsia="仿宋" w:cs="仿宋"/>
                <w:color w:val="auto"/>
                <w:sz w:val="24"/>
                <w:highlight w:val="none"/>
                <w:lang w:eastAsia="zh-CN"/>
              </w:rPr>
              <w:t>产品</w:t>
            </w:r>
            <w:r>
              <w:rPr>
                <w:rFonts w:hint="eastAsia" w:ascii="仿宋" w:hAnsi="仿宋" w:eastAsia="仿宋" w:cs="仿宋"/>
                <w:color w:val="auto"/>
                <w:sz w:val="24"/>
                <w:highlight w:val="none"/>
              </w:rPr>
              <w:t>的外观构造、内部结构、设计理念等进行评审。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设计理念先进，外部构造和内部结构科学合理，整体结构外观与实战紧贴程度高的，得3分；设计理念较为先进，外部构造和内部结构较为合理，整体结构外观与实战紧贴程度较高的，得2分；设计理念一般，外观构造和内部结构基本合理，整体结构外观与实战紧贴程度不高的，得1分；未提供证明材料或证明材料有缺项的不得分。</w:t>
            </w:r>
          </w:p>
        </w:tc>
        <w:tc>
          <w:tcPr>
            <w:tcW w:w="473"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11"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052"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工艺</w:t>
            </w:r>
          </w:p>
        </w:tc>
        <w:tc>
          <w:tcPr>
            <w:tcW w:w="3163"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w:t>
            </w:r>
            <w:r>
              <w:rPr>
                <w:rFonts w:hint="eastAsia" w:ascii="仿宋" w:hAnsi="仿宋" w:eastAsia="仿宋" w:cs="仿宋"/>
                <w:color w:val="auto"/>
                <w:sz w:val="24"/>
                <w:highlight w:val="none"/>
                <w:lang w:eastAsia="zh-CN"/>
              </w:rPr>
              <w:t>产品</w:t>
            </w:r>
            <w:r>
              <w:rPr>
                <w:rFonts w:hint="eastAsia" w:ascii="仿宋" w:hAnsi="仿宋" w:eastAsia="仿宋" w:cs="仿宋"/>
                <w:color w:val="auto"/>
                <w:sz w:val="24"/>
                <w:highlight w:val="none"/>
              </w:rPr>
              <w:t>的安全性、耐用性、实用性等进行评审。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性能高、耐用性能好、实用性能强，工艺符合实战需求程度高的，得3分；安全性能较高、耐用性能良好、实用性能较强，工艺符合实战需求程度较高的，得2分；安全性能不高、耐用性能普通、实用性能一般，工艺符合实战需求程度不高的，得1分；未提供证明材料或证明材料有缺项的不得分。</w:t>
            </w:r>
          </w:p>
        </w:tc>
        <w:tc>
          <w:tcPr>
            <w:tcW w:w="473"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11"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052"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操作使用性能</w:t>
            </w:r>
          </w:p>
        </w:tc>
        <w:tc>
          <w:tcPr>
            <w:tcW w:w="3163"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w:t>
            </w:r>
            <w:r>
              <w:rPr>
                <w:rFonts w:hint="eastAsia" w:ascii="仿宋" w:hAnsi="仿宋" w:eastAsia="仿宋" w:cs="仿宋"/>
                <w:color w:val="auto"/>
                <w:sz w:val="24"/>
                <w:highlight w:val="none"/>
                <w:lang w:eastAsia="zh-CN"/>
              </w:rPr>
              <w:t>产品</w:t>
            </w:r>
            <w:r>
              <w:rPr>
                <w:rFonts w:hint="eastAsia" w:ascii="仿宋" w:hAnsi="仿宋" w:eastAsia="仿宋" w:cs="仿宋"/>
                <w:color w:val="auto"/>
                <w:sz w:val="24"/>
                <w:highlight w:val="none"/>
              </w:rPr>
              <w:t>的可靠性、便捷性、稳定性等进行评审。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可靠性高、便捷性好、稳定性好，操作使用性能提升战斗力程度高的，得4分；可靠性较高、便捷性较好、稳定性良好，操作使用性能提升战斗力程度较高的，得2分；可靠性不高、便捷性和稳定性一般，操作使用性能提升战斗力程度不高的，得1分；未提供证明材料或证明材料有缺项的不得分。</w:t>
            </w:r>
          </w:p>
        </w:tc>
        <w:tc>
          <w:tcPr>
            <w:tcW w:w="473"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11" w:type="pct"/>
            <w:vMerge w:val="continue"/>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688" w:type="pct"/>
            <w:gridSpan w:val="3"/>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lang w:eastAsia="zh-CN"/>
              </w:rPr>
            </w:pPr>
            <w:r>
              <w:rPr>
                <w:rFonts w:hint="eastAsia" w:ascii="仿宋" w:hAnsi="仿宋" w:eastAsia="仿宋" w:cs="仿宋"/>
                <w:b/>
                <w:bCs/>
                <w:color w:val="auto"/>
                <w:sz w:val="24"/>
                <w:highlight w:val="none"/>
              </w:rPr>
              <w:t>以上评审依据：根据视频文件对产品的整体结构与外观、工艺、操作使用性能进行综合评审，视频文件需对以上三点评审内容进行介绍（包含但不限于以上三点）。视频文件[视频文件格式须为通用格式，佐证视频时长不得超过5分钟，视频清晰度应至少保证所摄的界面文字清晰易辨、画面完整连贯、播放速度正常]应存储于U盘内（单独密封在信封中）与投标文件同时递交，逾期递交不予接收，</w:t>
            </w:r>
            <w:r>
              <w:rPr>
                <w:rFonts w:hint="eastAsia" w:ascii="仿宋" w:hAnsi="仿宋" w:eastAsia="仿宋" w:cs="仿宋"/>
                <w:b/>
                <w:bCs/>
                <w:color w:val="auto"/>
                <w:sz w:val="24"/>
                <w:highlight w:val="none"/>
                <w:lang w:eastAsia="zh-CN"/>
              </w:rPr>
              <w:t>U盘由采购代理机构封存，不予退回。未提供视频或视频无法打开的，得0分。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三、商务部分（1</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2"/>
        <w:gridCol w:w="1202"/>
        <w:gridCol w:w="5776"/>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6"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序号</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评审因素</w:t>
            </w:r>
          </w:p>
        </w:tc>
        <w:tc>
          <w:tcPr>
            <w:tcW w:w="3389"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评分标准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6"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1</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bCs/>
                <w:color w:val="auto"/>
                <w:sz w:val="24"/>
                <w:szCs w:val="22"/>
                <w:highlight w:val="none"/>
              </w:rPr>
            </w:pPr>
            <w:r>
              <w:rPr>
                <w:rFonts w:hint="eastAsia" w:ascii="仿宋" w:hAnsi="仿宋" w:eastAsia="仿宋" w:cs="仿宋"/>
                <w:color w:val="auto"/>
                <w:sz w:val="24"/>
                <w:highlight w:val="none"/>
              </w:rPr>
              <w:t>符合性评审</w:t>
            </w:r>
          </w:p>
        </w:tc>
        <w:tc>
          <w:tcPr>
            <w:tcW w:w="3888" w:type="pct"/>
            <w:gridSpan w:val="2"/>
            <w:vAlign w:val="center"/>
          </w:tcPr>
          <w:p>
            <w:pPr>
              <w:pageBreakBefore w:val="0"/>
              <w:kinsoku/>
              <w:wordWrap/>
              <w:overflowPunct/>
              <w:topLinePunct w:val="0"/>
              <w:autoSpaceDE/>
              <w:autoSpaceDN/>
              <w:bidi w:val="0"/>
              <w:adjustRightInd/>
              <w:snapToGrid/>
              <w:spacing w:line="460" w:lineRule="exact"/>
              <w:rPr>
                <w:rFonts w:eastAsia="仿宋" w:cs="Times New Roman"/>
                <w:color w:val="auto"/>
                <w:sz w:val="24"/>
                <w:szCs w:val="22"/>
                <w:highlight w:val="none"/>
              </w:rPr>
            </w:pPr>
            <w:r>
              <w:rPr>
                <w:rFonts w:hint="eastAsia" w:eastAsia="仿宋" w:cs="Times New Roman"/>
                <w:color w:val="auto"/>
                <w:sz w:val="24"/>
                <w:szCs w:val="22"/>
                <w:highlight w:val="none"/>
              </w:rPr>
              <w:t>投标人必须完全满足招标文件“商务要求”</w:t>
            </w:r>
            <w:r>
              <w:rPr>
                <w:rFonts w:hint="eastAsia" w:eastAsia="仿宋" w:cs="Times New Roman"/>
                <w:color w:val="auto"/>
                <w:sz w:val="24"/>
                <w:szCs w:val="22"/>
                <w:highlight w:val="none"/>
                <w:lang w:val="en-US" w:eastAsia="zh-CN"/>
              </w:rPr>
              <w:t>所有</w:t>
            </w:r>
            <w:r>
              <w:rPr>
                <w:rFonts w:hint="eastAsia" w:eastAsia="仿宋" w:cs="Times New Roman"/>
                <w:color w:val="auto"/>
                <w:sz w:val="24"/>
                <w:szCs w:val="22"/>
                <w:highlight w:val="none"/>
              </w:rPr>
              <w:t>实质性条款，任意一项不满足作无效投标处理。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eastAsia="仿宋" w:cs="Times New Roman"/>
                <w:b/>
                <w:bCs/>
                <w:color w:val="auto"/>
                <w:sz w:val="24"/>
                <w:szCs w:val="22"/>
                <w:highlight w:val="none"/>
              </w:rPr>
              <w:t>评审依据：投标文件中提供的商务条款响应表。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6"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2</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hint="eastAsia" w:eastAsia="仿宋"/>
                <w:color w:val="auto"/>
                <w:sz w:val="24"/>
                <w:szCs w:val="22"/>
                <w:highlight w:val="none"/>
                <w:lang w:eastAsia="zh-CN"/>
              </w:rPr>
            </w:pPr>
            <w:r>
              <w:rPr>
                <w:rFonts w:hint="eastAsia" w:eastAsia="仿宋"/>
                <w:color w:val="auto"/>
                <w:sz w:val="24"/>
                <w:szCs w:val="22"/>
                <w:highlight w:val="none"/>
                <w:lang w:eastAsia="zh-CN"/>
              </w:rPr>
              <w:t>生产制造履约能力</w:t>
            </w:r>
          </w:p>
        </w:tc>
        <w:tc>
          <w:tcPr>
            <w:tcW w:w="3389" w:type="pct"/>
            <w:vAlign w:val="center"/>
          </w:tcPr>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val="en-US" w:eastAsia="zh-CN"/>
              </w:rPr>
              <w:t>投标人提供所投产品制造商的证明材料（应加盖制造商公章）</w:t>
            </w:r>
            <w:r>
              <w:rPr>
                <w:rFonts w:hint="eastAsia" w:eastAsia="仿宋" w:cs="Times New Roman"/>
                <w:color w:val="auto"/>
                <w:sz w:val="24"/>
                <w:szCs w:val="22"/>
                <w:highlight w:val="none"/>
              </w:rPr>
              <w:t>对</w:t>
            </w:r>
            <w:r>
              <w:rPr>
                <w:rFonts w:hint="eastAsia" w:eastAsia="仿宋" w:cs="Times New Roman"/>
                <w:color w:val="auto"/>
                <w:sz w:val="24"/>
                <w:szCs w:val="22"/>
                <w:highlight w:val="none"/>
                <w:lang w:eastAsia="zh-CN"/>
              </w:rPr>
              <w:t>生产制造履约能力</w:t>
            </w:r>
            <w:r>
              <w:rPr>
                <w:rFonts w:hint="eastAsia" w:eastAsia="仿宋" w:cs="Times New Roman"/>
                <w:color w:val="auto"/>
                <w:sz w:val="24"/>
                <w:szCs w:val="22"/>
                <w:highlight w:val="none"/>
              </w:rPr>
              <w:t>进行评审，包含但不限于</w:t>
            </w:r>
            <w:r>
              <w:rPr>
                <w:rFonts w:hint="eastAsia" w:eastAsia="仿宋" w:cs="Times New Roman"/>
                <w:color w:val="auto"/>
                <w:sz w:val="24"/>
                <w:szCs w:val="22"/>
                <w:highlight w:val="none"/>
                <w:lang w:eastAsia="zh-CN"/>
              </w:rPr>
              <w:t>：</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eastAsia="zh-CN"/>
              </w:rPr>
              <w:t>①制造商生产经营情况简介；</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②</w:t>
            </w:r>
            <w:r>
              <w:rPr>
                <w:rFonts w:hint="eastAsia" w:eastAsia="仿宋" w:cs="Times New Roman"/>
                <w:color w:val="auto"/>
                <w:sz w:val="24"/>
                <w:szCs w:val="22"/>
                <w:highlight w:val="none"/>
                <w:lang w:eastAsia="zh-CN"/>
              </w:rPr>
              <w:t>生产工艺流程，主要包括生产制造流程图、生产步骤（应含生产车间环境及实际生产照片）等相关情况描述；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③产品检验流程，包括主要检验设备</w:t>
            </w:r>
            <w:r>
              <w:rPr>
                <w:rFonts w:hint="eastAsia" w:eastAsia="仿宋" w:cs="Times New Roman"/>
                <w:color w:val="auto"/>
                <w:sz w:val="24"/>
                <w:szCs w:val="22"/>
                <w:highlight w:val="none"/>
                <w:lang w:eastAsia="zh-CN"/>
              </w:rPr>
              <w:t>（应提供图片）</w:t>
            </w:r>
            <w:r>
              <w:rPr>
                <w:rFonts w:hint="eastAsia" w:eastAsia="仿宋" w:cs="Times New Roman"/>
                <w:color w:val="auto"/>
                <w:sz w:val="24"/>
                <w:szCs w:val="22"/>
                <w:highlight w:val="none"/>
              </w:rPr>
              <w:t>、检验步骤等相关情况描述；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④人员配备：相关专业技术</w:t>
            </w:r>
            <w:r>
              <w:rPr>
                <w:rFonts w:hint="eastAsia" w:eastAsia="仿宋" w:cs="Times New Roman"/>
                <w:color w:val="auto"/>
                <w:sz w:val="24"/>
                <w:szCs w:val="22"/>
                <w:highlight w:val="none"/>
                <w:lang w:eastAsia="zh-CN"/>
              </w:rPr>
              <w:t>职称</w:t>
            </w:r>
            <w:r>
              <w:rPr>
                <w:rFonts w:hint="eastAsia" w:eastAsia="仿宋" w:cs="Times New Roman"/>
                <w:color w:val="auto"/>
                <w:sz w:val="24"/>
                <w:szCs w:val="22"/>
                <w:highlight w:val="none"/>
              </w:rPr>
              <w:t>人员配置情况</w:t>
            </w:r>
            <w:r>
              <w:rPr>
                <w:rFonts w:hint="eastAsia" w:eastAsia="仿宋" w:cs="Times New Roman"/>
                <w:color w:val="auto"/>
                <w:sz w:val="24"/>
                <w:szCs w:val="22"/>
                <w:highlight w:val="none"/>
                <w:lang w:eastAsia="zh-CN"/>
              </w:rPr>
              <w:t>；</w:t>
            </w:r>
            <w:r>
              <w:rPr>
                <w:rFonts w:hint="eastAsia" w:eastAsia="仿宋" w:cs="Times New Roman"/>
                <w:color w:val="auto"/>
                <w:sz w:val="24"/>
                <w:szCs w:val="22"/>
                <w:highlight w:val="none"/>
              </w:rPr>
              <w:t>各原材料采购、生产、检验、仓储、运输等环节的人员配备情况；</w:t>
            </w:r>
          </w:p>
          <w:p>
            <w:pPr>
              <w:pageBreakBefore w:val="0"/>
              <w:kinsoku/>
              <w:wordWrap/>
              <w:overflowPunct/>
              <w:topLinePunct w:val="0"/>
              <w:autoSpaceDE/>
              <w:autoSpaceDN/>
              <w:bidi w:val="0"/>
              <w:adjustRightInd/>
              <w:snapToGrid/>
              <w:spacing w:line="460" w:lineRule="exact"/>
              <w:rPr>
                <w:rFonts w:hint="eastAsia" w:eastAsia="仿宋" w:cs="Times New Roman"/>
                <w:b/>
                <w:bCs/>
                <w:color w:val="auto"/>
                <w:sz w:val="24"/>
                <w:szCs w:val="22"/>
                <w:highlight w:val="none"/>
              </w:rPr>
            </w:pPr>
            <w:r>
              <w:rPr>
                <w:rFonts w:hint="eastAsia" w:eastAsia="仿宋" w:cs="Times New Roman"/>
                <w:b/>
                <w:bCs/>
                <w:color w:val="auto"/>
                <w:sz w:val="24"/>
                <w:szCs w:val="22"/>
                <w:highlight w:val="none"/>
              </w:rPr>
              <w:t>评审依据：</w:t>
            </w:r>
            <w:r>
              <w:rPr>
                <w:rFonts w:hint="eastAsia" w:eastAsia="仿宋" w:cs="Times New Roman"/>
                <w:b/>
                <w:bCs/>
                <w:color w:val="auto"/>
                <w:sz w:val="24"/>
                <w:szCs w:val="22"/>
                <w:highlight w:val="none"/>
                <w:lang w:val="en-US" w:eastAsia="zh-CN"/>
              </w:rPr>
              <w:t>根据</w:t>
            </w:r>
            <w:r>
              <w:rPr>
                <w:rFonts w:hint="eastAsia" w:eastAsia="仿宋" w:cs="Times New Roman"/>
                <w:b/>
                <w:bCs/>
                <w:color w:val="auto"/>
                <w:sz w:val="24"/>
                <w:szCs w:val="22"/>
                <w:highlight w:val="none"/>
              </w:rPr>
              <w:t>投标人提</w:t>
            </w:r>
            <w:r>
              <w:rPr>
                <w:rFonts w:hint="eastAsia" w:eastAsia="仿宋" w:cs="Times New Roman"/>
                <w:b/>
                <w:bCs/>
                <w:color w:val="auto"/>
                <w:sz w:val="24"/>
                <w:szCs w:val="22"/>
                <w:highlight w:val="none"/>
                <w:lang w:val="en-US" w:eastAsia="zh-CN"/>
              </w:rPr>
              <w:t>供的生产制造履约能力方案内容完整性、组织性、关联性和可操作性进行评审</w:t>
            </w:r>
            <w:r>
              <w:rPr>
                <w:rFonts w:hint="eastAsia" w:eastAsia="仿宋" w:cs="Times New Roman"/>
                <w:b/>
                <w:bCs/>
                <w:color w:val="auto"/>
                <w:sz w:val="24"/>
                <w:szCs w:val="22"/>
                <w:highlight w:val="none"/>
              </w:rPr>
              <w:t>。</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1、所投</w:t>
            </w:r>
            <w:r>
              <w:rPr>
                <w:rFonts w:hint="eastAsia" w:eastAsia="仿宋" w:cs="Times New Roman"/>
                <w:b/>
                <w:bCs/>
                <w:color w:val="auto"/>
                <w:sz w:val="24"/>
                <w:szCs w:val="22"/>
                <w:highlight w:val="none"/>
                <w:lang w:val="en-US" w:eastAsia="zh-CN"/>
              </w:rPr>
              <w:t>产品</w:t>
            </w:r>
            <w:r>
              <w:rPr>
                <w:rFonts w:hint="eastAsia" w:ascii="仿宋" w:hAnsi="仿宋" w:eastAsia="仿宋" w:cs="仿宋"/>
                <w:b/>
                <w:bCs/>
                <w:color w:val="auto"/>
                <w:sz w:val="24"/>
                <w:szCs w:val="24"/>
                <w:highlight w:val="none"/>
                <w:lang w:val="en-US" w:eastAsia="zh-CN"/>
              </w:rPr>
              <w:t>制造商具备较强自主研发能力及先进的生产工艺，生产车间环境及生产线先进规范，生产步骤完整周详，技术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检验设备配置齐全、检验步骤严密无纰漏，生产制造履约能力</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分；</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2、所投</w:t>
            </w:r>
            <w:r>
              <w:rPr>
                <w:rFonts w:hint="eastAsia" w:eastAsia="仿宋" w:cs="Times New Roman"/>
                <w:b/>
                <w:bCs/>
                <w:color w:val="auto"/>
                <w:sz w:val="24"/>
                <w:szCs w:val="22"/>
                <w:highlight w:val="none"/>
                <w:lang w:val="en-US" w:eastAsia="zh-CN"/>
              </w:rPr>
              <w:t>产品</w:t>
            </w:r>
            <w:r>
              <w:rPr>
                <w:rFonts w:hint="eastAsia" w:ascii="仿宋" w:hAnsi="仿宋" w:eastAsia="仿宋" w:cs="仿宋"/>
                <w:b/>
                <w:bCs/>
                <w:color w:val="auto"/>
                <w:sz w:val="24"/>
                <w:szCs w:val="24"/>
                <w:highlight w:val="none"/>
                <w:lang w:val="en-US" w:eastAsia="zh-CN"/>
              </w:rPr>
              <w:t>制造商有自主研发能力和生产工艺较完整，生产车间环境及生产线常规，生产步骤较完整周详，技术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eastAsia="zh-CN"/>
              </w:rPr>
              <w:t>相对</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检验设备配置较齐全、检验步骤相对完备，生产制造履约能力</w:t>
            </w:r>
            <w:r>
              <w:rPr>
                <w:rFonts w:hint="eastAsia" w:ascii="仿宋" w:hAnsi="仿宋" w:eastAsia="仿宋" w:cs="仿宋"/>
                <w:b/>
                <w:bCs/>
                <w:color w:val="auto"/>
                <w:sz w:val="24"/>
                <w:szCs w:val="24"/>
                <w:highlight w:val="none"/>
                <w:lang w:eastAsia="zh-CN"/>
              </w:rPr>
              <w:t>较</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3、所投</w:t>
            </w:r>
            <w:r>
              <w:rPr>
                <w:rFonts w:hint="eastAsia" w:eastAsia="仿宋" w:cs="Times New Roman"/>
                <w:b/>
                <w:bCs/>
                <w:color w:val="auto"/>
                <w:sz w:val="24"/>
                <w:szCs w:val="22"/>
                <w:highlight w:val="none"/>
                <w:lang w:val="en-US" w:eastAsia="zh-CN"/>
              </w:rPr>
              <w:t>产品</w:t>
            </w:r>
            <w:r>
              <w:rPr>
                <w:rFonts w:hint="eastAsia" w:ascii="仿宋" w:hAnsi="仿宋" w:eastAsia="仿宋" w:cs="仿宋"/>
                <w:b/>
                <w:bCs/>
                <w:color w:val="auto"/>
                <w:sz w:val="24"/>
                <w:szCs w:val="24"/>
                <w:highlight w:val="none"/>
                <w:lang w:val="en-US" w:eastAsia="zh-CN"/>
              </w:rPr>
              <w:t>制造商有自主研发能力和生产工艺薄弱，生产车间环境及生产线粗糙落后，生产步骤简单，技术</w:t>
            </w:r>
            <w:r>
              <w:rPr>
                <w:rFonts w:hint="eastAsia" w:ascii="仿宋" w:hAnsi="仿宋" w:eastAsia="仿宋" w:cs="仿宋"/>
                <w:b/>
                <w:bCs/>
                <w:color w:val="auto"/>
                <w:sz w:val="24"/>
                <w:szCs w:val="24"/>
                <w:highlight w:val="none"/>
              </w:rPr>
              <w:t>人员</w:t>
            </w:r>
            <w:r>
              <w:rPr>
                <w:rFonts w:hint="eastAsia" w:ascii="仿宋" w:hAnsi="仿宋" w:eastAsia="仿宋" w:cs="仿宋"/>
                <w:b/>
                <w:bCs/>
                <w:color w:val="auto"/>
                <w:sz w:val="24"/>
                <w:szCs w:val="24"/>
                <w:highlight w:val="none"/>
                <w:lang w:eastAsia="zh-CN"/>
              </w:rPr>
              <w:t>综合实力一般，</w:t>
            </w:r>
            <w:r>
              <w:rPr>
                <w:rFonts w:hint="eastAsia" w:ascii="仿宋" w:hAnsi="仿宋" w:eastAsia="仿宋" w:cs="仿宋"/>
                <w:b/>
                <w:bCs/>
                <w:color w:val="auto"/>
                <w:sz w:val="24"/>
                <w:szCs w:val="24"/>
                <w:highlight w:val="none"/>
                <w:lang w:val="en-US" w:eastAsia="zh-CN"/>
              </w:rPr>
              <w:t>检验设备配置简单落后，检验步骤普通，生产制造履约能力</w:t>
            </w:r>
            <w:r>
              <w:rPr>
                <w:rFonts w:hint="eastAsia" w:ascii="仿宋" w:hAnsi="仿宋" w:eastAsia="仿宋" w:cs="仿宋"/>
                <w:b/>
                <w:bCs/>
                <w:color w:val="auto"/>
                <w:sz w:val="24"/>
                <w:szCs w:val="24"/>
                <w:highlight w:val="none"/>
                <w:lang w:eastAsia="zh-CN"/>
              </w:rPr>
              <w:t>弱</w:t>
            </w:r>
            <w:r>
              <w:rPr>
                <w:rFonts w:hint="eastAsia" w:ascii="仿宋" w:hAnsi="仿宋" w:eastAsia="仿宋" w:cs="仿宋"/>
                <w:b/>
                <w:bCs/>
                <w:color w:val="auto"/>
                <w:sz w:val="24"/>
                <w:szCs w:val="24"/>
                <w:highlight w:val="none"/>
              </w:rPr>
              <w:t>的得</w:t>
            </w: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未提供证明材料或证明材料有缺项的不得分。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6"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3</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质量保证和保修</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eastAsia="仿宋"/>
                <w:color w:val="auto"/>
                <w:sz w:val="24"/>
                <w:szCs w:val="22"/>
                <w:highlight w:val="none"/>
              </w:rPr>
            </w:pPr>
            <w:r>
              <w:rPr>
                <w:rFonts w:eastAsia="仿宋"/>
                <w:color w:val="auto"/>
                <w:sz w:val="24"/>
                <w:szCs w:val="22"/>
                <w:highlight w:val="none"/>
              </w:rPr>
              <w:t>在招标文件商务要求中“质保期”和“保修期”要求基础上，承诺“质保期”和“保修期”均每延长一年的加2分，最多加4分。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eastAsia="仿宋"/>
                <w:b/>
                <w:color w:val="auto"/>
                <w:sz w:val="24"/>
                <w:szCs w:val="22"/>
                <w:highlight w:val="none"/>
              </w:rPr>
              <w:t>评审依据：投标文件中提供“质保期”和“保修期”均延长的承诺函原件。</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406"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类似销售</w:t>
            </w:r>
          </w:p>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案例</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投标人自</w:t>
            </w:r>
            <w:r>
              <w:rPr>
                <w:rFonts w:eastAsia="仿宋" w:cs="Times New Roman"/>
                <w:color w:val="auto"/>
                <w:sz w:val="24"/>
                <w:szCs w:val="22"/>
                <w:highlight w:val="none"/>
              </w:rPr>
              <w:t>20</w:t>
            </w:r>
            <w:r>
              <w:rPr>
                <w:rFonts w:hint="eastAsia" w:eastAsia="仿宋" w:cs="Times New Roman"/>
                <w:color w:val="auto"/>
                <w:sz w:val="24"/>
                <w:szCs w:val="22"/>
                <w:highlight w:val="none"/>
              </w:rPr>
              <w:t>2</w:t>
            </w:r>
            <w:r>
              <w:rPr>
                <w:rFonts w:hint="eastAsia" w:eastAsia="仿宋" w:cs="Times New Roman"/>
                <w:color w:val="auto"/>
                <w:sz w:val="24"/>
                <w:szCs w:val="22"/>
                <w:highlight w:val="none"/>
                <w:lang w:val="en-US" w:eastAsia="zh-CN"/>
              </w:rPr>
              <w:t>1</w:t>
            </w:r>
            <w:r>
              <w:rPr>
                <w:rFonts w:hint="eastAsia" w:eastAsia="仿宋" w:cs="Times New Roman"/>
                <w:color w:val="auto"/>
                <w:sz w:val="24"/>
                <w:szCs w:val="22"/>
                <w:highlight w:val="none"/>
              </w:rPr>
              <w:t>年</w:t>
            </w:r>
            <w:r>
              <w:rPr>
                <w:rFonts w:eastAsia="仿宋" w:cs="Times New Roman"/>
                <w:color w:val="auto"/>
                <w:sz w:val="24"/>
                <w:szCs w:val="22"/>
                <w:highlight w:val="none"/>
              </w:rPr>
              <w:t>1月1日至今（以签订合同时间为准）具有类似</w:t>
            </w:r>
            <w:r>
              <w:rPr>
                <w:rFonts w:hint="eastAsia" w:eastAsia="仿宋" w:cs="Times New Roman"/>
                <w:color w:val="auto"/>
                <w:sz w:val="24"/>
                <w:szCs w:val="22"/>
                <w:highlight w:val="none"/>
                <w:lang w:eastAsia="zh-CN"/>
              </w:rPr>
              <w:t>产品</w:t>
            </w:r>
            <w:r>
              <w:rPr>
                <w:rFonts w:eastAsia="仿宋" w:cs="Times New Roman"/>
                <w:color w:val="auto"/>
                <w:sz w:val="24"/>
                <w:szCs w:val="22"/>
                <w:highlight w:val="none"/>
              </w:rPr>
              <w:t>销售案例，每提供1份销售案例加</w:t>
            </w:r>
            <w:r>
              <w:rPr>
                <w:rFonts w:hint="eastAsia" w:eastAsia="仿宋" w:cs="Times New Roman"/>
                <w:color w:val="auto"/>
                <w:sz w:val="24"/>
                <w:szCs w:val="22"/>
                <w:highlight w:val="none"/>
                <w:lang w:val="en-US" w:eastAsia="zh-CN"/>
              </w:rPr>
              <w:t>2</w:t>
            </w:r>
            <w:r>
              <w:rPr>
                <w:rFonts w:hint="eastAsia" w:eastAsia="仿宋" w:cs="Times New Roman"/>
                <w:color w:val="auto"/>
                <w:sz w:val="24"/>
                <w:szCs w:val="22"/>
                <w:highlight w:val="none"/>
              </w:rPr>
              <w:t>分，本项最多加</w:t>
            </w:r>
            <w:r>
              <w:rPr>
                <w:rFonts w:hint="eastAsia" w:eastAsia="仿宋" w:cs="Times New Roman"/>
                <w:color w:val="auto"/>
                <w:sz w:val="24"/>
                <w:szCs w:val="22"/>
                <w:highlight w:val="none"/>
                <w:lang w:val="en-US" w:eastAsia="zh-CN"/>
              </w:rPr>
              <w:t>6</w:t>
            </w:r>
            <w:r>
              <w:rPr>
                <w:rFonts w:hint="eastAsia" w:eastAsia="仿宋" w:cs="Times New Roman"/>
                <w:color w:val="auto"/>
                <w:sz w:val="24"/>
                <w:szCs w:val="22"/>
                <w:highlight w:val="none"/>
              </w:rPr>
              <w:t>分。</w:t>
            </w:r>
          </w:p>
          <w:p>
            <w:pPr>
              <w:pageBreakBefore w:val="0"/>
              <w:kinsoku/>
              <w:wordWrap/>
              <w:overflowPunct/>
              <w:topLinePunct w:val="0"/>
              <w:autoSpaceDE/>
              <w:autoSpaceDN/>
              <w:bidi w:val="0"/>
              <w:adjustRightInd/>
              <w:snapToGrid/>
              <w:spacing w:line="460" w:lineRule="exact"/>
              <w:jc w:val="left"/>
              <w:rPr>
                <w:rFonts w:eastAsia="仿宋"/>
                <w:b/>
                <w:bCs/>
                <w:color w:val="auto"/>
                <w:sz w:val="24"/>
                <w:szCs w:val="22"/>
                <w:highlight w:val="none"/>
              </w:rPr>
            </w:pPr>
            <w:r>
              <w:rPr>
                <w:rFonts w:hint="eastAsia" w:eastAsia="仿宋" w:cs="Times New Roman"/>
                <w:b/>
                <w:bCs/>
                <w:color w:val="auto"/>
                <w:sz w:val="24"/>
                <w:szCs w:val="22"/>
                <w:highlight w:val="none"/>
              </w:rPr>
              <w:t>评审依据：①投标文件中提供销售案例明细表（销售案例明细表包含</w:t>
            </w:r>
            <w:r>
              <w:rPr>
                <w:rFonts w:eastAsia="仿宋" w:cs="Times New Roman"/>
                <w:b/>
                <w:bCs/>
                <w:color w:val="auto"/>
                <w:sz w:val="24"/>
                <w:szCs w:val="22"/>
                <w:highlight w:val="none"/>
              </w:rPr>
              <w:t>:发布网站名称、网页链接地址、采购项目名称、采购单位名称和联系方式、采购代理机构名称和联系方式）；</w:t>
            </w:r>
            <w:r>
              <w:rPr>
                <w:rFonts w:hint="eastAsia" w:eastAsia="仿宋" w:cs="Times New Roman"/>
                <w:b/>
                <w:bCs/>
                <w:color w:val="auto"/>
                <w:sz w:val="24"/>
                <w:szCs w:val="22"/>
                <w:highlight w:val="none"/>
              </w:rPr>
              <w:t>②</w:t>
            </w:r>
            <w:r>
              <w:rPr>
                <w:rFonts w:hint="eastAsia" w:eastAsia="仿宋" w:cs="Times New Roman"/>
                <w:b/>
                <w:bCs/>
                <w:color w:val="auto"/>
                <w:sz w:val="24"/>
                <w:szCs w:val="22"/>
                <w:highlight w:val="none"/>
                <w:lang w:eastAsia="zh-CN"/>
              </w:rPr>
              <w:t>中标（成交）公告截图（打印网页）、中标通知书复印件和合同复印件（中标通知书或合同复印件应体现类似销售案例的货物），合同签订方必须是投标人本身。</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hint="eastAsia" w:eastAsia="仿宋"/>
                <w:color w:val="auto"/>
                <w:sz w:val="24"/>
                <w:szCs w:val="22"/>
                <w:highlight w:val="none"/>
                <w:lang w:val="en-US" w:eastAsia="zh-CN"/>
              </w:rPr>
              <w:t>6</w:t>
            </w:r>
            <w:r>
              <w:rPr>
                <w:rFonts w:eastAsia="仿宋"/>
                <w:color w:val="auto"/>
                <w:sz w:val="24"/>
                <w:szCs w:val="22"/>
                <w:highlight w:val="none"/>
              </w:rPr>
              <w:t>分</w:t>
            </w:r>
          </w:p>
        </w:tc>
      </w:tr>
    </w:tbl>
    <w:p>
      <w:pPr>
        <w:pageBreakBefore w:val="0"/>
        <w:kinsoku/>
        <w:wordWrap/>
        <w:overflowPunct/>
        <w:topLinePunct w:val="0"/>
        <w:autoSpaceDE/>
        <w:autoSpaceDN/>
        <w:bidi w:val="0"/>
        <w:adjustRightInd/>
        <w:snapToGrid/>
        <w:spacing w:line="460" w:lineRule="exact"/>
        <w:rPr>
          <w:color w:val="auto"/>
        </w:rPr>
      </w:pPr>
      <w:r>
        <w:rPr>
          <w:color w:val="auto"/>
        </w:rPr>
        <w:br w:type="page"/>
      </w:r>
    </w:p>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outlineLvl w:val="1"/>
        <w:rPr>
          <w:rFonts w:hint="eastAsia" w:eastAsia="仿宋"/>
          <w:color w:val="auto"/>
          <w:highlight w:val="none"/>
          <w:lang w:eastAsia="zh-CN"/>
        </w:rPr>
      </w:pPr>
      <w:bookmarkStart w:id="786" w:name="_Toc30135"/>
      <w:bookmarkStart w:id="787" w:name="_Toc13071"/>
      <w:bookmarkStart w:id="788" w:name="_Toc5819"/>
      <w:bookmarkStart w:id="789" w:name="_Toc28919"/>
      <w:bookmarkStart w:id="790" w:name="_Toc5445"/>
      <w:r>
        <w:rPr>
          <w:rFonts w:hint="eastAsia" w:ascii="仿宋" w:hAnsi="仿宋" w:eastAsia="仿宋" w:cs="仿宋"/>
          <w:b/>
          <w:bCs/>
          <w:color w:val="auto"/>
          <w:sz w:val="28"/>
          <w:szCs w:val="28"/>
          <w:highlight w:val="none"/>
          <w:shd w:val="clear" w:fill="FFFFFF"/>
          <w:lang w:val="en-US" w:eastAsia="zh-CN"/>
        </w:rPr>
        <w:t>99</w:t>
      </w:r>
      <w:r>
        <w:rPr>
          <w:rFonts w:hint="default" w:ascii="仿宋" w:hAnsi="仿宋" w:eastAsia="仿宋" w:cs="仿宋"/>
          <w:b/>
          <w:bCs/>
          <w:color w:val="auto"/>
          <w:sz w:val="28"/>
          <w:szCs w:val="28"/>
          <w:highlight w:val="none"/>
          <w:shd w:val="clear" w:fill="FFFFFF"/>
        </w:rPr>
        <w:t>包：便携式推车</w:t>
      </w:r>
      <w:bookmarkEnd w:id="786"/>
      <w:bookmarkEnd w:id="787"/>
      <w:bookmarkEnd w:id="788"/>
      <w:bookmarkEnd w:id="789"/>
      <w:bookmarkEnd w:id="790"/>
    </w:p>
    <w:p>
      <w:pPr>
        <w:pageBreakBefore w:val="0"/>
        <w:kinsoku/>
        <w:wordWrap/>
        <w:overflowPunct/>
        <w:topLinePunct w:val="0"/>
        <w:autoSpaceDE/>
        <w:autoSpaceDN/>
        <w:bidi w:val="0"/>
        <w:adjustRightInd/>
        <w:snapToGrid/>
        <w:spacing w:line="460" w:lineRule="exact"/>
        <w:ind w:firstLine="482" w:firstLineChars="200"/>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一、价格部分（30分）</w:t>
      </w:r>
    </w:p>
    <w:tbl>
      <w:tblPr>
        <w:tblStyle w:val="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8"/>
        <w:gridCol w:w="1449"/>
        <w:gridCol w:w="5675"/>
        <w:gridCol w:w="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75"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3330"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评分标准</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5"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价格分</w:t>
            </w:r>
          </w:p>
        </w:tc>
        <w:tc>
          <w:tcPr>
            <w:tcW w:w="3330"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根据综合评分法，满足招标文件要求且投标价格最低的投标报价为评标基准价，投标报价得分=（评标基准价／投标报价）×30%×100，计算分数时四舍五入取小数点后两位。</w:t>
            </w:r>
          </w:p>
          <w:p>
            <w:pPr>
              <w:pageBreakBefore w:val="0"/>
              <w:kinsoku/>
              <w:wordWrap/>
              <w:overflowPunct/>
              <w:topLinePunct w:val="0"/>
              <w:autoSpaceDE/>
              <w:autoSpaceDN/>
              <w:bidi w:val="0"/>
              <w:adjustRightInd/>
              <w:snapToGrid/>
              <w:spacing w:line="460" w:lineRule="exact"/>
              <w:ind w:firstLine="482" w:firstLineChars="200"/>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注：小、微型企业或残疾人福利性单位产品或监狱产品的价格给予10%的扣除，用扣除后的价格参与评审。但残疾人福利性单位本身属于小型、微型企业的，不重复享受政策。</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30分</w:t>
            </w:r>
          </w:p>
        </w:tc>
      </w:tr>
    </w:tbl>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482"/>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二、技术部分（55分）</w:t>
      </w:r>
    </w:p>
    <w:tbl>
      <w:tblPr>
        <w:tblStyle w:val="42"/>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82"/>
        <w:gridCol w:w="1877"/>
        <w:gridCol w:w="5133"/>
        <w:gridCol w:w="8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99" w:hRule="atLeast"/>
        </w:trPr>
        <w:tc>
          <w:tcPr>
            <w:tcW w:w="399"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cente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序号</w:t>
            </w:r>
          </w:p>
        </w:tc>
        <w:tc>
          <w:tcPr>
            <w:tcW w:w="1099"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cente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评审因素</w:t>
            </w:r>
          </w:p>
        </w:tc>
        <w:tc>
          <w:tcPr>
            <w:tcW w:w="3005"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cente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评分标准</w:t>
            </w:r>
          </w:p>
        </w:tc>
        <w:tc>
          <w:tcPr>
            <w:tcW w:w="494"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cente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382" w:hRule="atLeast"/>
        </w:trPr>
        <w:tc>
          <w:tcPr>
            <w:tcW w:w="399"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099"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技术参数及要求</w:t>
            </w:r>
          </w:p>
        </w:tc>
        <w:tc>
          <w:tcPr>
            <w:tcW w:w="3005"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一、重大负偏离评审依据：</w:t>
            </w:r>
          </w:p>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1、带★条款的响应，不满足招标文件要求的，或有缺项、漏项的，视为重大负偏离；</w:t>
            </w:r>
          </w:p>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2、一般参数和带“▲”参数共有四项及以上（含本数）的负偏离，视为重大负偏离；</w:t>
            </w:r>
          </w:p>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二、负偏离评审依据：</w:t>
            </w:r>
          </w:p>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3、所投产品一般参数或带“▲”参数有一项低于招标文件要求，该项视为负偏离；</w:t>
            </w:r>
          </w:p>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4、所投产品一般参数或带“▲”参数有一项缺项、漏项的，该项视为负偏离。</w:t>
            </w:r>
          </w:p>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注：“一般参数”为非标“★”号参数和非标“▲”号参数。</w:t>
            </w:r>
          </w:p>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评审依据：</w:t>
            </w:r>
          </w:p>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①投标文件中提供的技术条款响应表；</w:t>
            </w:r>
          </w:p>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shd w:val="clear" w:fill="FFFFFF"/>
              </w:rPr>
              <w:t>②所投产品技术参数完全满足招标文件要求得</w:t>
            </w:r>
            <w:r>
              <w:rPr>
                <w:rFonts w:hint="eastAsia" w:ascii="仿宋" w:hAnsi="仿宋" w:eastAsia="仿宋" w:cs="仿宋"/>
                <w:b/>
                <w:bCs/>
                <w:color w:val="auto"/>
                <w:sz w:val="24"/>
                <w:szCs w:val="24"/>
                <w:highlight w:val="none"/>
                <w:shd w:val="clear" w:fill="FFFFFF"/>
                <w:lang w:val="en-US" w:eastAsia="zh-CN"/>
              </w:rPr>
              <w:t>34</w:t>
            </w:r>
            <w:r>
              <w:rPr>
                <w:rFonts w:hint="eastAsia" w:ascii="仿宋" w:hAnsi="仿宋" w:eastAsia="仿宋" w:cs="仿宋"/>
                <w:b/>
                <w:bCs/>
                <w:color w:val="auto"/>
                <w:sz w:val="24"/>
                <w:szCs w:val="24"/>
                <w:highlight w:val="none"/>
                <w:shd w:val="clear" w:fill="FFFFFF"/>
              </w:rPr>
              <w:t>分；重大负偏离则视为无效投标；一般参数或带“▲”参数每有一项负偏离减5分，最多减15分，四项或以上负偏离视为无效投标。</w:t>
            </w:r>
          </w:p>
        </w:tc>
        <w:tc>
          <w:tcPr>
            <w:tcW w:w="494"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34</w:t>
            </w:r>
            <w:r>
              <w:rPr>
                <w:rFonts w:hint="eastAsia" w:ascii="仿宋" w:hAnsi="仿宋" w:eastAsia="仿宋" w:cs="仿宋"/>
                <w:color w:val="auto"/>
                <w:sz w:val="24"/>
                <w:szCs w:val="24"/>
                <w:highlight w:val="none"/>
              </w:rPr>
              <w:t>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99" w:hRule="atLeast"/>
        </w:trPr>
        <w:tc>
          <w:tcPr>
            <w:tcW w:w="399" w:type="pct"/>
            <w:vMerge w:val="restar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1099"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1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▲3.3.1最大载重：≥300Kg</w:t>
            </w:r>
          </w:p>
        </w:tc>
        <w:tc>
          <w:tcPr>
            <w:tcW w:w="3005"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fill="FFFFFF"/>
              </w:rPr>
              <w:t>所投产品</w:t>
            </w:r>
            <w:r>
              <w:rPr>
                <w:rFonts w:hint="eastAsia" w:ascii="仿宋" w:hAnsi="仿宋" w:eastAsia="仿宋" w:cs="仿宋"/>
                <w:color w:val="auto"/>
                <w:sz w:val="24"/>
                <w:szCs w:val="24"/>
                <w:highlight w:val="none"/>
                <w:shd w:val="clear" w:fill="FFFFFF"/>
                <w:lang w:val="en-US" w:eastAsia="zh-CN"/>
              </w:rPr>
              <w:t>的最大载重</w:t>
            </w:r>
            <w:r>
              <w:rPr>
                <w:rFonts w:hint="eastAsia" w:ascii="仿宋" w:hAnsi="仿宋" w:eastAsia="仿宋" w:cs="仿宋"/>
                <w:color w:val="auto"/>
                <w:sz w:val="24"/>
                <w:szCs w:val="24"/>
                <w:highlight w:val="none"/>
                <w:shd w:val="clear" w:fill="FFFFFF"/>
              </w:rPr>
              <w:t>优于招标文件要求的，最大载重最优的加</w:t>
            </w:r>
            <w:r>
              <w:rPr>
                <w:rFonts w:hint="eastAsia" w:ascii="仿宋" w:hAnsi="仿宋" w:eastAsia="仿宋" w:cs="仿宋"/>
                <w:color w:val="auto"/>
                <w:sz w:val="24"/>
                <w:szCs w:val="24"/>
                <w:highlight w:val="none"/>
                <w:shd w:val="clear" w:fill="FFFFFF"/>
                <w:lang w:val="en-US" w:eastAsia="zh-CN"/>
              </w:rPr>
              <w:t>3</w:t>
            </w:r>
            <w:r>
              <w:rPr>
                <w:rFonts w:hint="eastAsia" w:ascii="仿宋" w:hAnsi="仿宋" w:eastAsia="仿宋" w:cs="仿宋"/>
                <w:color w:val="auto"/>
                <w:sz w:val="24"/>
                <w:szCs w:val="24"/>
                <w:highlight w:val="none"/>
                <w:shd w:val="clear" w:fill="FFFFFF"/>
              </w:rPr>
              <w:t>分，最大载重次优的加2分，其余加1分。（可并列得分）</w:t>
            </w:r>
          </w:p>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shd w:val="clear" w:fill="FFFFFF"/>
              </w:rPr>
              <w:t>注：最优表示最大载重最大，次优表示最大载重仅次于最大值。</w:t>
            </w:r>
          </w:p>
        </w:tc>
        <w:tc>
          <w:tcPr>
            <w:tcW w:w="494"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99" w:hRule="atLeast"/>
        </w:trPr>
        <w:tc>
          <w:tcPr>
            <w:tcW w:w="399" w:type="pct"/>
            <w:vMerge w:val="continue"/>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center"/>
              <w:rPr>
                <w:rFonts w:hint="eastAsia" w:ascii="仿宋" w:hAnsi="仿宋" w:eastAsia="仿宋" w:cs="仿宋"/>
                <w:color w:val="auto"/>
                <w:sz w:val="24"/>
                <w:szCs w:val="24"/>
                <w:highlight w:val="none"/>
              </w:rPr>
            </w:pPr>
          </w:p>
        </w:tc>
        <w:tc>
          <w:tcPr>
            <w:tcW w:w="1099"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1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▲3.3.5锂电池电池容量：≥20000mAh</w:t>
            </w:r>
          </w:p>
        </w:tc>
        <w:tc>
          <w:tcPr>
            <w:tcW w:w="3005"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fill="FFFFFF"/>
              </w:rPr>
              <w:t>所投</w:t>
            </w:r>
            <w:r>
              <w:rPr>
                <w:rFonts w:hint="eastAsia" w:ascii="仿宋" w:hAnsi="仿宋" w:eastAsia="仿宋" w:cs="仿宋"/>
                <w:color w:val="auto"/>
                <w:sz w:val="24"/>
                <w:szCs w:val="24"/>
                <w:highlight w:val="none"/>
                <w:lang w:val="en-US" w:eastAsia="zh-CN"/>
              </w:rPr>
              <w:t>产品</w:t>
            </w:r>
            <w:r>
              <w:rPr>
                <w:rFonts w:hint="eastAsia" w:ascii="仿宋" w:hAnsi="仿宋" w:eastAsia="仿宋" w:cs="仿宋"/>
                <w:color w:val="auto"/>
                <w:sz w:val="24"/>
                <w:szCs w:val="24"/>
                <w:highlight w:val="none"/>
              </w:rPr>
              <w:t>的锂电池电池容量</w:t>
            </w:r>
            <w:r>
              <w:rPr>
                <w:rFonts w:hint="eastAsia" w:ascii="仿宋" w:hAnsi="仿宋" w:eastAsia="仿宋" w:cs="仿宋"/>
                <w:color w:val="auto"/>
                <w:sz w:val="24"/>
                <w:szCs w:val="24"/>
                <w:highlight w:val="none"/>
                <w:shd w:val="clear" w:fill="FFFFFF"/>
              </w:rPr>
              <w:t>优于招标文件要求的，锂电池电池容量最优的加</w:t>
            </w:r>
            <w:r>
              <w:rPr>
                <w:rFonts w:hint="eastAsia" w:ascii="仿宋" w:hAnsi="仿宋" w:eastAsia="仿宋" w:cs="仿宋"/>
                <w:color w:val="auto"/>
                <w:sz w:val="24"/>
                <w:szCs w:val="24"/>
                <w:highlight w:val="none"/>
                <w:shd w:val="clear" w:fill="FFFFFF"/>
                <w:lang w:val="en-US" w:eastAsia="zh-CN"/>
              </w:rPr>
              <w:t>3</w:t>
            </w:r>
            <w:r>
              <w:rPr>
                <w:rFonts w:hint="eastAsia" w:ascii="仿宋" w:hAnsi="仿宋" w:eastAsia="仿宋" w:cs="仿宋"/>
                <w:color w:val="auto"/>
                <w:sz w:val="24"/>
                <w:szCs w:val="24"/>
                <w:highlight w:val="none"/>
                <w:shd w:val="clear" w:fill="FFFFFF"/>
              </w:rPr>
              <w:t>分，</w:t>
            </w:r>
            <w:r>
              <w:rPr>
                <w:rFonts w:hint="eastAsia" w:ascii="仿宋" w:hAnsi="仿宋" w:eastAsia="仿宋" w:cs="仿宋"/>
                <w:color w:val="auto"/>
                <w:kern w:val="0"/>
                <w:sz w:val="24"/>
                <w:szCs w:val="24"/>
                <w:highlight w:val="none"/>
                <w:lang w:val="en-US" w:eastAsia="zh-CN" w:bidi="ar"/>
              </w:rPr>
              <w:t>锂电池电池容量</w:t>
            </w:r>
            <w:r>
              <w:rPr>
                <w:rFonts w:hint="eastAsia" w:ascii="仿宋" w:hAnsi="仿宋" w:eastAsia="仿宋" w:cs="仿宋"/>
                <w:color w:val="auto"/>
                <w:sz w:val="24"/>
                <w:szCs w:val="24"/>
                <w:highlight w:val="none"/>
                <w:shd w:val="clear" w:fill="FFFFFF"/>
              </w:rPr>
              <w:t>次优的加2分，其余加1分。（可并列得分）</w:t>
            </w:r>
          </w:p>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shd w:val="clear" w:fill="FFFFFF"/>
              </w:rPr>
              <w:t>注：最优表示锂电池电池容量最大，次优表示锂电池电池容量仅次于最大值。</w:t>
            </w:r>
          </w:p>
        </w:tc>
        <w:tc>
          <w:tcPr>
            <w:tcW w:w="494"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99" w:hRule="atLeast"/>
        </w:trPr>
        <w:tc>
          <w:tcPr>
            <w:tcW w:w="399" w:type="pct"/>
            <w:vMerge w:val="continue"/>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1099"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一般参数</w:t>
            </w:r>
          </w:p>
        </w:tc>
        <w:tc>
          <w:tcPr>
            <w:tcW w:w="3005"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在完全满足招标文件“所有参数”要求的基础上，每有一条“一般参数”优于的加1分，本项最多加</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分。（加分只针对具有“≥”或“≤”的数值，数值更加优于的进行加分；文字内容或其他内容优于的不加分）</w:t>
            </w:r>
          </w:p>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注：“一般参数”为非标“★”号参数和非标“▲”号参数。</w:t>
            </w:r>
          </w:p>
        </w:tc>
        <w:tc>
          <w:tcPr>
            <w:tcW w:w="494"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16" w:hRule="atLeast"/>
        </w:trPr>
        <w:tc>
          <w:tcPr>
            <w:tcW w:w="399" w:type="pct"/>
            <w:vMerge w:val="continue"/>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600" w:type="pct"/>
            <w:gridSpan w:val="3"/>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评审依据：提供技术条款响应表和技术支撑文件。</w:t>
            </w:r>
          </w:p>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[说明：技术支撑文件为以下任意3种材料中的其中1种材料：①所投产品检测报告复印件；②制造商公开发布的产品印刷资料并加盖制造商公章；③制造商出具的技术参数证明材料并加盖制造商公章。]</w:t>
            </w:r>
          </w:p>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注：①供应商应认真提供技术支撑文件，若提供多份技术支撑文件，技术支撑文件佐证不一致时，优先级为：产品检测报告复印件＞制造商公开发布的印刷资料＞制造商出具的技术参数证明材料；②技术支撑文件与技术条款响应表不一致，则该点不加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13" w:hRule="atLeast"/>
        </w:trPr>
        <w:tc>
          <w:tcPr>
            <w:tcW w:w="399" w:type="pct"/>
            <w:vMerge w:val="restar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099"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整体结构与外观</w:t>
            </w:r>
          </w:p>
        </w:tc>
        <w:tc>
          <w:tcPr>
            <w:tcW w:w="3005"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根据视频文件对</w:t>
            </w:r>
            <w:r>
              <w:rPr>
                <w:rFonts w:hint="eastAsia" w:ascii="仿宋" w:hAnsi="仿宋" w:eastAsia="仿宋" w:cs="仿宋"/>
                <w:color w:val="auto"/>
                <w:sz w:val="24"/>
                <w:szCs w:val="24"/>
                <w:highlight w:val="none"/>
                <w:lang w:eastAsia="zh-CN"/>
              </w:rPr>
              <w:t>产品</w:t>
            </w:r>
            <w:r>
              <w:rPr>
                <w:rFonts w:hint="eastAsia" w:ascii="仿宋" w:hAnsi="仿宋" w:eastAsia="仿宋" w:cs="仿宋"/>
                <w:color w:val="auto"/>
                <w:sz w:val="24"/>
                <w:szCs w:val="24"/>
                <w:highlight w:val="none"/>
              </w:rPr>
              <w:t>的外观构造、内部结构、设计理念等进行评审。</w:t>
            </w:r>
          </w:p>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设计理念先进，外部构造和内部结构科学合理，整体结构外观与实战紧贴程度高的，得3分；设计理念较为先进，外部构造和内部结构较为合理，整体结构外观与实战紧贴程度较高的，得2分；设计理念一般，外观构造和内部结构基本合理，整体结构外观与实战紧贴程度不高的，得1分；未提供证明材料或证明材料有缺项的不得分。</w:t>
            </w:r>
          </w:p>
        </w:tc>
        <w:tc>
          <w:tcPr>
            <w:tcW w:w="494"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13" w:hRule="atLeast"/>
        </w:trPr>
        <w:tc>
          <w:tcPr>
            <w:tcW w:w="399" w:type="pct"/>
            <w:vMerge w:val="continue"/>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1099"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工艺</w:t>
            </w:r>
          </w:p>
        </w:tc>
        <w:tc>
          <w:tcPr>
            <w:tcW w:w="3005"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根据视频文件对</w:t>
            </w:r>
            <w:r>
              <w:rPr>
                <w:rFonts w:hint="eastAsia" w:ascii="仿宋" w:hAnsi="仿宋" w:eastAsia="仿宋" w:cs="仿宋"/>
                <w:color w:val="auto"/>
                <w:sz w:val="24"/>
                <w:szCs w:val="24"/>
                <w:highlight w:val="none"/>
                <w:lang w:eastAsia="zh-CN"/>
              </w:rPr>
              <w:t>产品</w:t>
            </w:r>
            <w:r>
              <w:rPr>
                <w:rFonts w:hint="eastAsia" w:ascii="仿宋" w:hAnsi="仿宋" w:eastAsia="仿宋" w:cs="仿宋"/>
                <w:color w:val="auto"/>
                <w:sz w:val="24"/>
                <w:szCs w:val="24"/>
                <w:highlight w:val="none"/>
              </w:rPr>
              <w:t>的安全性、耐用性、实用性等进行评审。</w:t>
            </w:r>
          </w:p>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安全性能高、耐用性能好、实用性能强，工艺符合实战需求程度高的，得3分；安全性能较高、耐用性能良好、实用性能较强，工艺符合实战需求程度较高的，得2分；安全性能不高、耐用性能普通、实用性能一般，工艺符合实战需求程度不高的，得1分；未提供证明材料或证明材料有缺项的不得分。</w:t>
            </w:r>
          </w:p>
        </w:tc>
        <w:tc>
          <w:tcPr>
            <w:tcW w:w="494"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13" w:hRule="atLeast"/>
        </w:trPr>
        <w:tc>
          <w:tcPr>
            <w:tcW w:w="399" w:type="pct"/>
            <w:vMerge w:val="continue"/>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1099"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操作使用性能</w:t>
            </w:r>
          </w:p>
        </w:tc>
        <w:tc>
          <w:tcPr>
            <w:tcW w:w="3005"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根据视频文件对</w:t>
            </w:r>
            <w:r>
              <w:rPr>
                <w:rFonts w:hint="eastAsia" w:ascii="仿宋" w:hAnsi="仿宋" w:eastAsia="仿宋" w:cs="仿宋"/>
                <w:color w:val="auto"/>
                <w:sz w:val="24"/>
                <w:szCs w:val="24"/>
                <w:highlight w:val="none"/>
                <w:lang w:eastAsia="zh-CN"/>
              </w:rPr>
              <w:t>产品</w:t>
            </w:r>
            <w:r>
              <w:rPr>
                <w:rFonts w:hint="eastAsia" w:ascii="仿宋" w:hAnsi="仿宋" w:eastAsia="仿宋" w:cs="仿宋"/>
                <w:color w:val="auto"/>
                <w:sz w:val="24"/>
                <w:szCs w:val="24"/>
                <w:highlight w:val="none"/>
              </w:rPr>
              <w:t>的可靠性、便捷性、稳定性等进行评审。</w:t>
            </w:r>
          </w:p>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可靠性高、便捷性好、稳定性好，操作使用性能提升战斗力程度高的，得4分；可靠性较高、便捷性较好、稳定性良好，操作使用性能提升战斗力程度较高的，得2分；可靠性不高、便捷性和稳定性一般，操作使用性能提升战斗力程度不高的，得1分；未提供证明材料或证明材料有缺项的不得分。</w:t>
            </w:r>
          </w:p>
        </w:tc>
        <w:tc>
          <w:tcPr>
            <w:tcW w:w="494"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13" w:hRule="atLeast"/>
        </w:trPr>
        <w:tc>
          <w:tcPr>
            <w:tcW w:w="399" w:type="pct"/>
            <w:vMerge w:val="continue"/>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600" w:type="pct"/>
            <w:gridSpan w:val="3"/>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rPr>
              <w:t>以上评审依据：根据视频文件对产品的整体结构与外观、工艺、操作使用性能进行综合评审，视频文件需对以上三点评审内容进行介绍（包含但不限于以上三点）。视频文件[视频文件格式须为通用格式，佐证视频时长不得超过5分钟，视频清晰度应至少保证所摄的界面文字清晰易辨、画面完整连贯、播放速度正常]应存储于U盘内（单独密封在信封中）与投标文件同时递交，逾期递交不予接收，</w:t>
            </w:r>
            <w:r>
              <w:rPr>
                <w:rFonts w:hint="eastAsia" w:ascii="仿宋" w:hAnsi="仿宋" w:eastAsia="仿宋" w:cs="仿宋"/>
                <w:b/>
                <w:bCs/>
                <w:color w:val="auto"/>
                <w:sz w:val="24"/>
                <w:szCs w:val="24"/>
                <w:highlight w:val="none"/>
                <w:lang w:eastAsia="zh-CN"/>
              </w:rPr>
              <w:t>U盘由采购代理机构封存，不予退回。未提供视频或视频无法打开的，得0分。</w:t>
            </w:r>
          </w:p>
        </w:tc>
      </w:tr>
    </w:tbl>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482"/>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三、商务部分（15分）</w:t>
      </w:r>
    </w:p>
    <w:tbl>
      <w:tblPr>
        <w:tblStyle w:val="4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523"/>
        <w:gridCol w:w="752"/>
        <w:gridCol w:w="6588"/>
        <w:gridCol w:w="6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80" w:hRule="atLeast"/>
        </w:trPr>
        <w:tc>
          <w:tcPr>
            <w:tcW w:w="306"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cente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shd w:val="clear" w:fill="FFFFFF"/>
              </w:rPr>
              <w:t>序号</w:t>
            </w:r>
          </w:p>
        </w:tc>
        <w:tc>
          <w:tcPr>
            <w:tcW w:w="440"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cente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shd w:val="clear" w:fill="FFFFFF"/>
              </w:rPr>
              <w:t>评审因素</w:t>
            </w:r>
          </w:p>
        </w:tc>
        <w:tc>
          <w:tcPr>
            <w:tcW w:w="3855"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cente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shd w:val="clear" w:fill="FFFFFF"/>
              </w:rPr>
              <w:t>评分标准</w:t>
            </w:r>
          </w:p>
        </w:tc>
        <w:tc>
          <w:tcPr>
            <w:tcW w:w="397"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cente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shd w:val="clear" w:fill="FFFFFF"/>
              </w:rPr>
              <w:t>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80" w:hRule="atLeast"/>
        </w:trPr>
        <w:tc>
          <w:tcPr>
            <w:tcW w:w="306"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fill="FFFFFF"/>
              </w:rPr>
              <w:t>1</w:t>
            </w:r>
          </w:p>
        </w:tc>
        <w:tc>
          <w:tcPr>
            <w:tcW w:w="440"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符合性评审</w:t>
            </w:r>
          </w:p>
        </w:tc>
        <w:tc>
          <w:tcPr>
            <w:tcW w:w="4253" w:type="pct"/>
            <w:gridSpan w:val="2"/>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fill="FFFFFF"/>
              </w:rPr>
              <w:t>投标人必须完全满足招标文件“商务要求”所有实质性条款，任意一项不满足作无效投标处理。</w:t>
            </w:r>
          </w:p>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shd w:val="clear" w:fill="FFFFFF"/>
              </w:rPr>
              <w:t>评审依据：投标文件中提供的商务条款响应表。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80" w:hRule="atLeast"/>
        </w:trPr>
        <w:tc>
          <w:tcPr>
            <w:tcW w:w="306"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fill="FFFFFF"/>
              </w:rPr>
              <w:t>2</w:t>
            </w:r>
          </w:p>
        </w:tc>
        <w:tc>
          <w:tcPr>
            <w:tcW w:w="440"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shd w:val="clear" w:fill="FFFFFF"/>
                <w:lang w:eastAsia="zh-CN"/>
              </w:rPr>
              <w:t>生产制造履约能力</w:t>
            </w:r>
          </w:p>
        </w:tc>
        <w:tc>
          <w:tcPr>
            <w:tcW w:w="3855"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fill="FFFFFF"/>
              </w:rPr>
              <w:t>投标人提供所投</w:t>
            </w:r>
            <w:r>
              <w:rPr>
                <w:rFonts w:hint="eastAsia" w:ascii="仿宋" w:hAnsi="仿宋" w:eastAsia="仿宋" w:cs="仿宋"/>
                <w:color w:val="auto"/>
                <w:sz w:val="24"/>
                <w:szCs w:val="24"/>
                <w:highlight w:val="none"/>
                <w:shd w:val="clear" w:fill="FFFFFF"/>
                <w:lang w:eastAsia="zh-CN"/>
              </w:rPr>
              <w:t>产品</w:t>
            </w:r>
            <w:r>
              <w:rPr>
                <w:rFonts w:hint="eastAsia" w:ascii="仿宋" w:hAnsi="仿宋" w:eastAsia="仿宋" w:cs="仿宋"/>
                <w:color w:val="auto"/>
                <w:sz w:val="24"/>
                <w:szCs w:val="24"/>
                <w:highlight w:val="none"/>
                <w:shd w:val="clear" w:fill="FFFFFF"/>
              </w:rPr>
              <w:t>制造商的证明材料（应加盖制造商公章）对</w:t>
            </w:r>
            <w:r>
              <w:rPr>
                <w:rFonts w:hint="eastAsia" w:ascii="仿宋" w:hAnsi="仿宋" w:eastAsia="仿宋" w:cs="仿宋"/>
                <w:color w:val="auto"/>
                <w:sz w:val="24"/>
                <w:szCs w:val="24"/>
                <w:highlight w:val="none"/>
                <w:shd w:val="clear" w:fill="FFFFFF"/>
                <w:lang w:eastAsia="zh-CN"/>
              </w:rPr>
              <w:t>生产制造履约能力</w:t>
            </w:r>
            <w:r>
              <w:rPr>
                <w:rFonts w:hint="eastAsia" w:ascii="仿宋" w:hAnsi="仿宋" w:eastAsia="仿宋" w:cs="仿宋"/>
                <w:color w:val="auto"/>
                <w:sz w:val="24"/>
                <w:szCs w:val="24"/>
                <w:highlight w:val="none"/>
                <w:shd w:val="clear" w:fill="FFFFFF"/>
              </w:rPr>
              <w:t>进行评审，包含但不限于：</w:t>
            </w:r>
          </w:p>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fill="FFFFFF"/>
              </w:rPr>
              <w:t>①制造商生产经营情况简介；</w:t>
            </w:r>
          </w:p>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shd w:val="clear" w:fill="FFFFFF"/>
              </w:rPr>
              <w:t>②</w:t>
            </w:r>
            <w:r>
              <w:rPr>
                <w:rFonts w:hint="eastAsia" w:ascii="仿宋" w:hAnsi="仿宋" w:eastAsia="仿宋" w:cs="仿宋"/>
                <w:color w:val="auto"/>
                <w:sz w:val="24"/>
                <w:szCs w:val="24"/>
                <w:highlight w:val="none"/>
                <w:shd w:val="clear" w:fill="FFFFFF"/>
                <w:lang w:eastAsia="zh-CN"/>
              </w:rPr>
              <w:t>生产工艺流程，主要包括生产制造流程图、生产步骤（应含生产车间环境及实际生产照片）等相关情况描述；</w:t>
            </w:r>
          </w:p>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fill="FFFFFF"/>
              </w:rPr>
              <w:t>③产品检验流程，包括主要检验设备（应提供图片）、检验步骤等相关情况描述；</w:t>
            </w:r>
          </w:p>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fill="FFFFFF"/>
              </w:rPr>
              <w:t>④人员配备：相关专业技术职称人员配置情况；各原材料采购、生产、检验、仓储、运输等环节的人员配备情况；</w:t>
            </w:r>
          </w:p>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rPr>
                <w:rFonts w:hint="eastAsia" w:ascii="仿宋" w:hAnsi="仿宋" w:eastAsia="仿宋" w:cs="仿宋"/>
                <w:b/>
                <w:bCs/>
                <w:color w:val="auto"/>
                <w:sz w:val="24"/>
                <w:szCs w:val="24"/>
                <w:highlight w:val="none"/>
                <w:shd w:val="clear" w:fill="FFFFFF"/>
              </w:rPr>
            </w:pPr>
            <w:r>
              <w:rPr>
                <w:rFonts w:hint="eastAsia" w:ascii="仿宋" w:hAnsi="仿宋" w:eastAsia="仿宋" w:cs="仿宋"/>
                <w:b/>
                <w:bCs/>
                <w:color w:val="auto"/>
                <w:sz w:val="24"/>
                <w:szCs w:val="24"/>
                <w:highlight w:val="none"/>
                <w:shd w:val="clear" w:fill="FFFFFF"/>
              </w:rPr>
              <w:t>评审依据：根据投标人提供的</w:t>
            </w:r>
            <w:r>
              <w:rPr>
                <w:rFonts w:hint="eastAsia" w:ascii="仿宋" w:hAnsi="仿宋" w:eastAsia="仿宋" w:cs="仿宋"/>
                <w:b/>
                <w:bCs/>
                <w:color w:val="auto"/>
                <w:sz w:val="24"/>
                <w:szCs w:val="24"/>
                <w:highlight w:val="none"/>
                <w:shd w:val="clear" w:fill="FFFFFF"/>
                <w:lang w:eastAsia="zh-CN"/>
              </w:rPr>
              <w:t>生产制造履约能力</w:t>
            </w:r>
            <w:r>
              <w:rPr>
                <w:rFonts w:hint="eastAsia" w:ascii="仿宋" w:hAnsi="仿宋" w:eastAsia="仿宋" w:cs="仿宋"/>
                <w:b/>
                <w:bCs/>
                <w:color w:val="auto"/>
                <w:sz w:val="24"/>
                <w:szCs w:val="24"/>
                <w:highlight w:val="none"/>
                <w:shd w:val="clear" w:fill="FFFFFF"/>
              </w:rPr>
              <w:t>方案内容完整性、组织性、关联性和可操作性进行评审。</w:t>
            </w:r>
          </w:p>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shd w:val="clear" w:fill="FFFFFF"/>
              </w:rPr>
              <w:t>1、所投</w:t>
            </w:r>
            <w:r>
              <w:rPr>
                <w:rFonts w:hint="eastAsia" w:ascii="仿宋" w:hAnsi="仿宋" w:eastAsia="仿宋" w:cs="仿宋"/>
                <w:b/>
                <w:bCs/>
                <w:color w:val="auto"/>
                <w:sz w:val="24"/>
                <w:szCs w:val="24"/>
                <w:highlight w:val="none"/>
                <w:shd w:val="clear" w:fill="FFFFFF"/>
                <w:lang w:eastAsia="zh-CN"/>
              </w:rPr>
              <w:t>产品</w:t>
            </w:r>
            <w:r>
              <w:rPr>
                <w:rFonts w:hint="eastAsia" w:ascii="仿宋" w:hAnsi="仿宋" w:eastAsia="仿宋" w:cs="仿宋"/>
                <w:b/>
                <w:bCs/>
                <w:color w:val="auto"/>
                <w:sz w:val="24"/>
                <w:szCs w:val="24"/>
                <w:highlight w:val="none"/>
                <w:shd w:val="clear" w:fill="FFFFFF"/>
              </w:rPr>
              <w:t>制造商具备较强自主研发能力及先进的生产工艺，生产车间环境及生产线先进规范，生产步骤完整周详，技术人员配备合理专业齐全，检验设备配置齐全、检验步骤严密无纰漏，</w:t>
            </w:r>
            <w:r>
              <w:rPr>
                <w:rFonts w:hint="eastAsia" w:ascii="仿宋" w:hAnsi="仿宋" w:eastAsia="仿宋" w:cs="仿宋"/>
                <w:b/>
                <w:bCs/>
                <w:color w:val="auto"/>
                <w:sz w:val="24"/>
                <w:szCs w:val="24"/>
                <w:highlight w:val="none"/>
                <w:shd w:val="clear" w:fill="FFFFFF"/>
                <w:lang w:eastAsia="zh-CN"/>
              </w:rPr>
              <w:t>生产制造履约能力</w:t>
            </w:r>
            <w:r>
              <w:rPr>
                <w:rFonts w:hint="eastAsia" w:ascii="仿宋" w:hAnsi="仿宋" w:eastAsia="仿宋" w:cs="仿宋"/>
                <w:b/>
                <w:bCs/>
                <w:color w:val="auto"/>
                <w:sz w:val="24"/>
                <w:szCs w:val="24"/>
                <w:highlight w:val="none"/>
                <w:shd w:val="clear" w:fill="FFFFFF"/>
              </w:rPr>
              <w:t>高的得5分；</w:t>
            </w:r>
          </w:p>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shd w:val="clear" w:fill="FFFFFF"/>
              </w:rPr>
              <w:t>2、所投</w:t>
            </w:r>
            <w:r>
              <w:rPr>
                <w:rFonts w:hint="eastAsia" w:ascii="仿宋" w:hAnsi="仿宋" w:eastAsia="仿宋" w:cs="仿宋"/>
                <w:b/>
                <w:bCs/>
                <w:color w:val="auto"/>
                <w:sz w:val="24"/>
                <w:szCs w:val="24"/>
                <w:highlight w:val="none"/>
                <w:shd w:val="clear" w:fill="FFFFFF"/>
                <w:lang w:eastAsia="zh-CN"/>
              </w:rPr>
              <w:t>产品</w:t>
            </w:r>
            <w:r>
              <w:rPr>
                <w:rFonts w:hint="eastAsia" w:ascii="仿宋" w:hAnsi="仿宋" w:eastAsia="仿宋" w:cs="仿宋"/>
                <w:b/>
                <w:bCs/>
                <w:color w:val="auto"/>
                <w:sz w:val="24"/>
                <w:szCs w:val="24"/>
                <w:highlight w:val="none"/>
                <w:shd w:val="clear" w:fill="FFFFFF"/>
              </w:rPr>
              <w:t>制造商有自主研发能力和生产工艺较完整，生产车间环境及生产线常规，生产步骤较完整周详，技术人员配备相对合理专业齐全，检验设备配置较齐全、检验步骤相对完备，</w:t>
            </w:r>
            <w:r>
              <w:rPr>
                <w:rFonts w:hint="eastAsia" w:ascii="仿宋" w:hAnsi="仿宋" w:eastAsia="仿宋" w:cs="仿宋"/>
                <w:b/>
                <w:bCs/>
                <w:color w:val="auto"/>
                <w:sz w:val="24"/>
                <w:szCs w:val="24"/>
                <w:highlight w:val="none"/>
                <w:shd w:val="clear" w:fill="FFFFFF"/>
                <w:lang w:eastAsia="zh-CN"/>
              </w:rPr>
              <w:t>生产制造履约能力</w:t>
            </w:r>
            <w:r>
              <w:rPr>
                <w:rFonts w:hint="eastAsia" w:ascii="仿宋" w:hAnsi="仿宋" w:eastAsia="仿宋" w:cs="仿宋"/>
                <w:b/>
                <w:bCs/>
                <w:color w:val="auto"/>
                <w:sz w:val="24"/>
                <w:szCs w:val="24"/>
                <w:highlight w:val="none"/>
                <w:shd w:val="clear" w:fill="FFFFFF"/>
              </w:rPr>
              <w:t>较高的得3分；</w:t>
            </w:r>
          </w:p>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shd w:val="clear" w:fill="FFFFFF"/>
              </w:rPr>
              <w:t>3、所投</w:t>
            </w:r>
            <w:r>
              <w:rPr>
                <w:rFonts w:hint="eastAsia" w:ascii="仿宋" w:hAnsi="仿宋" w:eastAsia="仿宋" w:cs="仿宋"/>
                <w:b/>
                <w:bCs/>
                <w:color w:val="auto"/>
                <w:sz w:val="24"/>
                <w:szCs w:val="24"/>
                <w:highlight w:val="none"/>
                <w:shd w:val="clear" w:fill="FFFFFF"/>
                <w:lang w:eastAsia="zh-CN"/>
              </w:rPr>
              <w:t>产品</w:t>
            </w:r>
            <w:r>
              <w:rPr>
                <w:rFonts w:hint="eastAsia" w:ascii="仿宋" w:hAnsi="仿宋" w:eastAsia="仿宋" w:cs="仿宋"/>
                <w:b/>
                <w:bCs/>
                <w:color w:val="auto"/>
                <w:sz w:val="24"/>
                <w:szCs w:val="24"/>
                <w:highlight w:val="none"/>
                <w:shd w:val="clear" w:fill="FFFFFF"/>
              </w:rPr>
              <w:t>制造商有自主研发能力和生产工艺薄弱，生产车间环境及生产线粗糙落后，生产步骤简单，技术人员综合实力一般，检验设备配置简单落后，检验步骤普通，</w:t>
            </w:r>
            <w:r>
              <w:rPr>
                <w:rFonts w:hint="eastAsia" w:ascii="仿宋" w:hAnsi="仿宋" w:eastAsia="仿宋" w:cs="仿宋"/>
                <w:b/>
                <w:bCs/>
                <w:color w:val="auto"/>
                <w:sz w:val="24"/>
                <w:szCs w:val="24"/>
                <w:highlight w:val="none"/>
                <w:shd w:val="clear" w:fill="FFFFFF"/>
                <w:lang w:eastAsia="zh-CN"/>
              </w:rPr>
              <w:t>生产制造履约能力</w:t>
            </w:r>
            <w:r>
              <w:rPr>
                <w:rFonts w:hint="eastAsia" w:ascii="仿宋" w:hAnsi="仿宋" w:eastAsia="仿宋" w:cs="仿宋"/>
                <w:b/>
                <w:bCs/>
                <w:color w:val="auto"/>
                <w:sz w:val="24"/>
                <w:szCs w:val="24"/>
                <w:highlight w:val="none"/>
                <w:shd w:val="clear" w:fill="FFFFFF"/>
              </w:rPr>
              <w:t>弱的得1分；</w:t>
            </w:r>
          </w:p>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shd w:val="clear" w:fill="FFFFFF"/>
              </w:rPr>
              <w:t>4、未提供证明材料或证明材料有缺项的不得分。</w:t>
            </w:r>
          </w:p>
        </w:tc>
        <w:tc>
          <w:tcPr>
            <w:tcW w:w="397"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fill="FFFFFF"/>
              </w:rPr>
              <w:t>5分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80" w:hRule="atLeast"/>
        </w:trPr>
        <w:tc>
          <w:tcPr>
            <w:tcW w:w="306"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fill="FFFFFF"/>
              </w:rPr>
              <w:t>3</w:t>
            </w:r>
          </w:p>
        </w:tc>
        <w:tc>
          <w:tcPr>
            <w:tcW w:w="440"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fill="FFFFFF"/>
              </w:rPr>
              <w:t>质量保证和保修</w:t>
            </w:r>
          </w:p>
        </w:tc>
        <w:tc>
          <w:tcPr>
            <w:tcW w:w="3855"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fill="FFFFFF"/>
              </w:rPr>
              <w:t>在招标文件商务要求中“质保期”和“保修期”要求基础上，承诺“质保期”和“保修期”均每延长一年的加2分，最多加4分。</w:t>
            </w:r>
          </w:p>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shd w:val="clear" w:fill="FFFFFF"/>
              </w:rPr>
              <w:t>评审依据：投标文件中提供“质保期”和“保修期”均延长的承诺函原件。</w:t>
            </w:r>
          </w:p>
        </w:tc>
        <w:tc>
          <w:tcPr>
            <w:tcW w:w="397"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fill="FFFFFF"/>
              </w:rPr>
              <w:t>4分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31" w:hRule="atLeast"/>
        </w:trPr>
        <w:tc>
          <w:tcPr>
            <w:tcW w:w="306"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fill="FFFFFF"/>
              </w:rPr>
              <w:t>4</w:t>
            </w:r>
          </w:p>
        </w:tc>
        <w:tc>
          <w:tcPr>
            <w:tcW w:w="440"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fill="FFFFFF"/>
              </w:rPr>
              <w:t>类似销售</w:t>
            </w:r>
          </w:p>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fill="FFFFFF"/>
              </w:rPr>
              <w:t>案例</w:t>
            </w:r>
          </w:p>
        </w:tc>
        <w:tc>
          <w:tcPr>
            <w:tcW w:w="3855"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fill="FFFFFF"/>
              </w:rPr>
              <w:t>投标人自2021年1月1日至今（以签订合同时间为准）具有类似</w:t>
            </w:r>
            <w:r>
              <w:rPr>
                <w:rFonts w:hint="eastAsia" w:ascii="仿宋" w:hAnsi="仿宋" w:eastAsia="仿宋" w:cs="仿宋"/>
                <w:color w:val="auto"/>
                <w:sz w:val="24"/>
                <w:szCs w:val="24"/>
                <w:highlight w:val="none"/>
                <w:shd w:val="clear" w:fill="FFFFFF"/>
                <w:lang w:eastAsia="zh-CN"/>
              </w:rPr>
              <w:t>产品</w:t>
            </w:r>
            <w:r>
              <w:rPr>
                <w:rFonts w:hint="eastAsia" w:ascii="仿宋" w:hAnsi="仿宋" w:eastAsia="仿宋" w:cs="仿宋"/>
                <w:color w:val="auto"/>
                <w:sz w:val="24"/>
                <w:szCs w:val="24"/>
                <w:highlight w:val="none"/>
                <w:shd w:val="clear" w:fill="FFFFFF"/>
              </w:rPr>
              <w:t>销售案例，每提供1份销售案例加2分，本项最多加6分。</w:t>
            </w:r>
          </w:p>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left"/>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shd w:val="clear" w:fill="FFFFFF"/>
              </w:rPr>
              <w:t>评审依据：①投标文件中提供销售案例明细表（销售案例明细表包含:发布网站名称、网页链接地址、采购项目名称、采购单位名称和联系方式、采购代理机构名称和联系方式）；②</w:t>
            </w:r>
            <w:r>
              <w:rPr>
                <w:rFonts w:hint="eastAsia" w:ascii="仿宋" w:hAnsi="仿宋" w:eastAsia="仿宋" w:cs="仿宋"/>
                <w:b/>
                <w:bCs/>
                <w:color w:val="auto"/>
                <w:sz w:val="24"/>
                <w:szCs w:val="24"/>
                <w:highlight w:val="none"/>
                <w:shd w:val="clear" w:fill="FFFFFF"/>
                <w:lang w:eastAsia="zh-CN"/>
              </w:rPr>
              <w:t>中标（成交）公告截图（打印网页）、中标通知书复印件和合同复印件（中标通知书或合同复印件应体现类似销售案例的货物），合同签订方必须是投标人本身。</w:t>
            </w:r>
          </w:p>
        </w:tc>
        <w:tc>
          <w:tcPr>
            <w:tcW w:w="397" w:type="pct"/>
            <w:tcBorders>
              <w:top w:val="single" w:color="000000" w:sz="6" w:space="0"/>
              <w:left w:val="single" w:color="000000" w:sz="6" w:space="0"/>
              <w:bottom w:val="single" w:color="000000" w:sz="6" w:space="0"/>
              <w:right w:val="single" w:color="000000" w:sz="6" w:space="0"/>
            </w:tcBorders>
            <w:shd w:val="clear" w:color="auto" w:fill="auto"/>
            <w:tcMar>
              <w:top w:w="60" w:type="dxa"/>
              <w:left w:w="120" w:type="dxa"/>
              <w:bottom w:w="60" w:type="dxa"/>
              <w:right w:w="120" w:type="dxa"/>
            </w:tcMar>
            <w:vAlign w:val="center"/>
          </w:tcPr>
          <w:p>
            <w:pPr>
              <w:pStyle w:val="3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shd w:val="clear" w:fill="FFFFFF"/>
              </w:rPr>
              <w:t>6分</w:t>
            </w:r>
          </w:p>
        </w:tc>
      </w:tr>
    </w:tbl>
    <w:p>
      <w:pPr>
        <w:pageBreakBefore w:val="0"/>
        <w:kinsoku/>
        <w:wordWrap/>
        <w:overflowPunct/>
        <w:topLinePunct w:val="0"/>
        <w:autoSpaceDE/>
        <w:autoSpaceDN/>
        <w:bidi w:val="0"/>
        <w:adjustRightInd/>
        <w:snapToGrid/>
        <w:spacing w:line="460" w:lineRule="exact"/>
        <w:rPr>
          <w:color w:val="auto"/>
        </w:rPr>
      </w:pPr>
      <w:r>
        <w:rPr>
          <w:color w:val="auto"/>
        </w:rPr>
        <w:br w:type="page"/>
      </w:r>
    </w:p>
    <w:p>
      <w:pPr>
        <w:keepNext w:val="0"/>
        <w:keepLines w:val="0"/>
        <w:pageBreakBefore w:val="0"/>
        <w:widowControl w:val="0"/>
        <w:kinsoku/>
        <w:wordWrap/>
        <w:overflowPunct/>
        <w:topLinePunct w:val="0"/>
        <w:autoSpaceDE/>
        <w:autoSpaceDN/>
        <w:bidi w:val="0"/>
        <w:adjustRightInd/>
        <w:snapToGrid/>
        <w:spacing w:line="460" w:lineRule="exact"/>
        <w:jc w:val="left"/>
        <w:textAlignment w:val="auto"/>
        <w:outlineLvl w:val="1"/>
        <w:rPr>
          <w:rFonts w:hint="eastAsia" w:ascii="仿宋" w:hAnsi="仿宋" w:eastAsia="仿宋" w:cs="Times New Roman"/>
          <w:b/>
          <w:bCs/>
          <w:color w:val="auto"/>
          <w:sz w:val="28"/>
          <w:szCs w:val="28"/>
          <w:highlight w:val="none"/>
          <w:lang w:eastAsia="zh-CN"/>
        </w:rPr>
      </w:pPr>
      <w:bookmarkStart w:id="791" w:name="_Toc9317"/>
      <w:bookmarkStart w:id="792" w:name="_Toc1745"/>
      <w:r>
        <w:rPr>
          <w:rFonts w:hint="eastAsia" w:ascii="仿宋" w:hAnsi="仿宋" w:eastAsia="仿宋" w:cs="Times New Roman"/>
          <w:b/>
          <w:bCs/>
          <w:color w:val="auto"/>
          <w:sz w:val="28"/>
          <w:szCs w:val="28"/>
          <w:highlight w:val="none"/>
          <w:lang w:val="en-US" w:eastAsia="zh-CN"/>
        </w:rPr>
        <w:t>103包：北斗有源终端、卫星电话【核心产品】</w:t>
      </w:r>
      <w:bookmarkEnd w:id="791"/>
      <w:bookmarkEnd w:id="792"/>
    </w:p>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hint="eastAsia" w:ascii="仿宋" w:hAnsi="仿宋" w:eastAsia="仿宋"/>
          <w:b/>
          <w:color w:val="auto"/>
          <w:sz w:val="24"/>
          <w:highlight w:val="none"/>
        </w:rPr>
        <w:t>一、价格部分（</w:t>
      </w:r>
      <w:r>
        <w:rPr>
          <w:rFonts w:ascii="仿宋" w:hAnsi="仿宋" w:eastAsia="仿宋"/>
          <w:b/>
          <w:color w:val="auto"/>
          <w:sz w:val="24"/>
          <w:highlight w:val="none"/>
        </w:rPr>
        <w:t>30分）</w:t>
      </w:r>
    </w:p>
    <w:tbl>
      <w:tblPr>
        <w:tblStyle w:val="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1"/>
        <w:gridCol w:w="1449"/>
        <w:gridCol w:w="5672"/>
        <w:gridCol w:w="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评审因素</w:t>
            </w:r>
          </w:p>
        </w:tc>
        <w:tc>
          <w:tcPr>
            <w:tcW w:w="3327" w:type="pct"/>
            <w:vAlign w:val="center"/>
          </w:tcPr>
          <w:p>
            <w:pPr>
              <w:pageBreakBefore w:val="0"/>
              <w:kinsoku/>
              <w:wordWrap/>
              <w:overflowPunct/>
              <w:topLinePunct w:val="0"/>
              <w:autoSpaceDE/>
              <w:autoSpaceDN/>
              <w:bidi w:val="0"/>
              <w:adjustRightInd/>
              <w:snapToGrid/>
              <w:spacing w:line="460" w:lineRule="exact"/>
              <w:jc w:val="center"/>
              <w:textAlignment w:val="center"/>
              <w:rPr>
                <w:rFonts w:ascii="仿宋" w:hAnsi="仿宋" w:eastAsia="仿宋" w:cs="仿宋"/>
                <w:b/>
                <w:color w:val="auto"/>
                <w:sz w:val="24"/>
                <w:highlight w:val="none"/>
              </w:rPr>
            </w:pPr>
            <w:r>
              <w:rPr>
                <w:rFonts w:hint="eastAsia" w:ascii="仿宋" w:hAnsi="仿宋" w:eastAsia="仿宋" w:cs="仿宋"/>
                <w:b/>
                <w:bCs/>
                <w:color w:val="auto"/>
                <w:sz w:val="24"/>
                <w:highlight w:val="none"/>
              </w:rPr>
              <w:t>评分标准</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价格分</w:t>
            </w:r>
          </w:p>
        </w:tc>
        <w:tc>
          <w:tcPr>
            <w:tcW w:w="3327" w:type="pct"/>
            <w:vAlign w:val="center"/>
          </w:tcPr>
          <w:p>
            <w:pPr>
              <w:pageBreakBefore w:val="0"/>
              <w:kinsoku/>
              <w:wordWrap/>
              <w:overflowPunct/>
              <w:topLinePunct w:val="0"/>
              <w:autoSpaceDE/>
              <w:autoSpaceDN/>
              <w:bidi w:val="0"/>
              <w:adjustRightInd/>
              <w:snapToGrid/>
              <w:spacing w:line="460" w:lineRule="exact"/>
              <w:jc w:val="left"/>
              <w:textAlignment w:val="center"/>
              <w:rPr>
                <w:rFonts w:ascii="仿宋" w:hAnsi="仿宋" w:eastAsia="仿宋" w:cs="仿宋"/>
                <w:color w:val="auto"/>
                <w:sz w:val="24"/>
                <w:highlight w:val="none"/>
              </w:rPr>
            </w:pPr>
            <w:r>
              <w:rPr>
                <w:rFonts w:hint="eastAsia" w:ascii="仿宋" w:hAnsi="仿宋" w:eastAsia="仿宋" w:cs="仿宋"/>
                <w:color w:val="auto"/>
                <w:sz w:val="24"/>
                <w:highlight w:val="none"/>
              </w:rPr>
              <w:t>根据综合评分法，满足招标文件要求且投标价格最低的投标报价为评标基准价，投标报价得分</w:t>
            </w:r>
            <w:r>
              <w:rPr>
                <w:rFonts w:ascii="仿宋" w:hAnsi="仿宋" w:eastAsia="仿宋" w:cs="仿宋"/>
                <w:color w:val="auto"/>
                <w:sz w:val="24"/>
                <w:highlight w:val="none"/>
              </w:rPr>
              <w:t>=（评标基准价／投标报价）</w:t>
            </w:r>
            <w:r>
              <w:rPr>
                <w:rFonts w:hint="eastAsia" w:ascii="仿宋" w:hAnsi="仿宋" w:eastAsia="仿宋" w:cs="仿宋"/>
                <w:color w:val="auto"/>
                <w:sz w:val="24"/>
                <w:highlight w:val="none"/>
              </w:rPr>
              <w:t>×</w:t>
            </w:r>
            <w:r>
              <w:rPr>
                <w:rFonts w:ascii="仿宋" w:hAnsi="仿宋" w:eastAsia="仿宋" w:cs="仿宋"/>
                <w:color w:val="auto"/>
                <w:sz w:val="24"/>
                <w:highlight w:val="none"/>
              </w:rPr>
              <w:t>30%×100，计算分数时四舍五入取小数点后两位。</w:t>
            </w:r>
          </w:p>
          <w:p>
            <w:pPr>
              <w:pageBreakBefore w:val="0"/>
              <w:kinsoku/>
              <w:wordWrap/>
              <w:overflowPunct/>
              <w:topLinePunct w:val="0"/>
              <w:autoSpaceDE/>
              <w:autoSpaceDN/>
              <w:bidi w:val="0"/>
              <w:adjustRightInd/>
              <w:snapToGrid/>
              <w:spacing w:line="460" w:lineRule="exact"/>
              <w:ind w:firstLine="482" w:firstLineChars="200"/>
              <w:jc w:val="left"/>
              <w:textAlignment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注：</w:t>
            </w:r>
            <w:r>
              <w:rPr>
                <w:rFonts w:ascii="仿宋" w:hAnsi="仿宋" w:eastAsia="仿宋" w:cs="仿宋"/>
                <w:b/>
                <w:bCs/>
                <w:color w:val="auto"/>
                <w:sz w:val="24"/>
                <w:highlight w:val="none"/>
              </w:rPr>
              <w:t>小、微型企业或残疾人福利性单位产品或监狱产品的价格给予10%的扣除，用扣除后的价格参与评审。但残疾人福利性单位本身属于小型、微型企业的，不重复享受政策。</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30分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二、技术部分（5</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8"/>
        <w:gridCol w:w="552"/>
        <w:gridCol w:w="235"/>
        <w:gridCol w:w="1387"/>
        <w:gridCol w:w="5058"/>
        <w:gridCol w:w="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86"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1277" w:type="pct"/>
            <w:gridSpan w:val="3"/>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2971"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评分标准</w:t>
            </w:r>
          </w:p>
        </w:tc>
        <w:tc>
          <w:tcPr>
            <w:tcW w:w="465"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286"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277" w:type="pct"/>
            <w:gridSpan w:val="3"/>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技术参数及要求</w:t>
            </w:r>
          </w:p>
        </w:tc>
        <w:tc>
          <w:tcPr>
            <w:tcW w:w="2971" w:type="pct"/>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一、重大负偏离评审依据：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1、带★条款的响应，不满足招标文件要求的，或有缺项、漏项的，视为重大负偏离；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2、一般参数和带“▲”参数共有四项及以上（含本数）的负偏离，视为重大负偏离；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3、所投产品一般参数或带“▲”参数有一项低于招标文件要求，该项视为负偏离；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4、所投产品一般参数或带“▲”参数有一项缺项、漏项的，该项视为负偏离。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注：“一般参数”为非标“★”号参数和非标“▲”号参数。</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①投标文件中提供的技术条款响应表；</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②所投产品技术参数完全满足招标文件要求得</w:t>
            </w:r>
            <w:r>
              <w:rPr>
                <w:rFonts w:hint="eastAsia" w:ascii="仿宋" w:hAnsi="仿宋" w:eastAsia="仿宋" w:cs="仿宋"/>
                <w:b/>
                <w:bCs/>
                <w:color w:val="auto"/>
                <w:sz w:val="24"/>
                <w:highlight w:val="none"/>
                <w:lang w:val="en-US" w:eastAsia="zh-CN"/>
              </w:rPr>
              <w:t>19</w:t>
            </w:r>
            <w:r>
              <w:rPr>
                <w:rFonts w:hint="eastAsia" w:ascii="仿宋" w:hAnsi="仿宋" w:eastAsia="仿宋" w:cs="仿宋"/>
                <w:b/>
                <w:bCs/>
                <w:color w:val="auto"/>
                <w:sz w:val="24"/>
                <w:highlight w:val="none"/>
              </w:rPr>
              <w:t>分；重大负偏离则视为无效投标；一般参数或带“▲”参数每有一项负偏离减5分，最多减15分，四项或以上负偏离视为无效投标。</w:t>
            </w:r>
          </w:p>
        </w:tc>
        <w:tc>
          <w:tcPr>
            <w:tcW w:w="465" w:type="pct"/>
            <w:vAlign w:val="center"/>
          </w:tcPr>
          <w:p>
            <w:pPr>
              <w:pageBreakBefore w:val="0"/>
              <w:kinsoku/>
              <w:wordWrap/>
              <w:overflowPunct/>
              <w:topLinePunct w:val="0"/>
              <w:autoSpaceDE/>
              <w:autoSpaceDN/>
              <w:bidi w:val="0"/>
              <w:adjustRightInd/>
              <w:snapToGrid/>
              <w:spacing w:line="460" w:lineRule="exact"/>
              <w:jc w:val="center"/>
              <w:textAlignment w:val="center"/>
              <w:rPr>
                <w:rFonts w:hint="default"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19分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86"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324" w:type="pct"/>
            <w:vMerge w:val="restar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北斗有源终端</w:t>
            </w:r>
          </w:p>
        </w:tc>
        <w:tc>
          <w:tcPr>
            <w:tcW w:w="952"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.主频≥2.0GHz</w:t>
            </w:r>
          </w:p>
        </w:tc>
        <w:tc>
          <w:tcPr>
            <w:tcW w:w="2971"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仿宋"/>
                <w:color w:val="auto"/>
                <w:sz w:val="24"/>
                <w:szCs w:val="24"/>
                <w:highlight w:val="none"/>
                <w:lang w:eastAsia="zh-CN"/>
              </w:rPr>
              <w:t>北斗有源终端的</w:t>
            </w:r>
            <w:r>
              <w:rPr>
                <w:rFonts w:hint="eastAsia" w:ascii="仿宋" w:hAnsi="仿宋" w:eastAsia="仿宋" w:cs="仿宋"/>
                <w:color w:val="auto"/>
                <w:sz w:val="24"/>
                <w:szCs w:val="24"/>
                <w:highlight w:val="none"/>
                <w:lang w:val="en-US" w:eastAsia="zh-CN"/>
              </w:rPr>
              <w:t>主频</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szCs w:val="24"/>
                <w:highlight w:val="none"/>
                <w:lang w:val="en-US" w:eastAsia="zh-CN"/>
              </w:rPr>
              <w:t>主频</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val="en-US" w:eastAsia="zh-CN"/>
              </w:rPr>
              <w:t>主频</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eastAsia="zh-CN"/>
              </w:rPr>
              <w:t>北斗有源终端的主频</w:t>
            </w:r>
            <w:r>
              <w:rPr>
                <w:rFonts w:hint="eastAsia" w:ascii="仿宋" w:hAnsi="仿宋" w:eastAsia="仿宋" w:cs="仿宋"/>
                <w:b/>
                <w:bCs/>
                <w:color w:val="auto"/>
                <w:sz w:val="24"/>
                <w:szCs w:val="24"/>
                <w:highlight w:val="none"/>
                <w:lang w:val="en-US" w:eastAsia="zh-CN"/>
              </w:rPr>
              <w:t>最大</w:t>
            </w:r>
            <w:r>
              <w:rPr>
                <w:rFonts w:hint="eastAsia" w:ascii="仿宋" w:hAnsi="仿宋" w:eastAsia="仿宋" w:cs="仿宋"/>
                <w:b/>
                <w:bCs/>
                <w:color w:val="auto"/>
                <w:sz w:val="24"/>
                <w:szCs w:val="24"/>
                <w:highlight w:val="none"/>
              </w:rPr>
              <w:t>，次优表示</w:t>
            </w:r>
            <w:r>
              <w:rPr>
                <w:rFonts w:hint="eastAsia" w:ascii="仿宋" w:hAnsi="仿宋" w:eastAsia="仿宋" w:cs="仿宋"/>
                <w:b/>
                <w:bCs/>
                <w:color w:val="auto"/>
                <w:sz w:val="24"/>
                <w:szCs w:val="24"/>
                <w:highlight w:val="none"/>
                <w:lang w:eastAsia="zh-CN"/>
              </w:rPr>
              <w:t>北斗有源终端的</w:t>
            </w:r>
            <w:r>
              <w:rPr>
                <w:rFonts w:hint="eastAsia" w:ascii="仿宋" w:hAnsi="仿宋" w:eastAsia="仿宋" w:cs="仿宋"/>
                <w:b/>
                <w:bCs/>
                <w:color w:val="auto"/>
                <w:sz w:val="24"/>
                <w:szCs w:val="24"/>
                <w:highlight w:val="none"/>
                <w:lang w:val="en-US" w:eastAsia="zh-CN"/>
              </w:rPr>
              <w:t>主频</w:t>
            </w:r>
            <w:r>
              <w:rPr>
                <w:rFonts w:hint="eastAsia" w:ascii="仿宋" w:hAnsi="仿宋" w:eastAsia="仿宋" w:cs="仿宋"/>
                <w:b/>
                <w:bCs/>
                <w:color w:val="auto"/>
                <w:sz w:val="24"/>
                <w:szCs w:val="24"/>
                <w:highlight w:val="none"/>
              </w:rPr>
              <w:t>仅次于最大值。</w:t>
            </w:r>
          </w:p>
        </w:tc>
        <w:tc>
          <w:tcPr>
            <w:tcW w:w="465"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86"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324" w:type="pct"/>
            <w:vMerge w:val="continue"/>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p>
        </w:tc>
        <w:tc>
          <w:tcPr>
            <w:tcW w:w="952"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▲4.运行内存：≥6GB</w:t>
            </w:r>
          </w:p>
        </w:tc>
        <w:tc>
          <w:tcPr>
            <w:tcW w:w="2971"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仿宋"/>
                <w:color w:val="auto"/>
                <w:sz w:val="24"/>
                <w:highlight w:val="none"/>
                <w:lang w:eastAsia="zh-CN"/>
              </w:rPr>
              <w:t>北斗有源终端</w:t>
            </w:r>
            <w:r>
              <w:rPr>
                <w:rFonts w:hint="eastAsia" w:ascii="仿宋" w:hAnsi="仿宋" w:eastAsia="仿宋" w:cs="仿宋"/>
                <w:color w:val="auto"/>
                <w:sz w:val="24"/>
                <w:szCs w:val="24"/>
                <w:highlight w:val="none"/>
                <w:lang w:eastAsia="zh-CN"/>
              </w:rPr>
              <w:t>的</w:t>
            </w:r>
            <w:r>
              <w:rPr>
                <w:rFonts w:hint="eastAsia" w:ascii="仿宋" w:hAnsi="仿宋" w:eastAsia="仿宋" w:cs="仿宋"/>
                <w:color w:val="auto"/>
                <w:sz w:val="24"/>
                <w:highlight w:val="none"/>
                <w:lang w:val="en-US" w:eastAsia="zh-CN"/>
              </w:rPr>
              <w:t>运行内存</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运行内存</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val="en-US" w:eastAsia="zh-CN"/>
              </w:rPr>
              <w:t>运行内存</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eastAsia="zh-CN"/>
              </w:rPr>
              <w:t>北斗有源终端的运行内存</w:t>
            </w:r>
            <w:r>
              <w:rPr>
                <w:rFonts w:hint="eastAsia" w:ascii="仿宋" w:hAnsi="仿宋" w:eastAsia="仿宋" w:cs="仿宋"/>
                <w:b/>
                <w:bCs/>
                <w:color w:val="auto"/>
                <w:sz w:val="24"/>
                <w:szCs w:val="24"/>
                <w:highlight w:val="none"/>
                <w:lang w:val="en-US" w:eastAsia="zh-CN"/>
              </w:rPr>
              <w:t>最大</w:t>
            </w:r>
            <w:r>
              <w:rPr>
                <w:rFonts w:hint="eastAsia" w:ascii="仿宋" w:hAnsi="仿宋" w:eastAsia="仿宋" w:cs="仿宋"/>
                <w:b/>
                <w:bCs/>
                <w:color w:val="auto"/>
                <w:sz w:val="24"/>
                <w:szCs w:val="24"/>
                <w:highlight w:val="none"/>
              </w:rPr>
              <w:t>，次优表示</w:t>
            </w:r>
            <w:r>
              <w:rPr>
                <w:rFonts w:hint="eastAsia" w:ascii="仿宋" w:hAnsi="仿宋" w:eastAsia="仿宋" w:cs="仿宋"/>
                <w:b/>
                <w:bCs/>
                <w:color w:val="auto"/>
                <w:sz w:val="24"/>
                <w:szCs w:val="24"/>
                <w:highlight w:val="none"/>
                <w:lang w:eastAsia="zh-CN"/>
              </w:rPr>
              <w:t>北斗有源终端的运行内存</w:t>
            </w:r>
            <w:r>
              <w:rPr>
                <w:rFonts w:hint="eastAsia" w:ascii="仿宋" w:hAnsi="仿宋" w:eastAsia="仿宋" w:cs="仿宋"/>
                <w:b/>
                <w:bCs/>
                <w:color w:val="auto"/>
                <w:sz w:val="24"/>
                <w:szCs w:val="24"/>
                <w:highlight w:val="none"/>
              </w:rPr>
              <w:t>仅次于最大值。</w:t>
            </w:r>
          </w:p>
        </w:tc>
        <w:tc>
          <w:tcPr>
            <w:tcW w:w="465"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86"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324" w:type="pct"/>
            <w:vMerge w:val="restar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szCs w:val="24"/>
                <w:highlight w:val="none"/>
                <w:lang w:val="en-US" w:eastAsia="zh-CN"/>
              </w:rPr>
              <w:t>卫星电话</w:t>
            </w:r>
          </w:p>
        </w:tc>
        <w:tc>
          <w:tcPr>
            <w:tcW w:w="952"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b w:val="0"/>
                <w:bCs w:val="0"/>
                <w:color w:val="auto"/>
                <w:sz w:val="24"/>
                <w:szCs w:val="24"/>
                <w:highlight w:val="none"/>
                <w:lang w:val="en-US" w:eastAsia="zh-CN"/>
              </w:rPr>
              <w:t>▲10.通话时间≥8小时</w:t>
            </w:r>
          </w:p>
        </w:tc>
        <w:tc>
          <w:tcPr>
            <w:tcW w:w="2971"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仿宋"/>
                <w:color w:val="auto"/>
                <w:sz w:val="24"/>
                <w:szCs w:val="24"/>
                <w:highlight w:val="none"/>
                <w:lang w:eastAsia="zh-CN"/>
              </w:rPr>
              <w:t>卫星电话的</w:t>
            </w:r>
            <w:r>
              <w:rPr>
                <w:rFonts w:hint="eastAsia" w:ascii="仿宋" w:hAnsi="仿宋" w:eastAsia="仿宋" w:cs="仿宋"/>
                <w:b w:val="0"/>
                <w:bCs w:val="0"/>
                <w:color w:val="auto"/>
                <w:sz w:val="24"/>
                <w:szCs w:val="24"/>
                <w:highlight w:val="none"/>
                <w:lang w:val="en-US" w:eastAsia="zh-CN"/>
              </w:rPr>
              <w:t>通话时间</w:t>
            </w:r>
            <w:r>
              <w:rPr>
                <w:rFonts w:hint="eastAsia" w:ascii="仿宋" w:hAnsi="仿宋" w:eastAsia="仿宋" w:cs="仿宋"/>
                <w:color w:val="auto"/>
                <w:sz w:val="24"/>
                <w:szCs w:val="24"/>
                <w:highlight w:val="none"/>
              </w:rPr>
              <w:t>优于招标文件要求的，</w:t>
            </w:r>
            <w:r>
              <w:rPr>
                <w:rFonts w:hint="eastAsia" w:ascii="仿宋" w:hAnsi="仿宋" w:eastAsia="仿宋" w:cs="仿宋"/>
                <w:b w:val="0"/>
                <w:bCs w:val="0"/>
                <w:color w:val="auto"/>
                <w:sz w:val="24"/>
                <w:szCs w:val="24"/>
                <w:highlight w:val="none"/>
                <w:lang w:val="en-US" w:eastAsia="zh-CN"/>
              </w:rPr>
              <w:t>通话时间</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b w:val="0"/>
                <w:bCs w:val="0"/>
                <w:color w:val="auto"/>
                <w:sz w:val="24"/>
                <w:szCs w:val="24"/>
                <w:highlight w:val="none"/>
                <w:lang w:val="en-US" w:eastAsia="zh-CN"/>
              </w:rPr>
              <w:t>通话时间</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eastAsia="zh-CN"/>
              </w:rPr>
              <w:t>卫星电话的</w:t>
            </w:r>
            <w:r>
              <w:rPr>
                <w:rFonts w:hint="eastAsia" w:ascii="仿宋" w:hAnsi="仿宋" w:eastAsia="仿宋" w:cs="仿宋"/>
                <w:b/>
                <w:bCs/>
                <w:color w:val="auto"/>
                <w:sz w:val="24"/>
                <w:szCs w:val="24"/>
                <w:highlight w:val="none"/>
                <w:lang w:val="en-US" w:eastAsia="zh-CN"/>
              </w:rPr>
              <w:t>通话时间最长</w:t>
            </w:r>
            <w:r>
              <w:rPr>
                <w:rFonts w:hint="eastAsia" w:ascii="仿宋" w:hAnsi="仿宋" w:eastAsia="仿宋" w:cs="仿宋"/>
                <w:b/>
                <w:bCs/>
                <w:color w:val="auto"/>
                <w:sz w:val="24"/>
                <w:szCs w:val="24"/>
                <w:highlight w:val="none"/>
              </w:rPr>
              <w:t>，次优表示</w:t>
            </w:r>
            <w:r>
              <w:rPr>
                <w:rFonts w:hint="eastAsia" w:ascii="仿宋" w:hAnsi="仿宋" w:eastAsia="仿宋" w:cs="仿宋"/>
                <w:b/>
                <w:bCs/>
                <w:color w:val="auto"/>
                <w:sz w:val="24"/>
                <w:szCs w:val="24"/>
                <w:highlight w:val="none"/>
                <w:lang w:eastAsia="zh-CN"/>
              </w:rPr>
              <w:t>卫星电话的</w:t>
            </w:r>
            <w:r>
              <w:rPr>
                <w:rFonts w:hint="eastAsia" w:ascii="仿宋" w:hAnsi="仿宋" w:eastAsia="仿宋" w:cs="仿宋"/>
                <w:b/>
                <w:bCs/>
                <w:color w:val="auto"/>
                <w:sz w:val="24"/>
                <w:szCs w:val="24"/>
                <w:highlight w:val="none"/>
                <w:lang w:val="en-US" w:eastAsia="zh-CN"/>
              </w:rPr>
              <w:t>通话时间</w:t>
            </w:r>
            <w:r>
              <w:rPr>
                <w:rFonts w:hint="eastAsia" w:ascii="仿宋" w:hAnsi="仿宋" w:eastAsia="仿宋" w:cs="仿宋"/>
                <w:b/>
                <w:bCs/>
                <w:color w:val="auto"/>
                <w:sz w:val="24"/>
                <w:szCs w:val="24"/>
                <w:highlight w:val="none"/>
              </w:rPr>
              <w:t>仅次于最大值。</w:t>
            </w:r>
          </w:p>
        </w:tc>
        <w:tc>
          <w:tcPr>
            <w:tcW w:w="465"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86"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324" w:type="pct"/>
            <w:vMerge w:val="continue"/>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b/>
                <w:bCs/>
                <w:color w:val="auto"/>
                <w:sz w:val="24"/>
                <w:szCs w:val="24"/>
                <w:highlight w:val="none"/>
                <w:lang w:val="en-US" w:eastAsia="zh-CN"/>
              </w:rPr>
            </w:pPr>
          </w:p>
        </w:tc>
        <w:tc>
          <w:tcPr>
            <w:tcW w:w="952"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▲10.待机时间≥120小时</w:t>
            </w:r>
          </w:p>
        </w:tc>
        <w:tc>
          <w:tcPr>
            <w:tcW w:w="2971"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仿宋"/>
                <w:color w:val="auto"/>
                <w:sz w:val="24"/>
                <w:szCs w:val="24"/>
                <w:highlight w:val="none"/>
                <w:lang w:eastAsia="zh-CN"/>
              </w:rPr>
              <w:t>卫星电话的</w:t>
            </w:r>
            <w:r>
              <w:rPr>
                <w:rFonts w:hint="eastAsia" w:ascii="仿宋" w:hAnsi="仿宋" w:eastAsia="仿宋" w:cs="仿宋"/>
                <w:b w:val="0"/>
                <w:bCs w:val="0"/>
                <w:color w:val="auto"/>
                <w:sz w:val="24"/>
                <w:szCs w:val="24"/>
                <w:highlight w:val="none"/>
                <w:lang w:val="en-US" w:eastAsia="zh-CN"/>
              </w:rPr>
              <w:t>待机时间</w:t>
            </w:r>
            <w:r>
              <w:rPr>
                <w:rFonts w:hint="eastAsia" w:ascii="仿宋" w:hAnsi="仿宋" w:eastAsia="仿宋" w:cs="仿宋"/>
                <w:color w:val="auto"/>
                <w:sz w:val="24"/>
                <w:szCs w:val="24"/>
                <w:highlight w:val="none"/>
              </w:rPr>
              <w:t>优于招标文件要求的，</w:t>
            </w:r>
            <w:r>
              <w:rPr>
                <w:rFonts w:hint="eastAsia" w:ascii="仿宋" w:hAnsi="仿宋" w:eastAsia="仿宋" w:cs="仿宋"/>
                <w:b w:val="0"/>
                <w:bCs w:val="0"/>
                <w:color w:val="auto"/>
                <w:sz w:val="24"/>
                <w:szCs w:val="24"/>
                <w:highlight w:val="none"/>
                <w:lang w:val="en-US" w:eastAsia="zh-CN"/>
              </w:rPr>
              <w:t>待机时间</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b w:val="0"/>
                <w:bCs w:val="0"/>
                <w:color w:val="auto"/>
                <w:sz w:val="24"/>
                <w:szCs w:val="24"/>
                <w:highlight w:val="none"/>
                <w:lang w:val="en-US" w:eastAsia="zh-CN"/>
              </w:rPr>
              <w:t>待机时间</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eastAsia="zh-CN"/>
              </w:rPr>
              <w:t>卫星电话的</w:t>
            </w:r>
            <w:r>
              <w:rPr>
                <w:rFonts w:hint="eastAsia" w:ascii="仿宋" w:hAnsi="仿宋" w:eastAsia="仿宋" w:cs="仿宋"/>
                <w:b/>
                <w:bCs/>
                <w:color w:val="auto"/>
                <w:sz w:val="24"/>
                <w:szCs w:val="24"/>
                <w:highlight w:val="none"/>
                <w:lang w:val="en-US" w:eastAsia="zh-CN"/>
              </w:rPr>
              <w:t>待机时间最长</w:t>
            </w:r>
            <w:r>
              <w:rPr>
                <w:rFonts w:hint="eastAsia" w:ascii="仿宋" w:hAnsi="仿宋" w:eastAsia="仿宋" w:cs="仿宋"/>
                <w:b/>
                <w:bCs/>
                <w:color w:val="auto"/>
                <w:sz w:val="24"/>
                <w:szCs w:val="24"/>
                <w:highlight w:val="none"/>
              </w:rPr>
              <w:t>，次优表示</w:t>
            </w:r>
            <w:r>
              <w:rPr>
                <w:rFonts w:hint="eastAsia" w:ascii="仿宋" w:hAnsi="仿宋" w:eastAsia="仿宋" w:cs="仿宋"/>
                <w:b/>
                <w:bCs/>
                <w:color w:val="auto"/>
                <w:sz w:val="24"/>
                <w:szCs w:val="24"/>
                <w:highlight w:val="none"/>
                <w:lang w:eastAsia="zh-CN"/>
              </w:rPr>
              <w:t>卫星电话的</w:t>
            </w:r>
            <w:r>
              <w:rPr>
                <w:rFonts w:hint="eastAsia" w:ascii="仿宋" w:hAnsi="仿宋" w:eastAsia="仿宋" w:cs="仿宋"/>
                <w:b/>
                <w:bCs/>
                <w:color w:val="auto"/>
                <w:sz w:val="24"/>
                <w:szCs w:val="24"/>
                <w:highlight w:val="none"/>
                <w:lang w:val="en-US" w:eastAsia="zh-CN"/>
              </w:rPr>
              <w:t>待机时间</w:t>
            </w:r>
            <w:r>
              <w:rPr>
                <w:rFonts w:hint="eastAsia" w:ascii="仿宋" w:hAnsi="仿宋" w:eastAsia="仿宋" w:cs="仿宋"/>
                <w:b/>
                <w:bCs/>
                <w:color w:val="auto"/>
                <w:sz w:val="24"/>
                <w:szCs w:val="24"/>
                <w:highlight w:val="none"/>
              </w:rPr>
              <w:t>仅次于最大值。</w:t>
            </w:r>
          </w:p>
        </w:tc>
        <w:tc>
          <w:tcPr>
            <w:tcW w:w="465"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86"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324" w:type="pct"/>
            <w:vMerge w:val="continue"/>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p>
        </w:tc>
        <w:tc>
          <w:tcPr>
            <w:tcW w:w="952"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▲11.搜星时间：待机状态，空旷环境中接入自主卫星移动通信系统所需时间搜星时间≤90秒</w:t>
            </w:r>
          </w:p>
        </w:tc>
        <w:tc>
          <w:tcPr>
            <w:tcW w:w="2971"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仿宋"/>
                <w:color w:val="auto"/>
                <w:sz w:val="24"/>
                <w:highlight w:val="none"/>
                <w:lang w:eastAsia="zh-CN"/>
              </w:rPr>
              <w:t>卫星电话</w:t>
            </w:r>
            <w:r>
              <w:rPr>
                <w:rFonts w:hint="eastAsia" w:ascii="仿宋" w:hAnsi="仿宋" w:eastAsia="仿宋" w:cs="仿宋"/>
                <w:color w:val="auto"/>
                <w:sz w:val="24"/>
                <w:szCs w:val="24"/>
                <w:highlight w:val="none"/>
                <w:lang w:eastAsia="zh-CN"/>
              </w:rPr>
              <w:t>的</w:t>
            </w:r>
            <w:r>
              <w:rPr>
                <w:rFonts w:hint="eastAsia" w:ascii="仿宋" w:hAnsi="仿宋" w:eastAsia="仿宋" w:cs="仿宋"/>
                <w:color w:val="auto"/>
                <w:sz w:val="24"/>
                <w:highlight w:val="none"/>
                <w:lang w:val="en-US" w:eastAsia="zh-CN"/>
              </w:rPr>
              <w:t>搜星时间</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搜星时间</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val="en-US" w:eastAsia="zh-CN"/>
              </w:rPr>
              <w:t>搜星时间</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eastAsia="zh-CN"/>
              </w:rPr>
              <w:t>卫星电话的搜星时间</w:t>
            </w:r>
            <w:r>
              <w:rPr>
                <w:rFonts w:hint="eastAsia" w:ascii="仿宋" w:hAnsi="仿宋" w:eastAsia="仿宋" w:cs="仿宋"/>
                <w:b/>
                <w:bCs/>
                <w:color w:val="auto"/>
                <w:sz w:val="24"/>
                <w:szCs w:val="24"/>
                <w:highlight w:val="none"/>
                <w:lang w:val="en-US" w:eastAsia="zh-CN"/>
              </w:rPr>
              <w:t>最短</w:t>
            </w:r>
            <w:r>
              <w:rPr>
                <w:rFonts w:hint="eastAsia" w:ascii="仿宋" w:hAnsi="仿宋" w:eastAsia="仿宋" w:cs="仿宋"/>
                <w:b/>
                <w:bCs/>
                <w:color w:val="auto"/>
                <w:sz w:val="24"/>
                <w:szCs w:val="24"/>
                <w:highlight w:val="none"/>
              </w:rPr>
              <w:t>，次优表示</w:t>
            </w:r>
            <w:r>
              <w:rPr>
                <w:rFonts w:hint="eastAsia" w:ascii="仿宋" w:hAnsi="仿宋" w:eastAsia="仿宋" w:cs="仿宋"/>
                <w:b/>
                <w:bCs/>
                <w:color w:val="auto"/>
                <w:sz w:val="24"/>
                <w:szCs w:val="24"/>
                <w:highlight w:val="none"/>
                <w:lang w:eastAsia="zh-CN"/>
              </w:rPr>
              <w:t>卫星电话的搜星时间</w:t>
            </w:r>
            <w:r>
              <w:rPr>
                <w:rFonts w:hint="eastAsia" w:ascii="仿宋" w:hAnsi="仿宋" w:eastAsia="仿宋" w:cs="仿宋"/>
                <w:b/>
                <w:bCs/>
                <w:color w:val="auto"/>
                <w:sz w:val="24"/>
                <w:szCs w:val="24"/>
                <w:highlight w:val="none"/>
              </w:rPr>
              <w:t>仅次于最</w:t>
            </w:r>
            <w:r>
              <w:rPr>
                <w:rFonts w:hint="eastAsia" w:ascii="仿宋" w:hAnsi="仿宋" w:eastAsia="仿宋" w:cs="仿宋"/>
                <w:b/>
                <w:bCs/>
                <w:color w:val="auto"/>
                <w:sz w:val="24"/>
                <w:szCs w:val="24"/>
                <w:highlight w:val="none"/>
                <w:lang w:val="en-US" w:eastAsia="zh-CN"/>
              </w:rPr>
              <w:t>小</w:t>
            </w:r>
            <w:r>
              <w:rPr>
                <w:rFonts w:hint="eastAsia" w:ascii="仿宋" w:hAnsi="仿宋" w:eastAsia="仿宋" w:cs="仿宋"/>
                <w:b/>
                <w:bCs/>
                <w:color w:val="auto"/>
                <w:sz w:val="24"/>
                <w:szCs w:val="24"/>
                <w:highlight w:val="none"/>
              </w:rPr>
              <w:t>值。</w:t>
            </w:r>
          </w:p>
        </w:tc>
        <w:tc>
          <w:tcPr>
            <w:tcW w:w="465"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86"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277" w:type="pct"/>
            <w:gridSpan w:val="3"/>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一般参数</w:t>
            </w:r>
          </w:p>
        </w:tc>
        <w:tc>
          <w:tcPr>
            <w:tcW w:w="2971"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在完全满足招标文件“</w:t>
            </w:r>
            <w:r>
              <w:rPr>
                <w:rFonts w:hint="eastAsia" w:ascii="仿宋" w:hAnsi="仿宋" w:eastAsia="仿宋" w:cs="仿宋"/>
                <w:color w:val="auto"/>
                <w:sz w:val="24"/>
                <w:highlight w:val="none"/>
                <w:lang w:eastAsia="zh-CN"/>
              </w:rPr>
              <w:t>所有参数</w:t>
            </w:r>
            <w:r>
              <w:rPr>
                <w:rFonts w:hint="eastAsia" w:ascii="仿宋" w:hAnsi="仿宋" w:eastAsia="仿宋" w:cs="仿宋"/>
                <w:color w:val="auto"/>
                <w:sz w:val="24"/>
                <w:highlight w:val="none"/>
              </w:rPr>
              <w:t>”要求的基础上，每有一条“一般参数”优于的加1分，本项最多加</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分。（加分只针对具有“≥”或“≤”的数值，数值更加优于的进行加分；文字内容或其他内容优于的不加分）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注：“一般参数”为非标“★”号参数和非标“▲”号参数。</w:t>
            </w:r>
          </w:p>
        </w:tc>
        <w:tc>
          <w:tcPr>
            <w:tcW w:w="465"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286" w:type="pct"/>
            <w:vMerge w:val="continue"/>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713" w:type="pct"/>
            <w:gridSpan w:val="5"/>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评审依据：提供技术条款响应表和技术支撑文件</w:t>
            </w:r>
            <w:r>
              <w:rPr>
                <w:rFonts w:hint="eastAsia" w:ascii="仿宋" w:hAnsi="仿宋" w:eastAsia="仿宋" w:cs="仿宋"/>
                <w:b/>
                <w:bCs/>
                <w:color w:val="auto"/>
                <w:sz w:val="24"/>
                <w:highlight w:val="none"/>
                <w:lang w:eastAsia="zh-CN"/>
              </w:rPr>
              <w:t>。</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hint="eastAsia"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hint="eastAsia"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hint="eastAsia"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③制造商出具的技术参数证明材料并加盖制造商公章。]</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注：①供应商应认真提供技术支撑文件，若提供多份技术支撑文件，技术支撑文件佐证不一致时，优先级为：产品检测报告复印件＞制造商公开发布的印刷资料＞制造商出具的技术参数证明</w:t>
            </w:r>
            <w:r>
              <w:rPr>
                <w:rFonts w:hint="eastAsia" w:ascii="仿宋" w:hAnsi="仿宋" w:eastAsia="仿宋" w:cs="仿宋"/>
                <w:b/>
                <w:bCs/>
                <w:color w:val="auto"/>
                <w:sz w:val="24"/>
                <w:highlight w:val="none"/>
                <w:lang w:val="en-US" w:eastAsia="zh-CN"/>
              </w:rPr>
              <w:t>材料</w:t>
            </w:r>
            <w:r>
              <w:rPr>
                <w:rFonts w:hint="eastAsia" w:ascii="仿宋" w:hAnsi="仿宋" w:eastAsia="仿宋" w:cs="仿宋"/>
                <w:b/>
                <w:bCs/>
                <w:color w:val="auto"/>
                <w:sz w:val="24"/>
                <w:highlight w:val="none"/>
              </w:rPr>
              <w:t>；②技术支撑文件</w:t>
            </w:r>
            <w:r>
              <w:rPr>
                <w:rFonts w:hint="eastAsia" w:ascii="仿宋" w:hAnsi="仿宋" w:eastAsia="仿宋" w:cs="仿宋"/>
                <w:b/>
                <w:bCs/>
                <w:color w:val="auto"/>
                <w:sz w:val="24"/>
                <w:highlight w:val="none"/>
                <w:lang w:val="en-US" w:eastAsia="zh-CN"/>
              </w:rPr>
              <w:t>与</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不一致，则</w:t>
            </w:r>
            <w:r>
              <w:rPr>
                <w:rFonts w:hint="eastAsia" w:ascii="仿宋" w:hAnsi="仿宋" w:eastAsia="仿宋" w:cs="仿宋"/>
                <w:b/>
                <w:bCs/>
                <w:color w:val="auto"/>
                <w:sz w:val="24"/>
                <w:highlight w:val="none"/>
              </w:rPr>
              <w:t>该点不加分</w:t>
            </w:r>
            <w:r>
              <w:rPr>
                <w:rFonts w:hint="eastAsia" w:ascii="仿宋" w:hAnsi="仿宋" w:eastAsia="仿宋" w:cs="仿宋"/>
                <w:b/>
                <w:bCs/>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286" w:type="pct"/>
            <w:vMerge w:val="continue"/>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62"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b/>
                <w:bCs/>
                <w:color w:val="auto"/>
                <w:sz w:val="24"/>
                <w:highlight w:val="none"/>
              </w:rPr>
            </w:pPr>
            <w:r>
              <w:rPr>
                <w:rFonts w:hint="eastAsia" w:ascii="仿宋" w:hAnsi="仿宋" w:eastAsia="仿宋" w:cs="仿宋"/>
                <w:color w:val="auto"/>
                <w:sz w:val="24"/>
                <w:highlight w:val="none"/>
                <w:lang w:val="en-US" w:eastAsia="zh-CN"/>
              </w:rPr>
              <w:t>北斗有源终端</w:t>
            </w:r>
          </w:p>
        </w:tc>
        <w:tc>
          <w:tcPr>
            <w:tcW w:w="81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b/>
                <w:bCs/>
                <w:color w:val="auto"/>
                <w:sz w:val="24"/>
                <w:highlight w:val="none"/>
              </w:rPr>
            </w:pPr>
            <w:r>
              <w:rPr>
                <w:rFonts w:hint="eastAsia" w:ascii="仿宋" w:hAnsi="仿宋" w:eastAsia="仿宋" w:cs="仿宋"/>
                <w:b w:val="0"/>
                <w:bCs w:val="0"/>
                <w:color w:val="auto"/>
                <w:sz w:val="24"/>
                <w:szCs w:val="24"/>
                <w:highlight w:val="none"/>
                <w:lang w:val="en-US" w:eastAsia="zh-CN"/>
              </w:rPr>
              <w:t>▲9.防护等级≥IP67（需提供具有CMA或CNAS标识的检测报告复印件并加盖制造商公章）</w:t>
            </w:r>
          </w:p>
        </w:tc>
        <w:tc>
          <w:tcPr>
            <w:tcW w:w="2971"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仿宋"/>
                <w:color w:val="auto"/>
                <w:sz w:val="24"/>
                <w:highlight w:val="none"/>
                <w:lang w:eastAsia="zh-CN"/>
              </w:rPr>
              <w:t>北斗有源终端</w:t>
            </w:r>
            <w:r>
              <w:rPr>
                <w:rFonts w:hint="eastAsia" w:ascii="仿宋" w:hAnsi="仿宋" w:eastAsia="仿宋" w:cs="仿宋"/>
                <w:b w:val="0"/>
                <w:bCs w:val="0"/>
                <w:color w:val="auto"/>
                <w:sz w:val="24"/>
                <w:szCs w:val="24"/>
                <w:highlight w:val="none"/>
                <w:lang w:val="en-US" w:eastAsia="zh-CN"/>
              </w:rPr>
              <w:t>防护等级</w:t>
            </w:r>
            <w:r>
              <w:rPr>
                <w:rFonts w:hint="eastAsia" w:ascii="仿宋" w:hAnsi="仿宋" w:eastAsia="仿宋" w:cs="仿宋"/>
                <w:color w:val="auto"/>
                <w:sz w:val="24"/>
                <w:szCs w:val="24"/>
                <w:highlight w:val="none"/>
              </w:rPr>
              <w:t>优于招标文件要求的，</w:t>
            </w:r>
            <w:r>
              <w:rPr>
                <w:rFonts w:hint="eastAsia" w:ascii="仿宋" w:hAnsi="仿宋" w:eastAsia="仿宋" w:cs="仿宋"/>
                <w:b w:val="0"/>
                <w:bCs w:val="0"/>
                <w:color w:val="auto"/>
                <w:sz w:val="24"/>
                <w:szCs w:val="24"/>
                <w:highlight w:val="none"/>
                <w:lang w:val="en-US" w:eastAsia="zh-CN"/>
              </w:rPr>
              <w:t>防护等级</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b w:val="0"/>
                <w:bCs w:val="0"/>
                <w:color w:val="auto"/>
                <w:sz w:val="24"/>
                <w:szCs w:val="24"/>
                <w:highlight w:val="none"/>
                <w:lang w:val="en-US" w:eastAsia="zh-CN"/>
              </w:rPr>
              <w:t>防护等级</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eastAsia="zh-CN"/>
              </w:rPr>
              <w:t>北斗有源终端的</w:t>
            </w:r>
            <w:r>
              <w:rPr>
                <w:rFonts w:hint="eastAsia" w:ascii="仿宋" w:hAnsi="仿宋" w:eastAsia="仿宋" w:cs="仿宋"/>
                <w:b/>
                <w:bCs/>
                <w:color w:val="auto"/>
                <w:sz w:val="24"/>
                <w:szCs w:val="24"/>
                <w:highlight w:val="none"/>
                <w:lang w:val="en-US" w:eastAsia="zh-CN"/>
              </w:rPr>
              <w:t>防护等级最高</w:t>
            </w:r>
            <w:r>
              <w:rPr>
                <w:rFonts w:hint="eastAsia" w:ascii="仿宋" w:hAnsi="仿宋" w:eastAsia="仿宋" w:cs="仿宋"/>
                <w:b/>
                <w:bCs/>
                <w:color w:val="auto"/>
                <w:sz w:val="24"/>
                <w:szCs w:val="24"/>
                <w:highlight w:val="none"/>
              </w:rPr>
              <w:t>，次优表示</w:t>
            </w:r>
            <w:r>
              <w:rPr>
                <w:rFonts w:hint="eastAsia" w:ascii="仿宋" w:hAnsi="仿宋" w:eastAsia="仿宋" w:cs="仿宋"/>
                <w:b/>
                <w:bCs/>
                <w:color w:val="auto"/>
                <w:sz w:val="24"/>
                <w:szCs w:val="24"/>
                <w:highlight w:val="none"/>
                <w:lang w:eastAsia="zh-CN"/>
              </w:rPr>
              <w:t>北斗有源终端的</w:t>
            </w:r>
            <w:r>
              <w:rPr>
                <w:rFonts w:hint="eastAsia" w:ascii="仿宋" w:hAnsi="仿宋" w:eastAsia="仿宋" w:cs="仿宋"/>
                <w:b/>
                <w:bCs/>
                <w:color w:val="auto"/>
                <w:sz w:val="24"/>
                <w:szCs w:val="24"/>
                <w:highlight w:val="none"/>
                <w:lang w:val="en-US" w:eastAsia="zh-CN"/>
              </w:rPr>
              <w:t>防护等级</w:t>
            </w:r>
            <w:r>
              <w:rPr>
                <w:rFonts w:hint="eastAsia" w:ascii="仿宋" w:hAnsi="仿宋" w:eastAsia="仿宋" w:cs="仿宋"/>
                <w:b/>
                <w:bCs/>
                <w:color w:val="auto"/>
                <w:sz w:val="24"/>
                <w:szCs w:val="24"/>
                <w:highlight w:val="none"/>
              </w:rPr>
              <w:t>仅次于最大值。</w:t>
            </w:r>
          </w:p>
        </w:tc>
        <w:tc>
          <w:tcPr>
            <w:tcW w:w="465"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b/>
                <w:bCs/>
                <w:color w:val="auto"/>
                <w:sz w:val="24"/>
                <w:highlight w:val="none"/>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286" w:type="pct"/>
            <w:vMerge w:val="continue"/>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62" w:type="pct"/>
            <w:gridSpan w:val="2"/>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val="0"/>
                <w:bCs w:val="0"/>
                <w:color w:val="auto"/>
                <w:sz w:val="24"/>
                <w:highlight w:val="none"/>
                <w:lang w:val="en-US" w:eastAsia="zh-CN"/>
              </w:rPr>
              <w:t>卫星电话</w:t>
            </w:r>
          </w:p>
        </w:tc>
        <w:tc>
          <w:tcPr>
            <w:tcW w:w="814"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val="0"/>
                <w:bCs w:val="0"/>
                <w:color w:val="auto"/>
                <w:sz w:val="24"/>
                <w:szCs w:val="24"/>
                <w:highlight w:val="none"/>
                <w:lang w:val="en-US" w:eastAsia="zh-CN"/>
              </w:rPr>
              <w:t>▲1</w:t>
            </w:r>
            <w:r>
              <w:rPr>
                <w:rFonts w:hint="default" w:ascii="仿宋" w:hAnsi="仿宋" w:eastAsia="仿宋" w:cs="仿宋"/>
                <w:b w:val="0"/>
                <w:bCs w:val="0"/>
                <w:color w:val="auto"/>
                <w:sz w:val="24"/>
                <w:szCs w:val="24"/>
                <w:highlight w:val="none"/>
                <w:lang w:eastAsia="zh-CN"/>
              </w:rPr>
              <w:t>6</w:t>
            </w:r>
            <w:r>
              <w:rPr>
                <w:rFonts w:hint="eastAsia" w:ascii="仿宋" w:hAnsi="仿宋" w:eastAsia="仿宋" w:cs="仿宋"/>
                <w:b w:val="0"/>
                <w:bCs w:val="0"/>
                <w:color w:val="auto"/>
                <w:sz w:val="24"/>
                <w:szCs w:val="24"/>
                <w:highlight w:val="none"/>
                <w:lang w:val="en-US" w:eastAsia="zh-CN"/>
              </w:rPr>
              <w:t>.防水防尘：≥IP67（需提供具有CMA或CNAS标识的检测报告复印件并加盖原厂公章）</w:t>
            </w:r>
          </w:p>
        </w:tc>
        <w:tc>
          <w:tcPr>
            <w:tcW w:w="2971"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仿宋"/>
                <w:color w:val="auto"/>
                <w:sz w:val="24"/>
                <w:highlight w:val="none"/>
                <w:lang w:eastAsia="zh-CN"/>
              </w:rPr>
              <w:t>卫星电话</w:t>
            </w:r>
            <w:r>
              <w:rPr>
                <w:rFonts w:hint="eastAsia" w:ascii="仿宋" w:hAnsi="仿宋" w:eastAsia="仿宋" w:cs="仿宋"/>
                <w:color w:val="auto"/>
                <w:sz w:val="24"/>
                <w:highlight w:val="none"/>
                <w:lang w:val="en-US" w:eastAsia="zh-CN"/>
              </w:rPr>
              <w:t>的防水防尘</w:t>
            </w:r>
            <w:r>
              <w:rPr>
                <w:rFonts w:hint="eastAsia" w:ascii="仿宋" w:hAnsi="仿宋" w:eastAsia="仿宋" w:cs="仿宋"/>
                <w:b w:val="0"/>
                <w:bCs w:val="0"/>
                <w:color w:val="auto"/>
                <w:sz w:val="24"/>
                <w:szCs w:val="24"/>
                <w:highlight w:val="none"/>
                <w:lang w:val="en-US" w:eastAsia="zh-CN"/>
              </w:rPr>
              <w:t>等级</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防水防尘</w:t>
            </w:r>
            <w:r>
              <w:rPr>
                <w:rFonts w:hint="eastAsia" w:ascii="仿宋" w:hAnsi="仿宋" w:eastAsia="仿宋" w:cs="仿宋"/>
                <w:b w:val="0"/>
                <w:bCs w:val="0"/>
                <w:color w:val="auto"/>
                <w:sz w:val="24"/>
                <w:szCs w:val="24"/>
                <w:highlight w:val="none"/>
                <w:lang w:val="en-US" w:eastAsia="zh-CN"/>
              </w:rPr>
              <w:t>等级</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highlight w:val="none"/>
                <w:lang w:val="en-US" w:eastAsia="zh-CN"/>
              </w:rPr>
              <w:t>防水防尘</w:t>
            </w:r>
            <w:r>
              <w:rPr>
                <w:rFonts w:hint="eastAsia" w:ascii="仿宋" w:hAnsi="仿宋" w:eastAsia="仿宋" w:cs="仿宋"/>
                <w:b w:val="0"/>
                <w:bCs w:val="0"/>
                <w:color w:val="auto"/>
                <w:sz w:val="24"/>
                <w:szCs w:val="24"/>
                <w:highlight w:val="none"/>
                <w:lang w:val="en-US" w:eastAsia="zh-CN"/>
              </w:rPr>
              <w:t>等级</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eastAsia="zh-CN"/>
              </w:rPr>
              <w:t>卫星电话的</w:t>
            </w:r>
            <w:r>
              <w:rPr>
                <w:rFonts w:hint="eastAsia" w:ascii="仿宋" w:hAnsi="仿宋" w:eastAsia="仿宋" w:cs="仿宋"/>
                <w:b/>
                <w:bCs/>
                <w:color w:val="auto"/>
                <w:sz w:val="24"/>
                <w:szCs w:val="24"/>
                <w:highlight w:val="none"/>
                <w:lang w:val="en-US" w:eastAsia="zh-CN"/>
              </w:rPr>
              <w:t>防水防尘等级最高</w:t>
            </w:r>
            <w:r>
              <w:rPr>
                <w:rFonts w:hint="eastAsia" w:ascii="仿宋" w:hAnsi="仿宋" w:eastAsia="仿宋" w:cs="仿宋"/>
                <w:b/>
                <w:bCs/>
                <w:color w:val="auto"/>
                <w:sz w:val="24"/>
                <w:szCs w:val="24"/>
                <w:highlight w:val="none"/>
              </w:rPr>
              <w:t>，次优表示</w:t>
            </w:r>
            <w:r>
              <w:rPr>
                <w:rFonts w:hint="eastAsia" w:ascii="仿宋" w:hAnsi="仿宋" w:eastAsia="仿宋" w:cs="仿宋"/>
                <w:b/>
                <w:bCs/>
                <w:color w:val="auto"/>
                <w:sz w:val="24"/>
                <w:szCs w:val="24"/>
                <w:highlight w:val="none"/>
                <w:lang w:eastAsia="zh-CN"/>
              </w:rPr>
              <w:t>卫星电话的</w:t>
            </w:r>
            <w:r>
              <w:rPr>
                <w:rFonts w:hint="eastAsia" w:ascii="仿宋" w:hAnsi="仿宋" w:eastAsia="仿宋" w:cs="仿宋"/>
                <w:b/>
                <w:bCs/>
                <w:color w:val="auto"/>
                <w:sz w:val="24"/>
                <w:szCs w:val="24"/>
                <w:highlight w:val="none"/>
                <w:lang w:val="en-US" w:eastAsia="zh-CN"/>
              </w:rPr>
              <w:t>防水防尘等级</w:t>
            </w:r>
            <w:r>
              <w:rPr>
                <w:rFonts w:hint="eastAsia" w:ascii="仿宋" w:hAnsi="仿宋" w:eastAsia="仿宋" w:cs="仿宋"/>
                <w:b/>
                <w:bCs/>
                <w:color w:val="auto"/>
                <w:sz w:val="24"/>
                <w:szCs w:val="24"/>
                <w:highlight w:val="none"/>
              </w:rPr>
              <w:t>仅次于最大值。</w:t>
            </w:r>
          </w:p>
        </w:tc>
        <w:tc>
          <w:tcPr>
            <w:tcW w:w="465"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b/>
                <w:bCs/>
                <w:color w:val="auto"/>
                <w:sz w:val="24"/>
                <w:highlight w:val="none"/>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286" w:type="pct"/>
            <w:vMerge w:val="continue"/>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713" w:type="pct"/>
            <w:gridSpan w:val="5"/>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lang w:val="en-US" w:eastAsia="zh-CN"/>
              </w:rPr>
            </w:pPr>
            <w:r>
              <w:rPr>
                <w:rFonts w:hint="eastAsia" w:ascii="仿宋" w:hAnsi="仿宋" w:eastAsia="仿宋" w:cs="仿宋"/>
                <w:b/>
                <w:bCs/>
                <w:color w:val="auto"/>
                <w:sz w:val="24"/>
                <w:highlight w:val="none"/>
              </w:rPr>
              <w:t>评审依据：提供技术条款响应表和</w:t>
            </w:r>
            <w:r>
              <w:rPr>
                <w:rFonts w:hint="eastAsia" w:ascii="仿宋" w:hAnsi="仿宋" w:eastAsia="仿宋" w:cs="仿宋"/>
                <w:b/>
                <w:bCs/>
                <w:color w:val="auto"/>
                <w:sz w:val="24"/>
                <w:highlight w:val="none"/>
                <w:lang w:val="en-US" w:eastAsia="zh-CN"/>
              </w:rPr>
              <w:t>检测报告，检测报告与技术条款响应表不一致，则该点不加分。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86"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277" w:type="pct"/>
            <w:gridSpan w:val="3"/>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整体结构与外观</w:t>
            </w:r>
          </w:p>
        </w:tc>
        <w:tc>
          <w:tcPr>
            <w:tcW w:w="2971"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w:t>
            </w:r>
            <w:r>
              <w:rPr>
                <w:rFonts w:hint="eastAsia" w:ascii="仿宋" w:hAnsi="仿宋" w:eastAsia="仿宋" w:cs="仿宋"/>
                <w:color w:val="auto"/>
                <w:sz w:val="24"/>
                <w:highlight w:val="none"/>
                <w:lang w:val="en-US" w:eastAsia="zh-CN"/>
              </w:rPr>
              <w:t>核心</w:t>
            </w:r>
            <w:r>
              <w:rPr>
                <w:rFonts w:hint="eastAsia" w:ascii="仿宋" w:hAnsi="仿宋" w:eastAsia="仿宋" w:cs="仿宋"/>
                <w:color w:val="auto"/>
                <w:sz w:val="24"/>
                <w:highlight w:val="none"/>
              </w:rPr>
              <w:t>产品的外观构造、内部结构、设计理念等进行评审。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设计理念先进，外部构造和内部结构科学合理，整体结构外观与实战紧贴程度高的，得3分；设计理念较为先进，外部构造和内部结构较为合理，整体结构外观与实战紧贴程度较高的，得2分；设计理念一般，外观构造和内部结构基本合理，整体结构外观与实战紧贴程度不高的，得1分；未提供证明材料或证明材料有缺项的不得分。</w:t>
            </w:r>
          </w:p>
        </w:tc>
        <w:tc>
          <w:tcPr>
            <w:tcW w:w="465"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86"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277" w:type="pct"/>
            <w:gridSpan w:val="3"/>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工艺</w:t>
            </w:r>
          </w:p>
        </w:tc>
        <w:tc>
          <w:tcPr>
            <w:tcW w:w="2971"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w:t>
            </w:r>
            <w:r>
              <w:rPr>
                <w:rFonts w:hint="eastAsia" w:ascii="仿宋" w:hAnsi="仿宋" w:eastAsia="仿宋" w:cs="仿宋"/>
                <w:color w:val="auto"/>
                <w:sz w:val="24"/>
                <w:highlight w:val="none"/>
                <w:lang w:val="en-US" w:eastAsia="zh-CN"/>
              </w:rPr>
              <w:t>核心</w:t>
            </w:r>
            <w:r>
              <w:rPr>
                <w:rFonts w:hint="eastAsia" w:ascii="仿宋" w:hAnsi="仿宋" w:eastAsia="仿宋" w:cs="仿宋"/>
                <w:color w:val="auto"/>
                <w:sz w:val="24"/>
                <w:highlight w:val="none"/>
              </w:rPr>
              <w:t>产品的安全性、耐用性、实用性等进行评审。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性能高、耐用性能好、实用性能强，工艺符合实战需求程度高的，得3分；安全性能较高、耐用性能良好、实用性能较强，工艺符合实战需求程度较高的，得2分；安全性能不高、耐用性能普通、实用性能一般，工艺符合实战需求程度不高的，得1分；未提供证明材料或证明材料有缺项的不得分。</w:t>
            </w:r>
          </w:p>
        </w:tc>
        <w:tc>
          <w:tcPr>
            <w:tcW w:w="465"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86"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277" w:type="pct"/>
            <w:gridSpan w:val="3"/>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操作使用性能</w:t>
            </w:r>
          </w:p>
        </w:tc>
        <w:tc>
          <w:tcPr>
            <w:tcW w:w="2971"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w:t>
            </w:r>
            <w:r>
              <w:rPr>
                <w:rFonts w:hint="eastAsia" w:ascii="仿宋" w:hAnsi="仿宋" w:eastAsia="仿宋" w:cs="仿宋"/>
                <w:color w:val="auto"/>
                <w:sz w:val="24"/>
                <w:highlight w:val="none"/>
                <w:lang w:val="en-US" w:eastAsia="zh-CN"/>
              </w:rPr>
              <w:t>核心</w:t>
            </w:r>
            <w:r>
              <w:rPr>
                <w:rFonts w:hint="eastAsia" w:ascii="仿宋" w:hAnsi="仿宋" w:eastAsia="仿宋" w:cs="仿宋"/>
                <w:color w:val="auto"/>
                <w:sz w:val="24"/>
                <w:highlight w:val="none"/>
              </w:rPr>
              <w:t>产品的可靠性、便捷性、稳定性等进行评审。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可靠性高、便捷性好、稳定性好，操作使用性能提升战斗力程度高的，得4分；可靠性较高、便捷性较好、稳定性良好，操作使用性能提升战斗力程度较高的，得2分；可靠性不高、便捷性和稳定性一般，操作使用性能提升战斗力程度不高的，得1分；未提供证明材料或证明材料有缺项的不得分。</w:t>
            </w:r>
          </w:p>
        </w:tc>
        <w:tc>
          <w:tcPr>
            <w:tcW w:w="465"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86" w:type="pct"/>
            <w:vMerge w:val="continue"/>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713" w:type="pct"/>
            <w:gridSpan w:val="5"/>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lang w:eastAsia="zh-CN"/>
              </w:rPr>
            </w:pPr>
            <w:r>
              <w:rPr>
                <w:rFonts w:hint="eastAsia" w:ascii="仿宋" w:hAnsi="仿宋" w:eastAsia="仿宋" w:cs="仿宋"/>
                <w:b/>
                <w:bCs/>
                <w:color w:val="auto"/>
                <w:sz w:val="24"/>
                <w:highlight w:val="none"/>
              </w:rPr>
              <w:t>以上评审依据：根据视频文件对产品的整体结构与外观、工艺、操作使用性能进行综合评审，视频文件需对以上三点评审内容进行介绍（包含但不限于以上三点）。视频文件[视频文件格式须为通用格式，佐证视频时长不得超过5分钟，视频清晰度应至少保证所摄的界面文字清晰易辨、画面完整连贯、播放速度正常]应存储于U盘内（单独密封在信封中）与投标文件同时递交，逾期递交不予接收，</w:t>
            </w:r>
            <w:r>
              <w:rPr>
                <w:rFonts w:hint="eastAsia" w:ascii="仿宋" w:hAnsi="仿宋" w:eastAsia="仿宋" w:cs="仿宋"/>
                <w:b/>
                <w:bCs/>
                <w:color w:val="auto"/>
                <w:sz w:val="24"/>
                <w:highlight w:val="none"/>
                <w:lang w:eastAsia="zh-CN"/>
              </w:rPr>
              <w:t>U盘由采购代理机构封存，不予退回。未提供视频或视频无法打开的，得0分。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三、商务部分（1</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3"/>
        <w:gridCol w:w="1202"/>
        <w:gridCol w:w="5776"/>
        <w:gridCol w:w="8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序号</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评审因素</w:t>
            </w:r>
          </w:p>
        </w:tc>
        <w:tc>
          <w:tcPr>
            <w:tcW w:w="3389"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评分标准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1</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bCs/>
                <w:color w:val="auto"/>
                <w:sz w:val="24"/>
                <w:szCs w:val="22"/>
                <w:highlight w:val="none"/>
              </w:rPr>
            </w:pPr>
            <w:r>
              <w:rPr>
                <w:rFonts w:hint="eastAsia" w:ascii="仿宋" w:hAnsi="仿宋" w:eastAsia="仿宋" w:cs="仿宋"/>
                <w:color w:val="auto"/>
                <w:sz w:val="24"/>
                <w:highlight w:val="none"/>
              </w:rPr>
              <w:t>符合性评审</w:t>
            </w:r>
          </w:p>
        </w:tc>
        <w:tc>
          <w:tcPr>
            <w:tcW w:w="3887" w:type="pct"/>
            <w:gridSpan w:val="2"/>
            <w:vAlign w:val="center"/>
          </w:tcPr>
          <w:p>
            <w:pPr>
              <w:pageBreakBefore w:val="0"/>
              <w:kinsoku/>
              <w:wordWrap/>
              <w:overflowPunct/>
              <w:topLinePunct w:val="0"/>
              <w:autoSpaceDE/>
              <w:autoSpaceDN/>
              <w:bidi w:val="0"/>
              <w:adjustRightInd/>
              <w:snapToGrid/>
              <w:spacing w:line="460" w:lineRule="exact"/>
              <w:rPr>
                <w:rFonts w:eastAsia="仿宋" w:cs="Times New Roman"/>
                <w:color w:val="auto"/>
                <w:sz w:val="24"/>
                <w:szCs w:val="22"/>
                <w:highlight w:val="none"/>
              </w:rPr>
            </w:pPr>
            <w:r>
              <w:rPr>
                <w:rFonts w:hint="eastAsia" w:eastAsia="仿宋" w:cs="Times New Roman"/>
                <w:color w:val="auto"/>
                <w:sz w:val="24"/>
                <w:szCs w:val="22"/>
                <w:highlight w:val="none"/>
              </w:rPr>
              <w:t>投标人必须完全满足招标文件“商务要求”</w:t>
            </w:r>
            <w:r>
              <w:rPr>
                <w:rFonts w:hint="eastAsia" w:eastAsia="仿宋" w:cs="Times New Roman"/>
                <w:color w:val="auto"/>
                <w:sz w:val="24"/>
                <w:szCs w:val="22"/>
                <w:highlight w:val="none"/>
                <w:lang w:val="en-US" w:eastAsia="zh-CN"/>
              </w:rPr>
              <w:t>所有</w:t>
            </w:r>
            <w:r>
              <w:rPr>
                <w:rFonts w:hint="eastAsia" w:eastAsia="仿宋" w:cs="Times New Roman"/>
                <w:color w:val="auto"/>
                <w:sz w:val="24"/>
                <w:szCs w:val="22"/>
                <w:highlight w:val="none"/>
              </w:rPr>
              <w:t>实质性条款，任意一项不满足作无效投标处理。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eastAsia="仿宋" w:cs="Times New Roman"/>
                <w:b/>
                <w:bCs/>
                <w:color w:val="auto"/>
                <w:sz w:val="24"/>
                <w:szCs w:val="22"/>
                <w:highlight w:val="none"/>
              </w:rPr>
              <w:t>评审依据：投标文件中提供的商务条款响应表。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2</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hint="eastAsia" w:eastAsia="仿宋"/>
                <w:color w:val="auto"/>
                <w:sz w:val="24"/>
                <w:szCs w:val="22"/>
                <w:highlight w:val="none"/>
                <w:lang w:eastAsia="zh-CN"/>
              </w:rPr>
            </w:pPr>
            <w:r>
              <w:rPr>
                <w:rFonts w:hint="eastAsia" w:eastAsia="仿宋"/>
                <w:color w:val="auto"/>
                <w:sz w:val="24"/>
                <w:szCs w:val="22"/>
                <w:highlight w:val="none"/>
                <w:lang w:eastAsia="zh-CN"/>
              </w:rPr>
              <w:t>生产制造履约能力</w:t>
            </w:r>
          </w:p>
        </w:tc>
        <w:tc>
          <w:tcPr>
            <w:tcW w:w="3389" w:type="pct"/>
            <w:vAlign w:val="center"/>
          </w:tcPr>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val="en-US" w:eastAsia="zh-CN"/>
              </w:rPr>
              <w:t>投标人提供所投</w:t>
            </w:r>
            <w:r>
              <w:rPr>
                <w:rFonts w:hint="eastAsia" w:ascii="仿宋" w:hAnsi="仿宋" w:eastAsia="仿宋" w:cs="仿宋"/>
                <w:color w:val="auto"/>
                <w:sz w:val="24"/>
                <w:highlight w:val="none"/>
                <w:lang w:val="en-US" w:eastAsia="zh-CN"/>
              </w:rPr>
              <w:t>核心</w:t>
            </w:r>
            <w:r>
              <w:rPr>
                <w:rFonts w:hint="eastAsia" w:ascii="仿宋" w:hAnsi="仿宋" w:eastAsia="仿宋" w:cs="仿宋"/>
                <w:color w:val="auto"/>
                <w:sz w:val="24"/>
                <w:highlight w:val="none"/>
              </w:rPr>
              <w:t>产品</w:t>
            </w:r>
            <w:r>
              <w:rPr>
                <w:rFonts w:hint="eastAsia" w:eastAsia="仿宋" w:cs="Times New Roman"/>
                <w:color w:val="auto"/>
                <w:sz w:val="24"/>
                <w:szCs w:val="22"/>
                <w:highlight w:val="none"/>
                <w:lang w:val="en-US" w:eastAsia="zh-CN"/>
              </w:rPr>
              <w:t>制造商的证明材料（应加盖制造商公章）</w:t>
            </w:r>
            <w:r>
              <w:rPr>
                <w:rFonts w:hint="eastAsia" w:eastAsia="仿宋" w:cs="Times New Roman"/>
                <w:color w:val="auto"/>
                <w:sz w:val="24"/>
                <w:szCs w:val="22"/>
                <w:highlight w:val="none"/>
              </w:rPr>
              <w:t>对</w:t>
            </w:r>
            <w:r>
              <w:rPr>
                <w:rFonts w:hint="eastAsia" w:eastAsia="仿宋" w:cs="Times New Roman"/>
                <w:color w:val="auto"/>
                <w:sz w:val="24"/>
                <w:szCs w:val="22"/>
                <w:highlight w:val="none"/>
                <w:lang w:eastAsia="zh-CN"/>
              </w:rPr>
              <w:t>生产制造履约能力</w:t>
            </w:r>
            <w:r>
              <w:rPr>
                <w:rFonts w:hint="eastAsia" w:eastAsia="仿宋" w:cs="Times New Roman"/>
                <w:color w:val="auto"/>
                <w:sz w:val="24"/>
                <w:szCs w:val="22"/>
                <w:highlight w:val="none"/>
              </w:rPr>
              <w:t>进行评审，包含但不限于</w:t>
            </w:r>
            <w:r>
              <w:rPr>
                <w:rFonts w:hint="eastAsia" w:eastAsia="仿宋" w:cs="Times New Roman"/>
                <w:color w:val="auto"/>
                <w:sz w:val="24"/>
                <w:szCs w:val="22"/>
                <w:highlight w:val="none"/>
                <w:lang w:eastAsia="zh-CN"/>
              </w:rPr>
              <w:t>：</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eastAsia="zh-CN"/>
              </w:rPr>
              <w:t>①制造商生产经营情况简介；</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②</w:t>
            </w:r>
            <w:r>
              <w:rPr>
                <w:rFonts w:hint="eastAsia" w:eastAsia="仿宋" w:cs="Times New Roman"/>
                <w:color w:val="auto"/>
                <w:sz w:val="24"/>
                <w:szCs w:val="22"/>
                <w:highlight w:val="none"/>
                <w:lang w:eastAsia="zh-CN"/>
              </w:rPr>
              <w:t>生产工艺流程，主要包括生产制造流程图、生产步骤（应含生产车间环境及实际生产照片）等相关情况描述；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③产品检验流程，包括主要检验设备</w:t>
            </w:r>
            <w:r>
              <w:rPr>
                <w:rFonts w:hint="eastAsia" w:eastAsia="仿宋" w:cs="Times New Roman"/>
                <w:color w:val="auto"/>
                <w:sz w:val="24"/>
                <w:szCs w:val="22"/>
                <w:highlight w:val="none"/>
                <w:lang w:eastAsia="zh-CN"/>
              </w:rPr>
              <w:t>（应提供图片）</w:t>
            </w:r>
            <w:r>
              <w:rPr>
                <w:rFonts w:hint="eastAsia" w:eastAsia="仿宋" w:cs="Times New Roman"/>
                <w:color w:val="auto"/>
                <w:sz w:val="24"/>
                <w:szCs w:val="22"/>
                <w:highlight w:val="none"/>
              </w:rPr>
              <w:t>、检验步骤等相关情况描述；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④人员配备：相关专业技术</w:t>
            </w:r>
            <w:r>
              <w:rPr>
                <w:rFonts w:hint="eastAsia" w:eastAsia="仿宋" w:cs="Times New Roman"/>
                <w:color w:val="auto"/>
                <w:sz w:val="24"/>
                <w:szCs w:val="22"/>
                <w:highlight w:val="none"/>
                <w:lang w:eastAsia="zh-CN"/>
              </w:rPr>
              <w:t>职称</w:t>
            </w:r>
            <w:r>
              <w:rPr>
                <w:rFonts w:hint="eastAsia" w:eastAsia="仿宋" w:cs="Times New Roman"/>
                <w:color w:val="auto"/>
                <w:sz w:val="24"/>
                <w:szCs w:val="22"/>
                <w:highlight w:val="none"/>
              </w:rPr>
              <w:t>人员配置情况</w:t>
            </w:r>
            <w:r>
              <w:rPr>
                <w:rFonts w:hint="eastAsia" w:eastAsia="仿宋" w:cs="Times New Roman"/>
                <w:color w:val="auto"/>
                <w:sz w:val="24"/>
                <w:szCs w:val="22"/>
                <w:highlight w:val="none"/>
                <w:lang w:eastAsia="zh-CN"/>
              </w:rPr>
              <w:t>；</w:t>
            </w:r>
            <w:r>
              <w:rPr>
                <w:rFonts w:hint="eastAsia" w:eastAsia="仿宋" w:cs="Times New Roman"/>
                <w:color w:val="auto"/>
                <w:sz w:val="24"/>
                <w:szCs w:val="22"/>
                <w:highlight w:val="none"/>
              </w:rPr>
              <w:t>各原材料采购、生产、检验、仓储、运输等环节的人员配备情况；</w:t>
            </w:r>
          </w:p>
          <w:p>
            <w:pPr>
              <w:pageBreakBefore w:val="0"/>
              <w:kinsoku/>
              <w:wordWrap/>
              <w:overflowPunct/>
              <w:topLinePunct w:val="0"/>
              <w:autoSpaceDE/>
              <w:autoSpaceDN/>
              <w:bidi w:val="0"/>
              <w:adjustRightInd/>
              <w:snapToGrid/>
              <w:spacing w:line="460" w:lineRule="exact"/>
              <w:rPr>
                <w:rFonts w:hint="eastAsia" w:eastAsia="仿宋" w:cs="Times New Roman"/>
                <w:b/>
                <w:bCs/>
                <w:color w:val="auto"/>
                <w:sz w:val="24"/>
                <w:szCs w:val="22"/>
                <w:highlight w:val="none"/>
              </w:rPr>
            </w:pPr>
            <w:r>
              <w:rPr>
                <w:rFonts w:hint="eastAsia" w:eastAsia="仿宋" w:cs="Times New Roman"/>
                <w:b/>
                <w:bCs/>
                <w:color w:val="auto"/>
                <w:sz w:val="24"/>
                <w:szCs w:val="22"/>
                <w:highlight w:val="none"/>
              </w:rPr>
              <w:t>评审依据：</w:t>
            </w:r>
            <w:r>
              <w:rPr>
                <w:rFonts w:hint="eastAsia" w:eastAsia="仿宋" w:cs="Times New Roman"/>
                <w:b/>
                <w:bCs/>
                <w:color w:val="auto"/>
                <w:sz w:val="24"/>
                <w:szCs w:val="22"/>
                <w:highlight w:val="none"/>
                <w:lang w:val="en-US" w:eastAsia="zh-CN"/>
              </w:rPr>
              <w:t>根据</w:t>
            </w:r>
            <w:r>
              <w:rPr>
                <w:rFonts w:hint="eastAsia" w:eastAsia="仿宋" w:cs="Times New Roman"/>
                <w:b/>
                <w:bCs/>
                <w:color w:val="auto"/>
                <w:sz w:val="24"/>
                <w:szCs w:val="22"/>
                <w:highlight w:val="none"/>
              </w:rPr>
              <w:t>投标人提</w:t>
            </w:r>
            <w:r>
              <w:rPr>
                <w:rFonts w:hint="eastAsia" w:eastAsia="仿宋" w:cs="Times New Roman"/>
                <w:b/>
                <w:bCs/>
                <w:color w:val="auto"/>
                <w:sz w:val="24"/>
                <w:szCs w:val="22"/>
                <w:highlight w:val="none"/>
                <w:lang w:val="en-US" w:eastAsia="zh-CN"/>
              </w:rPr>
              <w:t>供的生产制造履约能力方案内容完整性、组织性、关联性和可操作性进行评审</w:t>
            </w:r>
            <w:r>
              <w:rPr>
                <w:rFonts w:hint="eastAsia" w:eastAsia="仿宋" w:cs="Times New Roman"/>
                <w:b/>
                <w:bCs/>
                <w:color w:val="auto"/>
                <w:sz w:val="24"/>
                <w:szCs w:val="22"/>
                <w:highlight w:val="none"/>
              </w:rPr>
              <w:t>。</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1、所投核心产品制造商具备较强自主研发能力及先进的生产工艺，生产车间环境及生产线先进规范，生产步骤完整周详，技术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检验设备配置齐全、检验步骤严密无纰漏，生产制造履约能力</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分；</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2、所投核心产品制造商有自主研发能力和生产工艺较完整，生产车间环境及生产线常规，生产步骤较完整周详，技术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eastAsia="zh-CN"/>
              </w:rPr>
              <w:t>相对</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检验设备配置较齐全、检验步骤相对完备，生产制造履约能力</w:t>
            </w:r>
            <w:r>
              <w:rPr>
                <w:rFonts w:hint="eastAsia" w:ascii="仿宋" w:hAnsi="仿宋" w:eastAsia="仿宋" w:cs="仿宋"/>
                <w:b/>
                <w:bCs/>
                <w:color w:val="auto"/>
                <w:sz w:val="24"/>
                <w:szCs w:val="24"/>
                <w:highlight w:val="none"/>
                <w:lang w:eastAsia="zh-CN"/>
              </w:rPr>
              <w:t>较</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3、所投核心产品制造商有自主研发能力和生产工艺薄弱，生产车间环境及生产线粗糙落后，生产步骤简单，技术</w:t>
            </w:r>
            <w:r>
              <w:rPr>
                <w:rFonts w:hint="eastAsia" w:ascii="仿宋" w:hAnsi="仿宋" w:eastAsia="仿宋" w:cs="仿宋"/>
                <w:b/>
                <w:bCs/>
                <w:color w:val="auto"/>
                <w:sz w:val="24"/>
                <w:szCs w:val="24"/>
                <w:highlight w:val="none"/>
              </w:rPr>
              <w:t>人员</w:t>
            </w:r>
            <w:r>
              <w:rPr>
                <w:rFonts w:hint="eastAsia" w:ascii="仿宋" w:hAnsi="仿宋" w:eastAsia="仿宋" w:cs="仿宋"/>
                <w:b/>
                <w:bCs/>
                <w:color w:val="auto"/>
                <w:sz w:val="24"/>
                <w:szCs w:val="24"/>
                <w:highlight w:val="none"/>
                <w:lang w:eastAsia="zh-CN"/>
              </w:rPr>
              <w:t>综合实力一般，</w:t>
            </w:r>
            <w:r>
              <w:rPr>
                <w:rFonts w:hint="eastAsia" w:ascii="仿宋" w:hAnsi="仿宋" w:eastAsia="仿宋" w:cs="仿宋"/>
                <w:b/>
                <w:bCs/>
                <w:color w:val="auto"/>
                <w:sz w:val="24"/>
                <w:szCs w:val="24"/>
                <w:highlight w:val="none"/>
                <w:lang w:val="en-US" w:eastAsia="zh-CN"/>
              </w:rPr>
              <w:t>检验设备配置简单落后，检验步骤普通，生产制造履约能力</w:t>
            </w:r>
            <w:r>
              <w:rPr>
                <w:rFonts w:hint="eastAsia" w:ascii="仿宋" w:hAnsi="仿宋" w:eastAsia="仿宋" w:cs="仿宋"/>
                <w:b/>
                <w:bCs/>
                <w:color w:val="auto"/>
                <w:sz w:val="24"/>
                <w:szCs w:val="24"/>
                <w:highlight w:val="none"/>
                <w:lang w:eastAsia="zh-CN"/>
              </w:rPr>
              <w:t>弱</w:t>
            </w:r>
            <w:r>
              <w:rPr>
                <w:rFonts w:hint="eastAsia" w:ascii="仿宋" w:hAnsi="仿宋" w:eastAsia="仿宋" w:cs="仿宋"/>
                <w:b/>
                <w:bCs/>
                <w:color w:val="auto"/>
                <w:sz w:val="24"/>
                <w:szCs w:val="24"/>
                <w:highlight w:val="none"/>
              </w:rPr>
              <w:t>的得</w:t>
            </w: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未提供证明材料或证明材料有缺项的不得分。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3</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质量保证和保修</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eastAsia="仿宋"/>
                <w:color w:val="auto"/>
                <w:sz w:val="24"/>
                <w:szCs w:val="22"/>
                <w:highlight w:val="none"/>
              </w:rPr>
            </w:pPr>
            <w:r>
              <w:rPr>
                <w:rFonts w:eastAsia="仿宋"/>
                <w:color w:val="auto"/>
                <w:sz w:val="24"/>
                <w:szCs w:val="22"/>
                <w:highlight w:val="none"/>
              </w:rPr>
              <w:t>在招标文件商务要求中“质保期”和“保修期”要求基础上，承诺“质保期”和“保修期”均每延长一年的加2分，最多加4分。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eastAsia="仿宋"/>
                <w:b/>
                <w:color w:val="auto"/>
                <w:sz w:val="24"/>
                <w:szCs w:val="22"/>
                <w:highlight w:val="none"/>
              </w:rPr>
              <w:t>评审依据：投标文件中提供“质保期”和“保修期”均延长的承诺函原件。</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类似销售</w:t>
            </w:r>
          </w:p>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案例</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投标人自</w:t>
            </w:r>
            <w:r>
              <w:rPr>
                <w:rFonts w:eastAsia="仿宋" w:cs="Times New Roman"/>
                <w:color w:val="auto"/>
                <w:sz w:val="24"/>
                <w:szCs w:val="22"/>
                <w:highlight w:val="none"/>
              </w:rPr>
              <w:t>20</w:t>
            </w:r>
            <w:r>
              <w:rPr>
                <w:rFonts w:hint="eastAsia" w:eastAsia="仿宋" w:cs="Times New Roman"/>
                <w:color w:val="auto"/>
                <w:sz w:val="24"/>
                <w:szCs w:val="22"/>
                <w:highlight w:val="none"/>
              </w:rPr>
              <w:t>2</w:t>
            </w:r>
            <w:r>
              <w:rPr>
                <w:rFonts w:hint="eastAsia" w:eastAsia="仿宋" w:cs="Times New Roman"/>
                <w:color w:val="auto"/>
                <w:sz w:val="24"/>
                <w:szCs w:val="22"/>
                <w:highlight w:val="none"/>
                <w:lang w:val="en-US" w:eastAsia="zh-CN"/>
              </w:rPr>
              <w:t>1</w:t>
            </w:r>
            <w:r>
              <w:rPr>
                <w:rFonts w:hint="eastAsia" w:eastAsia="仿宋" w:cs="Times New Roman"/>
                <w:color w:val="auto"/>
                <w:sz w:val="24"/>
                <w:szCs w:val="22"/>
                <w:highlight w:val="none"/>
              </w:rPr>
              <w:t>年</w:t>
            </w:r>
            <w:r>
              <w:rPr>
                <w:rFonts w:eastAsia="仿宋" w:cs="Times New Roman"/>
                <w:color w:val="auto"/>
                <w:sz w:val="24"/>
                <w:szCs w:val="22"/>
                <w:highlight w:val="none"/>
              </w:rPr>
              <w:t>1月1日至今（以签订合同时间为准）具有类似</w:t>
            </w:r>
            <w:r>
              <w:rPr>
                <w:rFonts w:hint="eastAsia" w:ascii="仿宋" w:hAnsi="仿宋" w:eastAsia="仿宋" w:cs="仿宋"/>
                <w:color w:val="auto"/>
                <w:sz w:val="24"/>
                <w:highlight w:val="none"/>
                <w:lang w:val="en-US" w:eastAsia="zh-CN"/>
              </w:rPr>
              <w:t>核心</w:t>
            </w:r>
            <w:r>
              <w:rPr>
                <w:rFonts w:hint="eastAsia" w:ascii="仿宋" w:hAnsi="仿宋" w:eastAsia="仿宋" w:cs="仿宋"/>
                <w:color w:val="auto"/>
                <w:sz w:val="24"/>
                <w:highlight w:val="none"/>
              </w:rPr>
              <w:t>产品</w:t>
            </w:r>
            <w:r>
              <w:rPr>
                <w:rFonts w:eastAsia="仿宋" w:cs="Times New Roman"/>
                <w:color w:val="auto"/>
                <w:sz w:val="24"/>
                <w:szCs w:val="22"/>
                <w:highlight w:val="none"/>
              </w:rPr>
              <w:t>销售案例，每提供1份销售案例加</w:t>
            </w:r>
            <w:r>
              <w:rPr>
                <w:rFonts w:hint="eastAsia" w:eastAsia="仿宋" w:cs="Times New Roman"/>
                <w:color w:val="auto"/>
                <w:sz w:val="24"/>
                <w:szCs w:val="22"/>
                <w:highlight w:val="none"/>
                <w:lang w:val="en-US" w:eastAsia="zh-CN"/>
              </w:rPr>
              <w:t>2</w:t>
            </w:r>
            <w:r>
              <w:rPr>
                <w:rFonts w:hint="eastAsia" w:eastAsia="仿宋" w:cs="Times New Roman"/>
                <w:color w:val="auto"/>
                <w:sz w:val="24"/>
                <w:szCs w:val="22"/>
                <w:highlight w:val="none"/>
              </w:rPr>
              <w:t>分，本项最多加</w:t>
            </w:r>
            <w:r>
              <w:rPr>
                <w:rFonts w:hint="eastAsia" w:eastAsia="仿宋" w:cs="Times New Roman"/>
                <w:color w:val="auto"/>
                <w:sz w:val="24"/>
                <w:szCs w:val="22"/>
                <w:highlight w:val="none"/>
                <w:lang w:val="en-US" w:eastAsia="zh-CN"/>
              </w:rPr>
              <w:t>6</w:t>
            </w:r>
            <w:r>
              <w:rPr>
                <w:rFonts w:hint="eastAsia" w:eastAsia="仿宋" w:cs="Times New Roman"/>
                <w:color w:val="auto"/>
                <w:sz w:val="24"/>
                <w:szCs w:val="22"/>
                <w:highlight w:val="none"/>
              </w:rPr>
              <w:t>分。</w:t>
            </w:r>
          </w:p>
          <w:p>
            <w:pPr>
              <w:pageBreakBefore w:val="0"/>
              <w:kinsoku/>
              <w:wordWrap/>
              <w:overflowPunct/>
              <w:topLinePunct w:val="0"/>
              <w:autoSpaceDE/>
              <w:autoSpaceDN/>
              <w:bidi w:val="0"/>
              <w:adjustRightInd/>
              <w:snapToGrid/>
              <w:spacing w:line="460" w:lineRule="exact"/>
              <w:jc w:val="left"/>
              <w:rPr>
                <w:rFonts w:eastAsia="仿宋"/>
                <w:b/>
                <w:bCs/>
                <w:color w:val="auto"/>
                <w:sz w:val="24"/>
                <w:szCs w:val="22"/>
                <w:highlight w:val="none"/>
              </w:rPr>
            </w:pPr>
            <w:r>
              <w:rPr>
                <w:rFonts w:hint="eastAsia" w:eastAsia="仿宋" w:cs="Times New Roman"/>
                <w:b/>
                <w:bCs/>
                <w:color w:val="auto"/>
                <w:sz w:val="24"/>
                <w:szCs w:val="22"/>
                <w:highlight w:val="none"/>
              </w:rPr>
              <w:t>评审依据：①投标文件中提供销售案例明细表（销售案例明细表包含</w:t>
            </w:r>
            <w:r>
              <w:rPr>
                <w:rFonts w:eastAsia="仿宋" w:cs="Times New Roman"/>
                <w:b/>
                <w:bCs/>
                <w:color w:val="auto"/>
                <w:sz w:val="24"/>
                <w:szCs w:val="22"/>
                <w:highlight w:val="none"/>
              </w:rPr>
              <w:t>:发布网站名称、网页链接地址、采购项目名称、采购单位名称和联系方式、采购代理机构名称和联系方式）；</w:t>
            </w:r>
            <w:r>
              <w:rPr>
                <w:rFonts w:hint="eastAsia" w:eastAsia="仿宋" w:cs="Times New Roman"/>
                <w:b/>
                <w:bCs/>
                <w:color w:val="auto"/>
                <w:sz w:val="24"/>
                <w:szCs w:val="22"/>
                <w:highlight w:val="none"/>
              </w:rPr>
              <w:t>②</w:t>
            </w:r>
            <w:r>
              <w:rPr>
                <w:rFonts w:hint="eastAsia" w:eastAsia="仿宋" w:cs="Times New Roman"/>
                <w:b/>
                <w:bCs/>
                <w:color w:val="auto"/>
                <w:sz w:val="24"/>
                <w:szCs w:val="22"/>
                <w:highlight w:val="none"/>
                <w:lang w:eastAsia="zh-CN"/>
              </w:rPr>
              <w:t>中标（成交）公告截图（打印网页）、中标通知书复印件和合同复印件（中标通知书或合同复印件应体现类似销售案例的货物），合同签订方必须是投标人本身。</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hint="eastAsia" w:eastAsia="仿宋"/>
                <w:color w:val="auto"/>
                <w:sz w:val="24"/>
                <w:szCs w:val="22"/>
                <w:highlight w:val="none"/>
                <w:lang w:val="en-US" w:eastAsia="zh-CN"/>
              </w:rPr>
              <w:t>6</w:t>
            </w:r>
            <w:r>
              <w:rPr>
                <w:rFonts w:eastAsia="仿宋"/>
                <w:color w:val="auto"/>
                <w:sz w:val="24"/>
                <w:szCs w:val="22"/>
                <w:highlight w:val="none"/>
              </w:rPr>
              <w:t>分</w:t>
            </w:r>
          </w:p>
        </w:tc>
      </w:tr>
    </w:tbl>
    <w:p>
      <w:pPr>
        <w:pageBreakBefore w:val="0"/>
        <w:kinsoku/>
        <w:wordWrap/>
        <w:overflowPunct/>
        <w:topLinePunct w:val="0"/>
        <w:autoSpaceDE/>
        <w:autoSpaceDN/>
        <w:bidi w:val="0"/>
        <w:adjustRightInd/>
        <w:snapToGrid/>
        <w:spacing w:line="460" w:lineRule="exact"/>
        <w:rPr>
          <w:color w:val="auto"/>
        </w:rPr>
      </w:pPr>
      <w:r>
        <w:rPr>
          <w:color w:val="auto"/>
        </w:rPr>
        <w:br w:type="page"/>
      </w:r>
    </w:p>
    <w:p>
      <w:pPr>
        <w:keepNext w:val="0"/>
        <w:keepLines w:val="0"/>
        <w:pageBreakBefore w:val="0"/>
        <w:widowControl w:val="0"/>
        <w:kinsoku/>
        <w:wordWrap/>
        <w:overflowPunct/>
        <w:topLinePunct w:val="0"/>
        <w:autoSpaceDE/>
        <w:autoSpaceDN/>
        <w:bidi w:val="0"/>
        <w:adjustRightInd/>
        <w:snapToGrid/>
        <w:spacing w:line="460" w:lineRule="exact"/>
        <w:jc w:val="left"/>
        <w:textAlignment w:val="auto"/>
        <w:outlineLvl w:val="1"/>
        <w:rPr>
          <w:rFonts w:hint="eastAsia" w:ascii="仿宋" w:hAnsi="仿宋" w:eastAsia="仿宋" w:cs="Times New Roman"/>
          <w:b/>
          <w:bCs/>
          <w:color w:val="auto"/>
          <w:sz w:val="28"/>
          <w:szCs w:val="28"/>
          <w:highlight w:val="none"/>
          <w:lang w:eastAsia="zh-CN"/>
        </w:rPr>
      </w:pPr>
      <w:bookmarkStart w:id="793" w:name="_Toc25591"/>
      <w:bookmarkStart w:id="794" w:name="_Toc19280"/>
      <w:r>
        <w:rPr>
          <w:rFonts w:hint="eastAsia" w:ascii="仿宋" w:hAnsi="仿宋" w:eastAsia="仿宋" w:cs="Times New Roman"/>
          <w:b/>
          <w:bCs/>
          <w:color w:val="auto"/>
          <w:sz w:val="28"/>
          <w:szCs w:val="28"/>
          <w:highlight w:val="none"/>
          <w:lang w:val="en-US" w:eastAsia="zh-CN"/>
        </w:rPr>
        <w:t>107包</w:t>
      </w:r>
      <w:r>
        <w:rPr>
          <w:rFonts w:hint="eastAsia" w:ascii="仿宋" w:hAnsi="仿宋" w:eastAsia="仿宋" w:cs="Times New Roman"/>
          <w:b/>
          <w:bCs/>
          <w:color w:val="auto"/>
          <w:sz w:val="28"/>
          <w:szCs w:val="28"/>
          <w:highlight w:val="none"/>
        </w:rPr>
        <w:t>：手持电台【核心产品】、防水定位对讲机、骨传导通话装置</w:t>
      </w:r>
      <w:bookmarkEnd w:id="793"/>
      <w:bookmarkEnd w:id="794"/>
    </w:p>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hint="eastAsia" w:ascii="仿宋" w:hAnsi="仿宋" w:eastAsia="仿宋"/>
          <w:b/>
          <w:color w:val="auto"/>
          <w:sz w:val="24"/>
          <w:highlight w:val="none"/>
        </w:rPr>
        <w:t>一、价格部分（</w:t>
      </w:r>
      <w:r>
        <w:rPr>
          <w:rFonts w:ascii="仿宋" w:hAnsi="仿宋" w:eastAsia="仿宋"/>
          <w:b/>
          <w:color w:val="auto"/>
          <w:sz w:val="24"/>
          <w:highlight w:val="none"/>
        </w:rPr>
        <w:t>30分）</w:t>
      </w:r>
    </w:p>
    <w:tbl>
      <w:tblPr>
        <w:tblStyle w:val="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1"/>
        <w:gridCol w:w="1449"/>
        <w:gridCol w:w="5672"/>
        <w:gridCol w:w="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评审因素</w:t>
            </w:r>
          </w:p>
        </w:tc>
        <w:tc>
          <w:tcPr>
            <w:tcW w:w="3327" w:type="pct"/>
            <w:vAlign w:val="center"/>
          </w:tcPr>
          <w:p>
            <w:pPr>
              <w:pageBreakBefore w:val="0"/>
              <w:kinsoku/>
              <w:wordWrap/>
              <w:overflowPunct/>
              <w:topLinePunct w:val="0"/>
              <w:autoSpaceDE/>
              <w:autoSpaceDN/>
              <w:bidi w:val="0"/>
              <w:adjustRightInd/>
              <w:snapToGrid/>
              <w:spacing w:line="460" w:lineRule="exact"/>
              <w:jc w:val="center"/>
              <w:textAlignment w:val="center"/>
              <w:rPr>
                <w:rFonts w:ascii="仿宋" w:hAnsi="仿宋" w:eastAsia="仿宋" w:cs="仿宋"/>
                <w:b/>
                <w:color w:val="auto"/>
                <w:sz w:val="24"/>
                <w:highlight w:val="none"/>
              </w:rPr>
            </w:pPr>
            <w:r>
              <w:rPr>
                <w:rFonts w:hint="eastAsia" w:ascii="仿宋" w:hAnsi="仿宋" w:eastAsia="仿宋" w:cs="仿宋"/>
                <w:b/>
                <w:bCs/>
                <w:color w:val="auto"/>
                <w:sz w:val="24"/>
                <w:highlight w:val="none"/>
              </w:rPr>
              <w:t>评分标准</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价格分</w:t>
            </w:r>
          </w:p>
        </w:tc>
        <w:tc>
          <w:tcPr>
            <w:tcW w:w="3327" w:type="pct"/>
            <w:vAlign w:val="center"/>
          </w:tcPr>
          <w:p>
            <w:pPr>
              <w:pageBreakBefore w:val="0"/>
              <w:kinsoku/>
              <w:wordWrap/>
              <w:overflowPunct/>
              <w:topLinePunct w:val="0"/>
              <w:autoSpaceDE/>
              <w:autoSpaceDN/>
              <w:bidi w:val="0"/>
              <w:adjustRightInd/>
              <w:snapToGrid/>
              <w:spacing w:line="460" w:lineRule="exact"/>
              <w:jc w:val="left"/>
              <w:textAlignment w:val="center"/>
              <w:rPr>
                <w:rFonts w:ascii="仿宋" w:hAnsi="仿宋" w:eastAsia="仿宋" w:cs="仿宋"/>
                <w:color w:val="auto"/>
                <w:sz w:val="24"/>
                <w:highlight w:val="none"/>
              </w:rPr>
            </w:pPr>
            <w:r>
              <w:rPr>
                <w:rFonts w:hint="eastAsia" w:ascii="仿宋" w:hAnsi="仿宋" w:eastAsia="仿宋" w:cs="仿宋"/>
                <w:color w:val="auto"/>
                <w:sz w:val="24"/>
                <w:highlight w:val="none"/>
              </w:rPr>
              <w:t>根据综合评分法，满足招标文件要求且投标价格最低的投标报价为评标基准价，投标报价得分</w:t>
            </w:r>
            <w:r>
              <w:rPr>
                <w:rFonts w:ascii="仿宋" w:hAnsi="仿宋" w:eastAsia="仿宋" w:cs="仿宋"/>
                <w:color w:val="auto"/>
                <w:sz w:val="24"/>
                <w:highlight w:val="none"/>
              </w:rPr>
              <w:t>=（评标基准价／投标报价）</w:t>
            </w:r>
            <w:r>
              <w:rPr>
                <w:rFonts w:hint="eastAsia" w:ascii="仿宋" w:hAnsi="仿宋" w:eastAsia="仿宋" w:cs="仿宋"/>
                <w:color w:val="auto"/>
                <w:sz w:val="24"/>
                <w:highlight w:val="none"/>
              </w:rPr>
              <w:t>×</w:t>
            </w:r>
            <w:r>
              <w:rPr>
                <w:rFonts w:ascii="仿宋" w:hAnsi="仿宋" w:eastAsia="仿宋" w:cs="仿宋"/>
                <w:color w:val="auto"/>
                <w:sz w:val="24"/>
                <w:highlight w:val="none"/>
              </w:rPr>
              <w:t>30%×100，计算分数时四舍五入取小数点后两位。</w:t>
            </w:r>
          </w:p>
          <w:p>
            <w:pPr>
              <w:pageBreakBefore w:val="0"/>
              <w:kinsoku/>
              <w:wordWrap/>
              <w:overflowPunct/>
              <w:topLinePunct w:val="0"/>
              <w:autoSpaceDE/>
              <w:autoSpaceDN/>
              <w:bidi w:val="0"/>
              <w:adjustRightInd/>
              <w:snapToGrid/>
              <w:spacing w:line="460" w:lineRule="exact"/>
              <w:ind w:firstLine="482" w:firstLineChars="200"/>
              <w:jc w:val="left"/>
              <w:textAlignment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注：</w:t>
            </w:r>
            <w:r>
              <w:rPr>
                <w:rFonts w:ascii="仿宋" w:hAnsi="仿宋" w:eastAsia="仿宋" w:cs="仿宋"/>
                <w:b/>
                <w:bCs/>
                <w:color w:val="auto"/>
                <w:sz w:val="24"/>
                <w:highlight w:val="none"/>
              </w:rPr>
              <w:t>小、微型企业或残疾人福利性单位产品或监狱产品的价格给予10%的扣除，用扣除后的价格参与评审。但残疾人福利性单位本身属于小型、微型企业的，不重复享受政策。</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30分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二、技术部分（5</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
        <w:gridCol w:w="740"/>
        <w:gridCol w:w="1460"/>
        <w:gridCol w:w="4975"/>
        <w:gridCol w:w="7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41"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1291" w:type="pct"/>
            <w:gridSpan w:val="2"/>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2919"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评分标准</w:t>
            </w:r>
          </w:p>
        </w:tc>
        <w:tc>
          <w:tcPr>
            <w:tcW w:w="447"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341"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291"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技术参数及要求</w:t>
            </w:r>
          </w:p>
        </w:tc>
        <w:tc>
          <w:tcPr>
            <w:tcW w:w="2919" w:type="pct"/>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一、重大负偏离评审依据：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1、带★条款的响应，不满足招标文件要求的，或有缺项、漏项的，视为重大负偏离；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2、一般参数和带“▲”参数共有四项及以上（含本数）的负偏离，视为重大负偏离；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3、所投产品一般参数或带“▲”参数有一项低于招标文件要求，该项视为负偏离；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4、所投产品一般参数或带“▲”参数有一项缺项、漏项的，该项视为负偏离。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注：“一般参数”为非标“★”号参数和非标“▲”号参数。</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①投标文件中提供的技术条款响应表；</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②所投产品技术参数完全满足招标文件要求得</w:t>
            </w:r>
            <w:r>
              <w:rPr>
                <w:rFonts w:hint="eastAsia" w:ascii="仿宋" w:hAnsi="仿宋" w:eastAsia="仿宋" w:cs="仿宋"/>
                <w:b/>
                <w:bCs/>
                <w:color w:val="auto"/>
                <w:sz w:val="24"/>
                <w:highlight w:val="none"/>
                <w:lang w:val="en-US" w:eastAsia="zh-CN"/>
              </w:rPr>
              <w:t>30</w:t>
            </w:r>
            <w:r>
              <w:rPr>
                <w:rFonts w:hint="eastAsia" w:ascii="仿宋" w:hAnsi="仿宋" w:eastAsia="仿宋" w:cs="仿宋"/>
                <w:b/>
                <w:bCs/>
                <w:color w:val="auto"/>
                <w:sz w:val="24"/>
                <w:highlight w:val="none"/>
              </w:rPr>
              <w:t>分；重大负偏离则视为无效投标；一般参数或带“▲”参数每有一项负偏离减5分，最多减15分，四项或以上负偏离视为无效投标。</w:t>
            </w:r>
          </w:p>
        </w:tc>
        <w:tc>
          <w:tcPr>
            <w:tcW w:w="447" w:type="pct"/>
            <w:vAlign w:val="center"/>
          </w:tcPr>
          <w:p>
            <w:pPr>
              <w:pageBreakBefore w:val="0"/>
              <w:kinsoku/>
              <w:wordWrap/>
              <w:overflowPunct/>
              <w:topLinePunct w:val="0"/>
              <w:autoSpaceDE/>
              <w:autoSpaceDN/>
              <w:bidi w:val="0"/>
              <w:adjustRightInd/>
              <w:snapToGrid/>
              <w:spacing w:line="460" w:lineRule="exact"/>
              <w:jc w:val="center"/>
              <w:textAlignment w:val="center"/>
              <w:rPr>
                <w:rFonts w:hint="default"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41"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434" w:type="pct"/>
            <w:vMerge w:val="restar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手持电台</w:t>
            </w:r>
          </w:p>
        </w:tc>
        <w:tc>
          <w:tcPr>
            <w:tcW w:w="856"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lang w:eastAsia="zh-CN"/>
              </w:rPr>
              <w:t>1</w:t>
            </w:r>
            <w:r>
              <w:rPr>
                <w:rFonts w:hint="eastAsia" w:ascii="仿宋" w:hAnsi="仿宋" w:eastAsia="仿宋" w:cs="仿宋"/>
                <w:color w:val="auto"/>
                <w:sz w:val="24"/>
                <w:highlight w:val="none"/>
                <w:lang w:val="en-US" w:eastAsia="zh-CN"/>
              </w:rPr>
              <w:t>.电池容量：≥2400mAH</w:t>
            </w:r>
          </w:p>
        </w:tc>
        <w:tc>
          <w:tcPr>
            <w:tcW w:w="2919"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仿宋"/>
                <w:color w:val="auto"/>
                <w:sz w:val="24"/>
                <w:highlight w:val="none"/>
                <w:lang w:val="en-US" w:eastAsia="zh-CN"/>
              </w:rPr>
              <w:t>手持电台的</w:t>
            </w:r>
            <w:r>
              <w:rPr>
                <w:rFonts w:hint="eastAsia" w:ascii="仿宋" w:hAnsi="仿宋" w:eastAsia="仿宋" w:cs="仿宋"/>
                <w:b w:val="0"/>
                <w:bCs w:val="0"/>
                <w:color w:val="auto"/>
                <w:kern w:val="2"/>
                <w:sz w:val="24"/>
                <w:szCs w:val="24"/>
                <w:highlight w:val="none"/>
                <w:lang w:val="en-US" w:eastAsia="zh-CN" w:bidi="ar-SA"/>
              </w:rPr>
              <w:t>电池容量</w:t>
            </w:r>
            <w:r>
              <w:rPr>
                <w:rFonts w:hint="eastAsia" w:ascii="仿宋" w:hAnsi="仿宋" w:eastAsia="仿宋" w:cs="仿宋"/>
                <w:color w:val="auto"/>
                <w:sz w:val="24"/>
                <w:szCs w:val="24"/>
                <w:highlight w:val="none"/>
              </w:rPr>
              <w:t>优于招标文件要求的，</w:t>
            </w:r>
            <w:r>
              <w:rPr>
                <w:rFonts w:hint="eastAsia" w:ascii="仿宋" w:hAnsi="仿宋" w:eastAsia="仿宋" w:cs="仿宋"/>
                <w:b w:val="0"/>
                <w:bCs w:val="0"/>
                <w:color w:val="auto"/>
                <w:kern w:val="2"/>
                <w:sz w:val="24"/>
                <w:szCs w:val="24"/>
                <w:highlight w:val="none"/>
                <w:lang w:val="en-US" w:eastAsia="zh-CN" w:bidi="ar-SA"/>
              </w:rPr>
              <w:t>电池容量</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b w:val="0"/>
                <w:bCs w:val="0"/>
                <w:color w:val="auto"/>
                <w:kern w:val="2"/>
                <w:sz w:val="24"/>
                <w:szCs w:val="24"/>
                <w:highlight w:val="none"/>
                <w:lang w:val="en-US" w:eastAsia="zh-CN" w:bidi="ar-SA"/>
              </w:rPr>
              <w:t>电池容量</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szCs w:val="24"/>
                <w:highlight w:val="none"/>
              </w:rPr>
              <w:t>注：最优表示手持电台</w:t>
            </w:r>
            <w:r>
              <w:rPr>
                <w:rFonts w:hint="eastAsia" w:ascii="仿宋" w:hAnsi="仿宋" w:eastAsia="仿宋" w:cs="仿宋"/>
                <w:b/>
                <w:bCs/>
                <w:color w:val="auto"/>
                <w:sz w:val="24"/>
                <w:szCs w:val="24"/>
                <w:highlight w:val="none"/>
                <w:lang w:eastAsia="zh-CN"/>
              </w:rPr>
              <w:t>的</w:t>
            </w:r>
            <w:r>
              <w:rPr>
                <w:rFonts w:hint="eastAsia" w:ascii="仿宋" w:hAnsi="仿宋" w:eastAsia="仿宋" w:cs="仿宋"/>
                <w:b/>
                <w:bCs/>
                <w:color w:val="auto"/>
                <w:sz w:val="24"/>
                <w:szCs w:val="24"/>
                <w:highlight w:val="none"/>
                <w:lang w:val="en-US" w:eastAsia="zh-CN"/>
              </w:rPr>
              <w:t>电池容量</w:t>
            </w:r>
            <w:r>
              <w:rPr>
                <w:rFonts w:hint="eastAsia" w:ascii="仿宋" w:hAnsi="仿宋" w:eastAsia="仿宋" w:cs="仿宋"/>
                <w:b/>
                <w:bCs/>
                <w:color w:val="auto"/>
                <w:sz w:val="24"/>
                <w:szCs w:val="24"/>
                <w:highlight w:val="none"/>
              </w:rPr>
              <w:t>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，次优表示手持电台</w:t>
            </w:r>
            <w:r>
              <w:rPr>
                <w:rFonts w:hint="eastAsia" w:ascii="仿宋" w:hAnsi="仿宋" w:eastAsia="仿宋" w:cs="仿宋"/>
                <w:b/>
                <w:bCs/>
                <w:color w:val="auto"/>
                <w:sz w:val="24"/>
                <w:szCs w:val="24"/>
                <w:highlight w:val="none"/>
                <w:lang w:eastAsia="zh-CN"/>
              </w:rPr>
              <w:t>的</w:t>
            </w:r>
            <w:r>
              <w:rPr>
                <w:rFonts w:hint="eastAsia" w:ascii="仿宋" w:hAnsi="仿宋" w:eastAsia="仿宋" w:cs="仿宋"/>
                <w:b/>
                <w:bCs/>
                <w:color w:val="auto"/>
                <w:sz w:val="24"/>
                <w:szCs w:val="24"/>
                <w:highlight w:val="none"/>
                <w:lang w:val="en-US" w:eastAsia="zh-CN"/>
              </w:rPr>
              <w:t>电池容量</w:t>
            </w:r>
            <w:r>
              <w:rPr>
                <w:rFonts w:hint="eastAsia" w:ascii="仿宋" w:hAnsi="仿宋" w:eastAsia="仿宋" w:cs="仿宋"/>
                <w:b/>
                <w:bCs/>
                <w:color w:val="auto"/>
                <w:sz w:val="24"/>
                <w:szCs w:val="24"/>
                <w:highlight w:val="none"/>
              </w:rPr>
              <w:t>仅次于最大值。</w:t>
            </w:r>
          </w:p>
        </w:tc>
        <w:tc>
          <w:tcPr>
            <w:tcW w:w="447"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41"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434" w:type="pct"/>
            <w:vMerge w:val="continue"/>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p>
        </w:tc>
        <w:tc>
          <w:tcPr>
            <w:tcW w:w="856"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▲13.外观显示：具有大屏显示，屏幕尺寸≥2.0英寸</w:t>
            </w:r>
          </w:p>
        </w:tc>
        <w:tc>
          <w:tcPr>
            <w:tcW w:w="2919"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仿宋"/>
                <w:color w:val="auto"/>
                <w:sz w:val="24"/>
                <w:highlight w:val="none"/>
                <w:lang w:val="en-US" w:eastAsia="zh-CN"/>
              </w:rPr>
              <w:t>手持电台</w:t>
            </w:r>
            <w:r>
              <w:rPr>
                <w:rFonts w:hint="eastAsia" w:ascii="仿宋" w:hAnsi="仿宋" w:eastAsia="仿宋" w:cs="仿宋"/>
                <w:b w:val="0"/>
                <w:bCs w:val="0"/>
                <w:color w:val="auto"/>
                <w:kern w:val="2"/>
                <w:sz w:val="24"/>
                <w:szCs w:val="24"/>
                <w:highlight w:val="none"/>
                <w:lang w:val="en-US" w:eastAsia="zh-CN" w:bidi="ar-SA"/>
              </w:rPr>
              <w:t>屏幕尺寸</w:t>
            </w:r>
            <w:r>
              <w:rPr>
                <w:rFonts w:hint="eastAsia" w:ascii="仿宋" w:hAnsi="仿宋" w:eastAsia="仿宋" w:cs="仿宋"/>
                <w:color w:val="auto"/>
                <w:sz w:val="24"/>
                <w:szCs w:val="24"/>
                <w:highlight w:val="none"/>
              </w:rPr>
              <w:t>优于招标文件要求的，</w:t>
            </w:r>
            <w:r>
              <w:rPr>
                <w:rFonts w:hint="eastAsia" w:ascii="仿宋" w:hAnsi="仿宋" w:eastAsia="仿宋" w:cs="仿宋"/>
                <w:b w:val="0"/>
                <w:bCs w:val="0"/>
                <w:color w:val="auto"/>
                <w:kern w:val="2"/>
                <w:sz w:val="24"/>
                <w:szCs w:val="24"/>
                <w:highlight w:val="none"/>
                <w:lang w:val="en-US" w:eastAsia="zh-CN" w:bidi="ar-SA"/>
              </w:rPr>
              <w:t>屏幕尺寸</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b w:val="0"/>
                <w:bCs w:val="0"/>
                <w:color w:val="auto"/>
                <w:kern w:val="2"/>
                <w:sz w:val="24"/>
                <w:szCs w:val="24"/>
                <w:highlight w:val="none"/>
                <w:lang w:val="en-US" w:eastAsia="zh-CN" w:bidi="ar-SA"/>
              </w:rPr>
              <w:t>屏幕尺寸</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kern w:val="2"/>
                <w:sz w:val="24"/>
                <w:highlight w:val="none"/>
                <w:lang w:val="en-US" w:eastAsia="zh-CN" w:bidi="ar-SA"/>
              </w:rPr>
            </w:pPr>
            <w:r>
              <w:rPr>
                <w:rFonts w:hint="eastAsia" w:ascii="仿宋" w:hAnsi="仿宋" w:eastAsia="仿宋" w:cs="仿宋"/>
                <w:b/>
                <w:bCs/>
                <w:color w:val="auto"/>
                <w:sz w:val="24"/>
                <w:szCs w:val="24"/>
                <w:highlight w:val="none"/>
              </w:rPr>
              <w:t>注：最优表示手持电台</w:t>
            </w:r>
            <w:r>
              <w:rPr>
                <w:rFonts w:hint="eastAsia" w:ascii="仿宋" w:hAnsi="仿宋" w:eastAsia="仿宋" w:cs="仿宋"/>
                <w:b/>
                <w:bCs/>
                <w:color w:val="auto"/>
                <w:sz w:val="24"/>
                <w:szCs w:val="24"/>
                <w:highlight w:val="none"/>
                <w:lang w:eastAsia="zh-CN"/>
              </w:rPr>
              <w:t>的</w:t>
            </w:r>
            <w:r>
              <w:rPr>
                <w:rFonts w:hint="eastAsia" w:ascii="仿宋" w:hAnsi="仿宋" w:eastAsia="仿宋" w:cs="仿宋"/>
                <w:b/>
                <w:bCs/>
                <w:color w:val="auto"/>
                <w:sz w:val="24"/>
                <w:szCs w:val="24"/>
                <w:highlight w:val="none"/>
                <w:lang w:val="en-US" w:eastAsia="zh-CN"/>
              </w:rPr>
              <w:t>屏幕尺寸</w:t>
            </w:r>
            <w:r>
              <w:rPr>
                <w:rFonts w:hint="eastAsia" w:ascii="仿宋" w:hAnsi="仿宋" w:eastAsia="仿宋" w:cs="仿宋"/>
                <w:b/>
                <w:bCs/>
                <w:color w:val="auto"/>
                <w:sz w:val="24"/>
                <w:szCs w:val="24"/>
                <w:highlight w:val="none"/>
              </w:rPr>
              <w:t>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，次优表示手持电台</w:t>
            </w:r>
            <w:r>
              <w:rPr>
                <w:rFonts w:hint="eastAsia" w:ascii="仿宋" w:hAnsi="仿宋" w:eastAsia="仿宋" w:cs="仿宋"/>
                <w:b/>
                <w:bCs/>
                <w:color w:val="auto"/>
                <w:sz w:val="24"/>
                <w:szCs w:val="24"/>
                <w:highlight w:val="none"/>
                <w:lang w:eastAsia="zh-CN"/>
              </w:rPr>
              <w:t>的</w:t>
            </w:r>
            <w:r>
              <w:rPr>
                <w:rFonts w:hint="eastAsia" w:ascii="仿宋" w:hAnsi="仿宋" w:eastAsia="仿宋" w:cs="仿宋"/>
                <w:b/>
                <w:bCs/>
                <w:color w:val="auto"/>
                <w:sz w:val="24"/>
                <w:szCs w:val="24"/>
                <w:highlight w:val="none"/>
                <w:lang w:val="en-US" w:eastAsia="zh-CN"/>
              </w:rPr>
              <w:t>屏幕尺寸</w:t>
            </w:r>
            <w:r>
              <w:rPr>
                <w:rFonts w:hint="eastAsia" w:ascii="仿宋" w:hAnsi="仿宋" w:eastAsia="仿宋" w:cs="仿宋"/>
                <w:b/>
                <w:bCs/>
                <w:color w:val="auto"/>
                <w:sz w:val="24"/>
                <w:szCs w:val="24"/>
                <w:highlight w:val="none"/>
              </w:rPr>
              <w:t>仅次于最大值。</w:t>
            </w:r>
          </w:p>
        </w:tc>
        <w:tc>
          <w:tcPr>
            <w:tcW w:w="447"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41"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434" w:type="pct"/>
            <w:vMerge w:val="restar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防水定位对讲机</w:t>
            </w:r>
          </w:p>
        </w:tc>
        <w:tc>
          <w:tcPr>
            <w:tcW w:w="856"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lang w:eastAsia="zh-CN"/>
              </w:rPr>
              <w:t>10.</w:t>
            </w:r>
            <w:r>
              <w:rPr>
                <w:rFonts w:hint="eastAsia" w:ascii="仿宋" w:hAnsi="仿宋" w:eastAsia="仿宋" w:cs="仿宋"/>
                <w:color w:val="auto"/>
                <w:sz w:val="24"/>
                <w:highlight w:val="none"/>
                <w:lang w:val="en-US" w:eastAsia="zh-CN"/>
              </w:rPr>
              <w:t>电池容量：≥2400mAH</w:t>
            </w:r>
          </w:p>
        </w:tc>
        <w:tc>
          <w:tcPr>
            <w:tcW w:w="2919"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所投防水定位对讲机</w:t>
            </w:r>
            <w:r>
              <w:rPr>
                <w:rFonts w:hint="eastAsia" w:ascii="仿宋" w:hAnsi="仿宋" w:eastAsia="仿宋" w:cs="仿宋"/>
                <w:color w:val="auto"/>
                <w:sz w:val="24"/>
                <w:highlight w:val="none"/>
                <w:lang w:val="en-US" w:eastAsia="zh-CN"/>
              </w:rPr>
              <w:t>的</w:t>
            </w:r>
            <w:r>
              <w:rPr>
                <w:rFonts w:hint="eastAsia" w:ascii="仿宋" w:hAnsi="仿宋" w:eastAsia="仿宋" w:cs="仿宋"/>
                <w:b w:val="0"/>
                <w:bCs w:val="0"/>
                <w:color w:val="auto"/>
                <w:kern w:val="2"/>
                <w:sz w:val="24"/>
                <w:szCs w:val="24"/>
                <w:highlight w:val="none"/>
                <w:lang w:val="en-US" w:eastAsia="zh-CN" w:bidi="ar-SA"/>
              </w:rPr>
              <w:t>电池</w:t>
            </w:r>
            <w:r>
              <w:rPr>
                <w:rFonts w:hint="eastAsia" w:ascii="仿宋" w:hAnsi="仿宋" w:eastAsia="仿宋" w:cs="仿宋"/>
                <w:color w:val="auto"/>
                <w:sz w:val="24"/>
                <w:highlight w:val="none"/>
                <w:lang w:val="en-US" w:eastAsia="zh-CN"/>
              </w:rPr>
              <w:t>容量</w:t>
            </w:r>
            <w:r>
              <w:rPr>
                <w:rFonts w:hint="eastAsia" w:ascii="仿宋" w:hAnsi="仿宋" w:eastAsia="仿宋" w:cs="仿宋"/>
                <w:color w:val="auto"/>
                <w:sz w:val="24"/>
                <w:szCs w:val="24"/>
                <w:highlight w:val="none"/>
              </w:rPr>
              <w:t>优于招标文件要求的，</w:t>
            </w:r>
            <w:r>
              <w:rPr>
                <w:rFonts w:hint="eastAsia" w:ascii="仿宋" w:hAnsi="仿宋" w:eastAsia="仿宋" w:cs="仿宋"/>
                <w:b w:val="0"/>
                <w:bCs w:val="0"/>
                <w:color w:val="auto"/>
                <w:kern w:val="2"/>
                <w:sz w:val="24"/>
                <w:szCs w:val="24"/>
                <w:highlight w:val="none"/>
                <w:lang w:val="en-US" w:eastAsia="zh-CN" w:bidi="ar-SA"/>
              </w:rPr>
              <w:t>电池</w:t>
            </w:r>
            <w:r>
              <w:rPr>
                <w:rFonts w:hint="eastAsia" w:ascii="仿宋" w:hAnsi="仿宋" w:eastAsia="仿宋" w:cs="仿宋"/>
                <w:color w:val="auto"/>
                <w:sz w:val="24"/>
                <w:highlight w:val="none"/>
                <w:lang w:val="en-US" w:eastAsia="zh-CN"/>
              </w:rPr>
              <w:t>容量</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b w:val="0"/>
                <w:bCs w:val="0"/>
                <w:color w:val="auto"/>
                <w:kern w:val="2"/>
                <w:sz w:val="24"/>
                <w:szCs w:val="24"/>
                <w:highlight w:val="none"/>
                <w:lang w:val="en-US" w:eastAsia="zh-CN" w:bidi="ar-SA"/>
              </w:rPr>
              <w:t>电池</w:t>
            </w:r>
            <w:r>
              <w:rPr>
                <w:rFonts w:hint="eastAsia" w:ascii="仿宋" w:hAnsi="仿宋" w:eastAsia="仿宋" w:cs="仿宋"/>
                <w:color w:val="auto"/>
                <w:sz w:val="24"/>
                <w:highlight w:val="none"/>
                <w:lang w:val="en-US" w:eastAsia="zh-CN"/>
              </w:rPr>
              <w:t>容量</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注：最优表示防水定位对讲机</w:t>
            </w:r>
            <w:r>
              <w:rPr>
                <w:rFonts w:hint="eastAsia" w:ascii="仿宋" w:hAnsi="仿宋" w:eastAsia="仿宋" w:cs="仿宋"/>
                <w:b/>
                <w:bCs/>
                <w:color w:val="auto"/>
                <w:sz w:val="24"/>
                <w:szCs w:val="24"/>
                <w:highlight w:val="none"/>
                <w:lang w:eastAsia="zh-CN"/>
              </w:rPr>
              <w:t>的</w:t>
            </w:r>
            <w:r>
              <w:rPr>
                <w:rFonts w:hint="eastAsia" w:ascii="仿宋" w:hAnsi="仿宋" w:eastAsia="仿宋" w:cs="仿宋"/>
                <w:b/>
                <w:bCs/>
                <w:color w:val="auto"/>
                <w:sz w:val="24"/>
                <w:szCs w:val="24"/>
                <w:highlight w:val="none"/>
                <w:lang w:val="en-US" w:eastAsia="zh-CN"/>
              </w:rPr>
              <w:t>电池容量</w:t>
            </w:r>
            <w:r>
              <w:rPr>
                <w:rFonts w:hint="eastAsia" w:ascii="仿宋" w:hAnsi="仿宋" w:eastAsia="仿宋" w:cs="仿宋"/>
                <w:b/>
                <w:bCs/>
                <w:color w:val="auto"/>
                <w:sz w:val="24"/>
                <w:szCs w:val="24"/>
                <w:highlight w:val="none"/>
              </w:rPr>
              <w:t>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，次优表示防水定位对讲机</w:t>
            </w:r>
            <w:r>
              <w:rPr>
                <w:rFonts w:hint="eastAsia" w:ascii="仿宋" w:hAnsi="仿宋" w:eastAsia="仿宋" w:cs="仿宋"/>
                <w:b/>
                <w:bCs/>
                <w:color w:val="auto"/>
                <w:sz w:val="24"/>
                <w:szCs w:val="24"/>
                <w:highlight w:val="none"/>
                <w:lang w:eastAsia="zh-CN"/>
              </w:rPr>
              <w:t>的</w:t>
            </w:r>
            <w:r>
              <w:rPr>
                <w:rFonts w:hint="eastAsia" w:ascii="仿宋" w:hAnsi="仿宋" w:eastAsia="仿宋" w:cs="仿宋"/>
                <w:b/>
                <w:bCs/>
                <w:color w:val="auto"/>
                <w:sz w:val="24"/>
                <w:szCs w:val="24"/>
                <w:highlight w:val="none"/>
                <w:lang w:val="en-US" w:eastAsia="zh-CN"/>
              </w:rPr>
              <w:t>电池容量</w:t>
            </w:r>
            <w:r>
              <w:rPr>
                <w:rFonts w:hint="eastAsia" w:ascii="仿宋" w:hAnsi="仿宋" w:eastAsia="仿宋" w:cs="仿宋"/>
                <w:b/>
                <w:bCs/>
                <w:color w:val="auto"/>
                <w:sz w:val="24"/>
                <w:szCs w:val="24"/>
                <w:highlight w:val="none"/>
              </w:rPr>
              <w:t>仅次于最大值。</w:t>
            </w:r>
          </w:p>
        </w:tc>
        <w:tc>
          <w:tcPr>
            <w:tcW w:w="447"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41"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434" w:type="pct"/>
            <w:vMerge w:val="continue"/>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p>
        </w:tc>
        <w:tc>
          <w:tcPr>
            <w:tcW w:w="856"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▲12.外观显示：具有大屏显示，屏幕尺寸≥2.0英寸</w:t>
            </w:r>
          </w:p>
        </w:tc>
        <w:tc>
          <w:tcPr>
            <w:tcW w:w="2919"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仿宋"/>
                <w:color w:val="auto"/>
                <w:sz w:val="24"/>
                <w:highlight w:val="none"/>
              </w:rPr>
              <w:t>防水定位对讲机</w:t>
            </w:r>
            <w:r>
              <w:rPr>
                <w:rFonts w:hint="eastAsia" w:ascii="仿宋" w:hAnsi="仿宋" w:eastAsia="仿宋" w:cs="仿宋"/>
                <w:color w:val="auto"/>
                <w:sz w:val="24"/>
                <w:highlight w:val="none"/>
                <w:lang w:val="en-US" w:eastAsia="zh-CN"/>
              </w:rPr>
              <w:t>的</w:t>
            </w:r>
            <w:r>
              <w:rPr>
                <w:rFonts w:hint="eastAsia" w:ascii="仿宋" w:hAnsi="仿宋" w:eastAsia="仿宋" w:cs="仿宋"/>
                <w:b w:val="0"/>
                <w:bCs w:val="0"/>
                <w:color w:val="auto"/>
                <w:kern w:val="2"/>
                <w:sz w:val="24"/>
                <w:szCs w:val="24"/>
                <w:highlight w:val="none"/>
                <w:lang w:val="en-US" w:eastAsia="zh-CN" w:bidi="ar-SA"/>
              </w:rPr>
              <w:t>屏幕尺寸</w:t>
            </w:r>
            <w:r>
              <w:rPr>
                <w:rFonts w:hint="eastAsia" w:ascii="仿宋" w:hAnsi="仿宋" w:eastAsia="仿宋" w:cs="仿宋"/>
                <w:color w:val="auto"/>
                <w:sz w:val="24"/>
                <w:szCs w:val="24"/>
                <w:highlight w:val="none"/>
              </w:rPr>
              <w:t>优于招标文件要求的，</w:t>
            </w:r>
            <w:r>
              <w:rPr>
                <w:rFonts w:hint="eastAsia" w:ascii="仿宋" w:hAnsi="仿宋" w:eastAsia="仿宋" w:cs="仿宋"/>
                <w:b w:val="0"/>
                <w:bCs w:val="0"/>
                <w:color w:val="auto"/>
                <w:kern w:val="2"/>
                <w:sz w:val="24"/>
                <w:szCs w:val="24"/>
                <w:highlight w:val="none"/>
                <w:lang w:val="en-US" w:eastAsia="zh-CN" w:bidi="ar-SA"/>
              </w:rPr>
              <w:t>屏幕尺寸</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b w:val="0"/>
                <w:bCs w:val="0"/>
                <w:color w:val="auto"/>
                <w:kern w:val="2"/>
                <w:sz w:val="24"/>
                <w:szCs w:val="24"/>
                <w:highlight w:val="none"/>
                <w:lang w:val="en-US" w:eastAsia="zh-CN" w:bidi="ar-SA"/>
              </w:rPr>
              <w:t>屏幕尺寸</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注：最优表示防水定位对讲机</w:t>
            </w:r>
            <w:r>
              <w:rPr>
                <w:rFonts w:hint="eastAsia" w:ascii="仿宋" w:hAnsi="仿宋" w:eastAsia="仿宋" w:cs="仿宋"/>
                <w:b/>
                <w:bCs/>
                <w:color w:val="auto"/>
                <w:sz w:val="24"/>
                <w:szCs w:val="24"/>
                <w:highlight w:val="none"/>
                <w:lang w:eastAsia="zh-CN"/>
              </w:rPr>
              <w:t>的</w:t>
            </w:r>
            <w:r>
              <w:rPr>
                <w:rFonts w:hint="eastAsia" w:ascii="仿宋" w:hAnsi="仿宋" w:eastAsia="仿宋" w:cs="仿宋"/>
                <w:b/>
                <w:bCs/>
                <w:color w:val="auto"/>
                <w:sz w:val="24"/>
                <w:szCs w:val="24"/>
                <w:highlight w:val="none"/>
                <w:lang w:val="en-US" w:eastAsia="zh-CN"/>
              </w:rPr>
              <w:t>屏幕尺寸</w:t>
            </w:r>
            <w:r>
              <w:rPr>
                <w:rFonts w:hint="eastAsia" w:ascii="仿宋" w:hAnsi="仿宋" w:eastAsia="仿宋" w:cs="仿宋"/>
                <w:b/>
                <w:bCs/>
                <w:color w:val="auto"/>
                <w:sz w:val="24"/>
                <w:szCs w:val="24"/>
                <w:highlight w:val="none"/>
              </w:rPr>
              <w:t>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，次优表示防水定位对讲机</w:t>
            </w:r>
            <w:r>
              <w:rPr>
                <w:rFonts w:hint="eastAsia" w:ascii="仿宋" w:hAnsi="仿宋" w:eastAsia="仿宋" w:cs="仿宋"/>
                <w:b/>
                <w:bCs/>
                <w:color w:val="auto"/>
                <w:sz w:val="24"/>
                <w:szCs w:val="24"/>
                <w:highlight w:val="none"/>
                <w:lang w:eastAsia="zh-CN"/>
              </w:rPr>
              <w:t>的</w:t>
            </w:r>
            <w:r>
              <w:rPr>
                <w:rFonts w:hint="eastAsia" w:ascii="仿宋" w:hAnsi="仿宋" w:eastAsia="仿宋" w:cs="仿宋"/>
                <w:b/>
                <w:bCs/>
                <w:color w:val="auto"/>
                <w:sz w:val="24"/>
                <w:szCs w:val="24"/>
                <w:highlight w:val="none"/>
                <w:lang w:val="en-US" w:eastAsia="zh-CN"/>
              </w:rPr>
              <w:t>屏幕尺寸</w:t>
            </w:r>
            <w:r>
              <w:rPr>
                <w:rFonts w:hint="eastAsia" w:ascii="仿宋" w:hAnsi="仿宋" w:eastAsia="仿宋" w:cs="仿宋"/>
                <w:b/>
                <w:bCs/>
                <w:color w:val="auto"/>
                <w:sz w:val="24"/>
                <w:szCs w:val="24"/>
                <w:highlight w:val="none"/>
              </w:rPr>
              <w:t>仅次于最大值。</w:t>
            </w:r>
          </w:p>
        </w:tc>
        <w:tc>
          <w:tcPr>
            <w:tcW w:w="447" w:type="pct"/>
            <w:vAlign w:val="center"/>
          </w:tcPr>
          <w:p>
            <w:pPr>
              <w:pageBreakBefore w:val="0"/>
              <w:kinsoku/>
              <w:wordWrap/>
              <w:overflowPunct/>
              <w:topLinePunct w:val="0"/>
              <w:autoSpaceDE/>
              <w:autoSpaceDN/>
              <w:bidi w:val="0"/>
              <w:adjustRightInd/>
              <w:snapToGrid/>
              <w:spacing w:line="460" w:lineRule="exact"/>
              <w:jc w:val="center"/>
              <w:textAlignment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41"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4658" w:type="pct"/>
            <w:gridSpan w:val="4"/>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评审依据：提供技术条款响应表和技术支撑文件</w:t>
            </w:r>
            <w:r>
              <w:rPr>
                <w:rFonts w:hint="eastAsia" w:ascii="仿宋" w:hAnsi="仿宋" w:eastAsia="仿宋" w:cs="仿宋"/>
                <w:b/>
                <w:bCs/>
                <w:color w:val="auto"/>
                <w:sz w:val="24"/>
                <w:highlight w:val="none"/>
                <w:lang w:eastAsia="zh-CN"/>
              </w:rPr>
              <w:t>。</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hint="eastAsia"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hint="eastAsia"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hint="eastAsia"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③制造商出具的技术参数证明材料并加盖制造商公章。]</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lang w:val="en-US" w:eastAsia="zh-CN"/>
              </w:rPr>
            </w:pPr>
            <w:r>
              <w:rPr>
                <w:rFonts w:hint="eastAsia" w:ascii="仿宋" w:hAnsi="仿宋" w:eastAsia="仿宋" w:cs="仿宋"/>
                <w:b/>
                <w:bCs/>
                <w:color w:val="auto"/>
                <w:sz w:val="24"/>
                <w:highlight w:val="none"/>
              </w:rPr>
              <w:t>注：①供应商应认真提供技术支撑文件，若提供多份技术支撑文件，技术支撑文件佐证不一致时，优先级为：产品检测报告复印件＞制造商公开发布的印刷资料＞制造商出具的技术参数证明</w:t>
            </w:r>
            <w:r>
              <w:rPr>
                <w:rFonts w:hint="eastAsia" w:ascii="仿宋" w:hAnsi="仿宋" w:eastAsia="仿宋" w:cs="仿宋"/>
                <w:b/>
                <w:bCs/>
                <w:color w:val="auto"/>
                <w:sz w:val="24"/>
                <w:highlight w:val="none"/>
                <w:lang w:val="en-US" w:eastAsia="zh-CN"/>
              </w:rPr>
              <w:t>材料</w:t>
            </w:r>
            <w:r>
              <w:rPr>
                <w:rFonts w:hint="eastAsia" w:ascii="仿宋" w:hAnsi="仿宋" w:eastAsia="仿宋" w:cs="仿宋"/>
                <w:b/>
                <w:bCs/>
                <w:color w:val="auto"/>
                <w:sz w:val="24"/>
                <w:highlight w:val="none"/>
              </w:rPr>
              <w:t>；②技术支撑文件</w:t>
            </w:r>
            <w:r>
              <w:rPr>
                <w:rFonts w:hint="eastAsia" w:ascii="仿宋" w:hAnsi="仿宋" w:eastAsia="仿宋" w:cs="仿宋"/>
                <w:b/>
                <w:bCs/>
                <w:color w:val="auto"/>
                <w:sz w:val="24"/>
                <w:highlight w:val="none"/>
                <w:lang w:val="en-US" w:eastAsia="zh-CN"/>
              </w:rPr>
              <w:t>与</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不一致，则</w:t>
            </w:r>
            <w:r>
              <w:rPr>
                <w:rFonts w:hint="eastAsia" w:ascii="仿宋" w:hAnsi="仿宋" w:eastAsia="仿宋" w:cs="仿宋"/>
                <w:b/>
                <w:bCs/>
                <w:color w:val="auto"/>
                <w:sz w:val="24"/>
                <w:highlight w:val="none"/>
              </w:rPr>
              <w:t>该点不加分</w:t>
            </w:r>
            <w:r>
              <w:rPr>
                <w:rFonts w:hint="eastAsia" w:ascii="仿宋" w:hAnsi="仿宋" w:eastAsia="仿宋" w:cs="仿宋"/>
                <w:b/>
                <w:bCs/>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41"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434" w:type="pc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eastAsia="zh-CN"/>
              </w:rPr>
              <w:t>骨传导通话装置</w:t>
            </w:r>
          </w:p>
        </w:tc>
        <w:tc>
          <w:tcPr>
            <w:tcW w:w="856"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▲4.防护等级：≥IP57（需提供具有CMA或CNAS标识的检测报告复印件并加盖制造商公章）</w:t>
            </w:r>
          </w:p>
        </w:tc>
        <w:tc>
          <w:tcPr>
            <w:tcW w:w="2919"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仿宋"/>
                <w:color w:val="auto"/>
                <w:sz w:val="24"/>
                <w:szCs w:val="24"/>
                <w:highlight w:val="none"/>
                <w:lang w:eastAsia="zh-CN"/>
              </w:rPr>
              <w:t>骨传导通话装置</w:t>
            </w:r>
            <w:r>
              <w:rPr>
                <w:rFonts w:hint="eastAsia" w:ascii="仿宋" w:hAnsi="仿宋" w:eastAsia="仿宋" w:cs="仿宋"/>
                <w:b w:val="0"/>
                <w:bCs w:val="0"/>
                <w:color w:val="auto"/>
                <w:sz w:val="24"/>
                <w:szCs w:val="24"/>
                <w:highlight w:val="none"/>
                <w:lang w:val="en-US" w:eastAsia="zh-CN"/>
              </w:rPr>
              <w:t>防护等级</w:t>
            </w:r>
            <w:r>
              <w:rPr>
                <w:rFonts w:hint="eastAsia" w:ascii="仿宋" w:hAnsi="仿宋" w:eastAsia="仿宋" w:cs="仿宋"/>
                <w:color w:val="auto"/>
                <w:sz w:val="24"/>
                <w:szCs w:val="24"/>
                <w:highlight w:val="none"/>
              </w:rPr>
              <w:t>优于招标文件要求的，</w:t>
            </w:r>
            <w:r>
              <w:rPr>
                <w:rFonts w:hint="eastAsia" w:ascii="仿宋" w:hAnsi="仿宋" w:eastAsia="仿宋" w:cs="仿宋"/>
                <w:b w:val="0"/>
                <w:bCs w:val="0"/>
                <w:color w:val="auto"/>
                <w:sz w:val="24"/>
                <w:szCs w:val="24"/>
                <w:highlight w:val="none"/>
                <w:lang w:val="en-US" w:eastAsia="zh-CN"/>
              </w:rPr>
              <w:t>防护等级</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b w:val="0"/>
                <w:bCs w:val="0"/>
                <w:color w:val="auto"/>
                <w:sz w:val="24"/>
                <w:szCs w:val="24"/>
                <w:highlight w:val="none"/>
                <w:lang w:val="en-US" w:eastAsia="zh-CN"/>
              </w:rPr>
              <w:t>防护等级</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eastAsia="zh-CN"/>
              </w:rPr>
              <w:t>骨传导通话装置的</w:t>
            </w:r>
            <w:r>
              <w:rPr>
                <w:rFonts w:hint="eastAsia" w:ascii="仿宋" w:hAnsi="仿宋" w:eastAsia="仿宋" w:cs="仿宋"/>
                <w:b/>
                <w:bCs/>
                <w:color w:val="auto"/>
                <w:sz w:val="24"/>
                <w:szCs w:val="24"/>
                <w:highlight w:val="none"/>
                <w:lang w:val="en-US" w:eastAsia="zh-CN"/>
              </w:rPr>
              <w:t>防护等级最高</w:t>
            </w:r>
            <w:r>
              <w:rPr>
                <w:rFonts w:hint="eastAsia" w:ascii="仿宋" w:hAnsi="仿宋" w:eastAsia="仿宋" w:cs="仿宋"/>
                <w:b/>
                <w:bCs/>
                <w:color w:val="auto"/>
                <w:sz w:val="24"/>
                <w:szCs w:val="24"/>
                <w:highlight w:val="none"/>
              </w:rPr>
              <w:t>，次优表示</w:t>
            </w:r>
            <w:r>
              <w:rPr>
                <w:rFonts w:hint="eastAsia" w:ascii="仿宋" w:hAnsi="仿宋" w:eastAsia="仿宋" w:cs="仿宋"/>
                <w:b/>
                <w:bCs/>
                <w:color w:val="auto"/>
                <w:sz w:val="24"/>
                <w:szCs w:val="24"/>
                <w:highlight w:val="none"/>
                <w:lang w:eastAsia="zh-CN"/>
              </w:rPr>
              <w:t>骨传导通话装置的</w:t>
            </w:r>
            <w:r>
              <w:rPr>
                <w:rFonts w:hint="eastAsia" w:ascii="仿宋" w:hAnsi="仿宋" w:eastAsia="仿宋" w:cs="仿宋"/>
                <w:b/>
                <w:bCs/>
                <w:color w:val="auto"/>
                <w:sz w:val="24"/>
                <w:szCs w:val="24"/>
                <w:highlight w:val="none"/>
                <w:lang w:val="en-US" w:eastAsia="zh-CN"/>
              </w:rPr>
              <w:t>防护等级</w:t>
            </w:r>
            <w:r>
              <w:rPr>
                <w:rFonts w:hint="eastAsia" w:ascii="仿宋" w:hAnsi="仿宋" w:eastAsia="仿宋" w:cs="仿宋"/>
                <w:b/>
                <w:bCs/>
                <w:color w:val="auto"/>
                <w:sz w:val="24"/>
                <w:szCs w:val="24"/>
                <w:highlight w:val="none"/>
              </w:rPr>
              <w:t>仅次于最大值。</w:t>
            </w:r>
          </w:p>
        </w:tc>
        <w:tc>
          <w:tcPr>
            <w:tcW w:w="447" w:type="pct"/>
            <w:vAlign w:val="center"/>
          </w:tcPr>
          <w:p>
            <w:pPr>
              <w:pageBreakBefore w:val="0"/>
              <w:kinsoku/>
              <w:wordWrap/>
              <w:overflowPunct/>
              <w:topLinePunct w:val="0"/>
              <w:autoSpaceDE/>
              <w:autoSpaceDN/>
              <w:bidi w:val="0"/>
              <w:adjustRightInd/>
              <w:snapToGrid/>
              <w:spacing w:line="460" w:lineRule="exact"/>
              <w:jc w:val="center"/>
              <w:textAlignment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41" w:type="pct"/>
            <w:vMerge w:val="continue"/>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658" w:type="pct"/>
            <w:gridSpan w:val="4"/>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评审依据：提供技术条款响应表和</w:t>
            </w:r>
            <w:r>
              <w:rPr>
                <w:rFonts w:hint="eastAsia" w:ascii="仿宋" w:hAnsi="仿宋" w:eastAsia="仿宋" w:cs="仿宋"/>
                <w:b/>
                <w:bCs/>
                <w:color w:val="auto"/>
                <w:sz w:val="24"/>
                <w:highlight w:val="none"/>
                <w:lang w:val="en-US" w:eastAsia="zh-CN"/>
              </w:rPr>
              <w:t>检测报告，检测报告与技术条款响应表不一致，则该点不加分。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41"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291"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整体结构与外观</w:t>
            </w:r>
          </w:p>
        </w:tc>
        <w:tc>
          <w:tcPr>
            <w:tcW w:w="2919"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根据视频文件对核心产品的外观构造、内部结构、设计理念等进行评审。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设计理念先进，外部构造和内部结构科学合理，整体结构外观与实战紧贴程度高的，得3分；设计理念较为先进，外部构造和内部结构较为合理，整体结构外观与实战紧贴程度较高的，得2分；设计理念一般，外观构造和内部结构基本合理，整体结构外观与实战紧贴程度不高的，得1分；未提供证明材料或证明材料有缺项的不得分。</w:t>
            </w:r>
          </w:p>
        </w:tc>
        <w:tc>
          <w:tcPr>
            <w:tcW w:w="447"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41"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291"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工艺</w:t>
            </w:r>
          </w:p>
        </w:tc>
        <w:tc>
          <w:tcPr>
            <w:tcW w:w="2919"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根据视频文件对核心产品的安全性、耐用性、实用性等进行评审。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性能高、耐用性能好、实用性能强，工艺符合实战需求程度高的，得3分；安全性能较高、耐用性能良好、实用性能较强，工艺符合实战需求程度较高的，得2分；安全性能不高、耐用性能普通、实用性能一般，工艺符合实战需求程度不高的，得1分；未提供证明材料或证明材料有缺项的不得分。</w:t>
            </w:r>
          </w:p>
        </w:tc>
        <w:tc>
          <w:tcPr>
            <w:tcW w:w="447"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41"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291"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操作使用性能</w:t>
            </w:r>
          </w:p>
        </w:tc>
        <w:tc>
          <w:tcPr>
            <w:tcW w:w="2919"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根据视频文件对核心产品的可靠性、便捷性、稳定性等进行评审。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可靠性高、便捷性好、稳定性好，操作使用性能提升战斗力程度高的，得4分；可靠性较高、便捷性较好、稳定性良好，操作使用性能提升战斗力程度较高的，得2分；可靠性不高、便捷性和稳定性一般，操作使用性能提升战斗力程度不高的，得1分；未提供证明材料或证明材料有缺项的不得分。</w:t>
            </w:r>
          </w:p>
        </w:tc>
        <w:tc>
          <w:tcPr>
            <w:tcW w:w="447"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41" w:type="pct"/>
            <w:vMerge w:val="continue"/>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658" w:type="pct"/>
            <w:gridSpan w:val="4"/>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lang w:eastAsia="zh-CN"/>
              </w:rPr>
            </w:pPr>
            <w:r>
              <w:rPr>
                <w:rFonts w:hint="eastAsia" w:ascii="仿宋" w:hAnsi="仿宋" w:eastAsia="仿宋" w:cs="仿宋"/>
                <w:b/>
                <w:bCs/>
                <w:color w:val="auto"/>
                <w:sz w:val="24"/>
                <w:highlight w:val="none"/>
              </w:rPr>
              <w:t>以上评审依据：根据视频文件对产品的整体结构与外观、工艺、操作使用性能进行综合评审，视频文件需对以上三点评审内容进行介绍（包含但不限于以上三点）。视频文件[视频文件格式须为通用格式，佐证视频时长不得超过5分钟，视频清晰度应至少保证所摄的界面文字清晰易辨、画面完整连贯、播放速度正常]应存储于U盘内（单独密封在信封中）与投标文件同时递交，逾期递交不予接收，</w:t>
            </w:r>
            <w:r>
              <w:rPr>
                <w:rFonts w:hint="eastAsia" w:ascii="仿宋" w:hAnsi="仿宋" w:eastAsia="仿宋" w:cs="仿宋"/>
                <w:b/>
                <w:bCs/>
                <w:color w:val="auto"/>
                <w:sz w:val="24"/>
                <w:highlight w:val="none"/>
                <w:lang w:eastAsia="zh-CN"/>
              </w:rPr>
              <w:t>U盘由采购代理机构封存，不予退回。未提供视频或视频无法打开的，得0分。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三、商务部分（1</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3"/>
        <w:gridCol w:w="1202"/>
        <w:gridCol w:w="5776"/>
        <w:gridCol w:w="8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序号</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评审因素</w:t>
            </w:r>
          </w:p>
        </w:tc>
        <w:tc>
          <w:tcPr>
            <w:tcW w:w="3389"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评分标准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1</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bCs/>
                <w:color w:val="auto"/>
                <w:sz w:val="24"/>
                <w:szCs w:val="22"/>
                <w:highlight w:val="none"/>
              </w:rPr>
            </w:pPr>
            <w:r>
              <w:rPr>
                <w:rFonts w:hint="eastAsia" w:ascii="仿宋" w:hAnsi="仿宋" w:eastAsia="仿宋" w:cs="仿宋"/>
                <w:color w:val="auto"/>
                <w:sz w:val="24"/>
                <w:highlight w:val="none"/>
              </w:rPr>
              <w:t>符合性评审</w:t>
            </w:r>
          </w:p>
        </w:tc>
        <w:tc>
          <w:tcPr>
            <w:tcW w:w="3887" w:type="pct"/>
            <w:gridSpan w:val="2"/>
            <w:vAlign w:val="center"/>
          </w:tcPr>
          <w:p>
            <w:pPr>
              <w:pageBreakBefore w:val="0"/>
              <w:kinsoku/>
              <w:wordWrap/>
              <w:overflowPunct/>
              <w:topLinePunct w:val="0"/>
              <w:autoSpaceDE/>
              <w:autoSpaceDN/>
              <w:bidi w:val="0"/>
              <w:adjustRightInd/>
              <w:snapToGrid/>
              <w:spacing w:line="460" w:lineRule="exact"/>
              <w:rPr>
                <w:rFonts w:eastAsia="仿宋" w:cs="Times New Roman"/>
                <w:color w:val="auto"/>
                <w:sz w:val="24"/>
                <w:szCs w:val="22"/>
                <w:highlight w:val="none"/>
              </w:rPr>
            </w:pPr>
            <w:r>
              <w:rPr>
                <w:rFonts w:hint="eastAsia" w:eastAsia="仿宋" w:cs="Times New Roman"/>
                <w:color w:val="auto"/>
                <w:sz w:val="24"/>
                <w:szCs w:val="22"/>
                <w:highlight w:val="none"/>
              </w:rPr>
              <w:t>投标人必须完全满足招标文件“商务要求”</w:t>
            </w:r>
            <w:r>
              <w:rPr>
                <w:rFonts w:hint="eastAsia" w:eastAsia="仿宋" w:cs="Times New Roman"/>
                <w:color w:val="auto"/>
                <w:sz w:val="24"/>
                <w:szCs w:val="22"/>
                <w:highlight w:val="none"/>
                <w:lang w:val="en-US" w:eastAsia="zh-CN"/>
              </w:rPr>
              <w:t>所有</w:t>
            </w:r>
            <w:r>
              <w:rPr>
                <w:rFonts w:hint="eastAsia" w:eastAsia="仿宋" w:cs="Times New Roman"/>
                <w:color w:val="auto"/>
                <w:sz w:val="24"/>
                <w:szCs w:val="22"/>
                <w:highlight w:val="none"/>
              </w:rPr>
              <w:t>实质性条款，任意一项不满足作无效投标处理。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eastAsia="仿宋" w:cs="Times New Roman"/>
                <w:b/>
                <w:bCs/>
                <w:color w:val="auto"/>
                <w:sz w:val="24"/>
                <w:szCs w:val="22"/>
                <w:highlight w:val="none"/>
              </w:rPr>
              <w:t>评审依据：投标文件中提供的商务条款响应表。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2</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hint="eastAsia" w:eastAsia="仿宋"/>
                <w:color w:val="auto"/>
                <w:sz w:val="24"/>
                <w:szCs w:val="22"/>
                <w:highlight w:val="none"/>
                <w:lang w:eastAsia="zh-CN"/>
              </w:rPr>
            </w:pPr>
            <w:r>
              <w:rPr>
                <w:rFonts w:hint="eastAsia" w:eastAsia="仿宋"/>
                <w:color w:val="auto"/>
                <w:sz w:val="24"/>
                <w:szCs w:val="22"/>
                <w:highlight w:val="none"/>
                <w:lang w:eastAsia="zh-CN"/>
              </w:rPr>
              <w:t>生产制造履约能力</w:t>
            </w:r>
          </w:p>
        </w:tc>
        <w:tc>
          <w:tcPr>
            <w:tcW w:w="3389" w:type="pct"/>
            <w:vAlign w:val="center"/>
          </w:tcPr>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val="en-US" w:eastAsia="zh-CN"/>
              </w:rPr>
              <w:t>投标人提供所投核心产品制造商的证明材料（应加盖制造商公章）</w:t>
            </w:r>
            <w:r>
              <w:rPr>
                <w:rFonts w:hint="eastAsia" w:eastAsia="仿宋" w:cs="Times New Roman"/>
                <w:color w:val="auto"/>
                <w:sz w:val="24"/>
                <w:szCs w:val="22"/>
                <w:highlight w:val="none"/>
              </w:rPr>
              <w:t>对</w:t>
            </w:r>
            <w:r>
              <w:rPr>
                <w:rFonts w:hint="eastAsia" w:eastAsia="仿宋" w:cs="Times New Roman"/>
                <w:color w:val="auto"/>
                <w:sz w:val="24"/>
                <w:szCs w:val="22"/>
                <w:highlight w:val="none"/>
                <w:lang w:eastAsia="zh-CN"/>
              </w:rPr>
              <w:t>生产制造履约能力</w:t>
            </w:r>
            <w:r>
              <w:rPr>
                <w:rFonts w:hint="eastAsia" w:eastAsia="仿宋" w:cs="Times New Roman"/>
                <w:color w:val="auto"/>
                <w:sz w:val="24"/>
                <w:szCs w:val="22"/>
                <w:highlight w:val="none"/>
              </w:rPr>
              <w:t>进行评审，包含但不限于</w:t>
            </w:r>
            <w:r>
              <w:rPr>
                <w:rFonts w:hint="eastAsia" w:eastAsia="仿宋" w:cs="Times New Roman"/>
                <w:color w:val="auto"/>
                <w:sz w:val="24"/>
                <w:szCs w:val="22"/>
                <w:highlight w:val="none"/>
                <w:lang w:eastAsia="zh-CN"/>
              </w:rPr>
              <w:t>：</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eastAsia="zh-CN"/>
              </w:rPr>
              <w:t>①制造商生产经营情况简介；</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②</w:t>
            </w:r>
            <w:r>
              <w:rPr>
                <w:rFonts w:hint="eastAsia" w:eastAsia="仿宋" w:cs="Times New Roman"/>
                <w:color w:val="auto"/>
                <w:sz w:val="24"/>
                <w:szCs w:val="22"/>
                <w:highlight w:val="none"/>
                <w:lang w:eastAsia="zh-CN"/>
              </w:rPr>
              <w:t>生产工艺流程，主要包括生产制造流程图、生产步骤（应含生产车间环境及实际生产照片）等相关情况描述；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③产品检验流程，包括主要检验设备</w:t>
            </w:r>
            <w:r>
              <w:rPr>
                <w:rFonts w:hint="eastAsia" w:eastAsia="仿宋" w:cs="Times New Roman"/>
                <w:color w:val="auto"/>
                <w:sz w:val="24"/>
                <w:szCs w:val="22"/>
                <w:highlight w:val="none"/>
                <w:lang w:eastAsia="zh-CN"/>
              </w:rPr>
              <w:t>（应提供图片）</w:t>
            </w:r>
            <w:r>
              <w:rPr>
                <w:rFonts w:hint="eastAsia" w:eastAsia="仿宋" w:cs="Times New Roman"/>
                <w:color w:val="auto"/>
                <w:sz w:val="24"/>
                <w:szCs w:val="22"/>
                <w:highlight w:val="none"/>
              </w:rPr>
              <w:t>、检验步骤等相关情况描述；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④人员配备：相关专业技术</w:t>
            </w:r>
            <w:r>
              <w:rPr>
                <w:rFonts w:hint="eastAsia" w:eastAsia="仿宋" w:cs="Times New Roman"/>
                <w:color w:val="auto"/>
                <w:sz w:val="24"/>
                <w:szCs w:val="22"/>
                <w:highlight w:val="none"/>
                <w:lang w:eastAsia="zh-CN"/>
              </w:rPr>
              <w:t>职称</w:t>
            </w:r>
            <w:r>
              <w:rPr>
                <w:rFonts w:hint="eastAsia" w:eastAsia="仿宋" w:cs="Times New Roman"/>
                <w:color w:val="auto"/>
                <w:sz w:val="24"/>
                <w:szCs w:val="22"/>
                <w:highlight w:val="none"/>
              </w:rPr>
              <w:t>人员配置情况</w:t>
            </w:r>
            <w:r>
              <w:rPr>
                <w:rFonts w:hint="eastAsia" w:eastAsia="仿宋" w:cs="Times New Roman"/>
                <w:color w:val="auto"/>
                <w:sz w:val="24"/>
                <w:szCs w:val="22"/>
                <w:highlight w:val="none"/>
                <w:lang w:eastAsia="zh-CN"/>
              </w:rPr>
              <w:t>；</w:t>
            </w:r>
            <w:r>
              <w:rPr>
                <w:rFonts w:hint="eastAsia" w:eastAsia="仿宋" w:cs="Times New Roman"/>
                <w:color w:val="auto"/>
                <w:sz w:val="24"/>
                <w:szCs w:val="22"/>
                <w:highlight w:val="none"/>
              </w:rPr>
              <w:t>各原材料采购、生产、检验、仓储、运输等环节的人员配备情况；</w:t>
            </w:r>
          </w:p>
          <w:p>
            <w:pPr>
              <w:pageBreakBefore w:val="0"/>
              <w:kinsoku/>
              <w:wordWrap/>
              <w:overflowPunct/>
              <w:topLinePunct w:val="0"/>
              <w:autoSpaceDE/>
              <w:autoSpaceDN/>
              <w:bidi w:val="0"/>
              <w:adjustRightInd/>
              <w:snapToGrid/>
              <w:spacing w:line="460" w:lineRule="exact"/>
              <w:rPr>
                <w:rFonts w:hint="eastAsia" w:eastAsia="仿宋" w:cs="Times New Roman"/>
                <w:b/>
                <w:bCs/>
                <w:color w:val="auto"/>
                <w:sz w:val="24"/>
                <w:szCs w:val="22"/>
                <w:highlight w:val="none"/>
              </w:rPr>
            </w:pPr>
            <w:r>
              <w:rPr>
                <w:rFonts w:hint="eastAsia" w:eastAsia="仿宋" w:cs="Times New Roman"/>
                <w:b/>
                <w:bCs/>
                <w:color w:val="auto"/>
                <w:sz w:val="24"/>
                <w:szCs w:val="22"/>
                <w:highlight w:val="none"/>
              </w:rPr>
              <w:t>评审依据：</w:t>
            </w:r>
            <w:r>
              <w:rPr>
                <w:rFonts w:hint="eastAsia" w:eastAsia="仿宋" w:cs="Times New Roman"/>
                <w:b/>
                <w:bCs/>
                <w:color w:val="auto"/>
                <w:sz w:val="24"/>
                <w:szCs w:val="22"/>
                <w:highlight w:val="none"/>
                <w:lang w:val="en-US" w:eastAsia="zh-CN"/>
              </w:rPr>
              <w:t>根据</w:t>
            </w:r>
            <w:r>
              <w:rPr>
                <w:rFonts w:hint="eastAsia" w:eastAsia="仿宋" w:cs="Times New Roman"/>
                <w:b/>
                <w:bCs/>
                <w:color w:val="auto"/>
                <w:sz w:val="24"/>
                <w:szCs w:val="22"/>
                <w:highlight w:val="none"/>
              </w:rPr>
              <w:t>投标人提</w:t>
            </w:r>
            <w:r>
              <w:rPr>
                <w:rFonts w:hint="eastAsia" w:eastAsia="仿宋" w:cs="Times New Roman"/>
                <w:b/>
                <w:bCs/>
                <w:color w:val="auto"/>
                <w:sz w:val="24"/>
                <w:szCs w:val="22"/>
                <w:highlight w:val="none"/>
                <w:lang w:val="en-US" w:eastAsia="zh-CN"/>
              </w:rPr>
              <w:t>供的生产制造履约能力方案内容完整性、组织性、关联性和可操作性进行评审</w:t>
            </w:r>
            <w:r>
              <w:rPr>
                <w:rFonts w:hint="eastAsia" w:eastAsia="仿宋" w:cs="Times New Roman"/>
                <w:b/>
                <w:bCs/>
                <w:color w:val="auto"/>
                <w:sz w:val="24"/>
                <w:szCs w:val="22"/>
                <w:highlight w:val="none"/>
              </w:rPr>
              <w:t>。</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1、所投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制造商具备较强自主研发能力及先进的生产工艺，生产车间环境及生产线先进规范，生产步骤完整周详，技术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检验设备配置齐全、检验步骤严密无纰漏，生产制造履约能力</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分；</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制造商有自主研发能力和生产工艺较完整，生产车间环境及生产线常规，生产步骤较完整周详，技术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eastAsia="zh-CN"/>
              </w:rPr>
              <w:t>相对</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检验设备配置较齐全、检验步骤相对完备，生产制造履约能力</w:t>
            </w:r>
            <w:r>
              <w:rPr>
                <w:rFonts w:hint="eastAsia" w:ascii="仿宋" w:hAnsi="仿宋" w:eastAsia="仿宋" w:cs="仿宋"/>
                <w:b/>
                <w:bCs/>
                <w:color w:val="auto"/>
                <w:sz w:val="24"/>
                <w:szCs w:val="24"/>
                <w:highlight w:val="none"/>
                <w:lang w:eastAsia="zh-CN"/>
              </w:rPr>
              <w:t>较</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3、所投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制造商有自主研发能力和生产工艺薄弱，生产车间环境及生产线粗糙落后，生产步骤简单，技术</w:t>
            </w:r>
            <w:r>
              <w:rPr>
                <w:rFonts w:hint="eastAsia" w:ascii="仿宋" w:hAnsi="仿宋" w:eastAsia="仿宋" w:cs="仿宋"/>
                <w:b/>
                <w:bCs/>
                <w:color w:val="auto"/>
                <w:sz w:val="24"/>
                <w:szCs w:val="24"/>
                <w:highlight w:val="none"/>
              </w:rPr>
              <w:t>人员</w:t>
            </w:r>
            <w:r>
              <w:rPr>
                <w:rFonts w:hint="eastAsia" w:ascii="仿宋" w:hAnsi="仿宋" w:eastAsia="仿宋" w:cs="仿宋"/>
                <w:b/>
                <w:bCs/>
                <w:color w:val="auto"/>
                <w:sz w:val="24"/>
                <w:szCs w:val="24"/>
                <w:highlight w:val="none"/>
                <w:lang w:eastAsia="zh-CN"/>
              </w:rPr>
              <w:t>综合实力一般，</w:t>
            </w:r>
            <w:r>
              <w:rPr>
                <w:rFonts w:hint="eastAsia" w:ascii="仿宋" w:hAnsi="仿宋" w:eastAsia="仿宋" w:cs="仿宋"/>
                <w:b/>
                <w:bCs/>
                <w:color w:val="auto"/>
                <w:sz w:val="24"/>
                <w:szCs w:val="24"/>
                <w:highlight w:val="none"/>
                <w:lang w:val="en-US" w:eastAsia="zh-CN"/>
              </w:rPr>
              <w:t>检验设备配置简单落后，检验步骤普通，生产制造履约能力</w:t>
            </w:r>
            <w:r>
              <w:rPr>
                <w:rFonts w:hint="eastAsia" w:ascii="仿宋" w:hAnsi="仿宋" w:eastAsia="仿宋" w:cs="仿宋"/>
                <w:b/>
                <w:bCs/>
                <w:color w:val="auto"/>
                <w:sz w:val="24"/>
                <w:szCs w:val="24"/>
                <w:highlight w:val="none"/>
                <w:lang w:eastAsia="zh-CN"/>
              </w:rPr>
              <w:t>弱</w:t>
            </w:r>
            <w:r>
              <w:rPr>
                <w:rFonts w:hint="eastAsia" w:ascii="仿宋" w:hAnsi="仿宋" w:eastAsia="仿宋" w:cs="仿宋"/>
                <w:b/>
                <w:bCs/>
                <w:color w:val="auto"/>
                <w:sz w:val="24"/>
                <w:szCs w:val="24"/>
                <w:highlight w:val="none"/>
              </w:rPr>
              <w:t>的得</w:t>
            </w: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未提供证明材料或证明材料有缺项的不得分。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eastAsia="仿宋"/>
                <w:color w:val="auto"/>
                <w:sz w:val="24"/>
                <w:szCs w:val="22"/>
                <w:highlight w:val="none"/>
              </w:rPr>
            </w:pPr>
            <w:r>
              <w:rPr>
                <w:rFonts w:eastAsia="仿宋"/>
                <w:color w:val="auto"/>
                <w:sz w:val="24"/>
                <w:szCs w:val="22"/>
                <w:highlight w:val="none"/>
              </w:rPr>
              <w:t>3</w:t>
            </w:r>
          </w:p>
        </w:tc>
        <w:tc>
          <w:tcPr>
            <w:tcW w:w="705" w:type="pct"/>
            <w:vAlign w:val="center"/>
          </w:tcPr>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eastAsia="仿宋"/>
                <w:color w:val="auto"/>
                <w:sz w:val="24"/>
                <w:szCs w:val="22"/>
                <w:highlight w:val="none"/>
              </w:rPr>
            </w:pPr>
            <w:r>
              <w:rPr>
                <w:rFonts w:eastAsia="仿宋"/>
                <w:color w:val="auto"/>
                <w:sz w:val="24"/>
                <w:szCs w:val="22"/>
                <w:highlight w:val="none"/>
              </w:rPr>
              <w:t>质量保证和保修</w:t>
            </w:r>
          </w:p>
        </w:tc>
        <w:tc>
          <w:tcPr>
            <w:tcW w:w="3389" w:type="pct"/>
            <w:vAlign w:val="center"/>
          </w:tcPr>
          <w:p>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eastAsia="仿宋"/>
                <w:color w:val="auto"/>
                <w:sz w:val="24"/>
                <w:szCs w:val="22"/>
                <w:highlight w:val="none"/>
              </w:rPr>
            </w:pPr>
            <w:r>
              <w:rPr>
                <w:rFonts w:eastAsia="仿宋"/>
                <w:color w:val="auto"/>
                <w:sz w:val="24"/>
                <w:szCs w:val="22"/>
                <w:highlight w:val="none"/>
              </w:rPr>
              <w:t>在招标文件商务要求中“质保期”和“保修期”要求基础上，承诺“质保期”和“保修期”均每延长一年的加2分，最多加4分。</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eastAsia="仿宋"/>
                <w:color w:val="auto"/>
                <w:sz w:val="24"/>
                <w:szCs w:val="22"/>
                <w:highlight w:val="none"/>
              </w:rPr>
            </w:pPr>
            <w:r>
              <w:rPr>
                <w:rFonts w:eastAsia="仿宋"/>
                <w:b/>
                <w:color w:val="auto"/>
                <w:sz w:val="24"/>
                <w:szCs w:val="22"/>
                <w:highlight w:val="none"/>
              </w:rPr>
              <w:t>评审依据：投标文件中提供“质保期”和“保修期”均延长的承诺函原件。</w:t>
            </w:r>
          </w:p>
        </w:tc>
        <w:tc>
          <w:tcPr>
            <w:tcW w:w="498" w:type="pct"/>
            <w:vAlign w:val="center"/>
          </w:tcPr>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eastAsia="仿宋"/>
                <w:color w:val="auto"/>
                <w:sz w:val="24"/>
                <w:szCs w:val="22"/>
                <w:highlight w:val="none"/>
              </w:rPr>
            </w:pPr>
            <w:r>
              <w:rPr>
                <w:rFonts w:eastAsia="仿宋"/>
                <w:color w:val="auto"/>
                <w:sz w:val="24"/>
                <w:szCs w:val="22"/>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3" w:hRule="atLeast"/>
          <w:jc w:val="center"/>
        </w:trPr>
        <w:tc>
          <w:tcPr>
            <w:tcW w:w="407" w:type="pct"/>
            <w:vAlign w:val="center"/>
          </w:tcPr>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eastAsia="仿宋"/>
                <w:color w:val="auto"/>
                <w:sz w:val="24"/>
                <w:szCs w:val="22"/>
                <w:highlight w:val="none"/>
              </w:rPr>
            </w:pPr>
            <w:r>
              <w:rPr>
                <w:rFonts w:eastAsia="仿宋"/>
                <w:color w:val="auto"/>
                <w:sz w:val="24"/>
                <w:szCs w:val="22"/>
                <w:highlight w:val="none"/>
              </w:rPr>
              <w:t>4</w:t>
            </w:r>
          </w:p>
        </w:tc>
        <w:tc>
          <w:tcPr>
            <w:tcW w:w="705" w:type="pct"/>
            <w:vAlign w:val="center"/>
          </w:tcPr>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eastAsia="仿宋"/>
                <w:color w:val="auto"/>
                <w:sz w:val="24"/>
                <w:szCs w:val="22"/>
                <w:highlight w:val="none"/>
              </w:rPr>
            </w:pPr>
            <w:r>
              <w:rPr>
                <w:rFonts w:eastAsia="仿宋"/>
                <w:color w:val="auto"/>
                <w:sz w:val="24"/>
                <w:szCs w:val="22"/>
                <w:highlight w:val="none"/>
              </w:rPr>
              <w:t>类似销售</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eastAsia="仿宋"/>
                <w:color w:val="auto"/>
                <w:sz w:val="24"/>
                <w:szCs w:val="22"/>
                <w:highlight w:val="none"/>
              </w:rPr>
            </w:pPr>
            <w:r>
              <w:rPr>
                <w:rFonts w:eastAsia="仿宋"/>
                <w:color w:val="auto"/>
                <w:sz w:val="24"/>
                <w:szCs w:val="22"/>
                <w:highlight w:val="none"/>
              </w:rPr>
              <w:t>案例</w:t>
            </w:r>
          </w:p>
        </w:tc>
        <w:tc>
          <w:tcPr>
            <w:tcW w:w="3389" w:type="pct"/>
            <w:vAlign w:val="center"/>
          </w:tcPr>
          <w:p>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投标人自</w:t>
            </w:r>
            <w:r>
              <w:rPr>
                <w:rFonts w:eastAsia="仿宋" w:cs="Times New Roman"/>
                <w:color w:val="auto"/>
                <w:sz w:val="24"/>
                <w:szCs w:val="22"/>
                <w:highlight w:val="none"/>
              </w:rPr>
              <w:t>20</w:t>
            </w:r>
            <w:r>
              <w:rPr>
                <w:rFonts w:hint="eastAsia" w:eastAsia="仿宋" w:cs="Times New Roman"/>
                <w:color w:val="auto"/>
                <w:sz w:val="24"/>
                <w:szCs w:val="22"/>
                <w:highlight w:val="none"/>
              </w:rPr>
              <w:t>2</w:t>
            </w:r>
            <w:r>
              <w:rPr>
                <w:rFonts w:hint="eastAsia" w:eastAsia="仿宋" w:cs="Times New Roman"/>
                <w:color w:val="auto"/>
                <w:sz w:val="24"/>
                <w:szCs w:val="22"/>
                <w:highlight w:val="none"/>
                <w:lang w:val="en-US" w:eastAsia="zh-CN"/>
              </w:rPr>
              <w:t>1</w:t>
            </w:r>
            <w:r>
              <w:rPr>
                <w:rFonts w:hint="eastAsia" w:eastAsia="仿宋" w:cs="Times New Roman"/>
                <w:color w:val="auto"/>
                <w:sz w:val="24"/>
                <w:szCs w:val="22"/>
                <w:highlight w:val="none"/>
              </w:rPr>
              <w:t>年</w:t>
            </w:r>
            <w:r>
              <w:rPr>
                <w:rFonts w:eastAsia="仿宋" w:cs="Times New Roman"/>
                <w:color w:val="auto"/>
                <w:sz w:val="24"/>
                <w:szCs w:val="22"/>
                <w:highlight w:val="none"/>
              </w:rPr>
              <w:t>1月1日至今（以签订合同时间为准）具有类似</w:t>
            </w:r>
            <w:r>
              <w:rPr>
                <w:rFonts w:hint="eastAsia" w:eastAsia="仿宋" w:cs="Times New Roman"/>
                <w:color w:val="auto"/>
                <w:sz w:val="24"/>
                <w:szCs w:val="22"/>
                <w:highlight w:val="none"/>
                <w:lang w:eastAsia="zh-CN"/>
              </w:rPr>
              <w:t>核心</w:t>
            </w:r>
            <w:r>
              <w:rPr>
                <w:rFonts w:eastAsia="仿宋" w:cs="Times New Roman"/>
                <w:color w:val="auto"/>
                <w:sz w:val="24"/>
                <w:szCs w:val="22"/>
                <w:highlight w:val="none"/>
              </w:rPr>
              <w:t>产品销售案例，每提供1份销售案例加</w:t>
            </w:r>
            <w:r>
              <w:rPr>
                <w:rFonts w:hint="eastAsia" w:eastAsia="仿宋" w:cs="Times New Roman"/>
                <w:color w:val="auto"/>
                <w:sz w:val="24"/>
                <w:szCs w:val="22"/>
                <w:highlight w:val="none"/>
                <w:lang w:val="en-US" w:eastAsia="zh-CN"/>
              </w:rPr>
              <w:t>2</w:t>
            </w:r>
            <w:r>
              <w:rPr>
                <w:rFonts w:hint="eastAsia" w:eastAsia="仿宋" w:cs="Times New Roman"/>
                <w:color w:val="auto"/>
                <w:sz w:val="24"/>
                <w:szCs w:val="22"/>
                <w:highlight w:val="none"/>
              </w:rPr>
              <w:t>分，本项最多加</w:t>
            </w:r>
            <w:r>
              <w:rPr>
                <w:rFonts w:hint="eastAsia" w:eastAsia="仿宋" w:cs="Times New Roman"/>
                <w:color w:val="auto"/>
                <w:sz w:val="24"/>
                <w:szCs w:val="22"/>
                <w:highlight w:val="none"/>
                <w:lang w:val="en-US" w:eastAsia="zh-CN"/>
              </w:rPr>
              <w:t>6</w:t>
            </w:r>
            <w:r>
              <w:rPr>
                <w:rFonts w:hint="eastAsia" w:eastAsia="仿宋" w:cs="Times New Roman"/>
                <w:color w:val="auto"/>
                <w:sz w:val="24"/>
                <w:szCs w:val="22"/>
                <w:highlight w:val="none"/>
              </w:rPr>
              <w:t>分。</w:t>
            </w:r>
          </w:p>
          <w:p>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eastAsia="仿宋"/>
                <w:b/>
                <w:bCs/>
                <w:color w:val="auto"/>
                <w:sz w:val="24"/>
                <w:szCs w:val="22"/>
                <w:highlight w:val="none"/>
              </w:rPr>
            </w:pPr>
            <w:r>
              <w:rPr>
                <w:rFonts w:hint="eastAsia" w:eastAsia="仿宋" w:cs="Times New Roman"/>
                <w:b/>
                <w:bCs/>
                <w:color w:val="auto"/>
                <w:sz w:val="24"/>
                <w:szCs w:val="22"/>
                <w:highlight w:val="none"/>
              </w:rPr>
              <w:t>评审依据：①投标文件中提供销售案例明细表（销售案例明细表包含</w:t>
            </w:r>
            <w:r>
              <w:rPr>
                <w:rFonts w:eastAsia="仿宋" w:cs="Times New Roman"/>
                <w:b/>
                <w:bCs/>
                <w:color w:val="auto"/>
                <w:sz w:val="24"/>
                <w:szCs w:val="22"/>
                <w:highlight w:val="none"/>
              </w:rPr>
              <w:t>:发布网站名称、网页链接地址、采购项目名称、采购单位名称和联系方式、采购代理机构名称和联系方式）；</w:t>
            </w:r>
            <w:r>
              <w:rPr>
                <w:rFonts w:hint="eastAsia" w:eastAsia="仿宋" w:cs="Times New Roman"/>
                <w:b/>
                <w:bCs/>
                <w:color w:val="auto"/>
                <w:sz w:val="24"/>
                <w:szCs w:val="22"/>
                <w:highlight w:val="none"/>
              </w:rPr>
              <w:t>②</w:t>
            </w:r>
            <w:r>
              <w:rPr>
                <w:rFonts w:hint="eastAsia" w:eastAsia="仿宋" w:cs="Times New Roman"/>
                <w:b/>
                <w:bCs/>
                <w:color w:val="auto"/>
                <w:sz w:val="24"/>
                <w:szCs w:val="22"/>
                <w:highlight w:val="none"/>
                <w:lang w:eastAsia="zh-CN"/>
              </w:rPr>
              <w:t>中标（成交）公告截图（打印网页）、中标通知书复印件和合同复印件（中标通知书或合同复印件应体现类似销售案例的货物），合同签订方必须是投标人本身。</w:t>
            </w:r>
          </w:p>
        </w:tc>
        <w:tc>
          <w:tcPr>
            <w:tcW w:w="498" w:type="pct"/>
            <w:vAlign w:val="center"/>
          </w:tcPr>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eastAsia="仿宋"/>
                <w:color w:val="auto"/>
                <w:sz w:val="24"/>
                <w:szCs w:val="22"/>
                <w:highlight w:val="none"/>
              </w:rPr>
            </w:pPr>
            <w:r>
              <w:rPr>
                <w:rFonts w:hint="eastAsia" w:eastAsia="仿宋"/>
                <w:color w:val="auto"/>
                <w:sz w:val="24"/>
                <w:szCs w:val="22"/>
                <w:highlight w:val="none"/>
                <w:lang w:val="en-US" w:eastAsia="zh-CN"/>
              </w:rPr>
              <w:t>6</w:t>
            </w:r>
            <w:r>
              <w:rPr>
                <w:rFonts w:eastAsia="仿宋"/>
                <w:color w:val="auto"/>
                <w:sz w:val="24"/>
                <w:szCs w:val="22"/>
                <w:highlight w:val="none"/>
              </w:rPr>
              <w:t>分</w:t>
            </w:r>
          </w:p>
        </w:tc>
      </w:tr>
    </w:tbl>
    <w:p>
      <w:pPr>
        <w:pageBreakBefore w:val="0"/>
        <w:kinsoku/>
        <w:wordWrap/>
        <w:overflowPunct/>
        <w:topLinePunct w:val="0"/>
        <w:autoSpaceDE/>
        <w:autoSpaceDN/>
        <w:bidi w:val="0"/>
        <w:adjustRightInd/>
        <w:snapToGrid/>
        <w:spacing w:line="460" w:lineRule="exact"/>
        <w:rPr>
          <w:color w:val="auto"/>
        </w:rPr>
      </w:pPr>
      <w:r>
        <w:rPr>
          <w:color w:val="auto"/>
        </w:rPr>
        <w:br w:type="page"/>
      </w:r>
    </w:p>
    <w:p>
      <w:pPr>
        <w:keepNext w:val="0"/>
        <w:keepLines w:val="0"/>
        <w:pageBreakBefore w:val="0"/>
        <w:widowControl w:val="0"/>
        <w:kinsoku/>
        <w:wordWrap/>
        <w:overflowPunct/>
        <w:topLinePunct w:val="0"/>
        <w:autoSpaceDE/>
        <w:autoSpaceDN/>
        <w:bidi w:val="0"/>
        <w:adjustRightInd/>
        <w:snapToGrid/>
        <w:spacing w:line="460" w:lineRule="exact"/>
        <w:jc w:val="left"/>
        <w:textAlignment w:val="auto"/>
        <w:outlineLvl w:val="1"/>
        <w:rPr>
          <w:rFonts w:hint="eastAsia" w:ascii="仿宋" w:hAnsi="仿宋" w:eastAsia="仿宋" w:cs="Times New Roman"/>
          <w:b/>
          <w:bCs/>
          <w:color w:val="auto"/>
          <w:sz w:val="28"/>
          <w:szCs w:val="28"/>
          <w:highlight w:val="none"/>
          <w:lang w:eastAsia="zh-CN"/>
        </w:rPr>
      </w:pPr>
      <w:bookmarkStart w:id="795" w:name="_Toc2071"/>
      <w:bookmarkStart w:id="796" w:name="_Toc9212"/>
      <w:bookmarkStart w:id="797" w:name="_Toc17303"/>
      <w:bookmarkStart w:id="798" w:name="_Toc8668"/>
      <w:bookmarkStart w:id="799" w:name="_Toc18972"/>
      <w:r>
        <w:rPr>
          <w:rFonts w:hint="eastAsia" w:ascii="仿宋" w:hAnsi="仿宋" w:eastAsia="仿宋" w:cs="Times New Roman"/>
          <w:b/>
          <w:bCs/>
          <w:color w:val="auto"/>
          <w:sz w:val="28"/>
          <w:szCs w:val="28"/>
          <w:highlight w:val="none"/>
          <w:lang w:val="en-US" w:eastAsia="zh-CN"/>
        </w:rPr>
        <w:t>108包</w:t>
      </w:r>
      <w:r>
        <w:rPr>
          <w:rFonts w:hint="eastAsia" w:ascii="仿宋" w:hAnsi="仿宋" w:eastAsia="仿宋" w:cs="Times New Roman"/>
          <w:b/>
          <w:bCs/>
          <w:color w:val="auto"/>
          <w:sz w:val="28"/>
          <w:szCs w:val="28"/>
          <w:highlight w:val="none"/>
        </w:rPr>
        <w:t>：公网集群对讲机</w:t>
      </w:r>
      <w:bookmarkEnd w:id="795"/>
      <w:bookmarkEnd w:id="796"/>
      <w:bookmarkEnd w:id="797"/>
      <w:bookmarkEnd w:id="798"/>
      <w:bookmarkEnd w:id="799"/>
    </w:p>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hint="eastAsia" w:ascii="仿宋" w:hAnsi="仿宋" w:eastAsia="仿宋"/>
          <w:b/>
          <w:color w:val="auto"/>
          <w:sz w:val="24"/>
          <w:highlight w:val="none"/>
        </w:rPr>
        <w:t>一、价格部分（</w:t>
      </w:r>
      <w:r>
        <w:rPr>
          <w:rFonts w:ascii="仿宋" w:hAnsi="仿宋" w:eastAsia="仿宋"/>
          <w:b/>
          <w:color w:val="auto"/>
          <w:sz w:val="24"/>
          <w:highlight w:val="none"/>
        </w:rPr>
        <w:t>30分）</w:t>
      </w:r>
    </w:p>
    <w:tbl>
      <w:tblPr>
        <w:tblStyle w:val="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1"/>
        <w:gridCol w:w="1449"/>
        <w:gridCol w:w="5672"/>
        <w:gridCol w:w="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7"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评审因素</w:t>
            </w:r>
          </w:p>
        </w:tc>
        <w:tc>
          <w:tcPr>
            <w:tcW w:w="3327" w:type="pct"/>
            <w:vAlign w:val="center"/>
          </w:tcPr>
          <w:p>
            <w:pPr>
              <w:pageBreakBefore w:val="0"/>
              <w:kinsoku/>
              <w:wordWrap/>
              <w:overflowPunct/>
              <w:topLinePunct w:val="0"/>
              <w:autoSpaceDE/>
              <w:autoSpaceDN/>
              <w:bidi w:val="0"/>
              <w:adjustRightInd/>
              <w:snapToGrid/>
              <w:spacing w:line="460" w:lineRule="exact"/>
              <w:jc w:val="center"/>
              <w:textAlignment w:val="center"/>
              <w:rPr>
                <w:rFonts w:ascii="仿宋" w:hAnsi="仿宋" w:eastAsia="仿宋" w:cs="仿宋"/>
                <w:b/>
                <w:color w:val="auto"/>
                <w:sz w:val="24"/>
                <w:highlight w:val="none"/>
              </w:rPr>
            </w:pPr>
            <w:r>
              <w:rPr>
                <w:rFonts w:hint="eastAsia" w:ascii="仿宋" w:hAnsi="仿宋" w:eastAsia="仿宋" w:cs="仿宋"/>
                <w:b/>
                <w:bCs/>
                <w:color w:val="auto"/>
                <w:sz w:val="24"/>
                <w:highlight w:val="none"/>
              </w:rPr>
              <w:t>评分标准</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6"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价格分</w:t>
            </w:r>
          </w:p>
        </w:tc>
        <w:tc>
          <w:tcPr>
            <w:tcW w:w="3327" w:type="pct"/>
            <w:vAlign w:val="center"/>
          </w:tcPr>
          <w:p>
            <w:pPr>
              <w:pageBreakBefore w:val="0"/>
              <w:kinsoku/>
              <w:wordWrap/>
              <w:overflowPunct/>
              <w:topLinePunct w:val="0"/>
              <w:autoSpaceDE/>
              <w:autoSpaceDN/>
              <w:bidi w:val="0"/>
              <w:adjustRightInd/>
              <w:snapToGrid/>
              <w:spacing w:line="460" w:lineRule="exact"/>
              <w:jc w:val="left"/>
              <w:textAlignment w:val="center"/>
              <w:rPr>
                <w:rFonts w:ascii="仿宋" w:hAnsi="仿宋" w:eastAsia="仿宋" w:cs="仿宋"/>
                <w:color w:val="auto"/>
                <w:sz w:val="24"/>
                <w:highlight w:val="none"/>
              </w:rPr>
            </w:pPr>
            <w:r>
              <w:rPr>
                <w:rFonts w:hint="eastAsia" w:ascii="仿宋" w:hAnsi="仿宋" w:eastAsia="仿宋" w:cs="仿宋"/>
                <w:color w:val="auto"/>
                <w:sz w:val="24"/>
                <w:highlight w:val="none"/>
              </w:rPr>
              <w:t>根据综合评分法，满足招标文件要求且投标价格最低的投标报价为评标基准价，投标报价得分</w:t>
            </w:r>
            <w:r>
              <w:rPr>
                <w:rFonts w:ascii="仿宋" w:hAnsi="仿宋" w:eastAsia="仿宋" w:cs="仿宋"/>
                <w:color w:val="auto"/>
                <w:sz w:val="24"/>
                <w:highlight w:val="none"/>
              </w:rPr>
              <w:t>=（评标基准价／投标报价）</w:t>
            </w:r>
            <w:r>
              <w:rPr>
                <w:rFonts w:hint="eastAsia" w:ascii="仿宋" w:hAnsi="仿宋" w:eastAsia="仿宋" w:cs="仿宋"/>
                <w:color w:val="auto"/>
                <w:sz w:val="24"/>
                <w:highlight w:val="none"/>
              </w:rPr>
              <w:t>×</w:t>
            </w:r>
            <w:r>
              <w:rPr>
                <w:rFonts w:ascii="仿宋" w:hAnsi="仿宋" w:eastAsia="仿宋" w:cs="仿宋"/>
                <w:color w:val="auto"/>
                <w:sz w:val="24"/>
                <w:highlight w:val="none"/>
              </w:rPr>
              <w:t>30%×100，计算分数时四舍五入取小数点后两位。</w:t>
            </w:r>
          </w:p>
          <w:p>
            <w:pPr>
              <w:pageBreakBefore w:val="0"/>
              <w:kinsoku/>
              <w:wordWrap/>
              <w:overflowPunct/>
              <w:topLinePunct w:val="0"/>
              <w:autoSpaceDE/>
              <w:autoSpaceDN/>
              <w:bidi w:val="0"/>
              <w:adjustRightInd/>
              <w:snapToGrid/>
              <w:spacing w:line="460" w:lineRule="exact"/>
              <w:ind w:firstLine="482" w:firstLineChars="200"/>
              <w:jc w:val="left"/>
              <w:textAlignment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注：</w:t>
            </w:r>
            <w:r>
              <w:rPr>
                <w:rFonts w:ascii="仿宋" w:hAnsi="仿宋" w:eastAsia="仿宋" w:cs="仿宋"/>
                <w:b/>
                <w:bCs/>
                <w:color w:val="auto"/>
                <w:sz w:val="24"/>
                <w:highlight w:val="none"/>
              </w:rPr>
              <w:t>小、微型企业或残疾人福利性单位产品或监狱产品的价格给予10%的扣除，用扣除后的价格参与评审。但残疾人福利性单位本身属于小型、微型企业的，不重复享受政策。</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30分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二、技术部分（5</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0"/>
        <w:gridCol w:w="1524"/>
        <w:gridCol w:w="5663"/>
        <w:gridCol w:w="7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41"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894"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3323"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评分标准</w:t>
            </w:r>
          </w:p>
        </w:tc>
        <w:tc>
          <w:tcPr>
            <w:tcW w:w="440"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341"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9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技术参数及要求</w:t>
            </w:r>
          </w:p>
        </w:tc>
        <w:tc>
          <w:tcPr>
            <w:tcW w:w="3323" w:type="pct"/>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一、重大负偏离评审依据：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1、带★条款的响应，不满足招标文件要求的，或有缺项、漏项的，视为重大负偏离；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2、一般参数和带“▲”参数共有四项及以上（含本数）的负偏离，视为重大负偏离；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3、所投产品一般参数或带“▲”参数有一项低于招标文件要求，该项视为负偏离；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4、所投产品一般参数或带“▲”参数有一项缺项、漏项的，该项视为负偏离。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注：“一般参数”为非标“★”号参数和非标“▲”号参数。</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①投标文件中提供的技术条款响应表；</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②所投产品技术参数完全满足招标文件要求得</w:t>
            </w:r>
            <w:r>
              <w:rPr>
                <w:rFonts w:hint="eastAsia" w:ascii="仿宋" w:hAnsi="仿宋" w:eastAsia="仿宋" w:cs="仿宋"/>
                <w:b/>
                <w:bCs/>
                <w:color w:val="auto"/>
                <w:sz w:val="24"/>
                <w:highlight w:val="none"/>
                <w:lang w:val="en-US" w:eastAsia="zh-CN"/>
              </w:rPr>
              <w:t>27</w:t>
            </w:r>
            <w:r>
              <w:rPr>
                <w:rFonts w:hint="eastAsia" w:ascii="仿宋" w:hAnsi="仿宋" w:eastAsia="仿宋" w:cs="仿宋"/>
                <w:b/>
                <w:bCs/>
                <w:color w:val="auto"/>
                <w:sz w:val="24"/>
                <w:highlight w:val="none"/>
              </w:rPr>
              <w:t>分；重大负偏离则视为无效投标；一般参数或带“▲”参数每有一项负偏离减5分，最多减15分，四项或以上负偏离视为无效投标。</w:t>
            </w:r>
          </w:p>
        </w:tc>
        <w:tc>
          <w:tcPr>
            <w:tcW w:w="440" w:type="pct"/>
            <w:vAlign w:val="center"/>
          </w:tcPr>
          <w:p>
            <w:pPr>
              <w:pageBreakBefore w:val="0"/>
              <w:kinsoku/>
              <w:wordWrap/>
              <w:overflowPunct/>
              <w:topLinePunct w:val="0"/>
              <w:autoSpaceDE/>
              <w:autoSpaceDN/>
              <w:bidi w:val="0"/>
              <w:adjustRightInd/>
              <w:snapToGrid/>
              <w:spacing w:line="460" w:lineRule="exact"/>
              <w:jc w:val="center"/>
              <w:textAlignment w:val="center"/>
              <w:rPr>
                <w:rFonts w:hint="default"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27分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41" w:type="pct"/>
            <w:vMerge w:val="restart"/>
            <w:vAlign w:val="center"/>
          </w:tcPr>
          <w:p>
            <w:pPr>
              <w:pageBreakBefore w:val="0"/>
              <w:kinsoku/>
              <w:wordWrap/>
              <w:overflowPunct/>
              <w:topLinePunct w:val="0"/>
              <w:autoSpaceDE/>
              <w:autoSpaceDN/>
              <w:bidi w:val="0"/>
              <w:adjustRightInd/>
              <w:snapToGrid/>
              <w:spacing w:line="46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89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▲5、屏幕≥1.4英寸</w:t>
            </w:r>
          </w:p>
        </w:tc>
        <w:tc>
          <w:tcPr>
            <w:tcW w:w="3323"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仿宋"/>
                <w:color w:val="auto"/>
                <w:sz w:val="24"/>
                <w:szCs w:val="24"/>
                <w:highlight w:val="none"/>
                <w:lang w:eastAsia="zh-CN"/>
              </w:rPr>
              <w:t>公网集群对讲机的</w:t>
            </w:r>
            <w:r>
              <w:rPr>
                <w:rFonts w:hint="eastAsia" w:ascii="仿宋" w:hAnsi="仿宋" w:eastAsia="仿宋" w:cs="仿宋"/>
                <w:color w:val="auto"/>
                <w:sz w:val="24"/>
                <w:szCs w:val="24"/>
                <w:highlight w:val="none"/>
                <w:lang w:val="en-US" w:eastAsia="zh-CN"/>
              </w:rPr>
              <w:t>屏幕尺寸</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szCs w:val="24"/>
                <w:highlight w:val="none"/>
                <w:lang w:val="en-US" w:eastAsia="zh-CN"/>
              </w:rPr>
              <w:t>屏幕尺寸</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val="en-US" w:eastAsia="zh-CN"/>
              </w:rPr>
              <w:t>屏幕尺寸</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eastAsia="zh-CN"/>
              </w:rPr>
              <w:t>公网集群对讲机的</w:t>
            </w:r>
            <w:r>
              <w:rPr>
                <w:rFonts w:hint="eastAsia" w:ascii="仿宋" w:hAnsi="仿宋" w:eastAsia="仿宋" w:cs="仿宋"/>
                <w:b/>
                <w:bCs/>
                <w:color w:val="auto"/>
                <w:sz w:val="24"/>
                <w:szCs w:val="24"/>
                <w:highlight w:val="none"/>
                <w:lang w:val="en-US" w:eastAsia="zh-CN"/>
              </w:rPr>
              <w:t>屏幕尺寸</w:t>
            </w:r>
            <w:r>
              <w:rPr>
                <w:rFonts w:hint="eastAsia" w:ascii="仿宋" w:hAnsi="仿宋" w:eastAsia="仿宋" w:cs="仿宋"/>
                <w:b/>
                <w:bCs/>
                <w:color w:val="auto"/>
                <w:sz w:val="24"/>
                <w:szCs w:val="24"/>
                <w:highlight w:val="none"/>
              </w:rPr>
              <w:t>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，次优表示</w:t>
            </w:r>
            <w:r>
              <w:rPr>
                <w:rFonts w:hint="eastAsia" w:ascii="仿宋" w:hAnsi="仿宋" w:eastAsia="仿宋" w:cs="仿宋"/>
                <w:b/>
                <w:bCs/>
                <w:color w:val="auto"/>
                <w:sz w:val="24"/>
                <w:szCs w:val="24"/>
                <w:highlight w:val="none"/>
                <w:lang w:eastAsia="zh-CN"/>
              </w:rPr>
              <w:t>公网集群对讲机的</w:t>
            </w:r>
            <w:r>
              <w:rPr>
                <w:rFonts w:hint="eastAsia" w:ascii="仿宋" w:hAnsi="仿宋" w:eastAsia="仿宋" w:cs="仿宋"/>
                <w:b/>
                <w:bCs/>
                <w:color w:val="auto"/>
                <w:sz w:val="24"/>
                <w:szCs w:val="24"/>
                <w:highlight w:val="none"/>
                <w:lang w:val="en-US" w:eastAsia="zh-CN"/>
              </w:rPr>
              <w:t>屏幕尺寸</w:t>
            </w:r>
            <w:r>
              <w:rPr>
                <w:rFonts w:hint="eastAsia" w:ascii="仿宋" w:hAnsi="仿宋" w:eastAsia="仿宋" w:cs="仿宋"/>
                <w:b/>
                <w:bCs/>
                <w:color w:val="auto"/>
                <w:sz w:val="24"/>
                <w:szCs w:val="24"/>
                <w:highlight w:val="none"/>
              </w:rPr>
              <w:t>仅次于最大值。</w:t>
            </w:r>
          </w:p>
        </w:tc>
        <w:tc>
          <w:tcPr>
            <w:tcW w:w="440" w:type="pct"/>
            <w:vAlign w:val="center"/>
          </w:tcPr>
          <w:p>
            <w:pPr>
              <w:pageBreakBefore w:val="0"/>
              <w:kinsoku/>
              <w:wordWrap/>
              <w:overflowPunct/>
              <w:topLinePunct w:val="0"/>
              <w:autoSpaceDE/>
              <w:autoSpaceDN/>
              <w:bidi w:val="0"/>
              <w:adjustRightInd/>
              <w:snapToGrid/>
              <w:spacing w:line="460" w:lineRule="exact"/>
              <w:jc w:val="center"/>
              <w:textAlignment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41" w:type="pct"/>
            <w:vMerge w:val="continue"/>
            <w:vAlign w:val="center"/>
          </w:tcPr>
          <w:p>
            <w:pPr>
              <w:pageBreakBefore w:val="0"/>
              <w:kinsoku/>
              <w:wordWrap/>
              <w:overflowPunct/>
              <w:topLinePunct w:val="0"/>
              <w:autoSpaceDE/>
              <w:autoSpaceDN/>
              <w:bidi w:val="0"/>
              <w:adjustRightInd/>
              <w:snapToGrid/>
              <w:spacing w:line="460" w:lineRule="exact"/>
              <w:jc w:val="center"/>
              <w:rPr>
                <w:rFonts w:hint="default" w:ascii="仿宋" w:hAnsi="仿宋" w:eastAsia="仿宋" w:cs="仿宋"/>
                <w:color w:val="auto"/>
                <w:sz w:val="24"/>
                <w:szCs w:val="24"/>
                <w:highlight w:val="none"/>
                <w:lang w:val="en-US" w:eastAsia="zh-CN"/>
              </w:rPr>
            </w:pPr>
          </w:p>
        </w:tc>
        <w:tc>
          <w:tcPr>
            <w:tcW w:w="89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▲10、防爆电池容量≥3000mAh</w:t>
            </w:r>
          </w:p>
        </w:tc>
        <w:tc>
          <w:tcPr>
            <w:tcW w:w="3323"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仿宋"/>
                <w:color w:val="auto"/>
                <w:sz w:val="24"/>
                <w:szCs w:val="24"/>
                <w:highlight w:val="none"/>
                <w:lang w:eastAsia="zh-CN"/>
              </w:rPr>
              <w:t>公网集群对讲机的</w:t>
            </w:r>
            <w:r>
              <w:rPr>
                <w:rFonts w:hint="eastAsia" w:ascii="仿宋" w:hAnsi="仿宋" w:eastAsia="仿宋" w:cs="仿宋"/>
                <w:color w:val="auto"/>
                <w:sz w:val="24"/>
                <w:szCs w:val="24"/>
                <w:highlight w:val="none"/>
                <w:lang w:val="en-US" w:eastAsia="zh-CN"/>
              </w:rPr>
              <w:t>防爆电池容量</w:t>
            </w:r>
            <w:r>
              <w:rPr>
                <w:rFonts w:hint="eastAsia" w:ascii="仿宋" w:hAnsi="仿宋" w:eastAsia="仿宋" w:cs="仿宋"/>
                <w:color w:val="auto"/>
                <w:sz w:val="24"/>
                <w:szCs w:val="24"/>
                <w:highlight w:val="none"/>
              </w:rPr>
              <w:t>优于招标文件要求的，</w:t>
            </w:r>
            <w:r>
              <w:rPr>
                <w:rFonts w:hint="eastAsia" w:ascii="仿宋" w:hAnsi="仿宋" w:eastAsia="仿宋" w:cs="仿宋"/>
                <w:b w:val="0"/>
                <w:bCs w:val="0"/>
                <w:color w:val="auto"/>
                <w:sz w:val="24"/>
                <w:szCs w:val="24"/>
                <w:highlight w:val="none"/>
                <w:lang w:val="en-US" w:eastAsia="zh-CN"/>
              </w:rPr>
              <w:t>防爆电池容量</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b w:val="0"/>
                <w:bCs w:val="0"/>
                <w:color w:val="auto"/>
                <w:sz w:val="24"/>
                <w:szCs w:val="24"/>
                <w:highlight w:val="none"/>
                <w:lang w:val="en-US" w:eastAsia="zh-CN"/>
              </w:rPr>
              <w:t>防爆电池容量</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eastAsia="zh-CN"/>
              </w:rPr>
              <w:t>公网集群对讲机的</w:t>
            </w:r>
            <w:r>
              <w:rPr>
                <w:rFonts w:hint="eastAsia" w:ascii="仿宋" w:hAnsi="仿宋" w:eastAsia="仿宋" w:cs="仿宋"/>
                <w:b/>
                <w:bCs/>
                <w:color w:val="auto"/>
                <w:sz w:val="24"/>
                <w:szCs w:val="24"/>
                <w:highlight w:val="none"/>
                <w:lang w:val="en-US" w:eastAsia="zh-CN"/>
              </w:rPr>
              <w:t>防爆电池容量</w:t>
            </w:r>
            <w:r>
              <w:rPr>
                <w:rFonts w:hint="eastAsia" w:ascii="仿宋" w:hAnsi="仿宋" w:eastAsia="仿宋" w:cs="仿宋"/>
                <w:b/>
                <w:bCs/>
                <w:color w:val="auto"/>
                <w:sz w:val="24"/>
                <w:szCs w:val="24"/>
                <w:highlight w:val="none"/>
              </w:rPr>
              <w:t>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，次优表示</w:t>
            </w:r>
            <w:r>
              <w:rPr>
                <w:rFonts w:hint="eastAsia" w:ascii="仿宋" w:hAnsi="仿宋" w:eastAsia="仿宋" w:cs="仿宋"/>
                <w:b/>
                <w:bCs/>
                <w:color w:val="auto"/>
                <w:sz w:val="24"/>
                <w:szCs w:val="24"/>
                <w:highlight w:val="none"/>
                <w:lang w:eastAsia="zh-CN"/>
              </w:rPr>
              <w:t>公网集群对讲机的</w:t>
            </w:r>
            <w:r>
              <w:rPr>
                <w:rFonts w:hint="eastAsia" w:ascii="仿宋" w:hAnsi="仿宋" w:eastAsia="仿宋" w:cs="仿宋"/>
                <w:b/>
                <w:bCs/>
                <w:color w:val="auto"/>
                <w:sz w:val="24"/>
                <w:szCs w:val="24"/>
                <w:highlight w:val="none"/>
                <w:lang w:val="en-US" w:eastAsia="zh-CN"/>
              </w:rPr>
              <w:t>防爆电池容量</w:t>
            </w:r>
            <w:r>
              <w:rPr>
                <w:rFonts w:hint="eastAsia" w:ascii="仿宋" w:hAnsi="仿宋" w:eastAsia="仿宋" w:cs="仿宋"/>
                <w:b/>
                <w:bCs/>
                <w:color w:val="auto"/>
                <w:sz w:val="24"/>
                <w:szCs w:val="24"/>
                <w:highlight w:val="none"/>
              </w:rPr>
              <w:t>仅次于最大值。</w:t>
            </w:r>
          </w:p>
        </w:tc>
        <w:tc>
          <w:tcPr>
            <w:tcW w:w="440"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41"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lang w:val="en-US" w:eastAsia="zh-CN"/>
              </w:rPr>
            </w:pPr>
          </w:p>
        </w:tc>
        <w:tc>
          <w:tcPr>
            <w:tcW w:w="89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▲12、RAM≥2GB</w:t>
            </w:r>
          </w:p>
        </w:tc>
        <w:tc>
          <w:tcPr>
            <w:tcW w:w="3323"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仿宋"/>
                <w:color w:val="auto"/>
                <w:sz w:val="24"/>
                <w:szCs w:val="24"/>
                <w:highlight w:val="none"/>
                <w:lang w:eastAsia="zh-CN"/>
              </w:rPr>
              <w:t>公网集群对讲机的</w:t>
            </w:r>
            <w:r>
              <w:rPr>
                <w:rFonts w:hint="eastAsia" w:ascii="仿宋" w:hAnsi="仿宋" w:eastAsia="仿宋" w:cs="仿宋"/>
                <w:b w:val="0"/>
                <w:bCs w:val="0"/>
                <w:color w:val="auto"/>
                <w:sz w:val="24"/>
                <w:szCs w:val="24"/>
                <w:highlight w:val="none"/>
                <w:lang w:val="en-US" w:eastAsia="zh-CN"/>
              </w:rPr>
              <w:t>RAM</w:t>
            </w:r>
            <w:r>
              <w:rPr>
                <w:rFonts w:hint="eastAsia" w:ascii="仿宋" w:hAnsi="仿宋" w:eastAsia="仿宋" w:cs="仿宋"/>
                <w:color w:val="auto"/>
                <w:sz w:val="24"/>
                <w:szCs w:val="24"/>
                <w:highlight w:val="none"/>
              </w:rPr>
              <w:t>优于招标文件要求的，</w:t>
            </w:r>
            <w:r>
              <w:rPr>
                <w:rFonts w:hint="eastAsia" w:ascii="仿宋" w:hAnsi="仿宋" w:eastAsia="仿宋" w:cs="仿宋"/>
                <w:b w:val="0"/>
                <w:bCs w:val="0"/>
                <w:color w:val="auto"/>
                <w:sz w:val="24"/>
                <w:szCs w:val="24"/>
                <w:highlight w:val="none"/>
                <w:lang w:val="en-US" w:eastAsia="zh-CN"/>
              </w:rPr>
              <w:t>RAM</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b w:val="0"/>
                <w:bCs w:val="0"/>
                <w:color w:val="auto"/>
                <w:sz w:val="24"/>
                <w:szCs w:val="24"/>
                <w:highlight w:val="none"/>
                <w:lang w:val="en-US" w:eastAsia="zh-CN"/>
              </w:rPr>
              <w:t>RAM</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eastAsia="zh-CN"/>
              </w:rPr>
              <w:t>公网集群对讲机的</w:t>
            </w:r>
            <w:r>
              <w:rPr>
                <w:rFonts w:hint="eastAsia" w:ascii="仿宋" w:hAnsi="仿宋" w:eastAsia="仿宋" w:cs="仿宋"/>
                <w:b/>
                <w:bCs/>
                <w:color w:val="auto"/>
                <w:sz w:val="24"/>
                <w:szCs w:val="24"/>
                <w:highlight w:val="none"/>
                <w:lang w:val="en-US" w:eastAsia="zh-CN"/>
              </w:rPr>
              <w:t>RAM</w:t>
            </w:r>
            <w:r>
              <w:rPr>
                <w:rFonts w:hint="eastAsia" w:ascii="仿宋" w:hAnsi="仿宋" w:eastAsia="仿宋" w:cs="仿宋"/>
                <w:b/>
                <w:bCs/>
                <w:color w:val="auto"/>
                <w:sz w:val="24"/>
                <w:szCs w:val="24"/>
                <w:highlight w:val="none"/>
              </w:rPr>
              <w:t>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，次优表示</w:t>
            </w:r>
            <w:r>
              <w:rPr>
                <w:rFonts w:hint="eastAsia" w:ascii="仿宋" w:hAnsi="仿宋" w:eastAsia="仿宋" w:cs="仿宋"/>
                <w:b/>
                <w:bCs/>
                <w:color w:val="auto"/>
                <w:sz w:val="24"/>
                <w:szCs w:val="24"/>
                <w:highlight w:val="none"/>
                <w:lang w:eastAsia="zh-CN"/>
              </w:rPr>
              <w:t>公网集群对讲机的</w:t>
            </w:r>
            <w:r>
              <w:rPr>
                <w:rFonts w:hint="eastAsia" w:ascii="仿宋" w:hAnsi="仿宋" w:eastAsia="仿宋" w:cs="仿宋"/>
                <w:b/>
                <w:bCs/>
                <w:color w:val="auto"/>
                <w:sz w:val="24"/>
                <w:szCs w:val="24"/>
                <w:highlight w:val="none"/>
                <w:lang w:val="en-US" w:eastAsia="zh-CN"/>
              </w:rPr>
              <w:t>RAM</w:t>
            </w:r>
            <w:r>
              <w:rPr>
                <w:rFonts w:hint="eastAsia" w:ascii="仿宋" w:hAnsi="仿宋" w:eastAsia="仿宋" w:cs="仿宋"/>
                <w:b/>
                <w:bCs/>
                <w:color w:val="auto"/>
                <w:sz w:val="24"/>
                <w:szCs w:val="24"/>
                <w:highlight w:val="none"/>
              </w:rPr>
              <w:t>仅次于最大值。</w:t>
            </w:r>
          </w:p>
        </w:tc>
        <w:tc>
          <w:tcPr>
            <w:tcW w:w="440"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41"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lang w:val="en-US" w:eastAsia="zh-CN"/>
              </w:rPr>
            </w:pPr>
          </w:p>
        </w:tc>
        <w:tc>
          <w:tcPr>
            <w:tcW w:w="89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▲12、ROM≥4GB</w:t>
            </w:r>
          </w:p>
        </w:tc>
        <w:tc>
          <w:tcPr>
            <w:tcW w:w="3323"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仿宋"/>
                <w:color w:val="auto"/>
                <w:sz w:val="24"/>
                <w:szCs w:val="24"/>
                <w:highlight w:val="none"/>
                <w:lang w:eastAsia="zh-CN"/>
              </w:rPr>
              <w:t>公网集群对讲机的</w:t>
            </w:r>
            <w:r>
              <w:rPr>
                <w:rFonts w:hint="eastAsia" w:ascii="仿宋" w:hAnsi="仿宋" w:eastAsia="仿宋" w:cs="仿宋"/>
                <w:b w:val="0"/>
                <w:bCs w:val="0"/>
                <w:color w:val="auto"/>
                <w:sz w:val="24"/>
                <w:szCs w:val="24"/>
                <w:highlight w:val="none"/>
                <w:lang w:val="en-US" w:eastAsia="zh-CN"/>
              </w:rPr>
              <w:t>ROM</w:t>
            </w:r>
            <w:r>
              <w:rPr>
                <w:rFonts w:hint="eastAsia" w:ascii="仿宋" w:hAnsi="仿宋" w:eastAsia="仿宋" w:cs="仿宋"/>
                <w:color w:val="auto"/>
                <w:sz w:val="24"/>
                <w:szCs w:val="24"/>
                <w:highlight w:val="none"/>
              </w:rPr>
              <w:t>优于招标文件要求的，</w:t>
            </w:r>
            <w:r>
              <w:rPr>
                <w:rFonts w:hint="eastAsia" w:ascii="仿宋" w:hAnsi="仿宋" w:eastAsia="仿宋" w:cs="仿宋"/>
                <w:b w:val="0"/>
                <w:bCs w:val="0"/>
                <w:color w:val="auto"/>
                <w:sz w:val="24"/>
                <w:szCs w:val="24"/>
                <w:highlight w:val="none"/>
                <w:lang w:val="en-US" w:eastAsia="zh-CN"/>
              </w:rPr>
              <w:t>ROM</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b w:val="0"/>
                <w:bCs w:val="0"/>
                <w:color w:val="auto"/>
                <w:sz w:val="24"/>
                <w:szCs w:val="24"/>
                <w:highlight w:val="none"/>
                <w:lang w:val="en-US" w:eastAsia="zh-CN"/>
              </w:rPr>
              <w:t>ROM</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eastAsia="zh-CN"/>
              </w:rPr>
              <w:t>公网集群对讲机的</w:t>
            </w:r>
            <w:r>
              <w:rPr>
                <w:rFonts w:hint="eastAsia" w:ascii="仿宋" w:hAnsi="仿宋" w:eastAsia="仿宋" w:cs="仿宋"/>
                <w:b/>
                <w:bCs/>
                <w:color w:val="auto"/>
                <w:sz w:val="24"/>
                <w:szCs w:val="24"/>
                <w:highlight w:val="none"/>
                <w:lang w:val="en-US" w:eastAsia="zh-CN"/>
              </w:rPr>
              <w:t>ROM</w:t>
            </w:r>
            <w:r>
              <w:rPr>
                <w:rFonts w:hint="eastAsia" w:ascii="仿宋" w:hAnsi="仿宋" w:eastAsia="仿宋" w:cs="仿宋"/>
                <w:b/>
                <w:bCs/>
                <w:color w:val="auto"/>
                <w:sz w:val="24"/>
                <w:szCs w:val="24"/>
                <w:highlight w:val="none"/>
              </w:rPr>
              <w:t>最</w:t>
            </w:r>
            <w:r>
              <w:rPr>
                <w:rFonts w:hint="eastAsia" w:ascii="仿宋" w:hAnsi="仿宋" w:eastAsia="仿宋" w:cs="仿宋"/>
                <w:b/>
                <w:bCs/>
                <w:color w:val="auto"/>
                <w:sz w:val="24"/>
                <w:szCs w:val="24"/>
                <w:highlight w:val="none"/>
                <w:lang w:val="en-US" w:eastAsia="zh-CN"/>
              </w:rPr>
              <w:t>大</w:t>
            </w:r>
            <w:r>
              <w:rPr>
                <w:rFonts w:hint="eastAsia" w:ascii="仿宋" w:hAnsi="仿宋" w:eastAsia="仿宋" w:cs="仿宋"/>
                <w:b/>
                <w:bCs/>
                <w:color w:val="auto"/>
                <w:sz w:val="24"/>
                <w:szCs w:val="24"/>
                <w:highlight w:val="none"/>
              </w:rPr>
              <w:t>，次优表示</w:t>
            </w:r>
            <w:r>
              <w:rPr>
                <w:rFonts w:hint="eastAsia" w:ascii="仿宋" w:hAnsi="仿宋" w:eastAsia="仿宋" w:cs="仿宋"/>
                <w:b/>
                <w:bCs/>
                <w:color w:val="auto"/>
                <w:sz w:val="24"/>
                <w:szCs w:val="24"/>
                <w:highlight w:val="none"/>
                <w:lang w:eastAsia="zh-CN"/>
              </w:rPr>
              <w:t>公网集群对讲机的</w:t>
            </w:r>
            <w:r>
              <w:rPr>
                <w:rFonts w:hint="eastAsia" w:ascii="仿宋" w:hAnsi="仿宋" w:eastAsia="仿宋" w:cs="仿宋"/>
                <w:b/>
                <w:bCs/>
                <w:color w:val="auto"/>
                <w:sz w:val="24"/>
                <w:szCs w:val="24"/>
                <w:highlight w:val="none"/>
                <w:lang w:val="en-US" w:eastAsia="zh-CN"/>
              </w:rPr>
              <w:t>ROM</w:t>
            </w:r>
            <w:r>
              <w:rPr>
                <w:rFonts w:hint="eastAsia" w:ascii="仿宋" w:hAnsi="仿宋" w:eastAsia="仿宋" w:cs="仿宋"/>
                <w:b/>
                <w:bCs/>
                <w:color w:val="auto"/>
                <w:sz w:val="24"/>
                <w:szCs w:val="24"/>
                <w:highlight w:val="none"/>
              </w:rPr>
              <w:t>仅次于最大值。</w:t>
            </w:r>
          </w:p>
        </w:tc>
        <w:tc>
          <w:tcPr>
            <w:tcW w:w="440"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41" w:type="pct"/>
            <w:vMerge w:val="continue"/>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658" w:type="pct"/>
            <w:gridSpan w:val="3"/>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评审依据：提供技术条款响应表和技术支撑文件</w:t>
            </w:r>
            <w:r>
              <w:rPr>
                <w:rFonts w:hint="eastAsia" w:ascii="仿宋" w:hAnsi="仿宋" w:eastAsia="仿宋" w:cs="仿宋"/>
                <w:b/>
                <w:bCs/>
                <w:color w:val="auto"/>
                <w:sz w:val="24"/>
                <w:highlight w:val="none"/>
                <w:lang w:eastAsia="zh-CN"/>
              </w:rPr>
              <w:t>。</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hint="eastAsia"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hint="eastAsia"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hint="eastAsia"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③制造商出具的技术参数证明材料并加盖制造商公章。]</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注：①供应商应认真提供技术支撑文件，若提供多份技术支撑文件，技术支撑文件佐证不一致时，优先级为：产品检测报告复印件＞制造商公开发布的印刷资料＞制造商出具的技术参数证明</w:t>
            </w:r>
            <w:r>
              <w:rPr>
                <w:rFonts w:hint="eastAsia" w:ascii="仿宋" w:hAnsi="仿宋" w:eastAsia="仿宋" w:cs="仿宋"/>
                <w:b/>
                <w:bCs/>
                <w:color w:val="auto"/>
                <w:sz w:val="24"/>
                <w:highlight w:val="none"/>
                <w:lang w:val="en-US" w:eastAsia="zh-CN"/>
              </w:rPr>
              <w:t>材料</w:t>
            </w:r>
            <w:r>
              <w:rPr>
                <w:rFonts w:hint="eastAsia" w:ascii="仿宋" w:hAnsi="仿宋" w:eastAsia="仿宋" w:cs="仿宋"/>
                <w:b/>
                <w:bCs/>
                <w:color w:val="auto"/>
                <w:sz w:val="24"/>
                <w:highlight w:val="none"/>
              </w:rPr>
              <w:t>；②技术支撑文件</w:t>
            </w:r>
            <w:r>
              <w:rPr>
                <w:rFonts w:hint="eastAsia" w:ascii="仿宋" w:hAnsi="仿宋" w:eastAsia="仿宋" w:cs="仿宋"/>
                <w:b/>
                <w:bCs/>
                <w:color w:val="auto"/>
                <w:sz w:val="24"/>
                <w:highlight w:val="none"/>
                <w:lang w:val="en-US" w:eastAsia="zh-CN"/>
              </w:rPr>
              <w:t>与</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不一致，则</w:t>
            </w:r>
            <w:r>
              <w:rPr>
                <w:rFonts w:hint="eastAsia" w:ascii="仿宋" w:hAnsi="仿宋" w:eastAsia="仿宋" w:cs="仿宋"/>
                <w:b/>
                <w:bCs/>
                <w:color w:val="auto"/>
                <w:sz w:val="24"/>
                <w:highlight w:val="none"/>
              </w:rPr>
              <w:t>该点不加分</w:t>
            </w:r>
            <w:r>
              <w:rPr>
                <w:rFonts w:hint="eastAsia" w:ascii="仿宋" w:hAnsi="仿宋" w:eastAsia="仿宋" w:cs="仿宋"/>
                <w:b/>
                <w:bCs/>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41" w:type="pct"/>
            <w:vMerge w:val="continue"/>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89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b/>
                <w:bCs/>
                <w:color w:val="auto"/>
                <w:sz w:val="24"/>
                <w:highlight w:val="none"/>
              </w:rPr>
            </w:pPr>
            <w:r>
              <w:rPr>
                <w:rFonts w:hint="eastAsia" w:ascii="仿宋" w:hAnsi="仿宋" w:eastAsia="仿宋" w:cs="仿宋"/>
                <w:b w:val="0"/>
                <w:bCs w:val="0"/>
                <w:color w:val="auto"/>
                <w:sz w:val="24"/>
                <w:szCs w:val="24"/>
                <w:highlight w:val="none"/>
                <w:lang w:val="en-US" w:eastAsia="zh-CN"/>
              </w:rPr>
              <w:t>▲</w:t>
            </w:r>
            <w:r>
              <w:rPr>
                <w:rFonts w:hint="default" w:ascii="仿宋" w:hAnsi="仿宋" w:eastAsia="仿宋" w:cs="仿宋"/>
                <w:b w:val="0"/>
                <w:bCs w:val="0"/>
                <w:color w:val="auto"/>
                <w:sz w:val="24"/>
                <w:szCs w:val="24"/>
                <w:highlight w:val="none"/>
                <w:lang w:eastAsia="zh-CN"/>
              </w:rPr>
              <w:t>7</w:t>
            </w:r>
            <w:r>
              <w:rPr>
                <w:rFonts w:hint="eastAsia" w:ascii="仿宋" w:hAnsi="仿宋" w:eastAsia="仿宋" w:cs="仿宋"/>
                <w:b w:val="0"/>
                <w:bCs w:val="0"/>
                <w:color w:val="auto"/>
                <w:sz w:val="24"/>
                <w:szCs w:val="24"/>
                <w:highlight w:val="none"/>
                <w:lang w:val="en-US" w:eastAsia="zh-CN"/>
              </w:rPr>
              <w:t>、设备防护等级≥IP67（需提供具有CMA或CNAS标识的检测报告复印件并加盖制造商公章）</w:t>
            </w:r>
          </w:p>
        </w:tc>
        <w:tc>
          <w:tcPr>
            <w:tcW w:w="3323"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仿宋"/>
                <w:color w:val="auto"/>
                <w:sz w:val="24"/>
                <w:szCs w:val="24"/>
                <w:highlight w:val="none"/>
                <w:lang w:eastAsia="zh-CN"/>
              </w:rPr>
              <w:t>公网集群对讲机</w:t>
            </w:r>
            <w:r>
              <w:rPr>
                <w:rFonts w:hint="eastAsia" w:ascii="仿宋" w:hAnsi="仿宋" w:eastAsia="仿宋" w:cs="仿宋"/>
                <w:b w:val="0"/>
                <w:bCs w:val="0"/>
                <w:color w:val="auto"/>
                <w:sz w:val="24"/>
                <w:szCs w:val="24"/>
                <w:highlight w:val="none"/>
                <w:lang w:val="en-US" w:eastAsia="zh-CN"/>
              </w:rPr>
              <w:t>防护等级</w:t>
            </w:r>
            <w:r>
              <w:rPr>
                <w:rFonts w:hint="eastAsia" w:ascii="仿宋" w:hAnsi="仿宋" w:eastAsia="仿宋" w:cs="仿宋"/>
                <w:color w:val="auto"/>
                <w:sz w:val="24"/>
                <w:szCs w:val="24"/>
                <w:highlight w:val="none"/>
              </w:rPr>
              <w:t>优于招标文件要求的，</w:t>
            </w:r>
            <w:r>
              <w:rPr>
                <w:rFonts w:hint="eastAsia" w:ascii="仿宋" w:hAnsi="仿宋" w:eastAsia="仿宋" w:cs="仿宋"/>
                <w:b w:val="0"/>
                <w:bCs w:val="0"/>
                <w:color w:val="auto"/>
                <w:sz w:val="24"/>
                <w:szCs w:val="24"/>
                <w:highlight w:val="none"/>
                <w:lang w:val="en-US" w:eastAsia="zh-CN"/>
              </w:rPr>
              <w:t>防护等级</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b w:val="0"/>
                <w:bCs w:val="0"/>
                <w:color w:val="auto"/>
                <w:sz w:val="24"/>
                <w:szCs w:val="24"/>
                <w:highlight w:val="none"/>
                <w:lang w:val="en-US" w:eastAsia="zh-CN"/>
              </w:rPr>
              <w:t>防护等级</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eastAsia="zh-CN"/>
              </w:rPr>
              <w:t>公网集群对讲机的</w:t>
            </w:r>
            <w:r>
              <w:rPr>
                <w:rFonts w:hint="eastAsia" w:ascii="仿宋" w:hAnsi="仿宋" w:eastAsia="仿宋" w:cs="仿宋"/>
                <w:b/>
                <w:bCs/>
                <w:color w:val="auto"/>
                <w:sz w:val="24"/>
                <w:szCs w:val="24"/>
                <w:highlight w:val="none"/>
                <w:lang w:val="en-US" w:eastAsia="zh-CN"/>
              </w:rPr>
              <w:t>防护等级</w:t>
            </w:r>
            <w:r>
              <w:rPr>
                <w:rFonts w:hint="eastAsia" w:ascii="仿宋" w:hAnsi="仿宋" w:eastAsia="仿宋" w:cs="仿宋"/>
                <w:b/>
                <w:bCs/>
                <w:color w:val="auto"/>
                <w:sz w:val="24"/>
                <w:szCs w:val="24"/>
                <w:highlight w:val="none"/>
              </w:rPr>
              <w:t>最</w:t>
            </w:r>
            <w:r>
              <w:rPr>
                <w:rFonts w:hint="eastAsia" w:ascii="仿宋" w:hAnsi="仿宋" w:eastAsia="仿宋" w:cs="仿宋"/>
                <w:b/>
                <w:bCs/>
                <w:color w:val="auto"/>
                <w:sz w:val="24"/>
                <w:szCs w:val="24"/>
                <w:highlight w:val="none"/>
                <w:lang w:val="en-US" w:eastAsia="zh-CN"/>
              </w:rPr>
              <w:t>高</w:t>
            </w:r>
            <w:r>
              <w:rPr>
                <w:rFonts w:hint="eastAsia" w:ascii="仿宋" w:hAnsi="仿宋" w:eastAsia="仿宋" w:cs="仿宋"/>
                <w:b/>
                <w:bCs/>
                <w:color w:val="auto"/>
                <w:sz w:val="24"/>
                <w:szCs w:val="24"/>
                <w:highlight w:val="none"/>
              </w:rPr>
              <w:t>，次优表示</w:t>
            </w:r>
            <w:r>
              <w:rPr>
                <w:rFonts w:hint="eastAsia" w:ascii="仿宋" w:hAnsi="仿宋" w:eastAsia="仿宋" w:cs="仿宋"/>
                <w:b/>
                <w:bCs/>
                <w:color w:val="auto"/>
                <w:sz w:val="24"/>
                <w:szCs w:val="24"/>
                <w:highlight w:val="none"/>
                <w:lang w:eastAsia="zh-CN"/>
              </w:rPr>
              <w:t>公网集群对讲机的</w:t>
            </w:r>
            <w:r>
              <w:rPr>
                <w:rFonts w:hint="eastAsia" w:ascii="仿宋" w:hAnsi="仿宋" w:eastAsia="仿宋" w:cs="仿宋"/>
                <w:b/>
                <w:bCs/>
                <w:color w:val="auto"/>
                <w:sz w:val="24"/>
                <w:szCs w:val="24"/>
                <w:highlight w:val="none"/>
                <w:lang w:val="en-US" w:eastAsia="zh-CN"/>
              </w:rPr>
              <w:t>防护等级</w:t>
            </w:r>
            <w:r>
              <w:rPr>
                <w:rFonts w:hint="eastAsia" w:ascii="仿宋" w:hAnsi="仿宋" w:eastAsia="仿宋" w:cs="仿宋"/>
                <w:b/>
                <w:bCs/>
                <w:color w:val="auto"/>
                <w:sz w:val="24"/>
                <w:szCs w:val="24"/>
                <w:highlight w:val="none"/>
              </w:rPr>
              <w:t>仅次于最大值。</w:t>
            </w:r>
          </w:p>
        </w:tc>
        <w:tc>
          <w:tcPr>
            <w:tcW w:w="440"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b/>
                <w:bCs/>
                <w:color w:val="auto"/>
                <w:sz w:val="24"/>
                <w:highlight w:val="none"/>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41" w:type="pct"/>
            <w:vMerge w:val="continue"/>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89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b/>
                <w:bCs/>
                <w:color w:val="auto"/>
                <w:sz w:val="24"/>
                <w:highlight w:val="none"/>
              </w:rPr>
            </w:pPr>
            <w:r>
              <w:rPr>
                <w:rFonts w:hint="default" w:ascii="仿宋" w:hAnsi="仿宋" w:eastAsia="仿宋" w:cs="仿宋"/>
                <w:b w:val="0"/>
                <w:color w:val="auto"/>
                <w:kern w:val="2"/>
                <w:sz w:val="24"/>
                <w:szCs w:val="24"/>
                <w:highlight w:val="none"/>
                <w:lang w:val="en-US" w:eastAsia="zh-CN" w:bidi="ar"/>
              </w:rPr>
              <w:t>▲9.</w:t>
            </w:r>
            <w:r>
              <w:rPr>
                <w:rFonts w:hint="default" w:ascii="仿宋" w:hAnsi="仿宋" w:eastAsia="仿宋" w:cs="仿宋"/>
                <w:b w:val="0"/>
                <w:color w:val="auto"/>
                <w:kern w:val="2"/>
                <w:sz w:val="24"/>
                <w:szCs w:val="24"/>
                <w:highlight w:val="none"/>
                <w:lang w:eastAsia="zh-CN" w:bidi="ar"/>
              </w:rPr>
              <w:t>3</w:t>
            </w:r>
            <w:r>
              <w:rPr>
                <w:rFonts w:hint="default" w:ascii="仿宋" w:hAnsi="仿宋" w:eastAsia="仿宋" w:cs="仿宋"/>
                <w:b w:val="0"/>
                <w:color w:val="auto"/>
                <w:kern w:val="2"/>
                <w:sz w:val="24"/>
                <w:szCs w:val="24"/>
                <w:highlight w:val="none"/>
                <w:lang w:val="en-US" w:eastAsia="zh-CN" w:bidi="ar"/>
              </w:rPr>
              <w:t>平台软件网络安全等级保护测评≥2级（投标人需根据以上要求出具</w:t>
            </w:r>
            <w:r>
              <w:rPr>
                <w:rFonts w:hint="eastAsia" w:ascii="仿宋" w:hAnsi="仿宋" w:eastAsia="仿宋" w:cs="仿宋"/>
                <w:b w:val="0"/>
                <w:color w:val="auto"/>
                <w:kern w:val="2"/>
                <w:sz w:val="24"/>
                <w:szCs w:val="24"/>
                <w:highlight w:val="none"/>
                <w:lang w:val="en-US" w:eastAsia="zh-CN" w:bidi="ar"/>
              </w:rPr>
              <w:t>信息系统安全等级保护备案证明复印件</w:t>
            </w:r>
            <w:r>
              <w:rPr>
                <w:rFonts w:hint="default" w:ascii="仿宋" w:hAnsi="仿宋" w:eastAsia="仿宋" w:cs="仿宋"/>
                <w:b w:val="0"/>
                <w:color w:val="auto"/>
                <w:kern w:val="2"/>
                <w:sz w:val="24"/>
                <w:szCs w:val="24"/>
                <w:highlight w:val="none"/>
                <w:lang w:val="en-US" w:eastAsia="zh-CN" w:bidi="ar"/>
              </w:rPr>
              <w:t>）</w:t>
            </w:r>
          </w:p>
        </w:tc>
        <w:tc>
          <w:tcPr>
            <w:tcW w:w="3323"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所投</w:t>
            </w:r>
            <w:r>
              <w:rPr>
                <w:rFonts w:hint="eastAsia" w:ascii="仿宋" w:hAnsi="仿宋" w:eastAsia="仿宋" w:cs="仿宋"/>
                <w:color w:val="auto"/>
                <w:sz w:val="24"/>
                <w:szCs w:val="24"/>
                <w:highlight w:val="none"/>
                <w:lang w:eastAsia="zh-CN"/>
              </w:rPr>
              <w:t>公网集群对讲机</w:t>
            </w:r>
            <w:r>
              <w:rPr>
                <w:rFonts w:hint="eastAsia" w:ascii="仿宋" w:hAnsi="仿宋" w:eastAsia="仿宋" w:cs="仿宋"/>
                <w:color w:val="auto"/>
                <w:sz w:val="24"/>
                <w:szCs w:val="24"/>
                <w:highlight w:val="none"/>
                <w:lang w:val="en-US" w:eastAsia="zh-CN"/>
              </w:rPr>
              <w:t>的</w:t>
            </w:r>
            <w:r>
              <w:rPr>
                <w:rFonts w:hint="default" w:ascii="仿宋" w:hAnsi="仿宋" w:eastAsia="仿宋" w:cs="仿宋"/>
                <w:color w:val="auto"/>
                <w:sz w:val="24"/>
                <w:szCs w:val="24"/>
                <w:highlight w:val="none"/>
                <w:lang w:val="en-US" w:eastAsia="zh-CN"/>
              </w:rPr>
              <w:t>平台软件网络安全等级保护测评</w:t>
            </w:r>
            <w:r>
              <w:rPr>
                <w:rFonts w:hint="eastAsia" w:ascii="仿宋" w:hAnsi="仿宋" w:eastAsia="仿宋" w:cs="仿宋"/>
                <w:color w:val="auto"/>
                <w:sz w:val="24"/>
                <w:szCs w:val="24"/>
                <w:highlight w:val="none"/>
                <w:lang w:val="en-US" w:eastAsia="zh-CN"/>
              </w:rPr>
              <w:t>等级</w:t>
            </w:r>
            <w:r>
              <w:rPr>
                <w:rFonts w:hint="eastAsia" w:ascii="仿宋" w:hAnsi="仿宋" w:eastAsia="仿宋" w:cs="仿宋"/>
                <w:color w:val="auto"/>
                <w:sz w:val="24"/>
                <w:szCs w:val="24"/>
                <w:highlight w:val="none"/>
                <w:lang w:eastAsia="zh-CN"/>
              </w:rPr>
              <w:t>优于招标文件要求的，</w:t>
            </w:r>
            <w:r>
              <w:rPr>
                <w:rFonts w:hint="default" w:ascii="仿宋" w:hAnsi="仿宋" w:eastAsia="仿宋" w:cs="仿宋"/>
                <w:color w:val="auto"/>
                <w:sz w:val="24"/>
                <w:szCs w:val="24"/>
                <w:highlight w:val="none"/>
                <w:lang w:val="en-US" w:eastAsia="zh-CN"/>
              </w:rPr>
              <w:t>平台软件网络安全等级保护测评</w:t>
            </w:r>
            <w:r>
              <w:rPr>
                <w:rFonts w:hint="eastAsia" w:ascii="仿宋" w:hAnsi="仿宋" w:eastAsia="仿宋" w:cs="仿宋"/>
                <w:color w:val="auto"/>
                <w:sz w:val="24"/>
                <w:szCs w:val="24"/>
                <w:highlight w:val="none"/>
                <w:lang w:val="en-US" w:eastAsia="zh-CN"/>
              </w:rPr>
              <w:t>等级</w:t>
            </w:r>
            <w:r>
              <w:rPr>
                <w:rFonts w:hint="eastAsia" w:ascii="仿宋" w:hAnsi="仿宋" w:eastAsia="仿宋" w:cs="仿宋"/>
                <w:color w:val="auto"/>
                <w:sz w:val="24"/>
                <w:szCs w:val="24"/>
                <w:highlight w:val="none"/>
                <w:lang w:eastAsia="zh-CN"/>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分，</w:t>
            </w:r>
            <w:r>
              <w:rPr>
                <w:rFonts w:hint="default" w:ascii="仿宋" w:hAnsi="仿宋" w:eastAsia="仿宋" w:cs="仿宋"/>
                <w:color w:val="auto"/>
                <w:sz w:val="24"/>
                <w:szCs w:val="24"/>
                <w:highlight w:val="none"/>
                <w:lang w:val="en-US" w:eastAsia="zh-CN"/>
              </w:rPr>
              <w:t>平台软件网络安全等级保护测评</w:t>
            </w:r>
            <w:r>
              <w:rPr>
                <w:rFonts w:hint="eastAsia" w:ascii="仿宋" w:hAnsi="仿宋" w:eastAsia="仿宋" w:cs="仿宋"/>
                <w:color w:val="auto"/>
                <w:sz w:val="24"/>
                <w:szCs w:val="24"/>
                <w:highlight w:val="none"/>
                <w:lang w:val="en-US" w:eastAsia="zh-CN"/>
              </w:rPr>
              <w:t>等级</w:t>
            </w:r>
            <w:r>
              <w:rPr>
                <w:rFonts w:hint="eastAsia" w:ascii="仿宋" w:hAnsi="仿宋" w:eastAsia="仿宋" w:cs="仿宋"/>
                <w:color w:val="auto"/>
                <w:sz w:val="24"/>
                <w:szCs w:val="24"/>
                <w:highlight w:val="none"/>
                <w:lang w:eastAsia="zh-CN"/>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eastAsia="zh-CN"/>
              </w:rPr>
              <w:t>公网集群对讲机的</w:t>
            </w:r>
            <w:r>
              <w:rPr>
                <w:rFonts w:hint="eastAsia" w:ascii="仿宋" w:hAnsi="仿宋" w:eastAsia="仿宋" w:cs="仿宋"/>
                <w:b/>
                <w:bCs/>
                <w:color w:val="auto"/>
                <w:sz w:val="24"/>
                <w:szCs w:val="24"/>
                <w:highlight w:val="none"/>
                <w:lang w:val="en-US" w:eastAsia="zh-CN"/>
              </w:rPr>
              <w:t>平台软件网络安全等级保护测评等级</w:t>
            </w:r>
            <w:r>
              <w:rPr>
                <w:rFonts w:hint="eastAsia" w:ascii="仿宋" w:hAnsi="仿宋" w:eastAsia="仿宋" w:cs="仿宋"/>
                <w:b/>
                <w:bCs/>
                <w:color w:val="auto"/>
                <w:sz w:val="24"/>
                <w:szCs w:val="24"/>
                <w:highlight w:val="none"/>
              </w:rPr>
              <w:t>最</w:t>
            </w:r>
            <w:r>
              <w:rPr>
                <w:rFonts w:hint="eastAsia" w:ascii="仿宋" w:hAnsi="仿宋" w:eastAsia="仿宋" w:cs="仿宋"/>
                <w:b/>
                <w:bCs/>
                <w:color w:val="auto"/>
                <w:sz w:val="24"/>
                <w:szCs w:val="24"/>
                <w:highlight w:val="none"/>
                <w:lang w:val="en-US" w:eastAsia="zh-CN"/>
              </w:rPr>
              <w:t>高</w:t>
            </w:r>
            <w:r>
              <w:rPr>
                <w:rFonts w:hint="eastAsia" w:ascii="仿宋" w:hAnsi="仿宋" w:eastAsia="仿宋" w:cs="仿宋"/>
                <w:b/>
                <w:bCs/>
                <w:color w:val="auto"/>
                <w:sz w:val="24"/>
                <w:szCs w:val="24"/>
                <w:highlight w:val="none"/>
              </w:rPr>
              <w:t>，次优表示</w:t>
            </w:r>
            <w:r>
              <w:rPr>
                <w:rFonts w:hint="eastAsia" w:ascii="仿宋" w:hAnsi="仿宋" w:eastAsia="仿宋" w:cs="仿宋"/>
                <w:b/>
                <w:bCs/>
                <w:color w:val="auto"/>
                <w:sz w:val="24"/>
                <w:szCs w:val="24"/>
                <w:highlight w:val="none"/>
                <w:lang w:eastAsia="zh-CN"/>
              </w:rPr>
              <w:t>公网集群对讲机的</w:t>
            </w:r>
            <w:r>
              <w:rPr>
                <w:rFonts w:hint="eastAsia" w:ascii="仿宋" w:hAnsi="仿宋" w:eastAsia="仿宋" w:cs="仿宋"/>
                <w:b/>
                <w:bCs/>
                <w:color w:val="auto"/>
                <w:sz w:val="24"/>
                <w:szCs w:val="24"/>
                <w:highlight w:val="none"/>
                <w:lang w:val="en-US" w:eastAsia="zh-CN"/>
              </w:rPr>
              <w:t>平台软件网络安全等级保护测评等级</w:t>
            </w:r>
            <w:r>
              <w:rPr>
                <w:rFonts w:hint="eastAsia" w:ascii="仿宋" w:hAnsi="仿宋" w:eastAsia="仿宋" w:cs="仿宋"/>
                <w:b/>
                <w:bCs/>
                <w:color w:val="auto"/>
                <w:sz w:val="24"/>
                <w:szCs w:val="24"/>
                <w:highlight w:val="none"/>
              </w:rPr>
              <w:t>仅次于最大值。</w:t>
            </w:r>
          </w:p>
        </w:tc>
        <w:tc>
          <w:tcPr>
            <w:tcW w:w="440"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b/>
                <w:bCs/>
                <w:color w:val="auto"/>
                <w:sz w:val="24"/>
                <w:highlight w:val="none"/>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41" w:type="pct"/>
            <w:vMerge w:val="continue"/>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658" w:type="pct"/>
            <w:gridSpan w:val="3"/>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评审依据：提供技术条款响应表和</w:t>
            </w:r>
            <w:r>
              <w:rPr>
                <w:rFonts w:hint="eastAsia" w:ascii="仿宋" w:hAnsi="仿宋" w:eastAsia="仿宋" w:cs="仿宋"/>
                <w:b/>
                <w:bCs/>
                <w:color w:val="auto"/>
                <w:sz w:val="24"/>
                <w:highlight w:val="none"/>
                <w:lang w:val="en-US" w:eastAsia="zh-CN"/>
              </w:rPr>
              <w:t>相对应的</w:t>
            </w:r>
            <w:r>
              <w:rPr>
                <w:rFonts w:hint="eastAsia" w:ascii="仿宋" w:hAnsi="仿宋" w:eastAsia="仿宋" w:cs="仿宋"/>
                <w:b/>
                <w:bCs/>
                <w:color w:val="auto"/>
                <w:sz w:val="24"/>
                <w:highlight w:val="none"/>
              </w:rPr>
              <w:t>技术支撑文件</w:t>
            </w:r>
            <w:r>
              <w:rPr>
                <w:rFonts w:hint="eastAsia" w:ascii="仿宋" w:hAnsi="仿宋" w:eastAsia="仿宋" w:cs="仿宋"/>
                <w:b/>
                <w:bCs/>
                <w:color w:val="auto"/>
                <w:sz w:val="24"/>
                <w:highlight w:val="none"/>
                <w:lang w:val="en-US" w:eastAsia="zh-CN"/>
              </w:rPr>
              <w:t>，技术支撑文件与技术条款响应表不一致，则该点不加分。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41"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89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整体结构与外观</w:t>
            </w:r>
          </w:p>
        </w:tc>
        <w:tc>
          <w:tcPr>
            <w:tcW w:w="3323"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根据视频文件对产品的外观构造、内部结构、设计理念等进行评审。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设计理念先进，外部构造和内部结构科学合理，整体结构外观与实战紧贴程度高的，得3分；设计理念较为先进，外部构造和内部结构较为合理，整体结构外观与实战紧贴程度较高的，得2分；设计理念一般，外观构造和内部结构基本合理，整体结构外观与实战紧贴程度不高的，得1分；未提供证明材料或证明材料有缺项的不得分。</w:t>
            </w:r>
          </w:p>
        </w:tc>
        <w:tc>
          <w:tcPr>
            <w:tcW w:w="440"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41"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89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工艺</w:t>
            </w:r>
          </w:p>
        </w:tc>
        <w:tc>
          <w:tcPr>
            <w:tcW w:w="3323"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w:t>
            </w:r>
            <w:r>
              <w:rPr>
                <w:rFonts w:hint="eastAsia" w:ascii="仿宋" w:hAnsi="仿宋" w:eastAsia="仿宋" w:cs="仿宋"/>
                <w:color w:val="auto"/>
                <w:sz w:val="24"/>
                <w:highlight w:val="none"/>
                <w:lang w:eastAsia="zh-CN"/>
              </w:rPr>
              <w:t>产品</w:t>
            </w:r>
            <w:r>
              <w:rPr>
                <w:rFonts w:hint="eastAsia" w:ascii="仿宋" w:hAnsi="仿宋" w:eastAsia="仿宋" w:cs="仿宋"/>
                <w:color w:val="auto"/>
                <w:sz w:val="24"/>
                <w:highlight w:val="none"/>
              </w:rPr>
              <w:t>的安全性、耐用性、实用性等进行评审。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性能高、耐用性能好、实用性能强，工艺符合实战需求程度高的，得3分；安全性能较高、耐用性能良好、实用性能较强，工艺符合实战需求程度较高的，得2分；安全性能不高、耐用性能普通、实用性能一般，工艺符合实战需求程度不高的，得1分；未提供证明材料或证明材料有缺项的不得分。</w:t>
            </w:r>
          </w:p>
        </w:tc>
        <w:tc>
          <w:tcPr>
            <w:tcW w:w="440"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41"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89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操作使用性能</w:t>
            </w:r>
          </w:p>
        </w:tc>
        <w:tc>
          <w:tcPr>
            <w:tcW w:w="3323"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w:t>
            </w:r>
            <w:r>
              <w:rPr>
                <w:rFonts w:hint="eastAsia" w:ascii="仿宋" w:hAnsi="仿宋" w:eastAsia="仿宋" w:cs="仿宋"/>
                <w:color w:val="auto"/>
                <w:sz w:val="24"/>
                <w:highlight w:val="none"/>
                <w:lang w:eastAsia="zh-CN"/>
              </w:rPr>
              <w:t>产品</w:t>
            </w:r>
            <w:r>
              <w:rPr>
                <w:rFonts w:hint="eastAsia" w:ascii="仿宋" w:hAnsi="仿宋" w:eastAsia="仿宋" w:cs="仿宋"/>
                <w:color w:val="auto"/>
                <w:sz w:val="24"/>
                <w:highlight w:val="none"/>
              </w:rPr>
              <w:t>的可靠性、便捷性、稳定性等进行评审。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可靠性高、便捷性好、稳定性好，操作使用性能提升战斗力程度高的，得4分；可靠性较高、便捷性较好、稳定性良好，操作使用性能提升战斗力程度较高的，得2分；可靠性不高、便捷性和稳定性一般，操作使用性能提升战斗力程度不高的，得1分；未提供证明材料或证明材料有缺项的不得分。</w:t>
            </w:r>
          </w:p>
        </w:tc>
        <w:tc>
          <w:tcPr>
            <w:tcW w:w="440"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41" w:type="pct"/>
            <w:vMerge w:val="continue"/>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658" w:type="pct"/>
            <w:gridSpan w:val="3"/>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lang w:eastAsia="zh-CN"/>
              </w:rPr>
            </w:pPr>
            <w:r>
              <w:rPr>
                <w:rFonts w:hint="eastAsia" w:ascii="仿宋" w:hAnsi="仿宋" w:eastAsia="仿宋" w:cs="仿宋"/>
                <w:b/>
                <w:bCs/>
                <w:color w:val="auto"/>
                <w:sz w:val="24"/>
                <w:highlight w:val="none"/>
              </w:rPr>
              <w:t>以上评审依据：根据视频文件对产品的整体结构与外观、工艺、操作使用性能进行综合评审，视频文件需对以上三点评审内容进行介绍（包含但不限于以上三点）。视频文件[视频文件格式须为通用格式，佐证视频时长不得超过5分钟，视频清晰度应至少保证所摄的界面文字清晰易辨、画面完整连贯、播放速度正常]应存储于U盘内（单独密封在信封中）与投标文件同时递交，逾期递交不予接收，</w:t>
            </w:r>
            <w:r>
              <w:rPr>
                <w:rFonts w:hint="eastAsia" w:ascii="仿宋" w:hAnsi="仿宋" w:eastAsia="仿宋" w:cs="仿宋"/>
                <w:b/>
                <w:bCs/>
                <w:color w:val="auto"/>
                <w:sz w:val="24"/>
                <w:highlight w:val="none"/>
                <w:lang w:eastAsia="zh-CN"/>
              </w:rPr>
              <w:t>U盘由采购代理机构封存，不予退回。未提供视频或视频无法打开的，得0分。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三、商务部分（1</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3"/>
        <w:gridCol w:w="1202"/>
        <w:gridCol w:w="5776"/>
        <w:gridCol w:w="8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序号</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评审因素</w:t>
            </w:r>
          </w:p>
        </w:tc>
        <w:tc>
          <w:tcPr>
            <w:tcW w:w="3389"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评分标准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1</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bCs/>
                <w:color w:val="auto"/>
                <w:sz w:val="24"/>
                <w:szCs w:val="22"/>
                <w:highlight w:val="none"/>
              </w:rPr>
            </w:pPr>
            <w:r>
              <w:rPr>
                <w:rFonts w:hint="eastAsia" w:ascii="仿宋" w:hAnsi="仿宋" w:eastAsia="仿宋" w:cs="仿宋"/>
                <w:color w:val="auto"/>
                <w:sz w:val="24"/>
                <w:highlight w:val="none"/>
              </w:rPr>
              <w:t>符合性评审</w:t>
            </w:r>
          </w:p>
        </w:tc>
        <w:tc>
          <w:tcPr>
            <w:tcW w:w="3887" w:type="pct"/>
            <w:gridSpan w:val="2"/>
            <w:vAlign w:val="center"/>
          </w:tcPr>
          <w:p>
            <w:pPr>
              <w:pageBreakBefore w:val="0"/>
              <w:kinsoku/>
              <w:wordWrap/>
              <w:overflowPunct/>
              <w:topLinePunct w:val="0"/>
              <w:autoSpaceDE/>
              <w:autoSpaceDN/>
              <w:bidi w:val="0"/>
              <w:adjustRightInd/>
              <w:snapToGrid/>
              <w:spacing w:line="460" w:lineRule="exact"/>
              <w:rPr>
                <w:rFonts w:eastAsia="仿宋" w:cs="Times New Roman"/>
                <w:color w:val="auto"/>
                <w:sz w:val="24"/>
                <w:szCs w:val="22"/>
                <w:highlight w:val="none"/>
              </w:rPr>
            </w:pPr>
            <w:r>
              <w:rPr>
                <w:rFonts w:hint="eastAsia" w:eastAsia="仿宋" w:cs="Times New Roman"/>
                <w:color w:val="auto"/>
                <w:sz w:val="24"/>
                <w:szCs w:val="22"/>
                <w:highlight w:val="none"/>
              </w:rPr>
              <w:t>投标人必须完全满足招标文件“商务要求”</w:t>
            </w:r>
            <w:r>
              <w:rPr>
                <w:rFonts w:hint="eastAsia" w:eastAsia="仿宋" w:cs="Times New Roman"/>
                <w:color w:val="auto"/>
                <w:sz w:val="24"/>
                <w:szCs w:val="22"/>
                <w:highlight w:val="none"/>
                <w:lang w:val="en-US" w:eastAsia="zh-CN"/>
              </w:rPr>
              <w:t>所有</w:t>
            </w:r>
            <w:r>
              <w:rPr>
                <w:rFonts w:hint="eastAsia" w:eastAsia="仿宋" w:cs="Times New Roman"/>
                <w:color w:val="auto"/>
                <w:sz w:val="24"/>
                <w:szCs w:val="22"/>
                <w:highlight w:val="none"/>
              </w:rPr>
              <w:t>实质性条款，任意一项不满足作无效投标处理。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eastAsia="仿宋" w:cs="Times New Roman"/>
                <w:b/>
                <w:bCs/>
                <w:color w:val="auto"/>
                <w:sz w:val="24"/>
                <w:szCs w:val="22"/>
                <w:highlight w:val="none"/>
              </w:rPr>
              <w:t>评审依据：投标文件中提供的商务条款响应表。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2</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hint="eastAsia" w:eastAsia="仿宋"/>
                <w:color w:val="auto"/>
                <w:sz w:val="24"/>
                <w:szCs w:val="22"/>
                <w:highlight w:val="none"/>
                <w:lang w:eastAsia="zh-CN"/>
              </w:rPr>
            </w:pPr>
            <w:r>
              <w:rPr>
                <w:rFonts w:hint="eastAsia" w:eastAsia="仿宋"/>
                <w:color w:val="auto"/>
                <w:sz w:val="24"/>
                <w:szCs w:val="22"/>
                <w:highlight w:val="none"/>
                <w:lang w:eastAsia="zh-CN"/>
              </w:rPr>
              <w:t>生产制造履约能力</w:t>
            </w:r>
          </w:p>
        </w:tc>
        <w:tc>
          <w:tcPr>
            <w:tcW w:w="3389" w:type="pct"/>
            <w:vAlign w:val="center"/>
          </w:tcPr>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val="en-US" w:eastAsia="zh-CN"/>
              </w:rPr>
              <w:t>投标人提供所投产品制造商的证明材料（应加盖制造商公章）</w:t>
            </w:r>
            <w:r>
              <w:rPr>
                <w:rFonts w:hint="eastAsia" w:eastAsia="仿宋" w:cs="Times New Roman"/>
                <w:color w:val="auto"/>
                <w:sz w:val="24"/>
                <w:szCs w:val="22"/>
                <w:highlight w:val="none"/>
              </w:rPr>
              <w:t>对</w:t>
            </w:r>
            <w:r>
              <w:rPr>
                <w:rFonts w:hint="eastAsia" w:eastAsia="仿宋" w:cs="Times New Roman"/>
                <w:color w:val="auto"/>
                <w:sz w:val="24"/>
                <w:szCs w:val="22"/>
                <w:highlight w:val="none"/>
                <w:lang w:eastAsia="zh-CN"/>
              </w:rPr>
              <w:t>生产制造履约能力</w:t>
            </w:r>
            <w:r>
              <w:rPr>
                <w:rFonts w:hint="eastAsia" w:eastAsia="仿宋" w:cs="Times New Roman"/>
                <w:color w:val="auto"/>
                <w:sz w:val="24"/>
                <w:szCs w:val="22"/>
                <w:highlight w:val="none"/>
              </w:rPr>
              <w:t>进行评审，包含但不限于</w:t>
            </w:r>
            <w:r>
              <w:rPr>
                <w:rFonts w:hint="eastAsia" w:eastAsia="仿宋" w:cs="Times New Roman"/>
                <w:color w:val="auto"/>
                <w:sz w:val="24"/>
                <w:szCs w:val="22"/>
                <w:highlight w:val="none"/>
                <w:lang w:eastAsia="zh-CN"/>
              </w:rPr>
              <w:t>：</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eastAsia="zh-CN"/>
              </w:rPr>
              <w:t>①制造商生产经营情况简介；</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②</w:t>
            </w:r>
            <w:r>
              <w:rPr>
                <w:rFonts w:hint="eastAsia" w:eastAsia="仿宋" w:cs="Times New Roman"/>
                <w:color w:val="auto"/>
                <w:sz w:val="24"/>
                <w:szCs w:val="22"/>
                <w:highlight w:val="none"/>
                <w:lang w:eastAsia="zh-CN"/>
              </w:rPr>
              <w:t>生产工艺流程，主要包括生产制造流程图、生产步骤（应含生产车间环境及实际生产照片）等相关情况描述；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③产品检验流程，包括主要检验设备</w:t>
            </w:r>
            <w:r>
              <w:rPr>
                <w:rFonts w:hint="eastAsia" w:eastAsia="仿宋" w:cs="Times New Roman"/>
                <w:color w:val="auto"/>
                <w:sz w:val="24"/>
                <w:szCs w:val="22"/>
                <w:highlight w:val="none"/>
                <w:lang w:eastAsia="zh-CN"/>
              </w:rPr>
              <w:t>（应提供图片）</w:t>
            </w:r>
            <w:r>
              <w:rPr>
                <w:rFonts w:hint="eastAsia" w:eastAsia="仿宋" w:cs="Times New Roman"/>
                <w:color w:val="auto"/>
                <w:sz w:val="24"/>
                <w:szCs w:val="22"/>
                <w:highlight w:val="none"/>
              </w:rPr>
              <w:t>、检验步骤等相关情况描述；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④人员配备：相关专业技术</w:t>
            </w:r>
            <w:r>
              <w:rPr>
                <w:rFonts w:hint="eastAsia" w:eastAsia="仿宋" w:cs="Times New Roman"/>
                <w:color w:val="auto"/>
                <w:sz w:val="24"/>
                <w:szCs w:val="22"/>
                <w:highlight w:val="none"/>
                <w:lang w:eastAsia="zh-CN"/>
              </w:rPr>
              <w:t>职称</w:t>
            </w:r>
            <w:r>
              <w:rPr>
                <w:rFonts w:hint="eastAsia" w:eastAsia="仿宋" w:cs="Times New Roman"/>
                <w:color w:val="auto"/>
                <w:sz w:val="24"/>
                <w:szCs w:val="22"/>
                <w:highlight w:val="none"/>
              </w:rPr>
              <w:t>人员配置情况</w:t>
            </w:r>
            <w:r>
              <w:rPr>
                <w:rFonts w:hint="eastAsia" w:eastAsia="仿宋" w:cs="Times New Roman"/>
                <w:color w:val="auto"/>
                <w:sz w:val="24"/>
                <w:szCs w:val="22"/>
                <w:highlight w:val="none"/>
                <w:lang w:eastAsia="zh-CN"/>
              </w:rPr>
              <w:t>；</w:t>
            </w:r>
            <w:r>
              <w:rPr>
                <w:rFonts w:hint="eastAsia" w:eastAsia="仿宋" w:cs="Times New Roman"/>
                <w:color w:val="auto"/>
                <w:sz w:val="24"/>
                <w:szCs w:val="22"/>
                <w:highlight w:val="none"/>
              </w:rPr>
              <w:t>各原材料采购、生产、检验、仓储、运输等环节的人员配备情况；</w:t>
            </w:r>
          </w:p>
          <w:p>
            <w:pPr>
              <w:pageBreakBefore w:val="0"/>
              <w:kinsoku/>
              <w:wordWrap/>
              <w:overflowPunct/>
              <w:topLinePunct w:val="0"/>
              <w:autoSpaceDE/>
              <w:autoSpaceDN/>
              <w:bidi w:val="0"/>
              <w:adjustRightInd/>
              <w:snapToGrid/>
              <w:spacing w:line="460" w:lineRule="exact"/>
              <w:rPr>
                <w:rFonts w:hint="eastAsia" w:eastAsia="仿宋" w:cs="Times New Roman"/>
                <w:b/>
                <w:bCs/>
                <w:color w:val="auto"/>
                <w:sz w:val="24"/>
                <w:szCs w:val="22"/>
                <w:highlight w:val="none"/>
              </w:rPr>
            </w:pPr>
            <w:r>
              <w:rPr>
                <w:rFonts w:hint="eastAsia" w:eastAsia="仿宋" w:cs="Times New Roman"/>
                <w:b/>
                <w:bCs/>
                <w:color w:val="auto"/>
                <w:sz w:val="24"/>
                <w:szCs w:val="22"/>
                <w:highlight w:val="none"/>
              </w:rPr>
              <w:t>评审依据：</w:t>
            </w:r>
            <w:r>
              <w:rPr>
                <w:rFonts w:hint="eastAsia" w:eastAsia="仿宋" w:cs="Times New Roman"/>
                <w:b/>
                <w:bCs/>
                <w:color w:val="auto"/>
                <w:sz w:val="24"/>
                <w:szCs w:val="22"/>
                <w:highlight w:val="none"/>
                <w:lang w:val="en-US" w:eastAsia="zh-CN"/>
              </w:rPr>
              <w:t>根据</w:t>
            </w:r>
            <w:r>
              <w:rPr>
                <w:rFonts w:hint="eastAsia" w:eastAsia="仿宋" w:cs="Times New Roman"/>
                <w:b/>
                <w:bCs/>
                <w:color w:val="auto"/>
                <w:sz w:val="24"/>
                <w:szCs w:val="22"/>
                <w:highlight w:val="none"/>
              </w:rPr>
              <w:t>投标人提</w:t>
            </w:r>
            <w:r>
              <w:rPr>
                <w:rFonts w:hint="eastAsia" w:eastAsia="仿宋" w:cs="Times New Roman"/>
                <w:b/>
                <w:bCs/>
                <w:color w:val="auto"/>
                <w:sz w:val="24"/>
                <w:szCs w:val="22"/>
                <w:highlight w:val="none"/>
                <w:lang w:val="en-US" w:eastAsia="zh-CN"/>
              </w:rPr>
              <w:t>供的生产制造履约能力方案内容完整性、组织性、关联性和可操作性进行评审</w:t>
            </w:r>
            <w:r>
              <w:rPr>
                <w:rFonts w:hint="eastAsia" w:eastAsia="仿宋" w:cs="Times New Roman"/>
                <w:b/>
                <w:bCs/>
                <w:color w:val="auto"/>
                <w:sz w:val="24"/>
                <w:szCs w:val="22"/>
                <w:highlight w:val="none"/>
              </w:rPr>
              <w:t>。</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1、所投</w:t>
            </w:r>
            <w:r>
              <w:rPr>
                <w:rFonts w:hint="eastAsia" w:eastAsia="仿宋" w:cs="Times New Roman"/>
                <w:b/>
                <w:bCs/>
                <w:color w:val="auto"/>
                <w:sz w:val="24"/>
                <w:szCs w:val="22"/>
                <w:highlight w:val="none"/>
                <w:lang w:val="en-US" w:eastAsia="zh-CN"/>
              </w:rPr>
              <w:t>产品</w:t>
            </w:r>
            <w:r>
              <w:rPr>
                <w:rFonts w:hint="eastAsia" w:ascii="仿宋" w:hAnsi="仿宋" w:eastAsia="仿宋" w:cs="仿宋"/>
                <w:b/>
                <w:bCs/>
                <w:color w:val="auto"/>
                <w:sz w:val="24"/>
                <w:szCs w:val="24"/>
                <w:highlight w:val="none"/>
                <w:lang w:val="en-US" w:eastAsia="zh-CN"/>
              </w:rPr>
              <w:t>制造商具备较强自主研发能力及先进的生产工艺，生产车间环境及生产线先进规范，生产步骤完整周详，技术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检验设备配置齐全、检验步骤严密无纰漏，生产制造履约能力</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分；</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2、所投</w:t>
            </w:r>
            <w:r>
              <w:rPr>
                <w:rFonts w:hint="eastAsia" w:eastAsia="仿宋" w:cs="Times New Roman"/>
                <w:b/>
                <w:bCs/>
                <w:color w:val="auto"/>
                <w:sz w:val="24"/>
                <w:szCs w:val="22"/>
                <w:highlight w:val="none"/>
                <w:lang w:val="en-US" w:eastAsia="zh-CN"/>
              </w:rPr>
              <w:t>产品</w:t>
            </w:r>
            <w:r>
              <w:rPr>
                <w:rFonts w:hint="eastAsia" w:ascii="仿宋" w:hAnsi="仿宋" w:eastAsia="仿宋" w:cs="仿宋"/>
                <w:b/>
                <w:bCs/>
                <w:color w:val="auto"/>
                <w:sz w:val="24"/>
                <w:szCs w:val="24"/>
                <w:highlight w:val="none"/>
                <w:lang w:val="en-US" w:eastAsia="zh-CN"/>
              </w:rPr>
              <w:t>制造商有自主研发能力和生产工艺较完整，生产车间环境及生产线常规，生产步骤较完整周详，技术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eastAsia="zh-CN"/>
              </w:rPr>
              <w:t>相对</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检验设备配置较齐全、检验步骤相对完备，生产制造履约能力</w:t>
            </w:r>
            <w:r>
              <w:rPr>
                <w:rFonts w:hint="eastAsia" w:ascii="仿宋" w:hAnsi="仿宋" w:eastAsia="仿宋" w:cs="仿宋"/>
                <w:b/>
                <w:bCs/>
                <w:color w:val="auto"/>
                <w:sz w:val="24"/>
                <w:szCs w:val="24"/>
                <w:highlight w:val="none"/>
                <w:lang w:eastAsia="zh-CN"/>
              </w:rPr>
              <w:t>较</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3、所投</w:t>
            </w:r>
            <w:r>
              <w:rPr>
                <w:rFonts w:hint="eastAsia" w:eastAsia="仿宋" w:cs="Times New Roman"/>
                <w:b/>
                <w:bCs/>
                <w:color w:val="auto"/>
                <w:sz w:val="24"/>
                <w:szCs w:val="22"/>
                <w:highlight w:val="none"/>
                <w:lang w:val="en-US" w:eastAsia="zh-CN"/>
              </w:rPr>
              <w:t>产品</w:t>
            </w:r>
            <w:r>
              <w:rPr>
                <w:rFonts w:hint="eastAsia" w:ascii="仿宋" w:hAnsi="仿宋" w:eastAsia="仿宋" w:cs="仿宋"/>
                <w:b/>
                <w:bCs/>
                <w:color w:val="auto"/>
                <w:sz w:val="24"/>
                <w:szCs w:val="24"/>
                <w:highlight w:val="none"/>
                <w:lang w:val="en-US" w:eastAsia="zh-CN"/>
              </w:rPr>
              <w:t>制造商有自主研发能力和生产工艺薄弱，生产车间环境及生产线粗糙落后，生产步骤简单，技术</w:t>
            </w:r>
            <w:r>
              <w:rPr>
                <w:rFonts w:hint="eastAsia" w:ascii="仿宋" w:hAnsi="仿宋" w:eastAsia="仿宋" w:cs="仿宋"/>
                <w:b/>
                <w:bCs/>
                <w:color w:val="auto"/>
                <w:sz w:val="24"/>
                <w:szCs w:val="24"/>
                <w:highlight w:val="none"/>
              </w:rPr>
              <w:t>人员</w:t>
            </w:r>
            <w:r>
              <w:rPr>
                <w:rFonts w:hint="eastAsia" w:ascii="仿宋" w:hAnsi="仿宋" w:eastAsia="仿宋" w:cs="仿宋"/>
                <w:b/>
                <w:bCs/>
                <w:color w:val="auto"/>
                <w:sz w:val="24"/>
                <w:szCs w:val="24"/>
                <w:highlight w:val="none"/>
                <w:lang w:eastAsia="zh-CN"/>
              </w:rPr>
              <w:t>综合实力一般，</w:t>
            </w:r>
            <w:r>
              <w:rPr>
                <w:rFonts w:hint="eastAsia" w:ascii="仿宋" w:hAnsi="仿宋" w:eastAsia="仿宋" w:cs="仿宋"/>
                <w:b/>
                <w:bCs/>
                <w:color w:val="auto"/>
                <w:sz w:val="24"/>
                <w:szCs w:val="24"/>
                <w:highlight w:val="none"/>
                <w:lang w:val="en-US" w:eastAsia="zh-CN"/>
              </w:rPr>
              <w:t>检验设备配置简单落后，检验步骤普通，生产制造履约能力</w:t>
            </w:r>
            <w:r>
              <w:rPr>
                <w:rFonts w:hint="eastAsia" w:ascii="仿宋" w:hAnsi="仿宋" w:eastAsia="仿宋" w:cs="仿宋"/>
                <w:b/>
                <w:bCs/>
                <w:color w:val="auto"/>
                <w:sz w:val="24"/>
                <w:szCs w:val="24"/>
                <w:highlight w:val="none"/>
                <w:lang w:eastAsia="zh-CN"/>
              </w:rPr>
              <w:t>弱</w:t>
            </w:r>
            <w:r>
              <w:rPr>
                <w:rFonts w:hint="eastAsia" w:ascii="仿宋" w:hAnsi="仿宋" w:eastAsia="仿宋" w:cs="仿宋"/>
                <w:b/>
                <w:bCs/>
                <w:color w:val="auto"/>
                <w:sz w:val="24"/>
                <w:szCs w:val="24"/>
                <w:highlight w:val="none"/>
              </w:rPr>
              <w:t>的得</w:t>
            </w: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未提供证明材料或证明材料有缺项的不得分。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3</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质量保证和保修</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eastAsia="仿宋"/>
                <w:color w:val="auto"/>
                <w:sz w:val="24"/>
                <w:szCs w:val="22"/>
                <w:highlight w:val="none"/>
              </w:rPr>
            </w:pPr>
            <w:r>
              <w:rPr>
                <w:rFonts w:eastAsia="仿宋"/>
                <w:color w:val="auto"/>
                <w:sz w:val="24"/>
                <w:szCs w:val="22"/>
                <w:highlight w:val="none"/>
              </w:rPr>
              <w:t>在招标文件商务要求中“质保期”和“保修期”要求基础上，承诺“质保期”和“保修期”均每延长一年的加2分，最多加4分。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eastAsia="仿宋"/>
                <w:b/>
                <w:color w:val="auto"/>
                <w:sz w:val="24"/>
                <w:szCs w:val="22"/>
                <w:highlight w:val="none"/>
              </w:rPr>
              <w:t>评审依据：投标文件中提供“质保期”和“保修期”均延长的承诺函原件。</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407"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类似销售</w:t>
            </w:r>
          </w:p>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案例</w:t>
            </w:r>
          </w:p>
        </w:tc>
        <w:tc>
          <w:tcPr>
            <w:tcW w:w="3389" w:type="pct"/>
            <w:vAlign w:val="center"/>
          </w:tcPr>
          <w:p>
            <w:pPr>
              <w:pageBreakBefore w:val="0"/>
              <w:kinsoku/>
              <w:wordWrap/>
              <w:overflowPunct/>
              <w:topLinePunct w:val="0"/>
              <w:autoSpaceDE/>
              <w:autoSpaceDN/>
              <w:bidi w:val="0"/>
              <w:adjustRightInd/>
              <w:snapToGrid/>
              <w:spacing w:line="460" w:lineRule="exact"/>
              <w:jc w:val="lef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投标人自</w:t>
            </w:r>
            <w:r>
              <w:rPr>
                <w:rFonts w:eastAsia="仿宋" w:cs="Times New Roman"/>
                <w:color w:val="auto"/>
                <w:sz w:val="24"/>
                <w:szCs w:val="22"/>
                <w:highlight w:val="none"/>
              </w:rPr>
              <w:t>20</w:t>
            </w:r>
            <w:r>
              <w:rPr>
                <w:rFonts w:hint="eastAsia" w:eastAsia="仿宋" w:cs="Times New Roman"/>
                <w:color w:val="auto"/>
                <w:sz w:val="24"/>
                <w:szCs w:val="22"/>
                <w:highlight w:val="none"/>
              </w:rPr>
              <w:t>2</w:t>
            </w:r>
            <w:r>
              <w:rPr>
                <w:rFonts w:hint="eastAsia" w:eastAsia="仿宋" w:cs="Times New Roman"/>
                <w:color w:val="auto"/>
                <w:sz w:val="24"/>
                <w:szCs w:val="22"/>
                <w:highlight w:val="none"/>
                <w:lang w:val="en-US" w:eastAsia="zh-CN"/>
              </w:rPr>
              <w:t>1</w:t>
            </w:r>
            <w:r>
              <w:rPr>
                <w:rFonts w:hint="eastAsia" w:eastAsia="仿宋" w:cs="Times New Roman"/>
                <w:color w:val="auto"/>
                <w:sz w:val="24"/>
                <w:szCs w:val="22"/>
                <w:highlight w:val="none"/>
              </w:rPr>
              <w:t>年</w:t>
            </w:r>
            <w:r>
              <w:rPr>
                <w:rFonts w:eastAsia="仿宋" w:cs="Times New Roman"/>
                <w:color w:val="auto"/>
                <w:sz w:val="24"/>
                <w:szCs w:val="22"/>
                <w:highlight w:val="none"/>
              </w:rPr>
              <w:t>1月1日至今（以签订合同时间为准）具有类似</w:t>
            </w:r>
            <w:r>
              <w:rPr>
                <w:rFonts w:hint="eastAsia" w:eastAsia="仿宋" w:cs="Times New Roman"/>
                <w:color w:val="auto"/>
                <w:sz w:val="24"/>
                <w:szCs w:val="22"/>
                <w:highlight w:val="none"/>
                <w:lang w:eastAsia="zh-CN"/>
              </w:rPr>
              <w:t>产品</w:t>
            </w:r>
            <w:r>
              <w:rPr>
                <w:rFonts w:eastAsia="仿宋" w:cs="Times New Roman"/>
                <w:color w:val="auto"/>
                <w:sz w:val="24"/>
                <w:szCs w:val="22"/>
                <w:highlight w:val="none"/>
              </w:rPr>
              <w:t>销售案例，每提供1份销售案例加</w:t>
            </w:r>
            <w:r>
              <w:rPr>
                <w:rFonts w:hint="eastAsia" w:eastAsia="仿宋" w:cs="Times New Roman"/>
                <w:color w:val="auto"/>
                <w:sz w:val="24"/>
                <w:szCs w:val="22"/>
                <w:highlight w:val="none"/>
                <w:lang w:val="en-US" w:eastAsia="zh-CN"/>
              </w:rPr>
              <w:t>2</w:t>
            </w:r>
            <w:r>
              <w:rPr>
                <w:rFonts w:hint="eastAsia" w:eastAsia="仿宋" w:cs="Times New Roman"/>
                <w:color w:val="auto"/>
                <w:sz w:val="24"/>
                <w:szCs w:val="22"/>
                <w:highlight w:val="none"/>
              </w:rPr>
              <w:t>分，本项最多加</w:t>
            </w:r>
            <w:r>
              <w:rPr>
                <w:rFonts w:hint="eastAsia" w:eastAsia="仿宋" w:cs="Times New Roman"/>
                <w:color w:val="auto"/>
                <w:sz w:val="24"/>
                <w:szCs w:val="22"/>
                <w:highlight w:val="none"/>
                <w:lang w:val="en-US" w:eastAsia="zh-CN"/>
              </w:rPr>
              <w:t>6</w:t>
            </w:r>
            <w:r>
              <w:rPr>
                <w:rFonts w:hint="eastAsia" w:eastAsia="仿宋" w:cs="Times New Roman"/>
                <w:color w:val="auto"/>
                <w:sz w:val="24"/>
                <w:szCs w:val="22"/>
                <w:highlight w:val="none"/>
              </w:rPr>
              <w:t>分。</w:t>
            </w:r>
          </w:p>
          <w:p>
            <w:pPr>
              <w:pageBreakBefore w:val="0"/>
              <w:kinsoku/>
              <w:wordWrap/>
              <w:overflowPunct/>
              <w:topLinePunct w:val="0"/>
              <w:autoSpaceDE/>
              <w:autoSpaceDN/>
              <w:bidi w:val="0"/>
              <w:adjustRightInd/>
              <w:snapToGrid/>
              <w:spacing w:line="460" w:lineRule="exact"/>
              <w:jc w:val="left"/>
              <w:rPr>
                <w:rFonts w:eastAsia="仿宋"/>
                <w:b/>
                <w:bCs/>
                <w:color w:val="auto"/>
                <w:sz w:val="24"/>
                <w:szCs w:val="22"/>
                <w:highlight w:val="none"/>
              </w:rPr>
            </w:pPr>
            <w:r>
              <w:rPr>
                <w:rFonts w:hint="eastAsia" w:eastAsia="仿宋" w:cs="Times New Roman"/>
                <w:b/>
                <w:bCs/>
                <w:color w:val="auto"/>
                <w:sz w:val="24"/>
                <w:szCs w:val="22"/>
                <w:highlight w:val="none"/>
              </w:rPr>
              <w:t>评审依据：①投标文件中提供销售案例明细表（销售案例明细表包含</w:t>
            </w:r>
            <w:r>
              <w:rPr>
                <w:rFonts w:eastAsia="仿宋" w:cs="Times New Roman"/>
                <w:b/>
                <w:bCs/>
                <w:color w:val="auto"/>
                <w:sz w:val="24"/>
                <w:szCs w:val="22"/>
                <w:highlight w:val="none"/>
              </w:rPr>
              <w:t>:发布网站名称、网页链接地址、采购项目名称、采购单位名称和联系方式、采购代理机构名称和联系方式）；</w:t>
            </w:r>
            <w:r>
              <w:rPr>
                <w:rFonts w:hint="eastAsia" w:eastAsia="仿宋" w:cs="Times New Roman"/>
                <w:b/>
                <w:bCs/>
                <w:color w:val="auto"/>
                <w:sz w:val="24"/>
                <w:szCs w:val="22"/>
                <w:highlight w:val="none"/>
              </w:rPr>
              <w:t>②</w:t>
            </w:r>
            <w:r>
              <w:rPr>
                <w:rFonts w:hint="eastAsia" w:eastAsia="仿宋" w:cs="Times New Roman"/>
                <w:b/>
                <w:bCs/>
                <w:color w:val="auto"/>
                <w:sz w:val="24"/>
                <w:szCs w:val="22"/>
                <w:highlight w:val="none"/>
                <w:lang w:eastAsia="zh-CN"/>
              </w:rPr>
              <w:t>中标（成交）公告截图（打印网页）、中标通知书复印件和合同复印件（中标通知书或合同复印件应体现类似销售案例的货物），合同签订方必须是投标人本身。</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hint="eastAsia" w:eastAsia="仿宋"/>
                <w:color w:val="auto"/>
                <w:sz w:val="24"/>
                <w:szCs w:val="22"/>
                <w:highlight w:val="none"/>
                <w:lang w:val="en-US" w:eastAsia="zh-CN"/>
              </w:rPr>
              <w:t>6</w:t>
            </w:r>
            <w:r>
              <w:rPr>
                <w:rFonts w:eastAsia="仿宋"/>
                <w:color w:val="auto"/>
                <w:sz w:val="24"/>
                <w:szCs w:val="22"/>
                <w:highlight w:val="none"/>
              </w:rPr>
              <w:t>分</w:t>
            </w:r>
          </w:p>
        </w:tc>
      </w:tr>
    </w:tbl>
    <w:p>
      <w:pPr>
        <w:pageBreakBefore w:val="0"/>
        <w:kinsoku/>
        <w:wordWrap/>
        <w:overflowPunct/>
        <w:topLinePunct w:val="0"/>
        <w:autoSpaceDE/>
        <w:autoSpaceDN/>
        <w:bidi w:val="0"/>
        <w:adjustRightInd/>
        <w:snapToGrid/>
        <w:spacing w:line="460" w:lineRule="exact"/>
        <w:rPr>
          <w:color w:val="auto"/>
        </w:rPr>
      </w:pPr>
      <w:r>
        <w:rPr>
          <w:color w:val="auto"/>
        </w:rPr>
        <w:br w:type="page"/>
      </w:r>
    </w:p>
    <w:p>
      <w:pPr>
        <w:keepNext w:val="0"/>
        <w:keepLines w:val="0"/>
        <w:pageBreakBefore w:val="0"/>
        <w:widowControl w:val="0"/>
        <w:kinsoku/>
        <w:wordWrap/>
        <w:overflowPunct/>
        <w:topLinePunct w:val="0"/>
        <w:autoSpaceDE/>
        <w:autoSpaceDN/>
        <w:bidi w:val="0"/>
        <w:adjustRightInd/>
        <w:snapToGrid/>
        <w:spacing w:line="460" w:lineRule="exact"/>
        <w:jc w:val="left"/>
        <w:textAlignment w:val="auto"/>
        <w:outlineLvl w:val="1"/>
        <w:rPr>
          <w:rFonts w:hint="eastAsia" w:ascii="仿宋" w:hAnsi="仿宋" w:eastAsia="仿宋" w:cs="Times New Roman"/>
          <w:b/>
          <w:bCs/>
          <w:color w:val="auto"/>
          <w:sz w:val="28"/>
          <w:szCs w:val="28"/>
          <w:highlight w:val="none"/>
          <w:lang w:eastAsia="zh-CN"/>
        </w:rPr>
      </w:pPr>
      <w:bookmarkStart w:id="800" w:name="_Toc5074"/>
      <w:bookmarkStart w:id="801" w:name="_Toc25036"/>
      <w:r>
        <w:rPr>
          <w:rFonts w:hint="eastAsia" w:ascii="仿宋" w:hAnsi="仿宋" w:eastAsia="仿宋" w:cs="Times New Roman"/>
          <w:b/>
          <w:bCs/>
          <w:color w:val="auto"/>
          <w:sz w:val="28"/>
          <w:szCs w:val="28"/>
          <w:highlight w:val="none"/>
          <w:lang w:val="en-US" w:eastAsia="zh-CN"/>
        </w:rPr>
        <w:t>117包</w:t>
      </w:r>
      <w:r>
        <w:rPr>
          <w:rFonts w:hint="eastAsia" w:ascii="仿宋" w:hAnsi="仿宋" w:eastAsia="仿宋" w:cs="Times New Roman"/>
          <w:b/>
          <w:bCs/>
          <w:color w:val="auto"/>
          <w:sz w:val="28"/>
          <w:szCs w:val="28"/>
          <w:highlight w:val="none"/>
        </w:rPr>
        <w:t>：</w:t>
      </w:r>
      <w:r>
        <w:rPr>
          <w:rFonts w:hint="eastAsia" w:ascii="仿宋" w:hAnsi="仿宋" w:eastAsia="仿宋" w:cs="Times New Roman"/>
          <w:b/>
          <w:bCs/>
          <w:color w:val="auto"/>
          <w:sz w:val="28"/>
          <w:szCs w:val="28"/>
          <w:highlight w:val="none"/>
          <w:lang w:val="en-US" w:eastAsia="zh-CN"/>
        </w:rPr>
        <w:t>水下无线通信系统【核心产品】、水下摄像机</w:t>
      </w:r>
      <w:bookmarkEnd w:id="800"/>
      <w:bookmarkEnd w:id="801"/>
    </w:p>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hint="eastAsia" w:ascii="仿宋" w:hAnsi="仿宋" w:eastAsia="仿宋"/>
          <w:b/>
          <w:color w:val="auto"/>
          <w:sz w:val="24"/>
          <w:highlight w:val="none"/>
        </w:rPr>
        <w:t>一、价格部分（</w:t>
      </w:r>
      <w:r>
        <w:rPr>
          <w:rFonts w:ascii="仿宋" w:hAnsi="仿宋" w:eastAsia="仿宋"/>
          <w:b/>
          <w:color w:val="auto"/>
          <w:sz w:val="24"/>
          <w:highlight w:val="none"/>
        </w:rPr>
        <w:t>30分）</w:t>
      </w:r>
    </w:p>
    <w:tbl>
      <w:tblPr>
        <w:tblStyle w:val="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9"/>
        <w:gridCol w:w="1449"/>
        <w:gridCol w:w="5674"/>
        <w:gridCol w:w="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75"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评审因素</w:t>
            </w:r>
          </w:p>
        </w:tc>
        <w:tc>
          <w:tcPr>
            <w:tcW w:w="3329" w:type="pct"/>
            <w:vAlign w:val="center"/>
          </w:tcPr>
          <w:p>
            <w:pPr>
              <w:pageBreakBefore w:val="0"/>
              <w:kinsoku/>
              <w:wordWrap/>
              <w:overflowPunct/>
              <w:topLinePunct w:val="0"/>
              <w:autoSpaceDE/>
              <w:autoSpaceDN/>
              <w:bidi w:val="0"/>
              <w:adjustRightInd/>
              <w:snapToGrid/>
              <w:spacing w:line="460" w:lineRule="exact"/>
              <w:jc w:val="center"/>
              <w:textAlignment w:val="center"/>
              <w:rPr>
                <w:rFonts w:ascii="仿宋" w:hAnsi="仿宋" w:eastAsia="仿宋" w:cs="仿宋"/>
                <w:b/>
                <w:color w:val="auto"/>
                <w:sz w:val="24"/>
                <w:highlight w:val="none"/>
              </w:rPr>
            </w:pPr>
            <w:r>
              <w:rPr>
                <w:rFonts w:hint="eastAsia" w:ascii="仿宋" w:hAnsi="仿宋" w:eastAsia="仿宋" w:cs="仿宋"/>
                <w:b/>
                <w:bCs/>
                <w:color w:val="auto"/>
                <w:sz w:val="24"/>
                <w:highlight w:val="none"/>
              </w:rPr>
              <w:t>评分标准</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5"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850"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价格分</w:t>
            </w:r>
          </w:p>
        </w:tc>
        <w:tc>
          <w:tcPr>
            <w:tcW w:w="3329" w:type="pct"/>
            <w:vAlign w:val="center"/>
          </w:tcPr>
          <w:p>
            <w:pPr>
              <w:pageBreakBefore w:val="0"/>
              <w:kinsoku/>
              <w:wordWrap/>
              <w:overflowPunct/>
              <w:topLinePunct w:val="0"/>
              <w:autoSpaceDE/>
              <w:autoSpaceDN/>
              <w:bidi w:val="0"/>
              <w:adjustRightInd/>
              <w:snapToGrid/>
              <w:spacing w:line="460" w:lineRule="exact"/>
              <w:jc w:val="left"/>
              <w:textAlignment w:val="center"/>
              <w:rPr>
                <w:rFonts w:ascii="仿宋" w:hAnsi="仿宋" w:eastAsia="仿宋" w:cs="仿宋"/>
                <w:color w:val="auto"/>
                <w:sz w:val="24"/>
                <w:highlight w:val="none"/>
              </w:rPr>
            </w:pPr>
            <w:r>
              <w:rPr>
                <w:rFonts w:hint="eastAsia" w:ascii="仿宋" w:hAnsi="仿宋" w:eastAsia="仿宋" w:cs="仿宋"/>
                <w:color w:val="auto"/>
                <w:sz w:val="24"/>
                <w:highlight w:val="none"/>
              </w:rPr>
              <w:t>根据综合评分法，满足招标文件要求且投标价格最低的投标报价为评标基准价，投标报价得分</w:t>
            </w:r>
            <w:r>
              <w:rPr>
                <w:rFonts w:ascii="仿宋" w:hAnsi="仿宋" w:eastAsia="仿宋" w:cs="仿宋"/>
                <w:color w:val="auto"/>
                <w:sz w:val="24"/>
                <w:highlight w:val="none"/>
              </w:rPr>
              <w:t>=（评标基准价／投标报价）</w:t>
            </w:r>
            <w:r>
              <w:rPr>
                <w:rFonts w:hint="eastAsia" w:ascii="仿宋" w:hAnsi="仿宋" w:eastAsia="仿宋" w:cs="仿宋"/>
                <w:color w:val="auto"/>
                <w:sz w:val="24"/>
                <w:highlight w:val="none"/>
              </w:rPr>
              <w:t>×</w:t>
            </w:r>
            <w:r>
              <w:rPr>
                <w:rFonts w:ascii="仿宋" w:hAnsi="仿宋" w:eastAsia="仿宋" w:cs="仿宋"/>
                <w:color w:val="auto"/>
                <w:sz w:val="24"/>
                <w:highlight w:val="none"/>
              </w:rPr>
              <w:t>30%×100，计算分数时四舍五入取小数点后两位。</w:t>
            </w:r>
          </w:p>
          <w:p>
            <w:pPr>
              <w:pageBreakBefore w:val="0"/>
              <w:kinsoku/>
              <w:wordWrap/>
              <w:overflowPunct/>
              <w:topLinePunct w:val="0"/>
              <w:autoSpaceDE/>
              <w:autoSpaceDN/>
              <w:bidi w:val="0"/>
              <w:adjustRightInd/>
              <w:snapToGrid/>
              <w:spacing w:line="460" w:lineRule="exact"/>
              <w:ind w:firstLine="482" w:firstLineChars="200"/>
              <w:jc w:val="left"/>
              <w:textAlignment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注：</w:t>
            </w:r>
            <w:r>
              <w:rPr>
                <w:rFonts w:ascii="仿宋" w:hAnsi="仿宋" w:eastAsia="仿宋" w:cs="仿宋"/>
                <w:b/>
                <w:bCs/>
                <w:color w:val="auto"/>
                <w:sz w:val="24"/>
                <w:highlight w:val="none"/>
              </w:rPr>
              <w:t>小、微型企业或残疾人福利性单位产品或监狱产品的价格给予10%的扣除，用扣除后的价格参与评审。但残疾人福利性单位本身属于小型、微型企业的，不重复享受政策。</w:t>
            </w:r>
          </w:p>
        </w:tc>
        <w:tc>
          <w:tcPr>
            <w:tcW w:w="444" w:type="pct"/>
            <w:vAlign w:val="center"/>
          </w:tcPr>
          <w:p>
            <w:pPr>
              <w:pageBreakBefore w:val="0"/>
              <w:kinsoku/>
              <w:wordWrap/>
              <w:overflowPunct/>
              <w:topLinePunct w:val="0"/>
              <w:autoSpaceDE/>
              <w:autoSpaceDN/>
              <w:bidi w:val="0"/>
              <w:adjustRightInd/>
              <w:snapToGrid/>
              <w:spacing w:line="460" w:lineRule="exact"/>
              <w:jc w:val="center"/>
              <w:rPr>
                <w:rFonts w:ascii="仿宋" w:hAnsi="仿宋" w:eastAsia="仿宋" w:cs="仿宋"/>
                <w:color w:val="auto"/>
                <w:sz w:val="24"/>
                <w:highlight w:val="none"/>
              </w:rPr>
            </w:pPr>
            <w:r>
              <w:rPr>
                <w:rFonts w:ascii="仿宋" w:hAnsi="仿宋" w:eastAsia="仿宋" w:cs="仿宋"/>
                <w:color w:val="auto"/>
                <w:sz w:val="24"/>
                <w:highlight w:val="none"/>
              </w:rPr>
              <w:t>30分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二、技术部分（5</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5"/>
        <w:gridCol w:w="714"/>
        <w:gridCol w:w="1055"/>
        <w:gridCol w:w="5348"/>
        <w:gridCol w:w="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38"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1038" w:type="pct"/>
            <w:gridSpan w:val="2"/>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3138"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评分标准</w:t>
            </w:r>
          </w:p>
        </w:tc>
        <w:tc>
          <w:tcPr>
            <w:tcW w:w="484"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338" w:type="pc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038"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技术参数及要求</w:t>
            </w:r>
          </w:p>
        </w:tc>
        <w:tc>
          <w:tcPr>
            <w:tcW w:w="3138" w:type="pct"/>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一、重大负偏离评审依据：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1、带★条款的响应，不满足招标文件要求的，或有缺项、漏项的，视为重大负偏离；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2、一般参数和带“▲”参数共有四项及以上（含本数）的负偏离，视为重大负偏离；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3、所投产品一般参数或带“▲”参数有一项低于招标文件要求，该项视为负偏离；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4、所投产品一般参数或带“▲”参数有一项缺项、漏项的，该项视为负偏离。</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注：“一般参数”为非标“★”号参数和非标“▲”号参数。</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评审依据：</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①投标文件中提供的技术条款响应表；</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②所投产品技术参数完全满足招标文件要求得</w:t>
            </w:r>
            <w:r>
              <w:rPr>
                <w:rFonts w:hint="eastAsia" w:ascii="仿宋" w:hAnsi="仿宋" w:eastAsia="仿宋" w:cs="仿宋"/>
                <w:b/>
                <w:bCs/>
                <w:color w:val="auto"/>
                <w:sz w:val="24"/>
                <w:highlight w:val="none"/>
                <w:lang w:val="en-US" w:eastAsia="zh-CN"/>
              </w:rPr>
              <w:t>33</w:t>
            </w:r>
            <w:r>
              <w:rPr>
                <w:rFonts w:hint="eastAsia" w:ascii="仿宋" w:hAnsi="仿宋" w:eastAsia="仿宋" w:cs="仿宋"/>
                <w:b/>
                <w:bCs/>
                <w:color w:val="auto"/>
                <w:sz w:val="24"/>
                <w:highlight w:val="none"/>
              </w:rPr>
              <w:t>分；重大负偏离则视为无效投标；一般参数或带“▲”参数每有一项负偏离减5分，最多减15分，四项或以上负偏离视为无效投标。</w:t>
            </w:r>
          </w:p>
        </w:tc>
        <w:tc>
          <w:tcPr>
            <w:tcW w:w="484" w:type="pct"/>
            <w:vAlign w:val="center"/>
          </w:tcPr>
          <w:p>
            <w:pPr>
              <w:pageBreakBefore w:val="0"/>
              <w:kinsoku/>
              <w:wordWrap/>
              <w:overflowPunct/>
              <w:topLinePunct w:val="0"/>
              <w:autoSpaceDE/>
              <w:autoSpaceDN/>
              <w:bidi w:val="0"/>
              <w:adjustRightInd/>
              <w:snapToGrid/>
              <w:spacing w:line="460" w:lineRule="exact"/>
              <w:jc w:val="center"/>
              <w:textAlignment w:val="center"/>
              <w:rPr>
                <w:rFonts w:hint="default"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33分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38"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419" w:type="pct"/>
            <w:vMerge w:val="restar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水下无线通信系统</w:t>
            </w:r>
          </w:p>
        </w:tc>
        <w:tc>
          <w:tcPr>
            <w:tcW w:w="619"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▲2.防水深度：≥ 200 米</w:t>
            </w:r>
          </w:p>
        </w:tc>
        <w:tc>
          <w:tcPr>
            <w:tcW w:w="3138"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highlight w:val="none"/>
                <w:lang w:val="en-US" w:eastAsia="zh-CN"/>
              </w:rPr>
              <w:t>防水深度</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highlight w:val="none"/>
                <w:lang w:val="en-US" w:eastAsia="zh-CN"/>
              </w:rPr>
              <w:t>防水深度</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highlight w:val="none"/>
                <w:lang w:val="en-US" w:eastAsia="zh-CN"/>
              </w:rPr>
              <w:t>防水深度</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val="en-US" w:eastAsia="zh-CN"/>
              </w:rPr>
              <w:t>防水深度</w:t>
            </w:r>
            <w:r>
              <w:rPr>
                <w:rFonts w:hint="eastAsia" w:ascii="仿宋" w:hAnsi="仿宋" w:eastAsia="仿宋" w:cs="仿宋"/>
                <w:b/>
                <w:bCs/>
                <w:color w:val="auto"/>
                <w:sz w:val="24"/>
                <w:szCs w:val="24"/>
                <w:highlight w:val="none"/>
              </w:rPr>
              <w:t>最大，次优表示</w:t>
            </w:r>
            <w:r>
              <w:rPr>
                <w:rFonts w:hint="eastAsia" w:ascii="仿宋" w:hAnsi="仿宋" w:eastAsia="仿宋" w:cs="仿宋"/>
                <w:b/>
                <w:bCs/>
                <w:color w:val="auto"/>
                <w:sz w:val="24"/>
                <w:szCs w:val="24"/>
                <w:highlight w:val="none"/>
                <w:lang w:val="en-US" w:eastAsia="zh-CN"/>
              </w:rPr>
              <w:t>防水深度</w:t>
            </w:r>
            <w:r>
              <w:rPr>
                <w:rFonts w:hint="eastAsia" w:ascii="仿宋" w:hAnsi="仿宋" w:eastAsia="仿宋" w:cs="仿宋"/>
                <w:b/>
                <w:bCs/>
                <w:color w:val="auto"/>
                <w:sz w:val="24"/>
                <w:szCs w:val="24"/>
                <w:highlight w:val="none"/>
              </w:rPr>
              <w:t>仅次于最大值。</w:t>
            </w:r>
          </w:p>
        </w:tc>
        <w:tc>
          <w:tcPr>
            <w:tcW w:w="48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3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419" w:type="pct"/>
            <w:vMerge w:val="continue"/>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p>
        </w:tc>
        <w:tc>
          <w:tcPr>
            <w:tcW w:w="619"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w:t>
            </w:r>
            <w:r>
              <w:rPr>
                <w:rFonts w:hint="eastAsia" w:ascii="仿宋" w:hAnsi="仿宋" w:eastAsia="仿宋" w:cs="仿宋"/>
                <w:b w:val="0"/>
                <w:bCs w:val="0"/>
                <w:color w:val="auto"/>
                <w:sz w:val="24"/>
                <w:szCs w:val="24"/>
                <w:highlight w:val="none"/>
                <w:lang w:val="en-US" w:eastAsia="zh-CN"/>
              </w:rPr>
              <w:t>通讯范围：≥ 500 米</w:t>
            </w:r>
          </w:p>
        </w:tc>
        <w:tc>
          <w:tcPr>
            <w:tcW w:w="3138"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b w:val="0"/>
                <w:bCs w:val="0"/>
                <w:color w:val="auto"/>
                <w:sz w:val="24"/>
                <w:szCs w:val="24"/>
                <w:highlight w:val="none"/>
                <w:lang w:val="en-US" w:eastAsia="zh-CN"/>
              </w:rPr>
              <w:t>通讯范围</w:t>
            </w:r>
            <w:r>
              <w:rPr>
                <w:rFonts w:hint="eastAsia" w:ascii="仿宋" w:hAnsi="仿宋" w:eastAsia="仿宋" w:cs="仿宋"/>
                <w:color w:val="auto"/>
                <w:sz w:val="24"/>
                <w:szCs w:val="24"/>
                <w:highlight w:val="none"/>
              </w:rPr>
              <w:t>优于招标文件要求的，</w:t>
            </w:r>
            <w:r>
              <w:rPr>
                <w:rFonts w:hint="eastAsia" w:ascii="仿宋" w:hAnsi="仿宋" w:eastAsia="仿宋" w:cs="仿宋"/>
                <w:b w:val="0"/>
                <w:bCs w:val="0"/>
                <w:color w:val="auto"/>
                <w:sz w:val="24"/>
                <w:szCs w:val="24"/>
                <w:highlight w:val="none"/>
                <w:lang w:val="en-US" w:eastAsia="zh-CN"/>
              </w:rPr>
              <w:t>通讯范围</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b w:val="0"/>
                <w:bCs w:val="0"/>
                <w:color w:val="auto"/>
                <w:sz w:val="24"/>
                <w:szCs w:val="24"/>
                <w:highlight w:val="none"/>
                <w:lang w:val="en-US" w:eastAsia="zh-CN"/>
              </w:rPr>
              <w:t>通讯范围</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val="en-US" w:eastAsia="zh-CN"/>
              </w:rPr>
              <w:t>通讯范围</w:t>
            </w:r>
            <w:r>
              <w:rPr>
                <w:rFonts w:hint="eastAsia" w:ascii="仿宋" w:hAnsi="仿宋" w:eastAsia="仿宋" w:cs="仿宋"/>
                <w:b/>
                <w:bCs/>
                <w:color w:val="auto"/>
                <w:sz w:val="24"/>
                <w:szCs w:val="24"/>
                <w:highlight w:val="none"/>
              </w:rPr>
              <w:t>最大，次优表示</w:t>
            </w:r>
            <w:r>
              <w:rPr>
                <w:rFonts w:hint="eastAsia" w:ascii="仿宋" w:hAnsi="仿宋" w:eastAsia="仿宋" w:cs="仿宋"/>
                <w:b/>
                <w:bCs/>
                <w:color w:val="auto"/>
                <w:sz w:val="24"/>
                <w:szCs w:val="24"/>
                <w:highlight w:val="none"/>
                <w:lang w:val="en-US" w:eastAsia="zh-CN"/>
              </w:rPr>
              <w:t>通讯范围</w:t>
            </w:r>
            <w:r>
              <w:rPr>
                <w:rFonts w:hint="eastAsia" w:ascii="仿宋" w:hAnsi="仿宋" w:eastAsia="仿宋" w:cs="仿宋"/>
                <w:b/>
                <w:bCs/>
                <w:color w:val="auto"/>
                <w:sz w:val="24"/>
                <w:szCs w:val="24"/>
                <w:highlight w:val="none"/>
              </w:rPr>
              <w:t>仅次于最大值。</w:t>
            </w:r>
          </w:p>
        </w:tc>
        <w:tc>
          <w:tcPr>
            <w:tcW w:w="48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3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419" w:type="pct"/>
            <w:vMerge w:val="restart"/>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水下摄像机</w:t>
            </w:r>
          </w:p>
        </w:tc>
        <w:tc>
          <w:tcPr>
            <w:tcW w:w="619"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▲3.存储容量≥256G</w:t>
            </w:r>
          </w:p>
        </w:tc>
        <w:tc>
          <w:tcPr>
            <w:tcW w:w="3138"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仿宋"/>
                <w:color w:val="auto"/>
                <w:sz w:val="24"/>
                <w:szCs w:val="24"/>
                <w:highlight w:val="none"/>
                <w:lang w:val="en-US" w:eastAsia="zh-CN"/>
              </w:rPr>
              <w:t>产品</w:t>
            </w:r>
            <w:r>
              <w:rPr>
                <w:rFonts w:hint="eastAsia" w:ascii="仿宋" w:hAnsi="仿宋" w:eastAsia="仿宋" w:cs="仿宋"/>
                <w:color w:val="auto"/>
                <w:sz w:val="24"/>
                <w:szCs w:val="24"/>
                <w:highlight w:val="none"/>
                <w:lang w:eastAsia="zh-CN"/>
              </w:rPr>
              <w:t>的存储容量</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szCs w:val="24"/>
                <w:highlight w:val="none"/>
                <w:lang w:eastAsia="zh-CN"/>
              </w:rPr>
              <w:t>存储容量</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存储容量</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eastAsia="zh-CN"/>
              </w:rPr>
              <w:t>存储容量</w:t>
            </w:r>
            <w:r>
              <w:rPr>
                <w:rFonts w:hint="eastAsia" w:ascii="仿宋" w:hAnsi="仿宋" w:eastAsia="仿宋" w:cs="仿宋"/>
                <w:b/>
                <w:bCs/>
                <w:color w:val="auto"/>
                <w:sz w:val="24"/>
                <w:szCs w:val="24"/>
                <w:highlight w:val="none"/>
              </w:rPr>
              <w:t>最大，次优表示</w:t>
            </w:r>
            <w:r>
              <w:rPr>
                <w:rFonts w:hint="eastAsia" w:ascii="仿宋" w:hAnsi="仿宋" w:eastAsia="仿宋" w:cs="仿宋"/>
                <w:b/>
                <w:bCs/>
                <w:color w:val="auto"/>
                <w:sz w:val="24"/>
                <w:szCs w:val="24"/>
                <w:highlight w:val="none"/>
                <w:lang w:eastAsia="zh-CN"/>
              </w:rPr>
              <w:t>存储容量</w:t>
            </w:r>
            <w:r>
              <w:rPr>
                <w:rFonts w:hint="eastAsia" w:ascii="仿宋" w:hAnsi="仿宋" w:eastAsia="仿宋" w:cs="仿宋"/>
                <w:b/>
                <w:bCs/>
                <w:color w:val="auto"/>
                <w:sz w:val="24"/>
                <w:szCs w:val="24"/>
                <w:highlight w:val="none"/>
              </w:rPr>
              <w:t>仅次于最大值。</w:t>
            </w:r>
          </w:p>
        </w:tc>
        <w:tc>
          <w:tcPr>
            <w:tcW w:w="48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3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419" w:type="pct"/>
            <w:vMerge w:val="continue"/>
            <w:tcBorders>
              <w:righ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p>
        </w:tc>
        <w:tc>
          <w:tcPr>
            <w:tcW w:w="619" w:type="pct"/>
            <w:tcBorders>
              <w:left w:val="single" w:color="000000" w:sz="4" w:space="0"/>
            </w:tcBorders>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▲6.拍照变焦≥4倍</w:t>
            </w:r>
          </w:p>
        </w:tc>
        <w:tc>
          <w:tcPr>
            <w:tcW w:w="3138" w:type="pct"/>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仿宋"/>
                <w:color w:val="auto"/>
                <w:sz w:val="24"/>
                <w:szCs w:val="24"/>
                <w:highlight w:val="none"/>
                <w:lang w:val="en-US" w:eastAsia="zh-CN"/>
              </w:rPr>
              <w:t>产品</w:t>
            </w:r>
            <w:r>
              <w:rPr>
                <w:rFonts w:hint="eastAsia" w:ascii="仿宋" w:hAnsi="仿宋" w:eastAsia="仿宋" w:cs="仿宋"/>
                <w:color w:val="auto"/>
                <w:sz w:val="24"/>
                <w:szCs w:val="24"/>
                <w:highlight w:val="none"/>
                <w:lang w:eastAsia="zh-CN"/>
              </w:rPr>
              <w:t>的拍照变焦</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szCs w:val="24"/>
                <w:highlight w:val="none"/>
                <w:lang w:eastAsia="zh-CN"/>
              </w:rPr>
              <w:t>拍照变焦</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拍照变焦</w:t>
            </w:r>
            <w:r>
              <w:rPr>
                <w:rFonts w:hint="eastAsia" w:ascii="仿宋" w:hAnsi="仿宋" w:eastAsia="仿宋" w:cs="仿宋"/>
                <w:color w:val="auto"/>
                <w:sz w:val="24"/>
                <w:szCs w:val="24"/>
                <w:highlight w:val="none"/>
              </w:rPr>
              <w:t>次优的加2分，其余加1分。（可并列得分）</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szCs w:val="24"/>
                <w:highlight w:val="none"/>
              </w:rPr>
              <w:t>注：最优表示</w:t>
            </w:r>
            <w:r>
              <w:rPr>
                <w:rFonts w:hint="eastAsia" w:ascii="仿宋" w:hAnsi="仿宋" w:eastAsia="仿宋" w:cs="仿宋"/>
                <w:b/>
                <w:bCs/>
                <w:color w:val="auto"/>
                <w:sz w:val="24"/>
                <w:szCs w:val="24"/>
                <w:highlight w:val="none"/>
                <w:lang w:eastAsia="zh-CN"/>
              </w:rPr>
              <w:t>拍照变焦</w:t>
            </w:r>
            <w:r>
              <w:rPr>
                <w:rFonts w:hint="eastAsia" w:ascii="仿宋" w:hAnsi="仿宋" w:eastAsia="仿宋" w:cs="仿宋"/>
                <w:b/>
                <w:bCs/>
                <w:color w:val="auto"/>
                <w:sz w:val="24"/>
                <w:szCs w:val="24"/>
                <w:highlight w:val="none"/>
              </w:rPr>
              <w:t>最大，次优表示</w:t>
            </w:r>
            <w:r>
              <w:rPr>
                <w:rFonts w:hint="eastAsia" w:ascii="仿宋" w:hAnsi="仿宋" w:eastAsia="仿宋" w:cs="仿宋"/>
                <w:b/>
                <w:bCs/>
                <w:color w:val="auto"/>
                <w:sz w:val="24"/>
                <w:szCs w:val="24"/>
                <w:highlight w:val="none"/>
                <w:lang w:eastAsia="zh-CN"/>
              </w:rPr>
              <w:t>拍照变焦</w:t>
            </w:r>
            <w:r>
              <w:rPr>
                <w:rFonts w:hint="eastAsia" w:ascii="仿宋" w:hAnsi="仿宋" w:eastAsia="仿宋" w:cs="仿宋"/>
                <w:b/>
                <w:bCs/>
                <w:color w:val="auto"/>
                <w:sz w:val="24"/>
                <w:szCs w:val="24"/>
                <w:highlight w:val="none"/>
              </w:rPr>
              <w:t>仅次于最大值。</w:t>
            </w:r>
          </w:p>
        </w:tc>
        <w:tc>
          <w:tcPr>
            <w:tcW w:w="48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38" w:type="pct"/>
            <w:vMerge w:val="continue"/>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661" w:type="pct"/>
            <w:gridSpan w:val="4"/>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评审依据：提供技术条款响应表和技术支撑文件</w:t>
            </w:r>
            <w:r>
              <w:rPr>
                <w:rFonts w:hint="eastAsia" w:ascii="仿宋" w:hAnsi="仿宋" w:eastAsia="仿宋" w:cs="仿宋"/>
                <w:b/>
                <w:bCs/>
                <w:color w:val="auto"/>
                <w:sz w:val="24"/>
                <w:highlight w:val="none"/>
                <w:lang w:eastAsia="zh-CN"/>
              </w:rPr>
              <w:t>。</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hint="eastAsia"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hint="eastAsia"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hint="eastAsia"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hint="eastAsia" w:ascii="仿宋" w:hAnsi="仿宋" w:eastAsia="仿宋" w:cs="仿宋"/>
                <w:b/>
                <w:bCs/>
                <w:color w:val="auto"/>
                <w:sz w:val="24"/>
                <w:highlight w:val="none"/>
              </w:rPr>
              <w:t>③制造商出具的技术参数证明材料并加盖制造商公章。]</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注：①供应商应认真提供技术支撑文件，若提供多份技术支撑文件，技术支撑文件佐证不一致时，优先级为：产品检测报告复印件＞制造商公开发布的印刷资料＞制造商出具的技术参数证明</w:t>
            </w:r>
            <w:r>
              <w:rPr>
                <w:rFonts w:hint="eastAsia" w:ascii="仿宋" w:hAnsi="仿宋" w:eastAsia="仿宋" w:cs="仿宋"/>
                <w:b/>
                <w:bCs/>
                <w:color w:val="auto"/>
                <w:sz w:val="24"/>
                <w:highlight w:val="none"/>
                <w:lang w:val="en-US" w:eastAsia="zh-CN"/>
              </w:rPr>
              <w:t>材料</w:t>
            </w:r>
            <w:r>
              <w:rPr>
                <w:rFonts w:hint="eastAsia" w:ascii="仿宋" w:hAnsi="仿宋" w:eastAsia="仿宋" w:cs="仿宋"/>
                <w:b/>
                <w:bCs/>
                <w:color w:val="auto"/>
                <w:sz w:val="24"/>
                <w:highlight w:val="none"/>
              </w:rPr>
              <w:t>；②技术支撑文件</w:t>
            </w:r>
            <w:r>
              <w:rPr>
                <w:rFonts w:hint="eastAsia" w:ascii="仿宋" w:hAnsi="仿宋" w:eastAsia="仿宋" w:cs="仿宋"/>
                <w:b/>
                <w:bCs/>
                <w:color w:val="auto"/>
                <w:sz w:val="24"/>
                <w:highlight w:val="none"/>
                <w:lang w:val="en-US" w:eastAsia="zh-CN"/>
              </w:rPr>
              <w:t>与</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不一致，则</w:t>
            </w:r>
            <w:r>
              <w:rPr>
                <w:rFonts w:hint="eastAsia" w:ascii="仿宋" w:hAnsi="仿宋" w:eastAsia="仿宋" w:cs="仿宋"/>
                <w:b/>
                <w:bCs/>
                <w:color w:val="auto"/>
                <w:sz w:val="24"/>
                <w:highlight w:val="none"/>
              </w:rPr>
              <w:t>该点不加分</w:t>
            </w:r>
            <w:r>
              <w:rPr>
                <w:rFonts w:hint="eastAsia" w:ascii="仿宋" w:hAnsi="仿宋" w:eastAsia="仿宋" w:cs="仿宋"/>
                <w:b/>
                <w:bCs/>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38" w:type="pct"/>
            <w:vMerge w:val="restart"/>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038"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整体结构与外观</w:t>
            </w:r>
          </w:p>
        </w:tc>
        <w:tc>
          <w:tcPr>
            <w:tcW w:w="3138"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根据视频文件对核心产品的外观构造、内部结构、设计理念等进行评审。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设计理念先进，外部构造和内部结构科学合理，整体结构外观与实战紧贴程度高的，得3分；设计理念较为先进，外部构造和内部结构较为合理，整体结构外观与实战紧贴程度较高的，得2分；设计理念一般，外观构造和内部结构基本合理，整体结构外观与实战紧贴程度不高的，得1分；未提供证明材料或证明材料有缺项的不得分。</w:t>
            </w:r>
          </w:p>
        </w:tc>
        <w:tc>
          <w:tcPr>
            <w:tcW w:w="48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3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038"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工艺</w:t>
            </w:r>
          </w:p>
        </w:tc>
        <w:tc>
          <w:tcPr>
            <w:tcW w:w="3138"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根据视频文件对核心产品的安全性、耐用性、实用性等进行评审。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安全性能高、耐用性能好、实用性能强，工艺符合实战需求程度高的，得3分；安全性能较高、耐用性能良好、实用性能较强，工艺符合实战需求程度较高的，得2分；安全性能不高、耐用性能普通、实用性能一般，工艺符合实战需求程度不高的，得1分；未提供证明材料或证明材料有缺项的不得分。</w:t>
            </w:r>
          </w:p>
        </w:tc>
        <w:tc>
          <w:tcPr>
            <w:tcW w:w="48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38" w:type="pct"/>
            <w:vMerge w:val="continue"/>
            <w:vAlign w:val="center"/>
          </w:tcPr>
          <w:p>
            <w:pPr>
              <w:pageBreakBefore w:val="0"/>
              <w:kinsoku/>
              <w:wordWrap/>
              <w:overflowPunct/>
              <w:topLinePunct w:val="0"/>
              <w:autoSpaceDE/>
              <w:autoSpaceDN/>
              <w:bidi w:val="0"/>
              <w:adjustRightInd/>
              <w:snapToGrid/>
              <w:spacing w:line="460" w:lineRule="exact"/>
              <w:jc w:val="center"/>
              <w:rPr>
                <w:rFonts w:hint="eastAsia" w:ascii="仿宋" w:hAnsi="仿宋" w:eastAsia="仿宋" w:cs="仿宋"/>
                <w:color w:val="auto"/>
                <w:sz w:val="24"/>
                <w:szCs w:val="24"/>
                <w:highlight w:val="none"/>
              </w:rPr>
            </w:pPr>
          </w:p>
        </w:tc>
        <w:tc>
          <w:tcPr>
            <w:tcW w:w="1038" w:type="pct"/>
            <w:gridSpan w:val="2"/>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操作使用性能</w:t>
            </w:r>
          </w:p>
        </w:tc>
        <w:tc>
          <w:tcPr>
            <w:tcW w:w="3138" w:type="pct"/>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根据视频文件对核心产品的可靠性、便捷性、稳定性等进行评审。</w:t>
            </w:r>
          </w:p>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可靠性高、便捷性好、稳定性好，操作使用性能提升战斗力程度高的，得4分；可靠性较高、便捷性较好、稳定性良好，操作使用性能提升战斗力程度较高的，得2分；可靠性不高、便捷性和稳定性一般，操作使用性能提升战斗力程度不高的，得1分；未提供证明材料或证明材料有缺项的不得分。</w:t>
            </w:r>
          </w:p>
        </w:tc>
        <w:tc>
          <w:tcPr>
            <w:tcW w:w="484" w:type="pct"/>
            <w:vAlign w:val="center"/>
          </w:tcPr>
          <w:p>
            <w:pPr>
              <w:pageBreakBefore w:val="0"/>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38" w:type="pct"/>
            <w:vMerge w:val="continue"/>
            <w:vAlign w:val="center"/>
          </w:tcPr>
          <w:p>
            <w:pPr>
              <w:pageBreakBefore w:val="0"/>
              <w:kinsoku/>
              <w:wordWrap/>
              <w:overflowPunct/>
              <w:topLinePunct w:val="0"/>
              <w:autoSpaceDE/>
              <w:autoSpaceDN/>
              <w:bidi w:val="0"/>
              <w:adjustRightInd/>
              <w:snapToGrid/>
              <w:spacing w:line="460" w:lineRule="exact"/>
              <w:rPr>
                <w:rFonts w:hint="eastAsia" w:ascii="仿宋" w:hAnsi="仿宋" w:eastAsia="仿宋" w:cs="仿宋"/>
                <w:color w:val="auto"/>
                <w:sz w:val="24"/>
                <w:szCs w:val="24"/>
                <w:highlight w:val="none"/>
              </w:rPr>
            </w:pPr>
          </w:p>
        </w:tc>
        <w:tc>
          <w:tcPr>
            <w:tcW w:w="4661" w:type="pct"/>
            <w:gridSpan w:val="4"/>
            <w:vAlign w:val="center"/>
          </w:tcPr>
          <w:p>
            <w:pPr>
              <w:pageBreakBefore w:val="0"/>
              <w:kinsoku/>
              <w:wordWrap/>
              <w:overflowPunct/>
              <w:topLinePunct w:val="0"/>
              <w:autoSpaceDE/>
              <w:autoSpaceDN/>
              <w:bidi w:val="0"/>
              <w:adjustRightInd/>
              <w:snapToGrid/>
              <w:spacing w:line="460" w:lineRule="exact"/>
              <w:jc w:val="left"/>
              <w:textAlignment w:val="center"/>
              <w:rPr>
                <w:rFonts w:hint="eastAsia" w:ascii="仿宋" w:hAnsi="仿宋" w:eastAsia="仿宋" w:cs="仿宋"/>
                <w:color w:val="auto"/>
                <w:sz w:val="24"/>
                <w:highlight w:val="none"/>
                <w:lang w:eastAsia="zh-CN"/>
              </w:rPr>
            </w:pPr>
            <w:r>
              <w:rPr>
                <w:rFonts w:hint="eastAsia" w:ascii="仿宋" w:hAnsi="仿宋" w:eastAsia="仿宋" w:cs="仿宋"/>
                <w:b/>
                <w:bCs/>
                <w:color w:val="auto"/>
                <w:sz w:val="24"/>
                <w:highlight w:val="none"/>
              </w:rPr>
              <w:t>以上评审依据：根据视频文件对产品的整体结构与外观、工艺、操作使用性能进行综合评审，视频文件需对以上三点评审内容进行介绍（包含但不限于以上三点）。视频文件[视频文件格式须为通用格式，佐证视频时长不得超过5分钟，视频清晰度应至少保证所摄的界面文字清晰易辨、画面完整连贯、播放速度正常]应存储于U盘内（单独密封在信封中）与投标文件同时递交，逾期递交不予接收，</w:t>
            </w:r>
            <w:r>
              <w:rPr>
                <w:rFonts w:hint="eastAsia" w:ascii="仿宋" w:hAnsi="仿宋" w:eastAsia="仿宋" w:cs="仿宋"/>
                <w:b/>
                <w:bCs/>
                <w:color w:val="auto"/>
                <w:sz w:val="24"/>
                <w:highlight w:val="none"/>
                <w:lang w:eastAsia="zh-CN"/>
              </w:rPr>
              <w:t>U盘由采购代理机构封存，不予退回。未提供视频或视频无法打开的，得0分。</w:t>
            </w:r>
          </w:p>
        </w:tc>
      </w:tr>
    </w:tbl>
    <w:p>
      <w:pPr>
        <w:pageBreakBefore w:val="0"/>
        <w:kinsoku/>
        <w:wordWrap/>
        <w:overflowPunct/>
        <w:topLinePunct w:val="0"/>
        <w:autoSpaceDE/>
        <w:autoSpaceDN/>
        <w:bidi w:val="0"/>
        <w:adjustRightInd/>
        <w:snapToGrid/>
        <w:spacing w:line="460" w:lineRule="exact"/>
        <w:ind w:firstLine="482" w:firstLineChars="200"/>
        <w:jc w:val="left"/>
        <w:rPr>
          <w:rFonts w:ascii="仿宋" w:hAnsi="仿宋" w:eastAsia="仿宋"/>
          <w:b/>
          <w:color w:val="auto"/>
          <w:sz w:val="24"/>
          <w:highlight w:val="none"/>
        </w:rPr>
      </w:pPr>
      <w:r>
        <w:rPr>
          <w:rFonts w:ascii="仿宋" w:hAnsi="仿宋" w:eastAsia="仿宋"/>
          <w:b/>
          <w:color w:val="auto"/>
          <w:sz w:val="24"/>
          <w:highlight w:val="none"/>
        </w:rPr>
        <w:t>三、商务部分（1</w:t>
      </w:r>
      <w:r>
        <w:rPr>
          <w:rFonts w:hint="eastAsia" w:ascii="仿宋" w:hAnsi="仿宋" w:eastAsia="仿宋"/>
          <w:b/>
          <w:color w:val="auto"/>
          <w:sz w:val="24"/>
          <w:highlight w:val="none"/>
          <w:lang w:val="en-US" w:eastAsia="zh-CN"/>
        </w:rPr>
        <w:t>5</w:t>
      </w:r>
      <w:r>
        <w:rPr>
          <w:rFonts w:ascii="仿宋" w:hAnsi="仿宋" w:eastAsia="仿宋"/>
          <w:b/>
          <w:color w:val="auto"/>
          <w:sz w:val="24"/>
          <w:highlight w:val="none"/>
        </w:rPr>
        <w:t>分）</w:t>
      </w:r>
    </w:p>
    <w:tbl>
      <w:tblPr>
        <w:tblStyle w:val="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2"/>
        <w:gridCol w:w="1201"/>
        <w:gridCol w:w="5777"/>
        <w:gridCol w:w="8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6"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序号</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评审因素</w:t>
            </w:r>
          </w:p>
        </w:tc>
        <w:tc>
          <w:tcPr>
            <w:tcW w:w="3390"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评分标准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b/>
                <w:bCs/>
                <w:color w:val="auto"/>
                <w:sz w:val="24"/>
                <w:szCs w:val="22"/>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6"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1</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bCs/>
                <w:color w:val="auto"/>
                <w:sz w:val="24"/>
                <w:szCs w:val="22"/>
                <w:highlight w:val="none"/>
              </w:rPr>
            </w:pPr>
            <w:r>
              <w:rPr>
                <w:rFonts w:hint="eastAsia" w:ascii="仿宋" w:hAnsi="仿宋" w:eastAsia="仿宋" w:cs="仿宋"/>
                <w:color w:val="auto"/>
                <w:sz w:val="24"/>
                <w:highlight w:val="none"/>
              </w:rPr>
              <w:t>符合性评审</w:t>
            </w:r>
          </w:p>
        </w:tc>
        <w:tc>
          <w:tcPr>
            <w:tcW w:w="3888" w:type="pct"/>
            <w:gridSpan w:val="2"/>
            <w:vAlign w:val="center"/>
          </w:tcPr>
          <w:p>
            <w:pPr>
              <w:pageBreakBefore w:val="0"/>
              <w:kinsoku/>
              <w:wordWrap/>
              <w:overflowPunct/>
              <w:topLinePunct w:val="0"/>
              <w:autoSpaceDE/>
              <w:autoSpaceDN/>
              <w:bidi w:val="0"/>
              <w:adjustRightInd/>
              <w:snapToGrid/>
              <w:spacing w:line="460" w:lineRule="exact"/>
              <w:rPr>
                <w:rFonts w:eastAsia="仿宋" w:cs="Times New Roman"/>
                <w:color w:val="auto"/>
                <w:sz w:val="24"/>
                <w:szCs w:val="22"/>
                <w:highlight w:val="none"/>
              </w:rPr>
            </w:pPr>
            <w:r>
              <w:rPr>
                <w:rFonts w:hint="eastAsia" w:eastAsia="仿宋" w:cs="Times New Roman"/>
                <w:color w:val="auto"/>
                <w:sz w:val="24"/>
                <w:szCs w:val="22"/>
                <w:highlight w:val="none"/>
              </w:rPr>
              <w:t>投标人必须完全满足招标文件“商务要求”</w:t>
            </w:r>
            <w:r>
              <w:rPr>
                <w:rFonts w:hint="eastAsia" w:eastAsia="仿宋" w:cs="Times New Roman"/>
                <w:color w:val="auto"/>
                <w:sz w:val="24"/>
                <w:szCs w:val="22"/>
                <w:highlight w:val="none"/>
                <w:lang w:val="en-US" w:eastAsia="zh-CN"/>
              </w:rPr>
              <w:t>所有</w:t>
            </w:r>
            <w:r>
              <w:rPr>
                <w:rFonts w:hint="eastAsia" w:eastAsia="仿宋" w:cs="Times New Roman"/>
                <w:color w:val="auto"/>
                <w:sz w:val="24"/>
                <w:szCs w:val="22"/>
                <w:highlight w:val="none"/>
              </w:rPr>
              <w:t>实质性条款，任意一项不满足作无效投标处理。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eastAsia="仿宋" w:cs="Times New Roman"/>
                <w:b/>
                <w:bCs/>
                <w:color w:val="auto"/>
                <w:sz w:val="24"/>
                <w:szCs w:val="22"/>
                <w:highlight w:val="none"/>
              </w:rPr>
              <w:t>评审依据：投标文件中提供的商务条款响应表。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6"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2</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hint="eastAsia" w:eastAsia="仿宋"/>
                <w:color w:val="auto"/>
                <w:sz w:val="24"/>
                <w:szCs w:val="22"/>
                <w:highlight w:val="none"/>
                <w:lang w:eastAsia="zh-CN"/>
              </w:rPr>
            </w:pPr>
            <w:r>
              <w:rPr>
                <w:rFonts w:hint="eastAsia" w:eastAsia="仿宋"/>
                <w:color w:val="auto"/>
                <w:sz w:val="24"/>
                <w:szCs w:val="22"/>
                <w:highlight w:val="none"/>
                <w:lang w:eastAsia="zh-CN"/>
              </w:rPr>
              <w:t>生产制造履约能力</w:t>
            </w:r>
          </w:p>
        </w:tc>
        <w:tc>
          <w:tcPr>
            <w:tcW w:w="3390" w:type="pct"/>
            <w:vAlign w:val="center"/>
          </w:tcPr>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val="en-US" w:eastAsia="zh-CN"/>
              </w:rPr>
              <w:t>投标人提供所投核心产品制造商的证明材料（应加盖制造商公章）</w:t>
            </w:r>
            <w:r>
              <w:rPr>
                <w:rFonts w:hint="eastAsia" w:eastAsia="仿宋" w:cs="Times New Roman"/>
                <w:color w:val="auto"/>
                <w:sz w:val="24"/>
                <w:szCs w:val="22"/>
                <w:highlight w:val="none"/>
              </w:rPr>
              <w:t>对</w:t>
            </w:r>
            <w:r>
              <w:rPr>
                <w:rFonts w:hint="eastAsia" w:eastAsia="仿宋" w:cs="Times New Roman"/>
                <w:color w:val="auto"/>
                <w:sz w:val="24"/>
                <w:szCs w:val="22"/>
                <w:highlight w:val="none"/>
                <w:lang w:eastAsia="zh-CN"/>
              </w:rPr>
              <w:t>生产制造履约能力</w:t>
            </w:r>
            <w:r>
              <w:rPr>
                <w:rFonts w:hint="eastAsia" w:eastAsia="仿宋" w:cs="Times New Roman"/>
                <w:color w:val="auto"/>
                <w:sz w:val="24"/>
                <w:szCs w:val="22"/>
                <w:highlight w:val="none"/>
              </w:rPr>
              <w:t>进行评审，包含但不限于</w:t>
            </w:r>
            <w:r>
              <w:rPr>
                <w:rFonts w:hint="eastAsia" w:eastAsia="仿宋" w:cs="Times New Roman"/>
                <w:color w:val="auto"/>
                <w:sz w:val="24"/>
                <w:szCs w:val="22"/>
                <w:highlight w:val="none"/>
                <w:lang w:eastAsia="zh-CN"/>
              </w:rPr>
              <w:t>：</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lang w:eastAsia="zh-CN"/>
              </w:rPr>
              <w:t>①制造商生产经营情况简介；</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②</w:t>
            </w:r>
            <w:r>
              <w:rPr>
                <w:rFonts w:hint="eastAsia" w:eastAsia="仿宋" w:cs="Times New Roman"/>
                <w:color w:val="auto"/>
                <w:sz w:val="24"/>
                <w:szCs w:val="22"/>
                <w:highlight w:val="none"/>
                <w:lang w:eastAsia="zh-CN"/>
              </w:rPr>
              <w:t>生产工艺流程，主要包括生产制造流程图、生产步骤（应含生产车间环境及实际生产照片）等相关情况描述；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③产品检验流程，包括主要检验设备</w:t>
            </w:r>
            <w:r>
              <w:rPr>
                <w:rFonts w:hint="eastAsia" w:eastAsia="仿宋" w:cs="Times New Roman"/>
                <w:color w:val="auto"/>
                <w:sz w:val="24"/>
                <w:szCs w:val="22"/>
                <w:highlight w:val="none"/>
                <w:lang w:eastAsia="zh-CN"/>
              </w:rPr>
              <w:t>（应提供图片）</w:t>
            </w:r>
            <w:r>
              <w:rPr>
                <w:rFonts w:hint="eastAsia" w:eastAsia="仿宋" w:cs="Times New Roman"/>
                <w:color w:val="auto"/>
                <w:sz w:val="24"/>
                <w:szCs w:val="22"/>
                <w:highlight w:val="none"/>
              </w:rPr>
              <w:t>、检验步骤等相关情况描述；</w:t>
            </w:r>
          </w:p>
          <w:p>
            <w:pPr>
              <w:pageBreakBefore w:val="0"/>
              <w:kinsoku/>
              <w:wordWrap/>
              <w:overflowPunct/>
              <w:topLinePunct w:val="0"/>
              <w:autoSpaceDE/>
              <w:autoSpaceDN/>
              <w:bidi w:val="0"/>
              <w:adjustRightInd/>
              <w:snapToGrid/>
              <w:spacing w:line="460" w:lineRule="exact"/>
              <w:rPr>
                <w:rFonts w:hint="eastAsia" w:eastAsia="仿宋" w:cs="Times New Roman"/>
                <w:color w:val="auto"/>
                <w:sz w:val="24"/>
                <w:szCs w:val="22"/>
                <w:highlight w:val="none"/>
              </w:rPr>
            </w:pPr>
            <w:r>
              <w:rPr>
                <w:rFonts w:hint="eastAsia" w:eastAsia="仿宋" w:cs="Times New Roman"/>
                <w:color w:val="auto"/>
                <w:sz w:val="24"/>
                <w:szCs w:val="22"/>
                <w:highlight w:val="none"/>
              </w:rPr>
              <w:t>④人员配备：相关专业技术</w:t>
            </w:r>
            <w:r>
              <w:rPr>
                <w:rFonts w:hint="eastAsia" w:eastAsia="仿宋" w:cs="Times New Roman"/>
                <w:color w:val="auto"/>
                <w:sz w:val="24"/>
                <w:szCs w:val="22"/>
                <w:highlight w:val="none"/>
                <w:lang w:eastAsia="zh-CN"/>
              </w:rPr>
              <w:t>职称</w:t>
            </w:r>
            <w:r>
              <w:rPr>
                <w:rFonts w:hint="eastAsia" w:eastAsia="仿宋" w:cs="Times New Roman"/>
                <w:color w:val="auto"/>
                <w:sz w:val="24"/>
                <w:szCs w:val="22"/>
                <w:highlight w:val="none"/>
              </w:rPr>
              <w:t>人员配置情况</w:t>
            </w:r>
            <w:r>
              <w:rPr>
                <w:rFonts w:hint="eastAsia" w:eastAsia="仿宋" w:cs="Times New Roman"/>
                <w:color w:val="auto"/>
                <w:sz w:val="24"/>
                <w:szCs w:val="22"/>
                <w:highlight w:val="none"/>
                <w:lang w:eastAsia="zh-CN"/>
              </w:rPr>
              <w:t>；</w:t>
            </w:r>
            <w:r>
              <w:rPr>
                <w:rFonts w:hint="eastAsia" w:eastAsia="仿宋" w:cs="Times New Roman"/>
                <w:color w:val="auto"/>
                <w:sz w:val="24"/>
                <w:szCs w:val="22"/>
                <w:highlight w:val="none"/>
              </w:rPr>
              <w:t>各原材料采购、生产、检验、仓储、运输等环节的人员配备情况；</w:t>
            </w:r>
          </w:p>
          <w:p>
            <w:pPr>
              <w:pageBreakBefore w:val="0"/>
              <w:kinsoku/>
              <w:wordWrap/>
              <w:overflowPunct/>
              <w:topLinePunct w:val="0"/>
              <w:autoSpaceDE/>
              <w:autoSpaceDN/>
              <w:bidi w:val="0"/>
              <w:adjustRightInd/>
              <w:snapToGrid/>
              <w:spacing w:line="460" w:lineRule="exact"/>
              <w:rPr>
                <w:rFonts w:hint="eastAsia" w:eastAsia="仿宋" w:cs="Times New Roman"/>
                <w:b/>
                <w:bCs/>
                <w:color w:val="auto"/>
                <w:sz w:val="24"/>
                <w:szCs w:val="22"/>
                <w:highlight w:val="none"/>
              </w:rPr>
            </w:pPr>
            <w:r>
              <w:rPr>
                <w:rFonts w:hint="eastAsia" w:eastAsia="仿宋" w:cs="Times New Roman"/>
                <w:b/>
                <w:bCs/>
                <w:color w:val="auto"/>
                <w:sz w:val="24"/>
                <w:szCs w:val="22"/>
                <w:highlight w:val="none"/>
              </w:rPr>
              <w:t>评审依据：</w:t>
            </w:r>
            <w:r>
              <w:rPr>
                <w:rFonts w:hint="eastAsia" w:eastAsia="仿宋" w:cs="Times New Roman"/>
                <w:b/>
                <w:bCs/>
                <w:color w:val="auto"/>
                <w:sz w:val="24"/>
                <w:szCs w:val="22"/>
                <w:highlight w:val="none"/>
                <w:lang w:val="en-US" w:eastAsia="zh-CN"/>
              </w:rPr>
              <w:t>根据</w:t>
            </w:r>
            <w:r>
              <w:rPr>
                <w:rFonts w:hint="eastAsia" w:eastAsia="仿宋" w:cs="Times New Roman"/>
                <w:b/>
                <w:bCs/>
                <w:color w:val="auto"/>
                <w:sz w:val="24"/>
                <w:szCs w:val="22"/>
                <w:highlight w:val="none"/>
              </w:rPr>
              <w:t>投标人提</w:t>
            </w:r>
            <w:r>
              <w:rPr>
                <w:rFonts w:hint="eastAsia" w:eastAsia="仿宋" w:cs="Times New Roman"/>
                <w:b/>
                <w:bCs/>
                <w:color w:val="auto"/>
                <w:sz w:val="24"/>
                <w:szCs w:val="22"/>
                <w:highlight w:val="none"/>
                <w:lang w:val="en-US" w:eastAsia="zh-CN"/>
              </w:rPr>
              <w:t>供的生产制造履约能力方案内容完整性、组织性、关联性和可操作性进行评审</w:t>
            </w:r>
            <w:r>
              <w:rPr>
                <w:rFonts w:hint="eastAsia" w:eastAsia="仿宋" w:cs="Times New Roman"/>
                <w:b/>
                <w:bCs/>
                <w:color w:val="auto"/>
                <w:sz w:val="24"/>
                <w:szCs w:val="22"/>
                <w:highlight w:val="none"/>
              </w:rPr>
              <w:t>。</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1、所投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制造商具备较强自主研发能力及先进的生产工艺，生产车间环境及生产线先进规范，生产步骤完整周详，技术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检验设备配置齐全、检验步骤严密无纰漏，生产制造履约能力</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分；</w:t>
            </w:r>
          </w:p>
          <w:p>
            <w:pPr>
              <w:pageBreakBefore w:val="0"/>
              <w:numPr>
                <w:ilvl w:val="0"/>
                <w:numId w:val="0"/>
              </w:numPr>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制造商有自主研发能力和生产工艺较完整，生产车间环境及生产线常规，生产步骤较完整周详，技术</w:t>
            </w:r>
            <w:r>
              <w:rPr>
                <w:rFonts w:hint="eastAsia" w:ascii="仿宋" w:hAnsi="仿宋" w:eastAsia="仿宋" w:cs="仿宋"/>
                <w:b/>
                <w:bCs/>
                <w:color w:val="auto"/>
                <w:sz w:val="24"/>
                <w:szCs w:val="24"/>
                <w:highlight w:val="none"/>
              </w:rPr>
              <w:t>人员配备</w:t>
            </w:r>
            <w:r>
              <w:rPr>
                <w:rFonts w:hint="eastAsia" w:ascii="仿宋" w:hAnsi="仿宋" w:eastAsia="仿宋" w:cs="仿宋"/>
                <w:b/>
                <w:bCs/>
                <w:color w:val="auto"/>
                <w:sz w:val="24"/>
                <w:szCs w:val="24"/>
                <w:highlight w:val="none"/>
                <w:lang w:eastAsia="zh-CN"/>
              </w:rPr>
              <w:t>相对</w:t>
            </w:r>
            <w:r>
              <w:rPr>
                <w:rFonts w:hint="eastAsia" w:ascii="仿宋" w:hAnsi="仿宋" w:eastAsia="仿宋" w:cs="仿宋"/>
                <w:b/>
                <w:bCs/>
                <w:color w:val="auto"/>
                <w:sz w:val="24"/>
                <w:szCs w:val="24"/>
                <w:highlight w:val="none"/>
                <w:lang w:val="en-US" w:eastAsia="zh-CN"/>
              </w:rPr>
              <w:t>合理专业齐全</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检验设备配置较齐全、检验步骤相对完备，生产制造履约能力</w:t>
            </w:r>
            <w:r>
              <w:rPr>
                <w:rFonts w:hint="eastAsia" w:ascii="仿宋" w:hAnsi="仿宋" w:eastAsia="仿宋" w:cs="仿宋"/>
                <w:b/>
                <w:bCs/>
                <w:color w:val="auto"/>
                <w:sz w:val="24"/>
                <w:szCs w:val="24"/>
                <w:highlight w:val="none"/>
                <w:lang w:eastAsia="zh-CN"/>
              </w:rPr>
              <w:t>较</w:t>
            </w:r>
            <w:r>
              <w:rPr>
                <w:rFonts w:hint="eastAsia" w:ascii="仿宋" w:hAnsi="仿宋" w:eastAsia="仿宋" w:cs="仿宋"/>
                <w:b/>
                <w:bCs/>
                <w:color w:val="auto"/>
                <w:sz w:val="24"/>
                <w:szCs w:val="24"/>
                <w:highlight w:val="none"/>
              </w:rPr>
              <w:t>高的得</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3、所投</w:t>
            </w:r>
            <w:r>
              <w:rPr>
                <w:rFonts w:hint="eastAsia" w:eastAsia="仿宋" w:cs="Times New Roman"/>
                <w:b/>
                <w:bCs/>
                <w:color w:val="auto"/>
                <w:sz w:val="24"/>
                <w:szCs w:val="22"/>
                <w:highlight w:val="none"/>
                <w:lang w:val="en-US" w:eastAsia="zh-CN"/>
              </w:rPr>
              <w:t>核心产品</w:t>
            </w:r>
            <w:r>
              <w:rPr>
                <w:rFonts w:hint="eastAsia" w:ascii="仿宋" w:hAnsi="仿宋" w:eastAsia="仿宋" w:cs="仿宋"/>
                <w:b/>
                <w:bCs/>
                <w:color w:val="auto"/>
                <w:sz w:val="24"/>
                <w:szCs w:val="24"/>
                <w:highlight w:val="none"/>
                <w:lang w:val="en-US" w:eastAsia="zh-CN"/>
              </w:rPr>
              <w:t>制造商有自主研发能力和生产工艺薄弱，生产车间环境及生产线粗糙落后，生产步骤简单，技术</w:t>
            </w:r>
            <w:r>
              <w:rPr>
                <w:rFonts w:hint="eastAsia" w:ascii="仿宋" w:hAnsi="仿宋" w:eastAsia="仿宋" w:cs="仿宋"/>
                <w:b/>
                <w:bCs/>
                <w:color w:val="auto"/>
                <w:sz w:val="24"/>
                <w:szCs w:val="24"/>
                <w:highlight w:val="none"/>
              </w:rPr>
              <w:t>人员</w:t>
            </w:r>
            <w:r>
              <w:rPr>
                <w:rFonts w:hint="eastAsia" w:ascii="仿宋" w:hAnsi="仿宋" w:eastAsia="仿宋" w:cs="仿宋"/>
                <w:b/>
                <w:bCs/>
                <w:color w:val="auto"/>
                <w:sz w:val="24"/>
                <w:szCs w:val="24"/>
                <w:highlight w:val="none"/>
                <w:lang w:eastAsia="zh-CN"/>
              </w:rPr>
              <w:t>综合实力一般，</w:t>
            </w:r>
            <w:r>
              <w:rPr>
                <w:rFonts w:hint="eastAsia" w:ascii="仿宋" w:hAnsi="仿宋" w:eastAsia="仿宋" w:cs="仿宋"/>
                <w:b/>
                <w:bCs/>
                <w:color w:val="auto"/>
                <w:sz w:val="24"/>
                <w:szCs w:val="24"/>
                <w:highlight w:val="none"/>
                <w:lang w:val="en-US" w:eastAsia="zh-CN"/>
              </w:rPr>
              <w:t>检验设备配置简单落后，检验步骤普通，生产制造履约能力</w:t>
            </w:r>
            <w:r>
              <w:rPr>
                <w:rFonts w:hint="eastAsia" w:ascii="仿宋" w:hAnsi="仿宋" w:eastAsia="仿宋" w:cs="仿宋"/>
                <w:b/>
                <w:bCs/>
                <w:color w:val="auto"/>
                <w:sz w:val="24"/>
                <w:szCs w:val="24"/>
                <w:highlight w:val="none"/>
                <w:lang w:eastAsia="zh-CN"/>
              </w:rPr>
              <w:t>弱</w:t>
            </w:r>
            <w:r>
              <w:rPr>
                <w:rFonts w:hint="eastAsia" w:ascii="仿宋" w:hAnsi="仿宋" w:eastAsia="仿宋" w:cs="仿宋"/>
                <w:b/>
                <w:bCs/>
                <w:color w:val="auto"/>
                <w:sz w:val="24"/>
                <w:szCs w:val="24"/>
                <w:highlight w:val="none"/>
              </w:rPr>
              <w:t>的得</w:t>
            </w: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未提供证明材料或证明材料有缺项的不得分。</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06"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3</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质量保证和保修</w:t>
            </w:r>
          </w:p>
        </w:tc>
        <w:tc>
          <w:tcPr>
            <w:tcW w:w="3390" w:type="pct"/>
            <w:vAlign w:val="center"/>
          </w:tcPr>
          <w:p>
            <w:pPr>
              <w:pageBreakBefore w:val="0"/>
              <w:kinsoku/>
              <w:wordWrap/>
              <w:overflowPunct/>
              <w:topLinePunct w:val="0"/>
              <w:autoSpaceDE/>
              <w:autoSpaceDN/>
              <w:bidi w:val="0"/>
              <w:adjustRightInd/>
              <w:snapToGrid/>
              <w:spacing w:line="460" w:lineRule="exact"/>
              <w:jc w:val="left"/>
              <w:rPr>
                <w:rFonts w:eastAsia="仿宋"/>
                <w:color w:val="auto"/>
                <w:sz w:val="24"/>
                <w:szCs w:val="22"/>
                <w:highlight w:val="none"/>
              </w:rPr>
            </w:pPr>
            <w:r>
              <w:rPr>
                <w:rFonts w:eastAsia="仿宋"/>
                <w:color w:val="auto"/>
                <w:sz w:val="24"/>
                <w:szCs w:val="22"/>
                <w:highlight w:val="none"/>
              </w:rPr>
              <w:t>在招标文件商务要求中“质保期”和“保修期”要求基础上，承诺“质保期”和“保修期”均每延长一年的加2分，最多加4分。</w:t>
            </w:r>
          </w:p>
          <w:p>
            <w:pPr>
              <w:pageBreakBefore w:val="0"/>
              <w:kinsoku/>
              <w:wordWrap/>
              <w:overflowPunct/>
              <w:topLinePunct w:val="0"/>
              <w:autoSpaceDE/>
              <w:autoSpaceDN/>
              <w:bidi w:val="0"/>
              <w:adjustRightInd/>
              <w:snapToGrid/>
              <w:spacing w:line="460" w:lineRule="exact"/>
              <w:rPr>
                <w:rFonts w:eastAsia="仿宋"/>
                <w:color w:val="auto"/>
                <w:sz w:val="24"/>
                <w:szCs w:val="22"/>
                <w:highlight w:val="none"/>
              </w:rPr>
            </w:pPr>
            <w:r>
              <w:rPr>
                <w:rFonts w:eastAsia="仿宋"/>
                <w:b/>
                <w:color w:val="auto"/>
                <w:sz w:val="24"/>
                <w:szCs w:val="22"/>
                <w:highlight w:val="none"/>
              </w:rPr>
              <w:t>评审依据：投标文件中提供“质保期”和“保修期”均延长的承诺函原件。</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406"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4</w:t>
            </w:r>
          </w:p>
        </w:tc>
        <w:tc>
          <w:tcPr>
            <w:tcW w:w="705"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类似销售</w:t>
            </w:r>
          </w:p>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eastAsia="仿宋"/>
                <w:color w:val="auto"/>
                <w:sz w:val="24"/>
                <w:szCs w:val="22"/>
                <w:highlight w:val="none"/>
              </w:rPr>
              <w:t>案例</w:t>
            </w:r>
          </w:p>
        </w:tc>
        <w:tc>
          <w:tcPr>
            <w:tcW w:w="3390" w:type="pct"/>
            <w:vAlign w:val="center"/>
          </w:tcPr>
          <w:p>
            <w:pPr>
              <w:pageBreakBefore w:val="0"/>
              <w:kinsoku/>
              <w:wordWrap/>
              <w:overflowPunct/>
              <w:topLinePunct w:val="0"/>
              <w:autoSpaceDE/>
              <w:autoSpaceDN/>
              <w:bidi w:val="0"/>
              <w:adjustRightInd/>
              <w:snapToGrid/>
              <w:spacing w:line="460" w:lineRule="exact"/>
              <w:jc w:val="left"/>
              <w:rPr>
                <w:rFonts w:hint="eastAsia" w:eastAsia="仿宋" w:cs="Times New Roman"/>
                <w:color w:val="auto"/>
                <w:sz w:val="24"/>
                <w:szCs w:val="22"/>
                <w:highlight w:val="none"/>
                <w:lang w:eastAsia="zh-CN"/>
              </w:rPr>
            </w:pPr>
            <w:r>
              <w:rPr>
                <w:rFonts w:hint="eastAsia" w:eastAsia="仿宋" w:cs="Times New Roman"/>
                <w:color w:val="auto"/>
                <w:sz w:val="24"/>
                <w:szCs w:val="22"/>
                <w:highlight w:val="none"/>
              </w:rPr>
              <w:t>投标人自</w:t>
            </w:r>
            <w:r>
              <w:rPr>
                <w:rFonts w:eastAsia="仿宋" w:cs="Times New Roman"/>
                <w:color w:val="auto"/>
                <w:sz w:val="24"/>
                <w:szCs w:val="22"/>
                <w:highlight w:val="none"/>
              </w:rPr>
              <w:t>20</w:t>
            </w:r>
            <w:r>
              <w:rPr>
                <w:rFonts w:hint="eastAsia" w:eastAsia="仿宋" w:cs="Times New Roman"/>
                <w:color w:val="auto"/>
                <w:sz w:val="24"/>
                <w:szCs w:val="22"/>
                <w:highlight w:val="none"/>
              </w:rPr>
              <w:t>2</w:t>
            </w:r>
            <w:r>
              <w:rPr>
                <w:rFonts w:hint="eastAsia" w:eastAsia="仿宋" w:cs="Times New Roman"/>
                <w:color w:val="auto"/>
                <w:sz w:val="24"/>
                <w:szCs w:val="22"/>
                <w:highlight w:val="none"/>
                <w:lang w:val="en-US" w:eastAsia="zh-CN"/>
              </w:rPr>
              <w:t>1</w:t>
            </w:r>
            <w:r>
              <w:rPr>
                <w:rFonts w:hint="eastAsia" w:eastAsia="仿宋" w:cs="Times New Roman"/>
                <w:color w:val="auto"/>
                <w:sz w:val="24"/>
                <w:szCs w:val="22"/>
                <w:highlight w:val="none"/>
              </w:rPr>
              <w:t>年</w:t>
            </w:r>
            <w:r>
              <w:rPr>
                <w:rFonts w:eastAsia="仿宋" w:cs="Times New Roman"/>
                <w:color w:val="auto"/>
                <w:sz w:val="24"/>
                <w:szCs w:val="22"/>
                <w:highlight w:val="none"/>
              </w:rPr>
              <w:t>1月1日至今（以签订合同时间为准）具有类似</w:t>
            </w:r>
            <w:r>
              <w:rPr>
                <w:rFonts w:hint="eastAsia" w:eastAsia="仿宋" w:cs="Times New Roman"/>
                <w:color w:val="auto"/>
                <w:sz w:val="24"/>
                <w:szCs w:val="22"/>
                <w:highlight w:val="none"/>
                <w:lang w:eastAsia="zh-CN"/>
              </w:rPr>
              <w:t>核心</w:t>
            </w:r>
            <w:r>
              <w:rPr>
                <w:rFonts w:eastAsia="仿宋" w:cs="Times New Roman"/>
                <w:color w:val="auto"/>
                <w:sz w:val="24"/>
                <w:szCs w:val="22"/>
                <w:highlight w:val="none"/>
              </w:rPr>
              <w:t>产品销售案例，每提供1份销售案例加</w:t>
            </w:r>
            <w:r>
              <w:rPr>
                <w:rFonts w:hint="eastAsia" w:eastAsia="仿宋" w:cs="Times New Roman"/>
                <w:color w:val="auto"/>
                <w:sz w:val="24"/>
                <w:szCs w:val="22"/>
                <w:highlight w:val="none"/>
                <w:lang w:val="en-US" w:eastAsia="zh-CN"/>
              </w:rPr>
              <w:t>2</w:t>
            </w:r>
            <w:r>
              <w:rPr>
                <w:rFonts w:hint="eastAsia" w:eastAsia="仿宋" w:cs="Times New Roman"/>
                <w:color w:val="auto"/>
                <w:sz w:val="24"/>
                <w:szCs w:val="22"/>
                <w:highlight w:val="none"/>
              </w:rPr>
              <w:t>分，本项最多加</w:t>
            </w:r>
            <w:r>
              <w:rPr>
                <w:rFonts w:hint="eastAsia" w:eastAsia="仿宋" w:cs="Times New Roman"/>
                <w:color w:val="auto"/>
                <w:sz w:val="24"/>
                <w:szCs w:val="22"/>
                <w:highlight w:val="none"/>
                <w:lang w:val="en-US" w:eastAsia="zh-CN"/>
              </w:rPr>
              <w:t>6</w:t>
            </w:r>
            <w:r>
              <w:rPr>
                <w:rFonts w:hint="eastAsia" w:eastAsia="仿宋" w:cs="Times New Roman"/>
                <w:color w:val="auto"/>
                <w:sz w:val="24"/>
                <w:szCs w:val="22"/>
                <w:highlight w:val="none"/>
              </w:rPr>
              <w:t>分。</w:t>
            </w:r>
          </w:p>
          <w:p>
            <w:pPr>
              <w:pageBreakBefore w:val="0"/>
              <w:kinsoku/>
              <w:wordWrap/>
              <w:overflowPunct/>
              <w:topLinePunct w:val="0"/>
              <w:autoSpaceDE/>
              <w:autoSpaceDN/>
              <w:bidi w:val="0"/>
              <w:adjustRightInd/>
              <w:snapToGrid/>
              <w:spacing w:line="460" w:lineRule="exact"/>
              <w:jc w:val="left"/>
              <w:rPr>
                <w:rFonts w:eastAsia="仿宋"/>
                <w:b/>
                <w:bCs/>
                <w:color w:val="auto"/>
                <w:sz w:val="24"/>
                <w:szCs w:val="22"/>
                <w:highlight w:val="none"/>
              </w:rPr>
            </w:pPr>
            <w:r>
              <w:rPr>
                <w:rFonts w:hint="eastAsia" w:eastAsia="仿宋" w:cs="Times New Roman"/>
                <w:b/>
                <w:bCs/>
                <w:color w:val="auto"/>
                <w:sz w:val="24"/>
                <w:szCs w:val="22"/>
                <w:highlight w:val="none"/>
              </w:rPr>
              <w:t>评审依据：①投标文件中提供销售案例明细表（销售案例明细表包含</w:t>
            </w:r>
            <w:r>
              <w:rPr>
                <w:rFonts w:eastAsia="仿宋" w:cs="Times New Roman"/>
                <w:b/>
                <w:bCs/>
                <w:color w:val="auto"/>
                <w:sz w:val="24"/>
                <w:szCs w:val="22"/>
                <w:highlight w:val="none"/>
              </w:rPr>
              <w:t>:发布网站名称、网页链接地址、采购项目名称、采购单位名称和联系方式、采购代理机构名称和联系方式）；</w:t>
            </w:r>
            <w:r>
              <w:rPr>
                <w:rFonts w:hint="eastAsia" w:eastAsia="仿宋" w:cs="Times New Roman"/>
                <w:b/>
                <w:bCs/>
                <w:color w:val="auto"/>
                <w:sz w:val="24"/>
                <w:szCs w:val="22"/>
                <w:highlight w:val="none"/>
              </w:rPr>
              <w:t>②</w:t>
            </w:r>
            <w:r>
              <w:rPr>
                <w:rFonts w:hint="eastAsia" w:eastAsia="仿宋" w:cs="Times New Roman"/>
                <w:b/>
                <w:bCs/>
                <w:color w:val="auto"/>
                <w:sz w:val="24"/>
                <w:szCs w:val="22"/>
                <w:highlight w:val="none"/>
                <w:lang w:eastAsia="zh-CN"/>
              </w:rPr>
              <w:t>中标（成交）公告截图（打印网页）、中标通知书复印件和合同复印件（中标通知书或合同复印件应体现类似销售案例的货物），合同签订方必须是投标人本身。</w:t>
            </w:r>
          </w:p>
        </w:tc>
        <w:tc>
          <w:tcPr>
            <w:tcW w:w="498" w:type="pct"/>
            <w:vAlign w:val="center"/>
          </w:tcPr>
          <w:p>
            <w:pPr>
              <w:pageBreakBefore w:val="0"/>
              <w:kinsoku/>
              <w:wordWrap/>
              <w:overflowPunct/>
              <w:topLinePunct w:val="0"/>
              <w:autoSpaceDE/>
              <w:autoSpaceDN/>
              <w:bidi w:val="0"/>
              <w:adjustRightInd/>
              <w:snapToGrid/>
              <w:spacing w:line="460" w:lineRule="exact"/>
              <w:jc w:val="center"/>
              <w:rPr>
                <w:rFonts w:eastAsia="仿宋"/>
                <w:color w:val="auto"/>
                <w:sz w:val="24"/>
                <w:szCs w:val="22"/>
                <w:highlight w:val="none"/>
              </w:rPr>
            </w:pPr>
            <w:r>
              <w:rPr>
                <w:rFonts w:hint="eastAsia" w:eastAsia="仿宋"/>
                <w:color w:val="auto"/>
                <w:sz w:val="24"/>
                <w:szCs w:val="22"/>
                <w:highlight w:val="none"/>
                <w:lang w:val="en-US" w:eastAsia="zh-CN"/>
              </w:rPr>
              <w:t>6</w:t>
            </w:r>
            <w:r>
              <w:rPr>
                <w:rFonts w:eastAsia="仿宋"/>
                <w:color w:val="auto"/>
                <w:sz w:val="24"/>
                <w:szCs w:val="22"/>
                <w:highlight w:val="none"/>
              </w:rPr>
              <w:t>分</w:t>
            </w:r>
          </w:p>
        </w:tc>
      </w:tr>
    </w:tbl>
    <w:p>
      <w:pPr>
        <w:rPr>
          <w:color w:val="auto"/>
          <w:highlight w:val="none"/>
        </w:rPr>
      </w:pPr>
    </w:p>
    <w:p>
      <w:pPr>
        <w:rPr>
          <w:color w:val="auto"/>
        </w:rPr>
      </w:pPr>
    </w:p>
    <w:p>
      <w:pPr>
        <w:rPr>
          <w:color w:val="auto"/>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2531ECD1-2216-4898-9449-C06C4996D080}"/>
  </w:font>
  <w:font w:name="黑体">
    <w:panose1 w:val="02010609060101010101"/>
    <w:charset w:val="86"/>
    <w:family w:val="auto"/>
    <w:pitch w:val="default"/>
    <w:sig w:usb0="800002BF" w:usb1="38CF7CFA" w:usb2="00000016" w:usb3="00000000" w:csb0="00040001" w:csb1="00000000"/>
    <w:embedRegular r:id="rId2" w:fontKey="{E84D4719-301C-473E-B9D4-735DDBD5C40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modern"/>
    <w:pitch w:val="default"/>
    <w:sig w:usb0="E00006FF" w:usb1="420024FF" w:usb2="02000000" w:usb3="00000000" w:csb0="2000019F" w:csb1="00000000"/>
  </w:font>
  <w:font w:name="仿宋">
    <w:panose1 w:val="02010609060101010101"/>
    <w:charset w:val="86"/>
    <w:family w:val="decorative"/>
    <w:pitch w:val="default"/>
    <w:sig w:usb0="800002BF" w:usb1="38CF7CFA" w:usb2="00000016" w:usb3="00000000" w:csb0="00040001" w:csb1="00000000"/>
    <w:embedRegular r:id="rId3" w:fontKey="{F1DBEEA7-6608-474C-A397-8FF890E4AFB0}"/>
  </w:font>
  <w:font w:name="FangSong_GB2312">
    <w:altName w:val="仿宋"/>
    <w:panose1 w:val="02010609060101010101"/>
    <w:charset w:val="00"/>
    <w:family w:val="swiss"/>
    <w:pitch w:val="default"/>
    <w:sig w:usb0="00000000" w:usb1="00000000" w:usb2="00000000" w:usb3="00000000" w:csb0="00000000" w:csb1="00000000"/>
  </w:font>
  <w:font w:name="楷体_GB2312">
    <w:altName w:val="楷体"/>
    <w:panose1 w:val="02010609030101010101"/>
    <w:charset w:val="86"/>
    <w:family w:val="decorative"/>
    <w:pitch w:val="default"/>
    <w:sig w:usb0="00000000" w:usb1="00000000" w:usb2="00000000" w:usb3="00000000" w:csb0="00040000" w:csb1="00000000"/>
  </w:font>
  <w:font w:name="方正仿宋_GBK">
    <w:panose1 w:val="02000000000000000000"/>
    <w:charset w:val="86"/>
    <w:family w:val="script"/>
    <w:pitch w:val="default"/>
    <w:sig w:usb0="A00002BF" w:usb1="38CF7CFA" w:usb2="00082016" w:usb3="00000000" w:csb0="00040001" w:csb1="00000000"/>
    <w:embedRegular r:id="rId4" w:fontKey="{71F1E77A-E505-4D4F-B54A-E5DDC26D8FE3}"/>
  </w:font>
  <w:font w:name="方正黑体_GBK">
    <w:panose1 w:val="03000509000000000000"/>
    <w:charset w:val="86"/>
    <w:family w:val="script"/>
    <w:pitch w:val="default"/>
    <w:sig w:usb0="00000001" w:usb1="080E0000" w:usb2="00000000" w:usb3="00000000" w:csb0="00040000" w:csb1="00000000"/>
    <w:embedRegular r:id="rId5" w:fontKey="{F1814751-3EEA-42C6-932E-5310FC392AA7}"/>
  </w:font>
  <w:font w:name="方正小标宋_GBK">
    <w:panose1 w:val="03000509000000000000"/>
    <w:charset w:val="86"/>
    <w:family w:val="script"/>
    <w:pitch w:val="default"/>
    <w:sig w:usb0="00000001" w:usb1="080E0000" w:usb2="00000000" w:usb3="00000000" w:csb0="00040000" w:csb1="00000000"/>
    <w:embedRegular r:id="rId6" w:fontKey="{BAB526F8-BF72-4A41-A9CF-1B58049831D4}"/>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right="360"/>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miter/>
                      </a:ln>
                    </wps:spPr>
                    <wps:txbx>
                      <w:txbxContent>
                        <w:p>
                          <w:r>
                            <w:fldChar w:fldCharType="begin"/>
                          </w:r>
                          <w:r>
                            <w:instrText xml:space="preserve"> PAGE  \* MERGEFORMAT </w:instrText>
                          </w:r>
                          <w:r>
                            <w:fldChar w:fldCharType="separate"/>
                          </w:r>
                          <w:r>
                            <w:t>49</w:t>
                          </w:r>
                          <w:r>
                            <w:fldChar w:fldCharType="end"/>
                          </w:r>
                        </w:p>
                      </w:txbxContent>
                    </wps:txbx>
                    <wps:bodyPr wrap="none" lIns="0" tIns="0" rIns="0" bIns="0" upright="1">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CuuYs7UAQAArAMAAA4AAAAAAAAAAQAgAAAAHgEA&#10;AGRycy9lMm9Eb2MueG1sUEsFBgAAAAAGAAYAWQEAAGQFAAAAAA==&#10;">
              <v:fill on="f" focussize="0,0"/>
              <v:stroke on="f" joinstyle="miter"/>
              <v:imagedata o:title=""/>
              <o:lock v:ext="edit" aspectratio="f"/>
              <v:textbox inset="0mm,0mm,0mm,0mm" style="mso-fit-shape-to-text:t;">
                <w:txbxContent>
                  <w:p>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right="360"/>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miter/>
                      </a:ln>
                    </wps:spPr>
                    <wps:txbx>
                      <w:txbxContent>
                        <w:p>
                          <w:r>
                            <w:fldChar w:fldCharType="begin"/>
                          </w:r>
                          <w:r>
                            <w:instrText xml:space="preserve"> PAGE  \* MERGEFORMAT </w:instrText>
                          </w:r>
                          <w:r>
                            <w:fldChar w:fldCharType="separate"/>
                          </w:r>
                          <w:r>
                            <w:t>V</w:t>
                          </w:r>
                          <w:r>
                            <w:fldChar w:fldCharType="end"/>
                          </w:r>
                        </w:p>
                      </w:txbxContent>
                    </wps:txbx>
                    <wps:bodyPr wrap="none" lIns="0" tIns="0" rIns="0" bIns="0" upright="1">
                      <a:spAutoFit/>
                    </wps:bodyPr>
                  </wps:wsp>
                </a:graphicData>
              </a:graphic>
            </wp:anchor>
          </w:drawing>
        </mc:Choice>
        <mc:Fallback>
          <w:pict>
            <v:shape id="文本框 24"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&#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Aw5Ovo1QEAAK4DAAAOAAAAAAAAAAEAIAAAAB4B&#10;AABkcnMvZTJvRG9jLnhtbFBLBQYAAAAABgAGAFkBAABlBQAAAAA=&#10;">
              <v:fill on="f" focussize="0,0"/>
              <v:stroke on="f" joinstyle="miter"/>
              <v:imagedata o:title=""/>
              <o:lock v:ext="edit" aspectratio="f"/>
              <v:textbox inset="0mm,0mm,0mm,0mm" style="mso-fit-shape-to-text:t;">
                <w:txbxContent>
                  <w:p>
                    <w:r>
                      <w:fldChar w:fldCharType="begin"/>
                    </w:r>
                    <w:r>
                      <w:instrText xml:space="preserve"> PAGE  \* MERGEFORMAT </w:instrText>
                    </w:r>
                    <w:r>
                      <w:fldChar w:fldCharType="separate"/>
                    </w:r>
                    <w:r>
                      <w:t>V</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right="360"/>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miter/>
                      </a:ln>
                    </wps:spPr>
                    <wps:txbx>
                      <w:txbxContent>
                        <w:p>
                          <w:r>
                            <w:fldChar w:fldCharType="begin"/>
                          </w:r>
                          <w:r>
                            <w:instrText xml:space="preserve"> PAGE  \* MERGEFORMAT </w:instrText>
                          </w:r>
                          <w:r>
                            <w:fldChar w:fldCharType="separate"/>
                          </w:r>
                          <w:r>
                            <w:t>6</w:t>
                          </w:r>
                          <w:r>
                            <w:fldChar w:fldCharType="end"/>
                          </w:r>
                        </w:p>
                      </w:txbxContent>
                    </wps:txbx>
                    <wps:bodyPr wrap="none" lIns="0" tIns="0" rIns="0" bIns="0" upright="1">
                      <a:spAutoFit/>
                    </wps:bodyPr>
                  </wps:wsp>
                </a:graphicData>
              </a:graphic>
            </wp:anchor>
          </w:drawing>
        </mc:Choice>
        <mc:Fallback>
          <w:pict>
            <v:shape id="文本框 25"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NVUh2NMBAACuAwAADgAAAAAAAAABACAAAAAeAQAA&#10;ZHJzL2Uyb0RvYy54bWxQSwUGAAAAAAYABgBZAQAAYwUAAAAA&#10;">
              <v:fill on="f" focussize="0,0"/>
              <v:stroke on="f" joinstyle="miter"/>
              <v:imagedata o:title=""/>
              <o:lock v:ext="edit" aspectratio="f"/>
              <v:textbox inset="0mm,0mm,0mm,0mm" style="mso-fit-shape-to-text:t;">
                <w:txbxContent>
                  <w:p>
                    <w:r>
                      <w:fldChar w:fldCharType="begin"/>
                    </w:r>
                    <w:r>
                      <w:instrText xml:space="preserve"> PAGE  \* MERGEFORMAT </w:instrText>
                    </w:r>
                    <w:r>
                      <w:fldChar w:fldCharType="separate"/>
                    </w:r>
                    <w:r>
                      <w:t>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rPr>
        <w:b/>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miter/>
                      </a:ln>
                    </wps:spPr>
                    <wps:txbx>
                      <w:txbxContent>
                        <w:p>
                          <w:pPr>
                            <w:pStyle w:val="24"/>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&#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CORMpw1QEAAKwDAAAOAAAAAAAAAAEAIAAAAB4B&#10;AABkcnMvZTJvRG9jLnhtbFBLBQYAAAAABgAGAFkBAABlBQAAAAA=&#10;">
              <v:fill on="f" focussize="0,0"/>
              <v:stroke on="f" joinstyle="miter"/>
              <v:imagedata o:title=""/>
              <o:lock v:ext="edit" aspectratio="f"/>
              <v:textbox inset="0mm,0mm,0mm,0mm" style="mso-fit-shape-to-text:t;">
                <w:txbxContent>
                  <w:p>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tabs>
        <w:tab w:val="clear" w:pos="4153"/>
      </w:tabs>
      <w:jc w:val="center"/>
      <w:rPr>
        <w:rFonts w:hint="default" w:eastAsia="宋体"/>
        <w:lang w:val="en-US" w:eastAsia="zh-CN"/>
      </w:rPr>
    </w:pPr>
    <w:r>
      <w:rPr>
        <w:rFonts w:hint="eastAsia"/>
        <w:lang w:val="en-US" w:eastAsia="zh-CN"/>
      </w:rPr>
      <w:t>第11页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rPr>
        <w:b/>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miter/>
                      </a:ln>
                    </wps:spPr>
                    <wps:txbx>
                      <w:txbxContent>
                        <w:p>
                          <w:pPr>
                            <w:pStyle w:val="24"/>
                          </w:pPr>
                          <w:r>
                            <w:fldChar w:fldCharType="begin"/>
                          </w:r>
                          <w:r>
                            <w:instrText xml:space="preserve"> PAGE  \* MERGEFORMAT </w:instrText>
                          </w:r>
                          <w:r>
                            <w:fldChar w:fldCharType="separate"/>
                          </w:r>
                          <w:r>
                            <w:t>- 12 -</w:t>
                          </w:r>
                          <w:r>
                            <w:fldChar w:fldCharType="end"/>
                          </w:r>
                        </w:p>
                      </w:txbxContent>
                    </wps:txbx>
                    <wps:bodyPr wrap="none" lIns="0" tIns="0" rIns="0" bIns="0" upright="1">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Aw4RJq1QEAAK4DAAAOAAAAAAAAAAEAIAAAAB4B&#10;AABkcnMvZTJvRG9jLnhtbFBLBQYAAAAABgAGAFkBAABlBQAAAAA=&#10;">
              <v:fill on="f" focussize="0,0"/>
              <v:stroke on="f" joinstyle="miter"/>
              <v:imagedata o:title=""/>
              <o:lock v:ext="edit" aspectratio="f"/>
              <v:textbox inset="0mm,0mm,0mm,0mm" style="mso-fit-shape-to-text:t;">
                <w:txbxContent>
                  <w:p>
                    <w:pPr>
                      <w:pStyle w:val="24"/>
                    </w:pPr>
                    <w:r>
                      <w:fldChar w:fldCharType="begin"/>
                    </w:r>
                    <w:r>
                      <w:instrText xml:space="preserve"> PAGE  \* MERGEFORMAT </w:instrText>
                    </w:r>
                    <w:r>
                      <w:fldChar w:fldCharType="separate"/>
                    </w:r>
                    <w:r>
                      <w:t>- 12 -</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tabs>
        <w:tab w:val="clear" w:pos="4153"/>
      </w:tabs>
      <w:jc w:val="center"/>
      <w:rPr>
        <w:rFonts w:hint="default" w:eastAsia="宋体"/>
        <w:lang w:val="en-US"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miter/>
                      </a:ln>
                    </wps:spPr>
                    <wps:txbx>
                      <w:txbxContent>
                        <w:p>
                          <w:pPr>
                            <w:pStyle w:val="24"/>
                          </w:pPr>
                          <w:r>
                            <w:fldChar w:fldCharType="begin"/>
                          </w:r>
                          <w:r>
                            <w:instrText xml:space="preserve"> PAGE  \* MERGEFORMAT </w:instrText>
                          </w:r>
                          <w:r>
                            <w:fldChar w:fldCharType="separate"/>
                          </w:r>
                          <w:r>
                            <w:t>- 11 -</w:t>
                          </w:r>
                          <w:r>
                            <w:fldChar w:fldCharType="end"/>
                          </w:r>
                        </w:p>
                      </w:txbxContent>
                    </wps:txbx>
                    <wps:bodyPr wrap="none" lIns="0" tIns="0" rIns="0" bIns="0" upright="0">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KxlvP3UAQAArgMAAA4AAAAAAAAAAQAgAAAAHgEA&#10;AGRycy9lMm9Eb2MueG1sUEsFBgAAAAAGAAYAWQEAAGQFAAAAAA==&#10;">
              <v:fill on="f" focussize="0,0"/>
              <v:stroke on="f" joinstyle="miter"/>
              <v:imagedata o:title=""/>
              <o:lock v:ext="edit" aspectratio="f"/>
              <v:textbox inset="0mm,0mm,0mm,0mm" style="mso-fit-shape-to-text:t;">
                <w:txbxContent>
                  <w:p>
                    <w:pPr>
                      <w:pStyle w:val="24"/>
                    </w:pPr>
                    <w:r>
                      <w:fldChar w:fldCharType="begin"/>
                    </w:r>
                    <w:r>
                      <w:instrText xml:space="preserve"> PAGE  \* MERGEFORMAT </w:instrText>
                    </w:r>
                    <w:r>
                      <w:fldChar w:fldCharType="separate"/>
                    </w:r>
                    <w:r>
                      <w:t>- 11 -</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rPr>
        <w:b/>
        <w:szCs w:val="18"/>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miter/>
                      </a:ln>
                    </wps:spPr>
                    <wps:txbx>
                      <w:txbxContent>
                        <w:p>
                          <w:pPr>
                            <w:pStyle w:val="24"/>
                          </w:pPr>
                          <w:r>
                            <w:fldChar w:fldCharType="begin"/>
                          </w:r>
                          <w:r>
                            <w:instrText xml:space="preserve"> PAGE  \* MERGEFORMAT </w:instrText>
                          </w:r>
                          <w:r>
                            <w:fldChar w:fldCharType="separate"/>
                          </w:r>
                          <w:r>
                            <w:t>35</w:t>
                          </w:r>
                          <w:r>
                            <w:fldChar w:fldCharType="end"/>
                          </w:r>
                        </w:p>
                      </w:txbxContent>
                    </wps:txbx>
                    <wps:bodyPr wrap="none" lIns="0" tIns="0" rIns="0" bIns="0" upright="1">
                      <a:spAutoFit/>
                    </wps:bodyPr>
                  </wps:wsp>
                </a:graphicData>
              </a:graphic>
            </wp:anchor>
          </w:drawing>
        </mc:Choice>
        <mc:Fallback>
          <w:pict>
            <v:shape id="文本框 103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KlICPLXAQAArwMAAA4AAAAAAAAAAQAgAAAA&#10;HgEAAGRycy9lMm9Eb2MueG1sUEsFBgAAAAAGAAYAWQEAAGcFAAAAAA==&#10;">
              <v:fill on="f" focussize="0,0"/>
              <v:stroke on="f" joinstyle="miter"/>
              <v:imagedata o:title=""/>
              <o:lock v:ext="edit" aspectratio="f"/>
              <v:textbox inset="0mm,0mm,0mm,0mm" style="mso-fit-shape-to-text:t;">
                <w:txbxContent>
                  <w:p>
                    <w:pPr>
                      <w:pStyle w:val="24"/>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rPr>
        <w:b/>
        <w:szCs w:val="18"/>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miter/>
                      </a:ln>
                    </wps:spPr>
                    <wps:txbx>
                      <w:txbxContent>
                        <w:p>
                          <w:pPr>
                            <w:pStyle w:val="24"/>
                          </w:pPr>
                          <w:r>
                            <w:fldChar w:fldCharType="begin"/>
                          </w:r>
                          <w:r>
                            <w:instrText xml:space="preserve"> PAGE  \* MERGEFORMAT </w:instrText>
                          </w:r>
                          <w:r>
                            <w:fldChar w:fldCharType="separate"/>
                          </w:r>
                          <w:r>
                            <w:t>34</w:t>
                          </w:r>
                          <w:r>
                            <w:fldChar w:fldCharType="end"/>
                          </w:r>
                        </w:p>
                      </w:txbxContent>
                    </wps:txbx>
                    <wps:bodyPr wrap="none" lIns="0" tIns="0" rIns="0" bIns="0" upright="1">
                      <a:spAutoFit/>
                    </wps:bodyPr>
                  </wps:wsp>
                </a:graphicData>
              </a:graphic>
            </wp:anchor>
          </w:drawing>
        </mc:Choice>
        <mc:Fallback>
          <w:pict>
            <v:shape id="文本框 1035"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LtzVjTXAQAArwMAAA4AAAAAAAAAAQAgAAAA&#10;HgEAAGRycy9lMm9Eb2MueG1sUEsFBgAAAAAGAAYAWQEAAGcFAAAAAA==&#10;">
              <v:fill on="f" focussize="0,0"/>
              <v:stroke on="f" joinstyle="miter"/>
              <v:imagedata o:title=""/>
              <o:lock v:ext="edit" aspectratio="f"/>
              <v:textbox inset="0mm,0mm,0mm,0mm" style="mso-fit-shape-to-text:t;">
                <w:txbxContent>
                  <w:p>
                    <w:pPr>
                      <w:pStyle w:val="24"/>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rPr>
        <w:b/>
        <w:szCs w:val="18"/>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miter/>
                      </a:ln>
                    </wps:spPr>
                    <wps:txbx>
                      <w:txbxContent>
                        <w:p>
                          <w:pPr>
                            <w:pStyle w:val="24"/>
                          </w:pPr>
                          <w:r>
                            <w:fldChar w:fldCharType="begin"/>
                          </w:r>
                          <w:r>
                            <w:instrText xml:space="preserve"> PAGE  \* MERGEFORMAT </w:instrText>
                          </w:r>
                          <w:r>
                            <w:fldChar w:fldCharType="separate"/>
                          </w:r>
                          <w:r>
                            <w:t>51</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PhJKbzXAQAArwMAAA4AAAAAAAAAAQAgAAAA&#10;HgEAAGRycy9lMm9Eb2MueG1sUEsFBgAAAAAGAAYAWQEAAGcFAAAAAA==&#10;">
              <v:fill on="f" focussize="0,0"/>
              <v:stroke on="f" joinstyle="miter"/>
              <v:imagedata o:title=""/>
              <o:lock v:ext="edit" aspectratio="f"/>
              <v:textbox inset="0mm,0mm,0mm,0mm" style="mso-fit-shape-to-text:t;">
                <w:txbxContent>
                  <w:p>
                    <w:pPr>
                      <w:pStyle w:val="24"/>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rPr>
        <w:b/>
        <w:szCs w:val="18"/>
      </w:rP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miter/>
                      </a:ln>
                    </wps:spPr>
                    <wps:txbx>
                      <w:txbxContent>
                        <w:p>
                          <w:pPr>
                            <w:pStyle w:val="24"/>
                          </w:pPr>
                          <w:r>
                            <w:fldChar w:fldCharType="begin"/>
                          </w:r>
                          <w:r>
                            <w:instrText xml:space="preserve"> PAGE  \* MERGEFORMAT </w:instrText>
                          </w:r>
                          <w:r>
                            <w:fldChar w:fldCharType="separate"/>
                          </w:r>
                          <w:r>
                            <w:t>52</w:t>
                          </w:r>
                          <w:r>
                            <w:fldChar w:fldCharType="end"/>
                          </w:r>
                        </w:p>
                      </w:txbxContent>
                    </wps:txbx>
                    <wps:bodyPr wrap="none" lIns="0" tIns="0" rIns="0" bIns="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BW4phTXAQAArwMAAA4AAAAAAAAAAQAgAAAA&#10;HgEAAGRycy9lMm9Eb2MueG1sUEsFBgAAAAAGAAYAWQEAAGcFAAAAAA==&#10;">
              <v:fill on="f" focussize="0,0"/>
              <v:stroke on="f" joinstyle="miter"/>
              <v:imagedata o:title=""/>
              <o:lock v:ext="edit" aspectratio="f"/>
              <v:textbox inset="0mm,0mm,0mm,0mm" style="mso-fit-shape-to-text:t;">
                <w:txbxContent>
                  <w:p>
                    <w:pPr>
                      <w:pStyle w:val="24"/>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right="360"/>
      <w:jc w:val="center"/>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miter/>
                      </a:ln>
                    </wps:spPr>
                    <wps:txbx>
                      <w:txbxContent>
                        <w:p>
                          <w:r>
                            <w:fldChar w:fldCharType="begin"/>
                          </w:r>
                          <w:r>
                            <w:instrText xml:space="preserve"> PAGE  \* MERGEFORMAT </w:instrText>
                          </w:r>
                          <w:r>
                            <w:fldChar w:fldCharType="separate"/>
                          </w:r>
                          <w:r>
                            <w:t>247</w:t>
                          </w:r>
                          <w:r>
                            <w:fldChar w:fldCharType="end"/>
                          </w:r>
                        </w:p>
                      </w:txbxContent>
                    </wps:txbx>
                    <wps:bodyPr wrap="none" lIns="0" tIns="0" rIns="0" bIns="0" upright="1">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BajmLrUAQAArQMAAA4AAAAAAAAAAQAgAAAAHgEA&#10;AGRycy9lMm9Eb2MueG1sUEsFBgAAAAAGAAYAWQEAAGQFAAAAAA==&#10;">
              <v:fill on="f" focussize="0,0"/>
              <v:stroke on="f" joinstyle="miter"/>
              <v:imagedata o:title=""/>
              <o:lock v:ext="edit" aspectratio="f"/>
              <v:textbox inset="0mm,0mm,0mm,0mm" style="mso-fit-shape-to-text:t;">
                <w:txbxContent>
                  <w:p>
                    <w:r>
                      <w:fldChar w:fldCharType="begin"/>
                    </w:r>
                    <w:r>
                      <w:instrText xml:space="preserve"> PAGE  \* MERGEFORMAT </w:instrText>
                    </w:r>
                    <w:r>
                      <w:fldChar w:fldCharType="separate"/>
                    </w:r>
                    <w:r>
                      <w:t>247</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right="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miter/>
                      </a:ln>
                    </wps:spPr>
                    <wps:txbx>
                      <w:txbxContent>
                        <w:p>
                          <w:r>
                            <w:fldChar w:fldCharType="begin"/>
                          </w:r>
                          <w:r>
                            <w:instrText xml:space="preserve"> PAGE  \* MERGEFORMAT </w:instrText>
                          </w:r>
                          <w:r>
                            <w:fldChar w:fldCharType="separate"/>
                          </w:r>
                          <w:r>
                            <w:t>247</w:t>
                          </w:r>
                          <w:r>
                            <w:fldChar w:fldCharType="end"/>
                          </w:r>
                        </w:p>
                      </w:txbxContent>
                    </wps:txbx>
                    <wps:bodyPr wrap="none" lIns="0" tIns="0" rIns="0" bIns="0" upright="1">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&#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BHNWv41QEAAK0DAAAOAAAAAAAAAAEAIAAAAB4B&#10;AABkcnMvZTJvRG9jLnhtbFBLBQYAAAAABgAGAFkBAABlBQAAAAA=&#10;">
              <v:fill on="f" focussize="0,0"/>
              <v:stroke on="f" joinstyle="miter"/>
              <v:imagedata o:title=""/>
              <o:lock v:ext="edit" aspectratio="f"/>
              <v:textbox inset="0mm,0mm,0mm,0mm" style="mso-fit-shape-to-text:t;">
                <w:txbxContent>
                  <w:p>
                    <w:r>
                      <w:fldChar w:fldCharType="begin"/>
                    </w:r>
                    <w:r>
                      <w:instrText xml:space="preserve"> PAGE  \* MERGEFORMAT </w:instrText>
                    </w:r>
                    <w:r>
                      <w:fldChar w:fldCharType="separate"/>
                    </w:r>
                    <w:r>
                      <w:t>247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A71EF2"/>
    <w:multiLevelType w:val="singleLevel"/>
    <w:tmpl w:val="B8A71EF2"/>
    <w:lvl w:ilvl="0" w:tentative="0">
      <w:start w:val="1"/>
      <w:numFmt w:val="chineseCounting"/>
      <w:suff w:val="nothing"/>
      <w:lvlText w:val="%1、"/>
      <w:lvlJc w:val="left"/>
      <w:rPr>
        <w:rFonts w:hint="eastAsia"/>
      </w:rPr>
    </w:lvl>
  </w:abstractNum>
  <w:abstractNum w:abstractNumId="1">
    <w:nsid w:val="D2453135"/>
    <w:multiLevelType w:val="singleLevel"/>
    <w:tmpl w:val="D2453135"/>
    <w:lvl w:ilvl="0" w:tentative="0">
      <w:start w:val="1"/>
      <w:numFmt w:val="chineseCounting"/>
      <w:suff w:val="nothing"/>
      <w:lvlText w:val="%1、"/>
      <w:lvlJc w:val="left"/>
      <w:rPr>
        <w:rFonts w:hint="eastAsia"/>
      </w:rPr>
    </w:lvl>
  </w:abstractNum>
  <w:abstractNum w:abstractNumId="2">
    <w:nsid w:val="00000006"/>
    <w:multiLevelType w:val="multilevel"/>
    <w:tmpl w:val="00000006"/>
    <w:lvl w:ilvl="0" w:tentative="0">
      <w:start w:val="4"/>
      <w:numFmt w:val="decimal"/>
      <w:lvlText w:val="%1"/>
      <w:lvlJc w:val="left"/>
      <w:pPr>
        <w:ind w:left="600" w:hanging="600"/>
      </w:pPr>
      <w:rPr>
        <w:rFonts w:hint="default"/>
      </w:rPr>
    </w:lvl>
    <w:lvl w:ilvl="1" w:tentative="0">
      <w:start w:val="4"/>
      <w:numFmt w:val="decimal"/>
      <w:lvlText w:val="%1.%2"/>
      <w:lvlJc w:val="left"/>
      <w:pPr>
        <w:ind w:left="671" w:hanging="600"/>
      </w:pPr>
      <w:rPr>
        <w:rFonts w:hint="default"/>
      </w:rPr>
    </w:lvl>
    <w:lvl w:ilvl="2" w:tentative="0">
      <w:start w:val="1"/>
      <w:numFmt w:val="decimal"/>
      <w:lvlText w:val="%1.%2.%3"/>
      <w:lvlJc w:val="left"/>
      <w:pPr>
        <w:ind w:left="862" w:hanging="720"/>
      </w:pPr>
      <w:rPr>
        <w:rFonts w:hint="default"/>
      </w:rPr>
    </w:lvl>
    <w:lvl w:ilvl="3" w:tentative="0">
      <w:start w:val="1"/>
      <w:numFmt w:val="decimal"/>
      <w:lvlText w:val="%1.%2.%3.%4"/>
      <w:lvlJc w:val="left"/>
      <w:pPr>
        <w:ind w:left="1293" w:hanging="1080"/>
      </w:pPr>
      <w:rPr>
        <w:rFonts w:hint="default"/>
      </w:rPr>
    </w:lvl>
    <w:lvl w:ilvl="4" w:tentative="0">
      <w:start w:val="1"/>
      <w:numFmt w:val="decimal"/>
      <w:lvlText w:val="%1.%2.%3.%4.%5"/>
      <w:lvlJc w:val="left"/>
      <w:pPr>
        <w:ind w:left="1364" w:hanging="1080"/>
      </w:pPr>
      <w:rPr>
        <w:rFonts w:hint="default"/>
      </w:rPr>
    </w:lvl>
    <w:lvl w:ilvl="5" w:tentative="0">
      <w:start w:val="1"/>
      <w:numFmt w:val="decimal"/>
      <w:lvlText w:val="%1.%2.%3.%4.%5.%6"/>
      <w:lvlJc w:val="left"/>
      <w:pPr>
        <w:ind w:left="1795" w:hanging="1440"/>
      </w:pPr>
      <w:rPr>
        <w:rFonts w:hint="default"/>
      </w:rPr>
    </w:lvl>
    <w:lvl w:ilvl="6" w:tentative="0">
      <w:start w:val="1"/>
      <w:numFmt w:val="decimal"/>
      <w:lvlText w:val="%1.%2.%3.%4.%5.%6.%7"/>
      <w:lvlJc w:val="left"/>
      <w:pPr>
        <w:ind w:left="2226" w:hanging="1800"/>
      </w:pPr>
      <w:rPr>
        <w:rFonts w:hint="default"/>
      </w:rPr>
    </w:lvl>
    <w:lvl w:ilvl="7" w:tentative="0">
      <w:start w:val="1"/>
      <w:numFmt w:val="decimal"/>
      <w:lvlText w:val="%1.%2.%3.%4.%5.%6.%7.%8"/>
      <w:lvlJc w:val="left"/>
      <w:pPr>
        <w:ind w:left="2297" w:hanging="1800"/>
      </w:pPr>
      <w:rPr>
        <w:rFonts w:hint="default"/>
      </w:rPr>
    </w:lvl>
    <w:lvl w:ilvl="8" w:tentative="0">
      <w:start w:val="1"/>
      <w:numFmt w:val="decimal"/>
      <w:lvlText w:val="%1.%2.%3.%4.%5.%6.%7.%8.%9"/>
      <w:lvlJc w:val="left"/>
      <w:pPr>
        <w:ind w:left="2728" w:hanging="2160"/>
      </w:pPr>
      <w:rPr>
        <w:rFonts w:hint="default"/>
      </w:rPr>
    </w:lvl>
  </w:abstractNum>
  <w:abstractNum w:abstractNumId="3">
    <w:nsid w:val="0000000B"/>
    <w:multiLevelType w:val="multilevel"/>
    <w:tmpl w:val="0000000B"/>
    <w:lvl w:ilvl="0" w:tentative="0">
      <w:start w:val="1"/>
      <w:numFmt w:val="decimalEnclosedParen"/>
      <w:lvlText w:val="%1"/>
      <w:lvlJc w:val="left"/>
      <w:pPr>
        <w:ind w:left="645" w:hanging="420"/>
      </w:pPr>
      <w:rPr>
        <w:rFonts w:hint="default" w:ascii="仿宋" w:hAnsi="仿宋" w:eastAsia="仿宋" w:cs="仿宋"/>
        <w:sz w:val="24"/>
        <w:szCs w:val="24"/>
      </w:rPr>
    </w:lvl>
    <w:lvl w:ilvl="1" w:tentative="0">
      <w:start w:val="1"/>
      <w:numFmt w:val="lowerLetter"/>
      <w:lvlText w:val="%2)"/>
      <w:lvlJc w:val="left"/>
      <w:pPr>
        <w:ind w:left="1065" w:hanging="420"/>
      </w:pPr>
    </w:lvl>
    <w:lvl w:ilvl="2" w:tentative="0">
      <w:start w:val="1"/>
      <w:numFmt w:val="lowerRoman"/>
      <w:lvlText w:val="%3."/>
      <w:lvlJc w:val="right"/>
      <w:pPr>
        <w:ind w:left="1485" w:hanging="420"/>
      </w:pPr>
    </w:lvl>
    <w:lvl w:ilvl="3" w:tentative="0">
      <w:start w:val="1"/>
      <w:numFmt w:val="decimal"/>
      <w:lvlText w:val="%4."/>
      <w:lvlJc w:val="left"/>
      <w:pPr>
        <w:ind w:left="1905" w:hanging="420"/>
      </w:pPr>
    </w:lvl>
    <w:lvl w:ilvl="4" w:tentative="0">
      <w:start w:val="1"/>
      <w:numFmt w:val="lowerLetter"/>
      <w:lvlText w:val="%5)"/>
      <w:lvlJc w:val="left"/>
      <w:pPr>
        <w:ind w:left="2325" w:hanging="420"/>
      </w:pPr>
    </w:lvl>
    <w:lvl w:ilvl="5" w:tentative="0">
      <w:start w:val="1"/>
      <w:numFmt w:val="lowerRoman"/>
      <w:lvlText w:val="%6."/>
      <w:lvlJc w:val="right"/>
      <w:pPr>
        <w:ind w:left="2745" w:hanging="420"/>
      </w:pPr>
    </w:lvl>
    <w:lvl w:ilvl="6" w:tentative="0">
      <w:start w:val="1"/>
      <w:numFmt w:val="decimal"/>
      <w:lvlText w:val="%7."/>
      <w:lvlJc w:val="left"/>
      <w:pPr>
        <w:ind w:left="3165" w:hanging="420"/>
      </w:pPr>
    </w:lvl>
    <w:lvl w:ilvl="7" w:tentative="0">
      <w:start w:val="1"/>
      <w:numFmt w:val="lowerLetter"/>
      <w:lvlText w:val="%8)"/>
      <w:lvlJc w:val="left"/>
      <w:pPr>
        <w:ind w:left="3585" w:hanging="420"/>
      </w:pPr>
    </w:lvl>
    <w:lvl w:ilvl="8" w:tentative="0">
      <w:start w:val="1"/>
      <w:numFmt w:val="lowerRoman"/>
      <w:lvlText w:val="%9."/>
      <w:lvlJc w:val="right"/>
      <w:pPr>
        <w:ind w:left="4005" w:hanging="420"/>
      </w:pPr>
    </w:lvl>
  </w:abstractNum>
  <w:abstractNum w:abstractNumId="4">
    <w:nsid w:val="00000010"/>
    <w:multiLevelType w:val="multilevel"/>
    <w:tmpl w:val="00000010"/>
    <w:lvl w:ilvl="0" w:tentative="0">
      <w:start w:val="1"/>
      <w:numFmt w:val="decimal"/>
      <w:lvlText w:val="%1"/>
      <w:lvlJc w:val="left"/>
      <w:pPr>
        <w:ind w:left="360" w:hanging="360"/>
      </w:pPr>
      <w:rPr>
        <w:rFonts w:hint="default"/>
        <w:color w:val="00000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000012"/>
    <w:multiLevelType w:val="multilevel"/>
    <w:tmpl w:val="00000012"/>
    <w:lvl w:ilvl="0" w:tentative="0">
      <w:start w:val="8"/>
      <w:numFmt w:val="decimal"/>
      <w:lvlText w:val="%1"/>
      <w:lvlJc w:val="left"/>
      <w:pPr>
        <w:ind w:left="502" w:hanging="360"/>
      </w:pPr>
      <w:rPr>
        <w:rFonts w:hint="default"/>
        <w:b/>
        <w:color w:val="000000"/>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6">
    <w:nsid w:val="00000019"/>
    <w:multiLevelType w:val="multilevel"/>
    <w:tmpl w:val="00000019"/>
    <w:lvl w:ilvl="0" w:tentative="0">
      <w:start w:val="1"/>
      <w:numFmt w:val="decimal"/>
      <w:lvlText w:val="%1)"/>
      <w:lvlJc w:val="left"/>
      <w:pPr>
        <w:tabs>
          <w:tab w:val="left" w:pos="587"/>
        </w:tabs>
        <w:ind w:left="425" w:hanging="198"/>
      </w:pPr>
      <w:rPr>
        <w:rFonts w:hint="eastAsia"/>
      </w:rPr>
    </w:lvl>
    <w:lvl w:ilvl="1" w:tentative="0">
      <w:start w:val="1"/>
      <w:numFmt w:val="decimal"/>
      <w:lvlText w:val="9.%2."/>
      <w:lvlJc w:val="left"/>
      <w:pPr>
        <w:tabs>
          <w:tab w:val="left" w:pos="1361"/>
        </w:tabs>
        <w:ind w:left="1361" w:hanging="793"/>
      </w:pPr>
      <w:rPr>
        <w:rFonts w:hint="eastAsia" w:cs="Times New Roman"/>
        <w:b w:val="0"/>
        <w:color w:val="auto"/>
      </w:rPr>
    </w:lvl>
    <w:lvl w:ilvl="2" w:tentative="0">
      <w:start w:val="1"/>
      <w:numFmt w:val="decimal"/>
      <w:lvlText w:val="%1.%2.%3."/>
      <w:lvlJc w:val="left"/>
      <w:pPr>
        <w:tabs>
          <w:tab w:val="left" w:pos="1364"/>
        </w:tabs>
        <w:ind w:left="737" w:hanging="453"/>
      </w:pPr>
      <w:rPr>
        <w:rFonts w:hint="eastAsia" w:cs="Times New Roman"/>
      </w:rPr>
    </w:lvl>
    <w:lvl w:ilvl="3" w:tentative="0">
      <w:start w:val="1"/>
      <w:numFmt w:val="decimal"/>
      <w:lvlText w:val="%4."/>
      <w:lvlJc w:val="left"/>
      <w:pPr>
        <w:tabs>
          <w:tab w:val="left" w:pos="2880"/>
        </w:tabs>
        <w:ind w:left="2880" w:hanging="360"/>
      </w:pPr>
      <w:rPr>
        <w:rFonts w:hint="eastAsia"/>
      </w:rPr>
    </w:lvl>
    <w:lvl w:ilvl="4" w:tentative="0">
      <w:start w:val="1"/>
      <w:numFmt w:val="decimal"/>
      <w:lvlText w:val="%5."/>
      <w:lvlJc w:val="left"/>
      <w:pPr>
        <w:tabs>
          <w:tab w:val="left" w:pos="3600"/>
        </w:tabs>
        <w:ind w:left="3600" w:hanging="360"/>
      </w:pPr>
      <w:rPr>
        <w:rFonts w:hint="eastAsia"/>
      </w:rPr>
    </w:lvl>
    <w:lvl w:ilvl="5" w:tentative="0">
      <w:start w:val="1"/>
      <w:numFmt w:val="decimal"/>
      <w:lvlText w:val="%6."/>
      <w:lvlJc w:val="left"/>
      <w:pPr>
        <w:tabs>
          <w:tab w:val="left" w:pos="4320"/>
        </w:tabs>
        <w:ind w:left="4320" w:hanging="360"/>
      </w:pPr>
      <w:rPr>
        <w:rFonts w:hint="eastAsia"/>
      </w:rPr>
    </w:lvl>
    <w:lvl w:ilvl="6" w:tentative="0">
      <w:start w:val="1"/>
      <w:numFmt w:val="decimal"/>
      <w:lvlText w:val="%7."/>
      <w:lvlJc w:val="left"/>
      <w:pPr>
        <w:tabs>
          <w:tab w:val="left" w:pos="5040"/>
        </w:tabs>
        <w:ind w:left="5040" w:hanging="360"/>
      </w:pPr>
      <w:rPr>
        <w:rFonts w:hint="eastAsia"/>
      </w:rPr>
    </w:lvl>
    <w:lvl w:ilvl="7" w:tentative="0">
      <w:start w:val="1"/>
      <w:numFmt w:val="decimal"/>
      <w:lvlText w:val="%8."/>
      <w:lvlJc w:val="left"/>
      <w:pPr>
        <w:tabs>
          <w:tab w:val="left" w:pos="5760"/>
        </w:tabs>
        <w:ind w:left="5760" w:hanging="360"/>
      </w:pPr>
      <w:rPr>
        <w:rFonts w:hint="eastAsia"/>
      </w:rPr>
    </w:lvl>
    <w:lvl w:ilvl="8" w:tentative="0">
      <w:start w:val="1"/>
      <w:numFmt w:val="decimal"/>
      <w:lvlText w:val="%9."/>
      <w:lvlJc w:val="left"/>
      <w:pPr>
        <w:tabs>
          <w:tab w:val="left" w:pos="6480"/>
        </w:tabs>
        <w:ind w:left="6480" w:hanging="360"/>
      </w:pPr>
      <w:rPr>
        <w:rFonts w:hint="eastAsia"/>
      </w:rPr>
    </w:lvl>
  </w:abstractNum>
  <w:abstractNum w:abstractNumId="7">
    <w:nsid w:val="0753196C"/>
    <w:multiLevelType w:val="multilevel"/>
    <w:tmpl w:val="0753196C"/>
    <w:lvl w:ilvl="0" w:tentative="0">
      <w:start w:val="1"/>
      <w:numFmt w:val="decimal"/>
      <w:lvlText w:val="22.%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14C44C87"/>
    <w:multiLevelType w:val="multilevel"/>
    <w:tmpl w:val="14C44C87"/>
    <w:lvl w:ilvl="0" w:tentative="0">
      <w:start w:val="1"/>
      <w:numFmt w:val="decimal"/>
      <w:lvlText w:val="%1)"/>
      <w:lvlJc w:val="left"/>
      <w:pPr>
        <w:tabs>
          <w:tab w:val="left" w:pos="587"/>
        </w:tabs>
        <w:ind w:left="425" w:hanging="198"/>
      </w:pPr>
    </w:lvl>
    <w:lvl w:ilvl="1" w:tentative="0">
      <w:start w:val="1"/>
      <w:numFmt w:val="decimal"/>
      <w:lvlText w:val="10.%2."/>
      <w:lvlJc w:val="left"/>
      <w:pPr>
        <w:tabs>
          <w:tab w:val="left" w:pos="1077"/>
        </w:tabs>
        <w:ind w:left="1077" w:hanging="793"/>
      </w:pPr>
      <w:rPr>
        <w:rFonts w:hint="eastAsia"/>
        <w:b w:val="0"/>
      </w:rPr>
    </w:lvl>
    <w:lvl w:ilvl="2" w:tentative="0">
      <w:start w:val="1"/>
      <w:numFmt w:val="decimal"/>
      <w:lvlText w:val="%1.%2.%3."/>
      <w:lvlJc w:val="left"/>
      <w:pPr>
        <w:tabs>
          <w:tab w:val="left" w:pos="1364"/>
        </w:tabs>
        <w:ind w:left="737" w:hanging="453"/>
      </w:pPr>
      <w:rPr>
        <w:rFonts w:cs="Times New Roman"/>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1F00F231"/>
    <w:multiLevelType w:val="singleLevel"/>
    <w:tmpl w:val="1F00F231"/>
    <w:lvl w:ilvl="0" w:tentative="0">
      <w:start w:val="1"/>
      <w:numFmt w:val="decimal"/>
      <w:lvlText w:val="(%1)"/>
      <w:lvlJc w:val="left"/>
      <w:pPr>
        <w:ind w:left="425" w:hanging="425"/>
      </w:pPr>
      <w:rPr>
        <w:rFonts w:hint="default" w:ascii="仿宋" w:hAnsi="仿宋" w:eastAsia="仿宋" w:cs="仿宋"/>
        <w:sz w:val="24"/>
        <w:szCs w:val="24"/>
      </w:rPr>
    </w:lvl>
  </w:abstractNum>
  <w:abstractNum w:abstractNumId="10">
    <w:nsid w:val="1FC91163"/>
    <w:multiLevelType w:val="multilevel"/>
    <w:tmpl w:val="1FC91163"/>
    <w:lvl w:ilvl="0" w:tentative="0">
      <w:start w:val="1"/>
      <w:numFmt w:val="decimal"/>
      <w:pStyle w:val="76"/>
      <w:suff w:val="nothing"/>
      <w:lvlText w:val="%1　"/>
      <w:lvlJc w:val="left"/>
      <w:rPr>
        <w:rFonts w:hint="eastAsia" w:ascii="黑体" w:hAnsi="Times New Roman" w:eastAsia="黑体" w:cs="Times New Roman"/>
        <w:b w:val="0"/>
        <w:i w:val="0"/>
        <w:sz w:val="21"/>
        <w:szCs w:val="21"/>
      </w:rPr>
    </w:lvl>
    <w:lvl w:ilvl="1" w:tentative="0">
      <w:start w:val="1"/>
      <w:numFmt w:val="decimal"/>
      <w:suff w:val="nothing"/>
      <w:lvlText w:val="%1.%2　"/>
      <w:lvlJc w:val="left"/>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rPr>
    </w:lvl>
    <w:lvl w:ilvl="2" w:tentative="0">
      <w:start w:val="1"/>
      <w:numFmt w:val="decimal"/>
      <w:suff w:val="nothing"/>
      <w:lvlText w:val="%1.%2.%3　"/>
      <w:lvlJc w:val="left"/>
      <w:rPr>
        <w:rFonts w:hint="eastAsia" w:ascii="黑体" w:hAnsi="Times New Roman" w:eastAsia="黑体" w:cs="Times New Roman"/>
        <w:b w:val="0"/>
        <w:i w:val="0"/>
        <w:sz w:val="21"/>
      </w:rPr>
    </w:lvl>
    <w:lvl w:ilvl="3" w:tentative="0">
      <w:start w:val="1"/>
      <w:numFmt w:val="decimal"/>
      <w:suff w:val="nothing"/>
      <w:lvlText w:val="%1.%2.%3.%4　"/>
      <w:lvlJc w:val="left"/>
      <w:rPr>
        <w:rFonts w:hint="eastAsia" w:ascii="黑体" w:hAnsi="Times New Roman" w:eastAsia="黑体" w:cs="Times New Roman"/>
        <w:b w:val="0"/>
        <w:i w:val="0"/>
        <w:sz w:val="21"/>
      </w:rPr>
    </w:lvl>
    <w:lvl w:ilvl="4" w:tentative="0">
      <w:start w:val="1"/>
      <w:numFmt w:val="decimal"/>
      <w:suff w:val="nothing"/>
      <w:lvlText w:val="%1.%2.%3.%4.%5　"/>
      <w:lvlJc w:val="left"/>
      <w:rPr>
        <w:rFonts w:hint="eastAsia" w:ascii="黑体" w:hAnsi="Times New Roman" w:eastAsia="黑体" w:cs="Times New Roman"/>
        <w:b w:val="0"/>
        <w:i w:val="0"/>
        <w:sz w:val="21"/>
      </w:rPr>
    </w:lvl>
    <w:lvl w:ilvl="5" w:tentative="0">
      <w:start w:val="1"/>
      <w:numFmt w:val="decimal"/>
      <w:suff w:val="nothing"/>
      <w:lvlText w:val="%1.%2.%3.%4.%5.%6　"/>
      <w:lvlJc w:val="left"/>
      <w:rPr>
        <w:rFonts w:hint="eastAsia" w:ascii="黑体" w:hAnsi="Times New Roman" w:eastAsia="黑体" w:cs="Times New Roman"/>
        <w:b w:val="0"/>
        <w:i w:val="0"/>
        <w:sz w:val="21"/>
      </w:rPr>
    </w:lvl>
    <w:lvl w:ilvl="6" w:tentative="0">
      <w:start w:val="1"/>
      <w:numFmt w:val="decimal"/>
      <w:suff w:val="nothing"/>
      <w:lvlText w:val="%1%2.%3.%4.%5.%6.%7　"/>
      <w:lvlJc w:val="left"/>
      <w:rPr>
        <w:rFonts w:hint="eastAsia" w:ascii="黑体" w:hAnsi="Times New Roman" w:eastAsia="黑体" w:cs="Times New Roman"/>
        <w:b w:val="0"/>
        <w:i w:val="0"/>
        <w:sz w:val="21"/>
      </w:rPr>
    </w:lvl>
    <w:lvl w:ilvl="7" w:tentative="0">
      <w:start w:val="1"/>
      <w:numFmt w:val="decimal"/>
      <w:lvlText w:val="%1.%2.%3.%4.%5.%6.%7.%8"/>
      <w:lvlJc w:val="left"/>
      <w:pPr>
        <w:tabs>
          <w:tab w:val="left" w:pos="4351"/>
        </w:tabs>
        <w:ind w:left="3969" w:hanging="1418"/>
      </w:pPr>
      <w:rPr>
        <w:rFonts w:hint="eastAsia" w:cs="Times New Roman"/>
      </w:rPr>
    </w:lvl>
    <w:lvl w:ilvl="8" w:tentative="0">
      <w:start w:val="1"/>
      <w:numFmt w:val="decimal"/>
      <w:lvlText w:val="%1.%2.%3.%4.%5.%6.%7.%8.%9"/>
      <w:lvlJc w:val="left"/>
      <w:pPr>
        <w:tabs>
          <w:tab w:val="left" w:pos="4777"/>
        </w:tabs>
        <w:ind w:left="4677" w:hanging="1700"/>
      </w:pPr>
      <w:rPr>
        <w:rFonts w:hint="eastAsia" w:cs="Times New Roman"/>
      </w:rPr>
    </w:lvl>
  </w:abstractNum>
  <w:abstractNum w:abstractNumId="11">
    <w:nsid w:val="25BB3D97"/>
    <w:multiLevelType w:val="multilevel"/>
    <w:tmpl w:val="25BB3D97"/>
    <w:lvl w:ilvl="0" w:tentative="0">
      <w:start w:val="1"/>
      <w:numFmt w:val="decimal"/>
      <w:lvlText w:val="%1)"/>
      <w:lvlJc w:val="left"/>
      <w:pPr>
        <w:tabs>
          <w:tab w:val="left" w:pos="587"/>
        </w:tabs>
        <w:ind w:left="425" w:hanging="198"/>
      </w:pPr>
    </w:lvl>
    <w:lvl w:ilvl="1" w:tentative="0">
      <w:start w:val="1"/>
      <w:numFmt w:val="decimal"/>
      <w:lvlText w:val="17.%2."/>
      <w:lvlJc w:val="left"/>
      <w:pPr>
        <w:tabs>
          <w:tab w:val="left" w:pos="1077"/>
        </w:tabs>
        <w:ind w:left="1077" w:hanging="793"/>
      </w:pPr>
      <w:rPr>
        <w:rFonts w:hint="eastAsia"/>
        <w:b w:val="0"/>
      </w:rPr>
    </w:lvl>
    <w:lvl w:ilvl="2" w:tentative="0">
      <w:start w:val="1"/>
      <w:numFmt w:val="decimal"/>
      <w:lvlText w:val="%1.%2.%3."/>
      <w:lvlJc w:val="left"/>
      <w:pPr>
        <w:tabs>
          <w:tab w:val="left" w:pos="1364"/>
        </w:tabs>
        <w:ind w:left="737" w:hanging="453"/>
      </w:pPr>
      <w:rPr>
        <w:rFonts w:cs="Times New Roman"/>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2">
    <w:nsid w:val="37323B12"/>
    <w:multiLevelType w:val="multilevel"/>
    <w:tmpl w:val="37323B12"/>
    <w:lvl w:ilvl="0" w:tentative="0">
      <w:start w:val="1"/>
      <w:numFmt w:val="decimal"/>
      <w:lvlText w:val="%1)"/>
      <w:lvlJc w:val="left"/>
      <w:pPr>
        <w:tabs>
          <w:tab w:val="left" w:pos="587"/>
        </w:tabs>
        <w:ind w:left="425" w:hanging="198"/>
      </w:pPr>
    </w:lvl>
    <w:lvl w:ilvl="1" w:tentative="0">
      <w:start w:val="1"/>
      <w:numFmt w:val="decimal"/>
      <w:lvlText w:val="12.%2."/>
      <w:lvlJc w:val="left"/>
      <w:pPr>
        <w:tabs>
          <w:tab w:val="left" w:pos="1077"/>
        </w:tabs>
        <w:ind w:left="1077" w:hanging="793"/>
      </w:pPr>
      <w:rPr>
        <w:rFonts w:hint="eastAsia"/>
        <w:b w:val="0"/>
      </w:rPr>
    </w:lvl>
    <w:lvl w:ilvl="2" w:tentative="0">
      <w:start w:val="1"/>
      <w:numFmt w:val="decimal"/>
      <w:lvlText w:val="%1.%2.%3."/>
      <w:lvlJc w:val="left"/>
      <w:pPr>
        <w:tabs>
          <w:tab w:val="left" w:pos="1364"/>
        </w:tabs>
        <w:ind w:left="737" w:hanging="453"/>
      </w:pPr>
      <w:rPr>
        <w:rFonts w:cs="Times New Roman"/>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3">
    <w:nsid w:val="455331AF"/>
    <w:multiLevelType w:val="multilevel"/>
    <w:tmpl w:val="455331AF"/>
    <w:lvl w:ilvl="0" w:tentative="0">
      <w:start w:val="1"/>
      <w:numFmt w:val="decimal"/>
      <w:lvlText w:val="（%1）"/>
      <w:lvlJc w:val="left"/>
      <w:pPr>
        <w:tabs>
          <w:tab w:val="left" w:pos="587"/>
        </w:tabs>
        <w:ind w:left="425" w:hanging="198"/>
      </w:pPr>
      <w:rPr>
        <w:rFonts w:hint="default" w:ascii="仿宋" w:hAnsi="仿宋" w:eastAsia="仿宋" w:cs="仿宋"/>
        <w:sz w:val="24"/>
        <w:szCs w:val="24"/>
      </w:rPr>
    </w:lvl>
    <w:lvl w:ilvl="1" w:tentative="0">
      <w:start w:val="1"/>
      <w:numFmt w:val="decimal"/>
      <w:lvlText w:val="%1.%2."/>
      <w:lvlJc w:val="left"/>
      <w:pPr>
        <w:tabs>
          <w:tab w:val="left" w:pos="1361"/>
        </w:tabs>
        <w:ind w:left="1361" w:hanging="793"/>
      </w:pPr>
      <w:rPr>
        <w:rFonts w:hint="eastAsia" w:cs="Times New Roman"/>
        <w:b w:val="0"/>
      </w:rPr>
    </w:lvl>
    <w:lvl w:ilvl="2" w:tentative="0">
      <w:start w:val="1"/>
      <w:numFmt w:val="decimal"/>
      <w:lvlText w:val="%1.%2.%3."/>
      <w:lvlJc w:val="left"/>
      <w:pPr>
        <w:tabs>
          <w:tab w:val="left" w:pos="1364"/>
        </w:tabs>
        <w:ind w:left="737" w:hanging="453"/>
      </w:pPr>
      <w:rPr>
        <w:rFonts w:hint="eastAsia" w:cs="Times New Roman"/>
      </w:rPr>
    </w:lvl>
    <w:lvl w:ilvl="3" w:tentative="0">
      <w:start w:val="1"/>
      <w:numFmt w:val="decimal"/>
      <w:lvlText w:val="%4."/>
      <w:lvlJc w:val="left"/>
      <w:pPr>
        <w:tabs>
          <w:tab w:val="left" w:pos="2880"/>
        </w:tabs>
        <w:ind w:left="2880" w:hanging="360"/>
      </w:pPr>
      <w:rPr>
        <w:rFonts w:hint="eastAsia"/>
      </w:rPr>
    </w:lvl>
    <w:lvl w:ilvl="4" w:tentative="0">
      <w:start w:val="1"/>
      <w:numFmt w:val="decimal"/>
      <w:lvlText w:val="%5."/>
      <w:lvlJc w:val="left"/>
      <w:pPr>
        <w:tabs>
          <w:tab w:val="left" w:pos="3600"/>
        </w:tabs>
        <w:ind w:left="3600" w:hanging="360"/>
      </w:pPr>
      <w:rPr>
        <w:rFonts w:hint="eastAsia"/>
      </w:rPr>
    </w:lvl>
    <w:lvl w:ilvl="5" w:tentative="0">
      <w:start w:val="1"/>
      <w:numFmt w:val="decimal"/>
      <w:lvlText w:val="%6."/>
      <w:lvlJc w:val="left"/>
      <w:pPr>
        <w:tabs>
          <w:tab w:val="left" w:pos="4320"/>
        </w:tabs>
        <w:ind w:left="4320" w:hanging="360"/>
      </w:pPr>
      <w:rPr>
        <w:rFonts w:hint="eastAsia"/>
      </w:rPr>
    </w:lvl>
    <w:lvl w:ilvl="6" w:tentative="0">
      <w:start w:val="1"/>
      <w:numFmt w:val="decimal"/>
      <w:lvlText w:val="%7."/>
      <w:lvlJc w:val="left"/>
      <w:pPr>
        <w:tabs>
          <w:tab w:val="left" w:pos="5040"/>
        </w:tabs>
        <w:ind w:left="5040" w:hanging="360"/>
      </w:pPr>
      <w:rPr>
        <w:rFonts w:hint="eastAsia"/>
      </w:rPr>
    </w:lvl>
    <w:lvl w:ilvl="7" w:tentative="0">
      <w:start w:val="1"/>
      <w:numFmt w:val="decimal"/>
      <w:lvlText w:val="%8."/>
      <w:lvlJc w:val="left"/>
      <w:pPr>
        <w:tabs>
          <w:tab w:val="left" w:pos="5760"/>
        </w:tabs>
        <w:ind w:left="5760" w:hanging="360"/>
      </w:pPr>
      <w:rPr>
        <w:rFonts w:hint="eastAsia"/>
      </w:rPr>
    </w:lvl>
    <w:lvl w:ilvl="8" w:tentative="0">
      <w:start w:val="1"/>
      <w:numFmt w:val="decimal"/>
      <w:lvlText w:val="%9."/>
      <w:lvlJc w:val="left"/>
      <w:pPr>
        <w:tabs>
          <w:tab w:val="left" w:pos="6480"/>
        </w:tabs>
        <w:ind w:left="6480" w:hanging="360"/>
      </w:pPr>
      <w:rPr>
        <w:rFonts w:hint="eastAsia"/>
      </w:rPr>
    </w:lvl>
  </w:abstractNum>
  <w:abstractNum w:abstractNumId="14">
    <w:nsid w:val="490D38FA"/>
    <w:multiLevelType w:val="multilevel"/>
    <w:tmpl w:val="490D38FA"/>
    <w:lvl w:ilvl="0" w:tentative="0">
      <w:start w:val="1"/>
      <w:numFmt w:val="decimal"/>
      <w:lvlText w:val="%1)"/>
      <w:lvlJc w:val="left"/>
      <w:pPr>
        <w:tabs>
          <w:tab w:val="left" w:pos="587"/>
        </w:tabs>
        <w:ind w:left="425" w:hanging="198"/>
      </w:pPr>
    </w:lvl>
    <w:lvl w:ilvl="1" w:tentative="0">
      <w:start w:val="1"/>
      <w:numFmt w:val="decimal"/>
      <w:lvlText w:val="19.%2."/>
      <w:lvlJc w:val="left"/>
      <w:pPr>
        <w:tabs>
          <w:tab w:val="left" w:pos="1077"/>
        </w:tabs>
        <w:ind w:left="1077" w:hanging="793"/>
      </w:pPr>
      <w:rPr>
        <w:rFonts w:hint="eastAsia"/>
        <w:b w:val="0"/>
      </w:rPr>
    </w:lvl>
    <w:lvl w:ilvl="2" w:tentative="0">
      <w:start w:val="1"/>
      <w:numFmt w:val="decimal"/>
      <w:lvlText w:val="%1.%2.%3."/>
      <w:lvlJc w:val="left"/>
      <w:pPr>
        <w:tabs>
          <w:tab w:val="left" w:pos="1364"/>
        </w:tabs>
        <w:ind w:left="737" w:hanging="453"/>
      </w:pPr>
      <w:rPr>
        <w:rFonts w:cs="Times New Roman"/>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5">
    <w:nsid w:val="59A42CCA"/>
    <w:multiLevelType w:val="multilevel"/>
    <w:tmpl w:val="59A42CCA"/>
    <w:lvl w:ilvl="0" w:tentative="0">
      <w:start w:val="1"/>
      <w:numFmt w:val="decimal"/>
      <w:lvlText w:val="%1)"/>
      <w:lvlJc w:val="left"/>
      <w:pPr>
        <w:tabs>
          <w:tab w:val="left" w:pos="587"/>
        </w:tabs>
        <w:ind w:left="425" w:hanging="198"/>
      </w:pPr>
    </w:lvl>
    <w:lvl w:ilvl="1" w:tentative="0">
      <w:start w:val="1"/>
      <w:numFmt w:val="decimal"/>
      <w:lvlText w:val="13.%2."/>
      <w:lvlJc w:val="left"/>
      <w:pPr>
        <w:tabs>
          <w:tab w:val="left" w:pos="1077"/>
        </w:tabs>
        <w:ind w:left="1077" w:hanging="793"/>
      </w:pPr>
      <w:rPr>
        <w:rFonts w:hint="eastAsia"/>
        <w:b w:val="0"/>
      </w:rPr>
    </w:lvl>
    <w:lvl w:ilvl="2" w:tentative="0">
      <w:start w:val="1"/>
      <w:numFmt w:val="decimal"/>
      <w:lvlText w:val="%1.%2.%3."/>
      <w:lvlJc w:val="left"/>
      <w:pPr>
        <w:tabs>
          <w:tab w:val="left" w:pos="1364"/>
        </w:tabs>
        <w:ind w:left="737" w:hanging="453"/>
      </w:pPr>
      <w:rPr>
        <w:rFonts w:cs="Times New Roman"/>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6">
    <w:nsid w:val="5F691BBC"/>
    <w:multiLevelType w:val="multilevel"/>
    <w:tmpl w:val="5F691BBC"/>
    <w:lvl w:ilvl="0" w:tentative="0">
      <w:start w:val="1"/>
      <w:numFmt w:val="decimal"/>
      <w:lvlText w:val="%1)"/>
      <w:lvlJc w:val="left"/>
      <w:pPr>
        <w:tabs>
          <w:tab w:val="left" w:pos="587"/>
        </w:tabs>
        <w:ind w:left="425" w:hanging="198"/>
      </w:pPr>
    </w:lvl>
    <w:lvl w:ilvl="1" w:tentative="0">
      <w:start w:val="1"/>
      <w:numFmt w:val="decimal"/>
      <w:lvlText w:val="18.%2."/>
      <w:lvlJc w:val="left"/>
      <w:pPr>
        <w:tabs>
          <w:tab w:val="left" w:pos="1077"/>
        </w:tabs>
        <w:ind w:left="1077" w:hanging="793"/>
      </w:pPr>
      <w:rPr>
        <w:rFonts w:hint="eastAsia"/>
        <w:b w:val="0"/>
      </w:rPr>
    </w:lvl>
    <w:lvl w:ilvl="2" w:tentative="0">
      <w:start w:val="1"/>
      <w:numFmt w:val="decimal"/>
      <w:lvlText w:val="%1.%2.%3."/>
      <w:lvlJc w:val="left"/>
      <w:pPr>
        <w:tabs>
          <w:tab w:val="left" w:pos="1364"/>
        </w:tabs>
        <w:ind w:left="737" w:hanging="453"/>
      </w:pPr>
      <w:rPr>
        <w:rFonts w:cs="Times New Roman"/>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7">
    <w:nsid w:val="7339197B"/>
    <w:multiLevelType w:val="multilevel"/>
    <w:tmpl w:val="7339197B"/>
    <w:lvl w:ilvl="0" w:tentative="0">
      <w:start w:val="1"/>
      <w:numFmt w:val="decimal"/>
      <w:lvlText w:val="%1)"/>
      <w:lvlJc w:val="left"/>
      <w:pPr>
        <w:tabs>
          <w:tab w:val="left" w:pos="587"/>
        </w:tabs>
        <w:ind w:left="425" w:hanging="198"/>
      </w:pPr>
    </w:lvl>
    <w:lvl w:ilvl="1" w:tentative="0">
      <w:start w:val="1"/>
      <w:numFmt w:val="decimal"/>
      <w:lvlText w:val="14.%2."/>
      <w:lvlJc w:val="left"/>
      <w:pPr>
        <w:tabs>
          <w:tab w:val="left" w:pos="1077"/>
        </w:tabs>
        <w:ind w:left="1077" w:hanging="793"/>
      </w:pPr>
      <w:rPr>
        <w:rFonts w:hint="eastAsia"/>
        <w:b w:val="0"/>
      </w:rPr>
    </w:lvl>
    <w:lvl w:ilvl="2" w:tentative="0">
      <w:start w:val="1"/>
      <w:numFmt w:val="decimal"/>
      <w:lvlText w:val="%1.%2.%3."/>
      <w:lvlJc w:val="left"/>
      <w:pPr>
        <w:tabs>
          <w:tab w:val="left" w:pos="1364"/>
        </w:tabs>
        <w:ind w:left="737" w:hanging="453"/>
      </w:pPr>
      <w:rPr>
        <w:rFonts w:cs="Times New Roman"/>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0"/>
  </w:num>
  <w:num w:numId="2">
    <w:abstractNumId w:val="9"/>
  </w:num>
  <w:num w:numId="3">
    <w:abstractNumId w:val="4"/>
  </w:num>
  <w:num w:numId="4">
    <w:abstractNumId w:val="2"/>
  </w:num>
  <w:num w:numId="5">
    <w:abstractNumId w:val="5"/>
  </w:num>
  <w:num w:numId="6">
    <w:abstractNumId w:val="6"/>
  </w:num>
  <w:num w:numId="7">
    <w:abstractNumId w:val="8"/>
  </w:num>
  <w:num w:numId="8">
    <w:abstractNumId w:val="12"/>
  </w:num>
  <w:num w:numId="9">
    <w:abstractNumId w:val="15"/>
  </w:num>
  <w:num w:numId="10">
    <w:abstractNumId w:val="17"/>
  </w:num>
  <w:num w:numId="11">
    <w:abstractNumId w:val="11"/>
  </w:num>
  <w:num w:numId="12">
    <w:abstractNumId w:val="16"/>
  </w:num>
  <w:num w:numId="13">
    <w:abstractNumId w:val="14"/>
  </w:num>
  <w:num w:numId="14">
    <w:abstractNumId w:val="7"/>
  </w:num>
  <w:num w:numId="15">
    <w:abstractNumId w:val="13"/>
  </w:num>
  <w:num w:numId="16">
    <w:abstractNumId w:val="3"/>
  </w:num>
  <w:num w:numId="17">
    <w:abstractNumId w:val="0"/>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TrueTypeFonts/>
  <w:saveSubsetFonts/>
  <w:bordersDoNotSurroundHeader w:val="0"/>
  <w:bordersDoNotSurroundFooter w:val="0"/>
  <w:hideSpellingErrors/>
  <w:hideGrammaticalErrors/>
  <w:documentProtection w:enforcement="0"/>
  <w:defaultTabStop w:val="425"/>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MxMTA5ZTE1MTYwZTliMTJkYzI3ODFkMTYyODBhZGEifQ=="/>
    <w:docVar w:name="KSO_WPS_MARK_KEY" w:val="89232e5c-c475-4ffa-a998-df45c84ee452"/>
  </w:docVars>
  <w:rsids>
    <w:rsidRoot w:val="00172A27"/>
    <w:rsid w:val="0000046F"/>
    <w:rsid w:val="00000569"/>
    <w:rsid w:val="00000BAA"/>
    <w:rsid w:val="00000C4F"/>
    <w:rsid w:val="00001317"/>
    <w:rsid w:val="000030BF"/>
    <w:rsid w:val="00003559"/>
    <w:rsid w:val="00003F35"/>
    <w:rsid w:val="00004266"/>
    <w:rsid w:val="000042DA"/>
    <w:rsid w:val="00004CF8"/>
    <w:rsid w:val="00004F43"/>
    <w:rsid w:val="00005D32"/>
    <w:rsid w:val="00006BAC"/>
    <w:rsid w:val="00007B8C"/>
    <w:rsid w:val="00010DE6"/>
    <w:rsid w:val="000126C4"/>
    <w:rsid w:val="000133D3"/>
    <w:rsid w:val="0001341C"/>
    <w:rsid w:val="00015D57"/>
    <w:rsid w:val="000175BF"/>
    <w:rsid w:val="00017DA6"/>
    <w:rsid w:val="00021193"/>
    <w:rsid w:val="00023402"/>
    <w:rsid w:val="000248EC"/>
    <w:rsid w:val="00024F42"/>
    <w:rsid w:val="00026A94"/>
    <w:rsid w:val="000272CF"/>
    <w:rsid w:val="00030396"/>
    <w:rsid w:val="00032AD0"/>
    <w:rsid w:val="000346F1"/>
    <w:rsid w:val="000354BB"/>
    <w:rsid w:val="00036427"/>
    <w:rsid w:val="00036E51"/>
    <w:rsid w:val="0003712C"/>
    <w:rsid w:val="00040215"/>
    <w:rsid w:val="000407BD"/>
    <w:rsid w:val="000410AC"/>
    <w:rsid w:val="0004139A"/>
    <w:rsid w:val="000422C2"/>
    <w:rsid w:val="00042DAF"/>
    <w:rsid w:val="00043708"/>
    <w:rsid w:val="00043B3B"/>
    <w:rsid w:val="000448B3"/>
    <w:rsid w:val="00046963"/>
    <w:rsid w:val="00050DB8"/>
    <w:rsid w:val="000510E6"/>
    <w:rsid w:val="000520FB"/>
    <w:rsid w:val="000532CD"/>
    <w:rsid w:val="0005372A"/>
    <w:rsid w:val="00054079"/>
    <w:rsid w:val="0005410D"/>
    <w:rsid w:val="0005471C"/>
    <w:rsid w:val="00054B4B"/>
    <w:rsid w:val="00055000"/>
    <w:rsid w:val="00057086"/>
    <w:rsid w:val="000576CD"/>
    <w:rsid w:val="00057F56"/>
    <w:rsid w:val="0006129A"/>
    <w:rsid w:val="00061311"/>
    <w:rsid w:val="00061F80"/>
    <w:rsid w:val="00062279"/>
    <w:rsid w:val="00063A90"/>
    <w:rsid w:val="00065F84"/>
    <w:rsid w:val="000664E8"/>
    <w:rsid w:val="00066EC5"/>
    <w:rsid w:val="000673D6"/>
    <w:rsid w:val="000676F1"/>
    <w:rsid w:val="00067C22"/>
    <w:rsid w:val="0007092F"/>
    <w:rsid w:val="00071B96"/>
    <w:rsid w:val="00071DCC"/>
    <w:rsid w:val="00072C98"/>
    <w:rsid w:val="00073C10"/>
    <w:rsid w:val="0007457B"/>
    <w:rsid w:val="0007511D"/>
    <w:rsid w:val="000751AD"/>
    <w:rsid w:val="0007641A"/>
    <w:rsid w:val="000770A2"/>
    <w:rsid w:val="000774ED"/>
    <w:rsid w:val="00077716"/>
    <w:rsid w:val="00077DA2"/>
    <w:rsid w:val="000803C5"/>
    <w:rsid w:val="0008072D"/>
    <w:rsid w:val="00081071"/>
    <w:rsid w:val="000815E3"/>
    <w:rsid w:val="00084BD4"/>
    <w:rsid w:val="00084D2D"/>
    <w:rsid w:val="000859AC"/>
    <w:rsid w:val="00085C01"/>
    <w:rsid w:val="000878D0"/>
    <w:rsid w:val="00087AA0"/>
    <w:rsid w:val="00087B64"/>
    <w:rsid w:val="00087D72"/>
    <w:rsid w:val="000906F9"/>
    <w:rsid w:val="000908B2"/>
    <w:rsid w:val="000908C7"/>
    <w:rsid w:val="000910D9"/>
    <w:rsid w:val="00094055"/>
    <w:rsid w:val="0009473C"/>
    <w:rsid w:val="00095423"/>
    <w:rsid w:val="000A479C"/>
    <w:rsid w:val="000A53F7"/>
    <w:rsid w:val="000A55A8"/>
    <w:rsid w:val="000A5623"/>
    <w:rsid w:val="000A566C"/>
    <w:rsid w:val="000A58AC"/>
    <w:rsid w:val="000A68E4"/>
    <w:rsid w:val="000A6CE4"/>
    <w:rsid w:val="000A7B3B"/>
    <w:rsid w:val="000A7C53"/>
    <w:rsid w:val="000A7D19"/>
    <w:rsid w:val="000B2BAA"/>
    <w:rsid w:val="000B377A"/>
    <w:rsid w:val="000B37E4"/>
    <w:rsid w:val="000B49D9"/>
    <w:rsid w:val="000B4B48"/>
    <w:rsid w:val="000B4B78"/>
    <w:rsid w:val="000B5734"/>
    <w:rsid w:val="000B5CD4"/>
    <w:rsid w:val="000C089E"/>
    <w:rsid w:val="000C0ADD"/>
    <w:rsid w:val="000C12E4"/>
    <w:rsid w:val="000C196D"/>
    <w:rsid w:val="000C1D83"/>
    <w:rsid w:val="000C1F6D"/>
    <w:rsid w:val="000C269C"/>
    <w:rsid w:val="000C2FD6"/>
    <w:rsid w:val="000C2FD9"/>
    <w:rsid w:val="000C490E"/>
    <w:rsid w:val="000C72E5"/>
    <w:rsid w:val="000C7BF8"/>
    <w:rsid w:val="000C7E43"/>
    <w:rsid w:val="000D03E3"/>
    <w:rsid w:val="000D1CAA"/>
    <w:rsid w:val="000D1EB1"/>
    <w:rsid w:val="000D3FDF"/>
    <w:rsid w:val="000D4655"/>
    <w:rsid w:val="000D46FA"/>
    <w:rsid w:val="000D4AAF"/>
    <w:rsid w:val="000D4CE3"/>
    <w:rsid w:val="000D6F9F"/>
    <w:rsid w:val="000E06E5"/>
    <w:rsid w:val="000E10F9"/>
    <w:rsid w:val="000E25F1"/>
    <w:rsid w:val="000E29F0"/>
    <w:rsid w:val="000E2D81"/>
    <w:rsid w:val="000E2F76"/>
    <w:rsid w:val="000E39C2"/>
    <w:rsid w:val="000E40D2"/>
    <w:rsid w:val="000E60E7"/>
    <w:rsid w:val="000E66C4"/>
    <w:rsid w:val="000E678A"/>
    <w:rsid w:val="000E745D"/>
    <w:rsid w:val="000E74A2"/>
    <w:rsid w:val="000F0B53"/>
    <w:rsid w:val="000F0F9E"/>
    <w:rsid w:val="000F1707"/>
    <w:rsid w:val="000F233E"/>
    <w:rsid w:val="000F5121"/>
    <w:rsid w:val="000F5ECC"/>
    <w:rsid w:val="000F6394"/>
    <w:rsid w:val="000F6DF4"/>
    <w:rsid w:val="0010022E"/>
    <w:rsid w:val="00100A68"/>
    <w:rsid w:val="00101539"/>
    <w:rsid w:val="00101545"/>
    <w:rsid w:val="00102471"/>
    <w:rsid w:val="0010328D"/>
    <w:rsid w:val="00104098"/>
    <w:rsid w:val="001049AF"/>
    <w:rsid w:val="00104CED"/>
    <w:rsid w:val="00104D12"/>
    <w:rsid w:val="00105372"/>
    <w:rsid w:val="00105999"/>
    <w:rsid w:val="001065DA"/>
    <w:rsid w:val="001079F2"/>
    <w:rsid w:val="00107A24"/>
    <w:rsid w:val="001101FC"/>
    <w:rsid w:val="0011147D"/>
    <w:rsid w:val="0011182D"/>
    <w:rsid w:val="00111909"/>
    <w:rsid w:val="00111E37"/>
    <w:rsid w:val="00112576"/>
    <w:rsid w:val="0011295A"/>
    <w:rsid w:val="00114625"/>
    <w:rsid w:val="00115EFC"/>
    <w:rsid w:val="00115F7B"/>
    <w:rsid w:val="0011776A"/>
    <w:rsid w:val="00117C38"/>
    <w:rsid w:val="0012028B"/>
    <w:rsid w:val="00121444"/>
    <w:rsid w:val="00121C4A"/>
    <w:rsid w:val="00121F3F"/>
    <w:rsid w:val="00124B22"/>
    <w:rsid w:val="0012549A"/>
    <w:rsid w:val="00125D06"/>
    <w:rsid w:val="001263A4"/>
    <w:rsid w:val="00126BC5"/>
    <w:rsid w:val="001272A8"/>
    <w:rsid w:val="0013121E"/>
    <w:rsid w:val="00131338"/>
    <w:rsid w:val="00131361"/>
    <w:rsid w:val="00131AEA"/>
    <w:rsid w:val="0013245C"/>
    <w:rsid w:val="00133621"/>
    <w:rsid w:val="0013363E"/>
    <w:rsid w:val="00133EA5"/>
    <w:rsid w:val="00134353"/>
    <w:rsid w:val="00135A0C"/>
    <w:rsid w:val="00136422"/>
    <w:rsid w:val="00136A4A"/>
    <w:rsid w:val="00136EA8"/>
    <w:rsid w:val="00140873"/>
    <w:rsid w:val="00140A88"/>
    <w:rsid w:val="00141380"/>
    <w:rsid w:val="00141DEF"/>
    <w:rsid w:val="00142C92"/>
    <w:rsid w:val="001439D7"/>
    <w:rsid w:val="001449BD"/>
    <w:rsid w:val="00144FCA"/>
    <w:rsid w:val="00145040"/>
    <w:rsid w:val="00145CDF"/>
    <w:rsid w:val="00147343"/>
    <w:rsid w:val="0014743D"/>
    <w:rsid w:val="001475E1"/>
    <w:rsid w:val="00147CC5"/>
    <w:rsid w:val="001508E9"/>
    <w:rsid w:val="00151056"/>
    <w:rsid w:val="0015121D"/>
    <w:rsid w:val="00151F4F"/>
    <w:rsid w:val="0015329B"/>
    <w:rsid w:val="00155888"/>
    <w:rsid w:val="00156592"/>
    <w:rsid w:val="0015696A"/>
    <w:rsid w:val="00156AFC"/>
    <w:rsid w:val="00156CCE"/>
    <w:rsid w:val="00157766"/>
    <w:rsid w:val="00157D10"/>
    <w:rsid w:val="00157E3A"/>
    <w:rsid w:val="001602D3"/>
    <w:rsid w:val="00160965"/>
    <w:rsid w:val="00161BD1"/>
    <w:rsid w:val="00161F14"/>
    <w:rsid w:val="00162574"/>
    <w:rsid w:val="00162F81"/>
    <w:rsid w:val="00163029"/>
    <w:rsid w:val="00163509"/>
    <w:rsid w:val="00163B5C"/>
    <w:rsid w:val="001653C3"/>
    <w:rsid w:val="001666A5"/>
    <w:rsid w:val="00166E07"/>
    <w:rsid w:val="00166F9D"/>
    <w:rsid w:val="00167B8A"/>
    <w:rsid w:val="00167C78"/>
    <w:rsid w:val="00167FC0"/>
    <w:rsid w:val="0017030C"/>
    <w:rsid w:val="00170C2A"/>
    <w:rsid w:val="00170D59"/>
    <w:rsid w:val="00171200"/>
    <w:rsid w:val="00171A49"/>
    <w:rsid w:val="001720FE"/>
    <w:rsid w:val="00172213"/>
    <w:rsid w:val="00172A27"/>
    <w:rsid w:val="00173BE8"/>
    <w:rsid w:val="00175195"/>
    <w:rsid w:val="00175D7B"/>
    <w:rsid w:val="001774C0"/>
    <w:rsid w:val="001776AB"/>
    <w:rsid w:val="001803D7"/>
    <w:rsid w:val="00180578"/>
    <w:rsid w:val="0018123B"/>
    <w:rsid w:val="001817E6"/>
    <w:rsid w:val="00182980"/>
    <w:rsid w:val="00183EE7"/>
    <w:rsid w:val="00186E9D"/>
    <w:rsid w:val="00187836"/>
    <w:rsid w:val="0019019A"/>
    <w:rsid w:val="00190AB8"/>
    <w:rsid w:val="00192579"/>
    <w:rsid w:val="00193623"/>
    <w:rsid w:val="00193687"/>
    <w:rsid w:val="00195D8E"/>
    <w:rsid w:val="00196560"/>
    <w:rsid w:val="0019705B"/>
    <w:rsid w:val="0019721E"/>
    <w:rsid w:val="00197BAD"/>
    <w:rsid w:val="001A0D97"/>
    <w:rsid w:val="001A0DD8"/>
    <w:rsid w:val="001A17F4"/>
    <w:rsid w:val="001A2321"/>
    <w:rsid w:val="001A3B2F"/>
    <w:rsid w:val="001A4593"/>
    <w:rsid w:val="001A4AC0"/>
    <w:rsid w:val="001A5421"/>
    <w:rsid w:val="001A67C6"/>
    <w:rsid w:val="001A6C4F"/>
    <w:rsid w:val="001A7BE5"/>
    <w:rsid w:val="001B00F2"/>
    <w:rsid w:val="001B1170"/>
    <w:rsid w:val="001B134C"/>
    <w:rsid w:val="001B36B5"/>
    <w:rsid w:val="001B3979"/>
    <w:rsid w:val="001B3C82"/>
    <w:rsid w:val="001B3FCA"/>
    <w:rsid w:val="001B4AFA"/>
    <w:rsid w:val="001B6AD2"/>
    <w:rsid w:val="001C023E"/>
    <w:rsid w:val="001C16BA"/>
    <w:rsid w:val="001C23DA"/>
    <w:rsid w:val="001C246D"/>
    <w:rsid w:val="001C247A"/>
    <w:rsid w:val="001C60A3"/>
    <w:rsid w:val="001C69A3"/>
    <w:rsid w:val="001D0643"/>
    <w:rsid w:val="001D0A6D"/>
    <w:rsid w:val="001D1555"/>
    <w:rsid w:val="001D362F"/>
    <w:rsid w:val="001D41BD"/>
    <w:rsid w:val="001D43C5"/>
    <w:rsid w:val="001D552D"/>
    <w:rsid w:val="001D799C"/>
    <w:rsid w:val="001E0BDF"/>
    <w:rsid w:val="001E0C9E"/>
    <w:rsid w:val="001E1813"/>
    <w:rsid w:val="001E1D9C"/>
    <w:rsid w:val="001E2185"/>
    <w:rsid w:val="001E26F6"/>
    <w:rsid w:val="001E2D55"/>
    <w:rsid w:val="001E2F19"/>
    <w:rsid w:val="001E4165"/>
    <w:rsid w:val="001E41B9"/>
    <w:rsid w:val="001E4616"/>
    <w:rsid w:val="001E47E1"/>
    <w:rsid w:val="001E5426"/>
    <w:rsid w:val="001E5451"/>
    <w:rsid w:val="001E6BF0"/>
    <w:rsid w:val="001E7B92"/>
    <w:rsid w:val="001F0763"/>
    <w:rsid w:val="001F1164"/>
    <w:rsid w:val="001F11D0"/>
    <w:rsid w:val="001F5EE2"/>
    <w:rsid w:val="001F60D6"/>
    <w:rsid w:val="001F65A3"/>
    <w:rsid w:val="001F67BE"/>
    <w:rsid w:val="00200011"/>
    <w:rsid w:val="00200601"/>
    <w:rsid w:val="00200C18"/>
    <w:rsid w:val="00201C71"/>
    <w:rsid w:val="00201D2A"/>
    <w:rsid w:val="00202A91"/>
    <w:rsid w:val="00203E5F"/>
    <w:rsid w:val="00203ECF"/>
    <w:rsid w:val="00204EA7"/>
    <w:rsid w:val="00206480"/>
    <w:rsid w:val="00207505"/>
    <w:rsid w:val="00210F52"/>
    <w:rsid w:val="00213380"/>
    <w:rsid w:val="00214F11"/>
    <w:rsid w:val="00215122"/>
    <w:rsid w:val="00215330"/>
    <w:rsid w:val="002158EE"/>
    <w:rsid w:val="00215AA7"/>
    <w:rsid w:val="00215BDD"/>
    <w:rsid w:val="00216A95"/>
    <w:rsid w:val="00216F3E"/>
    <w:rsid w:val="0021746B"/>
    <w:rsid w:val="00217FA6"/>
    <w:rsid w:val="00220527"/>
    <w:rsid w:val="002209C7"/>
    <w:rsid w:val="0022295C"/>
    <w:rsid w:val="00222CC0"/>
    <w:rsid w:val="00223332"/>
    <w:rsid w:val="00223606"/>
    <w:rsid w:val="0022378B"/>
    <w:rsid w:val="00225251"/>
    <w:rsid w:val="002258BB"/>
    <w:rsid w:val="00227137"/>
    <w:rsid w:val="00230764"/>
    <w:rsid w:val="0023192B"/>
    <w:rsid w:val="00232ADB"/>
    <w:rsid w:val="00232E73"/>
    <w:rsid w:val="002353DC"/>
    <w:rsid w:val="00236317"/>
    <w:rsid w:val="00236CEB"/>
    <w:rsid w:val="00237244"/>
    <w:rsid w:val="0023759B"/>
    <w:rsid w:val="00237C1C"/>
    <w:rsid w:val="002400F8"/>
    <w:rsid w:val="00240470"/>
    <w:rsid w:val="0024109E"/>
    <w:rsid w:val="0024188E"/>
    <w:rsid w:val="002429E4"/>
    <w:rsid w:val="00242C71"/>
    <w:rsid w:val="00242D6E"/>
    <w:rsid w:val="00243901"/>
    <w:rsid w:val="0024442E"/>
    <w:rsid w:val="00245503"/>
    <w:rsid w:val="002461E9"/>
    <w:rsid w:val="00246F49"/>
    <w:rsid w:val="002478F7"/>
    <w:rsid w:val="002513E5"/>
    <w:rsid w:val="00252EBE"/>
    <w:rsid w:val="00253161"/>
    <w:rsid w:val="00253D15"/>
    <w:rsid w:val="00255EE8"/>
    <w:rsid w:val="002575D3"/>
    <w:rsid w:val="002576CB"/>
    <w:rsid w:val="002577AF"/>
    <w:rsid w:val="00257F1A"/>
    <w:rsid w:val="002605B4"/>
    <w:rsid w:val="002607C9"/>
    <w:rsid w:val="00261132"/>
    <w:rsid w:val="00261416"/>
    <w:rsid w:val="00262400"/>
    <w:rsid w:val="00263FB8"/>
    <w:rsid w:val="0026591A"/>
    <w:rsid w:val="00265A4C"/>
    <w:rsid w:val="00266348"/>
    <w:rsid w:val="0026772B"/>
    <w:rsid w:val="0027022C"/>
    <w:rsid w:val="00270FA3"/>
    <w:rsid w:val="00271F1E"/>
    <w:rsid w:val="00273E86"/>
    <w:rsid w:val="0027521D"/>
    <w:rsid w:val="00275A68"/>
    <w:rsid w:val="002765BC"/>
    <w:rsid w:val="00276A61"/>
    <w:rsid w:val="00277434"/>
    <w:rsid w:val="00277C9B"/>
    <w:rsid w:val="002813EC"/>
    <w:rsid w:val="0028156D"/>
    <w:rsid w:val="00282FD5"/>
    <w:rsid w:val="00283381"/>
    <w:rsid w:val="00283D37"/>
    <w:rsid w:val="00284781"/>
    <w:rsid w:val="00287E43"/>
    <w:rsid w:val="0029180D"/>
    <w:rsid w:val="002948AC"/>
    <w:rsid w:val="00295DDB"/>
    <w:rsid w:val="00296CA7"/>
    <w:rsid w:val="002A096E"/>
    <w:rsid w:val="002A206A"/>
    <w:rsid w:val="002A27BC"/>
    <w:rsid w:val="002A4333"/>
    <w:rsid w:val="002A47A3"/>
    <w:rsid w:val="002A480F"/>
    <w:rsid w:val="002A4D3E"/>
    <w:rsid w:val="002A4F55"/>
    <w:rsid w:val="002A5023"/>
    <w:rsid w:val="002A5B9E"/>
    <w:rsid w:val="002A5E99"/>
    <w:rsid w:val="002A600A"/>
    <w:rsid w:val="002A67CE"/>
    <w:rsid w:val="002A7199"/>
    <w:rsid w:val="002B00FC"/>
    <w:rsid w:val="002B19E5"/>
    <w:rsid w:val="002B1DBA"/>
    <w:rsid w:val="002B3503"/>
    <w:rsid w:val="002B35CD"/>
    <w:rsid w:val="002B5469"/>
    <w:rsid w:val="002B6997"/>
    <w:rsid w:val="002B6E81"/>
    <w:rsid w:val="002B7562"/>
    <w:rsid w:val="002B7C10"/>
    <w:rsid w:val="002C02C2"/>
    <w:rsid w:val="002C04C0"/>
    <w:rsid w:val="002C0896"/>
    <w:rsid w:val="002C14E7"/>
    <w:rsid w:val="002C2BE2"/>
    <w:rsid w:val="002C2C58"/>
    <w:rsid w:val="002C357F"/>
    <w:rsid w:val="002C6F98"/>
    <w:rsid w:val="002C70FC"/>
    <w:rsid w:val="002D05A8"/>
    <w:rsid w:val="002D1630"/>
    <w:rsid w:val="002D178B"/>
    <w:rsid w:val="002D3F73"/>
    <w:rsid w:val="002D415A"/>
    <w:rsid w:val="002D50D6"/>
    <w:rsid w:val="002D5583"/>
    <w:rsid w:val="002D5E52"/>
    <w:rsid w:val="002D5EC5"/>
    <w:rsid w:val="002D64D4"/>
    <w:rsid w:val="002D6F7D"/>
    <w:rsid w:val="002D6FB0"/>
    <w:rsid w:val="002D7356"/>
    <w:rsid w:val="002E0D74"/>
    <w:rsid w:val="002E16F3"/>
    <w:rsid w:val="002E17D2"/>
    <w:rsid w:val="002E1CD9"/>
    <w:rsid w:val="002E20D6"/>
    <w:rsid w:val="002E27E8"/>
    <w:rsid w:val="002E2845"/>
    <w:rsid w:val="002E4153"/>
    <w:rsid w:val="002E4FC3"/>
    <w:rsid w:val="002E5666"/>
    <w:rsid w:val="002E6696"/>
    <w:rsid w:val="002E692A"/>
    <w:rsid w:val="002E6FC4"/>
    <w:rsid w:val="002E71AF"/>
    <w:rsid w:val="002E7C5B"/>
    <w:rsid w:val="002F0165"/>
    <w:rsid w:val="002F2050"/>
    <w:rsid w:val="002F2345"/>
    <w:rsid w:val="002F3AA2"/>
    <w:rsid w:val="002F44AE"/>
    <w:rsid w:val="002F499F"/>
    <w:rsid w:val="002F6976"/>
    <w:rsid w:val="002F729D"/>
    <w:rsid w:val="002F79A4"/>
    <w:rsid w:val="002F7CDD"/>
    <w:rsid w:val="00300024"/>
    <w:rsid w:val="0030009A"/>
    <w:rsid w:val="00300BA2"/>
    <w:rsid w:val="00300F08"/>
    <w:rsid w:val="003016B4"/>
    <w:rsid w:val="00302BA6"/>
    <w:rsid w:val="00302C84"/>
    <w:rsid w:val="00302F7B"/>
    <w:rsid w:val="003034EC"/>
    <w:rsid w:val="00303B40"/>
    <w:rsid w:val="00304245"/>
    <w:rsid w:val="00304275"/>
    <w:rsid w:val="00304293"/>
    <w:rsid w:val="00304481"/>
    <w:rsid w:val="00304949"/>
    <w:rsid w:val="00304E38"/>
    <w:rsid w:val="00305267"/>
    <w:rsid w:val="003057D6"/>
    <w:rsid w:val="0030590A"/>
    <w:rsid w:val="00305CEF"/>
    <w:rsid w:val="0030630C"/>
    <w:rsid w:val="0030731B"/>
    <w:rsid w:val="00307C36"/>
    <w:rsid w:val="00310A1A"/>
    <w:rsid w:val="00310BDA"/>
    <w:rsid w:val="00311818"/>
    <w:rsid w:val="00311EA4"/>
    <w:rsid w:val="00313320"/>
    <w:rsid w:val="00313C86"/>
    <w:rsid w:val="00313CF1"/>
    <w:rsid w:val="00314DA4"/>
    <w:rsid w:val="003156EB"/>
    <w:rsid w:val="00320862"/>
    <w:rsid w:val="00320B1C"/>
    <w:rsid w:val="00321506"/>
    <w:rsid w:val="003218F4"/>
    <w:rsid w:val="00321DD0"/>
    <w:rsid w:val="00321FE0"/>
    <w:rsid w:val="003225A3"/>
    <w:rsid w:val="00322674"/>
    <w:rsid w:val="00322B46"/>
    <w:rsid w:val="00322FB2"/>
    <w:rsid w:val="003251B2"/>
    <w:rsid w:val="003258BD"/>
    <w:rsid w:val="003267A2"/>
    <w:rsid w:val="00327612"/>
    <w:rsid w:val="00330010"/>
    <w:rsid w:val="00330A5B"/>
    <w:rsid w:val="0033162C"/>
    <w:rsid w:val="003316B0"/>
    <w:rsid w:val="00332BCF"/>
    <w:rsid w:val="00333239"/>
    <w:rsid w:val="00333FAA"/>
    <w:rsid w:val="00334541"/>
    <w:rsid w:val="0033546E"/>
    <w:rsid w:val="003364CF"/>
    <w:rsid w:val="003431F7"/>
    <w:rsid w:val="00343609"/>
    <w:rsid w:val="003440C8"/>
    <w:rsid w:val="00345234"/>
    <w:rsid w:val="00346C83"/>
    <w:rsid w:val="00350123"/>
    <w:rsid w:val="00350500"/>
    <w:rsid w:val="00350AD7"/>
    <w:rsid w:val="0035197E"/>
    <w:rsid w:val="00352302"/>
    <w:rsid w:val="00352A77"/>
    <w:rsid w:val="003531FC"/>
    <w:rsid w:val="003532CE"/>
    <w:rsid w:val="00354818"/>
    <w:rsid w:val="00355B40"/>
    <w:rsid w:val="00355CAB"/>
    <w:rsid w:val="00355EA3"/>
    <w:rsid w:val="00356279"/>
    <w:rsid w:val="003562CD"/>
    <w:rsid w:val="00356948"/>
    <w:rsid w:val="00356B03"/>
    <w:rsid w:val="00356CC0"/>
    <w:rsid w:val="00357563"/>
    <w:rsid w:val="00357A02"/>
    <w:rsid w:val="003602B3"/>
    <w:rsid w:val="003602C8"/>
    <w:rsid w:val="00360CF1"/>
    <w:rsid w:val="0036115C"/>
    <w:rsid w:val="00362477"/>
    <w:rsid w:val="003634F2"/>
    <w:rsid w:val="00366D37"/>
    <w:rsid w:val="00366FBC"/>
    <w:rsid w:val="0036727C"/>
    <w:rsid w:val="00370314"/>
    <w:rsid w:val="0037145B"/>
    <w:rsid w:val="00371F62"/>
    <w:rsid w:val="00372086"/>
    <w:rsid w:val="003723E6"/>
    <w:rsid w:val="003725C2"/>
    <w:rsid w:val="0037314F"/>
    <w:rsid w:val="0037376D"/>
    <w:rsid w:val="003739E3"/>
    <w:rsid w:val="00374A39"/>
    <w:rsid w:val="00374C1A"/>
    <w:rsid w:val="00374F0E"/>
    <w:rsid w:val="00377344"/>
    <w:rsid w:val="0038081A"/>
    <w:rsid w:val="00380956"/>
    <w:rsid w:val="00380B2A"/>
    <w:rsid w:val="0038110E"/>
    <w:rsid w:val="00381B08"/>
    <w:rsid w:val="00382AA4"/>
    <w:rsid w:val="00382D30"/>
    <w:rsid w:val="00382E52"/>
    <w:rsid w:val="00383582"/>
    <w:rsid w:val="003840E0"/>
    <w:rsid w:val="003840E5"/>
    <w:rsid w:val="00385B65"/>
    <w:rsid w:val="00386E11"/>
    <w:rsid w:val="00386FA8"/>
    <w:rsid w:val="0038764E"/>
    <w:rsid w:val="00387A1E"/>
    <w:rsid w:val="003910B4"/>
    <w:rsid w:val="003915C0"/>
    <w:rsid w:val="00393978"/>
    <w:rsid w:val="00393D73"/>
    <w:rsid w:val="00394544"/>
    <w:rsid w:val="00394992"/>
    <w:rsid w:val="00394FCD"/>
    <w:rsid w:val="003950F4"/>
    <w:rsid w:val="00395459"/>
    <w:rsid w:val="00395C45"/>
    <w:rsid w:val="003965FF"/>
    <w:rsid w:val="00396BE4"/>
    <w:rsid w:val="003A3B6A"/>
    <w:rsid w:val="003A4BFB"/>
    <w:rsid w:val="003A4C10"/>
    <w:rsid w:val="003A53C8"/>
    <w:rsid w:val="003A6089"/>
    <w:rsid w:val="003A62BA"/>
    <w:rsid w:val="003A7254"/>
    <w:rsid w:val="003A7CC1"/>
    <w:rsid w:val="003B0286"/>
    <w:rsid w:val="003B0418"/>
    <w:rsid w:val="003B1A5A"/>
    <w:rsid w:val="003B1DFC"/>
    <w:rsid w:val="003B35C1"/>
    <w:rsid w:val="003B3EB5"/>
    <w:rsid w:val="003B3F56"/>
    <w:rsid w:val="003B4685"/>
    <w:rsid w:val="003B745A"/>
    <w:rsid w:val="003C104A"/>
    <w:rsid w:val="003C1F21"/>
    <w:rsid w:val="003C22A8"/>
    <w:rsid w:val="003C2F0E"/>
    <w:rsid w:val="003C3474"/>
    <w:rsid w:val="003C61FA"/>
    <w:rsid w:val="003C629C"/>
    <w:rsid w:val="003C67E0"/>
    <w:rsid w:val="003C6CB3"/>
    <w:rsid w:val="003C6DB3"/>
    <w:rsid w:val="003C76C0"/>
    <w:rsid w:val="003D0655"/>
    <w:rsid w:val="003D0D4E"/>
    <w:rsid w:val="003D2345"/>
    <w:rsid w:val="003D2629"/>
    <w:rsid w:val="003D2867"/>
    <w:rsid w:val="003D44F0"/>
    <w:rsid w:val="003D46E0"/>
    <w:rsid w:val="003D48F1"/>
    <w:rsid w:val="003D4A3D"/>
    <w:rsid w:val="003D66BC"/>
    <w:rsid w:val="003D782C"/>
    <w:rsid w:val="003D78C2"/>
    <w:rsid w:val="003E0068"/>
    <w:rsid w:val="003E0838"/>
    <w:rsid w:val="003E15C5"/>
    <w:rsid w:val="003E1C54"/>
    <w:rsid w:val="003E1FE7"/>
    <w:rsid w:val="003E2B98"/>
    <w:rsid w:val="003E3A1B"/>
    <w:rsid w:val="003E5129"/>
    <w:rsid w:val="003E567F"/>
    <w:rsid w:val="003E5BFD"/>
    <w:rsid w:val="003E71E5"/>
    <w:rsid w:val="003F0739"/>
    <w:rsid w:val="003F1E11"/>
    <w:rsid w:val="003F2295"/>
    <w:rsid w:val="003F251D"/>
    <w:rsid w:val="003F25CE"/>
    <w:rsid w:val="003F2BDB"/>
    <w:rsid w:val="003F4C5F"/>
    <w:rsid w:val="003F6109"/>
    <w:rsid w:val="003F7CD6"/>
    <w:rsid w:val="00400D0C"/>
    <w:rsid w:val="0040161C"/>
    <w:rsid w:val="00401BE8"/>
    <w:rsid w:val="00401C47"/>
    <w:rsid w:val="004023E2"/>
    <w:rsid w:val="004035C2"/>
    <w:rsid w:val="00404757"/>
    <w:rsid w:val="004054C8"/>
    <w:rsid w:val="00405743"/>
    <w:rsid w:val="00405E47"/>
    <w:rsid w:val="00406455"/>
    <w:rsid w:val="00406AFE"/>
    <w:rsid w:val="004070DE"/>
    <w:rsid w:val="004100E6"/>
    <w:rsid w:val="00410564"/>
    <w:rsid w:val="004106B1"/>
    <w:rsid w:val="0041101D"/>
    <w:rsid w:val="004112C3"/>
    <w:rsid w:val="004118FD"/>
    <w:rsid w:val="00413257"/>
    <w:rsid w:val="0041375E"/>
    <w:rsid w:val="00414167"/>
    <w:rsid w:val="0041541D"/>
    <w:rsid w:val="004161D7"/>
    <w:rsid w:val="004203CC"/>
    <w:rsid w:val="00420F29"/>
    <w:rsid w:val="004215C8"/>
    <w:rsid w:val="0042253A"/>
    <w:rsid w:val="00422ACE"/>
    <w:rsid w:val="00425699"/>
    <w:rsid w:val="00426632"/>
    <w:rsid w:val="004277AA"/>
    <w:rsid w:val="00427F81"/>
    <w:rsid w:val="00431220"/>
    <w:rsid w:val="00431EDF"/>
    <w:rsid w:val="00432586"/>
    <w:rsid w:val="00432829"/>
    <w:rsid w:val="00432A08"/>
    <w:rsid w:val="00432DF2"/>
    <w:rsid w:val="00433C77"/>
    <w:rsid w:val="00433CF4"/>
    <w:rsid w:val="00434298"/>
    <w:rsid w:val="00434BD6"/>
    <w:rsid w:val="00434DC3"/>
    <w:rsid w:val="00435620"/>
    <w:rsid w:val="0043764B"/>
    <w:rsid w:val="0043785A"/>
    <w:rsid w:val="004379D3"/>
    <w:rsid w:val="00437DDC"/>
    <w:rsid w:val="00442288"/>
    <w:rsid w:val="0044277D"/>
    <w:rsid w:val="00443497"/>
    <w:rsid w:val="00443C3E"/>
    <w:rsid w:val="00444291"/>
    <w:rsid w:val="00445122"/>
    <w:rsid w:val="004457AC"/>
    <w:rsid w:val="00450F1F"/>
    <w:rsid w:val="0045105A"/>
    <w:rsid w:val="00451245"/>
    <w:rsid w:val="0045175B"/>
    <w:rsid w:val="004525C8"/>
    <w:rsid w:val="00452F70"/>
    <w:rsid w:val="004532D4"/>
    <w:rsid w:val="004532F0"/>
    <w:rsid w:val="004535CF"/>
    <w:rsid w:val="00453CA2"/>
    <w:rsid w:val="004560FB"/>
    <w:rsid w:val="0045699D"/>
    <w:rsid w:val="00457A45"/>
    <w:rsid w:val="00457AE1"/>
    <w:rsid w:val="00463995"/>
    <w:rsid w:val="00465008"/>
    <w:rsid w:val="004650B1"/>
    <w:rsid w:val="00465BA3"/>
    <w:rsid w:val="00466862"/>
    <w:rsid w:val="00466DFF"/>
    <w:rsid w:val="00472FF6"/>
    <w:rsid w:val="0047330F"/>
    <w:rsid w:val="004740AA"/>
    <w:rsid w:val="00475306"/>
    <w:rsid w:val="0047657E"/>
    <w:rsid w:val="0047779A"/>
    <w:rsid w:val="004815F2"/>
    <w:rsid w:val="00482AA1"/>
    <w:rsid w:val="00483D84"/>
    <w:rsid w:val="00484285"/>
    <w:rsid w:val="0048533C"/>
    <w:rsid w:val="004856FC"/>
    <w:rsid w:val="004857EB"/>
    <w:rsid w:val="00485A6B"/>
    <w:rsid w:val="00486D24"/>
    <w:rsid w:val="00487121"/>
    <w:rsid w:val="00487BF7"/>
    <w:rsid w:val="004907CE"/>
    <w:rsid w:val="00490F6A"/>
    <w:rsid w:val="00491438"/>
    <w:rsid w:val="004923FA"/>
    <w:rsid w:val="004933D2"/>
    <w:rsid w:val="00493669"/>
    <w:rsid w:val="00493774"/>
    <w:rsid w:val="00493CA2"/>
    <w:rsid w:val="004947E3"/>
    <w:rsid w:val="00494881"/>
    <w:rsid w:val="00495160"/>
    <w:rsid w:val="004A088F"/>
    <w:rsid w:val="004A0C09"/>
    <w:rsid w:val="004A1CED"/>
    <w:rsid w:val="004A25AC"/>
    <w:rsid w:val="004A39A6"/>
    <w:rsid w:val="004A411F"/>
    <w:rsid w:val="004A45F0"/>
    <w:rsid w:val="004A462B"/>
    <w:rsid w:val="004A4C36"/>
    <w:rsid w:val="004A6470"/>
    <w:rsid w:val="004B1079"/>
    <w:rsid w:val="004B112F"/>
    <w:rsid w:val="004B3976"/>
    <w:rsid w:val="004B3E34"/>
    <w:rsid w:val="004B4BBF"/>
    <w:rsid w:val="004B4E66"/>
    <w:rsid w:val="004B5522"/>
    <w:rsid w:val="004B640C"/>
    <w:rsid w:val="004B6660"/>
    <w:rsid w:val="004B6C6D"/>
    <w:rsid w:val="004B6CE9"/>
    <w:rsid w:val="004C044A"/>
    <w:rsid w:val="004C0D58"/>
    <w:rsid w:val="004C1B79"/>
    <w:rsid w:val="004C278C"/>
    <w:rsid w:val="004C330D"/>
    <w:rsid w:val="004C3550"/>
    <w:rsid w:val="004C36AC"/>
    <w:rsid w:val="004C6847"/>
    <w:rsid w:val="004C6B01"/>
    <w:rsid w:val="004C76EE"/>
    <w:rsid w:val="004D033C"/>
    <w:rsid w:val="004D035C"/>
    <w:rsid w:val="004D09D0"/>
    <w:rsid w:val="004D1A34"/>
    <w:rsid w:val="004D2510"/>
    <w:rsid w:val="004D25BE"/>
    <w:rsid w:val="004D2608"/>
    <w:rsid w:val="004D2BE2"/>
    <w:rsid w:val="004D2DEA"/>
    <w:rsid w:val="004D2F5E"/>
    <w:rsid w:val="004D2F82"/>
    <w:rsid w:val="004D3024"/>
    <w:rsid w:val="004D376D"/>
    <w:rsid w:val="004D3860"/>
    <w:rsid w:val="004D4B7E"/>
    <w:rsid w:val="004D73F4"/>
    <w:rsid w:val="004E1701"/>
    <w:rsid w:val="004E18E8"/>
    <w:rsid w:val="004E3932"/>
    <w:rsid w:val="004E4C91"/>
    <w:rsid w:val="004E5420"/>
    <w:rsid w:val="004E60DB"/>
    <w:rsid w:val="004E6761"/>
    <w:rsid w:val="004E70BA"/>
    <w:rsid w:val="004E7D77"/>
    <w:rsid w:val="004E7F8B"/>
    <w:rsid w:val="004F0CA3"/>
    <w:rsid w:val="004F1D5D"/>
    <w:rsid w:val="004F3098"/>
    <w:rsid w:val="004F3373"/>
    <w:rsid w:val="004F3D99"/>
    <w:rsid w:val="004F471F"/>
    <w:rsid w:val="004F562B"/>
    <w:rsid w:val="004F5A4C"/>
    <w:rsid w:val="004F5F77"/>
    <w:rsid w:val="004F786C"/>
    <w:rsid w:val="005021D2"/>
    <w:rsid w:val="00503514"/>
    <w:rsid w:val="00505878"/>
    <w:rsid w:val="0050652D"/>
    <w:rsid w:val="005069B9"/>
    <w:rsid w:val="00507BA8"/>
    <w:rsid w:val="00507D73"/>
    <w:rsid w:val="005100BD"/>
    <w:rsid w:val="0051046F"/>
    <w:rsid w:val="005125E1"/>
    <w:rsid w:val="005128FA"/>
    <w:rsid w:val="00513EB6"/>
    <w:rsid w:val="00514020"/>
    <w:rsid w:val="005159C1"/>
    <w:rsid w:val="00515D41"/>
    <w:rsid w:val="005168C1"/>
    <w:rsid w:val="00517FD0"/>
    <w:rsid w:val="00520408"/>
    <w:rsid w:val="00520DF4"/>
    <w:rsid w:val="00521CA8"/>
    <w:rsid w:val="005228DB"/>
    <w:rsid w:val="0052292A"/>
    <w:rsid w:val="005239C6"/>
    <w:rsid w:val="00523BC2"/>
    <w:rsid w:val="00523D27"/>
    <w:rsid w:val="00526A15"/>
    <w:rsid w:val="00527765"/>
    <w:rsid w:val="00527E02"/>
    <w:rsid w:val="005304C3"/>
    <w:rsid w:val="00530787"/>
    <w:rsid w:val="005310C1"/>
    <w:rsid w:val="00532353"/>
    <w:rsid w:val="005330C8"/>
    <w:rsid w:val="00533577"/>
    <w:rsid w:val="00533E77"/>
    <w:rsid w:val="00534306"/>
    <w:rsid w:val="00535CA0"/>
    <w:rsid w:val="005369B9"/>
    <w:rsid w:val="00536CFE"/>
    <w:rsid w:val="005376BF"/>
    <w:rsid w:val="00537700"/>
    <w:rsid w:val="005407A9"/>
    <w:rsid w:val="005410DB"/>
    <w:rsid w:val="005417D9"/>
    <w:rsid w:val="0054202A"/>
    <w:rsid w:val="00542EC2"/>
    <w:rsid w:val="005447DC"/>
    <w:rsid w:val="00545F8F"/>
    <w:rsid w:val="0054687C"/>
    <w:rsid w:val="00550948"/>
    <w:rsid w:val="00551019"/>
    <w:rsid w:val="005530F1"/>
    <w:rsid w:val="005566B5"/>
    <w:rsid w:val="005571B0"/>
    <w:rsid w:val="00557BB5"/>
    <w:rsid w:val="00560008"/>
    <w:rsid w:val="00561757"/>
    <w:rsid w:val="00562552"/>
    <w:rsid w:val="00562716"/>
    <w:rsid w:val="00562D9F"/>
    <w:rsid w:val="00563971"/>
    <w:rsid w:val="00564280"/>
    <w:rsid w:val="00564CED"/>
    <w:rsid w:val="00565E00"/>
    <w:rsid w:val="005663DB"/>
    <w:rsid w:val="00566A55"/>
    <w:rsid w:val="005673ED"/>
    <w:rsid w:val="00567FE1"/>
    <w:rsid w:val="00571921"/>
    <w:rsid w:val="00571B78"/>
    <w:rsid w:val="005722F5"/>
    <w:rsid w:val="00572B08"/>
    <w:rsid w:val="0057350B"/>
    <w:rsid w:val="00573DA6"/>
    <w:rsid w:val="00574DFF"/>
    <w:rsid w:val="00576927"/>
    <w:rsid w:val="00576B22"/>
    <w:rsid w:val="0058066E"/>
    <w:rsid w:val="005808DB"/>
    <w:rsid w:val="00580FE1"/>
    <w:rsid w:val="005825A7"/>
    <w:rsid w:val="005839ED"/>
    <w:rsid w:val="00583B80"/>
    <w:rsid w:val="00584EEA"/>
    <w:rsid w:val="005852B8"/>
    <w:rsid w:val="005857EE"/>
    <w:rsid w:val="005859A6"/>
    <w:rsid w:val="00586320"/>
    <w:rsid w:val="0058649A"/>
    <w:rsid w:val="00586C3A"/>
    <w:rsid w:val="00587058"/>
    <w:rsid w:val="00587386"/>
    <w:rsid w:val="005909D5"/>
    <w:rsid w:val="00591DFC"/>
    <w:rsid w:val="00592ABB"/>
    <w:rsid w:val="00592BEA"/>
    <w:rsid w:val="005931B9"/>
    <w:rsid w:val="00593571"/>
    <w:rsid w:val="00594744"/>
    <w:rsid w:val="005948F6"/>
    <w:rsid w:val="00594B67"/>
    <w:rsid w:val="00594E7E"/>
    <w:rsid w:val="00595DB3"/>
    <w:rsid w:val="0059699A"/>
    <w:rsid w:val="00596EC5"/>
    <w:rsid w:val="00596EDD"/>
    <w:rsid w:val="005A3194"/>
    <w:rsid w:val="005A33C8"/>
    <w:rsid w:val="005A513F"/>
    <w:rsid w:val="005A533A"/>
    <w:rsid w:val="005A5956"/>
    <w:rsid w:val="005A59F7"/>
    <w:rsid w:val="005A67B6"/>
    <w:rsid w:val="005A698B"/>
    <w:rsid w:val="005A6D1D"/>
    <w:rsid w:val="005A7B69"/>
    <w:rsid w:val="005B0191"/>
    <w:rsid w:val="005B0429"/>
    <w:rsid w:val="005B0D2A"/>
    <w:rsid w:val="005B2770"/>
    <w:rsid w:val="005B29AE"/>
    <w:rsid w:val="005B330B"/>
    <w:rsid w:val="005B3499"/>
    <w:rsid w:val="005B54EC"/>
    <w:rsid w:val="005B7EC0"/>
    <w:rsid w:val="005B7EC9"/>
    <w:rsid w:val="005C118F"/>
    <w:rsid w:val="005C3FBA"/>
    <w:rsid w:val="005C4E4D"/>
    <w:rsid w:val="005C4F3C"/>
    <w:rsid w:val="005C5542"/>
    <w:rsid w:val="005C6658"/>
    <w:rsid w:val="005C77F3"/>
    <w:rsid w:val="005D0508"/>
    <w:rsid w:val="005D1357"/>
    <w:rsid w:val="005D20C4"/>
    <w:rsid w:val="005D2612"/>
    <w:rsid w:val="005D398C"/>
    <w:rsid w:val="005D4E04"/>
    <w:rsid w:val="005D547F"/>
    <w:rsid w:val="005D5A53"/>
    <w:rsid w:val="005D6039"/>
    <w:rsid w:val="005D687B"/>
    <w:rsid w:val="005D6B5B"/>
    <w:rsid w:val="005D763E"/>
    <w:rsid w:val="005D77FF"/>
    <w:rsid w:val="005E0B8F"/>
    <w:rsid w:val="005E3738"/>
    <w:rsid w:val="005E4443"/>
    <w:rsid w:val="005E4F20"/>
    <w:rsid w:val="005E55C8"/>
    <w:rsid w:val="005E7346"/>
    <w:rsid w:val="005F0EC1"/>
    <w:rsid w:val="005F256D"/>
    <w:rsid w:val="005F27F4"/>
    <w:rsid w:val="005F2FA5"/>
    <w:rsid w:val="005F3C34"/>
    <w:rsid w:val="005F4185"/>
    <w:rsid w:val="005F5A56"/>
    <w:rsid w:val="005F6BD8"/>
    <w:rsid w:val="005F702A"/>
    <w:rsid w:val="0060099C"/>
    <w:rsid w:val="00602CE0"/>
    <w:rsid w:val="0060306A"/>
    <w:rsid w:val="0060315F"/>
    <w:rsid w:val="006057C8"/>
    <w:rsid w:val="00606BC6"/>
    <w:rsid w:val="00610A71"/>
    <w:rsid w:val="0061391A"/>
    <w:rsid w:val="00613BBD"/>
    <w:rsid w:val="00613C28"/>
    <w:rsid w:val="00613E41"/>
    <w:rsid w:val="00615421"/>
    <w:rsid w:val="00615C90"/>
    <w:rsid w:val="006169CE"/>
    <w:rsid w:val="00617475"/>
    <w:rsid w:val="00621F4E"/>
    <w:rsid w:val="00622C71"/>
    <w:rsid w:val="00622DE8"/>
    <w:rsid w:val="0062441C"/>
    <w:rsid w:val="00624E02"/>
    <w:rsid w:val="00625D73"/>
    <w:rsid w:val="00625FC3"/>
    <w:rsid w:val="0062616A"/>
    <w:rsid w:val="00626301"/>
    <w:rsid w:val="00626A56"/>
    <w:rsid w:val="00626DB0"/>
    <w:rsid w:val="006313EE"/>
    <w:rsid w:val="00632936"/>
    <w:rsid w:val="00632B19"/>
    <w:rsid w:val="00632C31"/>
    <w:rsid w:val="00635292"/>
    <w:rsid w:val="006412DB"/>
    <w:rsid w:val="00642126"/>
    <w:rsid w:val="0064298B"/>
    <w:rsid w:val="00642FB3"/>
    <w:rsid w:val="00643A5E"/>
    <w:rsid w:val="00644229"/>
    <w:rsid w:val="00644652"/>
    <w:rsid w:val="00644E68"/>
    <w:rsid w:val="00645229"/>
    <w:rsid w:val="00650FF0"/>
    <w:rsid w:val="0065119E"/>
    <w:rsid w:val="00651512"/>
    <w:rsid w:val="0065255D"/>
    <w:rsid w:val="00652BB1"/>
    <w:rsid w:val="00652CC5"/>
    <w:rsid w:val="006560F2"/>
    <w:rsid w:val="00656C72"/>
    <w:rsid w:val="00656D9C"/>
    <w:rsid w:val="00657E07"/>
    <w:rsid w:val="00662416"/>
    <w:rsid w:val="00662772"/>
    <w:rsid w:val="00663532"/>
    <w:rsid w:val="0066438C"/>
    <w:rsid w:val="00664A7E"/>
    <w:rsid w:val="0066595E"/>
    <w:rsid w:val="00666D3C"/>
    <w:rsid w:val="006672B7"/>
    <w:rsid w:val="006711C7"/>
    <w:rsid w:val="006712EA"/>
    <w:rsid w:val="006734FD"/>
    <w:rsid w:val="0067367A"/>
    <w:rsid w:val="0067505C"/>
    <w:rsid w:val="0067513C"/>
    <w:rsid w:val="006751C9"/>
    <w:rsid w:val="006760D1"/>
    <w:rsid w:val="00681010"/>
    <w:rsid w:val="00681431"/>
    <w:rsid w:val="00682502"/>
    <w:rsid w:val="00682AB8"/>
    <w:rsid w:val="00683427"/>
    <w:rsid w:val="00683F22"/>
    <w:rsid w:val="00684DCE"/>
    <w:rsid w:val="0068635F"/>
    <w:rsid w:val="006867BB"/>
    <w:rsid w:val="0069033C"/>
    <w:rsid w:val="00690918"/>
    <w:rsid w:val="00690FC7"/>
    <w:rsid w:val="0069163E"/>
    <w:rsid w:val="00692504"/>
    <w:rsid w:val="006937DA"/>
    <w:rsid w:val="00694233"/>
    <w:rsid w:val="006950D5"/>
    <w:rsid w:val="0069572A"/>
    <w:rsid w:val="00695868"/>
    <w:rsid w:val="00696174"/>
    <w:rsid w:val="006969C3"/>
    <w:rsid w:val="006A039F"/>
    <w:rsid w:val="006A0BDF"/>
    <w:rsid w:val="006A1F0B"/>
    <w:rsid w:val="006A2812"/>
    <w:rsid w:val="006A3292"/>
    <w:rsid w:val="006A35EE"/>
    <w:rsid w:val="006A4A39"/>
    <w:rsid w:val="006A518B"/>
    <w:rsid w:val="006A5286"/>
    <w:rsid w:val="006A591B"/>
    <w:rsid w:val="006A60B4"/>
    <w:rsid w:val="006A6D5B"/>
    <w:rsid w:val="006A6FFC"/>
    <w:rsid w:val="006B0185"/>
    <w:rsid w:val="006B0760"/>
    <w:rsid w:val="006B08C7"/>
    <w:rsid w:val="006B1D54"/>
    <w:rsid w:val="006B30AA"/>
    <w:rsid w:val="006B3F78"/>
    <w:rsid w:val="006B44DA"/>
    <w:rsid w:val="006B687D"/>
    <w:rsid w:val="006B7B54"/>
    <w:rsid w:val="006B7F25"/>
    <w:rsid w:val="006C03DB"/>
    <w:rsid w:val="006C0456"/>
    <w:rsid w:val="006C09D7"/>
    <w:rsid w:val="006C1000"/>
    <w:rsid w:val="006C12E7"/>
    <w:rsid w:val="006C1530"/>
    <w:rsid w:val="006C1B51"/>
    <w:rsid w:val="006C1C06"/>
    <w:rsid w:val="006C29CF"/>
    <w:rsid w:val="006C2C4E"/>
    <w:rsid w:val="006C3AC7"/>
    <w:rsid w:val="006C4327"/>
    <w:rsid w:val="006C43B1"/>
    <w:rsid w:val="006C4F39"/>
    <w:rsid w:val="006D1C13"/>
    <w:rsid w:val="006D1D9B"/>
    <w:rsid w:val="006D59B1"/>
    <w:rsid w:val="006E0712"/>
    <w:rsid w:val="006E084F"/>
    <w:rsid w:val="006E0FCC"/>
    <w:rsid w:val="006E1928"/>
    <w:rsid w:val="006E1B43"/>
    <w:rsid w:val="006E2A33"/>
    <w:rsid w:val="006E529C"/>
    <w:rsid w:val="006E54F3"/>
    <w:rsid w:val="006E5616"/>
    <w:rsid w:val="006E5FE9"/>
    <w:rsid w:val="006E7AAF"/>
    <w:rsid w:val="006F0752"/>
    <w:rsid w:val="006F09C5"/>
    <w:rsid w:val="006F29FD"/>
    <w:rsid w:val="006F3E4E"/>
    <w:rsid w:val="006F45BC"/>
    <w:rsid w:val="006F4830"/>
    <w:rsid w:val="006F4CF6"/>
    <w:rsid w:val="006F4E18"/>
    <w:rsid w:val="006F55D5"/>
    <w:rsid w:val="006F5F2A"/>
    <w:rsid w:val="006F6066"/>
    <w:rsid w:val="006F735D"/>
    <w:rsid w:val="00700671"/>
    <w:rsid w:val="00701190"/>
    <w:rsid w:val="00701BE4"/>
    <w:rsid w:val="0070214A"/>
    <w:rsid w:val="00702EAE"/>
    <w:rsid w:val="007038E6"/>
    <w:rsid w:val="00703AE1"/>
    <w:rsid w:val="00703B93"/>
    <w:rsid w:val="00703EBE"/>
    <w:rsid w:val="00704309"/>
    <w:rsid w:val="00705C34"/>
    <w:rsid w:val="007072A7"/>
    <w:rsid w:val="00707348"/>
    <w:rsid w:val="00707985"/>
    <w:rsid w:val="00711389"/>
    <w:rsid w:val="00711A98"/>
    <w:rsid w:val="00712CE3"/>
    <w:rsid w:val="00713205"/>
    <w:rsid w:val="007135B5"/>
    <w:rsid w:val="00713609"/>
    <w:rsid w:val="00715A5D"/>
    <w:rsid w:val="00715E70"/>
    <w:rsid w:val="00716FBD"/>
    <w:rsid w:val="00717047"/>
    <w:rsid w:val="00717D96"/>
    <w:rsid w:val="007202A3"/>
    <w:rsid w:val="00720693"/>
    <w:rsid w:val="007209F0"/>
    <w:rsid w:val="00720C93"/>
    <w:rsid w:val="00721041"/>
    <w:rsid w:val="0072114A"/>
    <w:rsid w:val="0072128F"/>
    <w:rsid w:val="00721B8C"/>
    <w:rsid w:val="00722DD8"/>
    <w:rsid w:val="007242B8"/>
    <w:rsid w:val="007243DA"/>
    <w:rsid w:val="0072558A"/>
    <w:rsid w:val="00725864"/>
    <w:rsid w:val="00725BE6"/>
    <w:rsid w:val="00726602"/>
    <w:rsid w:val="00726A03"/>
    <w:rsid w:val="007302E4"/>
    <w:rsid w:val="0073049B"/>
    <w:rsid w:val="00731025"/>
    <w:rsid w:val="0073104F"/>
    <w:rsid w:val="00732774"/>
    <w:rsid w:val="00732D9B"/>
    <w:rsid w:val="0073444C"/>
    <w:rsid w:val="0073552A"/>
    <w:rsid w:val="00735DDB"/>
    <w:rsid w:val="00736789"/>
    <w:rsid w:val="00740B75"/>
    <w:rsid w:val="00741390"/>
    <w:rsid w:val="00741895"/>
    <w:rsid w:val="00742285"/>
    <w:rsid w:val="007426ED"/>
    <w:rsid w:val="0074284D"/>
    <w:rsid w:val="007438C4"/>
    <w:rsid w:val="00744BD1"/>
    <w:rsid w:val="00744C45"/>
    <w:rsid w:val="00744FC1"/>
    <w:rsid w:val="00746C97"/>
    <w:rsid w:val="00750C56"/>
    <w:rsid w:val="00750F47"/>
    <w:rsid w:val="007527C0"/>
    <w:rsid w:val="00754014"/>
    <w:rsid w:val="007542F1"/>
    <w:rsid w:val="00754A7D"/>
    <w:rsid w:val="00754BF1"/>
    <w:rsid w:val="00754C7F"/>
    <w:rsid w:val="00755355"/>
    <w:rsid w:val="007554B6"/>
    <w:rsid w:val="0075704E"/>
    <w:rsid w:val="00757766"/>
    <w:rsid w:val="00757EEB"/>
    <w:rsid w:val="00761CAC"/>
    <w:rsid w:val="0076466F"/>
    <w:rsid w:val="00765176"/>
    <w:rsid w:val="00765777"/>
    <w:rsid w:val="00765BEC"/>
    <w:rsid w:val="0076686D"/>
    <w:rsid w:val="007673B5"/>
    <w:rsid w:val="00767CDA"/>
    <w:rsid w:val="00770B33"/>
    <w:rsid w:val="00770CE5"/>
    <w:rsid w:val="0077227C"/>
    <w:rsid w:val="00774F01"/>
    <w:rsid w:val="00775AF8"/>
    <w:rsid w:val="0078003A"/>
    <w:rsid w:val="007828FB"/>
    <w:rsid w:val="00783C74"/>
    <w:rsid w:val="00784473"/>
    <w:rsid w:val="00784C33"/>
    <w:rsid w:val="00785925"/>
    <w:rsid w:val="0078608A"/>
    <w:rsid w:val="007862BC"/>
    <w:rsid w:val="00786313"/>
    <w:rsid w:val="00786357"/>
    <w:rsid w:val="007863FB"/>
    <w:rsid w:val="00786766"/>
    <w:rsid w:val="00786C70"/>
    <w:rsid w:val="007879CA"/>
    <w:rsid w:val="00790C82"/>
    <w:rsid w:val="007920C3"/>
    <w:rsid w:val="007922E7"/>
    <w:rsid w:val="00793018"/>
    <w:rsid w:val="007933FF"/>
    <w:rsid w:val="007935A1"/>
    <w:rsid w:val="00793A70"/>
    <w:rsid w:val="00795DBB"/>
    <w:rsid w:val="007960E8"/>
    <w:rsid w:val="00796213"/>
    <w:rsid w:val="00796B9C"/>
    <w:rsid w:val="00796EEA"/>
    <w:rsid w:val="007A0001"/>
    <w:rsid w:val="007A0B12"/>
    <w:rsid w:val="007A0D1B"/>
    <w:rsid w:val="007A2234"/>
    <w:rsid w:val="007A2C48"/>
    <w:rsid w:val="007A424A"/>
    <w:rsid w:val="007A543F"/>
    <w:rsid w:val="007A5DC3"/>
    <w:rsid w:val="007A67E6"/>
    <w:rsid w:val="007A681B"/>
    <w:rsid w:val="007A79AF"/>
    <w:rsid w:val="007B1512"/>
    <w:rsid w:val="007B1A80"/>
    <w:rsid w:val="007B282D"/>
    <w:rsid w:val="007B312A"/>
    <w:rsid w:val="007B5F3C"/>
    <w:rsid w:val="007B6DCB"/>
    <w:rsid w:val="007C0024"/>
    <w:rsid w:val="007C1CFE"/>
    <w:rsid w:val="007C28AA"/>
    <w:rsid w:val="007C3187"/>
    <w:rsid w:val="007C3483"/>
    <w:rsid w:val="007C38F7"/>
    <w:rsid w:val="007C3961"/>
    <w:rsid w:val="007C3DD4"/>
    <w:rsid w:val="007C4FF5"/>
    <w:rsid w:val="007C599B"/>
    <w:rsid w:val="007C5C9F"/>
    <w:rsid w:val="007C62B6"/>
    <w:rsid w:val="007C6AA8"/>
    <w:rsid w:val="007C7AC5"/>
    <w:rsid w:val="007D0E60"/>
    <w:rsid w:val="007D1773"/>
    <w:rsid w:val="007D2E75"/>
    <w:rsid w:val="007D4185"/>
    <w:rsid w:val="007D42D7"/>
    <w:rsid w:val="007D42DB"/>
    <w:rsid w:val="007D44E0"/>
    <w:rsid w:val="007D4FF6"/>
    <w:rsid w:val="007D549F"/>
    <w:rsid w:val="007D5738"/>
    <w:rsid w:val="007D5AEC"/>
    <w:rsid w:val="007E157C"/>
    <w:rsid w:val="007E164D"/>
    <w:rsid w:val="007E1CD8"/>
    <w:rsid w:val="007E23BE"/>
    <w:rsid w:val="007E33F4"/>
    <w:rsid w:val="007E3646"/>
    <w:rsid w:val="007E38D4"/>
    <w:rsid w:val="007E3901"/>
    <w:rsid w:val="007E415D"/>
    <w:rsid w:val="007E4C41"/>
    <w:rsid w:val="007E4D51"/>
    <w:rsid w:val="007E5C9C"/>
    <w:rsid w:val="007E617B"/>
    <w:rsid w:val="007E6293"/>
    <w:rsid w:val="007E71AA"/>
    <w:rsid w:val="007E7930"/>
    <w:rsid w:val="007E7B31"/>
    <w:rsid w:val="007E7FD0"/>
    <w:rsid w:val="007F0CED"/>
    <w:rsid w:val="007F19EB"/>
    <w:rsid w:val="007F1E64"/>
    <w:rsid w:val="007F21D9"/>
    <w:rsid w:val="007F3511"/>
    <w:rsid w:val="007F4229"/>
    <w:rsid w:val="007F6385"/>
    <w:rsid w:val="007F6A66"/>
    <w:rsid w:val="007F7216"/>
    <w:rsid w:val="007F79F9"/>
    <w:rsid w:val="007F7C87"/>
    <w:rsid w:val="00800265"/>
    <w:rsid w:val="00801E5B"/>
    <w:rsid w:val="008039DD"/>
    <w:rsid w:val="00803FEC"/>
    <w:rsid w:val="0080423B"/>
    <w:rsid w:val="0080538F"/>
    <w:rsid w:val="008064C7"/>
    <w:rsid w:val="00807CC7"/>
    <w:rsid w:val="008114A1"/>
    <w:rsid w:val="00812294"/>
    <w:rsid w:val="00813685"/>
    <w:rsid w:val="00813FEC"/>
    <w:rsid w:val="008145BD"/>
    <w:rsid w:val="0081471D"/>
    <w:rsid w:val="00816E77"/>
    <w:rsid w:val="008174A1"/>
    <w:rsid w:val="00820D97"/>
    <w:rsid w:val="00820E17"/>
    <w:rsid w:val="00820F84"/>
    <w:rsid w:val="00821E0A"/>
    <w:rsid w:val="00822E8C"/>
    <w:rsid w:val="008233A4"/>
    <w:rsid w:val="0082372A"/>
    <w:rsid w:val="008243DB"/>
    <w:rsid w:val="00827043"/>
    <w:rsid w:val="00827C56"/>
    <w:rsid w:val="00830394"/>
    <w:rsid w:val="00830400"/>
    <w:rsid w:val="0083051D"/>
    <w:rsid w:val="0083098A"/>
    <w:rsid w:val="00831500"/>
    <w:rsid w:val="00831C28"/>
    <w:rsid w:val="00832280"/>
    <w:rsid w:val="0083288C"/>
    <w:rsid w:val="00832B52"/>
    <w:rsid w:val="00833471"/>
    <w:rsid w:val="008341C2"/>
    <w:rsid w:val="008358CA"/>
    <w:rsid w:val="008367BD"/>
    <w:rsid w:val="0083698D"/>
    <w:rsid w:val="00836AE5"/>
    <w:rsid w:val="00840C37"/>
    <w:rsid w:val="00841316"/>
    <w:rsid w:val="00841CE7"/>
    <w:rsid w:val="00841F27"/>
    <w:rsid w:val="008423A4"/>
    <w:rsid w:val="00843926"/>
    <w:rsid w:val="00844506"/>
    <w:rsid w:val="00844FD2"/>
    <w:rsid w:val="008455A0"/>
    <w:rsid w:val="0084583E"/>
    <w:rsid w:val="00845DAD"/>
    <w:rsid w:val="00846445"/>
    <w:rsid w:val="008465B7"/>
    <w:rsid w:val="008465EE"/>
    <w:rsid w:val="00846D2A"/>
    <w:rsid w:val="00847B06"/>
    <w:rsid w:val="00850137"/>
    <w:rsid w:val="008501DE"/>
    <w:rsid w:val="0085138A"/>
    <w:rsid w:val="0085142B"/>
    <w:rsid w:val="00852973"/>
    <w:rsid w:val="00852E87"/>
    <w:rsid w:val="008532AC"/>
    <w:rsid w:val="0085388F"/>
    <w:rsid w:val="00854D78"/>
    <w:rsid w:val="0085502B"/>
    <w:rsid w:val="00855258"/>
    <w:rsid w:val="00860195"/>
    <w:rsid w:val="008603DF"/>
    <w:rsid w:val="0086269D"/>
    <w:rsid w:val="00862BB3"/>
    <w:rsid w:val="008631B7"/>
    <w:rsid w:val="008636DC"/>
    <w:rsid w:val="00863795"/>
    <w:rsid w:val="00865903"/>
    <w:rsid w:val="008662BE"/>
    <w:rsid w:val="008667B4"/>
    <w:rsid w:val="00867052"/>
    <w:rsid w:val="0086706F"/>
    <w:rsid w:val="0086772A"/>
    <w:rsid w:val="00867B1F"/>
    <w:rsid w:val="0087017B"/>
    <w:rsid w:val="008705B9"/>
    <w:rsid w:val="00870620"/>
    <w:rsid w:val="0087082A"/>
    <w:rsid w:val="00870D1F"/>
    <w:rsid w:val="00870F98"/>
    <w:rsid w:val="00870FE0"/>
    <w:rsid w:val="0087121C"/>
    <w:rsid w:val="00871728"/>
    <w:rsid w:val="0087174B"/>
    <w:rsid w:val="00871C67"/>
    <w:rsid w:val="00872DBE"/>
    <w:rsid w:val="008731CA"/>
    <w:rsid w:val="00873A44"/>
    <w:rsid w:val="00874E61"/>
    <w:rsid w:val="00874ED7"/>
    <w:rsid w:val="00875DF5"/>
    <w:rsid w:val="00876B4D"/>
    <w:rsid w:val="00876CAF"/>
    <w:rsid w:val="008802C4"/>
    <w:rsid w:val="00880467"/>
    <w:rsid w:val="008811E2"/>
    <w:rsid w:val="00881DC5"/>
    <w:rsid w:val="008829CF"/>
    <w:rsid w:val="00883BA0"/>
    <w:rsid w:val="008845AF"/>
    <w:rsid w:val="008847A7"/>
    <w:rsid w:val="008847B1"/>
    <w:rsid w:val="00884C7C"/>
    <w:rsid w:val="00886007"/>
    <w:rsid w:val="00886A51"/>
    <w:rsid w:val="0088702A"/>
    <w:rsid w:val="00890D35"/>
    <w:rsid w:val="0089191F"/>
    <w:rsid w:val="00891C9C"/>
    <w:rsid w:val="008921EC"/>
    <w:rsid w:val="0089223B"/>
    <w:rsid w:val="008922CC"/>
    <w:rsid w:val="008924DC"/>
    <w:rsid w:val="00892500"/>
    <w:rsid w:val="0089312A"/>
    <w:rsid w:val="00893134"/>
    <w:rsid w:val="00894303"/>
    <w:rsid w:val="0089548F"/>
    <w:rsid w:val="00897C8D"/>
    <w:rsid w:val="008A00D5"/>
    <w:rsid w:val="008A0AE6"/>
    <w:rsid w:val="008A1464"/>
    <w:rsid w:val="008A1767"/>
    <w:rsid w:val="008A2BC3"/>
    <w:rsid w:val="008A3FE9"/>
    <w:rsid w:val="008A45F2"/>
    <w:rsid w:val="008A6981"/>
    <w:rsid w:val="008A7042"/>
    <w:rsid w:val="008B0379"/>
    <w:rsid w:val="008B2672"/>
    <w:rsid w:val="008B3226"/>
    <w:rsid w:val="008B330A"/>
    <w:rsid w:val="008B6668"/>
    <w:rsid w:val="008B7DC6"/>
    <w:rsid w:val="008C04E1"/>
    <w:rsid w:val="008C10E3"/>
    <w:rsid w:val="008C180B"/>
    <w:rsid w:val="008C2D1F"/>
    <w:rsid w:val="008C327B"/>
    <w:rsid w:val="008C41D1"/>
    <w:rsid w:val="008C4BBB"/>
    <w:rsid w:val="008C4BD0"/>
    <w:rsid w:val="008C560F"/>
    <w:rsid w:val="008D1F85"/>
    <w:rsid w:val="008D235F"/>
    <w:rsid w:val="008D291B"/>
    <w:rsid w:val="008D29A2"/>
    <w:rsid w:val="008D36FB"/>
    <w:rsid w:val="008D519B"/>
    <w:rsid w:val="008D63CD"/>
    <w:rsid w:val="008D6ABC"/>
    <w:rsid w:val="008D7D5B"/>
    <w:rsid w:val="008E00B2"/>
    <w:rsid w:val="008E0536"/>
    <w:rsid w:val="008E17E3"/>
    <w:rsid w:val="008E21C6"/>
    <w:rsid w:val="008E2F17"/>
    <w:rsid w:val="008E41B6"/>
    <w:rsid w:val="008E4D5E"/>
    <w:rsid w:val="008E4FD0"/>
    <w:rsid w:val="008E5548"/>
    <w:rsid w:val="008E5CC9"/>
    <w:rsid w:val="008E6937"/>
    <w:rsid w:val="008E7086"/>
    <w:rsid w:val="008E7164"/>
    <w:rsid w:val="008F0938"/>
    <w:rsid w:val="008F09E7"/>
    <w:rsid w:val="008F0AF6"/>
    <w:rsid w:val="008F287A"/>
    <w:rsid w:val="008F3753"/>
    <w:rsid w:val="008F3B25"/>
    <w:rsid w:val="008F70AD"/>
    <w:rsid w:val="00901178"/>
    <w:rsid w:val="009017BC"/>
    <w:rsid w:val="00902A53"/>
    <w:rsid w:val="00902FFB"/>
    <w:rsid w:val="00903F9C"/>
    <w:rsid w:val="00904000"/>
    <w:rsid w:val="0090437B"/>
    <w:rsid w:val="00904FDD"/>
    <w:rsid w:val="00905041"/>
    <w:rsid w:val="009060B6"/>
    <w:rsid w:val="00906B6F"/>
    <w:rsid w:val="00910DE6"/>
    <w:rsid w:val="00911DCF"/>
    <w:rsid w:val="009134E5"/>
    <w:rsid w:val="00914923"/>
    <w:rsid w:val="00915825"/>
    <w:rsid w:val="00915C01"/>
    <w:rsid w:val="00915D93"/>
    <w:rsid w:val="00917DA9"/>
    <w:rsid w:val="00920025"/>
    <w:rsid w:val="0092006F"/>
    <w:rsid w:val="00920535"/>
    <w:rsid w:val="00920C1F"/>
    <w:rsid w:val="009216BB"/>
    <w:rsid w:val="00921DB0"/>
    <w:rsid w:val="00923183"/>
    <w:rsid w:val="00923513"/>
    <w:rsid w:val="009247A1"/>
    <w:rsid w:val="00924BC4"/>
    <w:rsid w:val="00924E42"/>
    <w:rsid w:val="00930633"/>
    <w:rsid w:val="009308DE"/>
    <w:rsid w:val="009311B7"/>
    <w:rsid w:val="0093304B"/>
    <w:rsid w:val="00933135"/>
    <w:rsid w:val="0093575F"/>
    <w:rsid w:val="00937C66"/>
    <w:rsid w:val="009403E0"/>
    <w:rsid w:val="009407DE"/>
    <w:rsid w:val="00941912"/>
    <w:rsid w:val="0094207A"/>
    <w:rsid w:val="00943190"/>
    <w:rsid w:val="00943599"/>
    <w:rsid w:val="00943FEA"/>
    <w:rsid w:val="009449BD"/>
    <w:rsid w:val="0094547D"/>
    <w:rsid w:val="009454CF"/>
    <w:rsid w:val="009467F8"/>
    <w:rsid w:val="009470DF"/>
    <w:rsid w:val="00951280"/>
    <w:rsid w:val="00951AE9"/>
    <w:rsid w:val="0095500F"/>
    <w:rsid w:val="0095585B"/>
    <w:rsid w:val="00956B74"/>
    <w:rsid w:val="009575BD"/>
    <w:rsid w:val="00957A7C"/>
    <w:rsid w:val="00960E5F"/>
    <w:rsid w:val="00961B53"/>
    <w:rsid w:val="0096245E"/>
    <w:rsid w:val="00962FA4"/>
    <w:rsid w:val="0096393A"/>
    <w:rsid w:val="00963B36"/>
    <w:rsid w:val="00963EF3"/>
    <w:rsid w:val="009644B2"/>
    <w:rsid w:val="0096486E"/>
    <w:rsid w:val="00966BAD"/>
    <w:rsid w:val="00966C55"/>
    <w:rsid w:val="009674A7"/>
    <w:rsid w:val="00967B67"/>
    <w:rsid w:val="0097036C"/>
    <w:rsid w:val="0097037E"/>
    <w:rsid w:val="009709C0"/>
    <w:rsid w:val="00972204"/>
    <w:rsid w:val="00973137"/>
    <w:rsid w:val="00973C0A"/>
    <w:rsid w:val="00973C3C"/>
    <w:rsid w:val="00973E30"/>
    <w:rsid w:val="0097431E"/>
    <w:rsid w:val="00974F0C"/>
    <w:rsid w:val="00975527"/>
    <w:rsid w:val="00975828"/>
    <w:rsid w:val="0097658B"/>
    <w:rsid w:val="00976E3D"/>
    <w:rsid w:val="00977123"/>
    <w:rsid w:val="00977189"/>
    <w:rsid w:val="00977881"/>
    <w:rsid w:val="009779B8"/>
    <w:rsid w:val="009810A6"/>
    <w:rsid w:val="00981805"/>
    <w:rsid w:val="00981901"/>
    <w:rsid w:val="00981C2A"/>
    <w:rsid w:val="00982349"/>
    <w:rsid w:val="00982CE7"/>
    <w:rsid w:val="00982ED6"/>
    <w:rsid w:val="00983075"/>
    <w:rsid w:val="00983AFA"/>
    <w:rsid w:val="00983BA2"/>
    <w:rsid w:val="00983CED"/>
    <w:rsid w:val="009842DD"/>
    <w:rsid w:val="009850A8"/>
    <w:rsid w:val="009852F3"/>
    <w:rsid w:val="009858CB"/>
    <w:rsid w:val="00986C89"/>
    <w:rsid w:val="00986D1F"/>
    <w:rsid w:val="009878F9"/>
    <w:rsid w:val="00987A83"/>
    <w:rsid w:val="0099028C"/>
    <w:rsid w:val="0099046F"/>
    <w:rsid w:val="0099068E"/>
    <w:rsid w:val="00991265"/>
    <w:rsid w:val="0099149E"/>
    <w:rsid w:val="00991798"/>
    <w:rsid w:val="00991F83"/>
    <w:rsid w:val="00993A40"/>
    <w:rsid w:val="009957D5"/>
    <w:rsid w:val="009964F8"/>
    <w:rsid w:val="00996AA2"/>
    <w:rsid w:val="009A0CA6"/>
    <w:rsid w:val="009A128D"/>
    <w:rsid w:val="009A2066"/>
    <w:rsid w:val="009A2EF7"/>
    <w:rsid w:val="009A3584"/>
    <w:rsid w:val="009A4496"/>
    <w:rsid w:val="009A4EAC"/>
    <w:rsid w:val="009A51FE"/>
    <w:rsid w:val="009A5CDA"/>
    <w:rsid w:val="009A6A22"/>
    <w:rsid w:val="009A7523"/>
    <w:rsid w:val="009B09A5"/>
    <w:rsid w:val="009B19DB"/>
    <w:rsid w:val="009B2B12"/>
    <w:rsid w:val="009B3A8E"/>
    <w:rsid w:val="009B3B95"/>
    <w:rsid w:val="009B45CC"/>
    <w:rsid w:val="009B4C77"/>
    <w:rsid w:val="009B53EE"/>
    <w:rsid w:val="009B67B1"/>
    <w:rsid w:val="009B68D6"/>
    <w:rsid w:val="009B70F6"/>
    <w:rsid w:val="009B7A07"/>
    <w:rsid w:val="009C07B2"/>
    <w:rsid w:val="009C1C53"/>
    <w:rsid w:val="009C27C8"/>
    <w:rsid w:val="009C3C2A"/>
    <w:rsid w:val="009C4DA4"/>
    <w:rsid w:val="009C505D"/>
    <w:rsid w:val="009C52E9"/>
    <w:rsid w:val="009C59CE"/>
    <w:rsid w:val="009C5BA1"/>
    <w:rsid w:val="009C5E3F"/>
    <w:rsid w:val="009C6C59"/>
    <w:rsid w:val="009C7DAB"/>
    <w:rsid w:val="009D069D"/>
    <w:rsid w:val="009D1355"/>
    <w:rsid w:val="009D1998"/>
    <w:rsid w:val="009D2111"/>
    <w:rsid w:val="009D224C"/>
    <w:rsid w:val="009D2B71"/>
    <w:rsid w:val="009D37A8"/>
    <w:rsid w:val="009D3D6E"/>
    <w:rsid w:val="009D42E0"/>
    <w:rsid w:val="009D48FD"/>
    <w:rsid w:val="009D6EF8"/>
    <w:rsid w:val="009D74EA"/>
    <w:rsid w:val="009D7C0F"/>
    <w:rsid w:val="009E016B"/>
    <w:rsid w:val="009E03FD"/>
    <w:rsid w:val="009E0CA1"/>
    <w:rsid w:val="009E0F73"/>
    <w:rsid w:val="009E2E4E"/>
    <w:rsid w:val="009E2F19"/>
    <w:rsid w:val="009E495C"/>
    <w:rsid w:val="009E5678"/>
    <w:rsid w:val="009E5838"/>
    <w:rsid w:val="009E707E"/>
    <w:rsid w:val="009E7AB7"/>
    <w:rsid w:val="009F1066"/>
    <w:rsid w:val="009F1252"/>
    <w:rsid w:val="009F2B38"/>
    <w:rsid w:val="009F35C8"/>
    <w:rsid w:val="009F3E43"/>
    <w:rsid w:val="009F5FAB"/>
    <w:rsid w:val="009F62F0"/>
    <w:rsid w:val="009F68C0"/>
    <w:rsid w:val="009F6F8C"/>
    <w:rsid w:val="009F7884"/>
    <w:rsid w:val="00A0001F"/>
    <w:rsid w:val="00A000C5"/>
    <w:rsid w:val="00A0080A"/>
    <w:rsid w:val="00A0089A"/>
    <w:rsid w:val="00A012B0"/>
    <w:rsid w:val="00A01550"/>
    <w:rsid w:val="00A021D9"/>
    <w:rsid w:val="00A029EC"/>
    <w:rsid w:val="00A02BA5"/>
    <w:rsid w:val="00A03216"/>
    <w:rsid w:val="00A03852"/>
    <w:rsid w:val="00A04141"/>
    <w:rsid w:val="00A04F34"/>
    <w:rsid w:val="00A06171"/>
    <w:rsid w:val="00A061E6"/>
    <w:rsid w:val="00A06256"/>
    <w:rsid w:val="00A13752"/>
    <w:rsid w:val="00A14322"/>
    <w:rsid w:val="00A1435E"/>
    <w:rsid w:val="00A1609F"/>
    <w:rsid w:val="00A160FC"/>
    <w:rsid w:val="00A17C7F"/>
    <w:rsid w:val="00A17DA9"/>
    <w:rsid w:val="00A200B9"/>
    <w:rsid w:val="00A2017C"/>
    <w:rsid w:val="00A209EE"/>
    <w:rsid w:val="00A2173C"/>
    <w:rsid w:val="00A21AA7"/>
    <w:rsid w:val="00A223E7"/>
    <w:rsid w:val="00A225CE"/>
    <w:rsid w:val="00A22F22"/>
    <w:rsid w:val="00A24472"/>
    <w:rsid w:val="00A250D6"/>
    <w:rsid w:val="00A254F3"/>
    <w:rsid w:val="00A26804"/>
    <w:rsid w:val="00A27AB0"/>
    <w:rsid w:val="00A30555"/>
    <w:rsid w:val="00A319C7"/>
    <w:rsid w:val="00A31C6C"/>
    <w:rsid w:val="00A31F4A"/>
    <w:rsid w:val="00A32499"/>
    <w:rsid w:val="00A3392B"/>
    <w:rsid w:val="00A346AD"/>
    <w:rsid w:val="00A34D65"/>
    <w:rsid w:val="00A35D70"/>
    <w:rsid w:val="00A36C37"/>
    <w:rsid w:val="00A40BE7"/>
    <w:rsid w:val="00A4268F"/>
    <w:rsid w:val="00A42B52"/>
    <w:rsid w:val="00A4392A"/>
    <w:rsid w:val="00A4434D"/>
    <w:rsid w:val="00A44401"/>
    <w:rsid w:val="00A4452D"/>
    <w:rsid w:val="00A463C6"/>
    <w:rsid w:val="00A464A2"/>
    <w:rsid w:val="00A46FAA"/>
    <w:rsid w:val="00A4748F"/>
    <w:rsid w:val="00A47939"/>
    <w:rsid w:val="00A479B2"/>
    <w:rsid w:val="00A5013B"/>
    <w:rsid w:val="00A51F3E"/>
    <w:rsid w:val="00A52845"/>
    <w:rsid w:val="00A52A4F"/>
    <w:rsid w:val="00A5311C"/>
    <w:rsid w:val="00A53497"/>
    <w:rsid w:val="00A53AFB"/>
    <w:rsid w:val="00A543E0"/>
    <w:rsid w:val="00A54586"/>
    <w:rsid w:val="00A547B7"/>
    <w:rsid w:val="00A54B22"/>
    <w:rsid w:val="00A55F1E"/>
    <w:rsid w:val="00A569CA"/>
    <w:rsid w:val="00A56C60"/>
    <w:rsid w:val="00A56D40"/>
    <w:rsid w:val="00A57625"/>
    <w:rsid w:val="00A605F3"/>
    <w:rsid w:val="00A62944"/>
    <w:rsid w:val="00A62DA8"/>
    <w:rsid w:val="00A63136"/>
    <w:rsid w:val="00A63B9F"/>
    <w:rsid w:val="00A6514C"/>
    <w:rsid w:val="00A6652B"/>
    <w:rsid w:val="00A66BF7"/>
    <w:rsid w:val="00A66E08"/>
    <w:rsid w:val="00A66FD1"/>
    <w:rsid w:val="00A7213C"/>
    <w:rsid w:val="00A72AB7"/>
    <w:rsid w:val="00A736ED"/>
    <w:rsid w:val="00A74E88"/>
    <w:rsid w:val="00A75C97"/>
    <w:rsid w:val="00A778EB"/>
    <w:rsid w:val="00A808B7"/>
    <w:rsid w:val="00A818DF"/>
    <w:rsid w:val="00A8218D"/>
    <w:rsid w:val="00A82472"/>
    <w:rsid w:val="00A8256A"/>
    <w:rsid w:val="00A8262B"/>
    <w:rsid w:val="00A829F1"/>
    <w:rsid w:val="00A82F4C"/>
    <w:rsid w:val="00A86958"/>
    <w:rsid w:val="00A87888"/>
    <w:rsid w:val="00A87DFD"/>
    <w:rsid w:val="00A903A3"/>
    <w:rsid w:val="00A90794"/>
    <w:rsid w:val="00A90B58"/>
    <w:rsid w:val="00A90D51"/>
    <w:rsid w:val="00A91930"/>
    <w:rsid w:val="00A92807"/>
    <w:rsid w:val="00A9306B"/>
    <w:rsid w:val="00A937CB"/>
    <w:rsid w:val="00A93A25"/>
    <w:rsid w:val="00A943DA"/>
    <w:rsid w:val="00A95549"/>
    <w:rsid w:val="00A95789"/>
    <w:rsid w:val="00A9642B"/>
    <w:rsid w:val="00A9704D"/>
    <w:rsid w:val="00AA0B31"/>
    <w:rsid w:val="00AA0CE7"/>
    <w:rsid w:val="00AA1083"/>
    <w:rsid w:val="00AA1A02"/>
    <w:rsid w:val="00AA2888"/>
    <w:rsid w:val="00AA3BA5"/>
    <w:rsid w:val="00AA3CD9"/>
    <w:rsid w:val="00AA4585"/>
    <w:rsid w:val="00AA46A7"/>
    <w:rsid w:val="00AA4F35"/>
    <w:rsid w:val="00AA5204"/>
    <w:rsid w:val="00AA5582"/>
    <w:rsid w:val="00AA5AD7"/>
    <w:rsid w:val="00AA6D8B"/>
    <w:rsid w:val="00AA7797"/>
    <w:rsid w:val="00AB06A7"/>
    <w:rsid w:val="00AB0B46"/>
    <w:rsid w:val="00AB16E8"/>
    <w:rsid w:val="00AB2C90"/>
    <w:rsid w:val="00AB3107"/>
    <w:rsid w:val="00AB3479"/>
    <w:rsid w:val="00AB4F6A"/>
    <w:rsid w:val="00AB544C"/>
    <w:rsid w:val="00AB7192"/>
    <w:rsid w:val="00AB742D"/>
    <w:rsid w:val="00AC0DC4"/>
    <w:rsid w:val="00AC1A34"/>
    <w:rsid w:val="00AC2195"/>
    <w:rsid w:val="00AC2DBE"/>
    <w:rsid w:val="00AC32D1"/>
    <w:rsid w:val="00AC713C"/>
    <w:rsid w:val="00AC7CFC"/>
    <w:rsid w:val="00AD2158"/>
    <w:rsid w:val="00AD2458"/>
    <w:rsid w:val="00AD3361"/>
    <w:rsid w:val="00AD45F5"/>
    <w:rsid w:val="00AD6590"/>
    <w:rsid w:val="00AD6BC2"/>
    <w:rsid w:val="00AD7540"/>
    <w:rsid w:val="00AD7DB1"/>
    <w:rsid w:val="00AE16F7"/>
    <w:rsid w:val="00AE16FF"/>
    <w:rsid w:val="00AE241F"/>
    <w:rsid w:val="00AE4C66"/>
    <w:rsid w:val="00AE6764"/>
    <w:rsid w:val="00AF017C"/>
    <w:rsid w:val="00AF0A0E"/>
    <w:rsid w:val="00AF0D7A"/>
    <w:rsid w:val="00AF0F1E"/>
    <w:rsid w:val="00AF11F5"/>
    <w:rsid w:val="00AF12DA"/>
    <w:rsid w:val="00AF184F"/>
    <w:rsid w:val="00AF1911"/>
    <w:rsid w:val="00AF2D95"/>
    <w:rsid w:val="00AF3A46"/>
    <w:rsid w:val="00AF5F78"/>
    <w:rsid w:val="00AF79B3"/>
    <w:rsid w:val="00B00369"/>
    <w:rsid w:val="00B01644"/>
    <w:rsid w:val="00B024D4"/>
    <w:rsid w:val="00B02CCB"/>
    <w:rsid w:val="00B02F39"/>
    <w:rsid w:val="00B032C5"/>
    <w:rsid w:val="00B037EF"/>
    <w:rsid w:val="00B0506C"/>
    <w:rsid w:val="00B05EBB"/>
    <w:rsid w:val="00B07076"/>
    <w:rsid w:val="00B07B64"/>
    <w:rsid w:val="00B11699"/>
    <w:rsid w:val="00B117BA"/>
    <w:rsid w:val="00B11D7D"/>
    <w:rsid w:val="00B13823"/>
    <w:rsid w:val="00B13ED6"/>
    <w:rsid w:val="00B13F27"/>
    <w:rsid w:val="00B1471A"/>
    <w:rsid w:val="00B15075"/>
    <w:rsid w:val="00B1512A"/>
    <w:rsid w:val="00B15E6F"/>
    <w:rsid w:val="00B168BB"/>
    <w:rsid w:val="00B1757C"/>
    <w:rsid w:val="00B2045D"/>
    <w:rsid w:val="00B212D6"/>
    <w:rsid w:val="00B21751"/>
    <w:rsid w:val="00B220B1"/>
    <w:rsid w:val="00B22355"/>
    <w:rsid w:val="00B23424"/>
    <w:rsid w:val="00B23E99"/>
    <w:rsid w:val="00B2463A"/>
    <w:rsid w:val="00B246E1"/>
    <w:rsid w:val="00B25DFD"/>
    <w:rsid w:val="00B313D4"/>
    <w:rsid w:val="00B318C5"/>
    <w:rsid w:val="00B31BCF"/>
    <w:rsid w:val="00B321AD"/>
    <w:rsid w:val="00B33778"/>
    <w:rsid w:val="00B3377A"/>
    <w:rsid w:val="00B35B51"/>
    <w:rsid w:val="00B36387"/>
    <w:rsid w:val="00B4025F"/>
    <w:rsid w:val="00B40B51"/>
    <w:rsid w:val="00B41EFC"/>
    <w:rsid w:val="00B42D39"/>
    <w:rsid w:val="00B42D89"/>
    <w:rsid w:val="00B43416"/>
    <w:rsid w:val="00B44F58"/>
    <w:rsid w:val="00B4556A"/>
    <w:rsid w:val="00B460EF"/>
    <w:rsid w:val="00B46615"/>
    <w:rsid w:val="00B46CFA"/>
    <w:rsid w:val="00B475E8"/>
    <w:rsid w:val="00B47DB4"/>
    <w:rsid w:val="00B501E7"/>
    <w:rsid w:val="00B50DD5"/>
    <w:rsid w:val="00B5127A"/>
    <w:rsid w:val="00B516F7"/>
    <w:rsid w:val="00B51DAA"/>
    <w:rsid w:val="00B52974"/>
    <w:rsid w:val="00B5297C"/>
    <w:rsid w:val="00B53381"/>
    <w:rsid w:val="00B5439F"/>
    <w:rsid w:val="00B546F8"/>
    <w:rsid w:val="00B54DB6"/>
    <w:rsid w:val="00B558E6"/>
    <w:rsid w:val="00B55F4C"/>
    <w:rsid w:val="00B57E2C"/>
    <w:rsid w:val="00B57EA6"/>
    <w:rsid w:val="00B61BB8"/>
    <w:rsid w:val="00B61CE7"/>
    <w:rsid w:val="00B62B9A"/>
    <w:rsid w:val="00B63A28"/>
    <w:rsid w:val="00B6403F"/>
    <w:rsid w:val="00B643CD"/>
    <w:rsid w:val="00B64488"/>
    <w:rsid w:val="00B651FC"/>
    <w:rsid w:val="00B655CA"/>
    <w:rsid w:val="00B6578C"/>
    <w:rsid w:val="00B6669E"/>
    <w:rsid w:val="00B66B80"/>
    <w:rsid w:val="00B67D5E"/>
    <w:rsid w:val="00B70134"/>
    <w:rsid w:val="00B7062D"/>
    <w:rsid w:val="00B72309"/>
    <w:rsid w:val="00B732C4"/>
    <w:rsid w:val="00B73A37"/>
    <w:rsid w:val="00B7408D"/>
    <w:rsid w:val="00B7414C"/>
    <w:rsid w:val="00B74DC2"/>
    <w:rsid w:val="00B75478"/>
    <w:rsid w:val="00B75B8A"/>
    <w:rsid w:val="00B76E7F"/>
    <w:rsid w:val="00B77AF1"/>
    <w:rsid w:val="00B804FA"/>
    <w:rsid w:val="00B807C0"/>
    <w:rsid w:val="00B80D33"/>
    <w:rsid w:val="00B81DF2"/>
    <w:rsid w:val="00B82474"/>
    <w:rsid w:val="00B8451E"/>
    <w:rsid w:val="00B848A7"/>
    <w:rsid w:val="00B84DC3"/>
    <w:rsid w:val="00B85675"/>
    <w:rsid w:val="00B86532"/>
    <w:rsid w:val="00B86596"/>
    <w:rsid w:val="00B87B79"/>
    <w:rsid w:val="00B90A68"/>
    <w:rsid w:val="00B90D0F"/>
    <w:rsid w:val="00B9181A"/>
    <w:rsid w:val="00B92967"/>
    <w:rsid w:val="00B93183"/>
    <w:rsid w:val="00B9350D"/>
    <w:rsid w:val="00B93796"/>
    <w:rsid w:val="00B9437E"/>
    <w:rsid w:val="00B9483E"/>
    <w:rsid w:val="00B9514D"/>
    <w:rsid w:val="00B9749F"/>
    <w:rsid w:val="00B979B9"/>
    <w:rsid w:val="00BA19BF"/>
    <w:rsid w:val="00BA2F30"/>
    <w:rsid w:val="00BA3204"/>
    <w:rsid w:val="00BA3A49"/>
    <w:rsid w:val="00BA4942"/>
    <w:rsid w:val="00BA6245"/>
    <w:rsid w:val="00BA6AC3"/>
    <w:rsid w:val="00BA720C"/>
    <w:rsid w:val="00BA7753"/>
    <w:rsid w:val="00BB069B"/>
    <w:rsid w:val="00BB07DC"/>
    <w:rsid w:val="00BB137D"/>
    <w:rsid w:val="00BB2009"/>
    <w:rsid w:val="00BB3238"/>
    <w:rsid w:val="00BB3A0F"/>
    <w:rsid w:val="00BB4E5F"/>
    <w:rsid w:val="00BB5752"/>
    <w:rsid w:val="00BB6465"/>
    <w:rsid w:val="00BB6541"/>
    <w:rsid w:val="00BC0024"/>
    <w:rsid w:val="00BC06D2"/>
    <w:rsid w:val="00BC0C41"/>
    <w:rsid w:val="00BC2F72"/>
    <w:rsid w:val="00BC3BE0"/>
    <w:rsid w:val="00BC640A"/>
    <w:rsid w:val="00BC6E30"/>
    <w:rsid w:val="00BC6F8B"/>
    <w:rsid w:val="00BC6FA0"/>
    <w:rsid w:val="00BC7847"/>
    <w:rsid w:val="00BC7A60"/>
    <w:rsid w:val="00BD0233"/>
    <w:rsid w:val="00BD0600"/>
    <w:rsid w:val="00BD211C"/>
    <w:rsid w:val="00BD2703"/>
    <w:rsid w:val="00BD2CA9"/>
    <w:rsid w:val="00BD35F8"/>
    <w:rsid w:val="00BD3A67"/>
    <w:rsid w:val="00BD637F"/>
    <w:rsid w:val="00BD6FFE"/>
    <w:rsid w:val="00BD7C43"/>
    <w:rsid w:val="00BE0816"/>
    <w:rsid w:val="00BE0E90"/>
    <w:rsid w:val="00BE18A3"/>
    <w:rsid w:val="00BE2331"/>
    <w:rsid w:val="00BE2E31"/>
    <w:rsid w:val="00BE3D22"/>
    <w:rsid w:val="00BE4944"/>
    <w:rsid w:val="00BF19C4"/>
    <w:rsid w:val="00BF2B65"/>
    <w:rsid w:val="00BF3978"/>
    <w:rsid w:val="00BF3ECC"/>
    <w:rsid w:val="00BF4CFF"/>
    <w:rsid w:val="00BF553E"/>
    <w:rsid w:val="00BF5B0F"/>
    <w:rsid w:val="00BF6339"/>
    <w:rsid w:val="00BF6BE8"/>
    <w:rsid w:val="00BF726A"/>
    <w:rsid w:val="00BF7441"/>
    <w:rsid w:val="00BF7B2E"/>
    <w:rsid w:val="00BF7C43"/>
    <w:rsid w:val="00BF7DA9"/>
    <w:rsid w:val="00C006F4"/>
    <w:rsid w:val="00C00AE6"/>
    <w:rsid w:val="00C00C3E"/>
    <w:rsid w:val="00C01408"/>
    <w:rsid w:val="00C01E87"/>
    <w:rsid w:val="00C01E96"/>
    <w:rsid w:val="00C01ED4"/>
    <w:rsid w:val="00C026E6"/>
    <w:rsid w:val="00C03863"/>
    <w:rsid w:val="00C0444F"/>
    <w:rsid w:val="00C04D84"/>
    <w:rsid w:val="00C0782E"/>
    <w:rsid w:val="00C10769"/>
    <w:rsid w:val="00C107A2"/>
    <w:rsid w:val="00C10A6D"/>
    <w:rsid w:val="00C11329"/>
    <w:rsid w:val="00C13C6A"/>
    <w:rsid w:val="00C14522"/>
    <w:rsid w:val="00C14AAC"/>
    <w:rsid w:val="00C14AC7"/>
    <w:rsid w:val="00C14C24"/>
    <w:rsid w:val="00C15F24"/>
    <w:rsid w:val="00C16144"/>
    <w:rsid w:val="00C165C0"/>
    <w:rsid w:val="00C207E1"/>
    <w:rsid w:val="00C208BE"/>
    <w:rsid w:val="00C20FB6"/>
    <w:rsid w:val="00C2112C"/>
    <w:rsid w:val="00C228AE"/>
    <w:rsid w:val="00C245AB"/>
    <w:rsid w:val="00C24FC6"/>
    <w:rsid w:val="00C25081"/>
    <w:rsid w:val="00C250F3"/>
    <w:rsid w:val="00C25E57"/>
    <w:rsid w:val="00C30C93"/>
    <w:rsid w:val="00C30D11"/>
    <w:rsid w:val="00C3228C"/>
    <w:rsid w:val="00C33F2E"/>
    <w:rsid w:val="00C33F49"/>
    <w:rsid w:val="00C34765"/>
    <w:rsid w:val="00C347E6"/>
    <w:rsid w:val="00C34D4D"/>
    <w:rsid w:val="00C35268"/>
    <w:rsid w:val="00C352E2"/>
    <w:rsid w:val="00C36283"/>
    <w:rsid w:val="00C374ED"/>
    <w:rsid w:val="00C375ED"/>
    <w:rsid w:val="00C37724"/>
    <w:rsid w:val="00C37B01"/>
    <w:rsid w:val="00C37DD1"/>
    <w:rsid w:val="00C402B2"/>
    <w:rsid w:val="00C40830"/>
    <w:rsid w:val="00C40A0C"/>
    <w:rsid w:val="00C41595"/>
    <w:rsid w:val="00C42FC0"/>
    <w:rsid w:val="00C43E5C"/>
    <w:rsid w:val="00C44026"/>
    <w:rsid w:val="00C44856"/>
    <w:rsid w:val="00C45779"/>
    <w:rsid w:val="00C46097"/>
    <w:rsid w:val="00C47EF7"/>
    <w:rsid w:val="00C52575"/>
    <w:rsid w:val="00C52AA0"/>
    <w:rsid w:val="00C52D03"/>
    <w:rsid w:val="00C53493"/>
    <w:rsid w:val="00C5366B"/>
    <w:rsid w:val="00C53938"/>
    <w:rsid w:val="00C55714"/>
    <w:rsid w:val="00C571B5"/>
    <w:rsid w:val="00C57277"/>
    <w:rsid w:val="00C57E5C"/>
    <w:rsid w:val="00C60D5D"/>
    <w:rsid w:val="00C61108"/>
    <w:rsid w:val="00C6142A"/>
    <w:rsid w:val="00C6373F"/>
    <w:rsid w:val="00C63D0C"/>
    <w:rsid w:val="00C640ED"/>
    <w:rsid w:val="00C641FD"/>
    <w:rsid w:val="00C644AA"/>
    <w:rsid w:val="00C64D18"/>
    <w:rsid w:val="00C651DF"/>
    <w:rsid w:val="00C65E13"/>
    <w:rsid w:val="00C67859"/>
    <w:rsid w:val="00C67F35"/>
    <w:rsid w:val="00C67F6C"/>
    <w:rsid w:val="00C71113"/>
    <w:rsid w:val="00C714AA"/>
    <w:rsid w:val="00C71A10"/>
    <w:rsid w:val="00C7566B"/>
    <w:rsid w:val="00C76379"/>
    <w:rsid w:val="00C765AF"/>
    <w:rsid w:val="00C76B28"/>
    <w:rsid w:val="00C76FA4"/>
    <w:rsid w:val="00C814D4"/>
    <w:rsid w:val="00C82B8E"/>
    <w:rsid w:val="00C84193"/>
    <w:rsid w:val="00C86EA2"/>
    <w:rsid w:val="00C872E7"/>
    <w:rsid w:val="00C904B2"/>
    <w:rsid w:val="00C90A00"/>
    <w:rsid w:val="00C914F3"/>
    <w:rsid w:val="00C91750"/>
    <w:rsid w:val="00C931DE"/>
    <w:rsid w:val="00C93253"/>
    <w:rsid w:val="00C943D5"/>
    <w:rsid w:val="00C947F6"/>
    <w:rsid w:val="00C94A6B"/>
    <w:rsid w:val="00C9594E"/>
    <w:rsid w:val="00C96D31"/>
    <w:rsid w:val="00CA1064"/>
    <w:rsid w:val="00CA1111"/>
    <w:rsid w:val="00CA21BE"/>
    <w:rsid w:val="00CA32D5"/>
    <w:rsid w:val="00CA345F"/>
    <w:rsid w:val="00CA3503"/>
    <w:rsid w:val="00CA3BF9"/>
    <w:rsid w:val="00CA3DFE"/>
    <w:rsid w:val="00CA4073"/>
    <w:rsid w:val="00CA4EBB"/>
    <w:rsid w:val="00CA58B8"/>
    <w:rsid w:val="00CA594F"/>
    <w:rsid w:val="00CA7619"/>
    <w:rsid w:val="00CB02F6"/>
    <w:rsid w:val="00CB1587"/>
    <w:rsid w:val="00CB17FF"/>
    <w:rsid w:val="00CB1B3D"/>
    <w:rsid w:val="00CB5D90"/>
    <w:rsid w:val="00CB690A"/>
    <w:rsid w:val="00CC009C"/>
    <w:rsid w:val="00CC0121"/>
    <w:rsid w:val="00CC0C62"/>
    <w:rsid w:val="00CC1794"/>
    <w:rsid w:val="00CC17F9"/>
    <w:rsid w:val="00CC249A"/>
    <w:rsid w:val="00CC267B"/>
    <w:rsid w:val="00CC30B3"/>
    <w:rsid w:val="00CC312A"/>
    <w:rsid w:val="00CC4CF4"/>
    <w:rsid w:val="00CC5433"/>
    <w:rsid w:val="00CC552E"/>
    <w:rsid w:val="00CC5D2A"/>
    <w:rsid w:val="00CC5DC3"/>
    <w:rsid w:val="00CC6673"/>
    <w:rsid w:val="00CC6A9E"/>
    <w:rsid w:val="00CC6DB0"/>
    <w:rsid w:val="00CC79F6"/>
    <w:rsid w:val="00CD0103"/>
    <w:rsid w:val="00CD1792"/>
    <w:rsid w:val="00CD184D"/>
    <w:rsid w:val="00CD18CB"/>
    <w:rsid w:val="00CD1F3C"/>
    <w:rsid w:val="00CD23A0"/>
    <w:rsid w:val="00CD51A8"/>
    <w:rsid w:val="00CD7666"/>
    <w:rsid w:val="00CE3BF3"/>
    <w:rsid w:val="00CE4B6F"/>
    <w:rsid w:val="00CE4B76"/>
    <w:rsid w:val="00CE5191"/>
    <w:rsid w:val="00CE5882"/>
    <w:rsid w:val="00CE6625"/>
    <w:rsid w:val="00CE743A"/>
    <w:rsid w:val="00CF0B45"/>
    <w:rsid w:val="00CF0CAD"/>
    <w:rsid w:val="00CF13B1"/>
    <w:rsid w:val="00CF27D6"/>
    <w:rsid w:val="00CF36FA"/>
    <w:rsid w:val="00CF3709"/>
    <w:rsid w:val="00CF40D8"/>
    <w:rsid w:val="00CF4B11"/>
    <w:rsid w:val="00CF5530"/>
    <w:rsid w:val="00CF5853"/>
    <w:rsid w:val="00CF6DB8"/>
    <w:rsid w:val="00D0200E"/>
    <w:rsid w:val="00D024A3"/>
    <w:rsid w:val="00D0435D"/>
    <w:rsid w:val="00D04467"/>
    <w:rsid w:val="00D05CEC"/>
    <w:rsid w:val="00D05D2F"/>
    <w:rsid w:val="00D062E3"/>
    <w:rsid w:val="00D079B6"/>
    <w:rsid w:val="00D108D9"/>
    <w:rsid w:val="00D10DE9"/>
    <w:rsid w:val="00D11531"/>
    <w:rsid w:val="00D1316E"/>
    <w:rsid w:val="00D13B6F"/>
    <w:rsid w:val="00D13EDA"/>
    <w:rsid w:val="00D143D5"/>
    <w:rsid w:val="00D15AC8"/>
    <w:rsid w:val="00D16AC6"/>
    <w:rsid w:val="00D171D4"/>
    <w:rsid w:val="00D178E0"/>
    <w:rsid w:val="00D20290"/>
    <w:rsid w:val="00D206B5"/>
    <w:rsid w:val="00D222CC"/>
    <w:rsid w:val="00D222F2"/>
    <w:rsid w:val="00D23119"/>
    <w:rsid w:val="00D2351A"/>
    <w:rsid w:val="00D24C11"/>
    <w:rsid w:val="00D25A10"/>
    <w:rsid w:val="00D25AC8"/>
    <w:rsid w:val="00D26C30"/>
    <w:rsid w:val="00D26FB0"/>
    <w:rsid w:val="00D270E7"/>
    <w:rsid w:val="00D27915"/>
    <w:rsid w:val="00D313AE"/>
    <w:rsid w:val="00D329EC"/>
    <w:rsid w:val="00D33907"/>
    <w:rsid w:val="00D33CAC"/>
    <w:rsid w:val="00D33DE0"/>
    <w:rsid w:val="00D3498A"/>
    <w:rsid w:val="00D34E61"/>
    <w:rsid w:val="00D361E8"/>
    <w:rsid w:val="00D36AB2"/>
    <w:rsid w:val="00D37511"/>
    <w:rsid w:val="00D379F4"/>
    <w:rsid w:val="00D37ABC"/>
    <w:rsid w:val="00D40268"/>
    <w:rsid w:val="00D40A34"/>
    <w:rsid w:val="00D40E94"/>
    <w:rsid w:val="00D413DB"/>
    <w:rsid w:val="00D41C55"/>
    <w:rsid w:val="00D426E4"/>
    <w:rsid w:val="00D4382D"/>
    <w:rsid w:val="00D44AC2"/>
    <w:rsid w:val="00D45F09"/>
    <w:rsid w:val="00D47528"/>
    <w:rsid w:val="00D479D4"/>
    <w:rsid w:val="00D47D51"/>
    <w:rsid w:val="00D50C49"/>
    <w:rsid w:val="00D50E21"/>
    <w:rsid w:val="00D51150"/>
    <w:rsid w:val="00D51723"/>
    <w:rsid w:val="00D51FED"/>
    <w:rsid w:val="00D53690"/>
    <w:rsid w:val="00D5472F"/>
    <w:rsid w:val="00D54838"/>
    <w:rsid w:val="00D5485D"/>
    <w:rsid w:val="00D55D64"/>
    <w:rsid w:val="00D5691E"/>
    <w:rsid w:val="00D57657"/>
    <w:rsid w:val="00D57BC8"/>
    <w:rsid w:val="00D60394"/>
    <w:rsid w:val="00D61095"/>
    <w:rsid w:val="00D61AB1"/>
    <w:rsid w:val="00D63B92"/>
    <w:rsid w:val="00D65061"/>
    <w:rsid w:val="00D6606F"/>
    <w:rsid w:val="00D662F1"/>
    <w:rsid w:val="00D667BB"/>
    <w:rsid w:val="00D6685E"/>
    <w:rsid w:val="00D66935"/>
    <w:rsid w:val="00D66F32"/>
    <w:rsid w:val="00D67595"/>
    <w:rsid w:val="00D67753"/>
    <w:rsid w:val="00D677D0"/>
    <w:rsid w:val="00D67E78"/>
    <w:rsid w:val="00D67F4B"/>
    <w:rsid w:val="00D707C8"/>
    <w:rsid w:val="00D70871"/>
    <w:rsid w:val="00D718FF"/>
    <w:rsid w:val="00D7250A"/>
    <w:rsid w:val="00D73AAC"/>
    <w:rsid w:val="00D73CD1"/>
    <w:rsid w:val="00D73E05"/>
    <w:rsid w:val="00D7476C"/>
    <w:rsid w:val="00D74944"/>
    <w:rsid w:val="00D74ACD"/>
    <w:rsid w:val="00D754B8"/>
    <w:rsid w:val="00D7596E"/>
    <w:rsid w:val="00D776EB"/>
    <w:rsid w:val="00D80179"/>
    <w:rsid w:val="00D801E3"/>
    <w:rsid w:val="00D805A4"/>
    <w:rsid w:val="00D80E5F"/>
    <w:rsid w:val="00D80F5D"/>
    <w:rsid w:val="00D8237C"/>
    <w:rsid w:val="00D826EC"/>
    <w:rsid w:val="00D83E27"/>
    <w:rsid w:val="00D8418A"/>
    <w:rsid w:val="00D8466E"/>
    <w:rsid w:val="00D847F4"/>
    <w:rsid w:val="00D84B5E"/>
    <w:rsid w:val="00D8712F"/>
    <w:rsid w:val="00D90BCE"/>
    <w:rsid w:val="00D92149"/>
    <w:rsid w:val="00D92277"/>
    <w:rsid w:val="00D92582"/>
    <w:rsid w:val="00D92956"/>
    <w:rsid w:val="00D96407"/>
    <w:rsid w:val="00D96601"/>
    <w:rsid w:val="00D97B65"/>
    <w:rsid w:val="00DA0626"/>
    <w:rsid w:val="00DA1735"/>
    <w:rsid w:val="00DA18AD"/>
    <w:rsid w:val="00DA2244"/>
    <w:rsid w:val="00DA3A72"/>
    <w:rsid w:val="00DA51F0"/>
    <w:rsid w:val="00DA59D0"/>
    <w:rsid w:val="00DA5E17"/>
    <w:rsid w:val="00DA7E9A"/>
    <w:rsid w:val="00DB0C88"/>
    <w:rsid w:val="00DB0D8C"/>
    <w:rsid w:val="00DB13BA"/>
    <w:rsid w:val="00DB1534"/>
    <w:rsid w:val="00DB1621"/>
    <w:rsid w:val="00DB4A95"/>
    <w:rsid w:val="00DB5DEB"/>
    <w:rsid w:val="00DB6AF0"/>
    <w:rsid w:val="00DB7F56"/>
    <w:rsid w:val="00DC11D8"/>
    <w:rsid w:val="00DC1356"/>
    <w:rsid w:val="00DC13B9"/>
    <w:rsid w:val="00DC1887"/>
    <w:rsid w:val="00DC19E8"/>
    <w:rsid w:val="00DC32F0"/>
    <w:rsid w:val="00DC3C55"/>
    <w:rsid w:val="00DC441E"/>
    <w:rsid w:val="00DC4C56"/>
    <w:rsid w:val="00DC682D"/>
    <w:rsid w:val="00DC6BDB"/>
    <w:rsid w:val="00DC7274"/>
    <w:rsid w:val="00DC749F"/>
    <w:rsid w:val="00DC7BC1"/>
    <w:rsid w:val="00DD0ECE"/>
    <w:rsid w:val="00DD13D2"/>
    <w:rsid w:val="00DD15A4"/>
    <w:rsid w:val="00DD1795"/>
    <w:rsid w:val="00DD19B5"/>
    <w:rsid w:val="00DD19C4"/>
    <w:rsid w:val="00DD2461"/>
    <w:rsid w:val="00DD24C1"/>
    <w:rsid w:val="00DD2CF8"/>
    <w:rsid w:val="00DD3158"/>
    <w:rsid w:val="00DD4158"/>
    <w:rsid w:val="00DD4999"/>
    <w:rsid w:val="00DD49BA"/>
    <w:rsid w:val="00DD55F5"/>
    <w:rsid w:val="00DD5695"/>
    <w:rsid w:val="00DD6422"/>
    <w:rsid w:val="00DD651B"/>
    <w:rsid w:val="00DD6E97"/>
    <w:rsid w:val="00DD72A0"/>
    <w:rsid w:val="00DD77C5"/>
    <w:rsid w:val="00DE1F51"/>
    <w:rsid w:val="00DE23FD"/>
    <w:rsid w:val="00DE3764"/>
    <w:rsid w:val="00DE4BFC"/>
    <w:rsid w:val="00DE5B25"/>
    <w:rsid w:val="00DE6371"/>
    <w:rsid w:val="00DE6795"/>
    <w:rsid w:val="00DE680D"/>
    <w:rsid w:val="00DE73B0"/>
    <w:rsid w:val="00DE7B22"/>
    <w:rsid w:val="00DF0F10"/>
    <w:rsid w:val="00DF1501"/>
    <w:rsid w:val="00DF16BF"/>
    <w:rsid w:val="00DF195B"/>
    <w:rsid w:val="00DF2215"/>
    <w:rsid w:val="00DF4424"/>
    <w:rsid w:val="00DF63E5"/>
    <w:rsid w:val="00DF7504"/>
    <w:rsid w:val="00DF7FFB"/>
    <w:rsid w:val="00E008BA"/>
    <w:rsid w:val="00E00BEC"/>
    <w:rsid w:val="00E012DA"/>
    <w:rsid w:val="00E0135F"/>
    <w:rsid w:val="00E02956"/>
    <w:rsid w:val="00E0365F"/>
    <w:rsid w:val="00E03682"/>
    <w:rsid w:val="00E047DA"/>
    <w:rsid w:val="00E04BE1"/>
    <w:rsid w:val="00E04DD7"/>
    <w:rsid w:val="00E05100"/>
    <w:rsid w:val="00E05E1C"/>
    <w:rsid w:val="00E1062A"/>
    <w:rsid w:val="00E10A1E"/>
    <w:rsid w:val="00E10FA5"/>
    <w:rsid w:val="00E11175"/>
    <w:rsid w:val="00E114E8"/>
    <w:rsid w:val="00E11844"/>
    <w:rsid w:val="00E136EA"/>
    <w:rsid w:val="00E14704"/>
    <w:rsid w:val="00E1490F"/>
    <w:rsid w:val="00E15100"/>
    <w:rsid w:val="00E15815"/>
    <w:rsid w:val="00E15F82"/>
    <w:rsid w:val="00E16148"/>
    <w:rsid w:val="00E16401"/>
    <w:rsid w:val="00E16838"/>
    <w:rsid w:val="00E16B6E"/>
    <w:rsid w:val="00E204BE"/>
    <w:rsid w:val="00E231D1"/>
    <w:rsid w:val="00E2408A"/>
    <w:rsid w:val="00E24331"/>
    <w:rsid w:val="00E24736"/>
    <w:rsid w:val="00E24835"/>
    <w:rsid w:val="00E252E1"/>
    <w:rsid w:val="00E2595B"/>
    <w:rsid w:val="00E25DCB"/>
    <w:rsid w:val="00E26978"/>
    <w:rsid w:val="00E26A00"/>
    <w:rsid w:val="00E273D3"/>
    <w:rsid w:val="00E30009"/>
    <w:rsid w:val="00E30C2C"/>
    <w:rsid w:val="00E31693"/>
    <w:rsid w:val="00E31A2F"/>
    <w:rsid w:val="00E33DF8"/>
    <w:rsid w:val="00E3423C"/>
    <w:rsid w:val="00E34DBD"/>
    <w:rsid w:val="00E3578D"/>
    <w:rsid w:val="00E36689"/>
    <w:rsid w:val="00E40242"/>
    <w:rsid w:val="00E40AD3"/>
    <w:rsid w:val="00E437C5"/>
    <w:rsid w:val="00E44332"/>
    <w:rsid w:val="00E4681C"/>
    <w:rsid w:val="00E473A7"/>
    <w:rsid w:val="00E50190"/>
    <w:rsid w:val="00E50AEF"/>
    <w:rsid w:val="00E5116B"/>
    <w:rsid w:val="00E53D49"/>
    <w:rsid w:val="00E554FA"/>
    <w:rsid w:val="00E559E9"/>
    <w:rsid w:val="00E56640"/>
    <w:rsid w:val="00E6057E"/>
    <w:rsid w:val="00E61067"/>
    <w:rsid w:val="00E61653"/>
    <w:rsid w:val="00E61A6C"/>
    <w:rsid w:val="00E622E2"/>
    <w:rsid w:val="00E62364"/>
    <w:rsid w:val="00E64465"/>
    <w:rsid w:val="00E659D2"/>
    <w:rsid w:val="00E66EE9"/>
    <w:rsid w:val="00E67332"/>
    <w:rsid w:val="00E673BF"/>
    <w:rsid w:val="00E72154"/>
    <w:rsid w:val="00E72B4C"/>
    <w:rsid w:val="00E74740"/>
    <w:rsid w:val="00E75007"/>
    <w:rsid w:val="00E75217"/>
    <w:rsid w:val="00E75366"/>
    <w:rsid w:val="00E76ADC"/>
    <w:rsid w:val="00E77304"/>
    <w:rsid w:val="00E8008D"/>
    <w:rsid w:val="00E802B6"/>
    <w:rsid w:val="00E80A20"/>
    <w:rsid w:val="00E80AD5"/>
    <w:rsid w:val="00E81873"/>
    <w:rsid w:val="00E82700"/>
    <w:rsid w:val="00E83DB6"/>
    <w:rsid w:val="00E840F5"/>
    <w:rsid w:val="00E84972"/>
    <w:rsid w:val="00E84D60"/>
    <w:rsid w:val="00E84E78"/>
    <w:rsid w:val="00E85BBD"/>
    <w:rsid w:val="00E8613A"/>
    <w:rsid w:val="00E86E5B"/>
    <w:rsid w:val="00E90478"/>
    <w:rsid w:val="00E93788"/>
    <w:rsid w:val="00E93824"/>
    <w:rsid w:val="00E9394A"/>
    <w:rsid w:val="00E94005"/>
    <w:rsid w:val="00E95057"/>
    <w:rsid w:val="00E9522C"/>
    <w:rsid w:val="00E9563E"/>
    <w:rsid w:val="00E961D6"/>
    <w:rsid w:val="00E96885"/>
    <w:rsid w:val="00E96CC0"/>
    <w:rsid w:val="00E96DBF"/>
    <w:rsid w:val="00E97F4D"/>
    <w:rsid w:val="00EA120C"/>
    <w:rsid w:val="00EA1E2C"/>
    <w:rsid w:val="00EA2D3C"/>
    <w:rsid w:val="00EA3AA7"/>
    <w:rsid w:val="00EA4295"/>
    <w:rsid w:val="00EA4EE6"/>
    <w:rsid w:val="00EA6B92"/>
    <w:rsid w:val="00EA718E"/>
    <w:rsid w:val="00EA7A21"/>
    <w:rsid w:val="00EA7DCA"/>
    <w:rsid w:val="00EA7F0C"/>
    <w:rsid w:val="00EB0D93"/>
    <w:rsid w:val="00EB14C5"/>
    <w:rsid w:val="00EB3840"/>
    <w:rsid w:val="00EB3D29"/>
    <w:rsid w:val="00EB4C67"/>
    <w:rsid w:val="00EB57EE"/>
    <w:rsid w:val="00EB66EC"/>
    <w:rsid w:val="00EB749B"/>
    <w:rsid w:val="00EB7779"/>
    <w:rsid w:val="00EB7BEE"/>
    <w:rsid w:val="00EB7FD7"/>
    <w:rsid w:val="00EC15C5"/>
    <w:rsid w:val="00EC1CF9"/>
    <w:rsid w:val="00EC4D16"/>
    <w:rsid w:val="00EC4F25"/>
    <w:rsid w:val="00EC5317"/>
    <w:rsid w:val="00EC5619"/>
    <w:rsid w:val="00EC7786"/>
    <w:rsid w:val="00EC7FE1"/>
    <w:rsid w:val="00ED0CDB"/>
    <w:rsid w:val="00ED1EB7"/>
    <w:rsid w:val="00ED1F19"/>
    <w:rsid w:val="00ED1F5B"/>
    <w:rsid w:val="00ED225F"/>
    <w:rsid w:val="00ED3456"/>
    <w:rsid w:val="00ED3FCD"/>
    <w:rsid w:val="00ED48F9"/>
    <w:rsid w:val="00ED6721"/>
    <w:rsid w:val="00ED677B"/>
    <w:rsid w:val="00ED6F14"/>
    <w:rsid w:val="00ED758A"/>
    <w:rsid w:val="00ED7673"/>
    <w:rsid w:val="00EE01E0"/>
    <w:rsid w:val="00EE14E6"/>
    <w:rsid w:val="00EE19AA"/>
    <w:rsid w:val="00EE1F24"/>
    <w:rsid w:val="00EE2370"/>
    <w:rsid w:val="00EE2664"/>
    <w:rsid w:val="00EE296D"/>
    <w:rsid w:val="00EE356C"/>
    <w:rsid w:val="00EE4CBE"/>
    <w:rsid w:val="00EE55A7"/>
    <w:rsid w:val="00EE635D"/>
    <w:rsid w:val="00EE67BB"/>
    <w:rsid w:val="00EE6DDB"/>
    <w:rsid w:val="00EE7ED0"/>
    <w:rsid w:val="00EF15F4"/>
    <w:rsid w:val="00EF18EE"/>
    <w:rsid w:val="00EF20AB"/>
    <w:rsid w:val="00EF21D4"/>
    <w:rsid w:val="00EF47DF"/>
    <w:rsid w:val="00EF5964"/>
    <w:rsid w:val="00EF5D88"/>
    <w:rsid w:val="00EF6650"/>
    <w:rsid w:val="00EF6872"/>
    <w:rsid w:val="00EF7200"/>
    <w:rsid w:val="00EF7C10"/>
    <w:rsid w:val="00EF7F9A"/>
    <w:rsid w:val="00F00CD2"/>
    <w:rsid w:val="00F0148E"/>
    <w:rsid w:val="00F02317"/>
    <w:rsid w:val="00F025A6"/>
    <w:rsid w:val="00F02E75"/>
    <w:rsid w:val="00F03831"/>
    <w:rsid w:val="00F04285"/>
    <w:rsid w:val="00F04402"/>
    <w:rsid w:val="00F047C9"/>
    <w:rsid w:val="00F06184"/>
    <w:rsid w:val="00F06263"/>
    <w:rsid w:val="00F065E4"/>
    <w:rsid w:val="00F06702"/>
    <w:rsid w:val="00F0719B"/>
    <w:rsid w:val="00F07A95"/>
    <w:rsid w:val="00F07F78"/>
    <w:rsid w:val="00F11A70"/>
    <w:rsid w:val="00F121D8"/>
    <w:rsid w:val="00F121DC"/>
    <w:rsid w:val="00F130B0"/>
    <w:rsid w:val="00F134A6"/>
    <w:rsid w:val="00F13A87"/>
    <w:rsid w:val="00F14ABB"/>
    <w:rsid w:val="00F14DDD"/>
    <w:rsid w:val="00F15EE4"/>
    <w:rsid w:val="00F162D0"/>
    <w:rsid w:val="00F16FDB"/>
    <w:rsid w:val="00F17507"/>
    <w:rsid w:val="00F179AB"/>
    <w:rsid w:val="00F201CB"/>
    <w:rsid w:val="00F20975"/>
    <w:rsid w:val="00F22BCC"/>
    <w:rsid w:val="00F22CAE"/>
    <w:rsid w:val="00F22F48"/>
    <w:rsid w:val="00F241BF"/>
    <w:rsid w:val="00F243FE"/>
    <w:rsid w:val="00F24E36"/>
    <w:rsid w:val="00F258CC"/>
    <w:rsid w:val="00F26DAE"/>
    <w:rsid w:val="00F3066C"/>
    <w:rsid w:val="00F3154B"/>
    <w:rsid w:val="00F318B9"/>
    <w:rsid w:val="00F31985"/>
    <w:rsid w:val="00F319D4"/>
    <w:rsid w:val="00F31F9E"/>
    <w:rsid w:val="00F32B5A"/>
    <w:rsid w:val="00F36835"/>
    <w:rsid w:val="00F37360"/>
    <w:rsid w:val="00F378CE"/>
    <w:rsid w:val="00F4127A"/>
    <w:rsid w:val="00F42C87"/>
    <w:rsid w:val="00F43E7B"/>
    <w:rsid w:val="00F4551C"/>
    <w:rsid w:val="00F464F8"/>
    <w:rsid w:val="00F475DD"/>
    <w:rsid w:val="00F47794"/>
    <w:rsid w:val="00F50EFC"/>
    <w:rsid w:val="00F527AF"/>
    <w:rsid w:val="00F539CA"/>
    <w:rsid w:val="00F53C4D"/>
    <w:rsid w:val="00F53FAD"/>
    <w:rsid w:val="00F54B7F"/>
    <w:rsid w:val="00F55B6C"/>
    <w:rsid w:val="00F57F80"/>
    <w:rsid w:val="00F60094"/>
    <w:rsid w:val="00F624CF"/>
    <w:rsid w:val="00F6631A"/>
    <w:rsid w:val="00F66E5F"/>
    <w:rsid w:val="00F6753B"/>
    <w:rsid w:val="00F705B0"/>
    <w:rsid w:val="00F7064A"/>
    <w:rsid w:val="00F71B79"/>
    <w:rsid w:val="00F72F7B"/>
    <w:rsid w:val="00F73047"/>
    <w:rsid w:val="00F73282"/>
    <w:rsid w:val="00F73FB6"/>
    <w:rsid w:val="00F74BD7"/>
    <w:rsid w:val="00F75398"/>
    <w:rsid w:val="00F760B0"/>
    <w:rsid w:val="00F762AF"/>
    <w:rsid w:val="00F76487"/>
    <w:rsid w:val="00F77703"/>
    <w:rsid w:val="00F81E9B"/>
    <w:rsid w:val="00F81F86"/>
    <w:rsid w:val="00F828D2"/>
    <w:rsid w:val="00F84DE8"/>
    <w:rsid w:val="00F859AF"/>
    <w:rsid w:val="00F86013"/>
    <w:rsid w:val="00F86185"/>
    <w:rsid w:val="00F86B54"/>
    <w:rsid w:val="00F875CB"/>
    <w:rsid w:val="00F904B8"/>
    <w:rsid w:val="00F919EC"/>
    <w:rsid w:val="00F92872"/>
    <w:rsid w:val="00F9632A"/>
    <w:rsid w:val="00FA0A8D"/>
    <w:rsid w:val="00FA15A9"/>
    <w:rsid w:val="00FA17B3"/>
    <w:rsid w:val="00FA1C68"/>
    <w:rsid w:val="00FA1D1C"/>
    <w:rsid w:val="00FA2DD6"/>
    <w:rsid w:val="00FA32EE"/>
    <w:rsid w:val="00FA33D6"/>
    <w:rsid w:val="00FA3A48"/>
    <w:rsid w:val="00FA4044"/>
    <w:rsid w:val="00FA4452"/>
    <w:rsid w:val="00FA4F1B"/>
    <w:rsid w:val="00FA58AE"/>
    <w:rsid w:val="00FA6E53"/>
    <w:rsid w:val="00FA71EC"/>
    <w:rsid w:val="00FB03FB"/>
    <w:rsid w:val="00FB0A66"/>
    <w:rsid w:val="00FB0BF6"/>
    <w:rsid w:val="00FB14A8"/>
    <w:rsid w:val="00FB20BE"/>
    <w:rsid w:val="00FB27F1"/>
    <w:rsid w:val="00FB3E4E"/>
    <w:rsid w:val="00FB3F6A"/>
    <w:rsid w:val="00FB3F95"/>
    <w:rsid w:val="00FB486D"/>
    <w:rsid w:val="00FB4935"/>
    <w:rsid w:val="00FB498B"/>
    <w:rsid w:val="00FB55A4"/>
    <w:rsid w:val="00FB6F11"/>
    <w:rsid w:val="00FB72F9"/>
    <w:rsid w:val="00FB7E5F"/>
    <w:rsid w:val="00FC1123"/>
    <w:rsid w:val="00FC1C53"/>
    <w:rsid w:val="00FC2686"/>
    <w:rsid w:val="00FC30B2"/>
    <w:rsid w:val="00FC435A"/>
    <w:rsid w:val="00FC5206"/>
    <w:rsid w:val="00FC5653"/>
    <w:rsid w:val="00FC68B4"/>
    <w:rsid w:val="00FD0413"/>
    <w:rsid w:val="00FD07FA"/>
    <w:rsid w:val="00FD2F62"/>
    <w:rsid w:val="00FD364E"/>
    <w:rsid w:val="00FD4353"/>
    <w:rsid w:val="00FD4BF2"/>
    <w:rsid w:val="00FD5DBB"/>
    <w:rsid w:val="00FD6F27"/>
    <w:rsid w:val="00FD75C1"/>
    <w:rsid w:val="00FE2501"/>
    <w:rsid w:val="00FE32DD"/>
    <w:rsid w:val="00FE436B"/>
    <w:rsid w:val="00FE4759"/>
    <w:rsid w:val="00FE4BF6"/>
    <w:rsid w:val="00FE4FAC"/>
    <w:rsid w:val="00FE5B3E"/>
    <w:rsid w:val="00FE5D89"/>
    <w:rsid w:val="00FE69BC"/>
    <w:rsid w:val="00FF0182"/>
    <w:rsid w:val="00FF080C"/>
    <w:rsid w:val="00FF1E58"/>
    <w:rsid w:val="00FF2F8F"/>
    <w:rsid w:val="00FF3132"/>
    <w:rsid w:val="00FF3279"/>
    <w:rsid w:val="00FF3FF7"/>
    <w:rsid w:val="00FF547A"/>
    <w:rsid w:val="01075BCF"/>
    <w:rsid w:val="01125654"/>
    <w:rsid w:val="01486C7D"/>
    <w:rsid w:val="01586FED"/>
    <w:rsid w:val="01D638A6"/>
    <w:rsid w:val="01DD76B2"/>
    <w:rsid w:val="021034E3"/>
    <w:rsid w:val="021D1D4F"/>
    <w:rsid w:val="02282ACE"/>
    <w:rsid w:val="02397060"/>
    <w:rsid w:val="02517E5C"/>
    <w:rsid w:val="02535DC6"/>
    <w:rsid w:val="02755F56"/>
    <w:rsid w:val="02D426E9"/>
    <w:rsid w:val="02D82428"/>
    <w:rsid w:val="02F514D3"/>
    <w:rsid w:val="02F6463E"/>
    <w:rsid w:val="032F1DBD"/>
    <w:rsid w:val="033B1CCB"/>
    <w:rsid w:val="034D4E02"/>
    <w:rsid w:val="0364747B"/>
    <w:rsid w:val="036B7DA6"/>
    <w:rsid w:val="037667F9"/>
    <w:rsid w:val="0399642A"/>
    <w:rsid w:val="03AE265E"/>
    <w:rsid w:val="03BB77A1"/>
    <w:rsid w:val="041651F4"/>
    <w:rsid w:val="04171C98"/>
    <w:rsid w:val="042F41E5"/>
    <w:rsid w:val="04333FAE"/>
    <w:rsid w:val="04472782"/>
    <w:rsid w:val="044B6764"/>
    <w:rsid w:val="047A39D5"/>
    <w:rsid w:val="047E7A6F"/>
    <w:rsid w:val="04B9513E"/>
    <w:rsid w:val="04BF1860"/>
    <w:rsid w:val="04E26C71"/>
    <w:rsid w:val="05022274"/>
    <w:rsid w:val="05385B17"/>
    <w:rsid w:val="05432A2F"/>
    <w:rsid w:val="05537D58"/>
    <w:rsid w:val="055D1F0C"/>
    <w:rsid w:val="057602A4"/>
    <w:rsid w:val="0580501B"/>
    <w:rsid w:val="059C2AAA"/>
    <w:rsid w:val="059E7B97"/>
    <w:rsid w:val="05EF38A2"/>
    <w:rsid w:val="05F9716B"/>
    <w:rsid w:val="060A7D56"/>
    <w:rsid w:val="061B066C"/>
    <w:rsid w:val="063A731D"/>
    <w:rsid w:val="0641364B"/>
    <w:rsid w:val="06413763"/>
    <w:rsid w:val="06415722"/>
    <w:rsid w:val="06481A1D"/>
    <w:rsid w:val="064A7F66"/>
    <w:rsid w:val="06641387"/>
    <w:rsid w:val="0696210C"/>
    <w:rsid w:val="06B27B2E"/>
    <w:rsid w:val="06B35C01"/>
    <w:rsid w:val="06E25862"/>
    <w:rsid w:val="06F84B80"/>
    <w:rsid w:val="071579E5"/>
    <w:rsid w:val="071605BF"/>
    <w:rsid w:val="072307B7"/>
    <w:rsid w:val="073B743D"/>
    <w:rsid w:val="075176D6"/>
    <w:rsid w:val="077945B1"/>
    <w:rsid w:val="07B35214"/>
    <w:rsid w:val="07B609DE"/>
    <w:rsid w:val="07D50AFB"/>
    <w:rsid w:val="07D8498E"/>
    <w:rsid w:val="07DE24CD"/>
    <w:rsid w:val="07EF7A11"/>
    <w:rsid w:val="07F41CF0"/>
    <w:rsid w:val="083909B7"/>
    <w:rsid w:val="08403C42"/>
    <w:rsid w:val="084376AB"/>
    <w:rsid w:val="08494B4C"/>
    <w:rsid w:val="08517AA8"/>
    <w:rsid w:val="086D7F1C"/>
    <w:rsid w:val="086F1546"/>
    <w:rsid w:val="088A61B1"/>
    <w:rsid w:val="08A1590F"/>
    <w:rsid w:val="08D35893"/>
    <w:rsid w:val="08F301FA"/>
    <w:rsid w:val="09162871"/>
    <w:rsid w:val="09220B38"/>
    <w:rsid w:val="092A73FE"/>
    <w:rsid w:val="093F4A8F"/>
    <w:rsid w:val="094B1DE4"/>
    <w:rsid w:val="09603671"/>
    <w:rsid w:val="09635510"/>
    <w:rsid w:val="09890D0E"/>
    <w:rsid w:val="09A5514C"/>
    <w:rsid w:val="09D56F2C"/>
    <w:rsid w:val="09E638BB"/>
    <w:rsid w:val="0A0F50C7"/>
    <w:rsid w:val="0A434869"/>
    <w:rsid w:val="0A68092A"/>
    <w:rsid w:val="0A6E1324"/>
    <w:rsid w:val="0A843133"/>
    <w:rsid w:val="0A8B27F5"/>
    <w:rsid w:val="0AA618C2"/>
    <w:rsid w:val="0AC611C2"/>
    <w:rsid w:val="0AE966EA"/>
    <w:rsid w:val="0AFF2685"/>
    <w:rsid w:val="0B335CF7"/>
    <w:rsid w:val="0B3A783A"/>
    <w:rsid w:val="0B435507"/>
    <w:rsid w:val="0B500744"/>
    <w:rsid w:val="0B521368"/>
    <w:rsid w:val="0B57681E"/>
    <w:rsid w:val="0B7D5148"/>
    <w:rsid w:val="0BAA21FD"/>
    <w:rsid w:val="0BB84836"/>
    <w:rsid w:val="0BF5492D"/>
    <w:rsid w:val="0BFC74F2"/>
    <w:rsid w:val="0C367CEB"/>
    <w:rsid w:val="0C5F0936"/>
    <w:rsid w:val="0CDD5D05"/>
    <w:rsid w:val="0CF21003"/>
    <w:rsid w:val="0D05643B"/>
    <w:rsid w:val="0D214A6D"/>
    <w:rsid w:val="0D2B4330"/>
    <w:rsid w:val="0D330BC5"/>
    <w:rsid w:val="0D386EFB"/>
    <w:rsid w:val="0D836BA1"/>
    <w:rsid w:val="0D98220E"/>
    <w:rsid w:val="0DF452EB"/>
    <w:rsid w:val="0E0F2480"/>
    <w:rsid w:val="0E164FEE"/>
    <w:rsid w:val="0E2F0180"/>
    <w:rsid w:val="0E3D4D49"/>
    <w:rsid w:val="0E422687"/>
    <w:rsid w:val="0E4C072E"/>
    <w:rsid w:val="0E7F01AE"/>
    <w:rsid w:val="0E9112CE"/>
    <w:rsid w:val="0EA7259B"/>
    <w:rsid w:val="0ECD4DAF"/>
    <w:rsid w:val="0EE24651"/>
    <w:rsid w:val="0EFE43BA"/>
    <w:rsid w:val="0F063405"/>
    <w:rsid w:val="0F352373"/>
    <w:rsid w:val="0F557518"/>
    <w:rsid w:val="0F76258D"/>
    <w:rsid w:val="0FAD1102"/>
    <w:rsid w:val="0FC87CEA"/>
    <w:rsid w:val="0FD44A92"/>
    <w:rsid w:val="0FDC0A23"/>
    <w:rsid w:val="0FE84169"/>
    <w:rsid w:val="0FEE34C9"/>
    <w:rsid w:val="1004704F"/>
    <w:rsid w:val="10306EA8"/>
    <w:rsid w:val="10321A3A"/>
    <w:rsid w:val="1053703D"/>
    <w:rsid w:val="10765E24"/>
    <w:rsid w:val="10766D53"/>
    <w:rsid w:val="109F13E1"/>
    <w:rsid w:val="10D57DB6"/>
    <w:rsid w:val="10DD791F"/>
    <w:rsid w:val="10DE1D59"/>
    <w:rsid w:val="11010537"/>
    <w:rsid w:val="110F305C"/>
    <w:rsid w:val="111A71BC"/>
    <w:rsid w:val="11225E59"/>
    <w:rsid w:val="11323F23"/>
    <w:rsid w:val="115D26B4"/>
    <w:rsid w:val="116A15B6"/>
    <w:rsid w:val="116C21D3"/>
    <w:rsid w:val="11731ED8"/>
    <w:rsid w:val="11867E5D"/>
    <w:rsid w:val="118C09F0"/>
    <w:rsid w:val="11C40985"/>
    <w:rsid w:val="11F55AA0"/>
    <w:rsid w:val="11FA6901"/>
    <w:rsid w:val="121603F6"/>
    <w:rsid w:val="12260CF8"/>
    <w:rsid w:val="12370E8D"/>
    <w:rsid w:val="12372F05"/>
    <w:rsid w:val="12422718"/>
    <w:rsid w:val="12C24B67"/>
    <w:rsid w:val="12E45B91"/>
    <w:rsid w:val="13051D7C"/>
    <w:rsid w:val="131D3C9F"/>
    <w:rsid w:val="132131AB"/>
    <w:rsid w:val="13426006"/>
    <w:rsid w:val="135F0966"/>
    <w:rsid w:val="13760E68"/>
    <w:rsid w:val="13893638"/>
    <w:rsid w:val="13912AE9"/>
    <w:rsid w:val="13975576"/>
    <w:rsid w:val="13B24A88"/>
    <w:rsid w:val="13CA5182"/>
    <w:rsid w:val="13CD19F3"/>
    <w:rsid w:val="13CF716E"/>
    <w:rsid w:val="13D35C6C"/>
    <w:rsid w:val="13E57B6E"/>
    <w:rsid w:val="13ED7D0B"/>
    <w:rsid w:val="13EE5BD7"/>
    <w:rsid w:val="13F61006"/>
    <w:rsid w:val="14392782"/>
    <w:rsid w:val="144E75EC"/>
    <w:rsid w:val="146F5EF0"/>
    <w:rsid w:val="147246C9"/>
    <w:rsid w:val="148476E6"/>
    <w:rsid w:val="148532A9"/>
    <w:rsid w:val="1490670C"/>
    <w:rsid w:val="14942891"/>
    <w:rsid w:val="149908AE"/>
    <w:rsid w:val="149B4090"/>
    <w:rsid w:val="14A71A37"/>
    <w:rsid w:val="14AB3CAB"/>
    <w:rsid w:val="14AC7246"/>
    <w:rsid w:val="14BD3EF3"/>
    <w:rsid w:val="14C01A4D"/>
    <w:rsid w:val="14D01A0B"/>
    <w:rsid w:val="14E770F1"/>
    <w:rsid w:val="14F343FD"/>
    <w:rsid w:val="14F665EE"/>
    <w:rsid w:val="150324EE"/>
    <w:rsid w:val="15393C45"/>
    <w:rsid w:val="153C5DD9"/>
    <w:rsid w:val="153D1D94"/>
    <w:rsid w:val="155803D9"/>
    <w:rsid w:val="157D58FD"/>
    <w:rsid w:val="15914BEF"/>
    <w:rsid w:val="15A454DE"/>
    <w:rsid w:val="160B07CC"/>
    <w:rsid w:val="16225C7A"/>
    <w:rsid w:val="163A6938"/>
    <w:rsid w:val="16473531"/>
    <w:rsid w:val="165F308C"/>
    <w:rsid w:val="1664769B"/>
    <w:rsid w:val="166C7C0E"/>
    <w:rsid w:val="16772F40"/>
    <w:rsid w:val="16AB2E13"/>
    <w:rsid w:val="16B90124"/>
    <w:rsid w:val="16C71AAA"/>
    <w:rsid w:val="16D90EA0"/>
    <w:rsid w:val="17022B9D"/>
    <w:rsid w:val="170C0DE1"/>
    <w:rsid w:val="172A058A"/>
    <w:rsid w:val="17605122"/>
    <w:rsid w:val="177E76C1"/>
    <w:rsid w:val="17D53F72"/>
    <w:rsid w:val="17E82372"/>
    <w:rsid w:val="17F47BF7"/>
    <w:rsid w:val="17FD7CB1"/>
    <w:rsid w:val="18206F94"/>
    <w:rsid w:val="182378A4"/>
    <w:rsid w:val="18304255"/>
    <w:rsid w:val="183949A3"/>
    <w:rsid w:val="184E167A"/>
    <w:rsid w:val="185F7A70"/>
    <w:rsid w:val="18631FFF"/>
    <w:rsid w:val="188C2C79"/>
    <w:rsid w:val="188F0843"/>
    <w:rsid w:val="18994045"/>
    <w:rsid w:val="189F40D7"/>
    <w:rsid w:val="18A715D9"/>
    <w:rsid w:val="18BD2160"/>
    <w:rsid w:val="18E463E1"/>
    <w:rsid w:val="18EB6505"/>
    <w:rsid w:val="19010DAE"/>
    <w:rsid w:val="19285294"/>
    <w:rsid w:val="192D5062"/>
    <w:rsid w:val="193F3207"/>
    <w:rsid w:val="19692A71"/>
    <w:rsid w:val="19B7492C"/>
    <w:rsid w:val="19C9427E"/>
    <w:rsid w:val="19CE67D8"/>
    <w:rsid w:val="19F97CC8"/>
    <w:rsid w:val="1A300BE5"/>
    <w:rsid w:val="1A576957"/>
    <w:rsid w:val="1A7C541F"/>
    <w:rsid w:val="1AA06A87"/>
    <w:rsid w:val="1AB84134"/>
    <w:rsid w:val="1ABC0FC6"/>
    <w:rsid w:val="1AD51F68"/>
    <w:rsid w:val="1B334C3C"/>
    <w:rsid w:val="1B3A1F2A"/>
    <w:rsid w:val="1B7927E1"/>
    <w:rsid w:val="1B8A2947"/>
    <w:rsid w:val="1B95699F"/>
    <w:rsid w:val="1B975238"/>
    <w:rsid w:val="1B993A50"/>
    <w:rsid w:val="1BBA1262"/>
    <w:rsid w:val="1BDF51EE"/>
    <w:rsid w:val="1BE87707"/>
    <w:rsid w:val="1BFB0711"/>
    <w:rsid w:val="1BFB2DF8"/>
    <w:rsid w:val="1BFC2C46"/>
    <w:rsid w:val="1C025E88"/>
    <w:rsid w:val="1C1E6EE4"/>
    <w:rsid w:val="1C2C344C"/>
    <w:rsid w:val="1C514795"/>
    <w:rsid w:val="1C526A3F"/>
    <w:rsid w:val="1C5A5F01"/>
    <w:rsid w:val="1C5B6574"/>
    <w:rsid w:val="1C5F5931"/>
    <w:rsid w:val="1C6176BE"/>
    <w:rsid w:val="1C6A5225"/>
    <w:rsid w:val="1C9545E3"/>
    <w:rsid w:val="1C9A471D"/>
    <w:rsid w:val="1D416F04"/>
    <w:rsid w:val="1D676015"/>
    <w:rsid w:val="1D921C1E"/>
    <w:rsid w:val="1DCA0A85"/>
    <w:rsid w:val="1DDC7057"/>
    <w:rsid w:val="1DDD52AD"/>
    <w:rsid w:val="1DFD2EE0"/>
    <w:rsid w:val="1E0C023E"/>
    <w:rsid w:val="1E127105"/>
    <w:rsid w:val="1E2C3F74"/>
    <w:rsid w:val="1E2E5711"/>
    <w:rsid w:val="1E4C2269"/>
    <w:rsid w:val="1E746588"/>
    <w:rsid w:val="1E9B2F32"/>
    <w:rsid w:val="1EAB0DBC"/>
    <w:rsid w:val="1EC80EB9"/>
    <w:rsid w:val="1EF70D44"/>
    <w:rsid w:val="1F0E1B8E"/>
    <w:rsid w:val="1F251FBC"/>
    <w:rsid w:val="1F49071C"/>
    <w:rsid w:val="1F6E7612"/>
    <w:rsid w:val="1F7513F6"/>
    <w:rsid w:val="1FA73AFB"/>
    <w:rsid w:val="1FA9427F"/>
    <w:rsid w:val="1FB97E98"/>
    <w:rsid w:val="1FBC2C9C"/>
    <w:rsid w:val="1FC14918"/>
    <w:rsid w:val="1FCF3D90"/>
    <w:rsid w:val="2000076E"/>
    <w:rsid w:val="202076CF"/>
    <w:rsid w:val="203269B6"/>
    <w:rsid w:val="206B3A09"/>
    <w:rsid w:val="20A35B08"/>
    <w:rsid w:val="20C43E16"/>
    <w:rsid w:val="20CA604C"/>
    <w:rsid w:val="210E20A1"/>
    <w:rsid w:val="212C5413"/>
    <w:rsid w:val="213A550D"/>
    <w:rsid w:val="214B6943"/>
    <w:rsid w:val="217169F0"/>
    <w:rsid w:val="217F72FA"/>
    <w:rsid w:val="21801F5D"/>
    <w:rsid w:val="218837E2"/>
    <w:rsid w:val="2191176F"/>
    <w:rsid w:val="22572CB3"/>
    <w:rsid w:val="22732647"/>
    <w:rsid w:val="22C95D2C"/>
    <w:rsid w:val="22E72A57"/>
    <w:rsid w:val="22F73C11"/>
    <w:rsid w:val="230158A1"/>
    <w:rsid w:val="23304619"/>
    <w:rsid w:val="23634B01"/>
    <w:rsid w:val="239F4ECB"/>
    <w:rsid w:val="23AB195B"/>
    <w:rsid w:val="23C05426"/>
    <w:rsid w:val="23DD6776"/>
    <w:rsid w:val="23F42AE7"/>
    <w:rsid w:val="243876CA"/>
    <w:rsid w:val="2449339B"/>
    <w:rsid w:val="245B2638"/>
    <w:rsid w:val="2464432F"/>
    <w:rsid w:val="247415F9"/>
    <w:rsid w:val="249441E7"/>
    <w:rsid w:val="24972973"/>
    <w:rsid w:val="24B83EA1"/>
    <w:rsid w:val="24D130F7"/>
    <w:rsid w:val="24DA76BB"/>
    <w:rsid w:val="24EC7DDA"/>
    <w:rsid w:val="24F4558C"/>
    <w:rsid w:val="25003718"/>
    <w:rsid w:val="250749B9"/>
    <w:rsid w:val="250F51EB"/>
    <w:rsid w:val="25306FF2"/>
    <w:rsid w:val="253150EF"/>
    <w:rsid w:val="253C34BF"/>
    <w:rsid w:val="25544914"/>
    <w:rsid w:val="25685E0F"/>
    <w:rsid w:val="256C4878"/>
    <w:rsid w:val="25C44658"/>
    <w:rsid w:val="25D50C7D"/>
    <w:rsid w:val="25DA16B2"/>
    <w:rsid w:val="25E11C28"/>
    <w:rsid w:val="262D1299"/>
    <w:rsid w:val="26327963"/>
    <w:rsid w:val="263B77D9"/>
    <w:rsid w:val="263D43B7"/>
    <w:rsid w:val="26481FAF"/>
    <w:rsid w:val="265427FA"/>
    <w:rsid w:val="265B26B4"/>
    <w:rsid w:val="26632AEE"/>
    <w:rsid w:val="26B40B71"/>
    <w:rsid w:val="26B873DD"/>
    <w:rsid w:val="26C520B1"/>
    <w:rsid w:val="26CB6C26"/>
    <w:rsid w:val="26DA15D3"/>
    <w:rsid w:val="26E111F7"/>
    <w:rsid w:val="27090501"/>
    <w:rsid w:val="271F1EE2"/>
    <w:rsid w:val="272A4A5E"/>
    <w:rsid w:val="27341C79"/>
    <w:rsid w:val="274030CE"/>
    <w:rsid w:val="27534C3D"/>
    <w:rsid w:val="27537FA8"/>
    <w:rsid w:val="27A0355B"/>
    <w:rsid w:val="27DD6EF4"/>
    <w:rsid w:val="281B6F79"/>
    <w:rsid w:val="2838400F"/>
    <w:rsid w:val="28397580"/>
    <w:rsid w:val="28483666"/>
    <w:rsid w:val="284B0CE8"/>
    <w:rsid w:val="28652CF4"/>
    <w:rsid w:val="28804B5A"/>
    <w:rsid w:val="289D062D"/>
    <w:rsid w:val="28C17575"/>
    <w:rsid w:val="29135452"/>
    <w:rsid w:val="2927387C"/>
    <w:rsid w:val="292D2840"/>
    <w:rsid w:val="29677C18"/>
    <w:rsid w:val="296A1CA7"/>
    <w:rsid w:val="296C10B6"/>
    <w:rsid w:val="296C57B5"/>
    <w:rsid w:val="298955F8"/>
    <w:rsid w:val="299C33C3"/>
    <w:rsid w:val="29D32C66"/>
    <w:rsid w:val="29D754D3"/>
    <w:rsid w:val="2A037BA7"/>
    <w:rsid w:val="2A287A34"/>
    <w:rsid w:val="2A2B55D0"/>
    <w:rsid w:val="2A351D21"/>
    <w:rsid w:val="2A3E74D4"/>
    <w:rsid w:val="2A8C4F56"/>
    <w:rsid w:val="2A9E71D0"/>
    <w:rsid w:val="2ACB7461"/>
    <w:rsid w:val="2ADF3164"/>
    <w:rsid w:val="2B215615"/>
    <w:rsid w:val="2B3260B1"/>
    <w:rsid w:val="2B4114C1"/>
    <w:rsid w:val="2B61330F"/>
    <w:rsid w:val="2B8430F6"/>
    <w:rsid w:val="2BB16AE2"/>
    <w:rsid w:val="2BD93B38"/>
    <w:rsid w:val="2C0E47C8"/>
    <w:rsid w:val="2C252453"/>
    <w:rsid w:val="2C506C46"/>
    <w:rsid w:val="2C527457"/>
    <w:rsid w:val="2C70715D"/>
    <w:rsid w:val="2C936504"/>
    <w:rsid w:val="2CBE66CA"/>
    <w:rsid w:val="2CC07BC8"/>
    <w:rsid w:val="2CCE2260"/>
    <w:rsid w:val="2CDB4B07"/>
    <w:rsid w:val="2CEC3163"/>
    <w:rsid w:val="2CF02F60"/>
    <w:rsid w:val="2D087E61"/>
    <w:rsid w:val="2D92516E"/>
    <w:rsid w:val="2DB25743"/>
    <w:rsid w:val="2DCE1729"/>
    <w:rsid w:val="2DD51F9B"/>
    <w:rsid w:val="2DE16542"/>
    <w:rsid w:val="2DE83408"/>
    <w:rsid w:val="2DF901EF"/>
    <w:rsid w:val="2E12076E"/>
    <w:rsid w:val="2E227876"/>
    <w:rsid w:val="2E2362DA"/>
    <w:rsid w:val="2E2731FB"/>
    <w:rsid w:val="2E360A87"/>
    <w:rsid w:val="2E615CDF"/>
    <w:rsid w:val="2E9B161E"/>
    <w:rsid w:val="2EBD44D2"/>
    <w:rsid w:val="2EC40DF2"/>
    <w:rsid w:val="2ECC2323"/>
    <w:rsid w:val="2EF4167B"/>
    <w:rsid w:val="2F0E69A5"/>
    <w:rsid w:val="2F154177"/>
    <w:rsid w:val="2F184A75"/>
    <w:rsid w:val="2F19241D"/>
    <w:rsid w:val="2F2919D0"/>
    <w:rsid w:val="2F346939"/>
    <w:rsid w:val="2F361642"/>
    <w:rsid w:val="2F483B68"/>
    <w:rsid w:val="2F5C5CC3"/>
    <w:rsid w:val="2F606BE7"/>
    <w:rsid w:val="2F6A3317"/>
    <w:rsid w:val="2F6E21FC"/>
    <w:rsid w:val="2F7100B3"/>
    <w:rsid w:val="2F89052B"/>
    <w:rsid w:val="2F9177E3"/>
    <w:rsid w:val="2FA34F20"/>
    <w:rsid w:val="2FA572A9"/>
    <w:rsid w:val="2FB672A5"/>
    <w:rsid w:val="2FD9504E"/>
    <w:rsid w:val="2FF60385"/>
    <w:rsid w:val="30084E3A"/>
    <w:rsid w:val="300B2375"/>
    <w:rsid w:val="302C3BA5"/>
    <w:rsid w:val="303970BD"/>
    <w:rsid w:val="303A5719"/>
    <w:rsid w:val="303B665A"/>
    <w:rsid w:val="304C2229"/>
    <w:rsid w:val="305D0DED"/>
    <w:rsid w:val="309605D0"/>
    <w:rsid w:val="30AC5CDB"/>
    <w:rsid w:val="30B968C9"/>
    <w:rsid w:val="30C71C5F"/>
    <w:rsid w:val="30EF13AC"/>
    <w:rsid w:val="30F73B34"/>
    <w:rsid w:val="31120950"/>
    <w:rsid w:val="312071B2"/>
    <w:rsid w:val="312F5F78"/>
    <w:rsid w:val="31481F95"/>
    <w:rsid w:val="3152120E"/>
    <w:rsid w:val="31804AE5"/>
    <w:rsid w:val="31A2454E"/>
    <w:rsid w:val="31E2743D"/>
    <w:rsid w:val="324A0306"/>
    <w:rsid w:val="3273557A"/>
    <w:rsid w:val="32745651"/>
    <w:rsid w:val="327C4DBB"/>
    <w:rsid w:val="3290127C"/>
    <w:rsid w:val="32977DFB"/>
    <w:rsid w:val="32AC41B6"/>
    <w:rsid w:val="32BE4EBB"/>
    <w:rsid w:val="330B7C1C"/>
    <w:rsid w:val="33487374"/>
    <w:rsid w:val="3356503C"/>
    <w:rsid w:val="3358616F"/>
    <w:rsid w:val="338411F1"/>
    <w:rsid w:val="338439F3"/>
    <w:rsid w:val="338B0EAB"/>
    <w:rsid w:val="33A77D3F"/>
    <w:rsid w:val="33B07547"/>
    <w:rsid w:val="33B86B08"/>
    <w:rsid w:val="34155C0A"/>
    <w:rsid w:val="341B46CA"/>
    <w:rsid w:val="341B4F41"/>
    <w:rsid w:val="342507CA"/>
    <w:rsid w:val="34365E5B"/>
    <w:rsid w:val="34452887"/>
    <w:rsid w:val="344D10D1"/>
    <w:rsid w:val="34585454"/>
    <w:rsid w:val="345C223D"/>
    <w:rsid w:val="345F54D2"/>
    <w:rsid w:val="346A38DB"/>
    <w:rsid w:val="347B4A7C"/>
    <w:rsid w:val="34C32D37"/>
    <w:rsid w:val="34C86F04"/>
    <w:rsid w:val="34E82FA8"/>
    <w:rsid w:val="34F43D78"/>
    <w:rsid w:val="352E1AEE"/>
    <w:rsid w:val="353A040A"/>
    <w:rsid w:val="35521C1D"/>
    <w:rsid w:val="355662ED"/>
    <w:rsid w:val="355C65C5"/>
    <w:rsid w:val="355F41C7"/>
    <w:rsid w:val="356B1D11"/>
    <w:rsid w:val="35987D00"/>
    <w:rsid w:val="35CD4B23"/>
    <w:rsid w:val="35DF7356"/>
    <w:rsid w:val="360F36CE"/>
    <w:rsid w:val="36425281"/>
    <w:rsid w:val="368154CF"/>
    <w:rsid w:val="36816EE7"/>
    <w:rsid w:val="3696710D"/>
    <w:rsid w:val="36CE3589"/>
    <w:rsid w:val="36E72EAA"/>
    <w:rsid w:val="36F04D77"/>
    <w:rsid w:val="37022B95"/>
    <w:rsid w:val="370E1BD7"/>
    <w:rsid w:val="37406F91"/>
    <w:rsid w:val="37510326"/>
    <w:rsid w:val="37797999"/>
    <w:rsid w:val="37A8582F"/>
    <w:rsid w:val="37B0777F"/>
    <w:rsid w:val="37C4498C"/>
    <w:rsid w:val="37C75020"/>
    <w:rsid w:val="37CC745E"/>
    <w:rsid w:val="37F618D7"/>
    <w:rsid w:val="37FC4ED3"/>
    <w:rsid w:val="38514471"/>
    <w:rsid w:val="3881462B"/>
    <w:rsid w:val="38A04635"/>
    <w:rsid w:val="38AA195F"/>
    <w:rsid w:val="38FA514D"/>
    <w:rsid w:val="39015276"/>
    <w:rsid w:val="39016810"/>
    <w:rsid w:val="39077C38"/>
    <w:rsid w:val="390B164A"/>
    <w:rsid w:val="391E173F"/>
    <w:rsid w:val="392E1D74"/>
    <w:rsid w:val="394B39F3"/>
    <w:rsid w:val="3951617D"/>
    <w:rsid w:val="39567866"/>
    <w:rsid w:val="395C1E67"/>
    <w:rsid w:val="395F26ED"/>
    <w:rsid w:val="396D0371"/>
    <w:rsid w:val="3984249C"/>
    <w:rsid w:val="398E45A1"/>
    <w:rsid w:val="398F35D0"/>
    <w:rsid w:val="39B527DE"/>
    <w:rsid w:val="39B711D2"/>
    <w:rsid w:val="39B77EFC"/>
    <w:rsid w:val="3A0E0140"/>
    <w:rsid w:val="3A42532C"/>
    <w:rsid w:val="3A505EFA"/>
    <w:rsid w:val="3A6F6E31"/>
    <w:rsid w:val="3A7E7FA7"/>
    <w:rsid w:val="3A853F4A"/>
    <w:rsid w:val="3A8F604D"/>
    <w:rsid w:val="3ABE44EB"/>
    <w:rsid w:val="3AEE41FA"/>
    <w:rsid w:val="3AEF1D0C"/>
    <w:rsid w:val="3B2A3382"/>
    <w:rsid w:val="3B31154E"/>
    <w:rsid w:val="3B466319"/>
    <w:rsid w:val="3B7170FB"/>
    <w:rsid w:val="3B73702B"/>
    <w:rsid w:val="3BA40D5C"/>
    <w:rsid w:val="3BA46004"/>
    <w:rsid w:val="3BAD636A"/>
    <w:rsid w:val="3BB55334"/>
    <w:rsid w:val="3BC51029"/>
    <w:rsid w:val="3BC8280D"/>
    <w:rsid w:val="3BDD601C"/>
    <w:rsid w:val="3BF17080"/>
    <w:rsid w:val="3BFF42B9"/>
    <w:rsid w:val="3C153562"/>
    <w:rsid w:val="3C1E04CE"/>
    <w:rsid w:val="3C291705"/>
    <w:rsid w:val="3C2F1B25"/>
    <w:rsid w:val="3C3105D1"/>
    <w:rsid w:val="3C3105DA"/>
    <w:rsid w:val="3C33742C"/>
    <w:rsid w:val="3C496EB6"/>
    <w:rsid w:val="3C7050E2"/>
    <w:rsid w:val="3C805255"/>
    <w:rsid w:val="3CA50F71"/>
    <w:rsid w:val="3CAF36AA"/>
    <w:rsid w:val="3CF45563"/>
    <w:rsid w:val="3CF8135F"/>
    <w:rsid w:val="3CF85D37"/>
    <w:rsid w:val="3D6F5D56"/>
    <w:rsid w:val="3D995894"/>
    <w:rsid w:val="3D9B4FF8"/>
    <w:rsid w:val="3DC15AD3"/>
    <w:rsid w:val="3DD84CED"/>
    <w:rsid w:val="3DF1587D"/>
    <w:rsid w:val="3E1B1F2C"/>
    <w:rsid w:val="3E1C1DDC"/>
    <w:rsid w:val="3E2302F8"/>
    <w:rsid w:val="3E305AFA"/>
    <w:rsid w:val="3E3068D7"/>
    <w:rsid w:val="3E407E8E"/>
    <w:rsid w:val="3E4C4CA0"/>
    <w:rsid w:val="3E640889"/>
    <w:rsid w:val="3E9C44E1"/>
    <w:rsid w:val="3EA804DF"/>
    <w:rsid w:val="3EF861A9"/>
    <w:rsid w:val="3EFF5979"/>
    <w:rsid w:val="3F0264C5"/>
    <w:rsid w:val="3F41712A"/>
    <w:rsid w:val="3F6F3A0E"/>
    <w:rsid w:val="3F8D5A65"/>
    <w:rsid w:val="3FAC42F5"/>
    <w:rsid w:val="3FB75293"/>
    <w:rsid w:val="3FD43CD8"/>
    <w:rsid w:val="3FD46325"/>
    <w:rsid w:val="3FDD1E6D"/>
    <w:rsid w:val="3FEA49B8"/>
    <w:rsid w:val="401F5E62"/>
    <w:rsid w:val="404043A0"/>
    <w:rsid w:val="407B4B3A"/>
    <w:rsid w:val="40A05B7D"/>
    <w:rsid w:val="414A5732"/>
    <w:rsid w:val="414E7F5B"/>
    <w:rsid w:val="41522EB5"/>
    <w:rsid w:val="416C7B24"/>
    <w:rsid w:val="41716CB2"/>
    <w:rsid w:val="418543A2"/>
    <w:rsid w:val="418F5DD2"/>
    <w:rsid w:val="41924D0F"/>
    <w:rsid w:val="419E7FFC"/>
    <w:rsid w:val="41E4260C"/>
    <w:rsid w:val="41E573AD"/>
    <w:rsid w:val="42276243"/>
    <w:rsid w:val="425F2AE5"/>
    <w:rsid w:val="42905BC6"/>
    <w:rsid w:val="42982E87"/>
    <w:rsid w:val="42994958"/>
    <w:rsid w:val="42AA4D89"/>
    <w:rsid w:val="42B46AFE"/>
    <w:rsid w:val="42D135B0"/>
    <w:rsid w:val="42F77D1A"/>
    <w:rsid w:val="42FB56E1"/>
    <w:rsid w:val="43000F6E"/>
    <w:rsid w:val="432033BE"/>
    <w:rsid w:val="43501B69"/>
    <w:rsid w:val="43850713"/>
    <w:rsid w:val="43863E28"/>
    <w:rsid w:val="43864FE1"/>
    <w:rsid w:val="439310F4"/>
    <w:rsid w:val="43970158"/>
    <w:rsid w:val="439D1140"/>
    <w:rsid w:val="43B06ABE"/>
    <w:rsid w:val="43DA2AAC"/>
    <w:rsid w:val="43FE4D82"/>
    <w:rsid w:val="44550F5C"/>
    <w:rsid w:val="445D3AA1"/>
    <w:rsid w:val="44821808"/>
    <w:rsid w:val="4497145E"/>
    <w:rsid w:val="44AD5AC5"/>
    <w:rsid w:val="44E915E3"/>
    <w:rsid w:val="450D6E7A"/>
    <w:rsid w:val="451C5E07"/>
    <w:rsid w:val="452E77FE"/>
    <w:rsid w:val="4542321E"/>
    <w:rsid w:val="454B3FF6"/>
    <w:rsid w:val="455E312C"/>
    <w:rsid w:val="456B409C"/>
    <w:rsid w:val="456B6905"/>
    <w:rsid w:val="45821FBD"/>
    <w:rsid w:val="458E51F8"/>
    <w:rsid w:val="459D7700"/>
    <w:rsid w:val="45EB776B"/>
    <w:rsid w:val="45EC7196"/>
    <w:rsid w:val="46362AA7"/>
    <w:rsid w:val="464246DB"/>
    <w:rsid w:val="46684F0D"/>
    <w:rsid w:val="466864F2"/>
    <w:rsid w:val="46834D19"/>
    <w:rsid w:val="468C20AE"/>
    <w:rsid w:val="4691169B"/>
    <w:rsid w:val="46DE01FD"/>
    <w:rsid w:val="46E92A8E"/>
    <w:rsid w:val="46F26987"/>
    <w:rsid w:val="46F9159C"/>
    <w:rsid w:val="47004588"/>
    <w:rsid w:val="470C5E5C"/>
    <w:rsid w:val="471103F8"/>
    <w:rsid w:val="473413F6"/>
    <w:rsid w:val="47454B3C"/>
    <w:rsid w:val="475E0DDF"/>
    <w:rsid w:val="476B50CE"/>
    <w:rsid w:val="47873D2D"/>
    <w:rsid w:val="47A2517D"/>
    <w:rsid w:val="47BA4356"/>
    <w:rsid w:val="47CA7D9C"/>
    <w:rsid w:val="47D434D9"/>
    <w:rsid w:val="481D1427"/>
    <w:rsid w:val="48366EBC"/>
    <w:rsid w:val="485D1043"/>
    <w:rsid w:val="48677888"/>
    <w:rsid w:val="486D7830"/>
    <w:rsid w:val="48867AAB"/>
    <w:rsid w:val="48944CDC"/>
    <w:rsid w:val="489675D1"/>
    <w:rsid w:val="48974795"/>
    <w:rsid w:val="48A169EB"/>
    <w:rsid w:val="48A56114"/>
    <w:rsid w:val="48C43662"/>
    <w:rsid w:val="48DA2590"/>
    <w:rsid w:val="48FB7270"/>
    <w:rsid w:val="490A71B5"/>
    <w:rsid w:val="49224B39"/>
    <w:rsid w:val="49387B02"/>
    <w:rsid w:val="49406236"/>
    <w:rsid w:val="49464848"/>
    <w:rsid w:val="49677B34"/>
    <w:rsid w:val="49A10874"/>
    <w:rsid w:val="49A26E51"/>
    <w:rsid w:val="49A8047C"/>
    <w:rsid w:val="49A902C1"/>
    <w:rsid w:val="49E970F6"/>
    <w:rsid w:val="49FE0F8C"/>
    <w:rsid w:val="4A10240A"/>
    <w:rsid w:val="4A1D6071"/>
    <w:rsid w:val="4A232041"/>
    <w:rsid w:val="4A3B3C09"/>
    <w:rsid w:val="4A6327EB"/>
    <w:rsid w:val="4A736F9F"/>
    <w:rsid w:val="4A9B3632"/>
    <w:rsid w:val="4ADA0199"/>
    <w:rsid w:val="4AEA3829"/>
    <w:rsid w:val="4AFE3C4A"/>
    <w:rsid w:val="4B044FF3"/>
    <w:rsid w:val="4B400266"/>
    <w:rsid w:val="4B61652B"/>
    <w:rsid w:val="4B773D97"/>
    <w:rsid w:val="4B7D3DA0"/>
    <w:rsid w:val="4B957717"/>
    <w:rsid w:val="4BAE17DB"/>
    <w:rsid w:val="4BB10299"/>
    <w:rsid w:val="4BB52448"/>
    <w:rsid w:val="4BC86EF9"/>
    <w:rsid w:val="4BCE1050"/>
    <w:rsid w:val="4BD15AC4"/>
    <w:rsid w:val="4BE92E51"/>
    <w:rsid w:val="4BF71E18"/>
    <w:rsid w:val="4C137446"/>
    <w:rsid w:val="4C2352DB"/>
    <w:rsid w:val="4C244C24"/>
    <w:rsid w:val="4C50633F"/>
    <w:rsid w:val="4C7F4913"/>
    <w:rsid w:val="4C8D1398"/>
    <w:rsid w:val="4CB5457B"/>
    <w:rsid w:val="4CBE61D2"/>
    <w:rsid w:val="4CCE5C39"/>
    <w:rsid w:val="4CD10FE2"/>
    <w:rsid w:val="4CD349CC"/>
    <w:rsid w:val="4CD431F5"/>
    <w:rsid w:val="4CFD1540"/>
    <w:rsid w:val="4D221AE1"/>
    <w:rsid w:val="4D4852EA"/>
    <w:rsid w:val="4D991CD5"/>
    <w:rsid w:val="4DC72B8B"/>
    <w:rsid w:val="4DCD2301"/>
    <w:rsid w:val="4DFE6C83"/>
    <w:rsid w:val="4E1111A7"/>
    <w:rsid w:val="4E2315B4"/>
    <w:rsid w:val="4E3A2F7A"/>
    <w:rsid w:val="4E3B4FFE"/>
    <w:rsid w:val="4E4E3612"/>
    <w:rsid w:val="4E5B3619"/>
    <w:rsid w:val="4E88393A"/>
    <w:rsid w:val="4E883AF0"/>
    <w:rsid w:val="4EA211BD"/>
    <w:rsid w:val="4EDF61AF"/>
    <w:rsid w:val="4EE01C53"/>
    <w:rsid w:val="4EF4597C"/>
    <w:rsid w:val="4F165675"/>
    <w:rsid w:val="4F275AD4"/>
    <w:rsid w:val="4F2B696A"/>
    <w:rsid w:val="4F3F568B"/>
    <w:rsid w:val="4F50010F"/>
    <w:rsid w:val="4F647046"/>
    <w:rsid w:val="4F7B197C"/>
    <w:rsid w:val="4F836589"/>
    <w:rsid w:val="4F8A0F9E"/>
    <w:rsid w:val="4F9F665C"/>
    <w:rsid w:val="4FB56C3C"/>
    <w:rsid w:val="4FC94BB4"/>
    <w:rsid w:val="4FF14EC9"/>
    <w:rsid w:val="502529F1"/>
    <w:rsid w:val="50291D40"/>
    <w:rsid w:val="50646727"/>
    <w:rsid w:val="507F3C4C"/>
    <w:rsid w:val="50A36823"/>
    <w:rsid w:val="50E82CA8"/>
    <w:rsid w:val="50EA2180"/>
    <w:rsid w:val="50EA500B"/>
    <w:rsid w:val="50F814D6"/>
    <w:rsid w:val="510A56C7"/>
    <w:rsid w:val="51190A04"/>
    <w:rsid w:val="51764AF1"/>
    <w:rsid w:val="51765F37"/>
    <w:rsid w:val="51813034"/>
    <w:rsid w:val="51A011F7"/>
    <w:rsid w:val="51DF3186"/>
    <w:rsid w:val="51E10B00"/>
    <w:rsid w:val="521C1CAA"/>
    <w:rsid w:val="523803C8"/>
    <w:rsid w:val="52706961"/>
    <w:rsid w:val="527105C4"/>
    <w:rsid w:val="52800CB3"/>
    <w:rsid w:val="52802367"/>
    <w:rsid w:val="52996B6A"/>
    <w:rsid w:val="529B01D8"/>
    <w:rsid w:val="52A032D1"/>
    <w:rsid w:val="52D54B7E"/>
    <w:rsid w:val="52E10EA1"/>
    <w:rsid w:val="52FC4B82"/>
    <w:rsid w:val="53385891"/>
    <w:rsid w:val="533D7F16"/>
    <w:rsid w:val="535C545E"/>
    <w:rsid w:val="53760DD8"/>
    <w:rsid w:val="53873325"/>
    <w:rsid w:val="539D0113"/>
    <w:rsid w:val="53FB63A0"/>
    <w:rsid w:val="54023FDE"/>
    <w:rsid w:val="540A66D3"/>
    <w:rsid w:val="543E1995"/>
    <w:rsid w:val="544B3EB0"/>
    <w:rsid w:val="54B934F6"/>
    <w:rsid w:val="54BD2E52"/>
    <w:rsid w:val="54C529FC"/>
    <w:rsid w:val="54CB539B"/>
    <w:rsid w:val="54FF0DFE"/>
    <w:rsid w:val="5503086A"/>
    <w:rsid w:val="550816C7"/>
    <w:rsid w:val="550D7A7F"/>
    <w:rsid w:val="55197692"/>
    <w:rsid w:val="553C395C"/>
    <w:rsid w:val="55674E7D"/>
    <w:rsid w:val="557318DD"/>
    <w:rsid w:val="55874E19"/>
    <w:rsid w:val="558A1A37"/>
    <w:rsid w:val="558D716F"/>
    <w:rsid w:val="55AA03E8"/>
    <w:rsid w:val="55B368A5"/>
    <w:rsid w:val="55BA4D34"/>
    <w:rsid w:val="56094A0A"/>
    <w:rsid w:val="56215851"/>
    <w:rsid w:val="56367388"/>
    <w:rsid w:val="565076BF"/>
    <w:rsid w:val="565D1DDC"/>
    <w:rsid w:val="56730BDD"/>
    <w:rsid w:val="56DE1351"/>
    <w:rsid w:val="56FA0D87"/>
    <w:rsid w:val="56FC6C08"/>
    <w:rsid w:val="572B56E4"/>
    <w:rsid w:val="573C5E95"/>
    <w:rsid w:val="573C71F5"/>
    <w:rsid w:val="574914EF"/>
    <w:rsid w:val="576B07C1"/>
    <w:rsid w:val="577A44B3"/>
    <w:rsid w:val="577E625F"/>
    <w:rsid w:val="578F1872"/>
    <w:rsid w:val="5799298C"/>
    <w:rsid w:val="57A628B9"/>
    <w:rsid w:val="57CD67C7"/>
    <w:rsid w:val="57F47098"/>
    <w:rsid w:val="580B0EFB"/>
    <w:rsid w:val="588872E1"/>
    <w:rsid w:val="588D5A69"/>
    <w:rsid w:val="58AA441B"/>
    <w:rsid w:val="58AB32D2"/>
    <w:rsid w:val="58AB7F8B"/>
    <w:rsid w:val="58B92EDA"/>
    <w:rsid w:val="58DA098B"/>
    <w:rsid w:val="58EA204C"/>
    <w:rsid w:val="59011095"/>
    <w:rsid w:val="59065538"/>
    <w:rsid w:val="59592A0F"/>
    <w:rsid w:val="595D5032"/>
    <w:rsid w:val="59812680"/>
    <w:rsid w:val="59820A00"/>
    <w:rsid w:val="598C197E"/>
    <w:rsid w:val="59923365"/>
    <w:rsid w:val="599A3B6B"/>
    <w:rsid w:val="59A36263"/>
    <w:rsid w:val="59A76369"/>
    <w:rsid w:val="59AA7659"/>
    <w:rsid w:val="59AB3DF7"/>
    <w:rsid w:val="59D7465E"/>
    <w:rsid w:val="59E53268"/>
    <w:rsid w:val="59FE1A09"/>
    <w:rsid w:val="5A1304E7"/>
    <w:rsid w:val="5A166D9B"/>
    <w:rsid w:val="5A4F1233"/>
    <w:rsid w:val="5A5055F2"/>
    <w:rsid w:val="5A6307F6"/>
    <w:rsid w:val="5A930F80"/>
    <w:rsid w:val="5A9F5A30"/>
    <w:rsid w:val="5AAF1546"/>
    <w:rsid w:val="5AB96F09"/>
    <w:rsid w:val="5ADA6CE9"/>
    <w:rsid w:val="5AEE22F6"/>
    <w:rsid w:val="5AFA7F12"/>
    <w:rsid w:val="5B27237B"/>
    <w:rsid w:val="5B3277E1"/>
    <w:rsid w:val="5B363C77"/>
    <w:rsid w:val="5B4377F2"/>
    <w:rsid w:val="5B4C11AD"/>
    <w:rsid w:val="5B5A66AB"/>
    <w:rsid w:val="5B5B5F86"/>
    <w:rsid w:val="5B70435F"/>
    <w:rsid w:val="5B821CFB"/>
    <w:rsid w:val="5B995664"/>
    <w:rsid w:val="5BB50782"/>
    <w:rsid w:val="5BDB25C8"/>
    <w:rsid w:val="5BE81C6C"/>
    <w:rsid w:val="5C08666E"/>
    <w:rsid w:val="5C1635AA"/>
    <w:rsid w:val="5C687CED"/>
    <w:rsid w:val="5CA644DC"/>
    <w:rsid w:val="5CC91F79"/>
    <w:rsid w:val="5CCC1A69"/>
    <w:rsid w:val="5CE147F4"/>
    <w:rsid w:val="5CE40B61"/>
    <w:rsid w:val="5D1A74D7"/>
    <w:rsid w:val="5D662B16"/>
    <w:rsid w:val="5DA24FF7"/>
    <w:rsid w:val="5DB32151"/>
    <w:rsid w:val="5DE65640"/>
    <w:rsid w:val="5E076A07"/>
    <w:rsid w:val="5E0A0A9B"/>
    <w:rsid w:val="5E1E2EBB"/>
    <w:rsid w:val="5E2479D6"/>
    <w:rsid w:val="5E293216"/>
    <w:rsid w:val="5E304667"/>
    <w:rsid w:val="5E4C7240"/>
    <w:rsid w:val="5E690470"/>
    <w:rsid w:val="5E9E15FC"/>
    <w:rsid w:val="5EAA3650"/>
    <w:rsid w:val="5EBD0AD4"/>
    <w:rsid w:val="5EC23048"/>
    <w:rsid w:val="5ED54C05"/>
    <w:rsid w:val="5EED49F3"/>
    <w:rsid w:val="5F0647D6"/>
    <w:rsid w:val="5F150845"/>
    <w:rsid w:val="5F4753F3"/>
    <w:rsid w:val="5F6B42B4"/>
    <w:rsid w:val="5F953C7A"/>
    <w:rsid w:val="5F9E00CD"/>
    <w:rsid w:val="5FAB1E0A"/>
    <w:rsid w:val="5FB213EA"/>
    <w:rsid w:val="5FC95D88"/>
    <w:rsid w:val="5FD52689"/>
    <w:rsid w:val="5FE5531C"/>
    <w:rsid w:val="5FF8219E"/>
    <w:rsid w:val="6023254D"/>
    <w:rsid w:val="60250158"/>
    <w:rsid w:val="602F3998"/>
    <w:rsid w:val="603E67DA"/>
    <w:rsid w:val="606942EB"/>
    <w:rsid w:val="6081177F"/>
    <w:rsid w:val="60A17C9E"/>
    <w:rsid w:val="60C44EA2"/>
    <w:rsid w:val="60D35223"/>
    <w:rsid w:val="60DB13D5"/>
    <w:rsid w:val="60E9091C"/>
    <w:rsid w:val="60F70C20"/>
    <w:rsid w:val="60F95BE9"/>
    <w:rsid w:val="61204AFB"/>
    <w:rsid w:val="61230839"/>
    <w:rsid w:val="614D0012"/>
    <w:rsid w:val="61561952"/>
    <w:rsid w:val="61601153"/>
    <w:rsid w:val="61716E73"/>
    <w:rsid w:val="61724491"/>
    <w:rsid w:val="61733AD5"/>
    <w:rsid w:val="61850F57"/>
    <w:rsid w:val="61A11716"/>
    <w:rsid w:val="624028F4"/>
    <w:rsid w:val="6241790B"/>
    <w:rsid w:val="62475BA8"/>
    <w:rsid w:val="626B05E6"/>
    <w:rsid w:val="626B2AFF"/>
    <w:rsid w:val="627A5DFB"/>
    <w:rsid w:val="628E42BD"/>
    <w:rsid w:val="62BC5E59"/>
    <w:rsid w:val="62E80F92"/>
    <w:rsid w:val="62EB55CC"/>
    <w:rsid w:val="62F22528"/>
    <w:rsid w:val="63272B8E"/>
    <w:rsid w:val="633B489B"/>
    <w:rsid w:val="636E08CE"/>
    <w:rsid w:val="636F0714"/>
    <w:rsid w:val="639D18BA"/>
    <w:rsid w:val="639F3A33"/>
    <w:rsid w:val="63A33F79"/>
    <w:rsid w:val="63B16FEC"/>
    <w:rsid w:val="63B53257"/>
    <w:rsid w:val="63D97F65"/>
    <w:rsid w:val="63DF6785"/>
    <w:rsid w:val="64216408"/>
    <w:rsid w:val="64594EDC"/>
    <w:rsid w:val="64606A68"/>
    <w:rsid w:val="64730A47"/>
    <w:rsid w:val="64860F08"/>
    <w:rsid w:val="648F591D"/>
    <w:rsid w:val="64962970"/>
    <w:rsid w:val="64B36E2B"/>
    <w:rsid w:val="64CC4A5C"/>
    <w:rsid w:val="64CD21AB"/>
    <w:rsid w:val="64D2357B"/>
    <w:rsid w:val="64D26A44"/>
    <w:rsid w:val="64F20C44"/>
    <w:rsid w:val="650A050E"/>
    <w:rsid w:val="65402FF4"/>
    <w:rsid w:val="654B041A"/>
    <w:rsid w:val="65530F79"/>
    <w:rsid w:val="6596108C"/>
    <w:rsid w:val="65BA529C"/>
    <w:rsid w:val="65C52709"/>
    <w:rsid w:val="65EC4433"/>
    <w:rsid w:val="65F42170"/>
    <w:rsid w:val="65F83E57"/>
    <w:rsid w:val="662F1923"/>
    <w:rsid w:val="662F3F80"/>
    <w:rsid w:val="66323F6B"/>
    <w:rsid w:val="663568D1"/>
    <w:rsid w:val="665D631A"/>
    <w:rsid w:val="667016B7"/>
    <w:rsid w:val="66B63154"/>
    <w:rsid w:val="66C25B0C"/>
    <w:rsid w:val="66CB2D0D"/>
    <w:rsid w:val="66CC6EA3"/>
    <w:rsid w:val="66F71345"/>
    <w:rsid w:val="6720039A"/>
    <w:rsid w:val="673103B4"/>
    <w:rsid w:val="6732269F"/>
    <w:rsid w:val="67C62A04"/>
    <w:rsid w:val="67E620E3"/>
    <w:rsid w:val="67EC27B5"/>
    <w:rsid w:val="687D179C"/>
    <w:rsid w:val="689F32CE"/>
    <w:rsid w:val="68E11A48"/>
    <w:rsid w:val="690F5F74"/>
    <w:rsid w:val="69897AB0"/>
    <w:rsid w:val="699A2F3C"/>
    <w:rsid w:val="69A14F0A"/>
    <w:rsid w:val="69AF0D22"/>
    <w:rsid w:val="69D66033"/>
    <w:rsid w:val="69F91E6A"/>
    <w:rsid w:val="6A0546F8"/>
    <w:rsid w:val="6A126814"/>
    <w:rsid w:val="6A281125"/>
    <w:rsid w:val="6A4A5BFE"/>
    <w:rsid w:val="6A4E3B2B"/>
    <w:rsid w:val="6A647785"/>
    <w:rsid w:val="6A9E1F93"/>
    <w:rsid w:val="6AB07087"/>
    <w:rsid w:val="6ACC2E43"/>
    <w:rsid w:val="6B16351C"/>
    <w:rsid w:val="6B237186"/>
    <w:rsid w:val="6B3761C7"/>
    <w:rsid w:val="6B4757FD"/>
    <w:rsid w:val="6B5024D1"/>
    <w:rsid w:val="6B5544BE"/>
    <w:rsid w:val="6B673A57"/>
    <w:rsid w:val="6B703516"/>
    <w:rsid w:val="6BBC3C61"/>
    <w:rsid w:val="6BC43854"/>
    <w:rsid w:val="6C0C2BFA"/>
    <w:rsid w:val="6C1F79C7"/>
    <w:rsid w:val="6C5B4C3B"/>
    <w:rsid w:val="6C68197F"/>
    <w:rsid w:val="6C964017"/>
    <w:rsid w:val="6CA95E8E"/>
    <w:rsid w:val="6CD8449D"/>
    <w:rsid w:val="6CE64FBD"/>
    <w:rsid w:val="6D042859"/>
    <w:rsid w:val="6D2E1052"/>
    <w:rsid w:val="6D52739D"/>
    <w:rsid w:val="6D6C15A7"/>
    <w:rsid w:val="6D7C1273"/>
    <w:rsid w:val="6D7D3711"/>
    <w:rsid w:val="6D847121"/>
    <w:rsid w:val="6D903B3F"/>
    <w:rsid w:val="6DDD2C1A"/>
    <w:rsid w:val="6DE51A9A"/>
    <w:rsid w:val="6DF67C63"/>
    <w:rsid w:val="6E0555FC"/>
    <w:rsid w:val="6E0978FA"/>
    <w:rsid w:val="6E1D7CE4"/>
    <w:rsid w:val="6E3073CA"/>
    <w:rsid w:val="6E3112DF"/>
    <w:rsid w:val="6E335A77"/>
    <w:rsid w:val="6E3A26C1"/>
    <w:rsid w:val="6E6C5D10"/>
    <w:rsid w:val="6E7C64DF"/>
    <w:rsid w:val="6EA40C83"/>
    <w:rsid w:val="6EAF30A5"/>
    <w:rsid w:val="6EB50164"/>
    <w:rsid w:val="6ECD3F62"/>
    <w:rsid w:val="6EED65A7"/>
    <w:rsid w:val="6EF84C0F"/>
    <w:rsid w:val="6EF92A6B"/>
    <w:rsid w:val="6F041EEE"/>
    <w:rsid w:val="6F2A7562"/>
    <w:rsid w:val="6F5C0188"/>
    <w:rsid w:val="6FD44A65"/>
    <w:rsid w:val="6FD675B1"/>
    <w:rsid w:val="6FEE6861"/>
    <w:rsid w:val="700009A8"/>
    <w:rsid w:val="70146421"/>
    <w:rsid w:val="701D465E"/>
    <w:rsid w:val="70497D54"/>
    <w:rsid w:val="705E7B3C"/>
    <w:rsid w:val="7060454A"/>
    <w:rsid w:val="709233A6"/>
    <w:rsid w:val="70A42689"/>
    <w:rsid w:val="70BA2CE7"/>
    <w:rsid w:val="70C63E73"/>
    <w:rsid w:val="70D26B0C"/>
    <w:rsid w:val="70D57A20"/>
    <w:rsid w:val="70FB07F1"/>
    <w:rsid w:val="711D44A6"/>
    <w:rsid w:val="712D3679"/>
    <w:rsid w:val="71325C1A"/>
    <w:rsid w:val="71387473"/>
    <w:rsid w:val="71455B1B"/>
    <w:rsid w:val="716D4EC0"/>
    <w:rsid w:val="718801FD"/>
    <w:rsid w:val="71A00F4B"/>
    <w:rsid w:val="71A46E80"/>
    <w:rsid w:val="71B46975"/>
    <w:rsid w:val="71C73400"/>
    <w:rsid w:val="71CD2C3F"/>
    <w:rsid w:val="71DE74B5"/>
    <w:rsid w:val="720517EC"/>
    <w:rsid w:val="723658EE"/>
    <w:rsid w:val="724F342E"/>
    <w:rsid w:val="7279629F"/>
    <w:rsid w:val="72C86E8C"/>
    <w:rsid w:val="72DE56EC"/>
    <w:rsid w:val="72E30BF7"/>
    <w:rsid w:val="73050FCD"/>
    <w:rsid w:val="731678B0"/>
    <w:rsid w:val="73224E88"/>
    <w:rsid w:val="73716FF5"/>
    <w:rsid w:val="737A43CA"/>
    <w:rsid w:val="73C44E83"/>
    <w:rsid w:val="73DB7FD5"/>
    <w:rsid w:val="73FB4A01"/>
    <w:rsid w:val="740C6EC3"/>
    <w:rsid w:val="74192A57"/>
    <w:rsid w:val="74291302"/>
    <w:rsid w:val="742B3FC5"/>
    <w:rsid w:val="74614E0E"/>
    <w:rsid w:val="74722A33"/>
    <w:rsid w:val="747D0B16"/>
    <w:rsid w:val="747F4E41"/>
    <w:rsid w:val="74CC7970"/>
    <w:rsid w:val="74DD4C3D"/>
    <w:rsid w:val="74E24DC3"/>
    <w:rsid w:val="74F05B49"/>
    <w:rsid w:val="750E5B9D"/>
    <w:rsid w:val="751327F9"/>
    <w:rsid w:val="7533238A"/>
    <w:rsid w:val="75382C69"/>
    <w:rsid w:val="753871DF"/>
    <w:rsid w:val="75461F61"/>
    <w:rsid w:val="754B0E32"/>
    <w:rsid w:val="75600CBA"/>
    <w:rsid w:val="756D208F"/>
    <w:rsid w:val="757765BE"/>
    <w:rsid w:val="758229C0"/>
    <w:rsid w:val="758E26A4"/>
    <w:rsid w:val="7590109C"/>
    <w:rsid w:val="75B039A9"/>
    <w:rsid w:val="75C372F4"/>
    <w:rsid w:val="75C83CC5"/>
    <w:rsid w:val="75CB4B5C"/>
    <w:rsid w:val="76504308"/>
    <w:rsid w:val="768A574F"/>
    <w:rsid w:val="769A7896"/>
    <w:rsid w:val="76F55C40"/>
    <w:rsid w:val="76F952B5"/>
    <w:rsid w:val="771564CE"/>
    <w:rsid w:val="77273711"/>
    <w:rsid w:val="77277B95"/>
    <w:rsid w:val="77713B72"/>
    <w:rsid w:val="77A12D3C"/>
    <w:rsid w:val="77A45665"/>
    <w:rsid w:val="77AE203F"/>
    <w:rsid w:val="77AE3DED"/>
    <w:rsid w:val="77C65484"/>
    <w:rsid w:val="78311A55"/>
    <w:rsid w:val="784337E5"/>
    <w:rsid w:val="78560360"/>
    <w:rsid w:val="786055C7"/>
    <w:rsid w:val="786748A1"/>
    <w:rsid w:val="78A441B8"/>
    <w:rsid w:val="78A55961"/>
    <w:rsid w:val="78AA0A59"/>
    <w:rsid w:val="78C66E97"/>
    <w:rsid w:val="78DA407B"/>
    <w:rsid w:val="78ED4486"/>
    <w:rsid w:val="790F4459"/>
    <w:rsid w:val="791602A2"/>
    <w:rsid w:val="793C27A7"/>
    <w:rsid w:val="79407785"/>
    <w:rsid w:val="794459D1"/>
    <w:rsid w:val="796551FB"/>
    <w:rsid w:val="79797662"/>
    <w:rsid w:val="797B2A69"/>
    <w:rsid w:val="79986B03"/>
    <w:rsid w:val="79A77101"/>
    <w:rsid w:val="79B853F7"/>
    <w:rsid w:val="79CB3E3E"/>
    <w:rsid w:val="79DF2984"/>
    <w:rsid w:val="7A216775"/>
    <w:rsid w:val="7A291E51"/>
    <w:rsid w:val="7A947576"/>
    <w:rsid w:val="7AA76504"/>
    <w:rsid w:val="7AB666E0"/>
    <w:rsid w:val="7ACD4571"/>
    <w:rsid w:val="7AD13CA9"/>
    <w:rsid w:val="7AD33987"/>
    <w:rsid w:val="7B280CDE"/>
    <w:rsid w:val="7B2965AD"/>
    <w:rsid w:val="7B3266B9"/>
    <w:rsid w:val="7B3975B3"/>
    <w:rsid w:val="7B4101AD"/>
    <w:rsid w:val="7B735A7A"/>
    <w:rsid w:val="7B8340DE"/>
    <w:rsid w:val="7B8A5305"/>
    <w:rsid w:val="7B9C6AA1"/>
    <w:rsid w:val="7BA63BE5"/>
    <w:rsid w:val="7BB95208"/>
    <w:rsid w:val="7BC15F99"/>
    <w:rsid w:val="7BD81D81"/>
    <w:rsid w:val="7BEA273E"/>
    <w:rsid w:val="7BEA640A"/>
    <w:rsid w:val="7C044924"/>
    <w:rsid w:val="7C3A5A70"/>
    <w:rsid w:val="7C3B26F2"/>
    <w:rsid w:val="7C3C2310"/>
    <w:rsid w:val="7C594C70"/>
    <w:rsid w:val="7C5D33C6"/>
    <w:rsid w:val="7CA03982"/>
    <w:rsid w:val="7CB401B2"/>
    <w:rsid w:val="7CBE6460"/>
    <w:rsid w:val="7CF026F2"/>
    <w:rsid w:val="7D222AE5"/>
    <w:rsid w:val="7D2A690E"/>
    <w:rsid w:val="7D434FAD"/>
    <w:rsid w:val="7D485404"/>
    <w:rsid w:val="7D795600"/>
    <w:rsid w:val="7D876E00"/>
    <w:rsid w:val="7DA02AF4"/>
    <w:rsid w:val="7DA43B39"/>
    <w:rsid w:val="7DB75391"/>
    <w:rsid w:val="7DBD5D86"/>
    <w:rsid w:val="7DD6693B"/>
    <w:rsid w:val="7DE84C60"/>
    <w:rsid w:val="7DF91B0E"/>
    <w:rsid w:val="7E05225A"/>
    <w:rsid w:val="7E094919"/>
    <w:rsid w:val="7E392747"/>
    <w:rsid w:val="7E395D95"/>
    <w:rsid w:val="7E562730"/>
    <w:rsid w:val="7E6B49F6"/>
    <w:rsid w:val="7E71385C"/>
    <w:rsid w:val="7E806727"/>
    <w:rsid w:val="7E865EBE"/>
    <w:rsid w:val="7E8C2508"/>
    <w:rsid w:val="7ECD6B3B"/>
    <w:rsid w:val="7ED122C0"/>
    <w:rsid w:val="7F0B7D77"/>
    <w:rsid w:val="7F0C421B"/>
    <w:rsid w:val="7F0D4C0A"/>
    <w:rsid w:val="7F1D68E0"/>
    <w:rsid w:val="7F695CCD"/>
    <w:rsid w:val="7F827F34"/>
    <w:rsid w:val="7F9F321E"/>
    <w:rsid w:val="7FCB3FBF"/>
    <w:rsid w:val="7FCE327F"/>
    <w:rsid w:val="7FDF1BD2"/>
    <w:rsid w:val="7FF330A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uiPriority="99" w:name="footnote text"/>
    <w:lsdException w:qFormat="1"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nhideWhenUsed="0" w:uiPriority="99" w:semiHidden="0" w:name="Table Web 2"/>
    <w:lsdException w:unhideWhenUsed="0" w:uiPriority="99" w:semiHidden="0" w:name="Table Web 3"/>
    <w:lsdException w:qFormat="1" w:unhideWhenUsed="0" w:uiPriority="0" w:semiHidden="0" w:name="Balloon Text"/>
    <w:lsdException w:qFormat="1" w:unhideWhenUsed="0" w:uiPriority="5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56"/>
    <w:qFormat/>
    <w:uiPriority w:val="0"/>
    <w:pPr>
      <w:keepNext/>
      <w:outlineLvl w:val="0"/>
    </w:pPr>
    <w:rPr>
      <w:rFonts w:ascii="宋体"/>
      <w:sz w:val="28"/>
    </w:rPr>
  </w:style>
  <w:style w:type="paragraph" w:styleId="2">
    <w:name w:val="heading 2"/>
    <w:basedOn w:val="1"/>
    <w:next w:val="1"/>
    <w:link w:val="50"/>
    <w:qFormat/>
    <w:uiPriority w:val="0"/>
    <w:pPr>
      <w:keepNext/>
      <w:keepLines/>
      <w:spacing w:before="260" w:after="260" w:line="413"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3" w:lineRule="auto"/>
      <w:outlineLvl w:val="2"/>
    </w:pPr>
    <w:rPr>
      <w:b/>
      <w:bCs/>
      <w:sz w:val="32"/>
      <w:szCs w:val="32"/>
    </w:rPr>
  </w:style>
  <w:style w:type="paragraph" w:styleId="5">
    <w:name w:val="heading 4"/>
    <w:basedOn w:val="1"/>
    <w:next w:val="1"/>
    <w:qFormat/>
    <w:uiPriority w:val="9"/>
    <w:pPr>
      <w:keepNext/>
      <w:keepLines/>
      <w:spacing w:before="280" w:after="290" w:line="376" w:lineRule="auto"/>
      <w:outlineLvl w:val="3"/>
    </w:pPr>
    <w:rPr>
      <w:rFonts w:ascii="Cambria" w:hAnsi="Cambria"/>
      <w:b/>
      <w:bCs/>
      <w:sz w:val="28"/>
      <w:szCs w:val="28"/>
    </w:rPr>
  </w:style>
  <w:style w:type="paragraph" w:styleId="6">
    <w:name w:val="heading 5"/>
    <w:basedOn w:val="1"/>
    <w:next w:val="1"/>
    <w:unhideWhenUsed/>
    <w:qFormat/>
    <w:uiPriority w:val="0"/>
    <w:pPr>
      <w:ind w:left="380"/>
      <w:outlineLvl w:val="4"/>
    </w:pPr>
    <w:rPr>
      <w:rFonts w:ascii="仿宋" w:hAnsi="仿宋" w:eastAsia="仿宋" w:cs="仿宋"/>
      <w:b/>
      <w:bCs/>
      <w:sz w:val="24"/>
      <w:szCs w:val="24"/>
      <w:lang w:val="zh-CN" w:bidi="zh-CN"/>
    </w:rPr>
  </w:style>
  <w:style w:type="character" w:default="1" w:styleId="44">
    <w:name w:val="Default Paragraph Font"/>
    <w:unhideWhenUsed/>
    <w:qFormat/>
    <w:uiPriority w:val="1"/>
  </w:style>
  <w:style w:type="table" w:default="1" w:styleId="42">
    <w:name w:val="Normal Table"/>
    <w:unhideWhenUsed/>
    <w:qFormat/>
    <w:uiPriority w:val="99"/>
    <w:tblPr>
      <w:tblCellMar>
        <w:top w:w="0" w:type="dxa"/>
        <w:left w:w="108" w:type="dxa"/>
        <w:bottom w:w="0" w:type="dxa"/>
        <w:right w:w="108" w:type="dxa"/>
      </w:tblCellMar>
    </w:tblPr>
  </w:style>
  <w:style w:type="paragraph" w:styleId="7">
    <w:name w:val="List 3"/>
    <w:basedOn w:val="1"/>
    <w:qFormat/>
    <w:uiPriority w:val="0"/>
    <w:pPr>
      <w:ind w:left="100" w:leftChars="400" w:hanging="200" w:hangingChars="200"/>
    </w:pPr>
  </w:style>
  <w:style w:type="paragraph" w:styleId="8">
    <w:name w:val="toc 7"/>
    <w:basedOn w:val="1"/>
    <w:next w:val="1"/>
    <w:qFormat/>
    <w:uiPriority w:val="0"/>
    <w:pPr>
      <w:ind w:left="1260"/>
      <w:jc w:val="left"/>
    </w:pPr>
    <w:rPr>
      <w:rFonts w:asciiTheme="minorHAnsi" w:hAnsiTheme="minorHAnsi"/>
      <w:sz w:val="20"/>
    </w:rPr>
  </w:style>
  <w:style w:type="paragraph" w:styleId="9">
    <w:name w:val="Normal Indent"/>
    <w:basedOn w:val="1"/>
    <w:qFormat/>
    <w:uiPriority w:val="99"/>
    <w:pPr>
      <w:ind w:firstLine="420" w:firstLineChars="200"/>
    </w:pPr>
    <w:rPr>
      <w:rFonts w:eastAsia="仿宋"/>
      <w:szCs w:val="24"/>
    </w:rPr>
  </w:style>
  <w:style w:type="paragraph" w:styleId="10">
    <w:name w:val="caption"/>
    <w:basedOn w:val="1"/>
    <w:next w:val="1"/>
    <w:qFormat/>
    <w:uiPriority w:val="0"/>
    <w:rPr>
      <w:rFonts w:ascii="Arial" w:hAnsi="Arial" w:eastAsia="黑体" w:cs="Arial"/>
      <w:sz w:val="20"/>
    </w:rPr>
  </w:style>
  <w:style w:type="paragraph" w:styleId="11">
    <w:name w:val="Document Map"/>
    <w:basedOn w:val="1"/>
    <w:link w:val="54"/>
    <w:unhideWhenUsed/>
    <w:qFormat/>
    <w:uiPriority w:val="99"/>
    <w:rPr>
      <w:rFonts w:ascii="宋体"/>
      <w:sz w:val="18"/>
      <w:szCs w:val="18"/>
    </w:rPr>
  </w:style>
  <w:style w:type="paragraph" w:styleId="12">
    <w:name w:val="annotation text"/>
    <w:basedOn w:val="1"/>
    <w:link w:val="67"/>
    <w:unhideWhenUsed/>
    <w:qFormat/>
    <w:uiPriority w:val="99"/>
    <w:pPr>
      <w:jc w:val="left"/>
    </w:pPr>
  </w:style>
  <w:style w:type="paragraph" w:styleId="13">
    <w:name w:val="Body Text"/>
    <w:basedOn w:val="1"/>
    <w:next w:val="1"/>
    <w:qFormat/>
    <w:uiPriority w:val="0"/>
    <w:pPr>
      <w:spacing w:after="120"/>
    </w:pPr>
  </w:style>
  <w:style w:type="paragraph" w:styleId="14">
    <w:name w:val="Body Text Indent"/>
    <w:basedOn w:val="1"/>
    <w:qFormat/>
    <w:uiPriority w:val="0"/>
    <w:pPr>
      <w:autoSpaceDE w:val="0"/>
      <w:autoSpaceDN w:val="0"/>
      <w:adjustRightInd w:val="0"/>
      <w:spacing w:line="360" w:lineRule="auto"/>
      <w:ind w:firstLine="480"/>
      <w:jc w:val="left"/>
    </w:pPr>
    <w:rPr>
      <w:rFonts w:ascii="宋体" w:hAnsi="宋体"/>
      <w:kern w:val="0"/>
      <w:sz w:val="24"/>
    </w:rPr>
  </w:style>
  <w:style w:type="paragraph" w:styleId="15">
    <w:name w:val="List 2"/>
    <w:basedOn w:val="1"/>
    <w:qFormat/>
    <w:uiPriority w:val="0"/>
    <w:pPr>
      <w:ind w:left="100" w:leftChars="200" w:hanging="200" w:hangingChars="200"/>
    </w:pPr>
  </w:style>
  <w:style w:type="paragraph" w:styleId="16">
    <w:name w:val="List Continue"/>
    <w:basedOn w:val="1"/>
    <w:qFormat/>
    <w:uiPriority w:val="0"/>
    <w:pPr>
      <w:spacing w:after="120"/>
      <w:ind w:left="420" w:leftChars="200"/>
    </w:pPr>
  </w:style>
  <w:style w:type="paragraph" w:styleId="17">
    <w:name w:val="toc 5"/>
    <w:basedOn w:val="1"/>
    <w:next w:val="1"/>
    <w:qFormat/>
    <w:uiPriority w:val="0"/>
    <w:pPr>
      <w:ind w:left="840"/>
      <w:jc w:val="left"/>
    </w:pPr>
    <w:rPr>
      <w:rFonts w:asciiTheme="minorHAnsi" w:hAnsiTheme="minorHAnsi"/>
      <w:sz w:val="20"/>
    </w:rPr>
  </w:style>
  <w:style w:type="paragraph" w:styleId="18">
    <w:name w:val="toc 3"/>
    <w:basedOn w:val="1"/>
    <w:next w:val="1"/>
    <w:qFormat/>
    <w:uiPriority w:val="39"/>
    <w:pPr>
      <w:ind w:left="420"/>
      <w:jc w:val="left"/>
    </w:pPr>
    <w:rPr>
      <w:rFonts w:asciiTheme="minorHAnsi" w:hAnsiTheme="minorHAnsi"/>
      <w:sz w:val="20"/>
    </w:rPr>
  </w:style>
  <w:style w:type="paragraph" w:styleId="19">
    <w:name w:val="Plain Text"/>
    <w:basedOn w:val="1"/>
    <w:qFormat/>
    <w:uiPriority w:val="0"/>
    <w:rPr>
      <w:rFonts w:ascii="宋体" w:hAnsi="Courier New"/>
      <w:szCs w:val="22"/>
    </w:rPr>
  </w:style>
  <w:style w:type="paragraph" w:styleId="20">
    <w:name w:val="toc 8"/>
    <w:basedOn w:val="1"/>
    <w:next w:val="1"/>
    <w:qFormat/>
    <w:uiPriority w:val="0"/>
    <w:pPr>
      <w:ind w:left="1470"/>
      <w:jc w:val="left"/>
    </w:pPr>
    <w:rPr>
      <w:rFonts w:asciiTheme="minorHAnsi" w:hAnsiTheme="minorHAnsi"/>
      <w:sz w:val="20"/>
    </w:rPr>
  </w:style>
  <w:style w:type="paragraph" w:styleId="21">
    <w:name w:val="Date"/>
    <w:basedOn w:val="1"/>
    <w:next w:val="1"/>
    <w:link w:val="53"/>
    <w:qFormat/>
    <w:uiPriority w:val="0"/>
    <w:rPr>
      <w:sz w:val="28"/>
    </w:rPr>
  </w:style>
  <w:style w:type="paragraph" w:styleId="22">
    <w:name w:val="Body Text Indent 2"/>
    <w:basedOn w:val="1"/>
    <w:qFormat/>
    <w:uiPriority w:val="0"/>
    <w:pPr>
      <w:spacing w:after="120" w:line="480" w:lineRule="auto"/>
      <w:ind w:left="420" w:leftChars="200"/>
    </w:pPr>
  </w:style>
  <w:style w:type="paragraph" w:styleId="23">
    <w:name w:val="Balloon Text"/>
    <w:basedOn w:val="1"/>
    <w:qFormat/>
    <w:uiPriority w:val="0"/>
    <w:rPr>
      <w:sz w:val="18"/>
      <w:szCs w:val="18"/>
    </w:rPr>
  </w:style>
  <w:style w:type="paragraph" w:styleId="24">
    <w:name w:val="footer"/>
    <w:basedOn w:val="1"/>
    <w:link w:val="51"/>
    <w:qFormat/>
    <w:uiPriority w:val="99"/>
    <w:pPr>
      <w:tabs>
        <w:tab w:val="center" w:pos="4153"/>
        <w:tab w:val="right" w:pos="8306"/>
      </w:tabs>
      <w:snapToGrid w:val="0"/>
      <w:jc w:val="left"/>
    </w:pPr>
    <w:rPr>
      <w:sz w:val="18"/>
    </w:rPr>
  </w:style>
  <w:style w:type="paragraph" w:styleId="25">
    <w:name w:val="header"/>
    <w:basedOn w:val="1"/>
    <w:link w:val="52"/>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jc w:val="center"/>
    </w:pPr>
    <w:rPr>
      <w:sz w:val="18"/>
      <w:szCs w:val="18"/>
    </w:rPr>
  </w:style>
  <w:style w:type="paragraph" w:styleId="26">
    <w:name w:val="toc 1"/>
    <w:basedOn w:val="1"/>
    <w:next w:val="1"/>
    <w:qFormat/>
    <w:uiPriority w:val="39"/>
    <w:pPr>
      <w:spacing w:before="240" w:after="120"/>
      <w:jc w:val="left"/>
    </w:pPr>
    <w:rPr>
      <w:rFonts w:asciiTheme="minorHAnsi" w:hAnsiTheme="minorHAnsi"/>
      <w:b/>
      <w:bCs/>
      <w:sz w:val="20"/>
    </w:rPr>
  </w:style>
  <w:style w:type="paragraph" w:styleId="27">
    <w:name w:val="toc 4"/>
    <w:basedOn w:val="1"/>
    <w:next w:val="1"/>
    <w:qFormat/>
    <w:uiPriority w:val="0"/>
    <w:pPr>
      <w:ind w:left="630"/>
      <w:jc w:val="left"/>
    </w:pPr>
    <w:rPr>
      <w:rFonts w:asciiTheme="minorHAnsi" w:hAnsiTheme="minorHAnsi"/>
      <w:sz w:val="20"/>
    </w:rPr>
  </w:style>
  <w:style w:type="paragraph" w:styleId="28">
    <w:name w:val="Subtitle"/>
    <w:basedOn w:val="1"/>
    <w:next w:val="1"/>
    <w:link w:val="55"/>
    <w:qFormat/>
    <w:uiPriority w:val="11"/>
    <w:pPr>
      <w:spacing w:before="240" w:after="60" w:line="312" w:lineRule="auto"/>
      <w:jc w:val="center"/>
      <w:outlineLvl w:val="1"/>
    </w:pPr>
    <w:rPr>
      <w:rFonts w:ascii="Cambria" w:hAnsi="Cambria"/>
      <w:b/>
      <w:bCs/>
      <w:kern w:val="28"/>
      <w:sz w:val="32"/>
      <w:szCs w:val="32"/>
    </w:rPr>
  </w:style>
  <w:style w:type="paragraph" w:styleId="29">
    <w:name w:val="List"/>
    <w:basedOn w:val="1"/>
    <w:qFormat/>
    <w:uiPriority w:val="0"/>
    <w:pPr>
      <w:ind w:left="200" w:hanging="200" w:hangingChars="200"/>
    </w:pPr>
  </w:style>
  <w:style w:type="paragraph" w:styleId="30">
    <w:name w:val="toc 6"/>
    <w:basedOn w:val="1"/>
    <w:next w:val="1"/>
    <w:qFormat/>
    <w:uiPriority w:val="0"/>
    <w:pPr>
      <w:ind w:left="1050"/>
      <w:jc w:val="left"/>
    </w:pPr>
    <w:rPr>
      <w:rFonts w:asciiTheme="minorHAnsi" w:hAnsiTheme="minorHAnsi"/>
      <w:sz w:val="20"/>
    </w:rPr>
  </w:style>
  <w:style w:type="paragraph" w:styleId="31">
    <w:name w:val="List 5"/>
    <w:basedOn w:val="1"/>
    <w:qFormat/>
    <w:uiPriority w:val="0"/>
    <w:pPr>
      <w:ind w:left="100" w:leftChars="800" w:hanging="200" w:hangingChars="200"/>
    </w:pPr>
  </w:style>
  <w:style w:type="paragraph" w:styleId="32">
    <w:name w:val="toc 2"/>
    <w:basedOn w:val="1"/>
    <w:next w:val="1"/>
    <w:qFormat/>
    <w:uiPriority w:val="39"/>
    <w:pPr>
      <w:spacing w:before="120"/>
      <w:ind w:firstLine="200" w:firstLineChars="200"/>
      <w:jc w:val="left"/>
    </w:pPr>
    <w:rPr>
      <w:rFonts w:asciiTheme="minorHAnsi" w:hAnsiTheme="minorHAnsi"/>
      <w:i/>
      <w:iCs/>
      <w:sz w:val="20"/>
    </w:rPr>
  </w:style>
  <w:style w:type="paragraph" w:styleId="33">
    <w:name w:val="toc 9"/>
    <w:basedOn w:val="1"/>
    <w:next w:val="1"/>
    <w:qFormat/>
    <w:uiPriority w:val="0"/>
    <w:pPr>
      <w:ind w:left="1680"/>
      <w:jc w:val="left"/>
    </w:pPr>
    <w:rPr>
      <w:rFonts w:asciiTheme="minorHAnsi" w:hAnsiTheme="minorHAnsi"/>
      <w:sz w:val="20"/>
    </w:rPr>
  </w:style>
  <w:style w:type="paragraph" w:styleId="34">
    <w:name w:val="List 4"/>
    <w:basedOn w:val="1"/>
    <w:qFormat/>
    <w:uiPriority w:val="0"/>
    <w:pPr>
      <w:ind w:left="100" w:leftChars="600" w:hanging="200" w:hangingChars="200"/>
    </w:pPr>
  </w:style>
  <w:style w:type="paragraph" w:styleId="35">
    <w:name w:val="List Continue 2"/>
    <w:basedOn w:val="1"/>
    <w:qFormat/>
    <w:uiPriority w:val="0"/>
    <w:pPr>
      <w:spacing w:after="120"/>
      <w:ind w:left="840" w:leftChars="400"/>
    </w:pPr>
  </w:style>
  <w:style w:type="paragraph" w:styleId="36">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37">
    <w:name w:val="List Continue 3"/>
    <w:basedOn w:val="1"/>
    <w:qFormat/>
    <w:uiPriority w:val="0"/>
    <w:pPr>
      <w:spacing w:after="120"/>
      <w:ind w:left="1260" w:leftChars="600"/>
    </w:pPr>
  </w:style>
  <w:style w:type="paragraph" w:styleId="38">
    <w:name w:val="Title"/>
    <w:basedOn w:val="1"/>
    <w:next w:val="1"/>
    <w:qFormat/>
    <w:uiPriority w:val="10"/>
    <w:pPr>
      <w:spacing w:before="240"/>
      <w:jc w:val="center"/>
      <w:outlineLvl w:val="0"/>
    </w:pPr>
    <w:rPr>
      <w:rFonts w:ascii="Cambria" w:hAnsi="Cambria" w:eastAsia="黑体"/>
      <w:b/>
      <w:bCs/>
      <w:sz w:val="36"/>
      <w:szCs w:val="32"/>
    </w:rPr>
  </w:style>
  <w:style w:type="paragraph" w:styleId="39">
    <w:name w:val="annotation subject"/>
    <w:basedOn w:val="12"/>
    <w:next w:val="12"/>
    <w:link w:val="68"/>
    <w:unhideWhenUsed/>
    <w:qFormat/>
    <w:uiPriority w:val="99"/>
    <w:rPr>
      <w:b/>
      <w:bCs/>
    </w:rPr>
  </w:style>
  <w:style w:type="paragraph" w:styleId="40">
    <w:name w:val="Body Text First Indent"/>
    <w:basedOn w:val="13"/>
    <w:qFormat/>
    <w:uiPriority w:val="0"/>
    <w:pPr>
      <w:ind w:firstLine="420" w:firstLineChars="100"/>
    </w:pPr>
  </w:style>
  <w:style w:type="paragraph" w:styleId="41">
    <w:name w:val="Body Text First Indent 2"/>
    <w:basedOn w:val="14"/>
    <w:qFormat/>
    <w:uiPriority w:val="0"/>
    <w:pPr>
      <w:autoSpaceDE/>
      <w:autoSpaceDN/>
      <w:adjustRightInd/>
      <w:spacing w:after="120" w:line="240" w:lineRule="auto"/>
      <w:ind w:left="420" w:leftChars="200" w:firstLine="420" w:firstLineChars="200"/>
      <w:jc w:val="both"/>
    </w:pPr>
    <w:rPr>
      <w:rFonts w:ascii="Times New Roman" w:hAnsi="Times New Roman"/>
      <w:kern w:val="2"/>
      <w:sz w:val="21"/>
    </w:rPr>
  </w:style>
  <w:style w:type="table" w:styleId="43">
    <w:name w:val="Table Grid"/>
    <w:basedOn w:val="4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5">
    <w:name w:val="Strong"/>
    <w:basedOn w:val="44"/>
    <w:qFormat/>
    <w:uiPriority w:val="22"/>
    <w:rPr>
      <w:b/>
      <w:bCs/>
    </w:rPr>
  </w:style>
  <w:style w:type="character" w:styleId="46">
    <w:name w:val="page number"/>
    <w:basedOn w:val="44"/>
    <w:qFormat/>
    <w:uiPriority w:val="0"/>
  </w:style>
  <w:style w:type="character" w:styleId="47">
    <w:name w:val="Hyperlink"/>
    <w:basedOn w:val="44"/>
    <w:qFormat/>
    <w:uiPriority w:val="99"/>
    <w:rPr>
      <w:color w:val="0000FF"/>
      <w:u w:val="single"/>
    </w:rPr>
  </w:style>
  <w:style w:type="character" w:styleId="48">
    <w:name w:val="annotation reference"/>
    <w:basedOn w:val="44"/>
    <w:unhideWhenUsed/>
    <w:qFormat/>
    <w:uiPriority w:val="99"/>
    <w:rPr>
      <w:sz w:val="21"/>
      <w:szCs w:val="21"/>
    </w:rPr>
  </w:style>
  <w:style w:type="paragraph" w:customStyle="1" w:styleId="49">
    <w:name w:val="toc 34"/>
    <w:next w:val="1"/>
    <w:qFormat/>
    <w:uiPriority w:val="0"/>
    <w:pPr>
      <w:wordWrap w:val="0"/>
      <w:ind w:left="850"/>
      <w:jc w:val="both"/>
    </w:pPr>
    <w:rPr>
      <w:rFonts w:ascii="Times New Roman" w:hAnsi="Times New Roman" w:eastAsia="宋体" w:cs="Times New Roman"/>
      <w:sz w:val="21"/>
      <w:lang w:val="en-US" w:eastAsia="zh-CN" w:bidi="ar-SA"/>
    </w:rPr>
  </w:style>
  <w:style w:type="character" w:customStyle="1" w:styleId="50">
    <w:name w:val="标题 2 Char"/>
    <w:link w:val="2"/>
    <w:qFormat/>
    <w:uiPriority w:val="0"/>
    <w:rPr>
      <w:rFonts w:ascii="Arial" w:hAnsi="Arial" w:eastAsia="黑体"/>
      <w:b/>
      <w:bCs/>
      <w:kern w:val="2"/>
      <w:sz w:val="32"/>
      <w:szCs w:val="32"/>
      <w:lang w:val="en-US" w:eastAsia="zh-CN" w:bidi="ar-SA"/>
    </w:rPr>
  </w:style>
  <w:style w:type="character" w:customStyle="1" w:styleId="51">
    <w:name w:val="页脚 Char"/>
    <w:link w:val="24"/>
    <w:qFormat/>
    <w:uiPriority w:val="99"/>
    <w:rPr>
      <w:kern w:val="2"/>
      <w:sz w:val="18"/>
    </w:rPr>
  </w:style>
  <w:style w:type="character" w:customStyle="1" w:styleId="52">
    <w:name w:val="页眉 Char"/>
    <w:link w:val="25"/>
    <w:qFormat/>
    <w:uiPriority w:val="99"/>
    <w:rPr>
      <w:kern w:val="2"/>
      <w:sz w:val="18"/>
      <w:szCs w:val="18"/>
    </w:rPr>
  </w:style>
  <w:style w:type="character" w:customStyle="1" w:styleId="53">
    <w:name w:val="日期 Char"/>
    <w:link w:val="21"/>
    <w:qFormat/>
    <w:uiPriority w:val="0"/>
    <w:rPr>
      <w:kern w:val="2"/>
      <w:sz w:val="28"/>
    </w:rPr>
  </w:style>
  <w:style w:type="character" w:customStyle="1" w:styleId="54">
    <w:name w:val="文档结构图 Char"/>
    <w:link w:val="11"/>
    <w:semiHidden/>
    <w:qFormat/>
    <w:uiPriority w:val="99"/>
    <w:rPr>
      <w:rFonts w:ascii="宋体"/>
      <w:kern w:val="2"/>
      <w:sz w:val="18"/>
      <w:szCs w:val="18"/>
    </w:rPr>
  </w:style>
  <w:style w:type="character" w:customStyle="1" w:styleId="55">
    <w:name w:val="副标题 Char"/>
    <w:link w:val="28"/>
    <w:qFormat/>
    <w:uiPriority w:val="11"/>
    <w:rPr>
      <w:rFonts w:ascii="Cambria" w:hAnsi="Cambria" w:cs="Times New Roman"/>
      <w:b/>
      <w:bCs/>
      <w:kern w:val="28"/>
      <w:sz w:val="32"/>
      <w:szCs w:val="32"/>
    </w:rPr>
  </w:style>
  <w:style w:type="character" w:customStyle="1" w:styleId="56">
    <w:name w:val="标题 1 Char"/>
    <w:link w:val="3"/>
    <w:qFormat/>
    <w:uiPriority w:val="0"/>
    <w:rPr>
      <w:rFonts w:ascii="宋体"/>
      <w:kern w:val="2"/>
      <w:sz w:val="28"/>
    </w:rPr>
  </w:style>
  <w:style w:type="paragraph" w:customStyle="1" w:styleId="57">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58">
    <w:name w:val="F00"/>
    <w:basedOn w:val="1"/>
    <w:qFormat/>
    <w:uiPriority w:val="0"/>
    <w:pPr>
      <w:tabs>
        <w:tab w:val="left" w:pos="2235"/>
      </w:tabs>
      <w:spacing w:line="500" w:lineRule="exact"/>
      <w:ind w:firstLine="353" w:firstLineChars="147"/>
    </w:pPr>
    <w:rPr>
      <w:rFonts w:ascii="宋体" w:hAnsi="宋体"/>
      <w:sz w:val="24"/>
      <w:szCs w:val="24"/>
    </w:rPr>
  </w:style>
  <w:style w:type="paragraph" w:customStyle="1" w:styleId="59">
    <w:name w:val="Char"/>
    <w:basedOn w:val="1"/>
    <w:qFormat/>
    <w:uiPriority w:val="0"/>
    <w:rPr>
      <w:rFonts w:ascii="FangSong_GB2312" w:eastAsia="FangSong_GB2312"/>
      <w:b/>
      <w:sz w:val="32"/>
      <w:szCs w:val="32"/>
    </w:rPr>
  </w:style>
  <w:style w:type="paragraph" w:customStyle="1" w:styleId="60">
    <w:name w:val="列出段落1"/>
    <w:basedOn w:val="1"/>
    <w:qFormat/>
    <w:uiPriority w:val="34"/>
    <w:pPr>
      <w:ind w:firstLine="420" w:firstLineChars="200"/>
    </w:pPr>
    <w:rPr>
      <w:szCs w:val="24"/>
    </w:rPr>
  </w:style>
  <w:style w:type="paragraph" w:customStyle="1" w:styleId="61">
    <w:name w:val="Char1"/>
    <w:basedOn w:val="1"/>
    <w:qFormat/>
    <w:uiPriority w:val="0"/>
    <w:pPr>
      <w:widowControl/>
      <w:spacing w:after="160" w:line="240" w:lineRule="exact"/>
      <w:jc w:val="left"/>
    </w:pPr>
  </w:style>
  <w:style w:type="paragraph" w:customStyle="1" w:styleId="62">
    <w:name w:val="表格内容"/>
    <w:basedOn w:val="1"/>
    <w:qFormat/>
    <w:uiPriority w:val="0"/>
    <w:pPr>
      <w:tabs>
        <w:tab w:val="left" w:pos="0"/>
      </w:tabs>
      <w:jc w:val="center"/>
    </w:pPr>
    <w:rPr>
      <w:rFonts w:ascii="宋体" w:hAnsi="宋体"/>
      <w:sz w:val="24"/>
      <w:szCs w:val="24"/>
    </w:rPr>
  </w:style>
  <w:style w:type="paragraph" w:customStyle="1" w:styleId="6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64">
    <w:name w:val="case3"/>
    <w:basedOn w:val="1"/>
    <w:qFormat/>
    <w:uiPriority w:val="0"/>
    <w:pPr>
      <w:widowControl/>
      <w:spacing w:before="100" w:beforeAutospacing="1" w:after="100" w:afterAutospacing="1" w:line="390" w:lineRule="atLeast"/>
      <w:jc w:val="left"/>
    </w:pPr>
    <w:rPr>
      <w:color w:val="000000"/>
      <w:kern w:val="0"/>
      <w:szCs w:val="21"/>
    </w:rPr>
  </w:style>
  <w:style w:type="table" w:customStyle="1" w:styleId="65">
    <w:name w:val="网格型1"/>
    <w:basedOn w:val="42"/>
    <w:qFormat/>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6">
    <w:name w:val="font31"/>
    <w:basedOn w:val="44"/>
    <w:qFormat/>
    <w:uiPriority w:val="0"/>
    <w:rPr>
      <w:rFonts w:hint="default" w:ascii="Times New Roman" w:hAnsi="Times New Roman" w:cs="Times New Roman"/>
      <w:color w:val="000000"/>
      <w:sz w:val="20"/>
      <w:szCs w:val="20"/>
      <w:u w:val="none"/>
    </w:rPr>
  </w:style>
  <w:style w:type="character" w:customStyle="1" w:styleId="67">
    <w:name w:val="批注文字 Char"/>
    <w:basedOn w:val="44"/>
    <w:link w:val="12"/>
    <w:semiHidden/>
    <w:qFormat/>
    <w:uiPriority w:val="99"/>
    <w:rPr>
      <w:kern w:val="2"/>
      <w:sz w:val="21"/>
    </w:rPr>
  </w:style>
  <w:style w:type="character" w:customStyle="1" w:styleId="68">
    <w:name w:val="批注主题 Char"/>
    <w:basedOn w:val="67"/>
    <w:link w:val="39"/>
    <w:qFormat/>
    <w:uiPriority w:val="0"/>
  </w:style>
  <w:style w:type="paragraph" w:customStyle="1" w:styleId="69">
    <w:name w:val="_Style 154"/>
    <w:basedOn w:val="1"/>
    <w:qFormat/>
    <w:uiPriority w:val="0"/>
    <w:pPr>
      <w:spacing w:line="480" w:lineRule="exact"/>
      <w:ind w:firstLine="420" w:firstLineChars="200"/>
      <w:jc w:val="left"/>
    </w:pPr>
    <w:rPr>
      <w:rFonts w:eastAsia="楷体_GB2312"/>
      <w:sz w:val="28"/>
    </w:rPr>
  </w:style>
  <w:style w:type="paragraph" w:customStyle="1" w:styleId="70">
    <w:name w:val="列出段落2"/>
    <w:basedOn w:val="1"/>
    <w:qFormat/>
    <w:uiPriority w:val="34"/>
    <w:pPr>
      <w:spacing w:line="480" w:lineRule="exact"/>
      <w:ind w:firstLine="420" w:firstLineChars="200"/>
      <w:jc w:val="left"/>
    </w:pPr>
    <w:rPr>
      <w:rFonts w:eastAsia="楷体_GB2312"/>
      <w:kern w:val="0"/>
      <w:sz w:val="28"/>
    </w:rPr>
  </w:style>
  <w:style w:type="character" w:customStyle="1" w:styleId="71">
    <w:name w:val="font51"/>
    <w:basedOn w:val="44"/>
    <w:qFormat/>
    <w:uiPriority w:val="0"/>
    <w:rPr>
      <w:rFonts w:hint="default" w:ascii="Times New Roman" w:hAnsi="Times New Roman" w:cs="Times New Roman"/>
      <w:color w:val="000000"/>
      <w:sz w:val="20"/>
      <w:szCs w:val="20"/>
      <w:u w:val="none"/>
    </w:rPr>
  </w:style>
  <w:style w:type="character" w:customStyle="1" w:styleId="72">
    <w:name w:val="font01"/>
    <w:basedOn w:val="44"/>
    <w:qFormat/>
    <w:uiPriority w:val="0"/>
    <w:rPr>
      <w:rFonts w:hint="eastAsia" w:ascii="宋体" w:hAnsi="宋体" w:eastAsia="宋体" w:cs="宋体"/>
      <w:color w:val="000000"/>
      <w:sz w:val="20"/>
      <w:szCs w:val="20"/>
      <w:u w:val="none"/>
    </w:rPr>
  </w:style>
  <w:style w:type="paragraph" w:customStyle="1" w:styleId="73">
    <w:name w:val="p0"/>
    <w:basedOn w:val="1"/>
    <w:qFormat/>
    <w:uiPriority w:val="0"/>
    <w:pPr>
      <w:widowControl/>
      <w:spacing w:before="100" w:beforeAutospacing="1" w:after="100" w:afterAutospacing="1"/>
      <w:jc w:val="left"/>
    </w:pPr>
    <w:rPr>
      <w:rFonts w:ascii="宋体" w:hAnsi="宋体" w:cs="宋体"/>
      <w:kern w:val="0"/>
      <w:sz w:val="24"/>
    </w:rPr>
  </w:style>
  <w:style w:type="paragraph" w:customStyle="1" w:styleId="74">
    <w:name w:val="正文_0_0"/>
    <w:unhideWhenUsed/>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75">
    <w:name w:val="修订1"/>
    <w:hidden/>
    <w:unhideWhenUsed/>
    <w:qFormat/>
    <w:uiPriority w:val="99"/>
    <w:rPr>
      <w:rFonts w:ascii="Times New Roman" w:hAnsi="Times New Roman" w:eastAsia="宋体" w:cs="Times New Roman"/>
      <w:kern w:val="2"/>
      <w:sz w:val="21"/>
      <w:lang w:val="en-US" w:eastAsia="zh-CN" w:bidi="ar-SA"/>
    </w:rPr>
  </w:style>
  <w:style w:type="paragraph" w:customStyle="1" w:styleId="76">
    <w:name w:val="章标题"/>
    <w:next w:val="77"/>
    <w:qFormat/>
    <w:uiPriority w:val="99"/>
    <w:pPr>
      <w:numPr>
        <w:ilvl w:val="0"/>
        <w:numId w:val="1"/>
      </w:numPr>
      <w:spacing w:beforeLines="100" w:afterLines="100"/>
      <w:jc w:val="both"/>
      <w:outlineLvl w:val="1"/>
    </w:pPr>
    <w:rPr>
      <w:rFonts w:ascii="黑体" w:hAnsi="Times New Roman" w:eastAsia="黑体" w:cs="黑体"/>
      <w:sz w:val="21"/>
      <w:szCs w:val="21"/>
      <w:lang w:val="en-US" w:eastAsia="zh-CN" w:bidi="ar-SA"/>
    </w:rPr>
  </w:style>
  <w:style w:type="paragraph" w:customStyle="1" w:styleId="77">
    <w:name w:val="段"/>
    <w:qFormat/>
    <w:uiPriority w:val="99"/>
    <w:pPr>
      <w:autoSpaceDE w:val="0"/>
      <w:autoSpaceDN w:val="0"/>
      <w:ind w:firstLine="420" w:firstLineChars="200"/>
      <w:jc w:val="both"/>
    </w:pPr>
    <w:rPr>
      <w:rFonts w:ascii="宋体" w:hAnsi="Times New Roman" w:eastAsia="宋体" w:cs="Times New Roman"/>
      <w:sz w:val="22"/>
      <w:szCs w:val="22"/>
      <w:lang w:val="en-US" w:eastAsia="zh-CN" w:bidi="ar-SA"/>
    </w:rPr>
  </w:style>
  <w:style w:type="paragraph" w:customStyle="1" w:styleId="78">
    <w:name w:val="List Paragraph"/>
    <w:basedOn w:val="1"/>
    <w:qFormat/>
    <w:uiPriority w:val="34"/>
    <w:pPr>
      <w:ind w:firstLine="420" w:firstLineChars="200"/>
    </w:pPr>
  </w:style>
  <w:style w:type="character" w:customStyle="1" w:styleId="79">
    <w:name w:val="font41"/>
    <w:basedOn w:val="44"/>
    <w:qFormat/>
    <w:uiPriority w:val="0"/>
    <w:rPr>
      <w:rFonts w:hint="eastAsia" w:ascii="宋体" w:hAnsi="宋体" w:eastAsia="宋体" w:cs="宋体"/>
      <w:color w:val="000000"/>
      <w:sz w:val="28"/>
      <w:szCs w:val="28"/>
      <w:u w:val="none"/>
    </w:rPr>
  </w:style>
  <w:style w:type="character" w:customStyle="1" w:styleId="80">
    <w:name w:val="font21"/>
    <w:basedOn w:val="44"/>
    <w:qFormat/>
    <w:uiPriority w:val="0"/>
    <w:rPr>
      <w:rFonts w:hint="eastAsia" w:ascii="宋体" w:hAnsi="宋体" w:eastAsia="宋体" w:cs="宋体"/>
      <w:color w:val="000000"/>
      <w:sz w:val="28"/>
      <w:szCs w:val="28"/>
      <w:u w:val="none"/>
    </w:rPr>
  </w:style>
  <w:style w:type="character" w:customStyle="1" w:styleId="81">
    <w:name w:val="font11"/>
    <w:basedOn w:val="44"/>
    <w:qFormat/>
    <w:uiPriority w:val="0"/>
    <w:rPr>
      <w:rFonts w:hint="eastAsia" w:ascii="仿宋" w:hAnsi="仿宋" w:eastAsia="仿宋" w:cs="仿宋"/>
      <w:color w:val="000000"/>
      <w:sz w:val="28"/>
      <w:szCs w:val="28"/>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6" Type="http://schemas.openxmlformats.org/officeDocument/2006/relationships/fontTable" Target="fontTable.xml"/><Relationship Id="rId25" Type="http://schemas.openxmlformats.org/officeDocument/2006/relationships/customXml" Target="../customXml/item5.xml"/><Relationship Id="rId24" Type="http://schemas.openxmlformats.org/officeDocument/2006/relationships/customXml" Target="../customXml/item4.xml"/><Relationship Id="rId23" Type="http://schemas.openxmlformats.org/officeDocument/2006/relationships/customXml" Target="../customXml/item3.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13.xml"/><Relationship Id="rId16" Type="http://schemas.openxmlformats.org/officeDocument/2006/relationships/header" Target="header2.xml"/><Relationship Id="rId15" Type="http://schemas.openxmlformats.org/officeDocument/2006/relationships/footer" Target="footer12.xml"/><Relationship Id="rId14" Type="http://schemas.openxmlformats.org/officeDocument/2006/relationships/footer" Target="footer11.xml"/><Relationship Id="rId13" Type="http://schemas.openxmlformats.org/officeDocument/2006/relationships/footer" Target="footer10.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formulas xmlns="http://www.yonyou.com/formula"/>
</file>

<file path=customXml/item3.xml><?xml version="1.0" encoding="utf-8"?>
<dataSourceCollection xmlns="http://www.yonyou.com/datasource"/>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relations xmlns="http://www.yonyou.com/rela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823C41C-0394-479E-8C34-B1D93086E19F}">
  <ds:schemaRefs/>
</ds:datastoreItem>
</file>

<file path=customXml/itemProps3.xml><?xml version="1.0" encoding="utf-8"?>
<ds:datastoreItem xmlns:ds="http://schemas.openxmlformats.org/officeDocument/2006/customXml" ds:itemID="{670AFB58-4F39-4326-A393-8E520AA057F8}">
  <ds:schemaRefs/>
</ds:datastoreItem>
</file>

<file path=customXml/itemProps4.xml><?xml version="1.0" encoding="utf-8"?>
<ds:datastoreItem xmlns:ds="http://schemas.openxmlformats.org/officeDocument/2006/customXml" ds:itemID="{ABBC5445-51F6-4E5C-83F9-9880ADC30537}">
  <ds:schemaRefs/>
</ds:datastoreItem>
</file>

<file path=customXml/itemProps5.xml><?xml version="1.0" encoding="utf-8"?>
<ds:datastoreItem xmlns:ds="http://schemas.openxmlformats.org/officeDocument/2006/customXml" ds:itemID="{924AA92F-D617-44BD-A67D-E1A0B3FF8A1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333</Pages>
  <Words>181736</Words>
  <Characters>192694</Characters>
  <Lines>1172</Lines>
  <Paragraphs>330</Paragraphs>
  <TotalTime>8</TotalTime>
  <ScaleCrop>false</ScaleCrop>
  <LinksUpToDate>false</LinksUpToDate>
  <CharactersWithSpaces>193958</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2022-12-12T11:13:00Z</dcterms:created>
  <dc:creator>hxw</dc:creator>
  <cp:lastModifiedBy>君</cp:lastModifiedBy>
  <cp:lastPrinted>2024-06-16T11:12:00Z</cp:lastPrinted>
  <dcterms:modified xsi:type="dcterms:W3CDTF">2024-07-04T07:07:39Z</dcterms:modified>
  <dc:title>政府采购招标文件</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33C92553577340F6BE5352DF2AFD57C5_13</vt:lpwstr>
  </property>
</Properties>
</file>