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Style w:val="8"/>
          <w:rFonts w:ascii="宋体" w:hAnsi="宋体" w:cs="宋体"/>
          <w:b/>
          <w:bCs/>
          <w:color w:val="000000" w:themeColor="text1"/>
          <w:kern w:val="0"/>
          <w:sz w:val="24"/>
          <w:highlight w:val="none"/>
          <w:lang w:eastAsia="zh-TW"/>
          <w14:textFill>
            <w14:solidFill>
              <w14:schemeClr w14:val="tx1"/>
            </w14:solidFill>
          </w14:textFill>
        </w:rPr>
      </w:pPr>
      <w:r>
        <w:rPr>
          <w:rStyle w:val="8"/>
          <w:rFonts w:hint="eastAsia" w:ascii="宋体" w:hAnsi="宋体" w:cs="宋体"/>
          <w:bCs/>
          <w:color w:val="000000" w:themeColor="text1"/>
          <w:sz w:val="24"/>
          <w:highlight w:val="none"/>
          <w14:textFill>
            <w14:solidFill>
              <w14:schemeClr w14:val="tx1"/>
            </w14:solidFill>
          </w14:textFill>
        </w:rPr>
        <w:t>一、</w:t>
      </w:r>
      <w:r>
        <w:rPr>
          <w:rStyle w:val="8"/>
          <w:rFonts w:hint="eastAsia" w:ascii="宋体" w:hAnsi="宋体" w:cs="宋体"/>
          <w:b/>
          <w:bCs/>
          <w:color w:val="000000" w:themeColor="text1"/>
          <w:kern w:val="0"/>
          <w:sz w:val="24"/>
          <w:highlight w:val="none"/>
          <w:lang w:eastAsia="zh-TW"/>
          <w14:textFill>
            <w14:solidFill>
              <w14:schemeClr w14:val="tx1"/>
            </w14:solidFill>
          </w14:textFill>
        </w:rPr>
        <w:t>特别说明：</w:t>
      </w:r>
    </w:p>
    <w:p>
      <w:pPr>
        <w:spacing w:line="360" w:lineRule="auto"/>
        <w:ind w:firstLine="482" w:firstLineChars="200"/>
        <w:rPr>
          <w:rStyle w:val="8"/>
          <w:rFonts w:ascii="宋体" w:hAnsi="宋体" w:cs="宋体"/>
          <w:b/>
          <w:bCs/>
          <w:color w:val="000000" w:themeColor="text1"/>
          <w:kern w:val="0"/>
          <w:sz w:val="24"/>
          <w:highlight w:val="none"/>
          <w:lang w:eastAsia="zh-TW"/>
          <w14:textFill>
            <w14:solidFill>
              <w14:schemeClr w14:val="tx1"/>
            </w14:solidFill>
          </w14:textFill>
        </w:rPr>
      </w:pPr>
      <w:r>
        <w:rPr>
          <w:rStyle w:val="8"/>
          <w:rFonts w:hint="eastAsia" w:ascii="宋体" w:hAnsi="宋体" w:cs="宋体"/>
          <w:b/>
          <w:bCs/>
          <w:color w:val="000000" w:themeColor="text1"/>
          <w:kern w:val="0"/>
          <w:sz w:val="24"/>
          <w:highlight w:val="none"/>
          <w:lang w:eastAsia="zh-TW"/>
          <w14:textFill>
            <w14:solidFill>
              <w14:schemeClr w14:val="tx1"/>
            </w14:solidFill>
          </w14:textFill>
        </w:rPr>
        <w:t xml:space="preserve">1、2020年8月25日，中华人民共和国应急管理部《关于消防救援领域行业标准以“XF”代号重新编号发布的公告》（2020年 第5号）明确，消防救援领域165项现行行业标准类别由公安安全行业标准调整为消防救援行业标准，代号由“GA”调整为“XF”，顺序号和内容保持不变。 </w:t>
      </w:r>
    </w:p>
    <w:p>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Style w:val="8"/>
          <w:rFonts w:hint="eastAsia" w:ascii="宋体" w:hAnsi="宋体" w:cs="宋体"/>
          <w:b/>
          <w:bCs/>
          <w:color w:val="000000" w:themeColor="text1"/>
          <w:kern w:val="0"/>
          <w:sz w:val="24"/>
          <w:highlight w:val="none"/>
          <w:lang w:eastAsia="zh-TW"/>
          <w14:textFill>
            <w14:solidFill>
              <w14:schemeClr w14:val="tx1"/>
            </w14:solidFill>
          </w14:textFill>
        </w:rPr>
        <w:t>2、为了落实公告要求，采购人将技术参数中的标准代号调整为XF。目前，参考资料、检测报告等相关资料，在实际投标中，使用代号GA标准仍有效。</w:t>
      </w:r>
    </w:p>
    <w:p>
      <w:pPr>
        <w:pStyle w:val="2"/>
        <w:spacing w:before="0" w:after="0" w:line="360" w:lineRule="auto"/>
        <w:rPr>
          <w:rFonts w:ascii="宋体" w:hAnsi="宋体" w:cs="宋体"/>
          <w:color w:val="000000" w:themeColor="text1"/>
          <w:sz w:val="24"/>
          <w:highlight w:val="none"/>
          <w14:textFill>
            <w14:solidFill>
              <w14:schemeClr w14:val="tx1"/>
            </w14:solidFill>
          </w14:textFill>
        </w:rPr>
      </w:pPr>
      <w:r>
        <w:rPr>
          <w:rStyle w:val="8"/>
          <w:rFonts w:hint="eastAsia" w:ascii="宋体" w:hAnsi="宋体" w:cs="宋体"/>
          <w:bCs/>
          <w:color w:val="000000" w:themeColor="text1"/>
          <w:sz w:val="24"/>
          <w:highlight w:val="none"/>
          <w14:textFill>
            <w14:solidFill>
              <w14:schemeClr w14:val="tx1"/>
            </w14:solidFill>
          </w14:textFill>
        </w:rPr>
        <w:t>二、</w:t>
      </w:r>
      <w:r>
        <w:rPr>
          <w:rFonts w:hint="eastAsia" w:ascii="宋体" w:hAnsi="宋体" w:cs="宋体"/>
          <w:color w:val="000000" w:themeColor="text1"/>
          <w:sz w:val="24"/>
          <w:highlight w:val="none"/>
          <w14:textFill>
            <w14:solidFill>
              <w14:schemeClr w14:val="tx1"/>
            </w14:solidFill>
          </w14:textFill>
        </w:rPr>
        <w:t>样品要求：</w:t>
      </w:r>
    </w:p>
    <w:p>
      <w:pPr>
        <w:pStyle w:val="3"/>
        <w:rPr>
          <w:rFonts w:hint="default" w:ascii="宋体" w:hAnsi="宋体" w:eastAsia="宋体" w:cs="宋体"/>
          <w:color w:val="000000" w:themeColor="text1"/>
          <w:kern w:val="2"/>
          <w:sz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highlight w:val="none"/>
          <w:lang w:val="en-US" w:eastAsia="zh-CN" w:bidi="ar-SA"/>
          <w14:textFill>
            <w14:solidFill>
              <w14:schemeClr w14:val="tx1"/>
            </w14:solidFill>
          </w14:textFill>
        </w:rPr>
        <w:t>1、投标人按照以下要求提供样品：</w:t>
      </w:r>
    </w:p>
    <w:tbl>
      <w:tblPr>
        <w:tblStyle w:val="5"/>
        <w:tblW w:w="544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1"/>
        <w:gridCol w:w="1556"/>
        <w:gridCol w:w="1017"/>
        <w:gridCol w:w="3240"/>
        <w:gridCol w:w="24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5" w:hRule="atLeast"/>
        </w:trPr>
        <w:tc>
          <w:tcPr>
            <w:tcW w:w="560" w:type="pct"/>
            <w:tcBorders>
              <w:tl2br w:val="nil"/>
              <w:tr2bl w:val="nil"/>
            </w:tcBorders>
            <w:noWrap/>
            <w:vAlign w:val="center"/>
          </w:tcPr>
          <w:p>
            <w:pPr>
              <w:widowControl/>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标</w:t>
            </w:r>
            <w:r>
              <w:rPr>
                <w:rFonts w:hint="eastAsia" w:ascii="宋体" w:hAnsi="宋体" w:eastAsia="宋体" w:cs="宋体"/>
                <w:b/>
                <w:bCs/>
                <w:color w:val="000000" w:themeColor="text1"/>
                <w:kern w:val="0"/>
                <w:sz w:val="24"/>
                <w:szCs w:val="24"/>
                <w:highlight w:val="none"/>
                <w:lang w:bidi="ar"/>
                <w14:textFill>
                  <w14:solidFill>
                    <w14:schemeClr w14:val="tx1"/>
                  </w14:solidFill>
                </w14:textFill>
              </w:rPr>
              <w:t>包号</w:t>
            </w:r>
          </w:p>
        </w:tc>
        <w:tc>
          <w:tcPr>
            <w:tcW w:w="838" w:type="pct"/>
            <w:tcBorders>
              <w:tl2br w:val="nil"/>
              <w:tr2bl w:val="nil"/>
            </w:tcBorders>
            <w:noWrap w:val="0"/>
            <w:vAlign w:val="center"/>
          </w:tcPr>
          <w:p>
            <w:pPr>
              <w:widowControl/>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lang w:val="en-US" w:eastAsia="zh-CN" w:bidi="ar"/>
                <w14:textFill>
                  <w14:solidFill>
                    <w14:schemeClr w14:val="tx1"/>
                  </w14:solidFill>
                </w14:textFill>
              </w:rPr>
              <w:t>样品</w:t>
            </w:r>
            <w:r>
              <w:rPr>
                <w:rFonts w:hint="eastAsia" w:ascii="宋体" w:hAnsi="宋体" w:eastAsia="宋体" w:cs="宋体"/>
                <w:b/>
                <w:bCs/>
                <w:color w:val="000000" w:themeColor="text1"/>
                <w:kern w:val="0"/>
                <w:sz w:val="24"/>
                <w:szCs w:val="24"/>
                <w:highlight w:val="none"/>
                <w:lang w:bidi="ar"/>
                <w14:textFill>
                  <w14:solidFill>
                    <w14:schemeClr w14:val="tx1"/>
                  </w14:solidFill>
                </w14:textFill>
              </w:rPr>
              <w:t>名称</w:t>
            </w:r>
          </w:p>
        </w:tc>
        <w:tc>
          <w:tcPr>
            <w:tcW w:w="547" w:type="pct"/>
            <w:tcBorders>
              <w:tl2br w:val="nil"/>
              <w:tr2bl w:val="nil"/>
            </w:tcBorders>
            <w:noWrap w:val="0"/>
            <w:vAlign w:val="center"/>
          </w:tcPr>
          <w:p>
            <w:pPr>
              <w:widowControl/>
              <w:jc w:val="center"/>
              <w:textAlignment w:val="center"/>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数量</w:t>
            </w:r>
          </w:p>
        </w:tc>
        <w:tc>
          <w:tcPr>
            <w:tcW w:w="1744" w:type="pct"/>
            <w:tcBorders>
              <w:tl2br w:val="nil"/>
              <w:tr2bl w:val="nil"/>
            </w:tcBorders>
            <w:noWrap w:val="0"/>
            <w:vAlign w:val="center"/>
          </w:tcPr>
          <w:p>
            <w:pPr>
              <w:widowControl/>
              <w:jc w:val="center"/>
              <w:textAlignment w:val="cente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样品要求</w:t>
            </w:r>
          </w:p>
        </w:tc>
        <w:tc>
          <w:tcPr>
            <w:tcW w:w="1308" w:type="pct"/>
            <w:tcBorders>
              <w:tl2br w:val="nil"/>
              <w:tr2bl w:val="nil"/>
            </w:tcBorders>
            <w:noWrap w:val="0"/>
            <w:vAlign w:val="center"/>
          </w:tcPr>
          <w:p>
            <w:pPr>
              <w:widowControl/>
              <w:jc w:val="center"/>
              <w:textAlignment w:val="center"/>
              <w:rPr>
                <w:rFonts w:hint="default" w:ascii="宋体" w:hAnsi="宋体" w:eastAsia="宋体" w:cs="宋体"/>
                <w:b/>
                <w:bCs/>
                <w:color w:val="000000" w:themeColor="text1"/>
                <w:kern w:val="0"/>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是否随样品提供检测报告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560" w:type="pct"/>
            <w:vMerge w:val="restart"/>
            <w:tcBorders>
              <w:tl2br w:val="nil"/>
              <w:tr2bl w:val="nil"/>
            </w:tcBorders>
            <w:noWrap/>
            <w:vAlign w:val="center"/>
          </w:tcPr>
          <w:p>
            <w:pPr>
              <w:widowControl/>
              <w:spacing w:line="348" w:lineRule="auto"/>
              <w:jc w:val="center"/>
              <w:textAlignment w:val="cente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0"/>
                <w:sz w:val="24"/>
                <w:szCs w:val="24"/>
                <w:highlight w:val="none"/>
                <w:lang w:bidi="ar"/>
                <w14:textFill>
                  <w14:solidFill>
                    <w14:schemeClr w14:val="tx1"/>
                  </w14:solidFill>
                </w14:textFill>
              </w:rPr>
              <w:t>包一、防护类</w:t>
            </w:r>
          </w:p>
        </w:tc>
        <w:tc>
          <w:tcPr>
            <w:tcW w:w="838" w:type="pct"/>
            <w:tcBorders>
              <w:tl2br w:val="nil"/>
              <w:tr2bl w:val="nil"/>
            </w:tcBorders>
            <w:noWrap w:val="0"/>
            <w:vAlign w:val="center"/>
          </w:tcPr>
          <w:p>
            <w:pPr>
              <w:widowControl/>
              <w:spacing w:line="360" w:lineRule="auto"/>
              <w:jc w:val="center"/>
              <w:textAlignment w:val="cente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cs="宋体"/>
                <w:color w:val="000000" w:themeColor="text1"/>
                <w:kern w:val="0"/>
                <w:sz w:val="24"/>
                <w:szCs w:val="24"/>
                <w:highlight w:val="none"/>
                <w:lang w:bidi="ar"/>
                <w14:textFill>
                  <w14:solidFill>
                    <w14:schemeClr w14:val="tx1"/>
                  </w14:solidFill>
                </w14:textFill>
              </w:rPr>
              <w:t>轻型防化服</w:t>
            </w:r>
          </w:p>
        </w:tc>
        <w:tc>
          <w:tcPr>
            <w:tcW w:w="547" w:type="pct"/>
            <w:tcBorders>
              <w:tl2br w:val="nil"/>
              <w:tr2bl w:val="nil"/>
            </w:tcBorders>
            <w:noWrap w:val="0"/>
            <w:vAlign w:val="center"/>
          </w:tcPr>
          <w:p>
            <w:pPr>
              <w:widowControl/>
              <w:jc w:val="center"/>
              <w:textAlignment w:val="center"/>
              <w:rPr>
                <w:rFonts w:hint="default"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1</w:t>
            </w:r>
          </w:p>
        </w:tc>
        <w:tc>
          <w:tcPr>
            <w:tcW w:w="1744" w:type="pct"/>
            <w:tcBorders>
              <w:tl2br w:val="nil"/>
              <w:tr2bl w:val="nil"/>
            </w:tcBorders>
            <w:noWrap w:val="0"/>
            <w:vAlign w:val="center"/>
          </w:tcPr>
          <w:p>
            <w:pPr>
              <w:widowControl/>
              <w:jc w:val="center"/>
              <w:textAlignment w:val="center"/>
              <w:rPr>
                <w:rFonts w:hint="eastAsia"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详见第六章“</w:t>
            </w:r>
            <w:r>
              <w:rPr>
                <w:rFonts w:hint="eastAsia" w:ascii="宋体" w:hAnsi="宋体" w:eastAsia="宋体" w:cs="宋体"/>
                <w:color w:val="000000" w:themeColor="text1"/>
                <w:kern w:val="0"/>
                <w:sz w:val="24"/>
                <w:highlight w:val="none"/>
                <w:lang w:val="en-US" w:eastAsia="zh-CN"/>
                <w14:textFill>
                  <w14:solidFill>
                    <w14:schemeClr w14:val="tx1"/>
                  </w14:solidFill>
                </w14:textFill>
              </w:rPr>
              <w:t>三</w:t>
            </w:r>
            <w:r>
              <w:rPr>
                <w:rFonts w:hint="eastAsia" w:ascii="宋体" w:hAnsi="宋体" w:eastAsia="宋体" w:cs="宋体"/>
                <w:color w:val="000000" w:themeColor="text1"/>
                <w:kern w:val="0"/>
                <w:sz w:val="24"/>
                <w:highlight w:val="none"/>
                <w:lang w:val="zh-CN"/>
                <w14:textFill>
                  <w14:solidFill>
                    <w14:schemeClr w14:val="tx1"/>
                  </w14:solidFill>
                </w14:textFill>
              </w:rPr>
              <w:t>、技术参数要求”以及第七章</w:t>
            </w:r>
            <w:r>
              <w:rPr>
                <w:rFonts w:hint="eastAsia" w:ascii="宋体" w:hAnsi="宋体" w:cs="宋体"/>
                <w:color w:val="000000" w:themeColor="text1"/>
                <w:kern w:val="0"/>
                <w:sz w:val="24"/>
                <w:highlight w:val="none"/>
                <w:lang w:val="en-US" w:eastAsia="zh-CN"/>
                <w14:textFill>
                  <w14:solidFill>
                    <w14:schemeClr w14:val="tx1"/>
                  </w14:solidFill>
                </w14:textFill>
              </w:rPr>
              <w:t>本</w:t>
            </w:r>
            <w:r>
              <w:rPr>
                <w:rFonts w:hint="eastAsia" w:ascii="宋体" w:hAnsi="宋体" w:eastAsia="宋体" w:cs="宋体"/>
                <w:color w:val="000000" w:themeColor="text1"/>
                <w:kern w:val="0"/>
                <w:sz w:val="24"/>
                <w:highlight w:val="none"/>
                <w:lang w:val="zh-CN"/>
                <w14:textFill>
                  <w14:solidFill>
                    <w14:schemeClr w14:val="tx1"/>
                  </w14:solidFill>
                </w14:textFill>
              </w:rPr>
              <w:t>包综合评分明细表“样品”评分标准要求制作。</w:t>
            </w:r>
          </w:p>
        </w:tc>
        <w:tc>
          <w:tcPr>
            <w:tcW w:w="1308" w:type="pct"/>
            <w:tcBorders>
              <w:tl2br w:val="nil"/>
              <w:tr2bl w:val="nil"/>
            </w:tcBorders>
            <w:noWrap w:val="0"/>
            <w:vAlign w:val="center"/>
          </w:tcPr>
          <w:p>
            <w:pPr>
              <w:widowControl/>
              <w:jc w:val="center"/>
              <w:textAlignment w:val="center"/>
              <w:rPr>
                <w:rFonts w:hint="default"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560" w:type="pct"/>
            <w:vMerge w:val="continue"/>
            <w:tcBorders>
              <w:tl2br w:val="nil"/>
              <w:tr2bl w:val="nil"/>
            </w:tcBorders>
            <w:noWrap/>
            <w:vAlign w:val="center"/>
          </w:tcPr>
          <w:p>
            <w:pPr>
              <w:widowControl/>
              <w:spacing w:line="348" w:lineRule="auto"/>
              <w:jc w:val="center"/>
              <w:textAlignment w:val="center"/>
              <w:rPr>
                <w:rFonts w:hint="eastAsia" w:ascii="宋体" w:hAnsi="宋体" w:eastAsia="宋体" w:cs="宋体"/>
                <w:color w:val="000000" w:themeColor="text1"/>
                <w:kern w:val="0"/>
                <w:sz w:val="24"/>
                <w:szCs w:val="24"/>
                <w:highlight w:val="none"/>
                <w:lang w:bidi="ar"/>
                <w14:textFill>
                  <w14:solidFill>
                    <w14:schemeClr w14:val="tx1"/>
                  </w14:solidFill>
                </w14:textFill>
              </w:rPr>
            </w:pPr>
          </w:p>
        </w:tc>
        <w:tc>
          <w:tcPr>
            <w:tcW w:w="838" w:type="pct"/>
            <w:tcBorders>
              <w:tl2br w:val="nil"/>
              <w:tr2bl w:val="nil"/>
            </w:tcBorders>
            <w:noWrap w:val="0"/>
            <w:vAlign w:val="center"/>
          </w:tcPr>
          <w:p>
            <w:pPr>
              <w:widowControl/>
              <w:spacing w:line="360"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bidi="ar"/>
                <w14:textFill>
                  <w14:solidFill>
                    <w14:schemeClr w14:val="tx1"/>
                  </w14:solidFill>
                </w14:textFill>
              </w:rPr>
              <w:t>重型防化服</w:t>
            </w:r>
          </w:p>
        </w:tc>
        <w:tc>
          <w:tcPr>
            <w:tcW w:w="547" w:type="pct"/>
            <w:tcBorders>
              <w:tl2br w:val="nil"/>
              <w:tr2bl w:val="nil"/>
            </w:tcBorders>
            <w:noWrap w:val="0"/>
            <w:vAlign w:val="center"/>
          </w:tcPr>
          <w:p>
            <w:pPr>
              <w:widowControl/>
              <w:jc w:val="center"/>
              <w:textAlignment w:val="center"/>
              <w:rPr>
                <w:rFonts w:hint="eastAsia"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1</w:t>
            </w:r>
          </w:p>
        </w:tc>
        <w:tc>
          <w:tcPr>
            <w:tcW w:w="1744" w:type="pct"/>
            <w:tcBorders>
              <w:tl2br w:val="nil"/>
              <w:tr2bl w:val="nil"/>
            </w:tcBorders>
            <w:noWrap w:val="0"/>
            <w:vAlign w:val="center"/>
          </w:tcPr>
          <w:p>
            <w:pPr>
              <w:widowControl/>
              <w:jc w:val="center"/>
              <w:textAlignment w:val="center"/>
              <w:rPr>
                <w:rFonts w:hint="eastAsia" w:ascii="宋体" w:hAnsi="宋体" w:eastAsia="宋体" w:cs="宋体"/>
                <w:color w:val="000000" w:themeColor="text1"/>
                <w:kern w:val="0"/>
                <w:sz w:val="24"/>
                <w:highlight w:val="none"/>
                <w:lang w:val="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详见第六章“</w:t>
            </w:r>
            <w:r>
              <w:rPr>
                <w:rFonts w:hint="eastAsia" w:ascii="宋体" w:hAnsi="宋体" w:eastAsia="宋体" w:cs="宋体"/>
                <w:color w:val="000000" w:themeColor="text1"/>
                <w:kern w:val="0"/>
                <w:sz w:val="24"/>
                <w:highlight w:val="none"/>
                <w:lang w:val="en-US" w:eastAsia="zh-CN"/>
                <w14:textFill>
                  <w14:solidFill>
                    <w14:schemeClr w14:val="tx1"/>
                  </w14:solidFill>
                </w14:textFill>
              </w:rPr>
              <w:t>三</w:t>
            </w:r>
            <w:r>
              <w:rPr>
                <w:rFonts w:hint="eastAsia" w:ascii="宋体" w:hAnsi="宋体" w:eastAsia="宋体" w:cs="宋体"/>
                <w:color w:val="000000" w:themeColor="text1"/>
                <w:kern w:val="0"/>
                <w:sz w:val="24"/>
                <w:highlight w:val="none"/>
                <w:lang w:val="zh-CN"/>
                <w14:textFill>
                  <w14:solidFill>
                    <w14:schemeClr w14:val="tx1"/>
                  </w14:solidFill>
                </w14:textFill>
              </w:rPr>
              <w:t>、技术参数要求”以及第七章</w:t>
            </w:r>
            <w:r>
              <w:rPr>
                <w:rFonts w:hint="eastAsia" w:ascii="宋体" w:hAnsi="宋体" w:cs="宋体"/>
                <w:color w:val="000000" w:themeColor="text1"/>
                <w:kern w:val="0"/>
                <w:sz w:val="24"/>
                <w:highlight w:val="none"/>
                <w:lang w:val="en-US" w:eastAsia="zh-CN"/>
                <w14:textFill>
                  <w14:solidFill>
                    <w14:schemeClr w14:val="tx1"/>
                  </w14:solidFill>
                </w14:textFill>
              </w:rPr>
              <w:t>本</w:t>
            </w:r>
            <w:r>
              <w:rPr>
                <w:rFonts w:hint="eastAsia" w:ascii="宋体" w:hAnsi="宋体" w:eastAsia="宋体" w:cs="宋体"/>
                <w:color w:val="000000" w:themeColor="text1"/>
                <w:kern w:val="0"/>
                <w:sz w:val="24"/>
                <w:highlight w:val="none"/>
                <w:lang w:val="zh-CN"/>
                <w14:textFill>
                  <w14:solidFill>
                    <w14:schemeClr w14:val="tx1"/>
                  </w14:solidFill>
                </w14:textFill>
              </w:rPr>
              <w:t>包综合评分明细表“样品”评分标准要求制作。</w:t>
            </w:r>
          </w:p>
        </w:tc>
        <w:tc>
          <w:tcPr>
            <w:tcW w:w="1308" w:type="pct"/>
            <w:tcBorders>
              <w:tl2br w:val="nil"/>
              <w:tr2bl w:val="nil"/>
            </w:tcBorders>
            <w:noWrap w:val="0"/>
            <w:vAlign w:val="center"/>
          </w:tcPr>
          <w:p>
            <w:pPr>
              <w:widowControl/>
              <w:jc w:val="center"/>
              <w:textAlignment w:val="center"/>
              <w:rPr>
                <w:rFonts w:hint="eastAsia"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560" w:type="pct"/>
            <w:tcBorders>
              <w:tl2br w:val="nil"/>
              <w:tr2bl w:val="nil"/>
            </w:tcBorders>
            <w:noWrap/>
            <w:vAlign w:val="center"/>
          </w:tcPr>
          <w:p>
            <w:pPr>
              <w:widowControl/>
              <w:spacing w:line="348" w:lineRule="auto"/>
              <w:jc w:val="center"/>
              <w:textAlignment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0"/>
                <w:sz w:val="24"/>
                <w:szCs w:val="24"/>
                <w:highlight w:val="none"/>
                <w:lang w:bidi="ar"/>
                <w14:textFill>
                  <w14:solidFill>
                    <w14:schemeClr w14:val="tx1"/>
                  </w14:solidFill>
                </w14:textFill>
              </w:rPr>
              <w:t>包二、灭火类</w:t>
            </w:r>
          </w:p>
        </w:tc>
        <w:tc>
          <w:tcPr>
            <w:tcW w:w="838"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pacing w:line="348" w:lineRule="auto"/>
              <w:jc w:val="center"/>
              <w:textAlignment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cstheme="minorEastAsia"/>
                <w:color w:val="000000" w:themeColor="text1"/>
                <w:kern w:val="0"/>
                <w:sz w:val="24"/>
                <w:szCs w:val="24"/>
                <w:highlight w:val="none"/>
                <w14:textFill>
                  <w14:solidFill>
                    <w14:schemeClr w14:val="tx1"/>
                  </w14:solidFill>
                </w14:textFill>
              </w:rPr>
              <w:t>手抬机动泵</w:t>
            </w:r>
          </w:p>
        </w:tc>
        <w:tc>
          <w:tcPr>
            <w:tcW w:w="547" w:type="pct"/>
            <w:tcBorders>
              <w:tl2br w:val="nil"/>
              <w:tr2bl w:val="nil"/>
            </w:tcBorders>
            <w:noWrap w:val="0"/>
            <w:vAlign w:val="center"/>
          </w:tcPr>
          <w:p>
            <w:pPr>
              <w:widowControl/>
              <w:jc w:val="center"/>
              <w:textAlignment w:val="center"/>
              <w:rPr>
                <w:rFonts w:hint="default"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1</w:t>
            </w:r>
          </w:p>
        </w:tc>
        <w:tc>
          <w:tcPr>
            <w:tcW w:w="1744" w:type="pct"/>
            <w:tcBorders>
              <w:tl2br w:val="nil"/>
              <w:tr2bl w:val="nil"/>
            </w:tcBorders>
            <w:noWrap w:val="0"/>
            <w:vAlign w:val="center"/>
          </w:tcPr>
          <w:p>
            <w:pPr>
              <w:widowControl/>
              <w:jc w:val="center"/>
              <w:textAlignment w:val="center"/>
              <w:rPr>
                <w:rFonts w:hint="eastAsia" w:ascii="宋体" w:hAnsi="宋体" w:eastAsia="宋体" w:cs="宋体"/>
                <w:color w:val="000000" w:themeColor="text1"/>
                <w:kern w:val="0"/>
                <w:sz w:val="24"/>
                <w:highlight w:val="none"/>
                <w:lang w:val="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详见第六章“</w:t>
            </w:r>
            <w:r>
              <w:rPr>
                <w:rFonts w:hint="eastAsia" w:ascii="宋体" w:hAnsi="宋体" w:eastAsia="宋体" w:cs="宋体"/>
                <w:color w:val="000000" w:themeColor="text1"/>
                <w:kern w:val="0"/>
                <w:sz w:val="24"/>
                <w:highlight w:val="none"/>
                <w:lang w:val="en-US" w:eastAsia="zh-CN"/>
                <w14:textFill>
                  <w14:solidFill>
                    <w14:schemeClr w14:val="tx1"/>
                  </w14:solidFill>
                </w14:textFill>
              </w:rPr>
              <w:t>三</w:t>
            </w:r>
            <w:r>
              <w:rPr>
                <w:rFonts w:hint="eastAsia" w:ascii="宋体" w:hAnsi="宋体" w:eastAsia="宋体" w:cs="宋体"/>
                <w:color w:val="000000" w:themeColor="text1"/>
                <w:kern w:val="0"/>
                <w:sz w:val="24"/>
                <w:highlight w:val="none"/>
                <w:lang w:val="zh-CN"/>
                <w14:textFill>
                  <w14:solidFill>
                    <w14:schemeClr w14:val="tx1"/>
                  </w14:solidFill>
                </w14:textFill>
              </w:rPr>
              <w:t>、技术参数要求”以及第七章</w:t>
            </w:r>
            <w:r>
              <w:rPr>
                <w:rFonts w:hint="eastAsia" w:ascii="宋体" w:hAnsi="宋体" w:eastAsia="宋体" w:cs="宋体"/>
                <w:color w:val="000000" w:themeColor="text1"/>
                <w:kern w:val="0"/>
                <w:sz w:val="24"/>
                <w:highlight w:val="none"/>
                <w:lang w:val="en-US" w:eastAsia="zh-CN"/>
                <w14:textFill>
                  <w14:solidFill>
                    <w14:schemeClr w14:val="tx1"/>
                  </w14:solidFill>
                </w14:textFill>
              </w:rPr>
              <w:t>本</w:t>
            </w:r>
            <w:r>
              <w:rPr>
                <w:rFonts w:hint="eastAsia" w:ascii="宋体" w:hAnsi="宋体" w:eastAsia="宋体" w:cs="宋体"/>
                <w:color w:val="000000" w:themeColor="text1"/>
                <w:kern w:val="0"/>
                <w:sz w:val="24"/>
                <w:highlight w:val="none"/>
                <w:lang w:val="zh-CN"/>
                <w14:textFill>
                  <w14:solidFill>
                    <w14:schemeClr w14:val="tx1"/>
                  </w14:solidFill>
                </w14:textFill>
              </w:rPr>
              <w:t>包综合评分明细表“样品”评分标准要求制作。</w:t>
            </w:r>
          </w:p>
        </w:tc>
        <w:tc>
          <w:tcPr>
            <w:tcW w:w="1308" w:type="pct"/>
            <w:tcBorders>
              <w:tl2br w:val="nil"/>
              <w:tr2bl w:val="nil"/>
            </w:tcBorders>
            <w:noWrap w:val="0"/>
            <w:vAlign w:val="center"/>
          </w:tcPr>
          <w:p>
            <w:pPr>
              <w:widowControl/>
              <w:jc w:val="center"/>
              <w:textAlignment w:val="center"/>
              <w:rPr>
                <w:rFonts w:hint="eastAsia"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 xml:space="preserve">否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560" w:type="pct"/>
            <w:tcBorders>
              <w:tl2br w:val="nil"/>
              <w:tr2bl w:val="nil"/>
            </w:tcBorders>
            <w:noWrap/>
            <w:vAlign w:val="center"/>
          </w:tcPr>
          <w:p>
            <w:pPr>
              <w:widowControl/>
              <w:spacing w:line="348" w:lineRule="auto"/>
              <w:jc w:val="center"/>
              <w:textAlignment w:val="center"/>
              <w:rPr>
                <w:rFonts w:hint="eastAsia" w:ascii="宋体" w:hAnsi="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color w:val="000000" w:themeColor="text1"/>
                <w:kern w:val="0"/>
                <w:sz w:val="24"/>
                <w:szCs w:val="24"/>
                <w:highlight w:val="none"/>
                <w:lang w:bidi="ar"/>
                <w14:textFill>
                  <w14:solidFill>
                    <w14:schemeClr w14:val="tx1"/>
                  </w14:solidFill>
                </w14:textFill>
              </w:rPr>
              <w:t>包三、破拆类</w:t>
            </w:r>
          </w:p>
        </w:tc>
        <w:tc>
          <w:tcPr>
            <w:tcW w:w="838"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pacing w:line="348" w:lineRule="auto"/>
              <w:jc w:val="center"/>
              <w:textAlignment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cs="宋体" w:asciiTheme="minorEastAsia" w:hAnsiTheme="minorEastAsia"/>
                <w:color w:val="000000" w:themeColor="text1"/>
                <w:kern w:val="0"/>
                <w:sz w:val="24"/>
                <w:szCs w:val="24"/>
                <w:highlight w:val="none"/>
                <w14:textFill>
                  <w14:solidFill>
                    <w14:schemeClr w14:val="tx1"/>
                  </w14:solidFill>
                </w14:textFill>
              </w:rPr>
              <w:t>电动破拆工具组</w:t>
            </w:r>
          </w:p>
        </w:tc>
        <w:tc>
          <w:tcPr>
            <w:tcW w:w="547" w:type="pct"/>
            <w:tcBorders>
              <w:tl2br w:val="nil"/>
              <w:tr2bl w:val="nil"/>
            </w:tcBorders>
            <w:noWrap w:val="0"/>
            <w:vAlign w:val="center"/>
          </w:tcPr>
          <w:p>
            <w:pPr>
              <w:widowControl/>
              <w:jc w:val="center"/>
              <w:textAlignment w:val="center"/>
              <w:rPr>
                <w:rFonts w:hint="default" w:ascii="宋体" w:hAnsi="宋体" w:eastAsia="宋体" w:cs="宋体"/>
                <w:color w:val="000000" w:themeColor="text1"/>
                <w:kern w:val="0"/>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1</w:t>
            </w:r>
          </w:p>
        </w:tc>
        <w:tc>
          <w:tcPr>
            <w:tcW w:w="1744" w:type="pct"/>
            <w:tcBorders>
              <w:tl2br w:val="nil"/>
              <w:tr2bl w:val="nil"/>
            </w:tcBorders>
            <w:noWrap w:val="0"/>
            <w:vAlign w:val="center"/>
          </w:tcPr>
          <w:p>
            <w:pPr>
              <w:widowControl/>
              <w:jc w:val="center"/>
              <w:textAlignment w:val="center"/>
              <w:rPr>
                <w:rFonts w:hint="eastAsia" w:ascii="宋体" w:hAnsi="宋体" w:eastAsia="宋体" w:cs="宋体"/>
                <w:color w:val="000000" w:themeColor="text1"/>
                <w:kern w:val="0"/>
                <w:sz w:val="24"/>
                <w:highlight w:val="none"/>
                <w:lang w:val="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详见第六章“</w:t>
            </w:r>
            <w:r>
              <w:rPr>
                <w:rFonts w:hint="eastAsia" w:ascii="宋体" w:hAnsi="宋体" w:eastAsia="宋体" w:cs="宋体"/>
                <w:color w:val="000000" w:themeColor="text1"/>
                <w:kern w:val="0"/>
                <w:sz w:val="24"/>
                <w:highlight w:val="none"/>
                <w:lang w:val="en-US" w:eastAsia="zh-CN"/>
                <w14:textFill>
                  <w14:solidFill>
                    <w14:schemeClr w14:val="tx1"/>
                  </w14:solidFill>
                </w14:textFill>
              </w:rPr>
              <w:t>三</w:t>
            </w:r>
            <w:r>
              <w:rPr>
                <w:rFonts w:hint="eastAsia" w:ascii="宋体" w:hAnsi="宋体" w:eastAsia="宋体" w:cs="宋体"/>
                <w:color w:val="000000" w:themeColor="text1"/>
                <w:kern w:val="0"/>
                <w:sz w:val="24"/>
                <w:highlight w:val="none"/>
                <w:lang w:val="zh-CN"/>
                <w14:textFill>
                  <w14:solidFill>
                    <w14:schemeClr w14:val="tx1"/>
                  </w14:solidFill>
                </w14:textFill>
              </w:rPr>
              <w:t>、技术参数要求”以及第七章</w:t>
            </w:r>
            <w:r>
              <w:rPr>
                <w:rFonts w:hint="eastAsia" w:ascii="宋体" w:hAnsi="宋体" w:eastAsia="宋体" w:cs="宋体"/>
                <w:color w:val="000000" w:themeColor="text1"/>
                <w:kern w:val="0"/>
                <w:sz w:val="24"/>
                <w:highlight w:val="none"/>
                <w:lang w:val="en-US" w:eastAsia="zh-CN"/>
                <w14:textFill>
                  <w14:solidFill>
                    <w14:schemeClr w14:val="tx1"/>
                  </w14:solidFill>
                </w14:textFill>
              </w:rPr>
              <w:t>本</w:t>
            </w:r>
            <w:r>
              <w:rPr>
                <w:rFonts w:hint="eastAsia" w:ascii="宋体" w:hAnsi="宋体" w:eastAsia="宋体" w:cs="宋体"/>
                <w:color w:val="000000" w:themeColor="text1"/>
                <w:kern w:val="0"/>
                <w:sz w:val="24"/>
                <w:highlight w:val="none"/>
                <w:lang w:val="zh-CN"/>
                <w14:textFill>
                  <w14:solidFill>
                    <w14:schemeClr w14:val="tx1"/>
                  </w14:solidFill>
                </w14:textFill>
              </w:rPr>
              <w:t>包综合评分明细表“样品”评分标准要求制作。</w:t>
            </w:r>
          </w:p>
        </w:tc>
        <w:tc>
          <w:tcPr>
            <w:tcW w:w="1308" w:type="pct"/>
            <w:tcBorders>
              <w:tl2br w:val="nil"/>
              <w:tr2bl w:val="nil"/>
            </w:tcBorders>
            <w:noWrap w:val="0"/>
            <w:vAlign w:val="center"/>
          </w:tcPr>
          <w:p>
            <w:pPr>
              <w:widowControl/>
              <w:jc w:val="center"/>
              <w:textAlignment w:val="center"/>
              <w:rPr>
                <w:rFonts w:hint="eastAsia" w:ascii="宋体" w:hAnsi="宋体" w:eastAsia="宋体" w:cs="宋体"/>
                <w:color w:val="000000" w:themeColor="text1"/>
                <w:kern w:val="0"/>
                <w:sz w:val="24"/>
                <w:highlight w:val="none"/>
                <w:lang w:val="en-US" w:eastAsia="zh-CN"/>
                <w14:textFill>
                  <w14:solidFill>
                    <w14:schemeClr w14:val="tx1"/>
                  </w14:solidFill>
                </w14:textFill>
              </w:rPr>
            </w:pPr>
            <w:bookmarkStart w:id="1" w:name="_GoBack"/>
            <w:bookmarkEnd w:id="1"/>
            <w:r>
              <w:rPr>
                <w:rFonts w:hint="eastAsia" w:ascii="宋体" w:hAnsi="宋体" w:eastAsia="宋体" w:cs="宋体"/>
                <w:color w:val="000000" w:themeColor="text1"/>
                <w:kern w:val="0"/>
                <w:sz w:val="24"/>
                <w:highlight w:val="none"/>
                <w:lang w:val="en-US" w:eastAsia="zh-CN"/>
                <w14:textFill>
                  <w14:solidFill>
                    <w14:schemeClr w14:val="tx1"/>
                  </w14:solidFill>
                </w14:textFill>
              </w:rPr>
              <w:t>否</w:t>
            </w:r>
          </w:p>
        </w:tc>
      </w:tr>
    </w:tbl>
    <w:p>
      <w:pPr>
        <w:pStyle w:val="3"/>
        <w:rPr>
          <w:rFonts w:hint="eastAsia"/>
          <w:color w:val="000000" w:themeColor="text1"/>
          <w:highlight w:val="none"/>
          <w14:textFill>
            <w14:solidFill>
              <w14:schemeClr w14:val="tx1"/>
            </w14:solidFill>
          </w14:textFill>
        </w:rPr>
      </w:pPr>
    </w:p>
    <w:p>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.投标人须按照技术参数要求提供样品。</w:t>
      </w:r>
    </w:p>
    <w:p>
      <w:pPr>
        <w:tabs>
          <w:tab w:val="left" w:pos="312"/>
        </w:tabs>
        <w:spacing w:line="360" w:lineRule="auto"/>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.投标人的样品制作、搬运、损耗等相关费用由投标人承担。</w:t>
      </w:r>
    </w:p>
    <w:p>
      <w:pPr>
        <w:pStyle w:val="4"/>
        <w:spacing w:after="0" w:line="360" w:lineRule="auto"/>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.样品递交截止时间详见招标文件约定的递交截止时间，否则不予接收。</w:t>
      </w:r>
    </w:p>
    <w:p>
      <w:pPr>
        <w:spacing w:line="360" w:lineRule="auto"/>
        <w:ind w:firstLine="482"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color w:val="000000" w:themeColor="text1"/>
          <w:sz w:val="24"/>
          <w:szCs w:val="24"/>
          <w:highlight w:val="none"/>
          <w14:textFill>
            <w14:solidFill>
              <w14:schemeClr w14:val="tx1"/>
            </w14:solidFill>
          </w14:textFill>
        </w:rPr>
        <w:t>.投标人递交样品时，需随投标样品提供样品清单（详见第九章附件），需写明样品明细，包括样品所属包号、样品名称，注明投标人名称。</w:t>
      </w:r>
    </w:p>
    <w:p>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color w:val="000000" w:themeColor="text1"/>
          <w:sz w:val="24"/>
          <w:szCs w:val="24"/>
          <w:highlight w:val="none"/>
          <w14:textFill>
            <w14:solidFill>
              <w14:schemeClr w14:val="tx1"/>
            </w14:solidFill>
          </w14:textFill>
        </w:rPr>
        <w:t>.本项目样品评审采用“盲样”，即投标样品中不能出现生产厂商的文字、logo、图文等信息，必须由投标人自行进行粘贴覆盖。</w:t>
      </w:r>
    </w:p>
    <w:p>
      <w:pPr>
        <w:spacing w:line="360" w:lineRule="auto"/>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Cs/>
          <w:color w:val="000000" w:themeColor="text1"/>
          <w:sz w:val="24"/>
          <w:szCs w:val="24"/>
          <w:highlight w:val="none"/>
          <w14:textFill>
            <w14:solidFill>
              <w14:schemeClr w14:val="tx1"/>
            </w14:solidFill>
          </w14:textFill>
        </w:rPr>
        <w:t>.未中标人提供的样品在项目质疑投诉期结束，并接到代理机构工作人员通知后可自行处理封样样品。</w:t>
      </w:r>
    </w:p>
    <w:p>
      <w:pPr>
        <w:spacing w:line="360" w:lineRule="auto"/>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Cs/>
          <w:color w:val="000000" w:themeColor="text1"/>
          <w:sz w:val="24"/>
          <w:szCs w:val="24"/>
          <w:highlight w:val="none"/>
          <w14:textFill>
            <w14:solidFill>
              <w14:schemeClr w14:val="tx1"/>
            </w14:solidFill>
          </w14:textFill>
        </w:rPr>
        <w:t>.中标人提供的样品由采购人保管，在验收完成后退还。</w:t>
      </w:r>
    </w:p>
    <w:p>
      <w:pPr>
        <w:spacing w:line="360" w:lineRule="auto"/>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Cs/>
          <w:color w:val="000000" w:themeColor="text1"/>
          <w:sz w:val="24"/>
          <w:szCs w:val="24"/>
          <w:highlight w:val="none"/>
          <w14:textFill>
            <w14:solidFill>
              <w14:schemeClr w14:val="tx1"/>
            </w14:solidFill>
          </w14:textFill>
        </w:rPr>
        <w:t>.样品移交、退还时，投标人按代理机构工作人员指定的时间、地点办理退还，因样品逾期未撤离而产生的废品处置费，由投标人承担。</w:t>
      </w:r>
    </w:p>
    <w:p>
      <w:pPr>
        <w:spacing w:line="360" w:lineRule="auto"/>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中标人提供的样品由采购人保管，作为履约验收依据，在</w:t>
      </w:r>
      <w:r>
        <w:rPr>
          <w:rFonts w:hint="eastAsia" w:ascii="宋体" w:hAnsi="宋体" w:cs="宋体"/>
          <w:color w:val="000000" w:themeColor="text1"/>
          <w:sz w:val="24"/>
          <w:highlight w:val="none"/>
          <w:lang w:eastAsia="zh-Hans"/>
          <w14:textFill>
            <w14:solidFill>
              <w14:schemeClr w14:val="tx1"/>
            </w14:solidFill>
          </w14:textFill>
        </w:rPr>
        <w:t>履约</w:t>
      </w:r>
      <w:r>
        <w:rPr>
          <w:rFonts w:hint="eastAsia" w:ascii="宋体" w:hAnsi="宋体" w:cs="宋体"/>
          <w:color w:val="000000" w:themeColor="text1"/>
          <w:sz w:val="24"/>
          <w:highlight w:val="none"/>
          <w14:textFill>
            <w14:solidFill>
              <w14:schemeClr w14:val="tx1"/>
            </w14:solidFill>
          </w14:textFill>
        </w:rPr>
        <w:t>验收完成后退还。中标人最终提供的货物外观质量、制作工艺等不得低于样品的相关标准,且应完全满足合同对货物的要求和标准的约定</w:t>
      </w:r>
      <w:r>
        <w:rPr>
          <w:rFonts w:hint="eastAsia" w:ascii="宋体" w:hAnsi="宋体" w:eastAsia="宋体" w:cs="宋体"/>
          <w:bCs/>
          <w:color w:val="000000" w:themeColor="text1"/>
          <w:sz w:val="24"/>
          <w:szCs w:val="24"/>
          <w:highlight w:val="none"/>
          <w14:textFill>
            <w14:solidFill>
              <w14:schemeClr w14:val="tx1"/>
            </w14:solidFill>
          </w14:textFill>
        </w:rPr>
        <w:t>。</w:t>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三、技术参数及要求</w:t>
      </w:r>
      <w:bookmarkStart w:id="0" w:name="_Hlt101846155"/>
      <w:bookmarkEnd w:id="0"/>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包一、防护类：</w:t>
      </w:r>
    </w:p>
    <w:tbl>
      <w:tblPr>
        <w:tblStyle w:val="5"/>
        <w:tblW w:w="5000" w:type="pct"/>
        <w:jc w:val="center"/>
        <w:tblLayout w:type="fixed"/>
        <w:tblCellMar>
          <w:top w:w="0" w:type="dxa"/>
          <w:left w:w="108" w:type="dxa"/>
          <w:bottom w:w="0" w:type="dxa"/>
          <w:right w:w="108" w:type="dxa"/>
        </w:tblCellMar>
      </w:tblPr>
      <w:tblGrid>
        <w:gridCol w:w="643"/>
        <w:gridCol w:w="1042"/>
        <w:gridCol w:w="722"/>
        <w:gridCol w:w="722"/>
        <w:gridCol w:w="5393"/>
      </w:tblGrid>
      <w:tr>
        <w:tblPrEx>
          <w:tblCellMar>
            <w:top w:w="0" w:type="dxa"/>
            <w:left w:w="108" w:type="dxa"/>
            <w:bottom w:w="0" w:type="dxa"/>
            <w:right w:w="108" w:type="dxa"/>
          </w:tblCellMar>
        </w:tblPrEx>
        <w:trPr>
          <w:trHeight w:val="23"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序号</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货物</w:t>
            </w:r>
          </w:p>
          <w:p>
            <w:pPr>
              <w:spacing w:line="360" w:lineRule="auto"/>
              <w:jc w:val="center"/>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名称</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数量</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单位</w:t>
            </w:r>
          </w:p>
        </w:tc>
        <w:tc>
          <w:tcPr>
            <w:tcW w:w="3165" w:type="pct"/>
            <w:tcBorders>
              <w:top w:val="single" w:color="auto" w:sz="4" w:space="0"/>
              <w:left w:val="single" w:color="000000" w:sz="4" w:space="0"/>
              <w:bottom w:val="single" w:color="auto" w:sz="4" w:space="0"/>
              <w:right w:val="single" w:color="auto" w:sz="4" w:space="0"/>
            </w:tcBorders>
            <w:shd w:val="clear" w:color="auto" w:fill="auto"/>
            <w:vAlign w:val="center"/>
          </w:tcPr>
          <w:p>
            <w:pPr>
              <w:spacing w:line="360" w:lineRule="auto"/>
              <w:ind w:firstLine="480"/>
              <w:jc w:val="center"/>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技术参数</w:t>
            </w:r>
          </w:p>
        </w:tc>
      </w:tr>
      <w:tr>
        <w:tblPrEx>
          <w:tblCellMar>
            <w:top w:w="0" w:type="dxa"/>
            <w:left w:w="108" w:type="dxa"/>
            <w:bottom w:w="0" w:type="dxa"/>
            <w:right w:w="108" w:type="dxa"/>
          </w:tblCellMar>
        </w:tblPrEx>
        <w:trPr>
          <w:trHeight w:val="23"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防静电服</w:t>
            </w:r>
          </w:p>
        </w:tc>
        <w:tc>
          <w:tcPr>
            <w:tcW w:w="424" w:type="pct"/>
            <w:tcBorders>
              <w:top w:val="single" w:color="auto"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w:t>
            </w:r>
          </w:p>
        </w:tc>
        <w:tc>
          <w:tcPr>
            <w:tcW w:w="424" w:type="pct"/>
            <w:tcBorders>
              <w:top w:val="single" w:color="auto"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套</w:t>
            </w:r>
          </w:p>
        </w:tc>
        <w:tc>
          <w:tcPr>
            <w:tcW w:w="3165" w:type="pct"/>
            <w:tcBorders>
              <w:top w:val="single" w:color="auto" w:sz="4" w:space="0"/>
              <w:left w:val="single" w:color="000000" w:sz="4" w:space="0"/>
              <w:bottom w:val="single" w:color="000000" w:sz="4" w:space="0"/>
              <w:right w:val="single" w:color="000000" w:sz="4" w:space="0"/>
            </w:tcBorders>
            <w:shd w:val="clear" w:color="auto" w:fill="auto"/>
            <w:vAlign w:val="center"/>
          </w:tcPr>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★符合GB12014-2019《防护服装 防静电服》标准要求。</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cs="宋体"/>
                <w:color w:val="000000" w:themeColor="text1"/>
                <w:kern w:val="0"/>
                <w:sz w:val="24"/>
                <w:szCs w:val="24"/>
                <w:highlight w:val="none"/>
                <w14:textFill>
                  <w14:solidFill>
                    <w14:schemeClr w14:val="tx1"/>
                  </w14:solidFill>
                </w14:textFill>
              </w:rPr>
              <w:t>、材质应为本质防静电材料，本质阻燃，反复洗涤后仍具有防静电性能。</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w:t>
            </w:r>
            <w:r>
              <w:rPr>
                <w:rFonts w:hint="eastAsia" w:ascii="宋体" w:hAnsi="宋体" w:cs="宋体"/>
                <w:color w:val="000000" w:themeColor="text1"/>
                <w:kern w:val="0"/>
                <w:sz w:val="24"/>
                <w:szCs w:val="24"/>
                <w:highlight w:val="none"/>
                <w14:textFill>
                  <w14:solidFill>
                    <w14:schemeClr w14:val="tx1"/>
                  </w14:solidFill>
                </w14:textFill>
              </w:rPr>
              <w:t>、面料高温尺寸稳定性能：收缩率≤10%；面料断裂强力性能：断裂强力≥450N；面料梯形撕破强力性能：≥40N；面料洗涤尺寸稳定性能（%）：尺寸变化率：-2.5～+2.5。</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cs="宋体"/>
                <w:color w:val="000000" w:themeColor="text1"/>
                <w:kern w:val="0"/>
                <w:sz w:val="24"/>
                <w:szCs w:val="24"/>
                <w:highlight w:val="none"/>
                <w14:textFill>
                  <w14:solidFill>
                    <w14:schemeClr w14:val="tx1"/>
                  </w14:solidFill>
                </w14:textFill>
              </w:rPr>
              <w:t>、甲醛含量：≤20mg/kg，色牢度</w:t>
            </w:r>
            <w:r>
              <w:rPr>
                <w:rFonts w:hint="eastAsia" w:ascii="宋体" w:hAnsi="宋体" w:cs="宋体"/>
                <w:color w:val="000000" w:themeColor="text1"/>
                <w:sz w:val="24"/>
                <w:szCs w:val="24"/>
                <w:highlight w:val="none"/>
                <w14:textFill>
                  <w14:solidFill>
                    <w14:schemeClr w14:val="tx1"/>
                  </w14:solidFill>
                </w14:textFill>
              </w:rPr>
              <w:t>≥3级，耐磨性能≥400圈，接缝强力≥30N；</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、带电电荷</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0.50μC。</w:t>
            </w:r>
          </w:p>
        </w:tc>
      </w:tr>
      <w:tr>
        <w:tblPrEx>
          <w:tblCellMar>
            <w:top w:w="0" w:type="dxa"/>
            <w:left w:w="108" w:type="dxa"/>
            <w:bottom w:w="0" w:type="dxa"/>
            <w:right w:w="108" w:type="dxa"/>
          </w:tblCellMar>
        </w:tblPrEx>
        <w:trPr>
          <w:trHeight w:val="23"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空呼气瓶</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54</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套</w:t>
            </w:r>
          </w:p>
        </w:tc>
        <w:tc>
          <w:tcPr>
            <w:tcW w:w="316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cs="宋体"/>
                <w:color w:val="000000" w:themeColor="text1"/>
                <w:kern w:val="0"/>
                <w:sz w:val="24"/>
                <w:szCs w:val="24"/>
                <w:highlight w:val="none"/>
                <w:lang w:eastAsia="zh-CN"/>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★符合GB/T28053-2023的规定</w:t>
            </w:r>
            <w:r>
              <w:rPr>
                <w:rFonts w:hint="eastAsia" w:ascii="宋体" w:hAnsi="宋体" w:cs="宋体"/>
                <w:color w:val="000000" w:themeColor="text1"/>
                <w:kern w:val="0"/>
                <w:sz w:val="24"/>
                <w:szCs w:val="24"/>
                <w:highlight w:val="none"/>
                <w:lang w:eastAsia="zh-CN"/>
                <w14:textFill>
                  <w14:solidFill>
                    <w14:schemeClr w14:val="tx1"/>
                  </w14:solidFill>
                </w14:textFill>
              </w:rPr>
              <w:t>。</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cs="宋体"/>
                <w:color w:val="000000" w:themeColor="text1"/>
                <w:kern w:val="0"/>
                <w:sz w:val="24"/>
                <w:szCs w:val="24"/>
                <w:highlight w:val="none"/>
                <w14:textFill>
                  <w14:solidFill>
                    <w14:schemeClr w14:val="tx1"/>
                  </w14:solidFill>
                </w14:textFill>
              </w:rPr>
              <w:t>铝内胆碳纤维全缠绕复合气瓶</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工作压力</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30MPa，容积</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9L。</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w:t>
            </w:r>
            <w:r>
              <w:rPr>
                <w:rFonts w:hint="eastAsia" w:ascii="宋体" w:hAnsi="宋体" w:cs="宋体"/>
                <w:color w:val="000000" w:themeColor="text1"/>
                <w:kern w:val="0"/>
                <w:sz w:val="24"/>
                <w:szCs w:val="24"/>
                <w:highlight w:val="none"/>
                <w14:textFill>
                  <w14:solidFill>
                    <w14:schemeClr w14:val="tx1"/>
                  </w14:solidFill>
                </w14:textFill>
              </w:rPr>
              <w:t>、气瓶阀应具有自锁功能。</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cs="宋体"/>
                <w:color w:val="000000" w:themeColor="text1"/>
                <w:kern w:val="0"/>
                <w:sz w:val="24"/>
                <w:szCs w:val="24"/>
                <w:highlight w:val="none"/>
                <w14:textFill>
                  <w14:solidFill>
                    <w14:schemeClr w14:val="tx1"/>
                  </w14:solidFill>
                </w14:textFill>
              </w:rPr>
              <w:t>、气瓶上应标有“压缩空气、气瓶唯一编号、水压试验压力、公称工作压力、公称容积、重量、生产日期、检验周期、使用年限、产品执行标准号”等标识。</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气瓶两端使用阻燃保护套进行保护，</w:t>
            </w:r>
            <w:r>
              <w:rPr>
                <w:rFonts w:hint="eastAsia" w:ascii="宋体" w:hAnsi="宋体" w:cs="宋体"/>
                <w:color w:val="000000" w:themeColor="text1"/>
                <w:kern w:val="0"/>
                <w:sz w:val="24"/>
                <w:szCs w:val="24"/>
                <w:highlight w:val="none"/>
                <w14:textFill>
                  <w14:solidFill>
                    <w14:schemeClr w14:val="tx1"/>
                  </w14:solidFill>
                </w14:textFill>
              </w:rPr>
              <w:t>阻燃气瓶保护套主体颜色根据采购人需求确定。</w:t>
            </w:r>
          </w:p>
        </w:tc>
      </w:tr>
      <w:tr>
        <w:tblPrEx>
          <w:tblCellMar>
            <w:top w:w="0" w:type="dxa"/>
            <w:left w:w="108" w:type="dxa"/>
            <w:bottom w:w="0" w:type="dxa"/>
            <w:right w:w="108" w:type="dxa"/>
          </w:tblCellMar>
        </w:tblPrEx>
        <w:trPr>
          <w:trHeight w:val="23"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轻型防化服</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45</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套</w:t>
            </w:r>
          </w:p>
        </w:tc>
        <w:tc>
          <w:tcPr>
            <w:tcW w:w="316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cs="宋体"/>
                <w:color w:val="000000" w:themeColor="text1"/>
                <w:kern w:val="0"/>
                <w:sz w:val="24"/>
                <w:szCs w:val="24"/>
                <w:highlight w:val="none"/>
                <w14:textFill>
                  <w14:solidFill>
                    <w14:schemeClr w14:val="tx1"/>
                  </w14:solidFill>
                </w14:textFill>
              </w:rPr>
              <w:t>符合XF 770-2008《消防员化学防护服装》标准要求的二级化学防护服技术要求。连体结构，由头罩、连衣裤、防化手套、防化胶靴构成，能完全将使用者覆盖，其中头罩、防护服袖口有一定的弹性，防化手套和防化胶靴具有可拆卸功能，且不影响整体密封效果。防护服前方的拉链门襟为同种材料的至少两层保护层。手套与防护服有同等防护性能。可与消防过滤式综合防毒面具或正压式空气呼吸器配合使用。头套边缘用松紧带密封，下颌处采用粘扣进行密封防护。肘部和膝部进行加固。可手洗，可重复使用。</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2</w:t>
            </w:r>
            <w:r>
              <w:rPr>
                <w:rFonts w:hint="eastAsia" w:ascii="宋体" w:hAnsi="宋体" w:cs="宋体"/>
                <w:color w:val="000000" w:themeColor="text1"/>
                <w:kern w:val="0"/>
                <w:sz w:val="24"/>
                <w:szCs w:val="24"/>
                <w:highlight w:val="none"/>
                <w14:textFill>
                  <w14:solidFill>
                    <w14:schemeClr w14:val="tx1"/>
                  </w14:solidFill>
                </w14:textFill>
              </w:rPr>
              <w:t>、整体抗水渗漏性20min 后无渗漏现象，抗化学品渗透时间≥60min，粘贴强度≥0.78KN/m，拉伸强度≥9KN/m，撕裂强力≥30N。</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3、有焰燃烧时间≤10s，无焰燃烧时间≤10s，损毁长度≤10cm。</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4、耐热老化125℃×12h 不粘不脆，接缝强力≥200N。</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5、手套为氯丁橡胶手套，与防护服有同等防护性能，防化靴靴底抗刺穿力≥900N，击穿电压≥5000V，且泄漏电流小于3mA，钢头钢底。与防护服有同等防护性能。</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6、储存期：≥5年。</w:t>
            </w:r>
          </w:p>
        </w:tc>
      </w:tr>
      <w:tr>
        <w:tblPrEx>
          <w:tblCellMar>
            <w:top w:w="0" w:type="dxa"/>
            <w:left w:w="108" w:type="dxa"/>
            <w:bottom w:w="0" w:type="dxa"/>
            <w:right w:w="108" w:type="dxa"/>
          </w:tblCellMar>
        </w:tblPrEx>
        <w:trPr>
          <w:trHeight w:val="23"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重型防化服</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10</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套</w:t>
            </w:r>
          </w:p>
        </w:tc>
        <w:tc>
          <w:tcPr>
            <w:tcW w:w="316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★符合XF 770-2008《消防员化学防护服装》标准要求的一级化学防护服技术要求。</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1、同正压式消防空气呼吸器、通信器材等设备配合使用。颜色根据采购人需求确定；</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▲2、整体气密性≤300Pa；</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3、贴条的粘附强度≥1kN/m；</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4、工作温度：-60℃～+90℃；</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5、储存期：≥8年；</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6、阻燃性能：经纬向有焰燃烧时间≤2s，经纬向无焰燃烧时间≤2s，经纬向损毁长度≤10cm；</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7、拉伸强度：经纬向拉伸强度≥10kN/m；</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8、撕裂强力：经纬向撕裂强力≥80N；</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9、耐热老化性能（125℃×24h）：不粘、不脆；</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10、接缝强力：经纬向接缝强力≥600N；</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▲11、面料具有抗化学品渗透性能：</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（1）二甲基硫酸盐≥60min，氨气≥60min，氯气≥60min，氰氯化物≥60min，羰基氯化物≥60min，氢氰化物≥60min；</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（2）硫酸（液态）≥480min，氢氧化钠（50%液态）≥480min，氰化氢（气态）≥480min，苯（液态）≥480min，甲苯（液态）≥480min，三氯乙烯（液态）≥480min，四氯化碳（液态）≥480min等；</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▲12、面料接缝部位抗化学品渗透性能：</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（1）二甲基硫酸盐≥60min，氨气≥60min，氯气≥60min，氰氯化物≥60min，羰基氯化物≥60min，氢氰化物≥60min；</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（2）硫酸（液态）≥480min，氢氧化钠（50%液态）≥480min，氰化氢（气态）≥480min，苯（液态）≥480min，甲苯（液态）≥480min，三氯乙烯（液态）≥480min，四氯化碳（液态）≥480min等；</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13、化学防护手套要求：</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（1）耐热老化性能（125℃×24h）：不粘、不脆。耐寒性能：无裂纹。耐刺穿力≥25N。灵巧性能≥3级（XF7-2004）；</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（2）二甲基硫酸盐≥60min，氨气≥60min，氯气≥60min，氰氯化物≥60min，羰基氯化物≥60min，氢氰化物≥60min；</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（3）硫酸（液态）≥480min，氢氧化钠（50%液态）≥480min，氰化氢（气态）≥480min，苯（液态）≥480min，甲苯（液态）≥480min，三氯乙烯（液态）≥480min，四氯化碳（液态）≥480min等；</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14、化学防护靴的要求：</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（1）耐热老化性能（125℃×24h）：不粘、不脆。抗化学品渗透性能；</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（2）二甲基硫酸盐≥60min，氨气≥60min，氯气≥60min，氰氯化物≥60min，羰基氯化物≥60min，氢氰化物≥60min；</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（3）硫酸（液态）≥480min，氢氧化钠（50%液态）≥480min，氰化氢（气态）≥480min，苯（液态）≥480min，甲苯（液态）≥480min，三氯乙烯（液态）≥480min，四氯化碳（液态）≥480min等；</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（4）靴底抗刺穿力≥1200N。抗切割性能：靴面经抗切割试验后不被割穿。电绝缘性能：击穿电压≥5000V，泄露电流≤1mA。防滑性能：始滑角≥15°。防砸性能：静压力试验和冲击试验后间隙高度≥15mm；</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15、大视窗的连体头罩应有防（除）雾措施。抗化学品渗透性能：</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（1）二甲基硫酸盐≥60min，氨气≥60min，氯气≥60min，氰氯化物≥60min，羰基氯化物≥60min，氢氰化物≥60min；</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（2）硫酸（液态）≥480min，氢氧化钠（50%液态）≥480min，氰化氢（气态）≥480min，苯（液态）≥480min，甲苯（液态）≥480min，三氯乙烯（液态）≥480min，四氯化碳（液态）≥480min等；</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16、重量≤8kg；</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17、外观质量，面料表面应平整，不应有破洞、气泡、脱层、表面露布、死褶现象。化学防护靴不应有脱齿弹边、脱空、开胶、喷霜、过硫、欠硫现象。化学防护服的外贴条应整齐，不应有部件欠缺；</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18、其它要求，经洗消可重复有限次使用，每套提供中文详细使用说明书，说明书中附化学物质渗透数据表。</w:t>
            </w:r>
          </w:p>
        </w:tc>
      </w:tr>
      <w:tr>
        <w:tblPrEx>
          <w:tblCellMar>
            <w:top w:w="0" w:type="dxa"/>
            <w:left w:w="108" w:type="dxa"/>
            <w:bottom w:w="0" w:type="dxa"/>
            <w:right w:w="108" w:type="dxa"/>
          </w:tblCellMar>
        </w:tblPrEx>
        <w:trPr>
          <w:trHeight w:val="23"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正压式消防氧气呼吸器</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具</w:t>
            </w:r>
          </w:p>
        </w:tc>
        <w:tc>
          <w:tcPr>
            <w:tcW w:w="316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▲1、符合XF 632-2006《正压式消防氧气呼吸器》标准；</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2、包含全封闭式面罩、高压氧气瓶、减压装置、呼吸软管等，额定防护时间：≥240min；</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3、材料要求：阻燃性能试验后，不应出现熔融现象，续燃时间为≤0s；</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4、机体佩戴质量：≤15kg；</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5、气密性：高压系统气密性要求≥30min不漏气，低压系统气密性在1min内压力下降值≤10Pa；</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6、额定防护时间内防护性能要求：吸气中O₂浓度≥21%，吸气中CO₂浓度≤1.0%，吸气温度≤35.0℃，呼气阻力≤600Pa，吸气阻力≤300Pa；</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7、供氧性能：定量供氧量≥1.4L/min，自动补给供气量≥8OL/min，手动补给供气量≥80L/min，自动补给阀开启压力120-160Pa，排气阀开启压力400-700Pa；</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8、耐温性能测试下：吸气中O₂浓度≥21%，吸气中CO₂浓度≤0.40%，吸气温度≤34℃，呼气阻力≤600Pa，吸气阻力≤300Pa；</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9、氧气瓶：碳纤维高压气瓶≥2.4L，净重≤1.6kg；</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10、气囊或呼吸舱的容积≥5L；</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11、面罩总视野≥83%，双目视野≥70%，下方视野≥35°。</w:t>
            </w:r>
          </w:p>
        </w:tc>
      </w:tr>
      <w:tr>
        <w:tblPrEx>
          <w:tblCellMar>
            <w:top w:w="0" w:type="dxa"/>
            <w:left w:w="108" w:type="dxa"/>
            <w:bottom w:w="0" w:type="dxa"/>
            <w:right w:w="108" w:type="dxa"/>
          </w:tblCellMar>
        </w:tblPrEx>
        <w:trPr>
          <w:trHeight w:val="23"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化学氧自救呼吸器</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30</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具</w:t>
            </w:r>
          </w:p>
        </w:tc>
        <w:tc>
          <w:tcPr>
            <w:tcW w:w="316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▲1、产品符合XF411-2003《化学氧消防自救呼吸器》标准要求；</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2、防护时间≥30min，质量≤1500g；</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3、按国家标准规定检验方法，吸气温度：≤40℃；</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4、呼吸阻力：在防护时间内，吸气阻力≤300Pa，呼气阻力≤600Pa，吸气阻力与呼气阻力之和≤1000Pa，；</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5、漏气系数：眼区漏气系数≤8%，呼吸区漏气系数≤3%；</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6、呼吸系统气密性≤78Pa，面罩双目视野≥67%，抗辐射热渗透温升≤17℃；</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7、气囊容积≥6.5L，且防护时间内不应吸空；</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8、面罩采用硬质聚碳酸酯全面罩，具有抗冲击功能，可重复使用；生氧系统可更换。</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9、生氧剂：超氧化钾。</w:t>
            </w:r>
          </w:p>
        </w:tc>
      </w:tr>
      <w:tr>
        <w:tblPrEx>
          <w:tblCellMar>
            <w:top w:w="0" w:type="dxa"/>
            <w:left w:w="108" w:type="dxa"/>
            <w:bottom w:w="0" w:type="dxa"/>
            <w:right w:w="108" w:type="dxa"/>
          </w:tblCellMar>
        </w:tblPrEx>
        <w:trPr>
          <w:trHeight w:val="23"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消防员避火防护服</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50</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套</w:t>
            </w:r>
          </w:p>
        </w:tc>
        <w:tc>
          <w:tcPr>
            <w:tcW w:w="316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1、采用分体式结构，由避火头罩（镀金试片）、背囊式上衣、背带裤、二指防火手套和双层避火靴组成。</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2、外层面料阻燃性能：续燃时间≤0s，损毁长度≤11mm，且不应有熔融、滴落现象。</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3、外层面料断裂强力≥1200N；撕破强力≥100N；热稳定性能：尺寸变化率≤2%，不应有变色、脱层、炭化、熔融和滴落现象；耐静水压性能≥20kPa；抗辐射热渗透性能：其内表面温升达到24℃的时间≥80s。</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4、隔热层阻燃性能：续燃时间≤0s，损毁长度≤51mm，且不应有熔融、滴落现象；稳定性能：尺寸变化率≤2%，无变色、脱层、碳化、熔融和滴落现象。</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5、舒适层阻燃性能：续燃时间≤0s，损毁长度≤81mm，且不应有熔融、滴落现象；断裂强力≥300N。</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6、隔热头罩耐高温性能：经220℃高温5min后,隔热头罩不应有炭化、熔融和滴落现象,视窗不应有明显变形和损坏现象。</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7、隔热手套灵巧性能：不应低于XF7-2004规定中3级标准。</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8、▲整体性能火焰和辐射热防护性能TPP≥28cal/cm²；</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9、整体性能质量：≤10kg。</w:t>
            </w:r>
          </w:p>
        </w:tc>
      </w:tr>
      <w:tr>
        <w:tblPrEx>
          <w:tblCellMar>
            <w:top w:w="0" w:type="dxa"/>
            <w:left w:w="108" w:type="dxa"/>
            <w:bottom w:w="0" w:type="dxa"/>
            <w:right w:w="108" w:type="dxa"/>
          </w:tblCellMar>
        </w:tblPrEx>
        <w:trPr>
          <w:trHeight w:val="23"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消防用防坠落装备</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20</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316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装备包括：</w:t>
            </w:r>
            <w:r>
              <w:rPr>
                <w:rFonts w:hint="eastAsia" w:ascii="宋体" w:hAnsi="宋体" w:cs="宋体"/>
                <w:color w:val="000000" w:themeColor="text1"/>
                <w:sz w:val="24"/>
                <w:szCs w:val="24"/>
                <w:highlight w:val="none"/>
                <w14:textFill>
                  <w14:solidFill>
                    <w14:schemeClr w14:val="tx1"/>
                  </w14:solidFill>
                </w14:textFill>
              </w:rPr>
              <w:t>手式上升器1个，胸式上升器1个，脚式上升器1个，平底滑轮1个，万向双滑轮1个，八字环1个，下降器1个，墙角护轮1个，救助吊带1根，30m安全绳2根，100m安全绳1根，4.8m辅助绳2根，1.8m辅助绳2根，绳索护套2个，绳包1个，救援手套2副，D型钩2把,O型钩2把，钢制钩2把，1.2m安全带2根，装备包1个，分力板1个，</w:t>
            </w:r>
            <w:r>
              <w:rPr>
                <w:rFonts w:hint="eastAsia" w:ascii="宋体" w:hAnsi="宋体" w:cs="宋体"/>
                <w:color w:val="000000" w:themeColor="text1"/>
                <w:kern w:val="0"/>
                <w:sz w:val="24"/>
                <w:szCs w:val="24"/>
                <w:highlight w:val="none"/>
                <w14:textFill>
                  <w14:solidFill>
                    <w14:schemeClr w14:val="tx1"/>
                  </w14:solidFill>
                </w14:textFill>
              </w:rPr>
              <w:t>符合XF 494-2023《消防用防坠落装备》标准。</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1、安全螺环，旋紧式开口，自动锁定，开口尺寸</w:t>
            </w:r>
            <w:r>
              <w:rPr>
                <w:rFonts w:hint="eastAsia" w:ascii="宋体" w:hAnsi="宋体" w:cs="宋体"/>
                <w:color w:val="000000" w:themeColor="text1"/>
                <w:sz w:val="24"/>
                <w:szCs w:val="24"/>
                <w:highlight w:val="none"/>
                <w14:textFill>
                  <w14:solidFill>
                    <w14:schemeClr w14:val="tx1"/>
                  </w14:solidFill>
                </w14:textFill>
              </w:rPr>
              <w:t>≥15mm</w:t>
            </w:r>
            <w:r>
              <w:rPr>
                <w:rFonts w:hint="eastAsia" w:ascii="宋体" w:hAnsi="宋体" w:cs="宋体"/>
                <w:color w:val="000000" w:themeColor="text1"/>
                <w:kern w:val="0"/>
                <w:sz w:val="24"/>
                <w:szCs w:val="24"/>
                <w:highlight w:val="none"/>
                <w14:textFill>
                  <w14:solidFill>
                    <w14:schemeClr w14:val="tx1"/>
                  </w14:solidFill>
                </w14:textFill>
              </w:rPr>
              <w:t>，材质镀锌钢。</w:t>
            </w:r>
          </w:p>
        </w:tc>
      </w:tr>
      <w:tr>
        <w:tblPrEx>
          <w:tblCellMar>
            <w:top w:w="0" w:type="dxa"/>
            <w:left w:w="108" w:type="dxa"/>
            <w:bottom w:w="0" w:type="dxa"/>
            <w:right w:w="108" w:type="dxa"/>
          </w:tblCellMar>
        </w:tblPrEx>
        <w:trPr>
          <w:trHeight w:val="23"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9</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消防员防蜂服</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套</w:t>
            </w:r>
          </w:p>
        </w:tc>
        <w:tc>
          <w:tcPr>
            <w:tcW w:w="316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1、符合XF3008-2020《消防员防蜂服》标准；</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2、采用阻燃处理的聚氯乙烯材料研制而成。连体结构：由头罩（内置头盔）、散热风扇、连体服、胶靴、防穿刺手套等组成。具有防割、防酸碱，防毒液等多种防护功能，面罩由不锈钢网或同等材料制成；</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3、耐磨性能：面料表面加载基材为300g/㎡、粒度为100目的砂纸，在9kPa的压力下，经2000次循环摩擦后，试样不应被磨穿；</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4、断裂强力：经、纬向干态断裂强力≥800N；</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5、撕破强力：经、纬向撕破强力≥65N；</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6、耐切割性能(手套)：≥2N；</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7、抗蛰刺性能：手套≥0.7N。</w:t>
            </w:r>
          </w:p>
        </w:tc>
      </w:tr>
      <w:tr>
        <w:tblPrEx>
          <w:tblCellMar>
            <w:top w:w="0" w:type="dxa"/>
            <w:left w:w="108" w:type="dxa"/>
            <w:bottom w:w="0" w:type="dxa"/>
            <w:right w:w="108" w:type="dxa"/>
          </w:tblCellMar>
        </w:tblPrEx>
        <w:trPr>
          <w:trHeight w:val="23"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10</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通用安全绳（200米）</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12</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w:t>
            </w:r>
          </w:p>
        </w:tc>
        <w:tc>
          <w:tcPr>
            <w:tcW w:w="316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★符合国家XF 494-2004 《消防用防坠落装备》标准要求</w:t>
            </w:r>
            <w:r>
              <w:rPr>
                <w:rFonts w:hint="eastAsia" w:ascii="宋体" w:hAnsi="宋体" w:cs="宋体"/>
                <w:color w:val="000000" w:themeColor="text1"/>
                <w:sz w:val="24"/>
                <w:szCs w:val="24"/>
                <w:highlight w:val="none"/>
                <w:lang w:eastAsia="zh-CN"/>
                <w14:textFill>
                  <w14:solidFill>
                    <w14:schemeClr w14:val="tx1"/>
                  </w14:solidFill>
                </w14:textFill>
              </w:rPr>
              <w:t>。</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安全绳应为连续结构，主承重部分应由连续纤维做成，采用夹心绳结构，表面应无任何机械损伤现象，整绳粗细均匀；</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、每根长度≥200m，12.5mm≤绳体直径≤16mm（允差±0.5mm）；</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、破断强度≥40kN；当承重达到最小破断强度的10%时，安全绳的延伸率应≥1%且≤10%；</w:t>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、绳的两端应妥善收尾，绳的两端应采用绳环结构，可与安全钩连接；并用同种材料的细绳扎缝≥50mm，在扎缝处热封，扎缝处包以裹紧的橡胶或塑料套管。</w:t>
            </w:r>
          </w:p>
        </w:tc>
      </w:tr>
      <w:tr>
        <w:tblPrEx>
          <w:tblCellMar>
            <w:top w:w="0" w:type="dxa"/>
            <w:left w:w="108" w:type="dxa"/>
            <w:bottom w:w="0" w:type="dxa"/>
            <w:right w:w="108" w:type="dxa"/>
          </w:tblCellMar>
        </w:tblPrEx>
        <w:trPr>
          <w:trHeight w:val="23"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电绝缘装具</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套</w:t>
            </w:r>
          </w:p>
        </w:tc>
        <w:tc>
          <w:tcPr>
            <w:tcW w:w="316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1、符合DL/T1125-2009《电绝缘服装》标准；</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2、绝缘服采用双层阻燃、绝缘面料制成；</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3、阻燃性能：损毁长度≤65mm，续燃时间 ≤1.6S；</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4、耐热老化性能125℃×24h不粘不脆；</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5、耐寒性能－25℃×5min 折叠180℃，无裂纹；</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6、耐油性能在汽油中浸泡30S，无裂纹，不发粘；</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7、耐压性能：承受电压7KV，时间3min，无闪络、击穿、发热现象；</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8、泄漏电流：承受电压7KV，时间3min，泄漏电流≤0.6mA；</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9、绝缘手套由经过特殊处理的天然橡胶制成，具有绝缘、耐油、耐酸、耐臭氧和耐低温、抗机械刺穿等性能；最高测试电压：12000V，最高使用电压：12000V；</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10、手套拉伸强力：≥19MPa；</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11、扯断伸长率：≥690%；</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12、拉伸永久变形：≤8%；</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13、耐低温性能：承受电压12KV，时间3min，泄漏电流≤1.3mA；</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14、绝缘靴帮面材料为天然橡胶，靴底材料为橡胶底，具备耐油、耐酸、绝缘、防刺的性能；</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15、电绝缘性能：承受电压20KV，时间1min，泄漏电流≤1.7mA；</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16、外底耐折性能：连续屈挠30000次，切口增长≤1.7mm；</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17、重量≤5kg；</w:t>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18、技术性能：能防7000V以下高电压。适合-25℃-300℃环境作业，整套装具含衣服、裤子、12KV手套、20KV靴子。</w:t>
            </w:r>
          </w:p>
        </w:tc>
      </w:tr>
      <w:tr>
        <w:tblPrEx>
          <w:tblCellMar>
            <w:top w:w="0" w:type="dxa"/>
            <w:left w:w="108" w:type="dxa"/>
            <w:bottom w:w="0" w:type="dxa"/>
            <w:right w:w="108" w:type="dxa"/>
          </w:tblCellMar>
        </w:tblPrEx>
        <w:trPr>
          <w:trHeight w:val="23"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12</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挂钩套装（包含0型钩2个，D型钩2个，梨形钩2个）</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10</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套</w:t>
            </w:r>
          </w:p>
        </w:tc>
        <w:tc>
          <w:tcPr>
            <w:tcW w:w="316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▲符合XF 494-2023《消防用防坠落装备》标准，并带自锁装置。</w:t>
            </w:r>
          </w:p>
          <w:p>
            <w:pPr>
              <w:spacing w:line="360" w:lineRule="auto"/>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挂钩1</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1、铝合金O型自动，闸门开度≥15mm；</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2、主（长）轴负重力≥27kN；</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3、次（短）轴负重力≥8kN；</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4、闸门开启负重力≥7kN；</w:t>
            </w:r>
          </w:p>
          <w:p>
            <w:pPr>
              <w:spacing w:line="360" w:lineRule="auto"/>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挂钩2</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5、铝合金D型自动，闸门开度≥15mm；</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6、主（长）轴负重力≥27kN；</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7、次（短）轴负重力≥8kN；</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8、闸门开启负重力≥8kN；</w:t>
            </w:r>
          </w:p>
          <w:p>
            <w:pPr>
              <w:spacing w:line="360" w:lineRule="auto"/>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挂钩3</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9、铝合金梨型自动，闸门开度≥15mm；</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10、主（长）轴负重力≥27kN；</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11、次（短）轴负重力≥8kN；</w:t>
            </w:r>
          </w:p>
          <w:p>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12、闸门开启负重力≥7kN。</w:t>
            </w:r>
          </w:p>
        </w:tc>
      </w:tr>
    </w:tbl>
    <w:p>
      <w:pP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包二、灭火类：</w:t>
      </w:r>
    </w:p>
    <w:tbl>
      <w:tblPr>
        <w:tblStyle w:val="5"/>
        <w:tblW w:w="5000" w:type="pct"/>
        <w:jc w:val="center"/>
        <w:tblLayout w:type="fixed"/>
        <w:tblCellMar>
          <w:top w:w="0" w:type="dxa"/>
          <w:left w:w="108" w:type="dxa"/>
          <w:bottom w:w="0" w:type="dxa"/>
          <w:right w:w="108" w:type="dxa"/>
        </w:tblCellMar>
      </w:tblPr>
      <w:tblGrid>
        <w:gridCol w:w="643"/>
        <w:gridCol w:w="1042"/>
        <w:gridCol w:w="722"/>
        <w:gridCol w:w="722"/>
        <w:gridCol w:w="5393"/>
      </w:tblGrid>
      <w:tr>
        <w:tblPrEx>
          <w:tblCellMar>
            <w:top w:w="0" w:type="dxa"/>
            <w:left w:w="108" w:type="dxa"/>
            <w:bottom w:w="0" w:type="dxa"/>
            <w:right w:w="108" w:type="dxa"/>
          </w:tblCellMar>
        </w:tblPrEx>
        <w:trPr>
          <w:trHeight w:val="23"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序号</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货物</w:t>
            </w:r>
          </w:p>
          <w:p>
            <w:pPr>
              <w:spacing w:line="360" w:lineRule="auto"/>
              <w:jc w:val="center"/>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名称</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数量</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单位</w:t>
            </w:r>
          </w:p>
        </w:tc>
        <w:tc>
          <w:tcPr>
            <w:tcW w:w="316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ind w:firstLine="480"/>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技术参数</w:t>
            </w:r>
          </w:p>
        </w:tc>
      </w:tr>
      <w:tr>
        <w:tblPrEx>
          <w:tblCellMar>
            <w:top w:w="0" w:type="dxa"/>
            <w:left w:w="108" w:type="dxa"/>
            <w:bottom w:w="0" w:type="dxa"/>
            <w:right w:w="108" w:type="dxa"/>
          </w:tblCellMar>
        </w:tblPrEx>
        <w:trPr>
          <w:trHeight w:val="23"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浮艇泵</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1、水泵类型：单泵单极离心泵；</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2、燃油类型：92号及以上汽油；</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3、启动方式：手、电、遥控器启动；</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4、最大输出功率：≥11</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cs="宋体"/>
                <w:color w:val="000000" w:themeColor="text1"/>
                <w:sz w:val="24"/>
                <w:szCs w:val="24"/>
                <w:highlight w:val="none"/>
                <w14:textFill>
                  <w14:solidFill>
                    <w14:schemeClr w14:val="tx1"/>
                  </w14:solidFill>
                </w14:textFill>
              </w:rPr>
              <w:t>W；</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5、最低吸水深度：≤8</w:t>
            </w:r>
            <w:r>
              <w:rPr>
                <w:rFonts w:hint="eastAsia" w:ascii="宋体" w:hAnsi="宋体" w:cs="宋体"/>
                <w:color w:val="000000" w:themeColor="text1"/>
                <w:sz w:val="24"/>
                <w:szCs w:val="24"/>
                <w:highlight w:val="none"/>
                <w:lang w:val="en-US" w:eastAsia="zh-CN"/>
                <w14:textFill>
                  <w14:solidFill>
                    <w14:schemeClr w14:val="tx1"/>
                  </w14:solidFill>
                </w14:textFill>
              </w:rPr>
              <w:t>c</w:t>
            </w:r>
            <w:r>
              <w:rPr>
                <w:rFonts w:hint="eastAsia" w:ascii="宋体" w:hAnsi="宋体" w:cs="宋体"/>
                <w:color w:val="000000" w:themeColor="text1"/>
                <w:sz w:val="24"/>
                <w:szCs w:val="24"/>
                <w:highlight w:val="none"/>
                <w14:textFill>
                  <w14:solidFill>
                    <w14:schemeClr w14:val="tx1"/>
                  </w14:solidFill>
                </w14:textFill>
              </w:rPr>
              <w:t>m；</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6、进水口口径：80mm底部带过滤网；</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7、出水口口径：65mm；</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8、额定压力：≥0.40Mpa；</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▲9、设备性能：                                                                                                                               工况一：≥1030L/Min@0.2Mpa；                                                                                                                  工况二：≥950L/Min@0.3Mpa；                                                                                                                 工况三：≥900L/Min@0.4Mpa；                                                                                                                                                                                                                                                    工况四：≥770/Min@0.5Mpa；</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10、最大流量：≥90</w:t>
            </w:r>
            <w:r>
              <w:rPr>
                <w:rFonts w:hint="eastAsia" w:ascii="宋体" w:hAnsi="宋体" w:cs="宋体"/>
                <w:color w:val="000000" w:themeColor="text1"/>
                <w:sz w:val="24"/>
                <w:szCs w:val="24"/>
                <w:highlight w:val="none"/>
                <w:lang w:val="en-US" w:eastAsia="zh-CN"/>
                <w14:textFill>
                  <w14:solidFill>
                    <w14:schemeClr w14:val="tx1"/>
                  </w14:solidFill>
                </w14:textFill>
              </w:rPr>
              <w:t>t</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h</w:t>
            </w:r>
            <w:r>
              <w:rPr>
                <w:rFonts w:hint="eastAsia" w:ascii="宋体" w:hAnsi="宋体" w:cs="宋体"/>
                <w:color w:val="000000" w:themeColor="text1"/>
                <w:sz w:val="24"/>
                <w:szCs w:val="24"/>
                <w:highlight w:val="none"/>
                <w14:textFill>
                  <w14:solidFill>
                    <w14:schemeClr w14:val="tx1"/>
                  </w14:solidFill>
                </w14:textFill>
              </w:rPr>
              <w:t>；</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11、额定扬程：≥60m；</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12、发动机类型：单缸 四冲程 卧式 风冷；</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▲13、遥控距离：≥150m；</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14、遥控方式：遥控器上可控制启动、熄火、风门、油门大小等功能；</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15、点火方式：晶体管电子点火；</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▲16、重量：≤55</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cs="宋体"/>
                <w:color w:val="000000" w:themeColor="text1"/>
                <w:sz w:val="24"/>
                <w:szCs w:val="24"/>
                <w:highlight w:val="none"/>
                <w14:textFill>
                  <w14:solidFill>
                    <w14:schemeClr w14:val="tx1"/>
                  </w14:solidFill>
                </w14:textFill>
              </w:rPr>
              <w:t>g；</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17、尺寸：≤830*770*500mm；</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18、油箱容量：≥4L；</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19、泵体材质：高强度铝镁合金压铸泵体；</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20、浮箱材质：高强度聚氨酯。</w:t>
            </w:r>
          </w:p>
        </w:tc>
      </w:tr>
      <w:tr>
        <w:tblPrEx>
          <w:tblCellMar>
            <w:top w:w="0" w:type="dxa"/>
            <w:left w:w="108" w:type="dxa"/>
            <w:bottom w:w="0" w:type="dxa"/>
            <w:right w:w="108" w:type="dxa"/>
          </w:tblCellMar>
        </w:tblPrEx>
        <w:trPr>
          <w:trHeight w:val="23"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手抬机动泵</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手抬机动泵符合GB6245-2006《消防泵》标准要求。</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1、水泵类型：单泵单级离心泵；</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2、引水方式：无油式旋片全铜真空泵；</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3、吸深：≥7m；</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▲4、引水时间：≤9s；</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5、进水口口径：80mm、出水口口径：65mm；</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6、额定压力：≥0.6Mpa；</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▲7、额定流量：≥1000L/Min@0.6Mpa；</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8、最大流量：≥90T/H；</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9、扬程：≥90m；</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10、发动机类型：双缸、卧式、风冷、汽油；</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11、最大输出功率：≥27Ps（20Kw）；</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12、点火方式：晶体管电子点火；</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▲13、重量：≤90kg；</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14、油箱容量：≥10L；高强度聚氨酯耐高温油箱；</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15、启动方式：手、电启动；                                                                                                                  ▲16、启动性能：≤3.5s；                                                                                                  ▲17、最大真空度：≥88Kpa；</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18、操作方式：一体化操作面板。</w:t>
            </w:r>
          </w:p>
        </w:tc>
      </w:tr>
      <w:tr>
        <w:tblPrEx>
          <w:tblCellMar>
            <w:top w:w="0" w:type="dxa"/>
            <w:left w:w="108" w:type="dxa"/>
            <w:bottom w:w="0" w:type="dxa"/>
            <w:right w:w="108" w:type="dxa"/>
          </w:tblCellMar>
        </w:tblPrEx>
        <w:trPr>
          <w:trHeight w:val="23"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多功能消防水枪</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10</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lef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★产品符合GB8181-2005《消防水枪》标准。</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1、进水口径：65mm；</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▲2、5档直流模式喷射性能：流量≥8.3L/s,射程≥32m；</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3、承压范围:3.5--25bar；</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4、调节范围:2.5—4—5—6.5—8L/S；</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5、最大流量≥550L/min；</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6、连接方式：有卡式和内扣式两种选择；</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7、喷射功能：包括不限于开花、直流、喷雾、枪膛高压冲洗功能；</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8、基本功能：包括不限于开—关，水带防阻断水流；</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9、材质：防腐铝合金材质，通过阳极氧化处理工艺制成经久耐用；</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▲10、操作力矩≤7N·m。</w:t>
            </w:r>
          </w:p>
        </w:tc>
      </w:tr>
      <w:tr>
        <w:tblPrEx>
          <w:tblCellMar>
            <w:top w:w="0" w:type="dxa"/>
            <w:left w:w="108" w:type="dxa"/>
            <w:bottom w:w="0" w:type="dxa"/>
            <w:right w:w="108" w:type="dxa"/>
          </w:tblCellMar>
        </w:tblPrEx>
        <w:trPr>
          <w:trHeight w:val="23"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穿刺式破拆水枪</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符合GB8181-2005《消防水枪》标准；</w:t>
            </w:r>
            <w:r>
              <w:rPr>
                <w:rFonts w:hint="eastAsia" w:ascii="宋体" w:hAnsi="宋体" w:cs="宋体"/>
                <w:color w:val="000000" w:themeColor="text1"/>
                <w:sz w:val="24"/>
                <w:szCs w:val="24"/>
                <w:highlight w:val="none"/>
                <w14:textFill>
                  <w14:solidFill>
                    <w14:schemeClr w14:val="tx1"/>
                  </w14:solidFill>
                </w14:textFill>
              </w:rPr>
              <w:br w:type="textWrapping"/>
            </w:r>
            <w:r>
              <w:rPr>
                <w:rFonts w:hint="eastAsia" w:ascii="宋体" w:hAnsi="宋体" w:cs="宋体"/>
                <w:color w:val="000000" w:themeColor="text1"/>
                <w:sz w:val="24"/>
                <w:szCs w:val="24"/>
                <w:highlight w:val="none"/>
                <w14:textFill>
                  <w14:solidFill>
                    <w14:schemeClr w14:val="tx1"/>
                  </w14:solidFill>
                </w14:textFill>
              </w:rPr>
              <w:t>1、喷射压力：≥0.8MPa；</w:t>
            </w:r>
            <w:r>
              <w:rPr>
                <w:rFonts w:hint="eastAsia" w:ascii="宋体" w:hAnsi="宋体" w:cs="宋体"/>
                <w:color w:val="000000" w:themeColor="text1"/>
                <w:sz w:val="24"/>
                <w:szCs w:val="24"/>
                <w:highlight w:val="none"/>
                <w14:textFill>
                  <w14:solidFill>
                    <w14:schemeClr w14:val="tx1"/>
                  </w14:solidFill>
                </w14:textFill>
              </w:rPr>
              <w:br w:type="textWrapping"/>
            </w:r>
            <w:r>
              <w:rPr>
                <w:rFonts w:hint="eastAsia" w:ascii="宋体" w:hAnsi="宋体" w:cs="宋体"/>
                <w:color w:val="000000" w:themeColor="text1"/>
                <w:sz w:val="24"/>
                <w:szCs w:val="24"/>
                <w:highlight w:val="none"/>
                <w14:textFill>
                  <w14:solidFill>
                    <w14:schemeClr w14:val="tx1"/>
                  </w14:solidFill>
                </w14:textFill>
              </w:rPr>
              <w:t>▲2、流量：≥11L/s；</w:t>
            </w:r>
            <w:r>
              <w:rPr>
                <w:rFonts w:hint="eastAsia" w:ascii="宋体" w:hAnsi="宋体" w:cs="宋体"/>
                <w:color w:val="000000" w:themeColor="text1"/>
                <w:sz w:val="24"/>
                <w:szCs w:val="24"/>
                <w:highlight w:val="none"/>
                <w14:textFill>
                  <w14:solidFill>
                    <w14:schemeClr w14:val="tx1"/>
                  </w14:solidFill>
                </w14:textFill>
              </w:rPr>
              <w:br w:type="textWrapping"/>
            </w:r>
            <w:r>
              <w:rPr>
                <w:rFonts w:hint="eastAsia" w:ascii="宋体" w:hAnsi="宋体" w:cs="宋体"/>
                <w:color w:val="000000" w:themeColor="text1"/>
                <w:sz w:val="24"/>
                <w:szCs w:val="24"/>
                <w:highlight w:val="none"/>
                <w14:textFill>
                  <w14:solidFill>
                    <w14:schemeClr w14:val="tx1"/>
                  </w14:solidFill>
                </w14:textFill>
              </w:rPr>
              <w:t>▲3、操作力矩：≤5N.m；</w:t>
            </w:r>
            <w:r>
              <w:rPr>
                <w:rFonts w:hint="eastAsia" w:ascii="宋体" w:hAnsi="宋体" w:cs="宋体"/>
                <w:color w:val="000000" w:themeColor="text1"/>
                <w:sz w:val="24"/>
                <w:szCs w:val="24"/>
                <w:highlight w:val="none"/>
                <w14:textFill>
                  <w14:solidFill>
                    <w14:schemeClr w14:val="tx1"/>
                  </w14:solidFill>
                </w14:textFill>
              </w:rPr>
              <w:br w:type="textWrapping"/>
            </w:r>
            <w:r>
              <w:rPr>
                <w:rFonts w:hint="eastAsia" w:ascii="宋体" w:hAnsi="宋体" w:cs="宋体"/>
                <w:color w:val="000000" w:themeColor="text1"/>
                <w:sz w:val="24"/>
                <w:szCs w:val="24"/>
                <w:highlight w:val="none"/>
                <w14:textFill>
                  <w14:solidFill>
                    <w14:schemeClr w14:val="tx1"/>
                  </w14:solidFill>
                </w14:textFill>
              </w:rPr>
              <w:t>4、耐水压强度：2.4MPa，保压2min条件下，水枪未出现裂纹、断裂或影响正常使用的残余变形；</w:t>
            </w:r>
            <w:r>
              <w:rPr>
                <w:rFonts w:hint="eastAsia" w:ascii="宋体" w:hAnsi="宋体" w:cs="宋体"/>
                <w:color w:val="000000" w:themeColor="text1"/>
                <w:sz w:val="24"/>
                <w:szCs w:val="24"/>
                <w:highlight w:val="none"/>
                <w14:textFill>
                  <w14:solidFill>
                    <w14:schemeClr w14:val="tx1"/>
                  </w14:solidFill>
                </w14:textFill>
              </w:rPr>
              <w:br w:type="textWrapping"/>
            </w:r>
            <w:r>
              <w:rPr>
                <w:rFonts w:hint="eastAsia" w:ascii="宋体" w:hAnsi="宋体" w:cs="宋体"/>
                <w:color w:val="000000" w:themeColor="text1"/>
                <w:sz w:val="24"/>
                <w:szCs w:val="24"/>
                <w:highlight w:val="none"/>
                <w14:textFill>
                  <w14:solidFill>
                    <w14:schemeClr w14:val="tx1"/>
                  </w14:solidFill>
                </w14:textFill>
              </w:rPr>
              <w:t>5、重量：≤3.5kg。</w:t>
            </w:r>
          </w:p>
        </w:tc>
      </w:tr>
      <w:tr>
        <w:tblPrEx>
          <w:tblCellMar>
            <w:top w:w="0" w:type="dxa"/>
            <w:left w:w="108" w:type="dxa"/>
            <w:bottom w:w="0" w:type="dxa"/>
            <w:right w:w="108" w:type="dxa"/>
          </w:tblCellMar>
        </w:tblPrEx>
        <w:trPr>
          <w:trHeight w:val="23"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移动式消防炮</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★符合GB19156-2019《消防炮》标准要求；</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▲1、15≤额度流量≤30L/s；</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2、0.6≤额度工作压力≤2Mpa；</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3、射程：≥70m；</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4、重量≤30</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cs="宋体"/>
                <w:color w:val="000000" w:themeColor="text1"/>
                <w:sz w:val="24"/>
                <w:szCs w:val="24"/>
                <w:highlight w:val="none"/>
                <w14:textFill>
                  <w14:solidFill>
                    <w14:schemeClr w14:val="tx1"/>
                  </w14:solidFill>
                </w14:textFill>
              </w:rPr>
              <w:t>g；</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5、俯仰角：30°-70°；水平回转角范围≥90°；具备自动调节功能；</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6、具备无线遥控、固定控制面板和手动控制等控制方式；</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7、无线遥控距离：≥150m。</w:t>
            </w:r>
          </w:p>
        </w:tc>
      </w:tr>
      <w:tr>
        <w:tblPrEx>
          <w:tblCellMar>
            <w:top w:w="0" w:type="dxa"/>
            <w:left w:w="108" w:type="dxa"/>
            <w:bottom w:w="0" w:type="dxa"/>
            <w:right w:w="108" w:type="dxa"/>
          </w:tblCellMar>
        </w:tblPrEx>
        <w:trPr>
          <w:trHeight w:val="23"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高倍数泡沫发生器</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★产品符合GB20031-2005《泡沫灭火系统及部件通用技术条件》标准要求。</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▲1、混合液流量：≥5L/s；</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2、发泡量：100～220（</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/min）；</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3、发泡倍数：200～900；</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4、50%析液时间：≤5min；</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5、重量：≤23kg。</w:t>
            </w:r>
          </w:p>
        </w:tc>
      </w:tr>
      <w:tr>
        <w:tblPrEx>
          <w:tblCellMar>
            <w:top w:w="0" w:type="dxa"/>
            <w:left w:w="108" w:type="dxa"/>
            <w:bottom w:w="0" w:type="dxa"/>
            <w:right w:w="108" w:type="dxa"/>
          </w:tblCellMar>
        </w:tblPrEx>
        <w:trPr>
          <w:trHeight w:val="23"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水驱动排烟机</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★符合GB27901-2011《移动式消防排烟机》标准；</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1、风扇直径：≥φ560mm；</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2、功率：≥6.5kW；</w:t>
            </w:r>
            <w:r>
              <w:rPr>
                <w:rFonts w:hint="eastAsia" w:ascii="宋体" w:hAnsi="宋体" w:cs="宋体"/>
                <w:color w:val="000000" w:themeColor="text1"/>
                <w:sz w:val="24"/>
                <w:szCs w:val="24"/>
                <w:highlight w:val="none"/>
                <w14:textFill>
                  <w14:solidFill>
                    <w14:schemeClr w14:val="tx1"/>
                  </w14:solidFill>
                </w14:textFill>
              </w:rPr>
              <w:br w:type="textWrapping"/>
            </w:r>
            <w:r>
              <w:rPr>
                <w:rFonts w:hint="eastAsia" w:ascii="宋体" w:hAnsi="宋体" w:cs="宋体"/>
                <w:color w:val="000000" w:themeColor="text1"/>
                <w:sz w:val="24"/>
                <w:szCs w:val="24"/>
                <w:highlight w:val="none"/>
                <w14:textFill>
                  <w14:solidFill>
                    <w14:schemeClr w14:val="tx1"/>
                  </w14:solidFill>
                </w14:textFill>
              </w:rPr>
              <w:t>▲3、排烟量：≥80000m³/h；</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4、重量：≤55kg；</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5、噪声等级:≤93db(A)；</w:t>
            </w:r>
          </w:p>
        </w:tc>
      </w:tr>
      <w:tr>
        <w:tblPrEx>
          <w:tblCellMar>
            <w:top w:w="0" w:type="dxa"/>
            <w:left w:w="108" w:type="dxa"/>
            <w:bottom w:w="0" w:type="dxa"/>
            <w:right w:w="108" w:type="dxa"/>
          </w:tblCellMar>
        </w:tblPrEx>
        <w:trPr>
          <w:trHeight w:val="23" w:hRule="atLeast"/>
          <w:jc w:val="center"/>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移动式排烟机</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ind w:firstLine="482"/>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p>
        </w:tc>
        <w:tc>
          <w:tcPr>
            <w:tcW w:w="424"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5"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★符合GB27901-2011《移动式消防排烟机》标准；</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1、发动机型式：四冲程、单缸、风冷汽油机；</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2、功率：≥3kW；</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3、额定转速：≥3600r/min；</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4、风扇：≥42Cm*7个叶片；</w:t>
            </w:r>
          </w:p>
          <w:p>
            <w:pPr>
              <w:spacing w:line="360" w:lineRule="auto"/>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5、PPV风量：≥50000m³/h。</w:t>
            </w:r>
          </w:p>
        </w:tc>
      </w:tr>
    </w:tbl>
    <w:p>
      <w:pPr>
        <w:ind w:firstLine="480"/>
        <w:rPr>
          <w:rFonts w:ascii="宋体" w:hAnsi="宋体" w:cs="宋体"/>
          <w:b/>
          <w:bCs/>
          <w:color w:val="000000" w:themeColor="text1"/>
          <w:sz w:val="24"/>
          <w:szCs w:val="24"/>
          <w:highlight w:val="none"/>
          <w14:textFill>
            <w14:solidFill>
              <w14:schemeClr w14:val="tx1"/>
            </w14:solidFill>
          </w14:textFill>
        </w:rPr>
      </w:pPr>
    </w:p>
    <w:p>
      <w:pP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包三、破拆类：</w:t>
      </w:r>
    </w:p>
    <w:tbl>
      <w:tblPr>
        <w:tblStyle w:val="5"/>
        <w:tblW w:w="5000" w:type="pct"/>
        <w:tblInd w:w="0" w:type="dxa"/>
        <w:tblLayout w:type="fixed"/>
        <w:tblCellMar>
          <w:top w:w="0" w:type="dxa"/>
          <w:left w:w="108" w:type="dxa"/>
          <w:bottom w:w="0" w:type="dxa"/>
          <w:right w:w="108" w:type="dxa"/>
        </w:tblCellMar>
      </w:tblPr>
      <w:tblGrid>
        <w:gridCol w:w="643"/>
        <w:gridCol w:w="1042"/>
        <w:gridCol w:w="722"/>
        <w:gridCol w:w="722"/>
        <w:gridCol w:w="5393"/>
      </w:tblGrid>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序号</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hint="eastAsia"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货物</w:t>
            </w:r>
          </w:p>
          <w:p>
            <w:pPr>
              <w:spacing w:line="360" w:lineRule="auto"/>
              <w:jc w:val="center"/>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名称</w:t>
            </w:r>
          </w:p>
        </w:tc>
        <w:tc>
          <w:tcPr>
            <w:tcW w:w="423"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数量</w:t>
            </w:r>
          </w:p>
        </w:tc>
        <w:tc>
          <w:tcPr>
            <w:tcW w:w="423"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单位</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ind w:firstLine="482"/>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技术参数</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机动链锯</w:t>
            </w:r>
          </w:p>
        </w:tc>
        <w:tc>
          <w:tcPr>
            <w:tcW w:w="423"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w:t>
            </w:r>
          </w:p>
        </w:tc>
        <w:tc>
          <w:tcPr>
            <w:tcW w:w="423"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★符合GB32460-2015《消防应急救援装备 破拆机具通用技术条件》标准；</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1、配备导板护套、专用工具箱、比例油桶、护目镜、防护手套等附件，原厂备份链条不少于1条，备用火花塞2个，拉绳1条；</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2、机动链锯配有自动复位停机开关、透明油位显示装置、注油泵等，链锯采用拉绳启动；</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▲3、采用二冲程发动机，功率≥2.4kw，最高转速 ≥9000rpm；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4、最大功率时的链条速度≥15m/s、导板长度≥40cm、配置前手防护挡；</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5、整机重量（不含燃油、链条、润滑油）≤5kg。</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电动链锯</w:t>
            </w:r>
          </w:p>
        </w:tc>
        <w:tc>
          <w:tcPr>
            <w:tcW w:w="423"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9</w:t>
            </w:r>
          </w:p>
        </w:tc>
        <w:tc>
          <w:tcPr>
            <w:tcW w:w="423"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★符合GB32460-2015《消防应急救援装备 破拆机具通用技术条件》标准。</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1、配备导板护套、专用工具箱、护目镜、防护手套等附件，原厂备份链条≥3条、锂电池≥4 块、充电器1套</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2、电机类型：无刷电机；</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3、锂电池驱动，电压≥40V；电池容量≥4Ah；支持快充，电池余量可显示；</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▲4、导板长度≥380mm；链锯速度≥12m/s；重量≤6Kg。</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w:t>
            </w:r>
          </w:p>
        </w:tc>
        <w:tc>
          <w:tcPr>
            <w:tcW w:w="61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无齿锯</w:t>
            </w:r>
          </w:p>
        </w:tc>
        <w:tc>
          <w:tcPr>
            <w:tcW w:w="423"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w:t>
            </w:r>
          </w:p>
        </w:tc>
        <w:tc>
          <w:tcPr>
            <w:tcW w:w="423" w:type="pct"/>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★符合GB32460-2015《消防应急救援装备 破拆机具通用技术条件》标准；</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1、配备砂轮锯片≥2张，金刚石锯片≥1张，专用工具1个，比例油壶1个，护目镜，防护手套，冷却水管长度≥3m，专用冷却水壶，备用火花塞≥2个，启动拉绳≥2根；</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2、两冲程发动机；功率：≧5.5kw；发动机转速≥9000rpm；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3、锯片尺寸：≥350mm，最大切割深度：≥125mm；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4、低温启动时间（-25°--20°）≤30s；</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5、满油箱连续工作时间≥1300s；</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6、锯片罩可以无极调整；</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7、整机重量（不含锯片和燃油）：≤14kg。</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w:t>
            </w:r>
          </w:p>
        </w:tc>
        <w:tc>
          <w:tcPr>
            <w:tcW w:w="611" w:type="pct"/>
            <w:tcBorders>
              <w:top w:val="single" w:color="000000" w:sz="4" w:space="0"/>
              <w:left w:val="single" w:color="000000" w:sz="4" w:space="0"/>
              <w:bottom w:val="single" w:color="000000" w:sz="4" w:space="0"/>
              <w:right w:val="single" w:color="auto"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双轮异向切割锯</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★符合GB32460-2015《消防应急救援装备 破拆机具通用技术条件》标准；</w:t>
            </w:r>
          </w:p>
          <w:p>
            <w:pPr>
              <w:spacing w:line="360" w:lineRule="auto"/>
              <w:jc w:val="both"/>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1、采用汽油发动机为动力，功率≥4kW，无负荷最大转速≥13500rpm，燃油箱体积≥0.7L；</w:t>
            </w:r>
          </w:p>
          <w:p>
            <w:pPr>
              <w:spacing w:line="360" w:lineRule="auto"/>
              <w:jc w:val="both"/>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2、破拆性能：切割横截面积≤4c㎡的建筑用螺纹钢，切割时间≤4s，切割速度≥65c㎡/min，切割深度≥115mm；</w:t>
            </w:r>
          </w:p>
          <w:p>
            <w:pPr>
              <w:spacing w:line="360" w:lineRule="auto"/>
              <w:jc w:val="both"/>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3、将拆破机具放置在-25℃的环境中24h，届时取出后立刻进行低温启动试验，用精度不低于±0.5s的秒表测量从开始启动到破拆机具正常运转的时间≤5s；</w:t>
            </w:r>
          </w:p>
          <w:p>
            <w:pPr>
              <w:spacing w:line="360" w:lineRule="auto"/>
              <w:jc w:val="both"/>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4、按使用说明书的要求充装额定量的燃油，启动破拆机具使其正常工作，用精度不低于±2s的计时器具测量从启动至燃油耗尽为止的时间≥1300s；</w:t>
            </w:r>
          </w:p>
          <w:p>
            <w:pPr>
              <w:spacing w:line="360" w:lineRule="auto"/>
              <w:jc w:val="both"/>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5、噪声≤100db；</w:t>
            </w:r>
          </w:p>
          <w:p>
            <w:pPr>
              <w:spacing w:line="360" w:lineRule="auto"/>
              <w:jc w:val="both"/>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6、重量(无燃油、润滑油、锯片)≤13kg。</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w:t>
            </w:r>
          </w:p>
        </w:tc>
        <w:tc>
          <w:tcPr>
            <w:tcW w:w="611" w:type="pct"/>
            <w:tcBorders>
              <w:top w:val="single" w:color="000000" w:sz="4" w:space="0"/>
              <w:left w:val="single" w:color="000000" w:sz="4" w:space="0"/>
              <w:bottom w:val="single" w:color="000000" w:sz="4" w:space="0"/>
              <w:right w:val="single" w:color="auto"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水泥切割机</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★符合GB32460-2015《消防应急救援装备 破拆机具通用技术条件》标准；</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1、配备砂轮锯片≥2张，金刚石锯片≥1张，专用工具1个，比例油壶1个，护目镜，防护手套，冷却水管长度≥3m，专用冷却水壶，备用火花塞≥2个，启动拉绳≥2根；</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2、两冲程发动机；功率：≧5kw；发动机转速≥9000rpm；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3、锯片尺寸：≥350mm，最大切割深度：≥125mm；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4、低温启动时间（-25°--20°）≤30s；</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5、满油箱连续工作时间≥1300s；</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6、锯片罩可以无极调整；</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7、整机重量（不含锯片和燃油）：≤14kg。</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w:t>
            </w:r>
          </w:p>
        </w:tc>
        <w:tc>
          <w:tcPr>
            <w:tcW w:w="611" w:type="pct"/>
            <w:tcBorders>
              <w:top w:val="single" w:color="000000" w:sz="4" w:space="0"/>
              <w:left w:val="single" w:color="000000" w:sz="4" w:space="0"/>
              <w:bottom w:val="single" w:color="000000" w:sz="4" w:space="0"/>
              <w:right w:val="single" w:color="auto"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凿岩机</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1、发动机类型：风冷式、二冲程单缸、汽油发动机；发动机排量≥32ml；最大输出功率：≥2kW；</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2、冲击频率：≥1300次/min；单次冲击能量：≥60J；</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3、油箱容量≥2.4L；</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4、最大输出转速：≥4800r/min；</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5、重量：≤25kg；</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6、配备宽</w:t>
            </w:r>
            <w:r>
              <w:rPr>
                <w:rFonts w:hint="eastAsia" w:ascii="宋体" w:hAnsi="宋体" w:cs="宋体"/>
                <w:color w:val="000000" w:themeColor="text1"/>
                <w:kern w:val="0"/>
                <w:sz w:val="24"/>
                <w:szCs w:val="24"/>
                <w:highlight w:val="none"/>
                <w14:textFill>
                  <w14:solidFill>
                    <w14:schemeClr w14:val="tx1"/>
                  </w14:solidFill>
                </w14:textFill>
              </w:rPr>
              <w:t>凿、扁凿、长尖凿、短尖凿、短扁凿、</w:t>
            </w:r>
            <w:r>
              <w:rPr>
                <w:rFonts w:hint="eastAsia" w:ascii="宋体" w:hAnsi="宋体" w:cs="宋体"/>
                <w:color w:val="000000" w:themeColor="text1"/>
                <w:sz w:val="24"/>
                <w:szCs w:val="24"/>
                <w:highlight w:val="none"/>
                <w14:textFill>
                  <w14:solidFill>
                    <w14:schemeClr w14:val="tx1"/>
                  </w14:solidFill>
                </w14:textFill>
              </w:rPr>
              <w:t>专用工具1套，护目镜，防护手套，备用火花塞≥2个，启动拉绳≥2根</w:t>
            </w:r>
            <w:r>
              <w:rPr>
                <w:rFonts w:hint="eastAsia" w:ascii="宋体" w:hAnsi="宋体" w:cs="宋体"/>
                <w:color w:val="000000" w:themeColor="text1"/>
                <w:kern w:val="0"/>
                <w:sz w:val="24"/>
                <w:szCs w:val="24"/>
                <w:highlight w:val="none"/>
                <w14:textFill>
                  <w14:solidFill>
                    <w14:schemeClr w14:val="tx1"/>
                  </w14:solidFill>
                </w14:textFill>
              </w:rPr>
              <w:t>。</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w:t>
            </w:r>
          </w:p>
        </w:tc>
        <w:tc>
          <w:tcPr>
            <w:tcW w:w="611" w:type="pct"/>
            <w:tcBorders>
              <w:top w:val="single" w:color="000000" w:sz="4" w:space="0"/>
              <w:left w:val="single" w:color="000000" w:sz="4" w:space="0"/>
              <w:bottom w:val="single" w:color="000000" w:sz="4" w:space="0"/>
              <w:right w:val="single" w:color="auto"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手动破拆工具组</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★整套工具包括：多功能手柄1个，各类工具头≥5个，消防平斧≥2把，配备专用仪器储运箱；</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1、手动破拆手柄部份浸水2h后绝缘电阻≥10MΩ；</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2、消防斧平刃应以能砍断≥6.mm的Q235A圆钢，且刃口无明显卷刃、崩刃和开裂等现象；</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3、冲击式破拆器尖刃能凿裂等级为C20的混凝土试块，且刃口无明显卷刃、崩刃和开裂等现象；</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4、撬斧尖刃能凿穿厚度≥1.mm的Q235A钢平板，且刃口无明显卷刃、崩刃和开裂等现象；</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5、撬斧起撬部位能切割厚度1.5mm的Q235A钢平板，且刃口无明显卷刃、崩刃和开裂等现象；</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★手动破拆工具的金属部份经48h中性盐雾试验后，外观应符合GB 6461-2002外观等级评定轻微伤级的要求；</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6、多功能冲击手柄：冲击行程≥340mm；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7、消防平斧：收缩长度≥460mm，最大展开尺寸：≥650mm；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8、多功能手柄连接撬斧拔钉器后总长度≤1210mm；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9、多功能手柄连接金属切割器后总长度≤1210mm；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10、多功能手柄重量≤4.5kg、消防平斧重量≤3.3kg、长尖凿工具头重量≤1.45kg、长平凿工具头重量≤1.5kg、长宽凿工具头重量≤1.8kg、撬斧拔钉器工具头重量≤1.7kg、金属切割器工具头重量≤1.5kg。</w:t>
            </w:r>
          </w:p>
        </w:tc>
      </w:tr>
      <w:tr>
        <w:tblPrEx>
          <w:tblCellMar>
            <w:top w:w="0" w:type="dxa"/>
            <w:left w:w="108" w:type="dxa"/>
            <w:bottom w:w="0" w:type="dxa"/>
            <w:right w:w="108" w:type="dxa"/>
          </w:tblCellMar>
        </w:tblPrEx>
        <w:trPr>
          <w:trHeight w:val="1047"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w:t>
            </w:r>
          </w:p>
        </w:tc>
        <w:tc>
          <w:tcPr>
            <w:tcW w:w="611" w:type="pct"/>
            <w:tcBorders>
              <w:top w:val="single" w:color="000000" w:sz="4" w:space="0"/>
              <w:left w:val="single" w:color="000000" w:sz="4" w:space="0"/>
              <w:bottom w:val="single" w:color="000000" w:sz="4" w:space="0"/>
              <w:right w:val="single" w:color="auto"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玻璃破碎器</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15</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★包含玻璃切割机1台，充电式电钻1把（电压12v），玻璃强力钳:1个，单爪玻璃吸盘:1个，金刚石玻璃圆锉:1把(8x200mm)，金刚石玻璃平锉:1把(8x200mm)，玻璃破碎锤:1把，充电锂电池:2块。玻璃刀:1个。</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1、锂电池驱动；</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2、玻璃切割锯：电钻转速可调节，一档转速：≥430 r/min；二挡转速≥1300r/min，电钻具有LED照明功能；</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3、配备专用工具箱、护目镜、防护手套、充电器1套、玻璃切割片:3片（</w:t>
            </w:r>
            <w:r>
              <w:rPr>
                <w:rStyle w:val="7"/>
                <w:rFonts w:hint="eastAsia" w:ascii="宋体" w:hAnsi="宋体" w:cs="宋体"/>
                <w:color w:val="000000" w:themeColor="text1"/>
                <w:sz w:val="24"/>
                <w:szCs w:val="24"/>
                <w:highlight w:val="none"/>
                <w:shd w:val="clear" w:color="auto" w:fill="FFFFFF"/>
                <w14:textFill>
                  <w14:solidFill>
                    <w14:schemeClr w14:val="tx1"/>
                  </w14:solidFill>
                </w14:textFill>
              </w:rPr>
              <w:t>Φ</w:t>
            </w:r>
            <w:r>
              <w:rPr>
                <w:rFonts w:hint="eastAsia" w:ascii="宋体" w:hAnsi="宋体" w:cs="宋体"/>
                <w:color w:val="000000" w:themeColor="text1"/>
                <w:sz w:val="24"/>
                <w:szCs w:val="24"/>
                <w:highlight w:val="none"/>
                <w14:textFill>
                  <w14:solidFill>
                    <w14:schemeClr w14:val="tx1"/>
                  </w14:solidFill>
                </w14:textFill>
              </w:rPr>
              <w:t>100mm），大理石玻璃钻头</w:t>
            </w:r>
            <w:r>
              <w:rPr>
                <w:rStyle w:val="7"/>
                <w:rFonts w:hint="eastAsia" w:ascii="宋体" w:hAnsi="宋体" w:cs="宋体"/>
                <w:color w:val="000000" w:themeColor="text1"/>
                <w:sz w:val="24"/>
                <w:szCs w:val="24"/>
                <w:highlight w:val="none"/>
                <w:shd w:val="clear" w:color="auto" w:fill="FFFFFF"/>
                <w14:textFill>
                  <w14:solidFill>
                    <w14:schemeClr w14:val="tx1"/>
                  </w14:solidFill>
                </w14:textFill>
              </w:rPr>
              <w:t>Φ</w:t>
            </w:r>
            <w:r>
              <w:rPr>
                <w:rFonts w:hint="eastAsia" w:ascii="宋体" w:hAnsi="宋体" w:cs="宋体"/>
                <w:color w:val="000000" w:themeColor="text1"/>
                <w:sz w:val="24"/>
                <w:szCs w:val="24"/>
                <w:highlight w:val="none"/>
                <w14:textFill>
                  <w14:solidFill>
                    <w14:schemeClr w14:val="tx1"/>
                  </w14:solidFill>
                </w14:textFill>
              </w:rPr>
              <w:t>100mm:1个、</w:t>
            </w:r>
            <w:r>
              <w:rPr>
                <w:rStyle w:val="7"/>
                <w:rFonts w:hint="eastAsia" w:ascii="宋体" w:hAnsi="宋体" w:cs="宋体"/>
                <w:color w:val="000000" w:themeColor="text1"/>
                <w:sz w:val="24"/>
                <w:szCs w:val="24"/>
                <w:highlight w:val="none"/>
                <w:shd w:val="clear" w:color="auto" w:fill="FFFFFF"/>
                <w14:textFill>
                  <w14:solidFill>
                    <w14:schemeClr w14:val="tx1"/>
                  </w14:solidFill>
                </w14:textFill>
              </w:rPr>
              <w:t>Φ</w:t>
            </w:r>
            <w:r>
              <w:rPr>
                <w:rFonts w:hint="eastAsia" w:ascii="宋体" w:hAnsi="宋体" w:cs="宋体"/>
                <w:color w:val="000000" w:themeColor="text1"/>
                <w:sz w:val="24"/>
                <w:szCs w:val="24"/>
                <w:highlight w:val="none"/>
                <w14:textFill>
                  <w14:solidFill>
                    <w14:schemeClr w14:val="tx1"/>
                  </w14:solidFill>
                </w14:textFill>
              </w:rPr>
              <w:t>50mm:2个25mm3个等附件。</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9</w:t>
            </w:r>
          </w:p>
        </w:tc>
        <w:tc>
          <w:tcPr>
            <w:tcW w:w="611" w:type="pct"/>
            <w:tcBorders>
              <w:top w:val="single" w:color="000000" w:sz="4" w:space="0"/>
              <w:left w:val="single" w:color="000000" w:sz="4" w:space="0"/>
              <w:bottom w:val="single" w:color="000000" w:sz="4" w:space="0"/>
              <w:right w:val="single" w:color="auto"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绳锯</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1、外形尺寸≤1000mm*1000mm*2200mm；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2、动力源：380V/50Hz；电机功率≥10KW；</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3、整套设备包括高频绳锯，金刚石绳等，设漏电保护和水冷装置。串珠绳按 1:1备份；</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4、控制部分自动巡航切割；</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5、绳锯架≤90kg，控制箱≤35kg，收绳长度≥5m；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绳子最大线速度≥25m/s。</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10</w:t>
            </w:r>
          </w:p>
        </w:tc>
        <w:tc>
          <w:tcPr>
            <w:tcW w:w="611" w:type="pct"/>
            <w:tcBorders>
              <w:top w:val="single" w:color="000000" w:sz="4" w:space="0"/>
              <w:left w:val="single" w:color="000000" w:sz="4" w:space="0"/>
              <w:bottom w:val="single" w:color="000000" w:sz="4" w:space="0"/>
              <w:right w:val="single" w:color="auto"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电钻</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1、空载转速：≥1000r/min；</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2、满载打击频率(次/分)：≥4500次/min；</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3、最大钻孔直径：混泥土：≥22mm、钢材：≥13mm、木材：≥20mm；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4、机器净重：≤2.5kg。（不含电池）</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w:t>
            </w:r>
          </w:p>
        </w:tc>
        <w:tc>
          <w:tcPr>
            <w:tcW w:w="611" w:type="pct"/>
            <w:tcBorders>
              <w:top w:val="single" w:color="000000" w:sz="4" w:space="0"/>
              <w:left w:val="single" w:color="000000" w:sz="4" w:space="0"/>
              <w:bottom w:val="single" w:color="000000" w:sz="4" w:space="0"/>
              <w:right w:val="single" w:color="auto"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开缝器</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一、液压手动泵：</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1、产品满足GB/T 17906-2021《液压破拆工具通用技术条件》检验依据标准要求；</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2、额定工作压力≤70MPa，含1根长度≥3m液压油管；</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3、质量≤12kg；</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4、单接口连接，接口可360度旋转，可带压插拔；</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5、液压油油箱容积≥2L；</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6、低压输出压力5-10MPa；</w:t>
            </w:r>
          </w:p>
          <w:p>
            <w:pPr>
              <w:spacing w:line="360" w:lineRule="auto"/>
              <w:jc w:val="both"/>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二、液压开缝器：</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7、产品满足《液压开缝器、液压封管器试验大纲》检验依据标准要求；</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8、外表面光滑平整，无毛刺及加工缺陷，黑色金属表面经防锈处理；</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9、最大开启力≥230</w:t>
            </w:r>
            <w:r>
              <w:rPr>
                <w:rFonts w:hint="eastAsia" w:ascii="宋体" w:hAnsi="宋体" w:cs="宋体"/>
                <w:color w:val="000000" w:themeColor="text1"/>
                <w:sz w:val="24"/>
                <w:szCs w:val="24"/>
                <w:highlight w:val="none"/>
                <w:lang w:val="en-US" w:eastAsia="zh-CN"/>
                <w14:textFill>
                  <w14:solidFill>
                    <w14:schemeClr w14:val="tx1"/>
                  </w14:solidFill>
                </w14:textFill>
              </w:rPr>
              <w:t>k</w:t>
            </w:r>
            <w:r>
              <w:rPr>
                <w:rFonts w:hint="eastAsia" w:ascii="宋体" w:hAnsi="宋体" w:cs="宋体"/>
                <w:color w:val="000000" w:themeColor="text1"/>
                <w:sz w:val="24"/>
                <w:szCs w:val="24"/>
                <w:highlight w:val="none"/>
                <w14:textFill>
                  <w14:solidFill>
                    <w14:schemeClr w14:val="tx1"/>
                  </w14:solidFill>
                </w14:textFill>
              </w:rPr>
              <w:t>N，质量≤12kg；</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10、最大开启距离≥50mm，最小楔入距离≤6mm；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11、经1.3倍额定工作压力的强度试验后，无泄漏或机械损坏现象。</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12</w:t>
            </w:r>
          </w:p>
        </w:tc>
        <w:tc>
          <w:tcPr>
            <w:tcW w:w="611" w:type="pct"/>
            <w:tcBorders>
              <w:top w:val="single" w:color="000000" w:sz="4" w:space="0"/>
              <w:left w:val="single" w:color="000000" w:sz="4" w:space="0"/>
              <w:bottom w:val="single" w:color="000000" w:sz="4" w:space="0"/>
              <w:right w:val="single" w:color="auto"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液压破拆工具组A</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一、液压机动泵</w:t>
            </w:r>
            <w:r>
              <w:rPr>
                <w:rFonts w:hint="eastAsia" w:ascii="宋体" w:hAnsi="宋体" w:cs="宋体"/>
                <w:color w:val="000000" w:themeColor="text1"/>
                <w:sz w:val="24"/>
                <w:szCs w:val="24"/>
                <w:highlight w:val="none"/>
                <w14:textFill>
                  <w14:solidFill>
                    <w14:schemeClr w14:val="tx1"/>
                  </w14:solidFill>
                </w14:textFill>
              </w:rPr>
              <w:t>：</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1、符合GB/T17906液压破拆工具通用技术条件标准的要求，四冲程汽油发动机，额定工作转速：≥3400rpm，额定功率：≥2.1kW；</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2、额定工作压力：≥70M</w:t>
            </w:r>
            <w:r>
              <w:rPr>
                <w:rFonts w:hint="eastAsia" w:ascii="宋体" w:hAnsi="宋体" w:cs="宋体"/>
                <w:color w:val="000000" w:themeColor="text1"/>
                <w:sz w:val="24"/>
                <w:szCs w:val="24"/>
                <w:highlight w:val="none"/>
                <w:lang w:val="en-US" w:eastAsia="zh-CN"/>
                <w14:textFill>
                  <w14:solidFill>
                    <w14:schemeClr w14:val="tx1"/>
                  </w14:solidFill>
                </w14:textFill>
              </w:rPr>
              <w:t>p</w:t>
            </w:r>
            <w:r>
              <w:rPr>
                <w:rFonts w:hint="eastAsia" w:ascii="宋体" w:hAnsi="宋体" w:cs="宋体"/>
                <w:color w:val="000000" w:themeColor="text1"/>
                <w:sz w:val="24"/>
                <w:szCs w:val="24"/>
                <w:highlight w:val="none"/>
                <w14:textFill>
                  <w14:solidFill>
                    <w14:schemeClr w14:val="tx1"/>
                  </w14:solidFill>
                </w14:textFill>
              </w:rPr>
              <w:t>a，额定流量：≥0.65L/min，低压工作压力≤5MPa，流量倍增功能下输出流量：≥1.30L/min，质量：≤24kg；</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3、单接口设计，设有2个3位选向阀，可同时连接、操作两台或两台以上破拆工具，无需停机也可快速关闭液压输出，即可在无压力状态下安全更换工具及管路；</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4、具有独立的压力控制开关，采用上置式设计便于观察工作状态，压力开关关闭后发动机不需熄火即可保持整个设备0压力的安全待机状态，如需继续工作只需要打开压力开关即可；</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5、单输出模式时可设置为倍速模式，工作效率为双输出时的两倍；</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6、接口全部为优质单接口；长度为10m*2，破拆工具使用的快速接口带有防尘装置，破拆工具使用的液压油符合操作要求，单根重量≤8kg；</w:t>
            </w:r>
          </w:p>
          <w:p>
            <w:pPr>
              <w:spacing w:line="360" w:lineRule="auto"/>
              <w:jc w:val="both"/>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二、液压扩张器：</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7、符合GB/T17906液压破拆工具通用技术条件标准的要求，与液压机动泵配套使用；</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8、扩张力：≥80kN，扩张距离：≥725mm，重量：≤15kg；</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9、单接口尾部无管设计，可带压操作，具有自动复位转向阀系统，扩张头采用防滑结构；</w:t>
            </w:r>
          </w:p>
          <w:p>
            <w:pPr>
              <w:spacing w:line="360" w:lineRule="auto"/>
              <w:jc w:val="both"/>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三、液压剪切器：</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10、符合GB/T17906液压破拆工具通用技术条件标准的要求，与液压机动泵配套使用；</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11、开口距离：≥160mm，质量：≤14kg，剪切圆钢直径≥35mm，剪切钢板厚度≥15mm；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12、单接口尾部无管设计，可带压操作，具有自动复位转向阀系统，使用微型中央螺栓，可在狭窄空间作业；</w:t>
            </w:r>
          </w:p>
          <w:p>
            <w:pPr>
              <w:spacing w:line="360" w:lineRule="auto"/>
              <w:jc w:val="both"/>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四、液压剪扩器：</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13、符合GB/T17906液压破拆工具通用技术条件标准的要求，与液压机动泵配套使用；</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14、扩张力：≥60kN，质量：≤15kg，剪切圆钢直径≥38mm，剪切钢板厚度≥20mm；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15、单接口尾部无管设计，可带压操作，具有自动复位转向阀系统，使用微型中央螺栓，可在狭窄空间作业；</w:t>
            </w:r>
          </w:p>
          <w:p>
            <w:pPr>
              <w:spacing w:line="360" w:lineRule="auto"/>
              <w:jc w:val="both"/>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五、液压撑顶器：</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16、符合GB/T17906液压破拆工具通用技术条件标准的要求，与液压机动泵配套使用；</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17、单接口设计，可带压操作；</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18、锁扣式防滑支撑头，可根据被支撑物体的外形做任意角度的旋转。与液压机动泵配套使用；</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19、一级撑顶力：≥260kN，二级撑顶力≥130kN；</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20、闭合长度：≤480mm，一级撑顶长度≥770mm，二级撑顶长度≥1050mm；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21、质量：≤19kg；</w:t>
            </w:r>
          </w:p>
          <w:p>
            <w:pPr>
              <w:spacing w:line="360" w:lineRule="auto"/>
              <w:jc w:val="both"/>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六、液压手动泵</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22、额定工作压力≥70M</w:t>
            </w:r>
            <w:r>
              <w:rPr>
                <w:rFonts w:hint="eastAsia" w:ascii="宋体" w:hAnsi="宋体" w:cs="宋体"/>
                <w:color w:val="000000" w:themeColor="text1"/>
                <w:sz w:val="24"/>
                <w:szCs w:val="24"/>
                <w:highlight w:val="none"/>
                <w:lang w:val="en-US" w:eastAsia="zh-CN"/>
                <w14:textFill>
                  <w14:solidFill>
                    <w14:schemeClr w14:val="tx1"/>
                  </w14:solidFill>
                </w14:textFill>
              </w:rPr>
              <w:t>p</w:t>
            </w:r>
            <w:r>
              <w:rPr>
                <w:rFonts w:hint="eastAsia" w:ascii="宋体" w:hAnsi="宋体" w:cs="宋体"/>
                <w:color w:val="000000" w:themeColor="text1"/>
                <w:sz w:val="24"/>
                <w:szCs w:val="24"/>
                <w:highlight w:val="none"/>
                <w14:textFill>
                  <w14:solidFill>
                    <w14:schemeClr w14:val="tx1"/>
                  </w14:solidFill>
                </w14:textFill>
              </w:rPr>
              <w:t>a；单接口设计，可带压操作；</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23、高压输出流量：≥1.5ml/次，低压流量: ≥12ml/次；</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24、液压油油箱容量:≥2L；</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25、最大手柄力≤350N；</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26、质量：≤10kg。</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w:t>
            </w:r>
          </w:p>
        </w:tc>
        <w:tc>
          <w:tcPr>
            <w:tcW w:w="611" w:type="pct"/>
            <w:tcBorders>
              <w:top w:val="single" w:color="000000" w:sz="4" w:space="0"/>
              <w:left w:val="single" w:color="000000" w:sz="4" w:space="0"/>
              <w:bottom w:val="single" w:color="000000" w:sz="4" w:space="0"/>
              <w:right w:val="single" w:color="auto"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液压破拆工具组B</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1、符合国家GB/T17906-2021 消防应急救援装备 液压破拆工具通用技术条件标准，整套液压破拆工具组由液压机动泵、液压扩张器、液压剪切器、液压撑顶器组成；</w:t>
            </w:r>
          </w:p>
          <w:p>
            <w:pPr>
              <w:spacing w:line="360" w:lineRule="auto"/>
              <w:jc w:val="both"/>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一、液压机动泵</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2、四冲程汽油机，双输出可连接两件工具并同时使用；</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3、功率≥2kW；</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4、工作转速≥3700rpm；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5、额定工作压力≥72M</w:t>
            </w:r>
            <w:r>
              <w:rPr>
                <w:rFonts w:hint="eastAsia" w:ascii="宋体" w:hAnsi="宋体" w:cs="宋体"/>
                <w:color w:val="000000" w:themeColor="text1"/>
                <w:sz w:val="24"/>
                <w:szCs w:val="24"/>
                <w:highlight w:val="none"/>
                <w:lang w:val="en-US" w:eastAsia="zh-CN"/>
                <w14:textFill>
                  <w14:solidFill>
                    <w14:schemeClr w14:val="tx1"/>
                  </w14:solidFill>
                </w14:textFill>
              </w:rPr>
              <w:t>p</w:t>
            </w:r>
            <w:r>
              <w:rPr>
                <w:rFonts w:hint="eastAsia" w:ascii="宋体" w:hAnsi="宋体" w:cs="宋体"/>
                <w:color w:val="000000" w:themeColor="text1"/>
                <w:sz w:val="24"/>
                <w:szCs w:val="24"/>
                <w:highlight w:val="none"/>
                <w14:textFill>
                  <w14:solidFill>
                    <w14:schemeClr w14:val="tx1"/>
                  </w14:solidFill>
                </w14:textFill>
              </w:rPr>
              <w:t>a；</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6、低压输出流量≥2.8L/min；高压输出流量≥0.65L/min；</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7、转化压力≥13M</w:t>
            </w:r>
            <w:r>
              <w:rPr>
                <w:rFonts w:hint="eastAsia" w:ascii="宋体" w:hAnsi="宋体" w:cs="宋体"/>
                <w:color w:val="000000" w:themeColor="text1"/>
                <w:sz w:val="24"/>
                <w:szCs w:val="24"/>
                <w:highlight w:val="none"/>
                <w:lang w:val="en-US" w:eastAsia="zh-CN"/>
                <w14:textFill>
                  <w14:solidFill>
                    <w14:schemeClr w14:val="tx1"/>
                  </w14:solidFill>
                </w14:textFill>
              </w:rPr>
              <w:t>p</w:t>
            </w:r>
            <w:r>
              <w:rPr>
                <w:rFonts w:hint="eastAsia" w:ascii="宋体" w:hAnsi="宋体" w:cs="宋体"/>
                <w:color w:val="000000" w:themeColor="text1"/>
                <w:sz w:val="24"/>
                <w:szCs w:val="24"/>
                <w:highlight w:val="none"/>
                <w14:textFill>
                  <w14:solidFill>
                    <w14:schemeClr w14:val="tx1"/>
                  </w14:solidFill>
                </w14:textFill>
              </w:rPr>
              <w:t>a；</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8、液压油油箱容积≥3L；</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9、质量≤24kg；</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10、配备2条10米液压油管，采用双油管单接口连接，机械螺纹螺旋式连接方式；</w:t>
            </w:r>
          </w:p>
          <w:p>
            <w:pPr>
              <w:spacing w:line="360" w:lineRule="auto"/>
              <w:jc w:val="both"/>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二、液压剪切器</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11、额定工作压力≥72M</w:t>
            </w:r>
            <w:r>
              <w:rPr>
                <w:rFonts w:hint="eastAsia" w:ascii="宋体" w:hAnsi="宋体" w:cs="宋体"/>
                <w:color w:val="000000" w:themeColor="text1"/>
                <w:sz w:val="24"/>
                <w:szCs w:val="24"/>
                <w:highlight w:val="none"/>
                <w:lang w:val="en-US" w:eastAsia="zh-CN"/>
                <w14:textFill>
                  <w14:solidFill>
                    <w14:schemeClr w14:val="tx1"/>
                  </w14:solidFill>
                </w14:textFill>
              </w:rPr>
              <w:t>p</w:t>
            </w:r>
            <w:r>
              <w:rPr>
                <w:rFonts w:hint="eastAsia" w:ascii="宋体" w:hAnsi="宋体" w:cs="宋体"/>
                <w:color w:val="000000" w:themeColor="text1"/>
                <w:sz w:val="24"/>
                <w:szCs w:val="24"/>
                <w:highlight w:val="none"/>
                <w14:textFill>
                  <w14:solidFill>
                    <w14:schemeClr w14:val="tx1"/>
                  </w14:solidFill>
                </w14:textFill>
              </w:rPr>
              <w:t>a；</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12、开口距离≥160mm；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13、剪切力≥670kN；</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14、剪断圆钢（Q235-A）直径≥36mm；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15、剪切钢板（Q235-A）厚度≥16mm；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16、质量≤13kg；</w:t>
            </w:r>
          </w:p>
          <w:p>
            <w:pPr>
              <w:spacing w:line="360" w:lineRule="auto"/>
              <w:jc w:val="both"/>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三、液压扩张器</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17、额定工作压力≥72MPa；</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18、最小扩张力≥60kN，最大扩张力≥110kN；</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19、扩张距离≥660mm；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20、最大牵引力≥38kN；</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21、最大牵引距离≥500mm；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22、质量≤17kg；</w:t>
            </w:r>
          </w:p>
          <w:p>
            <w:pPr>
              <w:spacing w:line="360" w:lineRule="auto"/>
              <w:jc w:val="both"/>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四、液压撑顶器</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23、额定工作压力≥72Mpa；</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24、撑顶力≥140kN；</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25、撑顶行程≥305mm；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26、撑顶长度≥775mm；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27、回缩长度≤500mm；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28、质量≤11kg。</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w:t>
            </w:r>
          </w:p>
        </w:tc>
        <w:tc>
          <w:tcPr>
            <w:tcW w:w="611" w:type="pct"/>
            <w:tcBorders>
              <w:top w:val="single" w:color="000000" w:sz="4" w:space="0"/>
              <w:left w:val="single" w:color="000000" w:sz="4" w:space="0"/>
              <w:bottom w:val="single" w:color="000000" w:sz="4" w:space="0"/>
              <w:right w:val="single" w:color="auto"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电动液压剪扩组</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1、包含电动扩张钳、电动剪切钳、电动剪扩钳、电动支撑顶杆，充电时间≤2h，电池具有检测及显示电量功能。同时具备拇指控制；</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2、电动扩张钳：最大扩张开口≥600mm，最大扩张力≥140kN；最大牵引力≥50kN；最大牵引距离≥420mm，重量≤25kg；</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3、电动剪切钳：最大剪切力≥110kN，最大剪切开口距离≥160mm，重量≤22kg；</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4、电动剪扩钳：：最大剪切力≥72kN，最大张开距离≥350mm，最大扩张力≥100kN；重量≤22kg；</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5、电动支撑顶杆：最大行程≥300mm；最大撑顶高度≥900mm；最大撑顶力≥130kN，重量≤21kg。</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15</w:t>
            </w:r>
          </w:p>
        </w:tc>
        <w:tc>
          <w:tcPr>
            <w:tcW w:w="611" w:type="pct"/>
            <w:tcBorders>
              <w:top w:val="single" w:color="000000" w:sz="4" w:space="0"/>
              <w:left w:val="single" w:color="000000" w:sz="4" w:space="0"/>
              <w:bottom w:val="single" w:color="000000" w:sz="4" w:space="0"/>
              <w:right w:val="single" w:color="auto"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液压钻孔机</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autoSpaceDE w:val="0"/>
              <w:spacing w:line="360" w:lineRule="auto"/>
              <w:jc w:val="both"/>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一、液压岩心钻：</w:t>
            </w:r>
          </w:p>
          <w:p>
            <w:pPr>
              <w:autoSpaceDE w:val="0"/>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1、裸机重量：≤8kg（不含包装、工具和附件）；</w:t>
            </w:r>
          </w:p>
          <w:p>
            <w:pPr>
              <w:autoSpaceDE w:val="0"/>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2、最大转速：≥600rpm；</w:t>
            </w:r>
          </w:p>
          <w:p>
            <w:pPr>
              <w:autoSpaceDE w:val="0"/>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3、钻孔直径：50~200mm（可调）；</w:t>
            </w:r>
          </w:p>
          <w:p>
            <w:pPr>
              <w:autoSpaceDE w:val="0"/>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4、流量范围：20~30L/min（可调）；</w:t>
            </w:r>
          </w:p>
          <w:p>
            <w:pPr>
              <w:autoSpaceDE w:val="0"/>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5、最大回油压力：≤35bar；</w:t>
            </w:r>
          </w:p>
          <w:p>
            <w:pPr>
              <w:autoSpaceDE w:val="0"/>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6、液压油最大温升：≤35.2℃；</w:t>
            </w:r>
          </w:p>
          <w:p>
            <w:pPr>
              <w:autoSpaceDE w:val="0"/>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7、噪声声压级(1m LPA)：≤80dB（A）；</w:t>
            </w:r>
          </w:p>
          <w:p>
            <w:pPr>
              <w:autoSpaceDE w:val="0"/>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8、振动加速度：≤2.3m/s2；</w:t>
            </w:r>
          </w:p>
          <w:p>
            <w:pPr>
              <w:autoSpaceDE w:val="0"/>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9、接口形式：螺纹G1/2或11/4-7UNC；</w:t>
            </w:r>
          </w:p>
          <w:p>
            <w:pPr>
              <w:autoSpaceDE w:val="0"/>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10、外形尺寸：≤590*90*260mm；</w:t>
            </w:r>
          </w:p>
          <w:p>
            <w:pPr>
              <w:autoSpaceDE w:val="0"/>
              <w:spacing w:line="360" w:lineRule="auto"/>
              <w:jc w:val="both"/>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二、液压动力站：</w:t>
            </w:r>
          </w:p>
          <w:p>
            <w:pPr>
              <w:autoSpaceDE w:val="0"/>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11、裸机质量：≤75kg；</w:t>
            </w:r>
          </w:p>
          <w:p>
            <w:pPr>
              <w:autoSpaceDE w:val="0"/>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12、启动方式：拉绳式启动、电启动；</w:t>
            </w:r>
          </w:p>
          <w:p>
            <w:pPr>
              <w:autoSpaceDE w:val="0"/>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13、最大输出流量：≥30L/min；</w:t>
            </w:r>
          </w:p>
          <w:p>
            <w:pPr>
              <w:autoSpaceDE w:val="0"/>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14、最大工作压力：≥155bar；</w:t>
            </w:r>
          </w:p>
          <w:p>
            <w:pPr>
              <w:autoSpaceDE w:val="0"/>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15、发动机功率：≥10kw；</w:t>
            </w:r>
          </w:p>
          <w:p>
            <w:pPr>
              <w:autoSpaceDE w:val="0"/>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16、发动机结构：四冲程；</w:t>
            </w:r>
          </w:p>
          <w:p>
            <w:pPr>
              <w:autoSpaceDE w:val="0"/>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17、汽油箱容积：≥6L；</w:t>
            </w:r>
          </w:p>
          <w:p>
            <w:pPr>
              <w:autoSpaceDE w:val="0"/>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18、液压油箱容积：≥10L；</w:t>
            </w:r>
          </w:p>
          <w:p>
            <w:pPr>
              <w:autoSpaceDE w:val="0"/>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19、噪声声压级：≤100db(A）；</w:t>
            </w:r>
          </w:p>
          <w:p>
            <w:pPr>
              <w:autoSpaceDE w:val="0"/>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20、外形尺寸：≤长750mm*宽560mm*高700mm；</w:t>
            </w:r>
          </w:p>
          <w:p>
            <w:pPr>
              <w:autoSpaceDE w:val="0"/>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21、油路控制方式：手动。</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w:t>
            </w:r>
          </w:p>
        </w:tc>
        <w:tc>
          <w:tcPr>
            <w:tcW w:w="611" w:type="pct"/>
            <w:tcBorders>
              <w:top w:val="single" w:color="000000" w:sz="4" w:space="0"/>
              <w:left w:val="single" w:color="000000" w:sz="4" w:space="0"/>
              <w:bottom w:val="single" w:color="000000" w:sz="4" w:space="0"/>
              <w:right w:val="single" w:color="auto"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电动钢筋速断器</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10</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1、机身部份360°可自由旋转；充电型钢筋切断机，可随身携带；</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2、开口距离：≥20mm；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3、剪切能力：</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圆钢（Q235A材质）钢筋：≥20mm；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热轧带肋钢筋（HRB400）钢筋：≥20mm；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4、剪切时间：</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圆钢（Q235A材质）钢筋22mm：≤5s；</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热轧带肋钢筋（HRB400）钢筋22mm：≤7s；</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5、电池持续工作能力：在连续切割直径18mm的圆钢（Q235A材质）100次后，电力未耗尽；</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6、电池数量≥2个；含电池及液压油重量：≤8kg。</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w:t>
            </w:r>
          </w:p>
        </w:tc>
        <w:tc>
          <w:tcPr>
            <w:tcW w:w="611" w:type="pct"/>
            <w:tcBorders>
              <w:top w:val="single" w:color="000000" w:sz="4" w:space="0"/>
              <w:left w:val="single" w:color="000000" w:sz="4" w:space="0"/>
              <w:bottom w:val="single" w:color="000000" w:sz="4" w:space="0"/>
              <w:right w:val="single" w:color="auto"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等离子切割机</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1、利用高温切割金属、玻璃等结构和材料；</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2、工作介质：水（蒸馏水或焊接时加40%酒精）；</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3、火焰内部温度：可产生10000℃等离子高温束流；</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4、转换方式：双回路，能切割能焊接；</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5、最大输入功率≥3500W；</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6、连续工作时间：≧20min/1次加水；</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7、加工金属厚度：切割≥14mm；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8、焊接：0.3-10mm；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9、切割钢筋：≥20mm；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10、切割玻璃幕墙≥18mm。</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18</w:t>
            </w:r>
          </w:p>
        </w:tc>
        <w:tc>
          <w:tcPr>
            <w:tcW w:w="611" w:type="pct"/>
            <w:tcBorders>
              <w:top w:val="single" w:color="000000" w:sz="4" w:space="0"/>
              <w:left w:val="single" w:color="000000" w:sz="4" w:space="0"/>
              <w:bottom w:val="single" w:color="000000" w:sz="4" w:space="0"/>
              <w:right w:val="single" w:color="auto"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氧炔气焊切割设备</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1、产品切割范围：高中低碳钢、有色金属、合金钢及不锈钢材料等；</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2、燃料标号：车用汽油（92#、95#、98#）；</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3、移动方便：可推、可拉、可抬、可背、可提；</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4、输油管：带单向阀，防磨、抗拉、不易打结、不导电；</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5、氧气输出压力（MPa）：0.1-1.2(可自由调节，带高低压力表）；</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6、最大作业高度：无限制；</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7、额定注油量（L）：≥1.5；</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8、额定氧气罐装压力（M</w:t>
            </w:r>
            <w:r>
              <w:rPr>
                <w:rFonts w:hint="eastAsia" w:ascii="宋体" w:hAnsi="宋体" w:cs="宋体"/>
                <w:color w:val="000000" w:themeColor="text1"/>
                <w:sz w:val="24"/>
                <w:szCs w:val="24"/>
                <w:highlight w:val="none"/>
                <w:lang w:val="en-US" w:eastAsia="zh-CN"/>
                <w14:textFill>
                  <w14:solidFill>
                    <w14:schemeClr w14:val="tx1"/>
                  </w14:solidFill>
                </w14:textFill>
              </w:rPr>
              <w:t>p</w:t>
            </w:r>
            <w:r>
              <w:rPr>
                <w:rFonts w:hint="eastAsia" w:ascii="宋体" w:hAnsi="宋体" w:cs="宋体"/>
                <w:color w:val="000000" w:themeColor="text1"/>
                <w:sz w:val="24"/>
                <w:szCs w:val="24"/>
                <w:highlight w:val="none"/>
                <w14:textFill>
                  <w14:solidFill>
                    <w14:schemeClr w14:val="tx1"/>
                  </w14:solidFill>
                </w14:textFill>
              </w:rPr>
              <w:t>a）：≥22；</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9、工作氧气罐装压力（M</w:t>
            </w:r>
            <w:r>
              <w:rPr>
                <w:rFonts w:hint="eastAsia" w:ascii="宋体" w:hAnsi="宋体" w:cs="宋体"/>
                <w:color w:val="000000" w:themeColor="text1"/>
                <w:sz w:val="24"/>
                <w:szCs w:val="24"/>
                <w:highlight w:val="none"/>
                <w:lang w:val="en-US" w:eastAsia="zh-CN"/>
                <w14:textFill>
                  <w14:solidFill>
                    <w14:schemeClr w14:val="tx1"/>
                  </w14:solidFill>
                </w14:textFill>
              </w:rPr>
              <w:t>p</w:t>
            </w:r>
            <w:r>
              <w:rPr>
                <w:rFonts w:hint="eastAsia" w:ascii="宋体" w:hAnsi="宋体" w:cs="宋体"/>
                <w:color w:val="000000" w:themeColor="text1"/>
                <w:sz w:val="24"/>
                <w:szCs w:val="24"/>
                <w:highlight w:val="none"/>
                <w14:textFill>
                  <w14:solidFill>
                    <w14:schemeClr w14:val="tx1"/>
                  </w14:solidFill>
                </w14:textFill>
              </w:rPr>
              <w:t>a）：≥15；</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10、额定氧气罐装容积(L)：≥6.8；</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11、切割厚度（mm）：≥40。</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19</w:t>
            </w:r>
          </w:p>
        </w:tc>
        <w:tc>
          <w:tcPr>
            <w:tcW w:w="611" w:type="pct"/>
            <w:tcBorders>
              <w:top w:val="single" w:color="000000" w:sz="4" w:space="0"/>
              <w:left w:val="single" w:color="000000" w:sz="4" w:space="0"/>
              <w:bottom w:val="single" w:color="000000" w:sz="4" w:space="0"/>
              <w:right w:val="single" w:color="auto"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木锯切割机</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1、功率：≥4kW；</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2、怠速：≥2700rpm；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3、最高功率转速：≥13500r/min；</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4、链条长度：≥20"；</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5、油箱容量：≥0.7L；</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6、链条润滑油箱容量：≥0.4L；</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7、重量（不含切割设备燃油）：≤8kg</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20</w:t>
            </w:r>
          </w:p>
        </w:tc>
        <w:tc>
          <w:tcPr>
            <w:tcW w:w="611" w:type="pct"/>
            <w:tcBorders>
              <w:top w:val="single" w:color="000000" w:sz="4" w:space="0"/>
              <w:left w:val="single" w:color="000000" w:sz="4" w:space="0"/>
              <w:bottom w:val="single" w:color="000000" w:sz="4" w:space="0"/>
              <w:right w:val="single" w:color="auto"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无电切割刀</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★配置：药筒（10支）激发手柄(1个）护目镜（1副）电池（2个）防护手套（1副）使用说明书（1份）充电器（1个）手提包装箱（1个)；</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1、药筒重量：300g土10g；</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2、电池容量：≥2000mAh；</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3、电池电压：≥3.7V；</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4、药筒有效期：≥36个月；</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5、单根药筒有效工作时间：30士5s；</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6、使用温度：-20℃ -~60℃；</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7、药筒外形尺寸：D 19mm/L 310mm。</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21</w:t>
            </w:r>
          </w:p>
        </w:tc>
        <w:tc>
          <w:tcPr>
            <w:tcW w:w="611" w:type="pct"/>
            <w:tcBorders>
              <w:top w:val="single" w:color="000000" w:sz="4" w:space="0"/>
              <w:left w:val="single" w:color="000000" w:sz="4" w:space="0"/>
              <w:bottom w:val="single" w:color="000000" w:sz="4" w:space="0"/>
              <w:right w:val="single" w:color="auto"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电动破拆工具组</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12</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1、包含电动扩张钳、电动剪切钳、电动剪扩钳、电动支撑顶杆，充电时间≤2h，电池具有检测及显示电量功能。同时具备拇指控制；</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2、电动扩张钳：最大扩张开口≥600mm，最大扩张力≥140kN；最大牵引力≥50kN；最大牵引距离≥420mm，重量≤25kg；</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3、电动剪切钳：最大剪切力≥110kN，最大剪切开口距离≥160mm，重量≤22kg；</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4、电动剪扩钳：：最大剪切力≥72kN，最大张开距离≥350mm，最大扩张力≥100kN；重量≤22kg；</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5、电动支撑顶杆：最大行程≥300mm；最大撑顶高度≥900mm；最大撑顶力≥130kN，重量≤21kg。</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22</w:t>
            </w:r>
          </w:p>
        </w:tc>
        <w:tc>
          <w:tcPr>
            <w:tcW w:w="611" w:type="pct"/>
            <w:tcBorders>
              <w:top w:val="single" w:color="000000" w:sz="4" w:space="0"/>
              <w:left w:val="single" w:color="000000" w:sz="4" w:space="0"/>
              <w:bottom w:val="single" w:color="000000" w:sz="4" w:space="0"/>
              <w:right w:val="single" w:color="auto"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门锁破拆工具组</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★符合GB/32460-2015消防应急救援装备、破拆机具通用技术条件；</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1、包括液压泵、单独的液压油管、开门器、小型扩张器、撬棍五件工具放置于背包内；</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2、超长开门器主要参数：最大撑顶高度≥530mm，最大开启力≥60Kn。 最小插入高（宽）度≤5mm。质量：≤4kg；</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3、液压泵主要参数 ：最大工作压力≥63MP，质量(含液压油)kg:≤3。手动泵上设有安全溢流装置，连接破拆工具后，当液压压力超过额定工作压力后能自动泄压；</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4、软管长度：≥2m；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5、小型扩张器主要参数： 扩张距离≥150mm；质量：≤4kg；闭合长度：≥340mm；最大分离（扩张力）≥40kN；空载闭合张开时间: ≤10s；</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6、撬棍主要参数：长度:450mm（±10mm）；重量：≤3kg，最小插入高（宽）度≤5mm。</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23</w:t>
            </w:r>
          </w:p>
        </w:tc>
        <w:tc>
          <w:tcPr>
            <w:tcW w:w="611" w:type="pct"/>
            <w:tcBorders>
              <w:top w:val="single" w:color="000000" w:sz="4" w:space="0"/>
              <w:left w:val="single" w:color="000000" w:sz="4" w:space="0"/>
              <w:bottom w:val="single" w:color="000000" w:sz="4" w:space="0"/>
              <w:right w:val="single" w:color="auto"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哈利根铁铤</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★产品符合GB 32459-2015 消防应急救援装备 手动破拆工具通用技术条件。</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1、合金钢</w:t>
            </w:r>
            <w:r>
              <w:rPr>
                <w:rFonts w:hint="eastAsia" w:ascii="宋体" w:hAnsi="宋体" w:cs="宋体"/>
                <w:color w:val="000000" w:themeColor="text1"/>
                <w:sz w:val="24"/>
                <w:szCs w:val="24"/>
                <w:highlight w:val="none"/>
                <w:lang w:eastAsia="zh-CN"/>
                <w14:textFill>
                  <w14:solidFill>
                    <w14:schemeClr w14:val="tx1"/>
                  </w14:solidFill>
                </w14:textFill>
              </w:rPr>
              <w:t>或同等质量材质</w:t>
            </w:r>
            <w:r>
              <w:rPr>
                <w:rFonts w:hint="eastAsia" w:ascii="宋体" w:hAnsi="宋体" w:cs="宋体"/>
                <w:color w:val="000000" w:themeColor="text1"/>
                <w:sz w:val="24"/>
                <w:szCs w:val="24"/>
                <w:highlight w:val="none"/>
                <w14:textFill>
                  <w14:solidFill>
                    <w14:schemeClr w14:val="tx1"/>
                  </w14:solidFill>
                </w14:textFill>
              </w:rPr>
              <w:t>制造；</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2、镐头宽度：≥50mm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▲3、材质：合金钢 硬度≥50HRC；</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▲4、单件手动破拆工具质量≤5.5kg；</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5、总长度≥760mm；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6、撬口尺寸：宽度≥70mm ；高度≥40mm；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7、刀口尺寸：宽度≥160mm； 高度≥50mm；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8、载荷：多功能一体化消防手动破拆工具撬口、刀口、镐头部工作部分载荷≥600kg，未损坏；</w:t>
            </w:r>
          </w:p>
          <w:p>
            <w:pPr>
              <w:numPr>
                <w:ilvl w:val="255"/>
                <w:numId w:val="0"/>
              </w:num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9、手动破拆工具刃部应规整，其表面粗糙度Ra值≤6.5μm。</w:t>
            </w:r>
          </w:p>
        </w:tc>
      </w:tr>
      <w:tr>
        <w:tblPrEx>
          <w:tblCellMar>
            <w:top w:w="0" w:type="dxa"/>
            <w:left w:w="108" w:type="dxa"/>
            <w:bottom w:w="0" w:type="dxa"/>
            <w:right w:w="108" w:type="dxa"/>
          </w:tblCellMar>
        </w:tblPrEx>
        <w:trPr>
          <w:trHeight w:val="23" w:hRule="atLeast"/>
        </w:trPr>
        <w:tc>
          <w:tcPr>
            <w:tcW w:w="37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24</w:t>
            </w:r>
          </w:p>
        </w:tc>
        <w:tc>
          <w:tcPr>
            <w:tcW w:w="611" w:type="pct"/>
            <w:tcBorders>
              <w:top w:val="single" w:color="000000" w:sz="4" w:space="0"/>
              <w:left w:val="single" w:color="000000" w:sz="4" w:space="0"/>
              <w:bottom w:val="single" w:color="000000" w:sz="4" w:space="0"/>
              <w:right w:val="single" w:color="auto" w:sz="4" w:space="0"/>
            </w:tcBorders>
            <w:shd w:val="clear" w:color="auto" w:fill="auto"/>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角磨机</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w:t>
            </w:r>
          </w:p>
        </w:tc>
        <w:tc>
          <w:tcPr>
            <w:tcW w:w="423" w:type="pct"/>
            <w:tcBorders>
              <w:top w:val="single" w:color="000000" w:sz="4" w:space="0"/>
              <w:left w:val="single" w:color="auto" w:sz="4" w:space="0"/>
              <w:bottom w:val="single" w:color="000000" w:sz="4" w:space="0"/>
              <w:right w:val="single" w:color="auto" w:sz="4" w:space="0"/>
            </w:tcBorders>
            <w:vAlign w:val="center"/>
          </w:tcPr>
          <w:p>
            <w:pPr>
              <w:spacing w:line="360" w:lineRule="auto"/>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3164" w:type="pct"/>
            <w:tcBorders>
              <w:top w:val="single" w:color="000000" w:sz="4" w:space="0"/>
              <w:left w:val="single" w:color="000000" w:sz="4" w:space="0"/>
              <w:bottom w:val="single" w:color="000000" w:sz="4" w:space="0"/>
              <w:right w:val="single" w:color="000000" w:sz="4" w:space="0"/>
            </w:tcBorders>
            <w:shd w:val="clear" w:color="auto" w:fill="auto"/>
            <w:vAlign w:val="top"/>
          </w:tcPr>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1、电压：≥18V；</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2、磨切片直径：100-125mm；</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3、重量≤2kg；（不含电池）；</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4、空载转速≥9000r/min；</w:t>
            </w:r>
          </w:p>
          <w:p>
            <w:pPr>
              <w:spacing w:line="360" w:lineRule="auto"/>
              <w:jc w:val="both"/>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5、配置：充电器一个，电池两块（5000mA）。金属切片*10、金属磨片*10。</w:t>
            </w:r>
          </w:p>
        </w:tc>
      </w:tr>
    </w:tbl>
    <w:p>
      <w:pPr>
        <w:ind w:firstLine="482" w:firstLineChars="200"/>
        <w:rPr>
          <w:rFonts w:ascii="宋体" w:hAnsi="宋体" w:cs="宋体"/>
          <w:b/>
          <w:bCs/>
          <w:color w:val="000000" w:themeColor="text1"/>
          <w:sz w:val="24"/>
          <w:szCs w:val="24"/>
          <w:highlight w:val="none"/>
          <w14:textFill>
            <w14:solidFill>
              <w14:schemeClr w14:val="tx1"/>
            </w14:solidFill>
          </w14:textFill>
        </w:rPr>
      </w:pPr>
    </w:p>
    <w:p>
      <w:pPr>
        <w:spacing w:line="360" w:lineRule="auto"/>
        <w:ind w:firstLine="482"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备注：技术参数中要求提供的产品第三方检测机构出具证书（检测、认证、测试等），除在投标文件中一并提供外，投标人还可提供在线查询途径。</w:t>
      </w:r>
    </w:p>
    <w:p>
      <w:p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四</w:t>
      </w:r>
      <w:r>
        <w:rPr>
          <w:rFonts w:hint="eastAsia" w:ascii="宋体" w:hAnsi="宋体" w:cs="宋体"/>
          <w:b/>
          <w:color w:val="000000" w:themeColor="text1"/>
          <w:sz w:val="24"/>
          <w:szCs w:val="24"/>
          <w:highlight w:val="none"/>
          <w14:textFill>
            <w14:solidFill>
              <w14:schemeClr w14:val="tx1"/>
            </w14:solidFill>
          </w14:textFill>
        </w:rPr>
        <w:t>、商务要求</w:t>
      </w:r>
    </w:p>
    <w:p>
      <w:pPr>
        <w:numPr>
          <w:ilvl w:val="0"/>
          <w:numId w:val="1"/>
        </w:numPr>
        <w:spacing w:line="360" w:lineRule="auto"/>
        <w:ind w:firstLine="480"/>
        <w:rPr>
          <w:rFonts w:ascii="宋体" w:hAnsi="宋体" w:cs="宋体"/>
          <w:color w:val="000000" w:themeColor="text1"/>
          <w:kern w:val="0"/>
          <w:sz w:val="24"/>
          <w:szCs w:val="24"/>
          <w:highlight w:val="none"/>
          <w:lang w:eastAsia="zh-Hans" w:bidi="ar"/>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交货时间：</w:t>
      </w:r>
      <w:r>
        <w:rPr>
          <w:rFonts w:hint="eastAsia" w:ascii="宋体" w:hAnsi="宋体" w:cs="宋体"/>
          <w:bCs/>
          <w:color w:val="000000" w:themeColor="text1"/>
          <w:kern w:val="0"/>
          <w:sz w:val="24"/>
          <w:szCs w:val="24"/>
          <w:highlight w:val="none"/>
          <w14:textFill>
            <w14:solidFill>
              <w14:schemeClr w14:val="tx1"/>
            </w14:solidFill>
          </w14:textFill>
        </w:rPr>
        <w:t>合同签订后60天内。若遇不可抗力或其他特殊情况，经采购人确认后可适当延迟，最多不超过合同签订后120天。装备交货时需提供由国家消防救援局“消防装备物资信息采集系统”统一发行的装备物资二维码（或RFID，进行永久标识或相对固定标识）</w:t>
      </w:r>
    </w:p>
    <w:p>
      <w:pPr>
        <w:numPr>
          <w:ilvl w:val="0"/>
          <w:numId w:val="1"/>
        </w:num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交货地点：</w:t>
      </w:r>
      <w:r>
        <w:rPr>
          <w:rFonts w:hint="eastAsia" w:ascii="宋体" w:hAnsi="宋体" w:cs="宋体"/>
          <w:color w:val="000000" w:themeColor="text1"/>
          <w:kern w:val="0"/>
          <w:sz w:val="24"/>
          <w:szCs w:val="24"/>
          <w:highlight w:val="none"/>
          <w14:textFill>
            <w14:solidFill>
              <w14:schemeClr w14:val="tx1"/>
            </w14:solidFill>
          </w14:textFill>
        </w:rPr>
        <w:t>采购人指定眉山市市内地点</w:t>
      </w:r>
      <w:r>
        <w:rPr>
          <w:rFonts w:hint="eastAsia" w:ascii="宋体" w:hAnsi="宋体" w:cs="宋体"/>
          <w:color w:val="000000" w:themeColor="text1"/>
          <w:sz w:val="24"/>
          <w:szCs w:val="24"/>
          <w:highlight w:val="none"/>
          <w14:textFill>
            <w14:solidFill>
              <w14:schemeClr w14:val="tx1"/>
            </w14:solidFill>
          </w14:textFill>
        </w:rPr>
        <w:t>。</w:t>
      </w:r>
    </w:p>
    <w:p>
      <w:pPr>
        <w:numPr>
          <w:ilvl w:val="0"/>
          <w:numId w:val="1"/>
        </w:numPr>
        <w:spacing w:line="360" w:lineRule="auto"/>
        <w:ind w:firstLine="48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交货资料:投标时提供的佐证材料复印件和其他投标文件要求的材料。</w:t>
      </w:r>
    </w:p>
    <w:p>
      <w:pPr>
        <w:pStyle w:val="9"/>
        <w:spacing w:line="360" w:lineRule="auto"/>
        <w:jc w:val="both"/>
        <w:rPr>
          <w:rFonts w:cs="宋体"/>
          <w:bCs/>
          <w:color w:val="000000" w:themeColor="text1"/>
          <w:kern w:val="2"/>
          <w:highlight w:val="none"/>
          <w:lang w:val="zh-CN"/>
          <w14:textFill>
            <w14:solidFill>
              <w14:schemeClr w14:val="tx1"/>
            </w14:solidFill>
          </w14:textFill>
        </w:rPr>
      </w:pPr>
      <w:r>
        <w:rPr>
          <w:rFonts w:hint="eastAsia" w:cs="宋体"/>
          <w:b/>
          <w:color w:val="000000" w:themeColor="text1"/>
          <w:kern w:val="2"/>
          <w:highlight w:val="none"/>
          <w14:textFill>
            <w14:solidFill>
              <w14:schemeClr w14:val="tx1"/>
            </w14:solidFill>
          </w14:textFill>
        </w:rPr>
        <w:t>（四）履约保证金：</w:t>
      </w:r>
      <w:r>
        <w:rPr>
          <w:rFonts w:hint="eastAsia" w:cs="宋体"/>
          <w:bCs/>
          <w:color w:val="000000" w:themeColor="text1"/>
          <w:kern w:val="2"/>
          <w:highlight w:val="none"/>
          <w:lang w:val="zh-CN"/>
          <w14:textFill>
            <w14:solidFill>
              <w14:schemeClr w14:val="tx1"/>
            </w14:solidFill>
          </w14:textFill>
        </w:rPr>
        <w:t>金额：采购合同总金额的</w:t>
      </w:r>
      <w:r>
        <w:rPr>
          <w:rFonts w:hint="eastAsia" w:cs="宋体"/>
          <w:bCs/>
          <w:color w:val="000000" w:themeColor="text1"/>
          <w:kern w:val="2"/>
          <w:highlight w:val="none"/>
          <w14:textFill>
            <w14:solidFill>
              <w14:schemeClr w14:val="tx1"/>
            </w14:solidFill>
          </w14:textFill>
        </w:rPr>
        <w:t>3</w:t>
      </w:r>
      <w:r>
        <w:rPr>
          <w:rFonts w:hint="eastAsia" w:cs="宋体"/>
          <w:bCs/>
          <w:color w:val="000000" w:themeColor="text1"/>
          <w:kern w:val="2"/>
          <w:highlight w:val="none"/>
          <w:lang w:val="zh-CN"/>
          <w14:textFill>
            <w14:solidFill>
              <w14:schemeClr w14:val="tx1"/>
            </w14:solidFill>
          </w14:textFill>
        </w:rPr>
        <w:t>%。</w:t>
      </w:r>
    </w:p>
    <w:p>
      <w:pPr>
        <w:pStyle w:val="9"/>
        <w:spacing w:line="360" w:lineRule="auto"/>
        <w:ind w:firstLine="480" w:firstLineChars="200"/>
        <w:jc w:val="both"/>
        <w:rPr>
          <w:rFonts w:cs="宋体"/>
          <w:bCs/>
          <w:color w:val="000000" w:themeColor="text1"/>
          <w:kern w:val="2"/>
          <w:highlight w:val="none"/>
          <w:lang w:val="zh-CN"/>
          <w14:textFill>
            <w14:solidFill>
              <w14:schemeClr w14:val="tx1"/>
            </w14:solidFill>
          </w14:textFill>
        </w:rPr>
      </w:pPr>
      <w:r>
        <w:rPr>
          <w:rFonts w:hint="eastAsia" w:cs="宋体"/>
          <w:bCs/>
          <w:color w:val="000000" w:themeColor="text1"/>
          <w:kern w:val="2"/>
          <w:highlight w:val="none"/>
          <w:lang w:val="zh-CN"/>
          <w14:textFill>
            <w14:solidFill>
              <w14:schemeClr w14:val="tx1"/>
            </w14:solidFill>
          </w14:textFill>
        </w:rPr>
        <w:t>交款方式：履约保证金可以以支票、汇票、本票或者</w:t>
      </w:r>
      <w:r>
        <w:rPr>
          <w:rFonts w:hint="eastAsia" w:cs="宋体"/>
          <w:color w:val="000000" w:themeColor="text1"/>
          <w:highlight w:val="none"/>
          <w:lang w:bidi="ar"/>
          <w14:textFill>
            <w14:solidFill>
              <w14:schemeClr w14:val="tx1"/>
            </w14:solidFill>
          </w14:textFill>
        </w:rPr>
        <w:t>担保机构</w:t>
      </w:r>
      <w:r>
        <w:rPr>
          <w:rFonts w:hint="eastAsia" w:cs="宋体"/>
          <w:bCs/>
          <w:color w:val="000000" w:themeColor="text1"/>
          <w:kern w:val="2"/>
          <w:highlight w:val="none"/>
          <w:lang w:val="zh-CN"/>
          <w14:textFill>
            <w14:solidFill>
              <w14:schemeClr w14:val="tx1"/>
            </w14:solidFill>
          </w14:textFill>
        </w:rPr>
        <w:t>出具的保函等非现金形式提交（包括网银转账，电汇等方式）。</w:t>
      </w:r>
    </w:p>
    <w:p>
      <w:pPr>
        <w:pStyle w:val="9"/>
        <w:spacing w:line="360" w:lineRule="auto"/>
        <w:ind w:firstLine="480" w:firstLineChars="200"/>
        <w:jc w:val="both"/>
        <w:rPr>
          <w:rFonts w:cs="宋体"/>
          <w:bCs/>
          <w:color w:val="000000" w:themeColor="text1"/>
          <w:kern w:val="2"/>
          <w:highlight w:val="none"/>
          <w:lang w:val="zh-CN"/>
          <w14:textFill>
            <w14:solidFill>
              <w14:schemeClr w14:val="tx1"/>
            </w14:solidFill>
          </w14:textFill>
        </w:rPr>
      </w:pPr>
      <w:r>
        <w:rPr>
          <w:rFonts w:hint="eastAsia" w:cs="宋体"/>
          <w:bCs/>
          <w:color w:val="000000" w:themeColor="text1"/>
          <w:kern w:val="2"/>
          <w:highlight w:val="none"/>
          <w:lang w:val="zh-CN"/>
          <w14:textFill>
            <w14:solidFill>
              <w14:schemeClr w14:val="tx1"/>
            </w14:solidFill>
          </w14:textFill>
        </w:rPr>
        <w:t>收款单位：眉山市消防救援支队。</w:t>
      </w:r>
    </w:p>
    <w:p>
      <w:pPr>
        <w:pStyle w:val="9"/>
        <w:spacing w:line="360" w:lineRule="auto"/>
        <w:ind w:firstLine="480" w:firstLineChars="200"/>
        <w:jc w:val="both"/>
        <w:rPr>
          <w:rFonts w:cs="宋体"/>
          <w:bCs/>
          <w:color w:val="000000" w:themeColor="text1"/>
          <w:kern w:val="2"/>
          <w:highlight w:val="none"/>
          <w:lang w:val="zh-CN"/>
          <w14:textFill>
            <w14:solidFill>
              <w14:schemeClr w14:val="tx1"/>
            </w14:solidFill>
          </w14:textFill>
        </w:rPr>
      </w:pPr>
      <w:r>
        <w:rPr>
          <w:rFonts w:hint="eastAsia" w:cs="宋体"/>
          <w:bCs/>
          <w:color w:val="000000" w:themeColor="text1"/>
          <w:kern w:val="2"/>
          <w:highlight w:val="none"/>
          <w:lang w:val="zh-CN"/>
          <w14:textFill>
            <w14:solidFill>
              <w14:schemeClr w14:val="tx1"/>
            </w14:solidFill>
          </w14:textFill>
        </w:rPr>
        <w:t>交款时间：中标通知书发放后，</w:t>
      </w:r>
      <w:r>
        <w:rPr>
          <w:rFonts w:hint="eastAsia" w:cs="宋体"/>
          <w:bCs/>
          <w:color w:val="000000" w:themeColor="text1"/>
          <w:kern w:val="2"/>
          <w:highlight w:val="none"/>
          <w14:textFill>
            <w14:solidFill>
              <w14:schemeClr w14:val="tx1"/>
            </w14:solidFill>
          </w14:textFill>
        </w:rPr>
        <w:t>政府采购</w:t>
      </w:r>
      <w:r>
        <w:rPr>
          <w:rFonts w:hint="eastAsia" w:cs="宋体"/>
          <w:bCs/>
          <w:color w:val="000000" w:themeColor="text1"/>
          <w:kern w:val="2"/>
          <w:highlight w:val="none"/>
          <w:lang w:val="zh-CN"/>
          <w14:textFill>
            <w14:solidFill>
              <w14:schemeClr w14:val="tx1"/>
            </w14:solidFill>
          </w14:textFill>
        </w:rPr>
        <w:t>合同签订前。</w:t>
      </w:r>
    </w:p>
    <w:p>
      <w:pPr>
        <w:pStyle w:val="9"/>
        <w:spacing w:line="360" w:lineRule="auto"/>
        <w:ind w:firstLine="480" w:firstLineChars="200"/>
        <w:jc w:val="both"/>
        <w:rPr>
          <w:rFonts w:cs="宋体"/>
          <w:color w:val="000000" w:themeColor="text1"/>
          <w:highlight w:val="none"/>
          <w:lang w:bidi="ar"/>
          <w14:textFill>
            <w14:solidFill>
              <w14:schemeClr w14:val="tx1"/>
            </w14:solidFill>
          </w14:textFill>
        </w:rPr>
      </w:pPr>
      <w:r>
        <w:rPr>
          <w:rFonts w:hint="eastAsia" w:cs="宋体"/>
          <w:color w:val="000000" w:themeColor="text1"/>
          <w:highlight w:val="none"/>
          <w:lang w:bidi="ar"/>
          <w14:textFill>
            <w14:solidFill>
              <w14:schemeClr w14:val="tx1"/>
            </w14:solidFill>
          </w14:textFill>
        </w:rPr>
        <w:t>采用担保机构出具的保函方式提交履约保证金的，保函必须符合以下规定：</w:t>
      </w:r>
    </w:p>
    <w:p>
      <w:pPr>
        <w:pStyle w:val="9"/>
        <w:spacing w:line="360" w:lineRule="auto"/>
        <w:ind w:firstLine="480" w:firstLineChars="200"/>
        <w:jc w:val="both"/>
        <w:rPr>
          <w:rFonts w:cs="宋体"/>
          <w:color w:val="000000" w:themeColor="text1"/>
          <w:highlight w:val="none"/>
          <w:lang w:bidi="ar"/>
          <w14:textFill>
            <w14:solidFill>
              <w14:schemeClr w14:val="tx1"/>
            </w14:solidFill>
          </w14:textFill>
        </w:rPr>
      </w:pPr>
      <w:r>
        <w:rPr>
          <w:rFonts w:hint="eastAsia" w:cs="宋体"/>
          <w:color w:val="000000" w:themeColor="text1"/>
          <w:highlight w:val="none"/>
          <w:lang w:bidi="ar"/>
          <w14:textFill>
            <w14:solidFill>
              <w14:schemeClr w14:val="tx1"/>
            </w14:solidFill>
          </w14:textFill>
        </w:rPr>
        <w:t>a.保函应为担保机构出具的合法保函，且应为无条件保函，并有详细明显的验证方法；</w:t>
      </w:r>
    </w:p>
    <w:p>
      <w:pPr>
        <w:pStyle w:val="9"/>
        <w:spacing w:line="360" w:lineRule="auto"/>
        <w:ind w:firstLine="480" w:firstLineChars="200"/>
        <w:jc w:val="both"/>
        <w:rPr>
          <w:rFonts w:cs="宋体"/>
          <w:color w:val="000000" w:themeColor="text1"/>
          <w:highlight w:val="none"/>
          <w:lang w:bidi="ar"/>
          <w14:textFill>
            <w14:solidFill>
              <w14:schemeClr w14:val="tx1"/>
            </w14:solidFill>
          </w14:textFill>
        </w:rPr>
      </w:pPr>
      <w:r>
        <w:rPr>
          <w:rFonts w:hint="eastAsia" w:cs="宋体"/>
          <w:color w:val="000000" w:themeColor="text1"/>
          <w:highlight w:val="none"/>
          <w:lang w:bidi="ar"/>
          <w14:textFill>
            <w14:solidFill>
              <w14:schemeClr w14:val="tx1"/>
            </w14:solidFill>
          </w14:textFill>
        </w:rPr>
        <w:t>b.保函的受益人为</w:t>
      </w:r>
      <w:r>
        <w:rPr>
          <w:rFonts w:hint="eastAsia" w:cs="宋体"/>
          <w:bCs/>
          <w:color w:val="000000" w:themeColor="text1"/>
          <w:kern w:val="2"/>
          <w:highlight w:val="none"/>
          <w:lang w:val="zh-CN"/>
          <w14:textFill>
            <w14:solidFill>
              <w14:schemeClr w14:val="tx1"/>
            </w14:solidFill>
          </w14:textFill>
        </w:rPr>
        <w:t>眉山市消防救援支队</w:t>
      </w:r>
      <w:r>
        <w:rPr>
          <w:rFonts w:hint="eastAsia" w:cs="宋体"/>
          <w:color w:val="000000" w:themeColor="text1"/>
          <w:highlight w:val="none"/>
          <w:lang w:bidi="ar"/>
          <w14:textFill>
            <w14:solidFill>
              <w14:schemeClr w14:val="tx1"/>
            </w14:solidFill>
          </w14:textFill>
        </w:rPr>
        <w:t>；</w:t>
      </w:r>
    </w:p>
    <w:p>
      <w:pPr>
        <w:pStyle w:val="9"/>
        <w:spacing w:line="360" w:lineRule="auto"/>
        <w:ind w:firstLine="480" w:firstLineChars="200"/>
        <w:jc w:val="both"/>
        <w:rPr>
          <w:rFonts w:cs="宋体"/>
          <w:color w:val="000000" w:themeColor="text1"/>
          <w:highlight w:val="none"/>
          <w:lang w:bidi="ar"/>
          <w14:textFill>
            <w14:solidFill>
              <w14:schemeClr w14:val="tx1"/>
            </w14:solidFill>
          </w14:textFill>
        </w:rPr>
      </w:pPr>
      <w:r>
        <w:rPr>
          <w:rFonts w:hint="eastAsia" w:cs="宋体"/>
          <w:color w:val="000000" w:themeColor="text1"/>
          <w:highlight w:val="none"/>
          <w:lang w:bidi="ar"/>
          <w14:textFill>
            <w14:solidFill>
              <w14:schemeClr w14:val="tx1"/>
            </w14:solidFill>
          </w14:textFill>
        </w:rPr>
        <w:t>c.保函的内容包括但不限于投标人名称、项目名称（如有分包，载明分包号）、项目编号、履约金额、保函的有效期</w:t>
      </w:r>
      <w:r>
        <w:rPr>
          <w:rFonts w:hint="eastAsia" w:cs="宋体"/>
          <w:color w:val="000000" w:themeColor="text1"/>
          <w:highlight w:val="none"/>
          <w:lang w:val="zh-CN"/>
          <w14:textFill>
            <w14:solidFill>
              <w14:schemeClr w14:val="tx1"/>
            </w14:solidFill>
          </w14:textFill>
        </w:rPr>
        <w:t>（考虑到交货、验收等不确定因素，采用保函形式提交履约保证金的，保函有效期应不短于2年）</w:t>
      </w:r>
      <w:r>
        <w:rPr>
          <w:rFonts w:hint="eastAsia" w:cs="宋体"/>
          <w:color w:val="000000" w:themeColor="text1"/>
          <w:highlight w:val="none"/>
          <w:lang w:bidi="ar"/>
          <w14:textFill>
            <w14:solidFill>
              <w14:schemeClr w14:val="tx1"/>
            </w14:solidFill>
          </w14:textFill>
        </w:rPr>
        <w:t>、担保机构担保的内容（即：如因投标人原因发生法律法规或合同规定的</w:t>
      </w:r>
      <w:r>
        <w:rPr>
          <w:rFonts w:hint="eastAsia" w:cs="宋体"/>
          <w:bCs/>
          <w:color w:val="000000" w:themeColor="text1"/>
          <w:kern w:val="2"/>
          <w:highlight w:val="none"/>
          <w14:textFill>
            <w14:solidFill>
              <w14:schemeClr w14:val="tx1"/>
            </w14:solidFill>
          </w14:textFill>
        </w:rPr>
        <w:t>履约</w:t>
      </w:r>
      <w:r>
        <w:rPr>
          <w:rFonts w:hint="eastAsia" w:cs="宋体"/>
          <w:color w:val="000000" w:themeColor="text1"/>
          <w:highlight w:val="none"/>
          <w:lang w:bidi="ar"/>
          <w14:textFill>
            <w14:solidFill>
              <w14:schemeClr w14:val="tx1"/>
            </w14:solidFill>
          </w14:textFill>
        </w:rPr>
        <w:t>保证金不予退还或扣除的情况，由担保机构向受益人足额支付履约保证金）；</w:t>
      </w:r>
    </w:p>
    <w:p>
      <w:pPr>
        <w:pStyle w:val="9"/>
        <w:spacing w:line="360" w:lineRule="auto"/>
        <w:ind w:firstLine="480" w:firstLineChars="200"/>
        <w:jc w:val="both"/>
        <w:rPr>
          <w:rFonts w:cs="宋体"/>
          <w:bCs/>
          <w:color w:val="000000" w:themeColor="text1"/>
          <w:kern w:val="2"/>
          <w:highlight w:val="none"/>
          <w:lang w:val="zh-CN"/>
          <w14:textFill>
            <w14:solidFill>
              <w14:schemeClr w14:val="tx1"/>
            </w14:solidFill>
          </w14:textFill>
        </w:rPr>
      </w:pPr>
      <w:r>
        <w:rPr>
          <w:rFonts w:hint="eastAsia" w:cs="宋体"/>
          <w:bCs/>
          <w:color w:val="000000" w:themeColor="text1"/>
          <w:kern w:val="2"/>
          <w:highlight w:val="none"/>
          <w:lang w:val="zh-CN"/>
          <w14:textFill>
            <w14:solidFill>
              <w14:schemeClr w14:val="tx1"/>
            </w14:solidFill>
          </w14:textFill>
        </w:rPr>
        <w:t>履约保证金退还方式：①以网银转账、电汇等方式提交的，履约保证金以网银转账、电汇等方式退至转款账户；②以保函方式提交的，退还保函原件。</w:t>
      </w:r>
    </w:p>
    <w:p>
      <w:pPr>
        <w:pStyle w:val="9"/>
        <w:spacing w:line="360" w:lineRule="auto"/>
        <w:ind w:firstLine="480" w:firstLineChars="200"/>
        <w:jc w:val="both"/>
        <w:rPr>
          <w:rFonts w:cs="宋体"/>
          <w:bCs/>
          <w:color w:val="000000" w:themeColor="text1"/>
          <w:kern w:val="2"/>
          <w:highlight w:val="none"/>
          <w14:textFill>
            <w14:solidFill>
              <w14:schemeClr w14:val="tx1"/>
            </w14:solidFill>
          </w14:textFill>
        </w:rPr>
      </w:pPr>
      <w:r>
        <w:rPr>
          <w:rFonts w:hint="eastAsia" w:cs="宋体"/>
          <w:bCs/>
          <w:color w:val="000000" w:themeColor="text1"/>
          <w:kern w:val="2"/>
          <w:highlight w:val="none"/>
          <w:lang w:val="zh-CN"/>
          <w14:textFill>
            <w14:solidFill>
              <w14:schemeClr w14:val="tx1"/>
            </w14:solidFill>
          </w14:textFill>
        </w:rPr>
        <w:t>履约保证金退还时间：验收合格后</w:t>
      </w:r>
      <w:r>
        <w:rPr>
          <w:rFonts w:hint="eastAsia" w:cs="宋体"/>
          <w:bCs/>
          <w:color w:val="000000" w:themeColor="text1"/>
          <w:kern w:val="2"/>
          <w:highlight w:val="none"/>
          <w14:textFill>
            <w14:solidFill>
              <w14:schemeClr w14:val="tx1"/>
            </w14:solidFill>
          </w14:textFill>
        </w:rPr>
        <w:t>18个月</w:t>
      </w:r>
      <w:r>
        <w:rPr>
          <w:rFonts w:hint="eastAsia" w:cs="宋体"/>
          <w:bCs/>
          <w:color w:val="000000" w:themeColor="text1"/>
          <w:kern w:val="2"/>
          <w:highlight w:val="none"/>
          <w:lang w:val="zh-CN"/>
          <w14:textFill>
            <w14:solidFill>
              <w14:schemeClr w14:val="tx1"/>
            </w14:solidFill>
          </w14:textFill>
        </w:rPr>
        <w:t>，</w:t>
      </w:r>
      <w:r>
        <w:rPr>
          <w:rFonts w:hint="eastAsia" w:cs="宋体"/>
          <w:bCs/>
          <w:color w:val="000000" w:themeColor="text1"/>
          <w:kern w:val="2"/>
          <w:highlight w:val="none"/>
          <w14:textFill>
            <w14:solidFill>
              <w14:schemeClr w14:val="tx1"/>
            </w14:solidFill>
          </w14:textFill>
        </w:rPr>
        <w:t>乙方提出退款申请之日起</w:t>
      </w:r>
      <w:r>
        <w:rPr>
          <w:rFonts w:hint="eastAsia" w:cs="宋体"/>
          <w:bCs/>
          <w:color w:val="000000" w:themeColor="text1"/>
          <w:kern w:val="2"/>
          <w:highlight w:val="none"/>
          <w:lang w:val="zh-CN"/>
          <w14:textFill>
            <w14:solidFill>
              <w14:schemeClr w14:val="tx1"/>
            </w14:solidFill>
          </w14:textFill>
        </w:rPr>
        <w:t>，</w:t>
      </w:r>
      <w:r>
        <w:rPr>
          <w:rFonts w:hint="eastAsia" w:cs="宋体"/>
          <w:bCs/>
          <w:color w:val="000000" w:themeColor="text1"/>
          <w:kern w:val="2"/>
          <w:highlight w:val="none"/>
          <w14:textFill>
            <w14:solidFill>
              <w14:schemeClr w14:val="tx1"/>
            </w14:solidFill>
          </w14:textFill>
        </w:rPr>
        <w:t>15</w:t>
      </w:r>
      <w:r>
        <w:rPr>
          <w:rFonts w:hint="eastAsia" w:cs="宋体"/>
          <w:bCs/>
          <w:color w:val="000000" w:themeColor="text1"/>
          <w:kern w:val="2"/>
          <w:highlight w:val="none"/>
          <w:lang w:val="zh-CN"/>
          <w14:textFill>
            <w14:solidFill>
              <w14:schemeClr w14:val="tx1"/>
            </w14:solidFill>
          </w14:textFill>
        </w:rPr>
        <w:t>个工作日内无息退还。采购人逾期退还</w:t>
      </w:r>
      <w:r>
        <w:rPr>
          <w:rFonts w:hint="eastAsia" w:cs="宋体"/>
          <w:bCs/>
          <w:color w:val="000000" w:themeColor="text1"/>
          <w:kern w:val="2"/>
          <w:highlight w:val="none"/>
          <w14:textFill>
            <w14:solidFill>
              <w14:schemeClr w14:val="tx1"/>
            </w14:solidFill>
          </w14:textFill>
        </w:rPr>
        <w:t>的</w:t>
      </w:r>
      <w:r>
        <w:rPr>
          <w:rFonts w:hint="eastAsia" w:cs="宋体"/>
          <w:bCs/>
          <w:color w:val="000000" w:themeColor="text1"/>
          <w:kern w:val="2"/>
          <w:highlight w:val="none"/>
          <w:lang w:val="zh-CN"/>
          <w14:textFill>
            <w14:solidFill>
              <w14:schemeClr w14:val="tx1"/>
            </w14:solidFill>
          </w14:textFill>
        </w:rPr>
        <w:t>，将承担应退还金额</w:t>
      </w:r>
      <w:r>
        <w:rPr>
          <w:rFonts w:hint="eastAsia" w:cs="宋体"/>
          <w:bCs/>
          <w:color w:val="000000" w:themeColor="text1"/>
          <w:kern w:val="2"/>
          <w:highlight w:val="none"/>
          <w14:textFill>
            <w14:solidFill>
              <w14:schemeClr w14:val="tx1"/>
            </w14:solidFill>
          </w14:textFill>
        </w:rPr>
        <w:t>万</w:t>
      </w:r>
      <w:r>
        <w:rPr>
          <w:rFonts w:hint="eastAsia" w:cs="宋体"/>
          <w:bCs/>
          <w:color w:val="000000" w:themeColor="text1"/>
          <w:kern w:val="2"/>
          <w:highlight w:val="none"/>
          <w:lang w:val="zh-CN"/>
          <w14:textFill>
            <w14:solidFill>
              <w14:schemeClr w14:val="tx1"/>
            </w14:solidFill>
          </w14:textFill>
        </w:rPr>
        <w:t>分之一每天的违约金。</w:t>
      </w:r>
      <w:r>
        <w:rPr>
          <w:rFonts w:hint="eastAsia" w:cs="宋体"/>
          <w:bCs/>
          <w:color w:val="000000" w:themeColor="text1"/>
          <w:highlight w:val="none"/>
          <w14:textFill>
            <w14:solidFill>
              <w14:schemeClr w14:val="tx1"/>
            </w14:solidFill>
          </w14:textFill>
        </w:rPr>
        <w:t>若遇项目单位因财务结算等原因封账而导致无法支付相应价款的，顺延至具备支付条件</w:t>
      </w:r>
      <w:r>
        <w:rPr>
          <w:rFonts w:hint="eastAsia" w:cs="宋体"/>
          <w:color w:val="000000" w:themeColor="text1"/>
          <w:highlight w:val="none"/>
          <w14:textFill>
            <w14:solidFill>
              <w14:schemeClr w14:val="tx1"/>
            </w14:solidFill>
          </w14:textFill>
        </w:rPr>
        <w:t>之日起15个工作日内</w:t>
      </w:r>
      <w:r>
        <w:rPr>
          <w:rFonts w:hint="eastAsia" w:cs="宋体"/>
          <w:bCs/>
          <w:color w:val="000000" w:themeColor="text1"/>
          <w:highlight w:val="none"/>
          <w14:textFill>
            <w14:solidFill>
              <w14:schemeClr w14:val="tx1"/>
            </w14:solidFill>
          </w14:textFill>
        </w:rPr>
        <w:t>，且不视为采购人违约。</w:t>
      </w:r>
    </w:p>
    <w:p>
      <w:pPr>
        <w:pStyle w:val="9"/>
        <w:spacing w:line="360" w:lineRule="auto"/>
        <w:ind w:firstLine="480" w:firstLineChars="200"/>
        <w:jc w:val="both"/>
        <w:rPr>
          <w:rFonts w:cs="宋体"/>
          <w:bCs/>
          <w:color w:val="000000" w:themeColor="text1"/>
          <w:kern w:val="2"/>
          <w:highlight w:val="none"/>
          <w:lang w:val="zh-CN"/>
          <w14:textFill>
            <w14:solidFill>
              <w14:schemeClr w14:val="tx1"/>
            </w14:solidFill>
          </w14:textFill>
        </w:rPr>
      </w:pPr>
      <w:r>
        <w:rPr>
          <w:rFonts w:hint="eastAsia" w:cs="宋体"/>
          <w:bCs/>
          <w:color w:val="000000" w:themeColor="text1"/>
          <w:kern w:val="2"/>
          <w:highlight w:val="none"/>
          <w:lang w:val="zh-CN"/>
          <w14:textFill>
            <w14:solidFill>
              <w14:schemeClr w14:val="tx1"/>
            </w14:solidFill>
          </w14:textFill>
        </w:rPr>
        <w:t>履约保证金不予退还情形：出现合同约定的不予退还情形。</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履约保证金不予退还的，将按照有关规定上缴国库。逾期退还履约保证金的，将依法</w:t>
      </w:r>
      <w:r>
        <w:rPr>
          <w:rFonts w:hint="eastAsia" w:ascii="宋体" w:hAnsi="宋体" w:cs="宋体"/>
          <w:color w:val="000000" w:themeColor="text1"/>
          <w:sz w:val="24"/>
          <w:szCs w:val="24"/>
          <w:highlight w:val="none"/>
          <w:lang w:val="zh-CN"/>
          <w14:textFill>
            <w14:solidFill>
              <w14:schemeClr w14:val="tx1"/>
            </w14:solidFill>
          </w14:textFill>
        </w:rPr>
        <w:t>承担法律责任，并赔偿投标人损失。</w:t>
      </w:r>
    </w:p>
    <w:p>
      <w:pPr>
        <w:spacing w:line="360" w:lineRule="auto"/>
        <w:ind w:firstLine="48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（五）付款方式及时间：</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1、合同签订前，中标人向采购人支付合同总额3%的履约保证金；</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合同生效后15个工作日内，采购人在收到中标人提供的合法合规发票及相关凭证资料后，以银行转账方式支付合同总金额的30%合同款（以合同约定为准）；在货物验收合格后15个工作日内，采购人在收到中标人提供的合法合规发票及相关凭证资料后，以银行转账方式支付至合同总金额的100%合同款（以合同约定为准）。</w:t>
      </w:r>
    </w:p>
    <w:p>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（六）售后服务</w:t>
      </w:r>
    </w:p>
    <w:p>
      <w:pPr>
        <w:pStyle w:val="4"/>
        <w:spacing w:after="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1、保修期：不少于3年（技术参数另有要求的除外）。保修期期内提供7×24小时维修电话服务。易损配件及零件储备期不少于5年。</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2、支持重大故障或特殊故障的紧急远程或现场抢修。一般故障，30分钟响应、4小时内到场、24小时内维修完毕；重大故障或特殊故障，30分钟响应、4小时内到场、72小时维修完毕。</w:t>
      </w:r>
    </w:p>
    <w:p>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3、未经采购人同意，维修维护使用的备品备件及易损件，不得为非原厂件。</w:t>
      </w:r>
    </w:p>
    <w:p>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4、中标人需建立相应的售后维护档案，每次故障维修提交报告，并提出预防性维护措施，记录每次故障响应服务和预防性维护的详细情况。</w:t>
      </w:r>
    </w:p>
    <w:p>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5、中标人需建立专门的回访制度，设立专职服务人员，为采购人提供至少每季度一次的回访、技术咨询和技术培训等服务。</w:t>
      </w:r>
    </w:p>
    <w:p>
      <w:pPr>
        <w:spacing w:line="360" w:lineRule="auto"/>
        <w:ind w:firstLine="48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（七）验收要求</w:t>
      </w:r>
    </w:p>
    <w:p>
      <w:pPr>
        <w:ind w:firstLine="480" w:firstLineChars="200"/>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在合同约定内容全部履行完毕后，采购人按验收标准进行验收。</w:t>
      </w:r>
    </w:p>
    <w:p>
      <w:pPr>
        <w:pStyle w:val="4"/>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验收内容如下：</w:t>
      </w:r>
    </w:p>
    <w:p>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1.履约验收主体：眉山市消防救援支队</w:t>
      </w:r>
    </w:p>
    <w:p>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2.履约验收时间：合同履约完成后15个工作日内。</w:t>
      </w:r>
    </w:p>
    <w:p>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3.验收组织方式：自行验收</w:t>
      </w:r>
    </w:p>
    <w:p>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4.履约验收程序：一次性验收</w:t>
      </w:r>
    </w:p>
    <w:p>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5.服务履约验收内容：按照本项目招标文件中“技术参数要求”及中标人投标文件等进行验收。</w:t>
      </w:r>
    </w:p>
    <w:p>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6.商务履约验收内容：按照本项目招标文件中“商务要求”及中标人投标文件进行验收。</w:t>
      </w:r>
    </w:p>
    <w:p>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7.履约验收标准：按照《财政部关于进一步加强政府采购需求和履约验收管理的指导意见》（财库〔2016〕205号）等政府采购相关法律法规的要求进行。</w:t>
      </w:r>
    </w:p>
    <w:p>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8、</w:t>
      </w:r>
      <w:r>
        <w:rPr>
          <w:rFonts w:hint="eastAsia" w:ascii="宋体" w:hAnsi="宋体" w:cs="宋体"/>
          <w:bCs/>
          <w:color w:val="000000" w:themeColor="text1"/>
          <w:sz w:val="24"/>
          <w:szCs w:val="24"/>
          <w:highlight w:val="none"/>
          <w14:textFill>
            <w14:solidFill>
              <w14:schemeClr w14:val="tx1"/>
            </w14:solidFill>
          </w14:textFill>
        </w:rPr>
        <w:t>中标人在验收前应制定详细验收方案报采购单位审核同意后，派出工作人员，对产品中各项参数尽可能采取非破坏性或其他方式严格验证，确保产品质量。相关费用包含于投标报价中。</w:t>
      </w:r>
    </w:p>
    <w:p>
      <w:pPr>
        <w:spacing w:line="360" w:lineRule="auto"/>
        <w:ind w:firstLine="48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（八）其他要求</w:t>
      </w:r>
    </w:p>
    <w:p>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w:t>
      </w:r>
    </w:p>
    <w:p>
      <w:pPr>
        <w:spacing w:line="360" w:lineRule="auto"/>
        <w:ind w:firstLine="482" w:firstLineChars="200"/>
        <w:jc w:val="lef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2、政府采购合同签订前，中标人须将投标文件中关于技术参数的佐证材料原件交于采购人复核，若未在规定时间内提供的，采购人将以投标人涉嫌虚假响应报告财政部门。</w:t>
      </w:r>
    </w:p>
    <w:p>
      <w:pPr>
        <w:pStyle w:val="4"/>
        <w:spacing w:after="0" w:line="360" w:lineRule="auto"/>
        <w:ind w:firstLine="482" w:firstLineChars="200"/>
        <w:rPr>
          <w:rFonts w:hint="eastAsia" w:ascii="宋体" w:hAnsi="宋体" w:cs="宋体"/>
          <w:b/>
          <w:bCs/>
          <w:color w:val="000000" w:themeColor="text1"/>
          <w:sz w:val="24"/>
          <w:szCs w:val="24"/>
          <w:highlight w:val="none"/>
          <w14:textFill>
            <w14:solidFill>
              <w14:schemeClr w14:val="tx1"/>
            </w14:solidFill>
          </w14:textFill>
        </w:rPr>
      </w:pPr>
    </w:p>
    <w:p>
      <w:pPr>
        <w:pStyle w:val="4"/>
        <w:spacing w:after="0" w:line="360" w:lineRule="auto"/>
        <w:ind w:firstLine="482" w:firstLineChars="20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注：1、★项为实质性要求，不允许负偏离</w:t>
      </w:r>
      <w:r>
        <w:rPr>
          <w:rFonts w:ascii="仿宋" w:hAnsi="仿宋" w:eastAsia="仿宋" w:cs="仿宋"/>
          <w:spacing w:val="-4"/>
          <w:sz w:val="24"/>
          <w:szCs w:val="24"/>
        </w:rPr>
        <w:t>，</w:t>
      </w:r>
      <w:r>
        <w:rPr>
          <w:rFonts w:hint="eastAsia" w:ascii="宋体" w:hAnsi="宋体" w:cs="宋体"/>
          <w:b/>
          <w:bCs/>
          <w:color w:val="000000" w:themeColor="text1"/>
          <w:sz w:val="24"/>
          <w:szCs w:val="24"/>
          <w:highlight w:val="none"/>
          <w14:textFill>
            <w14:solidFill>
              <w14:schemeClr w14:val="tx1"/>
            </w14:solidFill>
          </w14:textFill>
        </w:rPr>
        <w:t>招标文件已要求提供证明材料的，按照要求提供；未要求提供证明材料的，投标人可以以应答或承诺方式响应，也可提供证明材料佐证。</w:t>
      </w:r>
    </w:p>
    <w:p>
      <w:pPr>
        <w:pStyle w:val="4"/>
        <w:spacing w:after="0"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2、</w:t>
      </w:r>
      <w:r>
        <w:rPr>
          <w:rFonts w:hint="eastAsia" w:ascii="宋体" w:hAnsi="宋体" w:cs="宋体"/>
          <w:b/>
          <w:bCs/>
          <w:color w:val="000000" w:themeColor="text1"/>
          <w:sz w:val="24"/>
          <w:szCs w:val="24"/>
          <w:highlight w:val="none"/>
          <w14:textFill>
            <w14:solidFill>
              <w14:schemeClr w14:val="tx1"/>
            </w14:solidFill>
          </w14:textFill>
        </w:rPr>
        <w:t>▲项为重要参数，无标记项为一般参数（技术参数中有要求提供证明材料的，还应按要求提供证明材料），若为负偏离将作不同分值的扣分(详见各标包评分明细表)。</w:t>
      </w:r>
    </w:p>
    <w:p>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、带有“▲”标志的技术参数指标，需提供国家认可的具备相关资质的第三方检测机构出具的检测检验报告佐证（技术参数中另有要求提供其它证明材料的除外），所提供的检测（检验）报告应完整有效。</w:t>
      </w:r>
    </w:p>
    <w:p>
      <w:pPr>
        <w:spacing w:line="360" w:lineRule="auto"/>
        <w:ind w:firstLine="482" w:firstLineChars="200"/>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cs="宋体"/>
          <w:b/>
          <w:bCs/>
          <w:color w:val="000000" w:themeColor="text1"/>
          <w:sz w:val="24"/>
          <w:szCs w:val="24"/>
          <w:highlight w:val="none"/>
          <w14:textFill>
            <w14:solidFill>
              <w14:schemeClr w14:val="tx1"/>
            </w14:solidFill>
          </w14:textFill>
        </w:rPr>
        <w:t>、响应内容与所提供检测报告不一致的内容，以检测报告为准。</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AF7A38"/>
    <w:multiLevelType w:val="singleLevel"/>
    <w:tmpl w:val="39AF7A38"/>
    <w:lvl w:ilvl="0" w:tentative="0">
      <w:start w:val="1"/>
      <w:numFmt w:val="chineseCounting"/>
      <w:suff w:val="nothing"/>
      <w:lvlText w:val="（%1）"/>
      <w:lvlJc w:val="left"/>
      <w:rPr>
        <w:rFonts w:hint="eastAsia"/>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3YzM1YmVjMTM0NzhmNzM1MzgzZDU2M2ViOTAyOTIifQ=="/>
  </w:docVars>
  <w:rsids>
    <w:rsidRoot w:val="5D010337"/>
    <w:rsid w:val="27520F90"/>
    <w:rsid w:val="5D0103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5"/>
    <w:basedOn w:val="1"/>
    <w:next w:val="1"/>
    <w:qFormat/>
    <w:uiPriority w:val="0"/>
    <w:pPr>
      <w:keepNext/>
      <w:keepLines/>
      <w:adjustRightInd w:val="0"/>
      <w:spacing w:before="280" w:after="290" w:line="376" w:lineRule="atLeast"/>
      <w:textAlignment w:val="baseline"/>
      <w:outlineLvl w:val="4"/>
    </w:pPr>
    <w:rPr>
      <w:b/>
      <w:kern w:val="0"/>
      <w:sz w:val="28"/>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Normal Indent"/>
    <w:basedOn w:val="1"/>
    <w:next w:val="1"/>
    <w:qFormat/>
    <w:uiPriority w:val="0"/>
    <w:pPr>
      <w:ind w:firstLine="420"/>
    </w:pPr>
  </w:style>
  <w:style w:type="paragraph" w:styleId="4">
    <w:name w:val="Body Text"/>
    <w:basedOn w:val="1"/>
    <w:next w:val="1"/>
    <w:qFormat/>
    <w:uiPriority w:val="0"/>
    <w:pPr>
      <w:spacing w:after="120"/>
    </w:pPr>
  </w:style>
  <w:style w:type="character" w:styleId="7">
    <w:name w:val="Emphasis"/>
    <w:qFormat/>
    <w:uiPriority w:val="0"/>
    <w:rPr>
      <w:color w:val="CC0000"/>
    </w:rPr>
  </w:style>
  <w:style w:type="character" w:customStyle="1" w:styleId="8">
    <w:name w:val="无"/>
    <w:autoRedefine/>
    <w:qFormat/>
    <w:uiPriority w:val="0"/>
  </w:style>
  <w:style w:type="paragraph" w:customStyle="1" w:styleId="9">
    <w:name w:val="样式"/>
    <w:autoRedefine/>
    <w:qFormat/>
    <w:uiPriority w:val="0"/>
    <w:pPr>
      <w:widowControl w:val="0"/>
      <w:autoSpaceDE w:val="0"/>
      <w:autoSpaceDN w:val="0"/>
      <w:adjustRightInd w:val="0"/>
    </w:pPr>
    <w:rPr>
      <w:rFonts w:ascii="宋体" w:hAnsi="宋体"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30</Pages>
  <Words>0</Words>
  <Characters>0</Characters>
  <Lines>0</Lines>
  <Paragraphs>0</Paragraphs>
  <TotalTime>11</TotalTime>
  <ScaleCrop>false</ScaleCrop>
  <LinksUpToDate>false</LinksUpToDate>
  <CharactersWithSpaces>0</CharactersWithSpaces>
  <Application>WPS Office_12.1.0.16910_F1E327BC-269C-435d-A152-05C5408002CA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2024-04-30T10:23:00Z</dcterms:created>
  <dc:creator>彭君</dc:creator>
  <cp:lastModifiedBy>彭君</cp:lastModifiedBy>
  <dcterms:modified xsi:type="dcterms:W3CDTF">2024-04-30T10:41:23Z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AD948E65C58443ABAC95978852CA1109_11</vt:lpwstr>
  </property>
</Properties>
</file>