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版本号：N510001202600202220260714001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显微镜采购项目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N5100012026002022</w:t>
      </w:r>
    </w:p>
    <w:p>
      <w:pPr>
        <w:pStyle w:val="null3"/>
        <w:jc w:val="left"/>
        <w:outlineLvl w:val="2"/>
      </w:pPr>
      <w:r>
        <w:rPr>
          <w:rFonts w:ascii="仿宋_GB2312" w:hAnsi="仿宋_GB2312" w:cs="仿宋_GB2312" w:eastAsia="仿宋_GB2312"/>
          <w:sz w:val="28"/>
          <w:b/>
        </w:rPr>
        <w:t>四川省肿瘤医院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四川省肿瘤医院</w:t>
      </w:r>
      <w:r>
        <w:rPr>
          <w:rFonts w:ascii="仿宋_GB2312" w:hAnsi="仿宋_GB2312" w:cs="仿宋_GB2312" w:eastAsia="仿宋_GB2312"/>
        </w:rPr>
        <w:t xml:space="preserve"> 委托，拟对 </w:t>
      </w:r>
      <w:r>
        <w:rPr>
          <w:rFonts w:ascii="仿宋_GB2312" w:hAnsi="仿宋_GB2312" w:cs="仿宋_GB2312" w:eastAsia="仿宋_GB2312"/>
        </w:rPr>
        <w:t>显微镜采购项目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显微镜采购项目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本项目共1个包，采购显微镜。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1、医疗器械经营许可/备案（描述：采购产品为医疗器械，投标人须符合《医疗器械监督管理条例》等政策法规要求并具有医疗器械经营许可/备案证明材料（提供有效的证明材料扫描件））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四川省肿瘤医院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成都市人民南路四段55号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028-85420255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敬女士/胡女士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13219086239/13111881297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采购包1：910,000.00元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收款单位：四川省肿瘤医院 </w:t>
              <w:br/>
              <w:t>开户行：中国建设银行成都金河支行</w:t>
              <w:br/>
              <w:t>银行账号：51050150860809996666</w:t>
              <w:br/>
              <w:t>交款时间：合同签订生效后7个工作日内</w:t>
              <w:br/>
              <w:t>履约保证金退还时间：自设备验收合格之日起满1年采购人接到供应商退还申请后30个工作日内一次性无息退还全部履约保证金。因供应商自身原因导致无法及时退还的除外。</w:t>
              <w:br/>
              <w:t>履约保证金不予退还情形：中标人不履行与采购人订立的合同的。</w:t>
              <w:br/>
              <w:t>注：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费率标准为（货物采购项目）下浮30%（下浮计算完成后，需再减去采购人支出的专家评审费进行收取）：中标金额100万元以下，费率1.5%；中标金额100-500万元，费率1.1%；中标金额500-1000万元，费率0.8%；（不足5000元按5000元计取） 收款单位：四川国际招标有限责任公司 开户行：中国民生银行股份有限公司成都分行营业部 银行账号：9902001856139546 采购合同签订前向代理机构交纳代理服务费。 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四川省肿瘤医院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四川省肿瘤医院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60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1.中标人交付的货物应当符合下列约定： （1）验收依据：招标文件、投标文件、承诺约定、合同及附件。 （2）货物配置齐全，中标人保证完全按时提供货物的硬件、软件和技术资料等。质量符合中国法律法规规定的标准，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中标人承担。采购人和供应商双方如对质量要求和技术指标的约定标准有相互抵触或异议的事项，由采购人在招标与投标（响应）文件中按质量要求和技术指标比较优胜的原则确定该项的约定标准进行验收。如货物经中标人一次维修或更换仍不能达到合同约定的质量标准，采购人有权退货，并视作中标人不能交付货物而须支付违约赔偿金给采购人，采购人还可依法追究中标人的违约责任。 技术资料齐全（中文版本或中外文对照），中标人应当在采购人验收时将所提供货物的装箱清单、配件、随机工具、用户使用手册、原厂保修卡等资料交付给采购人。进口设备需提供商检证明及按照现行法律规定需要提供的其他证明。中标人不能完整交付本款规定的资料的，必须负责补齐，否则视为未按合同约定交货。如包装有损坏、产品有质量缺陷、配置短缺、规格型号不符、数量不符、资料不全等或不符合上述标准的，由中标人在7日内给予更换、补齐，并承担由此产生的全部费用，且交货时间不顺延。若更换后仍不符合要求，采购人有权退货并要求中标人承担合同总额30%的惩罚性违约金。 2.验收方式 （1）由采购人编写验收资料[含配置验收、主要性能和质量验收、质量检测（涉及到需要计量检测的设备提供检测合格报告）及防护验收（如适用）、培训验收等]，自中标人书面提出验收申请之日起30日内组织相关部门与中标人共同验收，达到所有标准后，甲乙双方签字认可后开始计算质保期。 （2）验收时如发现所交付的货物有短缺、次品、损坏或其它不符合标准及本合同规定之情形者，采购人应做出详尽的现场记录（验收报告）或由甲乙双方签署备忘录，此现场记录或备忘录可用作补充、缺失和更换损坏部件的有效证据，中标人应按照采购人要求整改，及时修理、重整或更换，由此产生的时间延误与有关费用由中标人承担，验收期限相应顺延，但交货时间不顺延。 3.若中标人出现下列情形之一，即为验收不合格： （1）逾期30日未予整改； （2）整改后仍不符合招标（采购）文件、投标（响应）文件、承诺函、合同及其附件、补充协议或备忘录（如有）所定标准； （3）无正当理由拒不申请验收、拒不参与验收、拒不配合验收； （4）拒绝签署记载验收情况的文件； 中标人出现上述情况的，采购人有权单方解除本合同，中标人应当按照采购人要求期限退还已支付费用，剩余价款不再支付，且中标人须自收到解除通知之日起10日内拆除、运离全部设备，将安装场地恢复原状，并承担上述费用。逾期未履行的，采购人可自行处置设备及场地（含破坏性拆除），由此产生的全部费用均由中标人承担，自合同解除通知送达中标人之日起采购人不承担对中标人设备任何保管责任或其他法律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四川省肿瘤医院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联系电话：028-85420255</w:t>
      </w:r>
    </w:p>
    <w:p>
      <w:pPr>
        <w:pStyle w:val="null3"/>
        <w:jc w:val="left"/>
      </w:pPr>
      <w:r>
        <w:rPr>
          <w:rFonts w:ascii="仿宋_GB2312" w:hAnsi="仿宋_GB2312" w:cs="仿宋_GB2312" w:eastAsia="仿宋_GB2312"/>
        </w:rPr>
        <w:t>地址：成都市人民南路四段55号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910,000.00</w:t>
      </w:r>
    </w:p>
    <w:p>
      <w:pPr>
        <w:pStyle w:val="null3"/>
        <w:jc w:val="left"/>
      </w:pPr>
      <w:r>
        <w:rPr>
          <w:rFonts w:ascii="仿宋_GB2312" w:hAnsi="仿宋_GB2312" w:cs="仿宋_GB2312" w:eastAsia="仿宋_GB2312"/>
        </w:rPr>
        <w:t>采购包最高限价（元）: 630,000.00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A02100301 显微镜</w:t>
            </w:r>
          </w:p>
        </w:tc>
        <w:tc>
          <w:tcPr>
            <w:tcW w:type="dxa" w:w="821"/>
          </w:tcPr>
          <w:p>
            <w:pPr>
              <w:pStyle w:val="null3"/>
              <w:jc w:val="left"/>
            </w:pPr>
            <w:r>
              <w:rPr>
                <w:rFonts w:ascii="仿宋_GB2312" w:hAnsi="仿宋_GB2312" w:cs="仿宋_GB2312" w:eastAsia="仿宋_GB2312"/>
              </w:rPr>
              <w:t>显微镜</w:t>
            </w:r>
          </w:p>
        </w:tc>
        <w:tc>
          <w:tcPr>
            <w:tcW w:type="dxa" w:w="821"/>
          </w:tcPr>
          <w:p>
            <w:pPr>
              <w:pStyle w:val="null3"/>
              <w:jc w:val="right"/>
            </w:pPr>
            <w:r>
              <w:rPr>
                <w:rFonts w:ascii="仿宋_GB2312" w:hAnsi="仿宋_GB2312" w:cs="仿宋_GB2312" w:eastAsia="仿宋_GB2312"/>
              </w:rPr>
              <w:t>7.00（套）</w:t>
            </w:r>
          </w:p>
        </w:tc>
        <w:tc>
          <w:tcPr>
            <w:tcW w:type="dxa" w:w="821"/>
          </w:tcPr>
          <w:p>
            <w:pPr>
              <w:pStyle w:val="null3"/>
              <w:jc w:val="right"/>
            </w:pPr>
            <w:r>
              <w:rPr>
                <w:rFonts w:ascii="仿宋_GB2312" w:hAnsi="仿宋_GB2312" w:cs="仿宋_GB2312" w:eastAsia="仿宋_GB2312"/>
              </w:rPr>
              <w:t>630,000.00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显微镜</w:t>
            </w:r>
          </w:p>
        </w:tc>
        <w:tc>
          <w:tcPr>
            <w:tcW w:type="dxa" w:w="1138"/>
          </w:tcPr>
          <w:p>
            <w:pPr>
              <w:pStyle w:val="null3"/>
              <w:jc w:val="center"/>
            </w:pPr>
            <w:r>
              <w:rPr>
                <w:rFonts w:ascii="仿宋_GB2312" w:hAnsi="仿宋_GB2312" w:cs="仿宋_GB2312" w:eastAsia="仿宋_GB2312"/>
              </w:rPr>
              <w:t>7.00（套）</w:t>
            </w:r>
          </w:p>
        </w:tc>
        <w:tc>
          <w:tcPr>
            <w:tcW w:type="dxa" w:w="1365"/>
          </w:tcPr>
          <w:p>
            <w:pPr>
              <w:pStyle w:val="null3"/>
              <w:jc w:val="center"/>
            </w:pPr>
            <w:r>
              <w:rPr>
                <w:rFonts w:ascii="仿宋_GB2312" w:hAnsi="仿宋_GB2312" w:cs="仿宋_GB2312" w:eastAsia="仿宋_GB2312"/>
              </w:rPr>
              <w:t>630,000.00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A02100301 显微镜</w:t>
            </w:r>
          </w:p>
        </w:tc>
        <w:tc>
          <w:tcPr>
            <w:tcW w:type="dxa" w:w="2492"/>
          </w:tcPr>
          <w:p>
            <w:pPr>
              <w:pStyle w:val="null3"/>
              <w:jc w:val="left"/>
            </w:pPr>
            <w:r>
              <w:rPr>
                <w:rFonts w:ascii="仿宋_GB2312" w:hAnsi="仿宋_GB2312" w:cs="仿宋_GB2312" w:eastAsia="仿宋_GB2312"/>
              </w:rPr>
              <w:t>显微镜</w:t>
            </w:r>
          </w:p>
        </w:tc>
        <w:tc>
          <w:tcPr>
            <w:tcW w:type="dxa" w:w="2492"/>
          </w:tcPr>
          <w:p>
            <w:pPr>
              <w:pStyle w:val="null3"/>
              <w:jc w:val="left"/>
            </w:pPr>
            <w:r>
              <w:rPr>
                <w:rFonts w:ascii="仿宋_GB2312" w:hAnsi="仿宋_GB2312" w:cs="仿宋_GB2312" w:eastAsia="仿宋_GB2312"/>
              </w:rPr>
              <w:t>显微镜</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研究级正置显微镜，无限远光学系统，齐焦距离</w:t>
            </w:r>
            <w:r>
              <w:rPr>
                <w:rFonts w:ascii="仿宋_GB2312" w:hAnsi="仿宋_GB2312" w:cs="仿宋_GB2312" w:eastAsia="仿宋_GB2312"/>
                <w:sz w:val="24"/>
              </w:rPr>
              <w:t>≥50mm，主机机身高度≤340mm</w:t>
            </w:r>
            <w:r>
              <w:rPr>
                <w:rFonts w:ascii="仿宋_GB2312" w:hAnsi="仿宋_GB2312" w:cs="仿宋_GB2312" w:eastAsia="仿宋_GB2312"/>
                <w:sz w:val="24"/>
                <w:b/>
              </w:rPr>
              <w:t>（</w:t>
            </w:r>
            <w:r>
              <w:rPr>
                <w:rFonts w:ascii="仿宋_GB2312" w:hAnsi="仿宋_GB2312" w:cs="仿宋_GB2312" w:eastAsia="仿宋_GB2312"/>
                <w:sz w:val="24"/>
                <w:b/>
              </w:rPr>
              <w:t>提供产品生产厂家公开发行的产品彩页或产品说明书或国家认可的第三方检测机构出具的检测报告佐证</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照明器：</w:t>
            </w:r>
            <w:r>
              <w:rPr>
                <w:rFonts w:ascii="仿宋_GB2312" w:hAnsi="仿宋_GB2312" w:cs="仿宋_GB2312" w:eastAsia="仿宋_GB2312"/>
                <w:sz w:val="24"/>
              </w:rPr>
              <w:t>LED光源，具备光强管理功能和自动关机节能功能。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调焦：垂直运动载物台，行程</w:t>
            </w:r>
            <w:r>
              <w:rPr>
                <w:rFonts w:ascii="仿宋_GB2312" w:hAnsi="仿宋_GB2312" w:cs="仿宋_GB2312" w:eastAsia="仿宋_GB2312"/>
                <w:sz w:val="24"/>
              </w:rPr>
              <w:t>≤30mm，带有粗调限位器，粗调旋钮可调节扭矩，最小调焦精度：≤1微米。</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观察筒：多角度可调节人机工程学观察筒，目镜倾角可调，调节范围</w:t>
            </w:r>
            <w:r>
              <w:rPr>
                <w:rFonts w:ascii="仿宋_GB2312" w:hAnsi="仿宋_GB2312" w:cs="仿宋_GB2312" w:eastAsia="仿宋_GB2312"/>
                <w:sz w:val="24"/>
              </w:rPr>
              <w:t>10-27度，镜筒可拉伸距离≥30mm</w:t>
            </w:r>
            <w:r>
              <w:rPr>
                <w:rFonts w:ascii="仿宋_GB2312" w:hAnsi="仿宋_GB2312" w:cs="仿宋_GB2312" w:eastAsia="仿宋_GB2312"/>
                <w:sz w:val="24"/>
                <w:b/>
              </w:rPr>
              <w:t>（提供观察筒实物照片佐证</w:t>
            </w:r>
            <w:r>
              <w:rPr>
                <w:rFonts w:ascii="仿宋_GB2312" w:hAnsi="仿宋_GB2312" w:cs="仿宋_GB2312" w:eastAsia="仿宋_GB2312"/>
                <w:sz w:val="24"/>
                <w:b/>
              </w:rPr>
              <w:t>或产品生产厂家公开发行的产品彩页或产品说明书或国家认可的第三方检测机构出具的检测报告佐证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载物台：陶瓷表面涂层载物台，带有标本夹和扭矩调节装置。</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聚光镜：摇摆式消色差聚光镜，</w:t>
            </w:r>
            <w:r>
              <w:rPr>
                <w:rFonts w:ascii="仿宋_GB2312" w:hAnsi="仿宋_GB2312" w:cs="仿宋_GB2312" w:eastAsia="仿宋_GB2312"/>
                <w:sz w:val="24"/>
              </w:rPr>
              <w:t>N.A.≥0.9。</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目镜：</w:t>
            </w:r>
            <w:r>
              <w:rPr>
                <w:rFonts w:ascii="仿宋_GB2312" w:hAnsi="仿宋_GB2312" w:cs="仿宋_GB2312" w:eastAsia="仿宋_GB2312"/>
                <w:sz w:val="24"/>
              </w:rPr>
              <w:t>10X目镜，视场数≥25mm，屈光度可调。</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物镜转换器：</w:t>
            </w:r>
            <w:r>
              <w:rPr>
                <w:rFonts w:ascii="仿宋_GB2312" w:hAnsi="仿宋_GB2312" w:cs="仿宋_GB2312" w:eastAsia="仿宋_GB2312"/>
                <w:sz w:val="24"/>
              </w:rPr>
              <w:t>≥6孔位编码型物镜转换器。</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平场消色差物镜</w:t>
            </w:r>
            <w:r>
              <w:rPr>
                <w:rFonts w:ascii="仿宋_GB2312" w:hAnsi="仿宋_GB2312" w:cs="仿宋_GB2312" w:eastAsia="仿宋_GB2312"/>
                <w:sz w:val="24"/>
              </w:rPr>
              <w:t>2X，N.A.≥0.06。</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平场半复消色差物镜</w:t>
            </w:r>
            <w:r>
              <w:rPr>
                <w:rFonts w:ascii="仿宋_GB2312" w:hAnsi="仿宋_GB2312" w:cs="仿宋_GB2312" w:eastAsia="仿宋_GB2312"/>
                <w:sz w:val="24"/>
              </w:rPr>
              <w:t>4X，N.A.≥0.13。</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平场半复消色差物镜</w:t>
            </w:r>
            <w:r>
              <w:rPr>
                <w:rFonts w:ascii="仿宋_GB2312" w:hAnsi="仿宋_GB2312" w:cs="仿宋_GB2312" w:eastAsia="仿宋_GB2312"/>
                <w:sz w:val="24"/>
              </w:rPr>
              <w:t>10X，N.A.≥0.3。</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平场半复消色差物镜</w:t>
            </w:r>
            <w:r>
              <w:rPr>
                <w:rFonts w:ascii="仿宋_GB2312" w:hAnsi="仿宋_GB2312" w:cs="仿宋_GB2312" w:eastAsia="仿宋_GB2312"/>
                <w:sz w:val="24"/>
              </w:rPr>
              <w:t>20X，N.A.≥0.5。</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平场半复消色差物镜</w:t>
            </w:r>
            <w:r>
              <w:rPr>
                <w:rFonts w:ascii="仿宋_GB2312" w:hAnsi="仿宋_GB2312" w:cs="仿宋_GB2312" w:eastAsia="仿宋_GB2312"/>
                <w:sz w:val="24"/>
              </w:rPr>
              <w:t>40X，N.A.≥0.75。</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高清成像系统：芯片尺寸</w:t>
            </w:r>
            <w:r>
              <w:rPr>
                <w:rFonts w:ascii="仿宋_GB2312" w:hAnsi="仿宋_GB2312" w:cs="仿宋_GB2312" w:eastAsia="仿宋_GB2312"/>
                <w:sz w:val="24"/>
              </w:rPr>
              <w:t>≥1英寸，像素≥2000万像素，</w:t>
            </w:r>
            <w:r>
              <w:rPr>
                <w:rFonts w:ascii="仿宋_GB2312" w:hAnsi="仿宋_GB2312" w:cs="仿宋_GB2312" w:eastAsia="仿宋_GB2312"/>
                <w:sz w:val="22"/>
              </w:rPr>
              <w:t>不低于</w:t>
            </w:r>
            <w:r>
              <w:rPr>
                <w:rFonts w:ascii="仿宋_GB2312" w:hAnsi="仿宋_GB2312" w:cs="仿宋_GB2312" w:eastAsia="仿宋_GB2312"/>
                <w:sz w:val="24"/>
              </w:rPr>
              <w:t>USB 3.0传输接口；</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配置清单</w:t>
            </w:r>
          </w:p>
          <w:p>
            <w:pPr>
              <w:pStyle w:val="null3"/>
              <w:jc w:val="left"/>
            </w:pPr>
            <w:r>
              <w:rPr>
                <w:rFonts w:ascii="仿宋_GB2312" w:hAnsi="仿宋_GB2312" w:cs="仿宋_GB2312" w:eastAsia="仿宋_GB2312"/>
                <w:sz w:val="24"/>
              </w:rPr>
              <w:t>显微镜主机</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人机工程学观察筒</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载物台</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平场消色差物镜</w:t>
            </w:r>
            <w:r>
              <w:rPr>
                <w:rFonts w:ascii="仿宋_GB2312" w:hAnsi="仿宋_GB2312" w:cs="仿宋_GB2312" w:eastAsia="仿宋_GB2312"/>
                <w:sz w:val="24"/>
              </w:rPr>
              <w:t>2X,平场半复消色差物镜4X,10X,20X,40X各1颗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聚光镜</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高清成像系统</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目镜</w:t>
            </w:r>
            <w:r>
              <w:rPr>
                <w:rFonts w:ascii="仿宋_GB2312" w:hAnsi="仿宋_GB2312" w:cs="仿宋_GB2312" w:eastAsia="仿宋_GB2312"/>
                <w:sz w:val="24"/>
              </w:rPr>
              <w:t>2个。</w:t>
            </w:r>
          </w:p>
          <w:p>
            <w:pPr>
              <w:pStyle w:val="null3"/>
              <w:jc w:val="left"/>
            </w:pPr>
            <w:r>
              <w:rPr>
                <w:rFonts w:ascii="仿宋_GB2312" w:hAnsi="仿宋_GB2312" w:cs="仿宋_GB2312" w:eastAsia="仿宋_GB2312"/>
                <w:sz w:val="24"/>
              </w:rPr>
              <w:t>16、易耗品</w:t>
            </w:r>
          </w:p>
          <w:tbl>
            <w:tblPr>
              <w:tblInd w:type="dxa" w:w="120"/>
              <w:tblBorders>
                <w:top w:val="none" w:color="000000" w:sz="4"/>
                <w:left w:val="none" w:color="000000" w:sz="4"/>
                <w:bottom w:val="none" w:color="000000" w:sz="4"/>
                <w:right w:val="none" w:color="000000" w:sz="4"/>
                <w:insideH w:val="none"/>
                <w:insideV w:val="none"/>
              </w:tblBorders>
            </w:tblPr>
            <w:tblGrid>
              <w:gridCol w:w="1142"/>
              <w:gridCol w:w="1875"/>
              <w:gridCol w:w="2581"/>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易耗品名称</w:t>
                  </w:r>
                </w:p>
              </w:tc>
              <w:tc>
                <w:tcPr>
                  <w:tcW w:type="dxa" w:w="2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单价限价（元</w:t>
                  </w:r>
                  <w:r>
                    <w:rPr>
                      <w:rFonts w:ascii="仿宋_GB2312" w:hAnsi="仿宋_GB2312" w:cs="仿宋_GB2312" w:eastAsia="仿宋_GB2312"/>
                      <w:sz w:val="24"/>
                    </w:rPr>
                    <w:t>/个）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LED模块</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1000</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0"/>
                <w:b/>
              </w:rPr>
              <w:t>1.质量要求：</w:t>
            </w:r>
          </w:p>
          <w:p>
            <w:pPr>
              <w:pStyle w:val="null3"/>
              <w:jc w:val="both"/>
            </w:pPr>
            <w:r>
              <w:rPr>
                <w:rFonts w:ascii="仿宋_GB2312" w:hAnsi="仿宋_GB2312" w:cs="仿宋_GB2312" w:eastAsia="仿宋_GB2312"/>
                <w:sz w:val="20"/>
              </w:rPr>
              <w:t>1.1质量符合或优于中国法律法规规定和（或）行业的标准，同时通过NMPA（具有医疗器械注册证），符合采购文件质量要求、技术指标与出厂标准，保证是原产地生产的原装全新产品（含零部件、配件等），表面无划伤、无碰撞痕迹，且权属清楚，货物质量出现问题，中标人应负责三包（包修、包换、包退），费用由中标人负担，否则采购人有权拒绝收货，并要求中标人赔偿损失。具体技术参数详见采购文件、投标（响应）文件、合同附件、产品技术说明等。（合同附件应包含：配置清单、装箱清单、零配件易耗品价格清单）</w:t>
            </w:r>
          </w:p>
          <w:p>
            <w:pPr>
              <w:pStyle w:val="null3"/>
              <w:jc w:val="both"/>
            </w:pPr>
            <w:r>
              <w:rPr>
                <w:rFonts w:ascii="仿宋_GB2312" w:hAnsi="仿宋_GB2312" w:cs="仿宋_GB2312" w:eastAsia="仿宋_GB2312"/>
                <w:sz w:val="20"/>
              </w:rPr>
              <w:t>1.2中标人所提供的货物应符合国家有关安全、环保、卫生的规定。</w:t>
            </w:r>
          </w:p>
          <w:p>
            <w:pPr>
              <w:pStyle w:val="null3"/>
              <w:jc w:val="both"/>
            </w:pPr>
            <w:r>
              <w:rPr>
                <w:rFonts w:ascii="仿宋_GB2312" w:hAnsi="仿宋_GB2312" w:cs="仿宋_GB2312" w:eastAsia="仿宋_GB2312"/>
                <w:sz w:val="20"/>
              </w:rPr>
              <w:t>中标人必须保证该套货物配置齐全，达到该套货物的所有技术参数及功能，如配置清单没列举完整的，中标人也应无条件提供，对此，中标人应当基于自己的行业经验充分合理预判，费用已包含在合同价款之中。若短缺配置市场采购价高于原合同单价的，差价由中标人承担；短缺导致采购周期超过</w:t>
            </w:r>
            <w:r>
              <w:rPr>
                <w:rFonts w:ascii="仿宋_GB2312" w:hAnsi="仿宋_GB2312" w:cs="仿宋_GB2312" w:eastAsia="仿宋_GB2312"/>
                <w:sz w:val="20"/>
              </w:rPr>
              <w:t>30日的，按合同第八条承担违约责任，如因短缺或其它因素造成该套货物不能按时完全正常使用，中标人负责赔偿由此给采购人造成的所有损失。</w:t>
            </w:r>
          </w:p>
          <w:p>
            <w:pPr>
              <w:pStyle w:val="null3"/>
              <w:jc w:val="both"/>
            </w:pPr>
            <w:r>
              <w:rPr>
                <w:rFonts w:ascii="仿宋_GB2312" w:hAnsi="仿宋_GB2312" w:cs="仿宋_GB2312" w:eastAsia="仿宋_GB2312"/>
                <w:sz w:val="20"/>
                <w:b/>
              </w:rPr>
              <w:t>【注：供应商须在投标（响应）文件中单独提供配置清单（不同产品分别提供，配置清单格式参见《附件</w:t>
            </w:r>
            <w:r>
              <w:rPr>
                <w:rFonts w:ascii="仿宋_GB2312" w:hAnsi="仿宋_GB2312" w:cs="仿宋_GB2312" w:eastAsia="仿宋_GB2312"/>
                <w:sz w:val="20"/>
                <w:b/>
              </w:rPr>
              <w:t>-投标人认为需要提供的其他证明材料》，采购人将以此为依据进行验收。】</w:t>
            </w:r>
          </w:p>
          <w:p>
            <w:pPr>
              <w:pStyle w:val="null3"/>
              <w:jc w:val="both"/>
            </w:pPr>
            <w:r>
              <w:rPr>
                <w:rFonts w:ascii="仿宋_GB2312" w:hAnsi="仿宋_GB2312" w:cs="仿宋_GB2312" w:eastAsia="仿宋_GB2312"/>
                <w:sz w:val="20"/>
                <w:b/>
              </w:rPr>
              <w:t>2.安装调试、培训</w:t>
            </w:r>
          </w:p>
          <w:p>
            <w:pPr>
              <w:pStyle w:val="null3"/>
              <w:jc w:val="both"/>
            </w:pPr>
            <w:r>
              <w:rPr>
                <w:rFonts w:ascii="仿宋_GB2312" w:hAnsi="仿宋_GB2312" w:cs="仿宋_GB2312" w:eastAsia="仿宋_GB2312"/>
                <w:sz w:val="20"/>
              </w:rPr>
              <w:t>2.1安装、调试</w:t>
            </w:r>
          </w:p>
          <w:p>
            <w:pPr>
              <w:pStyle w:val="null3"/>
              <w:jc w:val="both"/>
            </w:pPr>
            <w:r>
              <w:rPr>
                <w:rFonts w:ascii="仿宋_GB2312" w:hAnsi="仿宋_GB2312" w:cs="仿宋_GB2312" w:eastAsia="仿宋_GB2312"/>
                <w:sz w:val="20"/>
              </w:rPr>
              <w:t>2.1.1中标人接到采购人通知后30日内，中标人向采购人提供全面的机房建筑设计、供水供电、专用地线技术要求等设计图纸及安装条件的技术要求，并派专人现场进行技术服务和指导，配合完成设备安装所应当具备的全部条件。</w:t>
            </w:r>
          </w:p>
          <w:p>
            <w:pPr>
              <w:pStyle w:val="null3"/>
              <w:jc w:val="both"/>
            </w:pPr>
            <w:r>
              <w:rPr>
                <w:rFonts w:ascii="仿宋_GB2312" w:hAnsi="仿宋_GB2312" w:cs="仿宋_GB2312" w:eastAsia="仿宋_GB2312"/>
                <w:sz w:val="20"/>
              </w:rPr>
              <w:t>2.1.2开箱后，双方如无异议，中标人派有经验的工程技术人员开始负责安装和调试；如有异议，待问题解决后，中标人当日派人负责安装调试。如采购人的异议成立，则中标人的安装调试期限不顺延。</w:t>
            </w:r>
          </w:p>
          <w:p>
            <w:pPr>
              <w:pStyle w:val="null3"/>
              <w:jc w:val="both"/>
            </w:pPr>
            <w:r>
              <w:rPr>
                <w:rFonts w:ascii="仿宋_GB2312" w:hAnsi="仿宋_GB2312" w:cs="仿宋_GB2312" w:eastAsia="仿宋_GB2312"/>
                <w:sz w:val="20"/>
              </w:rPr>
              <w:t>2.1.3安装、调试期限为货到30日内。中标人应在规定的安装调试期内完成该项工作。如因中标人责任而造成延期，所有因延期而产生的费用由中标人承担。</w:t>
            </w:r>
          </w:p>
          <w:p>
            <w:pPr>
              <w:pStyle w:val="null3"/>
              <w:jc w:val="both"/>
            </w:pPr>
            <w:r>
              <w:rPr>
                <w:rFonts w:ascii="仿宋_GB2312" w:hAnsi="仿宋_GB2312" w:cs="仿宋_GB2312" w:eastAsia="仿宋_GB2312"/>
                <w:sz w:val="20"/>
              </w:rPr>
              <w:t>2.1.4安装调试过程中，中标人不得损坏采购人墙体等结构，若对采购人墙体等结构造成损坏，中标人需负责修复，所有修复费用由中标人承担，同时按照中标人不能履约处理，造成采购人损失的应当予以全额赔偿。同时所有进场费用（包括但不限于吊车装运费用等）由中标人承担。嵌入设备与原基建装修单位产生的安装相关费用由供应商自行承担。</w:t>
            </w:r>
          </w:p>
          <w:p>
            <w:pPr>
              <w:pStyle w:val="null3"/>
              <w:jc w:val="both"/>
            </w:pPr>
            <w:r>
              <w:rPr>
                <w:rFonts w:ascii="仿宋_GB2312" w:hAnsi="仿宋_GB2312" w:cs="仿宋_GB2312" w:eastAsia="仿宋_GB2312"/>
                <w:sz w:val="20"/>
              </w:rPr>
              <w:t>2.1.5中标人所派安装、调试及维修、维保人员名单必须与投标（响应）文件拟派人员名单（如有）一致，如需更换需事先书面征得采购人同意，且更换后人员的资质等级、工作经验等不得低于投标（响应）文件拟派人员。</w:t>
            </w:r>
          </w:p>
          <w:p>
            <w:pPr>
              <w:pStyle w:val="null3"/>
              <w:jc w:val="both"/>
            </w:pPr>
            <w:r>
              <w:rPr>
                <w:rFonts w:ascii="仿宋_GB2312" w:hAnsi="仿宋_GB2312" w:cs="仿宋_GB2312" w:eastAsia="仿宋_GB2312"/>
                <w:sz w:val="20"/>
              </w:rPr>
              <w:t>2.2培训</w:t>
            </w:r>
          </w:p>
          <w:p>
            <w:pPr>
              <w:pStyle w:val="null3"/>
              <w:jc w:val="both"/>
            </w:pPr>
            <w:r>
              <w:rPr>
                <w:rFonts w:ascii="仿宋_GB2312" w:hAnsi="仿宋_GB2312" w:cs="仿宋_GB2312" w:eastAsia="仿宋_GB2312"/>
                <w:sz w:val="20"/>
              </w:rPr>
              <w:t>2.2.1中标人提供完整的培训计划和方案。</w:t>
            </w:r>
          </w:p>
          <w:p>
            <w:pPr>
              <w:pStyle w:val="null3"/>
              <w:jc w:val="both"/>
            </w:pPr>
            <w:r>
              <w:rPr>
                <w:rFonts w:ascii="仿宋_GB2312" w:hAnsi="仿宋_GB2312" w:cs="仿宋_GB2312" w:eastAsia="仿宋_GB2312"/>
                <w:sz w:val="20"/>
              </w:rPr>
              <w:t>2.2.2 操作培训：在设备安装调试完毕后，由中标人应用专家进行现场操作使用的培训和指导。出席对象为采购人对该设备的操作技术人员、医师、物理师及相关人员等。培训目的是让操作技术人员完全掌握该设备的操作流程和方法，采购人受培训人员签字后视为培训合格。上述培训为货物的标准配套服务，培训所需全部费用均由中标人支付。</w:t>
            </w:r>
          </w:p>
          <w:p>
            <w:pPr>
              <w:pStyle w:val="null3"/>
              <w:jc w:val="left"/>
            </w:pPr>
            <w:r>
              <w:rPr>
                <w:rFonts w:ascii="仿宋_GB2312" w:hAnsi="仿宋_GB2312" w:cs="仿宋_GB2312" w:eastAsia="仿宋_GB2312"/>
                <w:sz w:val="20"/>
              </w:rPr>
              <w:t>2.2.3维修培训：安装调试时，由中标人工程师对采购人维修工程师进行现场培训，培训的目的是让采购人维修工程师掌握常见故障的判断与常规处理方法以及日常的维护保养方法，采购人维修工程师签字后视为培训合格。上述培训为该货物的标准配套服务，培训所需全部费用均由中标人支付。</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保修期后的易耗品及零配件供应</w:t>
            </w:r>
          </w:p>
        </w:tc>
        <w:tc>
          <w:tcPr>
            <w:tcW w:type="dxa" w:w="5814"/>
          </w:tcPr>
          <w:p>
            <w:pPr>
              <w:pStyle w:val="null3"/>
              <w:jc w:val="both"/>
            </w:pPr>
            <w:r>
              <w:rPr>
                <w:rFonts w:ascii="仿宋_GB2312" w:hAnsi="仿宋_GB2312" w:cs="仿宋_GB2312" w:eastAsia="仿宋_GB2312"/>
                <w:sz w:val="20"/>
                <w:color w:val="000000"/>
              </w:rPr>
              <w:t>收费易耗品及零配件按照年用量为</w:t>
            </w:r>
            <w:r>
              <w:rPr>
                <w:rFonts w:ascii="仿宋_GB2312" w:hAnsi="仿宋_GB2312" w:cs="仿宋_GB2312" w:eastAsia="仿宋_GB2312"/>
                <w:sz w:val="20"/>
                <w:color w:val="000000"/>
              </w:rPr>
              <w:t>5000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保修期结束后，中标人应继续提供易耗品及零配件，直至采购人不再使用相应标的。</w:t>
            </w:r>
          </w:p>
          <w:p>
            <w:pPr>
              <w:pStyle w:val="null3"/>
              <w:jc w:val="left"/>
            </w:pPr>
            <w:r>
              <w:rPr>
                <w:rFonts w:ascii="仿宋_GB2312" w:hAnsi="仿宋_GB2312" w:cs="仿宋_GB2312" w:eastAsia="仿宋_GB2312"/>
                <w:sz w:val="20"/>
                <w:b/>
                <w:color w:val="000000"/>
              </w:rPr>
              <w:t>（注：保修期后的易耗品及零配件报价清单格式参见附件</w:t>
            </w:r>
            <w:r>
              <w:rPr>
                <w:rFonts w:ascii="仿宋_GB2312" w:hAnsi="仿宋_GB2312" w:cs="仿宋_GB2312" w:eastAsia="仿宋_GB2312"/>
                <w:sz w:val="20"/>
                <w:b/>
                <w:color w:val="000000"/>
              </w:rPr>
              <w:t>-《保修期后的易耗品及零配件报价清单》，此部分内容不属于技术参数要求评审内容，对应评分表）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医疗器械</w:t>
            </w:r>
          </w:p>
        </w:tc>
        <w:tc>
          <w:tcPr>
            <w:tcW w:type="dxa" w:w="5814"/>
          </w:tcPr>
          <w:p>
            <w:pPr>
              <w:pStyle w:val="null3"/>
              <w:jc w:val="left"/>
            </w:pPr>
            <w:r>
              <w:rPr>
                <w:rFonts w:ascii="仿宋_GB2312" w:hAnsi="仿宋_GB2312" w:cs="仿宋_GB2312" w:eastAsia="仿宋_GB2312"/>
                <w:sz w:val="20"/>
                <w:b/>
                <w:color w:val="000000"/>
              </w:rPr>
              <w:t>本项目采购产品为医疗器械，所投医疗器械须符合《医疗器械注册与备案管理办法》等政策法规要求并具有中华人民共和国医疗器械注册</w:t>
            </w:r>
            <w:r>
              <w:rPr>
                <w:rFonts w:ascii="仿宋_GB2312" w:hAnsi="仿宋_GB2312" w:cs="仿宋_GB2312" w:eastAsia="仿宋_GB2312"/>
                <w:sz w:val="20"/>
                <w:b/>
                <w:color w:val="000000"/>
              </w:rPr>
              <w:t>/备案证明材料。（投标文件中须提供有效的证明材料扫描件）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【因系统固化原因，</w:t>
            </w:r>
            <w:r>
              <w:rPr>
                <w:rFonts w:ascii="仿宋_GB2312" w:hAnsi="仿宋_GB2312" w:cs="仿宋_GB2312" w:eastAsia="仿宋_GB2312"/>
              </w:rPr>
              <w:t>3.3.2.商务要求中“付款进度安排”不适用于本项目，本项目“付款进度安排”以此为准（供应商应答“付款进度安排”时仅需应答此条要求即可，无需再应答3.3.2.商务要求中“付款进度安排”】</w:t>
            </w:r>
          </w:p>
          <w:p>
            <w:pPr>
              <w:pStyle w:val="null3"/>
              <w:jc w:val="left"/>
            </w:pPr>
            <w:r>
              <w:rPr>
                <w:rFonts w:ascii="仿宋_GB2312" w:hAnsi="仿宋_GB2312" w:cs="仿宋_GB2312" w:eastAsia="仿宋_GB2312"/>
                <w:sz w:val="22"/>
              </w:rPr>
              <w:t>货到验收合格后，</w:t>
            </w:r>
            <w:r>
              <w:rPr>
                <w:rFonts w:ascii="仿宋_GB2312" w:hAnsi="仿宋_GB2312" w:cs="仿宋_GB2312" w:eastAsia="仿宋_GB2312"/>
                <w:sz w:val="22"/>
              </w:rPr>
              <w:t>采购人</w:t>
            </w:r>
            <w:r>
              <w:rPr>
                <w:rFonts w:ascii="仿宋_GB2312" w:hAnsi="仿宋_GB2312" w:cs="仿宋_GB2312" w:eastAsia="仿宋_GB2312"/>
                <w:sz w:val="22"/>
              </w:rPr>
              <w:t>应在收到</w:t>
            </w:r>
            <w:r>
              <w:rPr>
                <w:rFonts w:ascii="仿宋_GB2312" w:hAnsi="仿宋_GB2312" w:cs="仿宋_GB2312" w:eastAsia="仿宋_GB2312"/>
                <w:sz w:val="22"/>
              </w:rPr>
              <w:t>中标人</w:t>
            </w:r>
            <w:r>
              <w:rPr>
                <w:rFonts w:ascii="仿宋_GB2312" w:hAnsi="仿宋_GB2312" w:cs="仿宋_GB2312" w:eastAsia="仿宋_GB2312"/>
                <w:sz w:val="22"/>
              </w:rPr>
              <w:t>提交的付款申请、发票（发票金额为到货货物的总金额）之日起</w:t>
            </w:r>
            <w:r>
              <w:rPr>
                <w:rFonts w:ascii="仿宋_GB2312" w:hAnsi="仿宋_GB2312" w:cs="仿宋_GB2312" w:eastAsia="仿宋_GB2312"/>
                <w:sz w:val="22"/>
              </w:rPr>
              <w:t>60日内向</w:t>
            </w:r>
            <w:r>
              <w:rPr>
                <w:rFonts w:ascii="仿宋_GB2312" w:hAnsi="仿宋_GB2312" w:cs="仿宋_GB2312" w:eastAsia="仿宋_GB2312"/>
                <w:sz w:val="22"/>
              </w:rPr>
              <w:t>中标人</w:t>
            </w:r>
            <w:r>
              <w:rPr>
                <w:rFonts w:ascii="仿宋_GB2312" w:hAnsi="仿宋_GB2312" w:cs="仿宋_GB2312" w:eastAsia="仿宋_GB2312"/>
                <w:sz w:val="22"/>
              </w:rPr>
              <w:t>支付到货货物金额的</w:t>
            </w:r>
            <w:r>
              <w:rPr>
                <w:rFonts w:ascii="仿宋_GB2312" w:hAnsi="仿宋_GB2312" w:cs="仿宋_GB2312" w:eastAsia="仿宋_GB2312"/>
                <w:sz w:val="22"/>
              </w:rPr>
              <w:t>100%，若有其他扣款、赔偿金、违约金等需要</w:t>
            </w:r>
            <w:r>
              <w:rPr>
                <w:rFonts w:ascii="仿宋_GB2312" w:hAnsi="仿宋_GB2312" w:cs="仿宋_GB2312" w:eastAsia="仿宋_GB2312"/>
                <w:sz w:val="22"/>
              </w:rPr>
              <w:t>中标人</w:t>
            </w:r>
            <w:r>
              <w:rPr>
                <w:rFonts w:ascii="仿宋_GB2312" w:hAnsi="仿宋_GB2312" w:cs="仿宋_GB2312" w:eastAsia="仿宋_GB2312"/>
                <w:sz w:val="22"/>
              </w:rPr>
              <w:t>承担的费用，</w:t>
            </w:r>
            <w:r>
              <w:rPr>
                <w:rFonts w:ascii="仿宋_GB2312" w:hAnsi="仿宋_GB2312" w:cs="仿宋_GB2312" w:eastAsia="仿宋_GB2312"/>
                <w:sz w:val="22"/>
              </w:rPr>
              <w:t>采购人</w:t>
            </w:r>
            <w:r>
              <w:rPr>
                <w:rFonts w:ascii="仿宋_GB2312" w:hAnsi="仿宋_GB2312" w:cs="仿宋_GB2312" w:eastAsia="仿宋_GB2312"/>
                <w:sz w:val="22"/>
              </w:rPr>
              <w:t>有权直接予以扣除后支付。</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sz w:val="21"/>
              </w:rPr>
              <w:t>【因系统固化原因，本项目的</w:t>
            </w:r>
            <w:r>
              <w:rPr>
                <w:rFonts w:ascii="仿宋_GB2312" w:hAnsi="仿宋_GB2312" w:cs="仿宋_GB2312" w:eastAsia="仿宋_GB2312"/>
                <w:sz w:val="21"/>
              </w:rPr>
              <w:t>“违约责任与解决争议的方法”以此处内容为准，供应商应答只需应答此处内容】</w:t>
            </w:r>
          </w:p>
          <w:p>
            <w:pPr>
              <w:pStyle w:val="null3"/>
              <w:jc w:val="left"/>
            </w:pPr>
            <w:r>
              <w:rPr>
                <w:rFonts w:ascii="仿宋_GB2312" w:hAnsi="仿宋_GB2312" w:cs="仿宋_GB2312" w:eastAsia="仿宋_GB2312"/>
                <w:sz w:val="18"/>
              </w:rPr>
              <w:t>（以下甲方指采购人，乙方指中标供应商）</w:t>
            </w:r>
          </w:p>
          <w:p>
            <w:pPr>
              <w:pStyle w:val="null3"/>
              <w:jc w:val="left"/>
            </w:pPr>
            <w:r>
              <w:rPr>
                <w:rFonts w:ascii="仿宋_GB2312" w:hAnsi="仿宋_GB2312" w:cs="仿宋_GB2312" w:eastAsia="仿宋_GB2312"/>
                <w:sz w:val="18"/>
                <w:b/>
              </w:rPr>
              <w:t>1.甲方违约责任</w:t>
            </w:r>
          </w:p>
          <w:p>
            <w:pPr>
              <w:pStyle w:val="null3"/>
              <w:jc w:val="left"/>
            </w:pPr>
            <w:r>
              <w:rPr>
                <w:rFonts w:ascii="仿宋_GB2312" w:hAnsi="仿宋_GB2312" w:cs="仿宋_GB2312" w:eastAsia="仿宋_GB2312"/>
                <w:sz w:val="18"/>
              </w:rPr>
              <w:t>甲方无正当理由拒收货物的应赔偿乙方损失，但赔偿金不超过拒收货物价款的</w:t>
            </w:r>
            <w:r>
              <w:rPr>
                <w:rFonts w:ascii="仿宋_GB2312" w:hAnsi="仿宋_GB2312" w:cs="仿宋_GB2312" w:eastAsia="仿宋_GB2312"/>
                <w:sz w:val="18"/>
              </w:rPr>
              <w:t>10%。甲方拒收的产品，由乙方自行处置，甲方不承担保管、搬离以及货物丢失、损毁、灭失等的责任和由此产生的费用或损失。</w:t>
            </w:r>
          </w:p>
          <w:p>
            <w:pPr>
              <w:pStyle w:val="null3"/>
              <w:jc w:val="left"/>
            </w:pPr>
            <w:r>
              <w:rPr>
                <w:rFonts w:ascii="仿宋_GB2312" w:hAnsi="仿宋_GB2312" w:cs="仿宋_GB2312" w:eastAsia="仿宋_GB2312"/>
                <w:sz w:val="18"/>
              </w:rPr>
              <w:t>甲方逾期支付货款的，除应及时付足货款外，应向乙方偿付欠款总额万分之二</w:t>
            </w:r>
            <w:r>
              <w:rPr>
                <w:rFonts w:ascii="仿宋_GB2312" w:hAnsi="仿宋_GB2312" w:cs="仿宋_GB2312" w:eastAsia="仿宋_GB2312"/>
                <w:sz w:val="18"/>
              </w:rPr>
              <w:t>/天的违约金，有正当理由除外。</w:t>
            </w:r>
          </w:p>
          <w:p>
            <w:pPr>
              <w:pStyle w:val="null3"/>
              <w:jc w:val="left"/>
            </w:pPr>
            <w:r>
              <w:rPr>
                <w:rFonts w:ascii="仿宋_GB2312" w:hAnsi="仿宋_GB2312" w:cs="仿宋_GB2312" w:eastAsia="仿宋_GB2312"/>
                <w:sz w:val="18"/>
                <w:b/>
              </w:rPr>
              <w:t>2.乙方违约责任</w:t>
            </w:r>
          </w:p>
          <w:p>
            <w:pPr>
              <w:pStyle w:val="null3"/>
              <w:jc w:val="left"/>
            </w:pPr>
            <w:r>
              <w:rPr>
                <w:rFonts w:ascii="仿宋_GB2312" w:hAnsi="仿宋_GB2312" w:cs="仿宋_GB2312" w:eastAsia="仿宋_GB2312"/>
                <w:sz w:val="18"/>
              </w:rPr>
              <w:t>2.1乙方交付的货物质量不符合规定的，须在合同规定的交货时间内更换合格的货物给甲方，且不顺延交货期限，乙方逾期交货的，则按2.2规定由乙方偿付违约金给甲方。</w:t>
            </w:r>
          </w:p>
          <w:p>
            <w:pPr>
              <w:pStyle w:val="null3"/>
              <w:jc w:val="left"/>
            </w:pPr>
            <w:r>
              <w:rPr>
                <w:rFonts w:ascii="仿宋_GB2312" w:hAnsi="仿宋_GB2312" w:cs="仿宋_GB2312" w:eastAsia="仿宋_GB2312"/>
                <w:sz w:val="18"/>
              </w:rPr>
              <w:t>2.2乙方如不能按时交货，必须承担本合同约定的违约责任及由此给甲方造成的所有损失，同时甲方有权解除合同并追究乙方违约责任。交货是指乙方将货物运送至甲方指定地点，甲方按照本合同配置清单及装箱清单等进行核对无误后，视为交货完成。经甲方核对，乙方未能按本合同配置清单及装箱清单等交付的，甲方有权拒收全部货物，甲方拒收的，即为乙方未交货。拒收的货物由乙方负责处置，甲方不承担保管等责任。乙方不能交付/调试安装货物或逾期交付/调试安装货物而违约的，除应及时交足货物外，应向甲方偿付货款总额的万分之二/天的违约金及赔偿由此给甲方造成的全部损失；逾期交货/调试安装超过30天，甲方有权解除合同，乙方则应按合同总价的20%的款额向甲方偿付赔偿金，并须全额退还甲方已经支付给乙方的货款及同期银行贷款利息。</w:t>
            </w:r>
          </w:p>
          <w:p>
            <w:pPr>
              <w:pStyle w:val="null3"/>
              <w:jc w:val="left"/>
            </w:pPr>
            <w:r>
              <w:rPr>
                <w:rFonts w:ascii="仿宋_GB2312" w:hAnsi="仿宋_GB2312" w:cs="仿宋_GB2312" w:eastAsia="仿宋_GB2312"/>
                <w:sz w:val="18"/>
              </w:rPr>
              <w:t>2.3</w:t>
            </w:r>
            <w:r>
              <w:rPr>
                <w:rFonts w:ascii="仿宋_GB2312" w:hAnsi="仿宋_GB2312" w:cs="仿宋_GB2312" w:eastAsia="仿宋_GB2312"/>
              </w:rPr>
              <w:t xml:space="preserve"> </w:t>
            </w:r>
            <w:r>
              <w:rPr>
                <w:rFonts w:ascii="仿宋_GB2312" w:hAnsi="仿宋_GB2312" w:cs="仿宋_GB2312" w:eastAsia="仿宋_GB2312"/>
                <w:sz w:val="18"/>
              </w:rPr>
              <w:t>乙方货物经甲方送交具有法定资格条件的质量技术监督机构检测后，如检测结果认定货物质量不符合本合同规定标准的，则视为乙方没有按时交货而违约，乙方须在</w:t>
            </w:r>
            <w:r>
              <w:rPr>
                <w:rFonts w:ascii="仿宋_GB2312" w:hAnsi="仿宋_GB2312" w:cs="仿宋_GB2312" w:eastAsia="仿宋_GB2312"/>
                <w:sz w:val="18"/>
              </w:rPr>
              <w:t>30天内无条件更换合格的货物，且交货时间不顺延。如逾期不能更换合格的货物，甲方有权解除本合同，乙方应另付合同总价的20%的违约金给甲方，并须全额退还甲方已经付给乙方的货款及同期银行贷款利息。</w:t>
            </w:r>
          </w:p>
          <w:p>
            <w:pPr>
              <w:pStyle w:val="null3"/>
              <w:jc w:val="left"/>
            </w:pPr>
            <w:r>
              <w:rPr>
                <w:rFonts w:ascii="仿宋_GB2312" w:hAnsi="仿宋_GB2312" w:cs="仿宋_GB2312" w:eastAsia="仿宋_GB2312"/>
                <w:sz w:val="18"/>
              </w:rPr>
              <w:t>2.4</w:t>
            </w:r>
            <w:r>
              <w:rPr>
                <w:rFonts w:ascii="仿宋_GB2312" w:hAnsi="仿宋_GB2312" w:cs="仿宋_GB2312" w:eastAsia="仿宋_GB2312"/>
              </w:rPr>
              <w:t xml:space="preserve"> </w:t>
            </w:r>
            <w:r>
              <w:rPr>
                <w:rFonts w:ascii="仿宋_GB2312" w:hAnsi="仿宋_GB2312" w:cs="仿宋_GB2312" w:eastAsia="仿宋_GB2312"/>
                <w:sz w:val="18"/>
              </w:rPr>
              <w:t>乙方保证本合同项目的权利无瑕疵，包括货物或服务的所有权及知识产权等权利无瑕疵。如任何第三方经法院裁决有权对上述项目主张权利或国家机关依法对货物进行没收、查封、责令停止侵权行为等的，乙方除应向甲方返还已收款项及同期银行贷款利息外，还应另按合同总价的</w:t>
            </w:r>
            <w:r>
              <w:rPr>
                <w:rFonts w:ascii="仿宋_GB2312" w:hAnsi="仿宋_GB2312" w:cs="仿宋_GB2312" w:eastAsia="仿宋_GB2312"/>
                <w:sz w:val="18"/>
              </w:rPr>
              <w:t>20%向甲方支付违约金并赔偿因此给甲方造成的一切直接及间接损失。甲方向第三方承担赔偿责任后，有权向乙方追偿。</w:t>
            </w:r>
          </w:p>
          <w:p>
            <w:pPr>
              <w:pStyle w:val="null3"/>
              <w:jc w:val="left"/>
            </w:pPr>
            <w:r>
              <w:rPr>
                <w:rFonts w:ascii="仿宋_GB2312" w:hAnsi="仿宋_GB2312" w:cs="仿宋_GB2312" w:eastAsia="仿宋_GB2312"/>
                <w:sz w:val="18"/>
              </w:rPr>
              <w:t>2.5</w:t>
            </w:r>
            <w:r>
              <w:rPr>
                <w:rFonts w:ascii="仿宋_GB2312" w:hAnsi="仿宋_GB2312" w:cs="仿宋_GB2312" w:eastAsia="仿宋_GB2312"/>
              </w:rPr>
              <w:t xml:space="preserve"> </w:t>
            </w:r>
            <w:r>
              <w:rPr>
                <w:rFonts w:ascii="仿宋_GB2312" w:hAnsi="仿宋_GB2312" w:cs="仿宋_GB2312" w:eastAsia="仿宋_GB2312"/>
                <w:sz w:val="18"/>
              </w:rPr>
              <w:t>乙方未按照本协议约定及时履行其质保义务的，甲方有权委托其他有资质的机构进行维修，由此产生的一切费用由乙方承担，甲方有权从剩余货款中直接扣除；若甲方已完成货款支付的，乙方应当按照甲方期限要求向甲方另行支付第三方维修费用。若因此给甲方造成了损失的，乙方还应全额赔偿。</w:t>
            </w:r>
          </w:p>
          <w:p>
            <w:pPr>
              <w:pStyle w:val="null3"/>
              <w:jc w:val="left"/>
            </w:pPr>
            <w:r>
              <w:rPr>
                <w:rFonts w:ascii="仿宋_GB2312" w:hAnsi="仿宋_GB2312" w:cs="仿宋_GB2312" w:eastAsia="仿宋_GB2312"/>
                <w:sz w:val="18"/>
              </w:rPr>
              <w:t>2.6</w:t>
            </w:r>
            <w:r>
              <w:rPr>
                <w:rFonts w:ascii="仿宋_GB2312" w:hAnsi="仿宋_GB2312" w:cs="仿宋_GB2312" w:eastAsia="仿宋_GB2312"/>
              </w:rPr>
              <w:t xml:space="preserve"> </w:t>
            </w:r>
            <w:r>
              <w:rPr>
                <w:rFonts w:ascii="仿宋_GB2312" w:hAnsi="仿宋_GB2312" w:cs="仿宋_GB2312" w:eastAsia="仿宋_GB2312"/>
                <w:sz w:val="18"/>
              </w:rPr>
              <w:t>合同生效后乙方未经甲方同意拒绝交付货物，或除法定可以解除合同的情形外单方面解除合同的，乙方应向甲方支付合同总价的</w:t>
            </w:r>
            <w:r>
              <w:rPr>
                <w:rFonts w:ascii="仿宋_GB2312" w:hAnsi="仿宋_GB2312" w:cs="仿宋_GB2312" w:eastAsia="仿宋_GB2312"/>
                <w:sz w:val="18"/>
              </w:rPr>
              <w:t>20%的违约金。</w:t>
            </w:r>
          </w:p>
          <w:p>
            <w:pPr>
              <w:pStyle w:val="null3"/>
              <w:jc w:val="left"/>
            </w:pPr>
            <w:r>
              <w:rPr>
                <w:rFonts w:ascii="仿宋_GB2312" w:hAnsi="仿宋_GB2312" w:cs="仿宋_GB2312" w:eastAsia="仿宋_GB2312"/>
                <w:sz w:val="18"/>
              </w:rPr>
              <w:t>2.7</w:t>
            </w:r>
            <w:r>
              <w:rPr>
                <w:rFonts w:ascii="仿宋_GB2312" w:hAnsi="仿宋_GB2312" w:cs="仿宋_GB2312" w:eastAsia="仿宋_GB2312"/>
              </w:rPr>
              <w:t xml:space="preserve"> </w:t>
            </w:r>
            <w:r>
              <w:rPr>
                <w:rFonts w:ascii="仿宋_GB2312" w:hAnsi="仿宋_GB2312" w:cs="仿宋_GB2312" w:eastAsia="仿宋_GB2312"/>
                <w:sz w:val="18"/>
              </w:rPr>
              <w:t>乙方违反本合同其他约定，经甲方通知后在</w:t>
            </w:r>
            <w:r>
              <w:rPr>
                <w:rFonts w:ascii="仿宋_GB2312" w:hAnsi="仿宋_GB2312" w:cs="仿宋_GB2312" w:eastAsia="仿宋_GB2312"/>
                <w:sz w:val="18"/>
              </w:rPr>
              <w:t>30天内不改正或整改后仍不符合合同约定的，甲方有权解除合同、不支付乙方任何款项并追究乙方的违约责任，乙方应当退还甲方已支付的款项（如有），未支付的款项甲方不再支付。</w:t>
            </w:r>
          </w:p>
          <w:p>
            <w:pPr>
              <w:pStyle w:val="null3"/>
              <w:jc w:val="left"/>
            </w:pPr>
            <w:r>
              <w:rPr>
                <w:rFonts w:ascii="仿宋_GB2312" w:hAnsi="仿宋_GB2312" w:cs="仿宋_GB2312" w:eastAsia="仿宋_GB2312"/>
                <w:sz w:val="18"/>
              </w:rPr>
              <w:t>2.8因乙方的原因（包括但不限于乙方拒绝交付货物、货物验收不合格等）致合同解除的，乙方应当退还甲方已支付的款项（如有），未支付的款项甲方不再支付，乙方还应当按合同金额的20%向甲方支付违约金。</w:t>
            </w:r>
          </w:p>
          <w:p>
            <w:pPr>
              <w:pStyle w:val="null3"/>
              <w:jc w:val="left"/>
            </w:pPr>
            <w:r>
              <w:rPr>
                <w:rFonts w:ascii="仿宋_GB2312" w:hAnsi="仿宋_GB2312" w:cs="仿宋_GB2312" w:eastAsia="仿宋_GB2312"/>
                <w:sz w:val="18"/>
              </w:rPr>
              <w:t>2.9乙方违约除按上述约定承担违约责任外，还应另行赔偿由此给甲方造成的全部损失（包括但不限于重新采购/购买的费用、重新采购/购买货物（含维保）的差价、因货物未能到位期间给甲方造成的运营损失及其他损失、甲方因乙方违约向第三方承担的违约金及赔偿金、诉讼费、保全费、律师费、鉴定费、差旅费等）。</w:t>
            </w:r>
          </w:p>
          <w:p>
            <w:pPr>
              <w:pStyle w:val="null3"/>
              <w:jc w:val="left"/>
            </w:pPr>
            <w:r>
              <w:rPr>
                <w:rFonts w:ascii="仿宋_GB2312" w:hAnsi="仿宋_GB2312" w:cs="仿宋_GB2312" w:eastAsia="仿宋_GB2312"/>
                <w:sz w:val="18"/>
              </w:rPr>
              <w:t>2.10乙方根据本合同约定应承担违约金和赔偿金，乙方拒绝支付的，甲方有权从应付款中扣除相应金额，乙方对此无异议。</w:t>
            </w:r>
          </w:p>
          <w:p>
            <w:pPr>
              <w:pStyle w:val="null3"/>
              <w:jc w:val="left"/>
            </w:pPr>
            <w:r>
              <w:rPr>
                <w:rFonts w:ascii="仿宋_GB2312" w:hAnsi="仿宋_GB2312" w:cs="仿宋_GB2312" w:eastAsia="仿宋_GB2312"/>
                <w:sz w:val="18"/>
              </w:rPr>
              <w:t>2.11合同解除的，货物由乙方自行处置并承担相关费用，甲方不负责保管、拆除、送返等。</w:t>
            </w:r>
          </w:p>
          <w:p>
            <w:pPr>
              <w:pStyle w:val="null3"/>
              <w:jc w:val="left"/>
            </w:pPr>
            <w:r>
              <w:rPr>
                <w:rFonts w:ascii="仿宋_GB2312" w:hAnsi="仿宋_GB2312" w:cs="仿宋_GB2312" w:eastAsia="仿宋_GB2312"/>
                <w:sz w:val="18"/>
                <w:b/>
              </w:rPr>
              <w:t>3.其他违约责任</w:t>
            </w:r>
          </w:p>
          <w:p>
            <w:pPr>
              <w:pStyle w:val="null3"/>
              <w:jc w:val="left"/>
            </w:pPr>
            <w:r>
              <w:rPr>
                <w:rFonts w:ascii="仿宋_GB2312" w:hAnsi="仿宋_GB2312" w:cs="仿宋_GB2312" w:eastAsia="仿宋_GB2312"/>
                <w:sz w:val="18"/>
              </w:rPr>
              <w:t>除本</w:t>
            </w:r>
            <w:r>
              <w:rPr>
                <w:rFonts w:ascii="仿宋_GB2312" w:hAnsi="仿宋_GB2312" w:cs="仿宋_GB2312" w:eastAsia="仿宋_GB2312"/>
                <w:sz w:val="18"/>
              </w:rPr>
              <w:t>项目</w:t>
            </w:r>
            <w:r>
              <w:rPr>
                <w:rFonts w:ascii="仿宋_GB2312" w:hAnsi="仿宋_GB2312" w:cs="仿宋_GB2312" w:eastAsia="仿宋_GB2312"/>
                <w:sz w:val="18"/>
              </w:rPr>
              <w:t>协议另有约定外，一方擅自解除本</w:t>
            </w:r>
            <w:r>
              <w:rPr>
                <w:rFonts w:ascii="仿宋_GB2312" w:hAnsi="仿宋_GB2312" w:cs="仿宋_GB2312" w:eastAsia="仿宋_GB2312"/>
                <w:sz w:val="18"/>
              </w:rPr>
              <w:t>项目</w:t>
            </w:r>
            <w:r>
              <w:rPr>
                <w:rFonts w:ascii="仿宋_GB2312" w:hAnsi="仿宋_GB2312" w:cs="仿宋_GB2312" w:eastAsia="仿宋_GB2312"/>
                <w:sz w:val="18"/>
              </w:rPr>
              <w:t>协议的，应当赔偿守约方损失，并支付违约金，违约金按照合同价格的</w:t>
            </w:r>
            <w:r>
              <w:rPr>
                <w:rFonts w:ascii="仿宋_GB2312" w:hAnsi="仿宋_GB2312" w:cs="仿宋_GB2312" w:eastAsia="仿宋_GB2312"/>
                <w:sz w:val="18"/>
              </w:rPr>
              <w:t>10%计算。</w:t>
            </w:r>
          </w:p>
          <w:p>
            <w:pPr>
              <w:pStyle w:val="null3"/>
              <w:jc w:val="left"/>
            </w:pPr>
            <w:r>
              <w:rPr>
                <w:rFonts w:ascii="仿宋_GB2312" w:hAnsi="仿宋_GB2312" w:cs="仿宋_GB2312" w:eastAsia="仿宋_GB2312"/>
                <w:sz w:val="18"/>
                <w:b/>
              </w:rPr>
              <w:t>4.争议解决方法：</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.1争议的解决</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1.1招标文件、投标文件、承诺约定、本合同的附件、补充协议、会议纪要等是构成本合同不可分割的部分，与本合同具有同等法律效力，如以上各文件相互有冲突或有内容不一致的地方，或上述文件中表述出现歧义致甲乙双方的理解不同的，应以有利于甲方解释为准。</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.1.2招标文件、投标文件、承诺约定、本合同的附件及本合同等如有中、英文两种版本应以中文版本为准且应做有利于甲方解释。</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.1.3未尽事宜，双方另行协商解决，并签订补充协议。</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.2法律管辖及诉讼</w:t>
            </w:r>
          </w:p>
          <w:p>
            <w:pPr>
              <w:pStyle w:val="null3"/>
              <w:jc w:val="left"/>
            </w:pPr>
            <w:r>
              <w:rPr>
                <w:rFonts w:ascii="仿宋_GB2312" w:hAnsi="仿宋_GB2312" w:cs="仿宋_GB2312" w:eastAsia="仿宋_GB2312"/>
                <w:sz w:val="18"/>
              </w:rPr>
              <w:t>甲乙双方之合同受中华人民共和国法律之管辖并依其进行解释。如有争议，在双方友好交涉无法解决时，根据中国法律在中国境内（甲方所在地）进行起诉。</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.3如甲乙双方有争议的事项不影响合同其他部分的履行，在争议解决期间，合同其他部分应当继续履行。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中标人按采购人实际需求进行交货，每批次货物需在收到采购人通知之日起30日内交货安装，单次交货数量需按采购人要求执行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四川省肿瘤医院指定地点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付款前提，货到验收合格后，采购人应在收到中标人提交的付款申请、发票（发票金额为到货货物的总金额）之日起，达到付款条件起10个工作日内，支付合同总金额的100.0%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【因系统固化原因，招标文件第二章“2.6.6.履约验收方案”中内容与此处不一致的，以此处要求为准】 一、验收组织方式： 采购包1： 自行验收 二、是否邀请本项目的其他供应商： 采购包1： 否 三、是否邀请专家： 采购包1： 否 四、是否邀请服务对象： 采购包1： 否 五、是否邀请第三方检测机构： 采购包1： 否 六、履约验收程序： 采购包1： 一次性验收 七、履约验收时间： 采购包1： 1、 验收条件说明： 供应商提出验收申请 ，达到验收条件起 30 日内，验收合同总金额的 100%； 八、验收组织的其他事项： 采购包1： 无 九、技术履约验收内容： 采购包1： 按照本项目招标文件要求及中标人投标文件进行验收 十、商务履约验收内容： 采购包1： 按照本项目招标文件要求及中标人投标文件进行验收 十一、履约验收标准： 采购包1： 1.中标人交付的货物应当符合下列约定： （1）验收依据：招标文件、投标文件、承诺约定、合同及附件。 （2）货物配置齐全，中标人保证完全按时提供货物的硬件、软件和技术资料等。质量符合中国法律法规规定的标准，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中标人承担。采购人和供应商双方如对质量要求和技术指标的约定标准有相互抵触或异议的事项，由采购人在招标与投标（响应）文件中按质量要求和技术指标比较优胜的原则确定该项的约定标准进行验收。如货物经中标人一次维修或更换仍不能达到合同约定的质量标准，采购人有权退货，并视作中标人不能交付货物而须支付违约赔偿金给采购人，采购人还可依法追究中标人的违约责任。 技术资料齐全（中文版本或中外文对照），中标人应当在采购人验收时将所提供货物的装箱清单、配件、随机工具、用户使用手册、原厂保修卡等资料交付给采购人。进口设备需提供商检证明及按照现行法律规定需要提供的其他证明。中标人不能完整交付本款规定的资料的，必须负责补齐，否则视为未按合同约定交货。如包装有损坏、产品有质量缺陷、配置短缺、规格型号不符、数量不符、资料不全等或不符合上述标准的，由中标人在7日内给予更换、补齐，并承担由此产生的全部费用，且交货时间不顺延。若更换后仍不符合要求，采购人有权退货并要求中标人承担合同总额30%的惩罚性违约金。 2.验收方式 （1）由采购人编写验收资料[含配置验收、主要性能和质量验收、质量检测（涉及到需要计量检测的设备提供检测合格报告）及防护验收（如适用）、培训验收等]，自中标人书面提出验收申请之日起30日内组织相关部门与中标人共同验收，达到所有标准后，甲乙双方签字认可后开始计算质保期。 （2）验收时如发现所交付的货物有短缺、次品、损坏或其它不符合标准及本合同规定之情形者，采购人应做出详尽的现场记录（验收报告）或由甲乙双方签署备忘录，此现场记录或备忘录可用作补充、缺失和更换损坏部件的有效证据，中标人应按照采购人要求整改，及时修理、重整或更换，由此产生的时间延误与有关费用由中标人承担，验收期限相应顺延，但交货时间不顺延。 3.若中标人出现下列情形之一，即为验收不合格： （1）逾期30日未予整改； （2）整改后仍不符合招标（采购）文件、投标（响应）文件、承诺函、合同及其附件、补充协议或备忘录（如有）所定标准； （3）无正当理由拒不申请验收、拒不参与验收、拒不配合验收； （4）拒绝签署记载验收情况的文件； 中标人出现上述情况的，采购人有权单方解除本合同，中标人应当按照采购人要求期限退还已支付费用，剩余价款不再支付，且中标人须自收到解除通知之日起10日内拆除、运离全部设备，将安装场地恢复原状，并承担上述费用。逾期未履行的，采购人可自行处置设备及场地（含破坏性拆除），由此产生的全部费用均由中标人承担，自合同解除通知送达中标人之日起采购人不承担对中标人设备任何保管责任或其他法律责任。 十二、履约验收其他事项： 采购包1： 无</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1.保修期 质保期限：自验收报告双方签字之日起原厂整机全套货物质保期为（5）年，供应商提供承诺函承诺满足。同时供应商还必须在承诺函中明确：在签订合同前，提供设备生产厂家签署的满足原厂整机全套货物质保期为（5）年的设备质保期承诺函。 质保期内，中标人工程师每年不少于4次巡回保养服务。 2.质量保修范围 2.1硬件在质保期内，如果出现三次以上因质量引起的故障，中标人负责更换同类新硬件。中标人应按生产厂家的质保规定和投标（响应）文件说明服务承诺做好质保等服务，质保期内维修、零部件、易损件及工时费等已含在总价内。软件如发生三次（含三次）以上缺陷问题，影响仪器、设备的正常运转，中标人必须更换性能更好、稳定性更高的软件。终身开放所有网络接口并永久提供安装密码、使用密码和维修密码给采购人。采购人任何时候开放软件及端口，中标人协助无缝连接，上述所有费用均包含在中标人报价内，采购人不再额外支付。 2.2质保期后，中标人终身上门服务。 2.3维修时间和时限：中标人接到采购人通知后2小时内，作出反应，如4小时内无法电话解决问题，8小时内中标人工程师到达采购人现场进行维修与更换零部件，维修期间，根据采购人需求，中标人应向采购人提供替用设备。解决时间：不更换零部件自采购人通知之时起24小时内解决；更换非大型部件48小时内解决；更换大型部件10日内解决。以上所有时间均含节假日。 2.4易耗品与零配件供应及价格：中标人终身提供设备的易耗品与零配件，其易耗品与零配件价格以中标人投标响应为准。 2.5开机率：在质保期内，年开机率≥95％，开机天数每少一天，质保期增加10天。 2.6质保期后如采购人购买维保服务的，年维保费用（全保）不超过设备总价的5%，维保的内容和要求与质保期一致。中标人拒绝按前述约定与采购人签订维保合同的，采购人有权委托第三方进行维保，采购人支付给第三方的维保费超过前述约定价格的部分由中标人承担，造成采购人其他损失的，中标人还应当赔偿。如第三方无法提供维保服务，中标人又拒绝按前述约定与采购人签订维保合同的，采购人有权解除本合同，不支付剩余款项（如有），中标人应当向采购人支付本合同金额20%的违约金，并返还合同金额50%的款项，造成采购人其他损失的，中标人还应当赔偿。 2.7中标人应当在货物（仪器设备）的正常使用年限内保证零配件、专用耗材的供应，中标人违反本条约定的，采购人有权解除合同，不支付剩余款项(如有)。并视违约情况，采购人有权要求中标人向采购人支付本合同金额20%的违约金，并返还合同金额20-50 %的款项，造成采购人其他损失的【包括但不限于购买、安装替代货物与本合同货物的价差、重新招标（比选）的费用、更换货物导致的采购人的运营损失及第三方的损失等】，中标人还应当赔偿。</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因字数限制，此处内容详见3.3.1服务内容要求</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【因系统固化原因，此处内容仅作告知说明，供应商无需单独应答，按要求制作投标文件内容即可】 1、未载明或者载明的标的名称、数量、计量单位及其他政府采购合同实质性内容与采购文件要求不一致，且采购单位无法接受的，属于无效响应。 2、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实际情况提供以下五项证明材料中任意一项均可，并进行电子签章）①可提供2024年度或2025年度经审计的财务报告扫描件（包含审计报告和审计报告中所涉及的财务报表和报表附注）并进行电子签章，②也可提供投标人内部的2024或2025年度财务报表扫描件（至少包含资产负债表）并进行电子签章，③也可提供截至投标文件递交截止日一年内银行出具的资信证明（扫描件）并进行电子签章，④投标人注册时间截至投标文件递交截止日不足一年的，也可提供加盖工商备案主管部门印章的公司章程扫描件并进行电子签章⑤也可提供承诺函，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投标人认为应提交的相关资格证明材料,投标（响应）函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医疗器械经营许可/备案</w:t>
            </w:r>
          </w:p>
        </w:tc>
        <w:tc>
          <w:tcPr>
            <w:tcW w:type="dxa" w:w="3322"/>
          </w:tcPr>
          <w:p>
            <w:pPr>
              <w:pStyle w:val="null3"/>
              <w:jc w:val="left"/>
            </w:pPr>
            <w:r>
              <w:rPr>
                <w:rFonts w:ascii="仿宋_GB2312" w:hAnsi="仿宋_GB2312" w:cs="仿宋_GB2312" w:eastAsia="仿宋_GB2312"/>
              </w:rPr>
              <w:t>采购产品为医疗器械，投标人须符合《医疗器械监督管理条例》等政策法规要求并具有医疗器械经营许可/备案证明材料（提供有效的证明材料扫描件）</w:t>
            </w:r>
          </w:p>
        </w:tc>
        <w:tc>
          <w:tcPr>
            <w:tcW w:type="dxa" w:w="1661"/>
          </w:tcPr>
          <w:p>
            <w:pPr>
              <w:pStyle w:val="null3"/>
              <w:jc w:val="left"/>
            </w:pPr>
            <w:r>
              <w:rPr>
                <w:rFonts w:ascii="仿宋_GB2312" w:hAnsi="仿宋_GB2312" w:cs="仿宋_GB2312" w:eastAsia="仿宋_GB2312"/>
              </w:rPr>
              <w:t>投标人认为应提交的相关资格证明材料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固化，本项序号1的“具体标准和要求”不适用本项目，内容以此为准】招标文件中明确要求单独提供承诺函的，投标人按照招标文件要求上传承诺函；无明确要求的，只需投标人按照投标（响应）函中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投标人认为需要提供的其他证明材料,技术、服务要求应答表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投标人认为需要提供的其他证明材料,技术、服务要求应答表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投标人认为需要提供的其他证明材料,报价明细表,技术、服务要求应答表,报价表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技术指标和配置完全符合采购文件第三章3.2技术要求没有负偏离得60分。 1、供应商针对采购文件第三章3.2技术要求中的一般技术参数条款的响应得分规则如下：（一般技术参数条款指未标注“★”和“▲”的条款） 一般技术参数条款响应得分=（供应商满足一般技术参数条款的数量÷一般技术参数条款的总数量）×15分。 2、供应商针对采购文件第三章3.2技术要求中“▲”技术参数条款的响应得分规则如下： “▲”技术参数条款响应得分=（供应商满足“▲”技术参数条款的数量÷“▲”技术参数条款的总数量）×45分。 注： ①得分保留小数点后两位小数，四舍五入。 ②参数条款以最小级别为一项。“▲”技术参数条款共3条，一般技术参数条款共10条。若每一项技术指标项均有负偏离，此处分值应扣完，得0分。 ③技术参数条款中标注“★”的条款为实质性要求。 ④标注“▲”的为本次招标项目的重要性条款，应尽量满足，1.供应商需提供①厂家彩页和公开发行的说明书②经食药监局备案的产品技术要求③检测报告扫描件④实机功能照片佐证材料，以上4点证明材料满足1点即可。（技术参数中有明确的证明材料要求的以技术参数中的要求为准），如无佐证材料的，视为“▲”负偏离。 2.采购人有权对投标人所提供全部佐证材料的真实性、完整性、一致性进行核查验证；经核查确认存在伪造、变造、冒用、与所投产品不符等情形的，一律认定为虚假响应，由此产生的一切法律责任和经济损失均由投标人自行承担。</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技术、服务要求应答表</w:t>
            </w:r>
          </w:p>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提供自2023年1月1日（含）至递交投标文件截止日止，本次所投产品的销售记录（销售方不限，以合同签订时间为准），每提供1个得1分，最多得3分。（本次所投产品或分包项中所投产品不止一个的，则按照每提供任意1个产品有1次销售记录得1分，最多得3分） 注：提供合同扫描件且每个合同扫描件至少提供一次对应的付款证明材料，未提供不得分。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后期保障</w:t>
            </w:r>
          </w:p>
        </w:tc>
        <w:tc>
          <w:tcPr>
            <w:tcW w:type="dxa" w:w="2575"/>
          </w:tcPr>
          <w:p>
            <w:pPr>
              <w:pStyle w:val="null3"/>
              <w:jc w:val="left"/>
            </w:pPr>
            <w:r>
              <w:rPr>
                <w:rFonts w:ascii="仿宋_GB2312" w:hAnsi="仿宋_GB2312" w:cs="仿宋_GB2312" w:eastAsia="仿宋_GB2312"/>
              </w:rPr>
              <w:t>保修期后的易耗品及零配件供应： 1、无收费的易耗品、零配件的供应商后期保障得分为满分4分。 2、收费易耗品、零配件供应商的该项得分按照下列公式计算： 后期保障得分=(基准价／供应商报价)×3分（保留两位小数）。 注:收费易耗品及零配件按照年用量为5000 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己全部纳入投标总价。中标后采购人在标的使用过程中所涉及的一切易耗品更换、零配件维护及其他可能产生的费用，均包含在本项目总报价范围内，投标人不得以任何理由另行收取费用。保修期结束后，中标人应继续提供易耗品及零配件，直至采购人不再使用相应标的。</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附件-《保修期后的易耗品及零配件报价清单》</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供应商提供的售后服务方案进行评分，包括①提供售后服务保障措施；②提供安装、调试及维修、维保人员配置名单；③应急预案。完全满足得3分，每缺少一项内容扣1分；每有一处内容缺陷扣0.5分，每项最多扣1分。 （内容缺陷是指存在项目名称错误、地点区域错误、内容与本项目需求无关、方案内容矛盾、仅有框架或标题、适用的标准（方法）错误、明显复制其他项目内容等任意一种情形）扣完为止。 无售后服务方案者不得分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以满足采购文件要求且价格最低的报价为基准价，其价格分为满分，其余投标人的报价得分=(基准价／供应商报价)×30分（保留两位小数）</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详见附件：附件-《保修期后的易耗品及零配件报价清单》</w:t>
      </w:r>
    </w:p>
    <w:p>
      <w:pPr>
        <w:pStyle w:val="null3"/>
        <w:ind w:firstLine="960"/>
        <w:jc w:val="left"/>
      </w:pPr>
      <w:r>
        <w:rPr>
          <w:rFonts w:ascii="仿宋_GB2312" w:hAnsi="仿宋_GB2312" w:cs="仿宋_GB2312" w:eastAsia="仿宋_GB2312"/>
        </w:rPr>
        <w:t>详见附件：技术、服务要求应答表</w:t>
      </w:r>
    </w:p>
    <w:p>
      <w:pPr>
        <w:pStyle w:val="null3"/>
        <w:ind w:firstLine="960"/>
        <w:jc w:val="left"/>
      </w:pPr>
      <w:r>
        <w:rPr>
          <w:rFonts w:ascii="仿宋_GB2312" w:hAnsi="仿宋_GB2312" w:cs="仿宋_GB2312" w:eastAsia="仿宋_GB2312"/>
        </w:rPr>
        <w:t>详见附件：投标人认为应提交的相关资格证明材料</w:t>
      </w:r>
    </w:p>
    <w:p>
      <w:pPr>
        <w:pStyle w:val="null3"/>
        <w:ind w:firstLine="960"/>
        <w:jc w:val="left"/>
      </w:pPr>
      <w:r>
        <w:rPr>
          <w:rFonts w:ascii="仿宋_GB2312" w:hAnsi="仿宋_GB2312" w:cs="仿宋_GB2312" w:eastAsia="仿宋_GB2312"/>
        </w:rPr>
        <w:t>详见附件：投标人认为需要提供的其他证明材料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详见附件：合同系统下载2026年医学装备类政采合同模板（货物类无耗材）.docx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