
<file path=[Content_Types].xml><?xml version="1.0" encoding="utf-8"?>
<Types xmlns="http://schemas.openxmlformats.org/package/2006/content-types">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fontTable.xml" ContentType="application/vnd.openxmlformats-officedocument.wordprocessingml.fontTable+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ody>
    <w:p>
      <w:pPr>
        <w:tabs>
          <w:tab w:val="left" w:pos="6480"/>
        </w:tabs>
        <w:spacing w:before="156" w:beforeLines="50" w:after="156" w:afterLines="50" w:line="400" w:lineRule="exact"/>
        <w:ind w:right="26" w:rightChars="11"/>
        <w:jc w:val="center"/>
        <w:outlineLvl w:val="0"/>
        <w:rPr>
          <w:rFonts w:ascii="仿宋" w:hAnsi="仿宋" w:eastAsia="仿宋" w:cs="仿宋"/>
          <w:b/>
          <w:szCs w:val="21"/>
          <w:highlight w:val="none"/>
        </w:rPr>
      </w:pPr>
      <w:r>
        <w:rPr>
          <w:rFonts w:hint="eastAsia" w:ascii="仿宋" w:hAnsi="仿宋" w:eastAsia="仿宋" w:cs="仿宋"/>
          <w:b/>
          <w:sz w:val="36"/>
          <w:szCs w:val="36"/>
          <w:highlight w:val="none"/>
        </w:rPr>
        <w:t>招 标 公 告</w:t>
      </w:r>
    </w:p>
    <w:p>
      <w:pPr>
        <w:pBdr>
          <w:top w:val="single" w:color="auto" w:sz="4" w:space="1"/>
          <w:left w:val="single" w:color="auto" w:sz="4" w:space="4"/>
          <w:bottom w:val="single" w:color="auto" w:sz="4" w:space="1"/>
          <w:right w:val="single" w:color="auto" w:sz="4" w:space="4"/>
        </w:pBdr>
        <w:spacing w:line="460" w:lineRule="exact"/>
        <w:ind w:firstLine="480" w:firstLineChars="200"/>
        <w:rPr>
          <w:rFonts w:ascii="仿宋" w:hAnsi="仿宋" w:eastAsia="仿宋" w:cs="仿宋"/>
          <w:bCs/>
          <w:highlight w:val="none"/>
        </w:rPr>
      </w:pPr>
      <w:bookmarkStart w:id="0" w:name="_Toc73290875"/>
      <w:r>
        <w:rPr>
          <w:rFonts w:hint="eastAsia" w:ascii="仿宋" w:hAnsi="仿宋" w:eastAsia="仿宋" w:cs="仿宋"/>
          <w:highlight w:val="none"/>
          <w:u w:val="single"/>
        </w:rPr>
        <w:t xml:space="preserve"> 陇川县“互联网+成品油管理云平台”建设项目</w:t>
      </w:r>
      <w:r>
        <w:rPr>
          <w:rFonts w:hint="eastAsia" w:ascii="仿宋" w:hAnsi="仿宋" w:eastAsia="仿宋" w:cs="仿宋"/>
          <w:highlight w:val="none"/>
        </w:rPr>
        <w:t>的潜在投标人应在政采云平台（https://www.zcygov.cn/）获取招标文件，并于</w:t>
      </w:r>
      <w:r>
        <w:rPr>
          <w:rFonts w:hint="eastAsia" w:ascii="仿宋" w:hAnsi="仿宋" w:eastAsia="仿宋" w:cs="仿宋"/>
          <w:highlight w:val="none"/>
          <w:u w:val="single"/>
        </w:rPr>
        <w:t xml:space="preserve"> 2024</w:t>
      </w:r>
      <w:r>
        <w:rPr>
          <w:rFonts w:hint="eastAsia" w:ascii="仿宋" w:hAnsi="仿宋" w:eastAsia="仿宋" w:cs="仿宋"/>
          <w:bCs/>
          <w:highlight w:val="none"/>
          <w:u w:val="single"/>
        </w:rPr>
        <w:t>年</w:t>
      </w:r>
      <w:r>
        <w:rPr>
          <w:rFonts w:hint="eastAsia" w:ascii="仿宋" w:hAnsi="仿宋" w:eastAsia="仿宋" w:cs="仿宋"/>
          <w:bCs/>
          <w:highlight w:val="none"/>
          <w:u w:val="single"/>
          <w:lang w:val="en-US" w:eastAsia="zh-CN"/>
        </w:rPr>
        <w:t>9</w:t>
      </w:r>
      <w:r>
        <w:rPr>
          <w:rFonts w:hint="eastAsia" w:ascii="仿宋" w:hAnsi="仿宋" w:eastAsia="仿宋" w:cs="仿宋"/>
          <w:bCs/>
          <w:highlight w:val="none"/>
          <w:u w:val="single"/>
        </w:rPr>
        <w:t xml:space="preserve">月 </w:t>
      </w:r>
      <w:r>
        <w:rPr>
          <w:rFonts w:hint="eastAsia" w:ascii="仿宋" w:hAnsi="仿宋" w:eastAsia="仿宋" w:cs="仿宋"/>
          <w:bCs/>
          <w:highlight w:val="none"/>
          <w:u w:val="single"/>
          <w:lang w:val="en-US" w:eastAsia="zh-CN"/>
        </w:rPr>
        <w:t>3</w:t>
      </w:r>
      <w:r>
        <w:rPr>
          <w:rFonts w:hint="eastAsia" w:ascii="仿宋" w:hAnsi="仿宋" w:eastAsia="仿宋" w:cs="仿宋"/>
          <w:bCs/>
          <w:highlight w:val="none"/>
          <w:u w:val="single"/>
        </w:rPr>
        <w:t xml:space="preserve"> 日9点00分（</w:t>
      </w:r>
      <w:r>
        <w:rPr>
          <w:rFonts w:hint="eastAsia" w:ascii="仿宋" w:hAnsi="仿宋" w:eastAsia="仿宋" w:cs="仿宋"/>
          <w:bCs/>
          <w:highlight w:val="none"/>
        </w:rPr>
        <w:t>北京时间）前递交投标文件</w:t>
      </w:r>
      <w:r>
        <w:rPr>
          <w:rFonts w:hint="eastAsia" w:ascii="仿宋" w:hAnsi="仿宋" w:eastAsia="仿宋" w:cs="仿宋"/>
          <w:highlight w:val="none"/>
        </w:rPr>
        <w:t>。</w:t>
      </w:r>
    </w:p>
    <w:p>
      <w:pPr>
        <w:pStyle w:val="4"/>
        <w:spacing w:before="312" w:beforeLines="100" w:after="0"/>
        <w:rPr>
          <w:rFonts w:hint="default" w:ascii="仿宋" w:hAnsi="仿宋" w:eastAsia="仿宋" w:cs="仿宋"/>
          <w:sz w:val="24"/>
          <w:szCs w:val="24"/>
          <w:highlight w:val="none"/>
        </w:rPr>
      </w:pPr>
      <w:r>
        <w:rPr>
          <w:rFonts w:ascii="仿宋" w:hAnsi="仿宋" w:eastAsia="仿宋" w:cs="仿宋"/>
          <w:sz w:val="24"/>
          <w:szCs w:val="24"/>
          <w:highlight w:val="none"/>
        </w:rPr>
        <w:t>一、项目基本情况</w:t>
      </w:r>
      <w:bookmarkEnd w:id="0"/>
    </w:p>
    <w:p>
      <w:pPr>
        <w:pStyle w:val="2"/>
        <w:spacing w:line="480" w:lineRule="auto"/>
        <w:ind w:firstLine="482" w:firstLineChars="200"/>
        <w:rPr>
          <w:rFonts w:ascii="仿宋" w:hAnsi="仿宋" w:eastAsia="仿宋" w:cs="仿宋"/>
          <w:highlight w:val="none"/>
        </w:rPr>
      </w:pPr>
      <w:bookmarkStart w:id="1" w:name="_Toc7442"/>
      <w:bookmarkStart w:id="2" w:name="_Toc68712824"/>
      <w:bookmarkStart w:id="3" w:name="_Toc1342"/>
      <w:bookmarkStart w:id="4" w:name="_Toc27223520"/>
      <w:bookmarkStart w:id="5" w:name="_Toc246238640"/>
      <w:bookmarkStart w:id="6" w:name="_Toc254656444"/>
      <w:bookmarkStart w:id="7" w:name="_Toc184635054"/>
      <w:bookmarkStart w:id="8" w:name="_Toc27236553"/>
      <w:bookmarkStart w:id="9" w:name="_Toc30077"/>
      <w:bookmarkStart w:id="10" w:name="_Toc7048"/>
      <w:bookmarkStart w:id="11" w:name="_Toc22979"/>
      <w:r>
        <w:rPr>
          <w:rFonts w:hint="eastAsia" w:ascii="仿宋" w:hAnsi="仿宋" w:eastAsia="仿宋" w:cs="仿宋"/>
          <w:b/>
          <w:bCs/>
          <w:highlight w:val="none"/>
        </w:rPr>
        <w:t>1.项目编号</w:t>
      </w:r>
      <w:r>
        <w:rPr>
          <w:rFonts w:hint="eastAsia" w:ascii="仿宋" w:hAnsi="仿宋" w:eastAsia="仿宋" w:cs="仿宋"/>
          <w:highlight w:val="none"/>
        </w:rPr>
        <w:t>：DHZC2024-G3-00462-DHYH-0030</w:t>
      </w:r>
    </w:p>
    <w:p>
      <w:pPr>
        <w:pStyle w:val="2"/>
        <w:spacing w:line="480" w:lineRule="auto"/>
        <w:ind w:firstLine="482" w:firstLineChars="200"/>
        <w:rPr>
          <w:rFonts w:ascii="仿宋" w:hAnsi="仿宋" w:eastAsia="仿宋" w:cs="仿宋"/>
          <w:highlight w:val="none"/>
        </w:rPr>
      </w:pPr>
      <w:r>
        <w:rPr>
          <w:rFonts w:hint="eastAsia" w:ascii="仿宋" w:hAnsi="仿宋" w:eastAsia="仿宋" w:cs="仿宋"/>
          <w:b/>
          <w:bCs/>
          <w:highlight w:val="none"/>
        </w:rPr>
        <w:t>2.项目名称</w:t>
      </w:r>
      <w:r>
        <w:rPr>
          <w:rFonts w:hint="eastAsia" w:ascii="仿宋" w:hAnsi="仿宋" w:eastAsia="仿宋" w:cs="仿宋"/>
          <w:highlight w:val="none"/>
        </w:rPr>
        <w:t>：陇川县“互联网+成品油管理云平台”建设项目；</w:t>
      </w:r>
    </w:p>
    <w:p>
      <w:pPr>
        <w:pStyle w:val="2"/>
        <w:spacing w:line="480" w:lineRule="auto"/>
        <w:ind w:firstLine="482" w:firstLineChars="200"/>
        <w:rPr>
          <w:rFonts w:ascii="仿宋" w:hAnsi="仿宋" w:eastAsia="仿宋" w:cs="仿宋"/>
          <w:highlight w:val="none"/>
        </w:rPr>
      </w:pPr>
      <w:r>
        <w:rPr>
          <w:rFonts w:hint="eastAsia" w:ascii="仿宋" w:hAnsi="仿宋" w:eastAsia="仿宋" w:cs="仿宋"/>
          <w:b/>
          <w:bCs/>
          <w:highlight w:val="none"/>
        </w:rPr>
        <w:t>3.采购预算</w:t>
      </w:r>
      <w:r>
        <w:rPr>
          <w:rFonts w:hint="eastAsia" w:ascii="仿宋" w:hAnsi="仿宋" w:eastAsia="仿宋" w:cs="仿宋"/>
          <w:highlight w:val="none"/>
        </w:rPr>
        <w:t>：150万元（三年）；</w:t>
      </w:r>
    </w:p>
    <w:p>
      <w:pPr>
        <w:rPr>
          <w:rFonts w:ascii="仿宋" w:hAnsi="仿宋" w:eastAsia="仿宋" w:cs="仿宋"/>
          <w:highlight w:val="none"/>
        </w:rPr>
      </w:pPr>
      <w:r>
        <w:rPr>
          <w:rFonts w:hint="eastAsia" w:ascii="仿宋" w:hAnsi="仿宋" w:eastAsia="仿宋" w:cs="仿宋"/>
          <w:highlight w:val="none"/>
        </w:rPr>
        <w:t xml:space="preserve">  </w:t>
      </w:r>
      <w:r>
        <w:rPr>
          <w:rFonts w:hint="eastAsia" w:ascii="仿宋" w:hAnsi="仿宋" w:eastAsia="仿宋" w:cs="仿宋"/>
          <w:b/>
          <w:bCs/>
          <w:highlight w:val="none"/>
        </w:rPr>
        <w:t xml:space="preserve">  4.最高限价：</w:t>
      </w:r>
      <w:r>
        <w:rPr>
          <w:rFonts w:hint="eastAsia" w:ascii="仿宋" w:hAnsi="仿宋" w:eastAsia="仿宋" w:cs="仿宋"/>
          <w:highlight w:val="none"/>
        </w:rPr>
        <w:t>150万元（三年）；</w:t>
      </w:r>
    </w:p>
    <w:p>
      <w:pPr>
        <w:spacing w:line="500" w:lineRule="exact"/>
        <w:ind w:firstLine="482" w:firstLineChars="200"/>
        <w:rPr>
          <w:rFonts w:ascii="仿宋" w:hAnsi="仿宋" w:eastAsia="仿宋" w:cs="仿宋"/>
          <w:highlight w:val="none"/>
        </w:rPr>
      </w:pPr>
      <w:r>
        <w:rPr>
          <w:rFonts w:hint="eastAsia" w:ascii="仿宋" w:hAnsi="仿宋" w:eastAsia="仿宋" w:cs="仿宋"/>
          <w:b/>
          <w:bCs/>
          <w:highlight w:val="none"/>
        </w:rPr>
        <w:t>5.采购内容</w:t>
      </w:r>
      <w:r>
        <w:rPr>
          <w:rFonts w:hint="eastAsia" w:ascii="仿宋" w:hAnsi="仿宋" w:eastAsia="仿宋" w:cs="仿宋"/>
          <w:highlight w:val="none"/>
        </w:rPr>
        <w:t>：由第三方服务机构在全县民营加油站对油罐液位仪及加油机进行数据采集服务，并由第三方服务机构搭建实时数据监控“云平台”，将数据实时传输到云平台，实现对民营加油站成品油“进、销、存”全环节闭环式管理，各成员单位凭账号密码登录查询相关企业数据，根据部门承担的职责，开展相应工作。具体内容详见第六章采购需求。</w:t>
      </w:r>
    </w:p>
    <w:p>
      <w:pPr>
        <w:pStyle w:val="2"/>
        <w:spacing w:line="480" w:lineRule="auto"/>
        <w:ind w:firstLine="482" w:firstLineChars="200"/>
        <w:rPr>
          <w:rFonts w:ascii="仿宋" w:hAnsi="仿宋" w:eastAsia="仿宋" w:cs="仿宋"/>
          <w:highlight w:val="none"/>
        </w:rPr>
      </w:pPr>
      <w:r>
        <w:rPr>
          <w:rFonts w:hint="eastAsia" w:ascii="仿宋" w:hAnsi="仿宋" w:eastAsia="仿宋" w:cs="仿宋"/>
          <w:b/>
          <w:bCs/>
          <w:highlight w:val="none"/>
        </w:rPr>
        <w:t>6.合同履行期限</w:t>
      </w:r>
      <w:r>
        <w:rPr>
          <w:rFonts w:hint="eastAsia" w:ascii="仿宋" w:hAnsi="仿宋" w:eastAsia="仿宋" w:cs="仿宋"/>
          <w:highlight w:val="none"/>
        </w:rPr>
        <w:t>：服务期限三年，合同一年一签，建设周期60日历天。</w:t>
      </w:r>
    </w:p>
    <w:p>
      <w:pPr>
        <w:pStyle w:val="2"/>
        <w:spacing w:line="480" w:lineRule="auto"/>
        <w:ind w:firstLine="482" w:firstLineChars="200"/>
        <w:rPr>
          <w:rFonts w:ascii="仿宋" w:hAnsi="仿宋" w:eastAsia="仿宋" w:cs="仿宋"/>
          <w:highlight w:val="none"/>
        </w:rPr>
      </w:pPr>
      <w:r>
        <w:rPr>
          <w:rFonts w:hint="eastAsia" w:ascii="仿宋" w:hAnsi="仿宋" w:eastAsia="仿宋" w:cs="仿宋"/>
          <w:b/>
          <w:bCs/>
          <w:highlight w:val="none"/>
        </w:rPr>
        <w:t>7.实施地点</w:t>
      </w:r>
      <w:r>
        <w:rPr>
          <w:rFonts w:hint="eastAsia" w:ascii="仿宋" w:hAnsi="仿宋" w:eastAsia="仿宋" w:cs="仿宋"/>
          <w:highlight w:val="none"/>
        </w:rPr>
        <w:t>：陇川县行政辖区内。</w:t>
      </w:r>
    </w:p>
    <w:p>
      <w:pPr>
        <w:pStyle w:val="2"/>
        <w:spacing w:line="480" w:lineRule="auto"/>
        <w:ind w:firstLine="482" w:firstLineChars="200"/>
        <w:rPr>
          <w:rFonts w:ascii="仿宋" w:hAnsi="仿宋" w:eastAsia="仿宋" w:cs="仿宋"/>
          <w:highlight w:val="none"/>
        </w:rPr>
      </w:pPr>
      <w:r>
        <w:rPr>
          <w:rFonts w:hint="eastAsia" w:ascii="仿宋" w:hAnsi="仿宋" w:eastAsia="仿宋" w:cs="仿宋"/>
          <w:b/>
          <w:bCs/>
          <w:highlight w:val="none"/>
        </w:rPr>
        <w:t>8.本项目不接受联合体投标</w:t>
      </w:r>
      <w:r>
        <w:rPr>
          <w:rFonts w:hint="eastAsia" w:ascii="仿宋" w:hAnsi="仿宋" w:eastAsia="仿宋" w:cs="仿宋"/>
          <w:highlight w:val="none"/>
        </w:rPr>
        <w:t>。</w:t>
      </w:r>
    </w:p>
    <w:bookmarkEnd w:id="1"/>
    <w:bookmarkEnd w:id="2"/>
    <w:bookmarkEnd w:id="3"/>
    <w:bookmarkEnd w:id="4"/>
    <w:bookmarkEnd w:id="5"/>
    <w:bookmarkEnd w:id="6"/>
    <w:bookmarkEnd w:id="7"/>
    <w:bookmarkEnd w:id="8"/>
    <w:bookmarkEnd w:id="9"/>
    <w:bookmarkEnd w:id="10"/>
    <w:bookmarkEnd w:id="11"/>
    <w:p>
      <w:pPr>
        <w:pStyle w:val="4"/>
        <w:spacing w:before="312" w:beforeLines="100" w:after="0"/>
        <w:rPr>
          <w:rFonts w:hint="default" w:ascii="仿宋" w:hAnsi="仿宋" w:eastAsia="仿宋" w:cs="仿宋"/>
          <w:sz w:val="24"/>
          <w:szCs w:val="24"/>
          <w:highlight w:val="none"/>
        </w:rPr>
      </w:pPr>
      <w:bookmarkStart w:id="12" w:name="_Toc73290876"/>
      <w:r>
        <w:rPr>
          <w:rFonts w:ascii="仿宋" w:hAnsi="仿宋" w:eastAsia="仿宋" w:cs="仿宋"/>
          <w:sz w:val="24"/>
          <w:szCs w:val="24"/>
          <w:highlight w:val="none"/>
        </w:rPr>
        <w:t>二、申请人的资格要求：</w:t>
      </w:r>
      <w:bookmarkEnd w:id="12"/>
    </w:p>
    <w:p>
      <w:pPr>
        <w:spacing w:line="480" w:lineRule="auto"/>
        <w:ind w:firstLine="482" w:firstLineChars="200"/>
        <w:rPr>
          <w:rFonts w:ascii="仿宋" w:hAnsi="仿宋" w:eastAsia="仿宋" w:cs="仿宋"/>
          <w:kern w:val="0"/>
          <w:highlight w:val="none"/>
        </w:rPr>
      </w:pPr>
      <w:bookmarkStart w:id="13" w:name="_Toc73290877"/>
      <w:bookmarkStart w:id="14" w:name="_Toc254656446"/>
      <w:r>
        <w:rPr>
          <w:rFonts w:hint="eastAsia" w:ascii="仿宋" w:hAnsi="仿宋" w:eastAsia="仿宋" w:cs="仿宋"/>
          <w:b/>
          <w:bCs/>
          <w:highlight w:val="none"/>
          <w:shd w:val="clear" w:color="auto" w:fill="FFFFFF"/>
        </w:rPr>
        <w:t>2.1</w:t>
      </w:r>
      <w:r>
        <w:rPr>
          <w:rFonts w:hint="eastAsia" w:ascii="仿宋" w:hAnsi="仿宋" w:eastAsia="仿宋" w:cs="仿宋"/>
          <w:b/>
          <w:bCs/>
          <w:kern w:val="0"/>
          <w:highlight w:val="none"/>
        </w:rPr>
        <w:t>投标人应符合《中华人民共和国政府采购法》第二十二条规定：</w:t>
      </w:r>
    </w:p>
    <w:p>
      <w:pPr>
        <w:spacing w:line="480" w:lineRule="auto"/>
        <w:ind w:firstLine="482" w:firstLineChars="200"/>
        <w:rPr>
          <w:rFonts w:ascii="仿宋" w:hAnsi="仿宋" w:eastAsia="仿宋" w:cs="仿宋"/>
          <w:kern w:val="0"/>
          <w:highlight w:val="none"/>
          <w:lang w:val="zh-CN"/>
        </w:rPr>
      </w:pPr>
      <w:r>
        <w:rPr>
          <w:rFonts w:hint="eastAsia" w:ascii="仿宋" w:hAnsi="仿宋" w:eastAsia="仿宋" w:cs="仿宋"/>
          <w:b/>
          <w:bCs/>
          <w:highlight w:val="none"/>
          <w:shd w:val="clear" w:color="auto" w:fill="FFFFFF"/>
        </w:rPr>
        <w:t>2.11</w:t>
      </w:r>
      <w:r>
        <w:rPr>
          <w:rFonts w:hint="eastAsia" w:ascii="仿宋" w:hAnsi="仿宋" w:eastAsia="仿宋" w:cs="仿宋"/>
          <w:b/>
          <w:bCs/>
          <w:kern w:val="0"/>
          <w:highlight w:val="none"/>
        </w:rPr>
        <w:t>营业执照</w:t>
      </w:r>
      <w:r>
        <w:rPr>
          <w:rFonts w:hint="eastAsia" w:ascii="仿宋" w:hAnsi="仿宋" w:eastAsia="仿宋" w:cs="仿宋"/>
          <w:kern w:val="0"/>
          <w:highlight w:val="none"/>
        </w:rPr>
        <w:t>：投标供应商须具备独立企业（事业）法人或其它组织或自然人, 具有有效的营业执照或其他法定凭证，若为自然人的提供自然人的身份证明。</w:t>
      </w:r>
      <w:r>
        <w:rPr>
          <w:rFonts w:hint="eastAsia" w:ascii="仿宋" w:hAnsi="仿宋" w:eastAsia="仿宋" w:cs="仿宋"/>
          <w:kern w:val="0"/>
          <w:highlight w:val="none"/>
          <w:lang w:val="zh-CN"/>
        </w:rPr>
        <w:t>；</w:t>
      </w:r>
    </w:p>
    <w:p>
      <w:pPr>
        <w:spacing w:line="480" w:lineRule="auto"/>
        <w:ind w:firstLine="482" w:firstLineChars="200"/>
        <w:rPr>
          <w:rFonts w:ascii="仿宋" w:hAnsi="仿宋" w:eastAsia="仿宋" w:cs="仿宋"/>
          <w:kern w:val="0"/>
          <w:highlight w:val="none"/>
        </w:rPr>
      </w:pPr>
      <w:r>
        <w:rPr>
          <w:rFonts w:hint="eastAsia" w:ascii="仿宋" w:hAnsi="仿宋" w:eastAsia="仿宋" w:cs="仿宋"/>
          <w:b/>
          <w:bCs/>
          <w:highlight w:val="none"/>
          <w:shd w:val="clear" w:color="auto" w:fill="FFFFFF"/>
        </w:rPr>
        <w:t>2.12</w:t>
      </w:r>
      <w:r>
        <w:rPr>
          <w:rFonts w:hint="eastAsia" w:ascii="仿宋" w:hAnsi="仿宋" w:eastAsia="仿宋" w:cs="仿宋"/>
          <w:b/>
          <w:bCs/>
          <w:kern w:val="0"/>
          <w:highlight w:val="none"/>
        </w:rPr>
        <w:t>财务状况：</w:t>
      </w:r>
      <w:r>
        <w:rPr>
          <w:rFonts w:hint="eastAsia" w:ascii="仿宋" w:hAnsi="仿宋" w:eastAsia="仿宋" w:cs="仿宋"/>
          <w:kern w:val="0"/>
          <w:highlight w:val="none"/>
        </w:rPr>
        <w:t>提供 2022年或2023年经第三方审计的财务报告 (至少包含资产负债表、利润表、现金流量表) ，未经审计的提供企业内部自行编制的财务报表，企业成立不满1年的无需提供</w:t>
      </w:r>
      <w:r>
        <w:rPr>
          <w:rFonts w:hint="eastAsia" w:ascii="仿宋" w:hAnsi="仿宋" w:eastAsia="仿宋" w:cs="仿宋"/>
          <w:highlight w:val="none"/>
        </w:rPr>
        <w:t>；</w:t>
      </w:r>
    </w:p>
    <w:p>
      <w:pPr>
        <w:spacing w:line="480" w:lineRule="auto"/>
        <w:ind w:firstLine="482" w:firstLineChars="200"/>
        <w:rPr>
          <w:rFonts w:ascii="仿宋" w:hAnsi="仿宋" w:eastAsia="仿宋" w:cs="仿宋"/>
          <w:kern w:val="0"/>
          <w:highlight w:val="none"/>
        </w:rPr>
      </w:pPr>
      <w:r>
        <w:rPr>
          <w:rFonts w:hint="eastAsia" w:ascii="仿宋" w:hAnsi="仿宋" w:eastAsia="仿宋" w:cs="仿宋"/>
          <w:b/>
          <w:bCs/>
          <w:highlight w:val="none"/>
          <w:shd w:val="clear" w:color="auto" w:fill="FFFFFF"/>
        </w:rPr>
        <w:t>2.13</w:t>
      </w:r>
      <w:r>
        <w:rPr>
          <w:rFonts w:hint="eastAsia" w:ascii="仿宋" w:hAnsi="仿宋" w:eastAsia="仿宋" w:cs="仿宋"/>
          <w:b/>
          <w:bCs/>
          <w:kern w:val="0"/>
          <w:highlight w:val="none"/>
        </w:rPr>
        <w:t>税收要求：</w:t>
      </w:r>
      <w:r>
        <w:rPr>
          <w:rFonts w:hint="eastAsia" w:ascii="仿宋" w:hAnsi="仿宋" w:eastAsia="仿宋" w:cs="仿宋"/>
          <w:kern w:val="0"/>
          <w:highlight w:val="none"/>
        </w:rPr>
        <w:t>提供投标人缴税所属时间在2023年01月至本项目投标文件提交截止时间前任意1个月的税务局税收通用缴款书或银行电子缴税（费）凭证或税务局出具纳税情况的相关证明，依法免税的，应提供依法免税的相关证明文件，</w:t>
      </w:r>
      <w:r>
        <w:rPr>
          <w:rFonts w:hint="eastAsia" w:ascii="仿宋" w:hAnsi="仿宋" w:eastAsia="仿宋" w:cs="仿宋"/>
          <w:highlight w:val="none"/>
        </w:rPr>
        <w:t>成立未满1个月的无需提供</w:t>
      </w:r>
      <w:r>
        <w:rPr>
          <w:rFonts w:hint="eastAsia" w:ascii="仿宋" w:hAnsi="仿宋" w:eastAsia="仿宋" w:cs="仿宋"/>
          <w:kern w:val="0"/>
          <w:highlight w:val="none"/>
        </w:rPr>
        <w:t>；</w:t>
      </w:r>
    </w:p>
    <w:p>
      <w:pPr>
        <w:spacing w:line="480" w:lineRule="auto"/>
        <w:ind w:firstLine="482" w:firstLineChars="200"/>
        <w:rPr>
          <w:rFonts w:ascii="仿宋" w:hAnsi="仿宋" w:eastAsia="仿宋" w:cs="仿宋"/>
          <w:kern w:val="0"/>
          <w:highlight w:val="none"/>
        </w:rPr>
      </w:pPr>
      <w:r>
        <w:rPr>
          <w:rFonts w:hint="eastAsia" w:ascii="仿宋" w:hAnsi="仿宋" w:eastAsia="仿宋" w:cs="仿宋"/>
          <w:b/>
          <w:bCs/>
          <w:highlight w:val="none"/>
          <w:shd w:val="clear" w:color="auto" w:fill="FFFFFF"/>
        </w:rPr>
        <w:t>2.14</w:t>
      </w:r>
      <w:r>
        <w:rPr>
          <w:rFonts w:hint="eastAsia" w:ascii="仿宋" w:hAnsi="仿宋" w:eastAsia="仿宋" w:cs="仿宋"/>
          <w:b/>
          <w:bCs/>
          <w:kern w:val="0"/>
          <w:highlight w:val="none"/>
        </w:rPr>
        <w:t>社保要求：</w:t>
      </w:r>
      <w:r>
        <w:rPr>
          <w:rFonts w:hint="eastAsia" w:ascii="仿宋" w:hAnsi="仿宋" w:eastAsia="仿宋" w:cs="仿宋"/>
          <w:kern w:val="0"/>
          <w:highlight w:val="none"/>
        </w:rPr>
        <w:t>提供投标人缴费所属时间在2023年01月至本项目投标文件提交截止时间前任意1个月的社会保险费缴款书或银行电子缴税（费）凭证或社保管理部门出具的有效的缴款证明，依法免缴的，应提供依法免缴的相关证明文件，</w:t>
      </w:r>
      <w:r>
        <w:rPr>
          <w:rFonts w:hint="eastAsia" w:ascii="仿宋" w:hAnsi="仿宋" w:eastAsia="仿宋" w:cs="仿宋"/>
          <w:highlight w:val="none"/>
        </w:rPr>
        <w:t>成立未满1个月的无需提供</w:t>
      </w:r>
      <w:r>
        <w:rPr>
          <w:rFonts w:hint="eastAsia" w:ascii="仿宋" w:hAnsi="仿宋" w:eastAsia="仿宋" w:cs="仿宋"/>
          <w:kern w:val="0"/>
          <w:highlight w:val="none"/>
        </w:rPr>
        <w:t>；</w:t>
      </w:r>
    </w:p>
    <w:p>
      <w:pPr>
        <w:widowControl/>
        <w:spacing w:line="480" w:lineRule="auto"/>
        <w:ind w:firstLine="482" w:firstLineChars="200"/>
        <w:rPr>
          <w:rFonts w:ascii="仿宋" w:hAnsi="仿宋" w:eastAsia="仿宋" w:cs="仿宋"/>
          <w:kern w:val="0"/>
          <w:highlight w:val="none"/>
        </w:rPr>
      </w:pPr>
      <w:r>
        <w:rPr>
          <w:rFonts w:hint="eastAsia" w:ascii="仿宋" w:hAnsi="仿宋" w:eastAsia="仿宋" w:cs="仿宋"/>
          <w:b/>
          <w:bCs/>
          <w:highlight w:val="none"/>
          <w:shd w:val="clear" w:color="auto" w:fill="FFFFFF"/>
        </w:rPr>
        <w:t>2.15</w:t>
      </w:r>
      <w:r>
        <w:rPr>
          <w:rFonts w:hint="eastAsia" w:ascii="仿宋" w:hAnsi="仿宋" w:eastAsia="仿宋" w:cs="仿宋"/>
          <w:b/>
          <w:bCs/>
          <w:kern w:val="0"/>
          <w:highlight w:val="none"/>
        </w:rPr>
        <w:t>无重大违法记录声明：</w:t>
      </w:r>
      <w:r>
        <w:rPr>
          <w:rFonts w:hint="eastAsia" w:ascii="仿宋" w:hAnsi="仿宋" w:eastAsia="仿宋" w:cs="仿宋"/>
          <w:kern w:val="0"/>
          <w:highlight w:val="none"/>
        </w:rPr>
        <w:t>参加此次投标活动前 3 年内，在经营活动中没有重大违法记录的书面声明；</w:t>
      </w:r>
    </w:p>
    <w:p>
      <w:pPr>
        <w:spacing w:line="480" w:lineRule="auto"/>
        <w:ind w:firstLine="482" w:firstLineChars="200"/>
        <w:rPr>
          <w:rFonts w:ascii="仿宋" w:hAnsi="仿宋" w:eastAsia="仿宋" w:cs="仿宋"/>
          <w:b/>
          <w:bCs/>
          <w:kern w:val="0"/>
          <w:highlight w:val="none"/>
        </w:rPr>
      </w:pPr>
      <w:r>
        <w:rPr>
          <w:rFonts w:hint="eastAsia" w:ascii="仿宋" w:hAnsi="仿宋" w:eastAsia="仿宋" w:cs="仿宋"/>
          <w:b/>
          <w:bCs/>
          <w:highlight w:val="none"/>
          <w:shd w:val="clear" w:color="auto" w:fill="FFFFFF"/>
        </w:rPr>
        <w:t>2.16</w:t>
      </w:r>
      <w:r>
        <w:rPr>
          <w:rFonts w:hint="eastAsia" w:ascii="仿宋" w:hAnsi="仿宋" w:eastAsia="仿宋" w:cs="仿宋"/>
          <w:b/>
          <w:bCs/>
          <w:kern w:val="0"/>
          <w:highlight w:val="none"/>
        </w:rPr>
        <w:t>信誉要求：</w:t>
      </w:r>
    </w:p>
    <w:p>
      <w:pPr>
        <w:widowControl/>
        <w:spacing w:line="480" w:lineRule="auto"/>
        <w:ind w:firstLine="480" w:firstLineChars="200"/>
        <w:rPr>
          <w:rFonts w:ascii="仿宋" w:hAnsi="仿宋" w:eastAsia="仿宋" w:cs="仿宋"/>
          <w:highlight w:val="none"/>
        </w:rPr>
      </w:pPr>
      <w:r>
        <w:rPr>
          <w:rFonts w:hint="eastAsia" w:ascii="仿宋" w:hAnsi="仿宋" w:eastAsia="仿宋" w:cs="仿宋"/>
          <w:highlight w:val="none"/>
          <w:lang w:bidi="ar"/>
        </w:rPr>
        <w:t>投标人</w:t>
      </w:r>
      <w:r>
        <w:rPr>
          <w:rFonts w:hint="eastAsia" w:ascii="仿宋" w:hAnsi="仿宋" w:eastAsia="仿宋" w:cs="仿宋"/>
          <w:highlight w:val="none"/>
        </w:rPr>
        <w:t>及法定代表人在“信用中国”未被列入失信被执行人名单；</w:t>
      </w:r>
      <w:r>
        <w:rPr>
          <w:rFonts w:hint="eastAsia" w:ascii="仿宋" w:hAnsi="仿宋" w:eastAsia="仿宋" w:cs="仿宋"/>
          <w:spacing w:val="-4"/>
          <w:kern w:val="0"/>
          <w:highlight w:val="none"/>
        </w:rPr>
        <w:t>投标人</w:t>
      </w:r>
      <w:r>
        <w:rPr>
          <w:rFonts w:hint="eastAsia" w:ascii="仿宋" w:hAnsi="仿宋" w:eastAsia="仿宋" w:cs="仿宋"/>
          <w:highlight w:val="none"/>
        </w:rPr>
        <w:t>在“信用中国”未被列入重大税收违法失信主体、在“中国政府采购网”中未被列入：政府采购严重违法失信行为记录名单。</w:t>
      </w:r>
      <w:r>
        <w:rPr>
          <w:rFonts w:hint="eastAsia" w:ascii="仿宋" w:hAnsi="仿宋" w:eastAsia="仿宋" w:cs="仿宋"/>
          <w:b/>
          <w:bCs/>
          <w:highlight w:val="none"/>
        </w:rPr>
        <w:t>（注：以上网站均由招标人或招标代理机构在开标时查询，若投标人被列入以上名单，视为不满足资格要求）</w:t>
      </w:r>
    </w:p>
    <w:p>
      <w:pPr>
        <w:spacing w:line="500" w:lineRule="exact"/>
        <w:ind w:firstLine="482" w:firstLineChars="200"/>
        <w:rPr>
          <w:rFonts w:ascii="仿宋" w:hAnsi="仿宋" w:eastAsia="仿宋" w:cs="仿宋"/>
          <w:b/>
          <w:bCs/>
          <w:highlight w:val="none"/>
          <w:shd w:val="clear" w:color="auto" w:fill="FFFFFF"/>
        </w:rPr>
      </w:pPr>
      <w:r>
        <w:rPr>
          <w:rFonts w:hint="eastAsia" w:ascii="仿宋" w:hAnsi="仿宋" w:eastAsia="仿宋" w:cs="仿宋"/>
          <w:b/>
          <w:bCs/>
          <w:highlight w:val="none"/>
          <w:shd w:val="clear" w:color="auto" w:fill="FFFFFF"/>
        </w:rPr>
        <w:t>2.2落实政府采购政策需满足的资格要求：</w:t>
      </w:r>
    </w:p>
    <w:p>
      <w:pPr>
        <w:spacing w:line="500" w:lineRule="exact"/>
        <w:ind w:firstLine="720" w:firstLineChars="300"/>
        <w:rPr>
          <w:rFonts w:ascii="仿宋" w:hAnsi="仿宋" w:eastAsia="仿宋" w:cs="仿宋"/>
          <w:highlight w:val="none"/>
        </w:rPr>
      </w:pPr>
      <w:r>
        <w:rPr>
          <w:rFonts w:hint="eastAsia" w:ascii="仿宋" w:hAnsi="仿宋" w:eastAsia="仿宋" w:cs="仿宋"/>
          <w:highlight w:val="none"/>
        </w:rPr>
        <w:t xml:space="preserve">(1)本项目非专门面向中小型企业采购；根据《关于进一步加大政府采购支持中小企业力度的通知》（财库〔2024〕19 号），对符合磋商文件要求的小型和微型企业给予价格扣除10%，用扣除后的价格参与评审；监狱企业及残疾人福利性单位视同小微企业。 </w:t>
      </w:r>
    </w:p>
    <w:p>
      <w:pPr>
        <w:spacing w:line="500" w:lineRule="exact"/>
        <w:ind w:firstLine="480" w:firstLineChars="200"/>
        <w:rPr>
          <w:rFonts w:ascii="仿宋" w:hAnsi="仿宋" w:eastAsia="仿宋" w:cs="仿宋"/>
          <w:highlight w:val="none"/>
          <w:shd w:val="clear" w:color="auto" w:fill="FFFFFF"/>
        </w:rPr>
      </w:pPr>
      <w:r>
        <w:rPr>
          <w:rFonts w:hint="eastAsia" w:ascii="仿宋" w:hAnsi="仿宋" w:eastAsia="仿宋" w:cs="仿宋"/>
          <w:highlight w:val="none"/>
        </w:rPr>
        <w:t>（2）根据《关于印发中小企业划型标准规定的通知》（工信部联企业〔2011〕300 号） 文件规定的划分标准，本项目对应的中小企业划分标准所属行业为：其他未列明行业</w:t>
      </w:r>
      <w:r>
        <w:rPr>
          <w:rFonts w:hint="eastAsia" w:ascii="仿宋" w:hAnsi="仿宋" w:eastAsia="仿宋" w:cs="仿宋"/>
          <w:highlight w:val="none"/>
          <w:shd w:val="clear" w:color="auto" w:fill="FFFFFF"/>
        </w:rPr>
        <w:t>。</w:t>
      </w:r>
    </w:p>
    <w:p>
      <w:pPr>
        <w:widowControl/>
        <w:spacing w:line="480" w:lineRule="auto"/>
        <w:ind w:left="240" w:leftChars="100"/>
        <w:rPr>
          <w:rFonts w:ascii="仿宋" w:hAnsi="仿宋" w:eastAsia="仿宋" w:cs="仿宋"/>
          <w:b/>
          <w:bCs/>
          <w:highlight w:val="none"/>
        </w:rPr>
      </w:pPr>
      <w:r>
        <w:rPr>
          <w:rFonts w:hint="eastAsia" w:ascii="仿宋" w:hAnsi="仿宋" w:eastAsia="仿宋" w:cs="仿宋"/>
          <w:b/>
          <w:bCs/>
          <w:highlight w:val="none"/>
          <w:shd w:val="clear" w:color="auto" w:fill="FFFFFF"/>
        </w:rPr>
        <w:t>2.3</w:t>
      </w:r>
      <w:r>
        <w:rPr>
          <w:rFonts w:hint="eastAsia" w:ascii="仿宋" w:hAnsi="仿宋" w:eastAsia="仿宋" w:cs="仿宋"/>
          <w:b/>
          <w:bCs/>
          <w:highlight w:val="none"/>
        </w:rPr>
        <w:t>特定资格条件：无。</w:t>
      </w:r>
    </w:p>
    <w:bookmarkEnd w:id="13"/>
    <w:bookmarkEnd w:id="14"/>
    <w:p>
      <w:pPr>
        <w:spacing w:line="500" w:lineRule="exact"/>
        <w:rPr>
          <w:rFonts w:ascii="仿宋" w:hAnsi="仿宋" w:eastAsia="仿宋" w:cs="仿宋"/>
          <w:b/>
          <w:bCs/>
          <w:highlight w:val="none"/>
        </w:rPr>
      </w:pPr>
      <w:r>
        <w:rPr>
          <w:rFonts w:hint="eastAsia" w:ascii="仿宋" w:hAnsi="仿宋" w:eastAsia="仿宋" w:cs="仿宋"/>
          <w:b/>
          <w:bCs/>
          <w:highlight w:val="none"/>
        </w:rPr>
        <w:t>2.4其它要求：</w:t>
      </w:r>
    </w:p>
    <w:p>
      <w:pPr>
        <w:spacing w:line="480" w:lineRule="auto"/>
        <w:ind w:firstLine="480" w:firstLineChars="200"/>
        <w:rPr>
          <w:rFonts w:ascii="仿宋" w:hAnsi="仿宋" w:eastAsia="仿宋" w:cs="仿宋"/>
          <w:kern w:val="0"/>
          <w:highlight w:val="none"/>
        </w:rPr>
      </w:pPr>
      <w:r>
        <w:rPr>
          <w:rFonts w:hint="eastAsia" w:ascii="仿宋" w:hAnsi="仿宋" w:eastAsia="仿宋" w:cs="仿宋"/>
          <w:kern w:val="0"/>
          <w:highlight w:val="none"/>
        </w:rPr>
        <w:t>单位负责人为同一人或者存在直接控股、管理关系的不同投标人，不得参加同一合同项下的政府采购活动。自行提供书面承诺并</w:t>
      </w:r>
      <w:r>
        <w:rPr>
          <w:rFonts w:hint="eastAsia" w:ascii="仿宋" w:hAnsi="仿宋" w:eastAsia="仿宋" w:cs="仿宋"/>
          <w:kern w:val="0"/>
          <w:highlight w:val="none"/>
          <w:lang w:val="zh-CN"/>
        </w:rPr>
        <w:t>加盖公章。</w:t>
      </w:r>
    </w:p>
    <w:p>
      <w:pPr>
        <w:spacing w:line="440" w:lineRule="exact"/>
        <w:jc w:val="left"/>
        <w:rPr>
          <w:rFonts w:ascii="仿宋" w:hAnsi="仿宋" w:eastAsia="仿宋" w:cs="仿宋"/>
          <w:b/>
          <w:highlight w:val="none"/>
        </w:rPr>
      </w:pPr>
      <w:r>
        <w:rPr>
          <w:rFonts w:hint="eastAsia" w:ascii="仿宋" w:hAnsi="仿宋" w:eastAsia="仿宋" w:cs="仿宋"/>
          <w:b/>
          <w:highlight w:val="none"/>
        </w:rPr>
        <w:t>三、获取招标文件</w:t>
      </w:r>
    </w:p>
    <w:p>
      <w:pPr>
        <w:spacing w:line="500" w:lineRule="exact"/>
        <w:ind w:firstLine="480" w:firstLineChars="200"/>
        <w:rPr>
          <w:rFonts w:ascii="仿宋" w:hAnsi="仿宋" w:eastAsia="仿宋" w:cs="仿宋"/>
          <w:highlight w:val="none"/>
        </w:rPr>
      </w:pPr>
      <w:bookmarkStart w:id="15" w:name="_Toc28359015"/>
      <w:bookmarkStart w:id="16" w:name="_Toc35393801"/>
      <w:bookmarkStart w:id="17" w:name="_Toc35393632"/>
      <w:bookmarkStart w:id="18" w:name="_Toc28359092"/>
      <w:bookmarkStart w:id="19" w:name="_Toc35393795"/>
      <w:bookmarkStart w:id="20" w:name="_Toc35393626"/>
      <w:r>
        <w:rPr>
          <w:rFonts w:hint="eastAsia" w:ascii="仿宋" w:hAnsi="仿宋" w:eastAsia="仿宋" w:cs="仿宋"/>
          <w:highlight w:val="none"/>
        </w:rPr>
        <w:t>1.时间：2024年</w:t>
      </w:r>
      <w:r>
        <w:rPr>
          <w:rFonts w:hint="eastAsia" w:ascii="仿宋" w:hAnsi="仿宋" w:eastAsia="仿宋" w:cs="仿宋"/>
          <w:highlight w:val="none"/>
          <w:lang w:val="en-US" w:eastAsia="zh-CN"/>
        </w:rPr>
        <w:t>8</w:t>
      </w:r>
      <w:r>
        <w:rPr>
          <w:rFonts w:hint="eastAsia" w:ascii="仿宋" w:hAnsi="仿宋" w:eastAsia="仿宋" w:cs="仿宋"/>
          <w:highlight w:val="none"/>
        </w:rPr>
        <w:t>月</w:t>
      </w:r>
      <w:r>
        <w:rPr>
          <w:rFonts w:hint="eastAsia" w:ascii="仿宋" w:hAnsi="仿宋" w:eastAsia="仿宋" w:cs="仿宋"/>
          <w:highlight w:val="none"/>
          <w:lang w:val="en-US" w:eastAsia="zh-CN"/>
        </w:rPr>
        <w:t>13</w:t>
      </w:r>
      <w:r>
        <w:rPr>
          <w:rFonts w:hint="eastAsia" w:ascii="仿宋" w:hAnsi="仿宋" w:eastAsia="仿宋" w:cs="仿宋"/>
          <w:highlight w:val="none"/>
        </w:rPr>
        <w:t>日—2024年</w:t>
      </w:r>
      <w:r>
        <w:rPr>
          <w:rFonts w:hint="eastAsia" w:ascii="仿宋" w:hAnsi="仿宋" w:eastAsia="仿宋" w:cs="仿宋"/>
          <w:highlight w:val="none"/>
          <w:lang w:val="en-US" w:eastAsia="zh-CN"/>
        </w:rPr>
        <w:t>8</w:t>
      </w:r>
      <w:r>
        <w:rPr>
          <w:rFonts w:hint="eastAsia" w:ascii="仿宋" w:hAnsi="仿宋" w:eastAsia="仿宋" w:cs="仿宋"/>
          <w:highlight w:val="none"/>
        </w:rPr>
        <w:t>月</w:t>
      </w:r>
      <w:r>
        <w:rPr>
          <w:rFonts w:hint="eastAsia" w:ascii="仿宋" w:hAnsi="仿宋" w:eastAsia="仿宋" w:cs="仿宋"/>
          <w:highlight w:val="none"/>
          <w:lang w:val="en-US" w:eastAsia="zh-CN"/>
        </w:rPr>
        <w:t>19</w:t>
      </w:r>
      <w:r>
        <w:rPr>
          <w:rFonts w:hint="eastAsia" w:ascii="仿宋" w:hAnsi="仿宋" w:eastAsia="仿宋" w:cs="仿宋"/>
          <w:highlight w:val="none"/>
        </w:rPr>
        <w:t>日，每天上午8:30至11:30，下午14:30至17:30（北京时间，法定节假日除外）；</w:t>
      </w:r>
    </w:p>
    <w:p>
      <w:pPr>
        <w:spacing w:line="500" w:lineRule="exact"/>
        <w:ind w:firstLine="480" w:firstLineChars="200"/>
        <w:rPr>
          <w:rFonts w:ascii="仿宋" w:hAnsi="仿宋" w:eastAsia="仿宋" w:cs="仿宋"/>
          <w:highlight w:val="none"/>
        </w:rPr>
      </w:pPr>
      <w:r>
        <w:rPr>
          <w:rFonts w:hint="eastAsia" w:ascii="仿宋" w:hAnsi="仿宋" w:eastAsia="仿宋" w:cs="仿宋"/>
          <w:highlight w:val="none"/>
        </w:rPr>
        <w:t>2.地点：政采云平台线上获取（https://www.zcygov.cn/）；</w:t>
      </w:r>
    </w:p>
    <w:p>
      <w:pPr>
        <w:spacing w:line="500" w:lineRule="exact"/>
        <w:ind w:firstLine="480" w:firstLineChars="200"/>
        <w:rPr>
          <w:rFonts w:ascii="仿宋" w:hAnsi="仿宋" w:eastAsia="仿宋" w:cs="仿宋"/>
          <w:highlight w:val="none"/>
        </w:rPr>
      </w:pPr>
      <w:r>
        <w:rPr>
          <w:rFonts w:hint="eastAsia" w:ascii="仿宋" w:hAnsi="仿宋" w:eastAsia="仿宋" w:cs="仿宋"/>
          <w:highlight w:val="none"/>
        </w:rPr>
        <w:t>3.方式：</w:t>
      </w:r>
      <w:r>
        <w:rPr>
          <w:rFonts w:hint="eastAsia" w:ascii="仿宋" w:hAnsi="仿宋" w:eastAsia="仿宋" w:cs="仿宋"/>
          <w:highlight w:val="none"/>
          <w:lang w:bidi="ar"/>
        </w:rPr>
        <w:t>有意参加投标的，需要在政采云平台办理数字证书（CA）。完成数字证书（CA）办理后，供应商需要在政采云平台绑定数字证书(CA)，并在平台上获取采购文件和其他相关采购资料。</w:t>
      </w:r>
    </w:p>
    <w:p>
      <w:pPr>
        <w:spacing w:line="500" w:lineRule="exact"/>
        <w:ind w:firstLine="540"/>
        <w:rPr>
          <w:rFonts w:ascii="仿宋" w:hAnsi="仿宋" w:eastAsia="仿宋" w:cs="仿宋"/>
          <w:highlight w:val="none"/>
          <w:lang w:bidi="ar"/>
        </w:rPr>
      </w:pPr>
      <w:r>
        <w:rPr>
          <w:rFonts w:hint="eastAsia" w:ascii="仿宋" w:hAnsi="仿宋" w:eastAsia="仿宋" w:cs="仿宋"/>
          <w:highlight w:val="none"/>
        </w:rPr>
        <w:t>注：</w:t>
      </w:r>
      <w:r>
        <w:rPr>
          <w:rFonts w:hint="eastAsia" w:ascii="仿宋" w:hAnsi="仿宋" w:eastAsia="仿宋" w:cs="仿宋"/>
          <w:highlight w:val="none"/>
          <w:lang w:bidi="ar"/>
        </w:rPr>
        <w:t>按上述要求获取文件的供应商视为合法获取了本项目采购文件，具备本项目的投标资格。</w:t>
      </w:r>
    </w:p>
    <w:p>
      <w:pPr>
        <w:spacing w:line="500" w:lineRule="exact"/>
        <w:ind w:firstLine="540"/>
        <w:rPr>
          <w:rFonts w:ascii="仿宋" w:hAnsi="仿宋" w:eastAsia="仿宋" w:cs="仿宋"/>
          <w:highlight w:val="none"/>
          <w:lang w:val="zh-CN" w:bidi="ar"/>
        </w:rPr>
      </w:pPr>
      <w:r>
        <w:rPr>
          <w:rFonts w:hint="eastAsia" w:ascii="仿宋" w:hAnsi="仿宋" w:eastAsia="仿宋" w:cs="仿宋"/>
          <w:highlight w:val="none"/>
          <w:lang w:val="zh-CN" w:bidi="ar"/>
        </w:rPr>
        <w:t>支持云南CA、云南壹证通CA，申请相关说明如下：</w:t>
      </w:r>
    </w:p>
    <w:p>
      <w:pPr>
        <w:spacing w:line="500" w:lineRule="exact"/>
        <w:ind w:firstLine="480" w:firstLineChars="200"/>
        <w:rPr>
          <w:rFonts w:ascii="仿宋" w:hAnsi="仿宋" w:eastAsia="仿宋" w:cs="仿宋"/>
          <w:highlight w:val="none"/>
          <w:lang w:val="zh-CN" w:bidi="ar"/>
        </w:rPr>
      </w:pPr>
      <w:r>
        <w:rPr>
          <w:rFonts w:hint="eastAsia" w:ascii="仿宋" w:hAnsi="仿宋" w:eastAsia="仿宋" w:cs="仿宋"/>
          <w:highlight w:val="none"/>
          <w:lang w:val="zh-CN" w:bidi="ar"/>
        </w:rPr>
        <w:t>云南CA申领链接：https://cap.yunnanca.net/login，请供应商自行注册办理，云南CA客服热线400-6727-666，</w:t>
      </w:r>
      <w:r>
        <w:rPr>
          <w:rFonts w:hint="eastAsia" w:ascii="仿宋" w:hAnsi="仿宋" w:eastAsia="仿宋" w:cs="仿宋"/>
          <w:kern w:val="0"/>
          <w:highlight w:val="none"/>
        </w:rPr>
        <w:t>紧急联系方式：15288315056</w:t>
      </w:r>
      <w:r>
        <w:rPr>
          <w:rFonts w:hint="eastAsia" w:ascii="仿宋" w:hAnsi="仿宋" w:eastAsia="仿宋" w:cs="仿宋"/>
          <w:highlight w:val="none"/>
          <w:lang w:val="zh-CN" w:bidi="ar"/>
        </w:rPr>
        <w:t xml:space="preserve">。 </w:t>
      </w:r>
    </w:p>
    <w:p>
      <w:pPr>
        <w:spacing w:line="500" w:lineRule="exact"/>
        <w:ind w:firstLine="540"/>
        <w:rPr>
          <w:rFonts w:ascii="仿宋" w:hAnsi="仿宋" w:eastAsia="仿宋" w:cs="仿宋"/>
          <w:highlight w:val="none"/>
          <w:lang w:val="zh-CN" w:bidi="ar"/>
        </w:rPr>
      </w:pPr>
      <w:r>
        <w:rPr>
          <w:rFonts w:hint="eastAsia" w:ascii="仿宋" w:hAnsi="仿宋" w:eastAsia="仿宋" w:cs="仿宋"/>
          <w:highlight w:val="none"/>
          <w:lang w:val="zh-CN" w:bidi="ar"/>
        </w:rPr>
        <w:t>云南壹证通CA申领链接：http://yzt.ynsmartcert.cn/登录名bszb（凭此登录名可直接登录）。云南壹证通CA客服热线：0871-67276028，</w:t>
      </w:r>
      <w:r>
        <w:rPr>
          <w:rFonts w:hint="eastAsia" w:ascii="仿宋" w:hAnsi="仿宋" w:eastAsia="仿宋" w:cs="仿宋"/>
          <w:kern w:val="0"/>
          <w:highlight w:val="none"/>
        </w:rPr>
        <w:t>壹证通CA紧急联系方式：19988166369</w:t>
      </w:r>
      <w:r>
        <w:rPr>
          <w:rFonts w:hint="eastAsia" w:ascii="仿宋" w:hAnsi="仿宋" w:eastAsia="仿宋" w:cs="仿宋"/>
          <w:highlight w:val="none"/>
          <w:lang w:val="zh-CN" w:bidi="ar"/>
        </w:rPr>
        <w:t>。</w:t>
      </w:r>
    </w:p>
    <w:p>
      <w:pPr>
        <w:spacing w:line="500" w:lineRule="exact"/>
        <w:ind w:firstLine="540"/>
        <w:rPr>
          <w:rFonts w:ascii="仿宋" w:hAnsi="仿宋" w:eastAsia="仿宋" w:cs="仿宋"/>
          <w:highlight w:val="none"/>
          <w:lang w:bidi="ar"/>
        </w:rPr>
      </w:pPr>
      <w:r>
        <w:rPr>
          <w:rFonts w:hint="eastAsia" w:ascii="仿宋" w:hAnsi="仿宋" w:eastAsia="仿宋" w:cs="仿宋"/>
          <w:highlight w:val="none"/>
          <w:lang w:bidi="ar"/>
        </w:rPr>
        <w:t>如果供应商之前已经注册并办理了企业数字证书（CA）</w:t>
      </w:r>
      <w:r>
        <w:rPr>
          <w:rFonts w:hint="eastAsia" w:ascii="仿宋" w:hAnsi="仿宋" w:eastAsia="仿宋" w:cs="仿宋"/>
          <w:highlight w:val="none"/>
          <w:lang w:val="zh-CN" w:bidi="ar"/>
        </w:rPr>
        <w:t>且证书处于有效期内的</w:t>
      </w:r>
      <w:r>
        <w:rPr>
          <w:rFonts w:hint="eastAsia" w:ascii="仿宋" w:hAnsi="仿宋" w:eastAsia="仿宋" w:cs="仿宋"/>
          <w:highlight w:val="none"/>
          <w:lang w:bidi="ar"/>
        </w:rPr>
        <w:t>，则可以直接进行绑定，无需重复办理（2022年1月1日前办理的云南 CA 需到云南CA办理处进行升级）。</w:t>
      </w:r>
    </w:p>
    <w:p>
      <w:pPr>
        <w:spacing w:line="500" w:lineRule="exact"/>
        <w:ind w:firstLine="480" w:firstLineChars="200"/>
        <w:rPr>
          <w:rFonts w:ascii="仿宋" w:hAnsi="仿宋" w:eastAsia="仿宋" w:cs="仿宋"/>
          <w:highlight w:val="none"/>
        </w:rPr>
      </w:pPr>
      <w:r>
        <w:rPr>
          <w:rFonts w:hint="eastAsia" w:ascii="仿宋" w:hAnsi="仿宋" w:eastAsia="仿宋" w:cs="仿宋"/>
          <w:highlight w:val="none"/>
        </w:rPr>
        <w:t>4.售价：</w:t>
      </w:r>
      <w:r>
        <w:rPr>
          <w:rFonts w:hint="eastAsia" w:ascii="仿宋" w:hAnsi="仿宋" w:eastAsia="仿宋" w:cs="仿宋"/>
          <w:highlight w:val="none"/>
          <w:lang w:bidi="ar"/>
        </w:rPr>
        <w:t>0元</w:t>
      </w:r>
      <w:r>
        <w:rPr>
          <w:rFonts w:hint="eastAsia" w:ascii="仿宋" w:hAnsi="仿宋" w:eastAsia="仿宋" w:cs="仿宋"/>
          <w:highlight w:val="none"/>
        </w:rPr>
        <w:t>。</w:t>
      </w:r>
    </w:p>
    <w:p>
      <w:pPr>
        <w:pStyle w:val="3"/>
        <w:spacing w:line="360" w:lineRule="auto"/>
        <w:rPr>
          <w:rFonts w:ascii="仿宋" w:hAnsi="仿宋" w:eastAsia="仿宋" w:cs="仿宋"/>
          <w:bCs w:val="0"/>
          <w:sz w:val="24"/>
          <w:szCs w:val="24"/>
          <w:highlight w:val="none"/>
        </w:rPr>
      </w:pPr>
      <w:r>
        <w:rPr>
          <w:rFonts w:hint="eastAsia" w:ascii="仿宋" w:hAnsi="仿宋" w:eastAsia="仿宋" w:cs="仿宋"/>
          <w:bCs w:val="0"/>
          <w:sz w:val="24"/>
          <w:szCs w:val="24"/>
          <w:highlight w:val="none"/>
        </w:rPr>
        <w:t>四、</w:t>
      </w:r>
      <w:bookmarkEnd w:id="15"/>
      <w:bookmarkEnd w:id="16"/>
      <w:bookmarkEnd w:id="17"/>
      <w:bookmarkEnd w:id="18"/>
      <w:r>
        <w:rPr>
          <w:rFonts w:hint="eastAsia" w:ascii="仿宋" w:hAnsi="仿宋" w:eastAsia="仿宋" w:cs="仿宋"/>
          <w:bCs w:val="0"/>
          <w:sz w:val="24"/>
          <w:szCs w:val="24"/>
          <w:highlight w:val="none"/>
        </w:rPr>
        <w:t>提交投标文件截止时间、开标时间和地点</w:t>
      </w:r>
    </w:p>
    <w:p>
      <w:pPr>
        <w:spacing w:line="360" w:lineRule="auto"/>
        <w:ind w:firstLine="240" w:firstLineChars="100"/>
        <w:rPr>
          <w:rFonts w:ascii="仿宋" w:hAnsi="仿宋" w:eastAsia="仿宋" w:cs="仿宋"/>
          <w:highlight w:val="none"/>
        </w:rPr>
      </w:pPr>
      <w:bookmarkStart w:id="21" w:name="_Toc35393633"/>
      <w:bookmarkStart w:id="22" w:name="_Toc28359093"/>
      <w:bookmarkStart w:id="23" w:name="_Toc28359016"/>
      <w:bookmarkStart w:id="24" w:name="_Toc35393802"/>
      <w:r>
        <w:rPr>
          <w:rFonts w:hint="eastAsia" w:ascii="仿宋" w:hAnsi="仿宋" w:eastAsia="仿宋" w:cs="仿宋"/>
          <w:highlight w:val="none"/>
        </w:rPr>
        <w:t>1.递交投标文件截止时间：2024年</w:t>
      </w:r>
      <w:r>
        <w:rPr>
          <w:rFonts w:hint="eastAsia" w:ascii="仿宋" w:hAnsi="仿宋" w:eastAsia="仿宋" w:cs="仿宋"/>
          <w:highlight w:val="none"/>
          <w:lang w:val="en-US" w:eastAsia="zh-CN"/>
        </w:rPr>
        <w:t>9</w:t>
      </w:r>
      <w:r>
        <w:rPr>
          <w:rFonts w:hint="eastAsia" w:ascii="仿宋" w:hAnsi="仿宋" w:eastAsia="仿宋" w:cs="仿宋"/>
          <w:highlight w:val="none"/>
        </w:rPr>
        <w:t>月</w:t>
      </w:r>
      <w:r>
        <w:rPr>
          <w:rFonts w:hint="eastAsia" w:ascii="仿宋" w:hAnsi="仿宋" w:eastAsia="仿宋" w:cs="仿宋"/>
          <w:highlight w:val="none"/>
          <w:lang w:val="en-US" w:eastAsia="zh-CN"/>
        </w:rPr>
        <w:t>3</w:t>
      </w:r>
      <w:r>
        <w:rPr>
          <w:rFonts w:hint="eastAsia" w:ascii="仿宋" w:hAnsi="仿宋" w:eastAsia="仿宋" w:cs="仿宋"/>
          <w:highlight w:val="none"/>
        </w:rPr>
        <w:t>日09：00分；</w:t>
      </w:r>
    </w:p>
    <w:p>
      <w:pPr>
        <w:spacing w:line="360" w:lineRule="auto"/>
        <w:ind w:firstLine="240" w:firstLineChars="100"/>
        <w:rPr>
          <w:rFonts w:ascii="仿宋" w:hAnsi="仿宋" w:eastAsia="仿宋" w:cs="仿宋"/>
          <w:highlight w:val="none"/>
        </w:rPr>
      </w:pPr>
      <w:r>
        <w:rPr>
          <w:rFonts w:hint="eastAsia" w:ascii="仿宋" w:hAnsi="仿宋" w:eastAsia="仿宋" w:cs="仿宋"/>
          <w:highlight w:val="none"/>
        </w:rPr>
        <w:t>2.开标时间：2024年</w:t>
      </w:r>
      <w:r>
        <w:rPr>
          <w:rFonts w:hint="eastAsia" w:ascii="仿宋" w:hAnsi="仿宋" w:eastAsia="仿宋" w:cs="仿宋"/>
          <w:highlight w:val="none"/>
          <w:lang w:val="en-US" w:eastAsia="zh-CN"/>
        </w:rPr>
        <w:t>9</w:t>
      </w:r>
      <w:r>
        <w:rPr>
          <w:rFonts w:hint="eastAsia" w:ascii="仿宋" w:hAnsi="仿宋" w:eastAsia="仿宋" w:cs="仿宋"/>
          <w:highlight w:val="none"/>
        </w:rPr>
        <w:t>月</w:t>
      </w:r>
      <w:r>
        <w:rPr>
          <w:rFonts w:hint="eastAsia" w:ascii="仿宋" w:hAnsi="仿宋" w:eastAsia="仿宋" w:cs="仿宋"/>
          <w:highlight w:val="none"/>
          <w:lang w:val="en-US" w:eastAsia="zh-CN"/>
        </w:rPr>
        <w:t>3</w:t>
      </w:r>
      <w:r>
        <w:rPr>
          <w:rFonts w:hint="eastAsia" w:ascii="仿宋" w:hAnsi="仿宋" w:eastAsia="仿宋" w:cs="仿宋"/>
          <w:highlight w:val="none"/>
        </w:rPr>
        <w:t>日09：00分；</w:t>
      </w:r>
    </w:p>
    <w:p>
      <w:pPr>
        <w:spacing w:line="360" w:lineRule="auto"/>
        <w:ind w:firstLine="240" w:firstLineChars="100"/>
        <w:rPr>
          <w:rFonts w:ascii="仿宋" w:hAnsi="仿宋" w:eastAsia="仿宋" w:cs="仿宋"/>
          <w:highlight w:val="none"/>
        </w:rPr>
      </w:pPr>
      <w:r>
        <w:rPr>
          <w:rFonts w:hint="eastAsia" w:ascii="仿宋" w:hAnsi="仿宋" w:eastAsia="仿宋" w:cs="仿宋"/>
          <w:highlight w:val="none"/>
        </w:rPr>
        <w:t xml:space="preserve">3.开标地点：政采云平台（http：//www.zcygov.cn）及陇川县章凤镇民族步行街18栋3号1号开标室； </w:t>
      </w:r>
    </w:p>
    <w:p>
      <w:pPr>
        <w:spacing w:line="360" w:lineRule="auto"/>
        <w:ind w:firstLine="241" w:firstLineChars="100"/>
        <w:rPr>
          <w:rFonts w:ascii="仿宋" w:hAnsi="仿宋" w:eastAsia="仿宋" w:cs="仿宋"/>
          <w:highlight w:val="none"/>
        </w:rPr>
      </w:pPr>
      <w:r>
        <w:rPr>
          <w:rFonts w:hint="eastAsia" w:ascii="仿宋" w:hAnsi="仿宋" w:eastAsia="仿宋" w:cs="仿宋"/>
          <w:b/>
          <w:bCs/>
          <w:highlight w:val="none"/>
        </w:rPr>
        <w:t>注：投标人登录政采云平台（http：//www.zcygov.cn）无需到现场开标，开标结束前请勿退出系统。</w:t>
      </w:r>
      <w:r>
        <w:rPr>
          <w:rFonts w:hint="eastAsia" w:ascii="仿宋" w:hAnsi="仿宋" w:eastAsia="仿宋" w:cs="仿宋"/>
          <w:highlight w:val="none"/>
        </w:rPr>
        <w:t>  </w:t>
      </w:r>
    </w:p>
    <w:bookmarkEnd w:id="21"/>
    <w:bookmarkEnd w:id="22"/>
    <w:bookmarkEnd w:id="23"/>
    <w:bookmarkEnd w:id="24"/>
    <w:p>
      <w:pPr>
        <w:spacing w:line="480" w:lineRule="auto"/>
        <w:jc w:val="left"/>
        <w:rPr>
          <w:rFonts w:ascii="仿宋" w:hAnsi="仿宋" w:eastAsia="仿宋" w:cs="仿宋"/>
          <w:b/>
          <w:kern w:val="0"/>
          <w:highlight w:val="none"/>
        </w:rPr>
      </w:pPr>
      <w:r>
        <w:rPr>
          <w:rFonts w:hint="eastAsia" w:ascii="仿宋" w:hAnsi="仿宋" w:eastAsia="仿宋" w:cs="仿宋"/>
          <w:b/>
          <w:kern w:val="0"/>
          <w:highlight w:val="none"/>
        </w:rPr>
        <w:t>五、公告期限</w:t>
      </w:r>
    </w:p>
    <w:p>
      <w:pPr>
        <w:spacing w:line="480" w:lineRule="auto"/>
        <w:ind w:firstLine="480" w:firstLineChars="200"/>
        <w:jc w:val="left"/>
        <w:rPr>
          <w:rFonts w:ascii="仿宋" w:hAnsi="仿宋" w:eastAsia="仿宋" w:cs="仿宋"/>
          <w:bCs/>
          <w:kern w:val="0"/>
          <w:highlight w:val="none"/>
        </w:rPr>
      </w:pPr>
      <w:r>
        <w:rPr>
          <w:rFonts w:hint="eastAsia" w:ascii="仿宋" w:hAnsi="仿宋" w:eastAsia="仿宋" w:cs="仿宋"/>
          <w:bCs/>
          <w:kern w:val="0"/>
          <w:highlight w:val="none"/>
        </w:rPr>
        <w:t>自本公告发布之日起5个工作日。</w:t>
      </w:r>
    </w:p>
    <w:p>
      <w:pPr>
        <w:spacing w:line="480" w:lineRule="auto"/>
        <w:jc w:val="left"/>
        <w:rPr>
          <w:rFonts w:ascii="仿宋" w:hAnsi="仿宋" w:eastAsia="仿宋" w:cs="仿宋"/>
          <w:b/>
          <w:kern w:val="0"/>
          <w:highlight w:val="none"/>
        </w:rPr>
      </w:pPr>
      <w:r>
        <w:rPr>
          <w:rFonts w:hint="eastAsia" w:ascii="仿宋" w:hAnsi="仿宋" w:eastAsia="仿宋" w:cs="仿宋"/>
          <w:b/>
          <w:kern w:val="0"/>
          <w:highlight w:val="none"/>
        </w:rPr>
        <w:t>六、其他补充事宜</w:t>
      </w:r>
      <w:bookmarkEnd w:id="19"/>
      <w:bookmarkEnd w:id="20"/>
    </w:p>
    <w:p>
      <w:pPr>
        <w:spacing w:line="360" w:lineRule="auto"/>
        <w:ind w:firstLine="241" w:firstLineChars="100"/>
        <w:jc w:val="left"/>
        <w:outlineLvl w:val="0"/>
        <w:rPr>
          <w:rFonts w:ascii="仿宋" w:hAnsi="仿宋" w:eastAsia="仿宋" w:cs="仿宋"/>
          <w:b/>
          <w:highlight w:val="none"/>
        </w:rPr>
      </w:pPr>
      <w:bookmarkStart w:id="25" w:name="_Toc28359008"/>
      <w:bookmarkStart w:id="26" w:name="_Toc35393796"/>
      <w:bookmarkStart w:id="27" w:name="_Toc35393627"/>
      <w:bookmarkStart w:id="28" w:name="_Toc28359085"/>
      <w:r>
        <w:rPr>
          <w:rFonts w:hint="eastAsia" w:ascii="仿宋" w:hAnsi="仿宋" w:eastAsia="仿宋" w:cs="仿宋"/>
          <w:b/>
          <w:highlight w:val="none"/>
        </w:rPr>
        <w:t>1.投标保证金</w:t>
      </w:r>
    </w:p>
    <w:p>
      <w:pPr>
        <w:spacing w:line="348" w:lineRule="auto"/>
        <w:ind w:firstLine="480" w:firstLineChars="200"/>
        <w:rPr>
          <w:rFonts w:ascii="仿宋" w:hAnsi="仿宋" w:eastAsia="仿宋" w:cs="仿宋"/>
          <w:highlight w:val="none"/>
        </w:rPr>
      </w:pPr>
      <w:r>
        <w:rPr>
          <w:rFonts w:hint="eastAsia" w:ascii="仿宋" w:hAnsi="仿宋" w:eastAsia="仿宋" w:cs="仿宋"/>
          <w:highlight w:val="none"/>
        </w:rPr>
        <w:t>（1）投标保证金</w:t>
      </w:r>
    </w:p>
    <w:p>
      <w:pPr>
        <w:spacing w:line="348" w:lineRule="auto"/>
        <w:ind w:firstLine="480" w:firstLineChars="200"/>
        <w:rPr>
          <w:rFonts w:ascii="仿宋" w:hAnsi="仿宋" w:eastAsia="仿宋" w:cs="仿宋"/>
          <w:highlight w:val="none"/>
        </w:rPr>
      </w:pPr>
      <w:r>
        <w:rPr>
          <w:rFonts w:hint="eastAsia" w:ascii="仿宋" w:hAnsi="仿宋" w:eastAsia="仿宋" w:cs="仿宋"/>
          <w:highlight w:val="none"/>
        </w:rPr>
        <w:t>☑要求递交投标保证金</w:t>
      </w:r>
    </w:p>
    <w:p>
      <w:pPr>
        <w:spacing w:line="348" w:lineRule="auto"/>
        <w:ind w:firstLine="480" w:firstLineChars="200"/>
        <w:rPr>
          <w:rFonts w:ascii="仿宋" w:hAnsi="仿宋" w:eastAsia="仿宋" w:cs="仿宋"/>
          <w:highlight w:val="none"/>
        </w:rPr>
      </w:pPr>
      <w:r>
        <w:rPr>
          <w:rFonts w:hint="eastAsia" w:ascii="仿宋" w:hAnsi="仿宋" w:eastAsia="仿宋" w:cs="仿宋"/>
          <w:highlight w:val="none"/>
        </w:rPr>
        <w:t>□不要求递交投标保证金。</w:t>
      </w:r>
    </w:p>
    <w:p>
      <w:pPr>
        <w:pStyle w:val="6"/>
        <w:tabs>
          <w:tab w:val="left" w:pos="547"/>
        </w:tabs>
        <w:spacing w:after="0" w:line="500" w:lineRule="exact"/>
        <w:ind w:left="0" w:leftChars="0" w:firstLine="482"/>
        <w:jc w:val="left"/>
        <w:rPr>
          <w:rFonts w:ascii="仿宋" w:hAnsi="仿宋" w:eastAsia="仿宋" w:cs="仿宋"/>
          <w:sz w:val="24"/>
          <w:highlight w:val="none"/>
        </w:rPr>
      </w:pPr>
      <w:r>
        <w:rPr>
          <w:rFonts w:hint="eastAsia" w:ascii="仿宋" w:hAnsi="仿宋" w:eastAsia="仿宋" w:cs="仿宋"/>
          <w:b/>
          <w:bCs/>
          <w:sz w:val="24"/>
          <w:highlight w:val="none"/>
        </w:rPr>
        <w:t>保证金金额：10000.00元（壹万元整）。</w:t>
      </w:r>
    </w:p>
    <w:p>
      <w:pPr>
        <w:pStyle w:val="6"/>
        <w:spacing w:after="0" w:line="500" w:lineRule="exact"/>
        <w:ind w:left="0" w:leftChars="0" w:firstLine="480"/>
        <w:rPr>
          <w:rFonts w:ascii="仿宋" w:hAnsi="仿宋" w:eastAsia="仿宋" w:cs="仿宋"/>
          <w:sz w:val="24"/>
          <w:highlight w:val="none"/>
        </w:rPr>
      </w:pPr>
      <w:r>
        <w:rPr>
          <w:rFonts w:hint="eastAsia" w:ascii="仿宋" w:hAnsi="仿宋" w:eastAsia="仿宋" w:cs="仿宋"/>
          <w:kern w:val="0"/>
          <w:sz w:val="24"/>
          <w:highlight w:val="none"/>
        </w:rPr>
        <w:t>根据《云南省发展和改革委员会等部门关于鼓励减免政府投资项目投标保证金的通知》（云发改交易管理〔2023〕397号），政府投资项目进行招标投标活动时，减免投标保证金，降幅不得低于现收取数额的50%的要求。本项目投标保证金降幅严格按照要求执行。</w:t>
      </w:r>
    </w:p>
    <w:p>
      <w:pPr>
        <w:pStyle w:val="6"/>
        <w:spacing w:after="0" w:line="500" w:lineRule="exact"/>
        <w:ind w:left="0" w:leftChars="0" w:firstLine="480"/>
        <w:rPr>
          <w:rFonts w:ascii="仿宋" w:hAnsi="仿宋" w:eastAsia="仿宋" w:cs="仿宋"/>
          <w:sz w:val="24"/>
          <w:highlight w:val="none"/>
        </w:rPr>
      </w:pPr>
      <w:r>
        <w:rPr>
          <w:rFonts w:hint="eastAsia" w:ascii="仿宋" w:hAnsi="仿宋" w:eastAsia="仿宋" w:cs="仿宋"/>
          <w:sz w:val="24"/>
          <w:highlight w:val="none"/>
        </w:rPr>
        <w:t>（2）截止时间：递交投标文件截止时间；</w:t>
      </w:r>
    </w:p>
    <w:p>
      <w:pPr>
        <w:pStyle w:val="6"/>
        <w:spacing w:after="0" w:line="500" w:lineRule="exact"/>
        <w:ind w:left="0" w:leftChars="0" w:firstLine="480"/>
        <w:rPr>
          <w:rFonts w:ascii="仿宋" w:hAnsi="仿宋" w:eastAsia="仿宋" w:cs="仿宋"/>
          <w:sz w:val="24"/>
          <w:highlight w:val="none"/>
        </w:rPr>
      </w:pPr>
      <w:r>
        <w:rPr>
          <w:rFonts w:hint="eastAsia" w:ascii="仿宋" w:hAnsi="仿宋" w:eastAsia="仿宋" w:cs="仿宋"/>
          <w:sz w:val="24"/>
          <w:highlight w:val="none"/>
        </w:rPr>
        <w:t>（3）交纳形式：可以采用“银行转账”、“银行保函”、“投标保证保险”任一方式，其中采用“银行转账”方式的，投标人以支票、汇票、本票、网上银行支付等非现金形式汇入指定账户：</w:t>
      </w:r>
    </w:p>
    <w:p>
      <w:pPr>
        <w:spacing w:line="500" w:lineRule="exact"/>
        <w:ind w:left="1094" w:leftChars="456"/>
        <w:rPr>
          <w:rFonts w:ascii="仿宋" w:hAnsi="仿宋" w:eastAsia="仿宋" w:cs="仿宋"/>
          <w:b/>
          <w:bCs/>
          <w:highlight w:val="none"/>
        </w:rPr>
      </w:pPr>
      <w:r>
        <w:rPr>
          <w:rFonts w:hint="eastAsia" w:ascii="仿宋" w:hAnsi="仿宋" w:eastAsia="仿宋" w:cs="仿宋"/>
          <w:b/>
          <w:bCs/>
          <w:highlight w:val="none"/>
        </w:rPr>
        <w:t>账户名称：德宏裕豪招标咨询有限公司</w:t>
      </w:r>
    </w:p>
    <w:p>
      <w:pPr>
        <w:spacing w:line="500" w:lineRule="exact"/>
        <w:ind w:left="1094" w:leftChars="456"/>
        <w:rPr>
          <w:rFonts w:ascii="仿宋" w:hAnsi="仿宋" w:eastAsia="仿宋" w:cs="仿宋"/>
          <w:b/>
          <w:bCs/>
          <w:highlight w:val="none"/>
        </w:rPr>
      </w:pPr>
      <w:r>
        <w:rPr>
          <w:rFonts w:hint="eastAsia" w:ascii="仿宋" w:hAnsi="仿宋" w:eastAsia="仿宋" w:cs="仿宋"/>
          <w:b/>
          <w:bCs/>
          <w:highlight w:val="none"/>
        </w:rPr>
        <w:t>行    号：</w:t>
      </w:r>
      <w:r>
        <w:rPr>
          <w:rFonts w:hint="eastAsia" w:ascii="仿宋" w:hAnsi="仿宋" w:eastAsia="仿宋" w:cs="仿宋"/>
          <w:highlight w:val="none"/>
        </w:rPr>
        <w:t>402754500017</w:t>
      </w:r>
    </w:p>
    <w:p>
      <w:pPr>
        <w:spacing w:line="500" w:lineRule="exact"/>
        <w:ind w:left="1094" w:leftChars="456"/>
        <w:rPr>
          <w:rFonts w:ascii="仿宋" w:hAnsi="仿宋" w:eastAsia="仿宋" w:cs="仿宋"/>
          <w:b/>
          <w:bCs/>
          <w:highlight w:val="none"/>
        </w:rPr>
      </w:pPr>
      <w:r>
        <w:rPr>
          <w:rFonts w:hint="eastAsia" w:ascii="仿宋" w:hAnsi="仿宋" w:eastAsia="仿宋" w:cs="仿宋"/>
          <w:b/>
          <w:bCs/>
          <w:highlight w:val="none"/>
        </w:rPr>
        <w:t>开户银行：云南陇川农村商业银行股份有限公司同心路支行</w:t>
      </w:r>
    </w:p>
    <w:p>
      <w:pPr>
        <w:spacing w:line="500" w:lineRule="exact"/>
        <w:ind w:left="1094" w:leftChars="456"/>
        <w:rPr>
          <w:rFonts w:ascii="仿宋" w:hAnsi="仿宋" w:eastAsia="仿宋" w:cs="仿宋"/>
          <w:b/>
          <w:bCs/>
          <w:highlight w:val="none"/>
        </w:rPr>
      </w:pPr>
      <w:r>
        <w:rPr>
          <w:rFonts w:hint="eastAsia" w:ascii="仿宋" w:hAnsi="仿宋" w:eastAsia="仿宋" w:cs="仿宋"/>
          <w:b/>
          <w:bCs/>
          <w:highlight w:val="none"/>
        </w:rPr>
        <w:t>账     号：5600017386810012</w:t>
      </w:r>
    </w:p>
    <w:p>
      <w:pPr>
        <w:spacing w:line="360" w:lineRule="auto"/>
        <w:ind w:firstLine="482" w:firstLineChars="200"/>
        <w:rPr>
          <w:rFonts w:ascii="仿宋" w:hAnsi="仿宋" w:eastAsia="仿宋" w:cs="仿宋"/>
          <w:b/>
          <w:bCs/>
          <w:highlight w:val="none"/>
        </w:rPr>
      </w:pPr>
      <w:r>
        <w:rPr>
          <w:rFonts w:hint="eastAsia" w:ascii="仿宋" w:hAnsi="仿宋" w:eastAsia="仿宋" w:cs="仿宋"/>
          <w:b/>
          <w:bCs/>
          <w:highlight w:val="none"/>
        </w:rPr>
        <w:t>2.投标文件的递交：</w:t>
      </w:r>
      <w:r>
        <w:rPr>
          <w:rFonts w:hint="eastAsia" w:ascii="仿宋" w:hAnsi="仿宋" w:eastAsia="仿宋" w:cs="仿宋"/>
          <w:highlight w:val="none"/>
        </w:rPr>
        <w:t>网上递交，网址为政采云平台（https://www.zcygov.cn/），供应商应在开标前应确保成为政采云平台供应商，并完成CA数字证书申领。因未注册入库、未办理CA数字证书等原因造成无法投标或投标失败等后果由供应商自行承担。投标人须在投标截止时间前完成所有投标文件的上传，投标截止时间前未完成投标文件上传的，视为撤回投标文件。若投标人未在规定时间完成解密的（如：无法解密、网络故障、未安装相关驱动、浏览器故障、加密CA与解密CA不一致等），则视为撤销其投标文件，不再进入评标阶段。开标过程中如有问题，可以发起在线异议，由代理机构给予对应的回复，在规定的异议询问时间内未提出异议的，则视为对开标结果无异议。</w:t>
      </w:r>
    </w:p>
    <w:p>
      <w:pPr>
        <w:spacing w:line="360" w:lineRule="auto"/>
        <w:ind w:firstLine="241" w:firstLineChars="100"/>
        <w:rPr>
          <w:rFonts w:ascii="仿宋" w:hAnsi="仿宋" w:eastAsia="仿宋" w:cs="仿宋"/>
          <w:b/>
          <w:bCs/>
          <w:highlight w:val="none"/>
        </w:rPr>
      </w:pPr>
      <w:r>
        <w:rPr>
          <w:rFonts w:hint="eastAsia" w:ascii="仿宋" w:hAnsi="仿宋" w:eastAsia="仿宋" w:cs="仿宋"/>
          <w:b/>
          <w:bCs/>
          <w:highlight w:val="none"/>
        </w:rPr>
        <w:t>3.注意事项</w:t>
      </w:r>
    </w:p>
    <w:p>
      <w:pPr>
        <w:adjustRightInd w:val="0"/>
        <w:snapToGrid w:val="0"/>
        <w:spacing w:line="360" w:lineRule="auto"/>
        <w:ind w:firstLine="480" w:firstLineChars="200"/>
        <w:rPr>
          <w:rFonts w:ascii="仿宋" w:hAnsi="仿宋" w:eastAsia="仿宋" w:cs="仿宋"/>
          <w:highlight w:val="none"/>
        </w:rPr>
      </w:pPr>
      <w:r>
        <w:rPr>
          <w:rFonts w:hint="eastAsia" w:ascii="仿宋" w:hAnsi="仿宋" w:eastAsia="仿宋" w:cs="仿宋"/>
          <w:highlight w:val="none"/>
        </w:rPr>
        <w:t>开标方式：（一）若供应商熟悉“政采云”相关投标程序，不到现场参加投标的，应提前在自有场地配置有音视频通话（带摄像头及话筒的电脑）功能的相应设备及稳定网络环境，并按“政采云”开标大厅中的提示完成采购活动。 （二）到现场参与投标的供应商，建议于响应文件提交截止时间前携带编制投标（响应）文件时的加密数字证书（CA）、具有摄像头及话筒的笔记本电脑至采购代理机构开标地点参与投标。（三）采购人宣布开启电子投标（响应）文件后，供应商登陆“政采云”开标大厅，使用供应商编制投标（响应）文件时的加密数字证书对投标（响应）文件进行解密。</w:t>
      </w:r>
    </w:p>
    <w:p>
      <w:pPr>
        <w:spacing w:line="480" w:lineRule="auto"/>
        <w:ind w:firstLine="241" w:firstLineChars="100"/>
        <w:rPr>
          <w:rFonts w:ascii="仿宋" w:hAnsi="仿宋" w:eastAsia="仿宋" w:cs="仿宋"/>
          <w:b/>
          <w:bCs/>
          <w:highlight w:val="none"/>
        </w:rPr>
      </w:pPr>
      <w:r>
        <w:rPr>
          <w:rFonts w:hint="eastAsia" w:ascii="仿宋" w:hAnsi="仿宋" w:eastAsia="仿宋" w:cs="仿宋"/>
          <w:b/>
          <w:bCs/>
          <w:highlight w:val="none"/>
        </w:rPr>
        <w:t>4.采购信息发布及结果公告网站</w:t>
      </w:r>
    </w:p>
    <w:p>
      <w:pPr>
        <w:spacing w:line="360" w:lineRule="auto"/>
        <w:ind w:firstLine="480" w:firstLineChars="200"/>
        <w:rPr>
          <w:rFonts w:ascii="仿宋" w:hAnsi="仿宋" w:eastAsia="仿宋" w:cs="仿宋"/>
          <w:highlight w:val="none"/>
        </w:rPr>
      </w:pPr>
      <w:r>
        <w:rPr>
          <w:rFonts w:hint="eastAsia" w:ascii="仿宋" w:hAnsi="仿宋" w:eastAsia="仿宋" w:cs="仿宋"/>
          <w:highlight w:val="none"/>
        </w:rPr>
        <w:t>本公告在云南省政府采购网上发布；我公司对其他网站或媒体转载的公告及公告内容不承担任何责任。</w:t>
      </w:r>
    </w:p>
    <w:p>
      <w:pPr>
        <w:spacing w:line="480" w:lineRule="auto"/>
        <w:ind w:firstLine="241" w:firstLineChars="100"/>
        <w:rPr>
          <w:rFonts w:ascii="仿宋" w:hAnsi="仿宋" w:eastAsia="仿宋" w:cs="仿宋"/>
          <w:b/>
          <w:bCs/>
          <w:highlight w:val="none"/>
        </w:rPr>
      </w:pPr>
      <w:r>
        <w:rPr>
          <w:rFonts w:hint="eastAsia" w:ascii="仿宋" w:hAnsi="仿宋" w:eastAsia="仿宋" w:cs="仿宋"/>
          <w:b/>
          <w:bCs/>
          <w:highlight w:val="none"/>
        </w:rPr>
        <w:t>5.监督部门电话</w:t>
      </w:r>
    </w:p>
    <w:p>
      <w:pPr>
        <w:pStyle w:val="9"/>
        <w:spacing w:line="348" w:lineRule="auto"/>
        <w:ind w:left="0" w:firstLine="480" w:firstLineChars="200"/>
        <w:jc w:val="both"/>
        <w:rPr>
          <w:rFonts w:ascii="仿宋" w:hAnsi="仿宋" w:eastAsia="仿宋" w:cs="仿宋"/>
          <w:color w:val="auto"/>
          <w:kern w:val="2"/>
          <w:sz w:val="24"/>
          <w:szCs w:val="24"/>
          <w:highlight w:val="none"/>
        </w:rPr>
      </w:pPr>
      <w:r>
        <w:rPr>
          <w:rFonts w:hint="eastAsia" w:ascii="仿宋" w:hAnsi="仿宋" w:eastAsia="仿宋" w:cs="仿宋"/>
          <w:color w:val="auto"/>
          <w:kern w:val="2"/>
          <w:sz w:val="24"/>
          <w:szCs w:val="24"/>
          <w:highlight w:val="none"/>
        </w:rPr>
        <w:t xml:space="preserve">行业监督部门及联系电话：陇川县财政局 0692-7172965 </w:t>
      </w:r>
    </w:p>
    <w:p>
      <w:pPr>
        <w:pStyle w:val="9"/>
        <w:spacing w:line="348" w:lineRule="auto"/>
        <w:ind w:left="0" w:firstLine="480" w:firstLineChars="200"/>
        <w:jc w:val="both"/>
        <w:rPr>
          <w:rFonts w:ascii="仿宋" w:hAnsi="仿宋" w:eastAsia="仿宋" w:cs="仿宋"/>
          <w:color w:val="auto"/>
          <w:kern w:val="2"/>
          <w:sz w:val="24"/>
          <w:szCs w:val="24"/>
          <w:highlight w:val="none"/>
        </w:rPr>
      </w:pPr>
      <w:r>
        <w:rPr>
          <w:rFonts w:hint="eastAsia" w:ascii="仿宋" w:hAnsi="仿宋" w:eastAsia="仿宋" w:cs="仿宋"/>
          <w:color w:val="auto"/>
          <w:kern w:val="2"/>
          <w:sz w:val="24"/>
          <w:szCs w:val="24"/>
          <w:highlight w:val="none"/>
        </w:rPr>
        <w:t>纪检监督联系电话：0692-12388</w:t>
      </w:r>
    </w:p>
    <w:p>
      <w:pPr>
        <w:pStyle w:val="3"/>
        <w:spacing w:line="480" w:lineRule="auto"/>
        <w:rPr>
          <w:rFonts w:ascii="仿宋" w:hAnsi="仿宋" w:eastAsia="仿宋" w:cs="仿宋"/>
          <w:sz w:val="24"/>
          <w:szCs w:val="24"/>
          <w:highlight w:val="none"/>
        </w:rPr>
      </w:pPr>
      <w:r>
        <w:rPr>
          <w:rFonts w:hint="eastAsia" w:ascii="仿宋" w:hAnsi="仿宋" w:eastAsia="仿宋" w:cs="仿宋"/>
          <w:sz w:val="24"/>
          <w:szCs w:val="24"/>
          <w:highlight w:val="none"/>
        </w:rPr>
        <w:t>七、对本次招标提出询问，请按以下方式联系。</w:t>
      </w:r>
      <w:bookmarkEnd w:id="25"/>
      <w:bookmarkEnd w:id="26"/>
      <w:bookmarkEnd w:id="27"/>
      <w:bookmarkEnd w:id="28"/>
    </w:p>
    <w:p>
      <w:pPr>
        <w:spacing w:line="480" w:lineRule="auto"/>
        <w:ind w:firstLine="480" w:firstLineChars="200"/>
        <w:rPr>
          <w:rFonts w:ascii="仿宋" w:hAnsi="仿宋" w:eastAsia="仿宋" w:cs="仿宋"/>
          <w:highlight w:val="none"/>
        </w:rPr>
      </w:pPr>
      <w:r>
        <w:rPr>
          <w:rFonts w:hint="eastAsia" w:ascii="仿宋" w:hAnsi="仿宋" w:eastAsia="仿宋" w:cs="仿宋"/>
          <w:highlight w:val="none"/>
        </w:rPr>
        <w:t>1.采购人信息</w:t>
      </w:r>
    </w:p>
    <w:p>
      <w:pPr>
        <w:spacing w:line="480" w:lineRule="auto"/>
        <w:ind w:firstLine="480" w:firstLineChars="200"/>
        <w:rPr>
          <w:rFonts w:ascii="仿宋" w:hAnsi="仿宋" w:eastAsia="仿宋" w:cs="仿宋"/>
          <w:highlight w:val="none"/>
        </w:rPr>
      </w:pPr>
      <w:r>
        <w:rPr>
          <w:rFonts w:hint="eastAsia" w:ascii="仿宋" w:hAnsi="仿宋" w:eastAsia="仿宋" w:cs="仿宋"/>
          <w:highlight w:val="none"/>
        </w:rPr>
        <w:t xml:space="preserve">名称：陇川县工业和商务科技局 </w:t>
      </w:r>
    </w:p>
    <w:p>
      <w:pPr>
        <w:spacing w:line="480" w:lineRule="auto"/>
        <w:ind w:firstLine="480" w:firstLineChars="200"/>
        <w:rPr>
          <w:rFonts w:ascii="仿宋" w:hAnsi="仿宋" w:eastAsia="仿宋" w:cs="仿宋"/>
          <w:highlight w:val="none"/>
        </w:rPr>
      </w:pPr>
      <w:r>
        <w:rPr>
          <w:rFonts w:hint="eastAsia" w:ascii="仿宋" w:hAnsi="仿宋" w:eastAsia="仿宋" w:cs="仿宋"/>
          <w:highlight w:val="none"/>
        </w:rPr>
        <w:t>地址：陇川县章凤镇勐宛南路20号</w:t>
      </w:r>
    </w:p>
    <w:p>
      <w:pPr>
        <w:spacing w:line="480" w:lineRule="auto"/>
        <w:ind w:firstLine="480" w:firstLineChars="200"/>
        <w:rPr>
          <w:rFonts w:ascii="仿宋" w:hAnsi="仿宋" w:eastAsia="仿宋" w:cs="仿宋"/>
          <w:highlight w:val="none"/>
        </w:rPr>
      </w:pPr>
      <w:r>
        <w:rPr>
          <w:rFonts w:hint="eastAsia" w:ascii="仿宋" w:hAnsi="仿宋" w:eastAsia="仿宋" w:cs="仿宋"/>
          <w:highlight w:val="none"/>
        </w:rPr>
        <w:t>联系方式：13988256899</w:t>
      </w:r>
    </w:p>
    <w:p>
      <w:pPr>
        <w:spacing w:line="480" w:lineRule="auto"/>
        <w:ind w:firstLine="480" w:firstLineChars="200"/>
        <w:rPr>
          <w:rFonts w:ascii="仿宋" w:hAnsi="仿宋" w:eastAsia="仿宋" w:cs="仿宋"/>
          <w:highlight w:val="none"/>
        </w:rPr>
      </w:pPr>
      <w:r>
        <w:rPr>
          <w:rFonts w:hint="eastAsia" w:ascii="仿宋" w:hAnsi="仿宋" w:eastAsia="仿宋" w:cs="仿宋"/>
          <w:highlight w:val="none"/>
        </w:rPr>
        <w:t>2.采购代理机构信息</w:t>
      </w:r>
    </w:p>
    <w:p>
      <w:pPr>
        <w:spacing w:line="480" w:lineRule="auto"/>
        <w:ind w:firstLine="480" w:firstLineChars="200"/>
        <w:rPr>
          <w:rFonts w:ascii="仿宋" w:hAnsi="仿宋" w:eastAsia="仿宋" w:cs="仿宋"/>
          <w:highlight w:val="none"/>
        </w:rPr>
      </w:pPr>
      <w:r>
        <w:rPr>
          <w:rFonts w:hint="eastAsia" w:ascii="仿宋" w:hAnsi="仿宋" w:eastAsia="仿宋" w:cs="仿宋"/>
          <w:highlight w:val="none"/>
        </w:rPr>
        <w:t>名称：德宏裕豪招标咨询有限公司</w:t>
      </w:r>
    </w:p>
    <w:p>
      <w:pPr>
        <w:spacing w:line="480" w:lineRule="auto"/>
        <w:ind w:firstLine="480" w:firstLineChars="200"/>
        <w:rPr>
          <w:rFonts w:ascii="仿宋" w:hAnsi="仿宋" w:eastAsia="仿宋" w:cs="仿宋"/>
          <w:highlight w:val="none"/>
        </w:rPr>
      </w:pPr>
      <w:r>
        <w:rPr>
          <w:rFonts w:hint="eastAsia" w:ascii="仿宋" w:hAnsi="仿宋" w:eastAsia="仿宋" w:cs="仿宋"/>
          <w:highlight w:val="none"/>
        </w:rPr>
        <w:t>地址：陇川县章凤镇民族步行街18幢3号</w:t>
      </w:r>
    </w:p>
    <w:p>
      <w:pPr>
        <w:spacing w:line="480" w:lineRule="auto"/>
        <w:ind w:firstLine="480" w:firstLineChars="200"/>
        <w:rPr>
          <w:rFonts w:ascii="仿宋" w:hAnsi="仿宋" w:eastAsia="仿宋" w:cs="仿宋"/>
          <w:highlight w:val="none"/>
        </w:rPr>
      </w:pPr>
      <w:r>
        <w:rPr>
          <w:rFonts w:hint="eastAsia" w:ascii="仿宋" w:hAnsi="仿宋" w:eastAsia="仿宋" w:cs="仿宋"/>
          <w:highlight w:val="none"/>
        </w:rPr>
        <w:t>联系方式：0692-7186998</w:t>
      </w:r>
    </w:p>
    <w:p>
      <w:pPr>
        <w:pStyle w:val="3"/>
        <w:spacing w:before="0" w:after="0" w:line="480" w:lineRule="auto"/>
        <w:ind w:firstLine="480" w:firstLineChars="200"/>
        <w:rPr>
          <w:rFonts w:ascii="仿宋" w:hAnsi="仿宋" w:eastAsia="仿宋" w:cs="仿宋"/>
          <w:b w:val="0"/>
          <w:sz w:val="24"/>
          <w:szCs w:val="24"/>
          <w:highlight w:val="none"/>
        </w:rPr>
      </w:pPr>
      <w:bookmarkStart w:id="29" w:name="_Toc35393808"/>
      <w:bookmarkStart w:id="30" w:name="_Toc35393639"/>
      <w:bookmarkStart w:id="31" w:name="_Toc28359098"/>
      <w:bookmarkStart w:id="32" w:name="_Toc28359021"/>
      <w:r>
        <w:rPr>
          <w:rFonts w:hint="eastAsia" w:ascii="仿宋" w:hAnsi="仿宋" w:eastAsia="仿宋" w:cs="仿宋"/>
          <w:b w:val="0"/>
          <w:sz w:val="24"/>
          <w:szCs w:val="24"/>
          <w:highlight w:val="none"/>
        </w:rPr>
        <w:t>3.项目联系方式</w:t>
      </w:r>
      <w:bookmarkEnd w:id="29"/>
      <w:bookmarkEnd w:id="30"/>
      <w:bookmarkEnd w:id="31"/>
      <w:bookmarkEnd w:id="32"/>
    </w:p>
    <w:p>
      <w:pPr>
        <w:pStyle w:val="8"/>
        <w:spacing w:line="480" w:lineRule="auto"/>
        <w:ind w:firstLine="480" w:firstLineChars="200"/>
        <w:rPr>
          <w:rFonts w:ascii="仿宋" w:hAnsi="仿宋" w:eastAsia="仿宋" w:cs="仿宋"/>
          <w:color w:val="auto"/>
          <w:szCs w:val="24"/>
          <w:highlight w:val="none"/>
        </w:rPr>
      </w:pPr>
      <w:r>
        <w:rPr>
          <w:rFonts w:hint="eastAsia" w:ascii="仿宋" w:hAnsi="仿宋" w:eastAsia="仿宋" w:cs="仿宋"/>
          <w:color w:val="auto"/>
          <w:szCs w:val="24"/>
          <w:highlight w:val="none"/>
        </w:rPr>
        <w:t>项目联系人：董先生（采购人）杨连智、寸待婷（采购代理机构）</w:t>
      </w:r>
    </w:p>
    <w:p>
      <w:pPr>
        <w:spacing w:line="360" w:lineRule="auto"/>
        <w:ind w:left="547" w:leftChars="228"/>
        <w:rPr>
          <w:rFonts w:ascii="仿宋" w:hAnsi="仿宋" w:eastAsia="仿宋" w:cs="仿宋"/>
          <w:b/>
          <w:sz w:val="21"/>
          <w:szCs w:val="21"/>
          <w:highlight w:val="none"/>
        </w:rPr>
      </w:pPr>
      <w:r>
        <w:rPr>
          <w:rFonts w:hint="eastAsia" w:ascii="仿宋" w:hAnsi="仿宋" w:eastAsia="仿宋" w:cs="仿宋"/>
          <w:highlight w:val="none"/>
        </w:rPr>
        <w:t>电话：13988256899（采购人）、</w:t>
      </w:r>
      <w:r>
        <w:rPr>
          <w:rFonts w:hint="eastAsia" w:ascii="仿宋" w:hAnsi="仿宋" w:eastAsia="仿宋" w:cs="仿宋"/>
          <w:bCs/>
          <w:highlight w:val="none"/>
        </w:rPr>
        <w:t>18869210599、15208813001</w:t>
      </w:r>
      <w:r>
        <w:rPr>
          <w:rFonts w:hint="eastAsia" w:ascii="仿宋" w:hAnsi="仿宋" w:eastAsia="仿宋" w:cs="仿宋"/>
          <w:highlight w:val="none"/>
        </w:rPr>
        <w:t>（采购代理机构)</w:t>
      </w:r>
    </w:p>
    <w:p>
      <w:bookmarkStart w:id="33" w:name="_GoBack"/>
      <w:bookmarkEnd w:id="33"/>
    </w:p>
    <w:sectPr>
      <w:pgSz w:w="11906" w:h="16838"/>
      <w:pgMar w:top="1440" w:right="1800" w:bottom="1440" w:left="1800" w:header="851" w:footer="992" w:gutter="0"/>
      <w:cols w:space="425" w:num="1"/>
      <w:docGrid w:type="lines" w:linePitch="312" w:charSpace="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20007A87" w:usb1="80000000" w:usb2="00000008" w:usb3="00000000" w:csb0="000001FF" w:csb1="00000000"/>
  </w:font>
  <w:font w:name="宋体">
    <w:panose1 w:val="02010600030101010101"/>
    <w:charset w:val="86"/>
    <w:family w:val="auto"/>
    <w:pitch w:val="default"/>
    <w:sig w:usb0="00000203" w:usb1="288F0000" w:usb2="00000006" w:usb3="00000000" w:csb0="00040001" w:csb1="00000000"/>
  </w:font>
  <w:font w:name="Wingdings">
    <w:panose1 w:val="05000000000000000000"/>
    <w:charset w:val="02"/>
    <w:family w:val="auto"/>
    <w:pitch w:val="default"/>
    <w:sig w:usb0="00000000" w:usb1="00000000" w:usb2="00000000" w:usb3="00000000" w:csb0="80000000" w:csb1="00000000"/>
  </w:font>
  <w:font w:name="Arial">
    <w:panose1 w:val="020B0604020202020204"/>
    <w:charset w:val="01"/>
    <w:family w:val="swiss"/>
    <w:pitch w:val="default"/>
    <w:sig w:usb0="E0002EFF" w:usb1="C000785B" w:usb2="00000009" w:usb3="00000000" w:csb0="400001FF" w:csb1="FFFF0000"/>
  </w:font>
  <w:font w:name="黑体">
    <w:panose1 w:val="02010609060101010101"/>
    <w:charset w:val="86"/>
    <w:family w:val="auto"/>
    <w:pitch w:val="default"/>
    <w:sig w:usb0="800002BF" w:usb1="38CF7CFA" w:usb2="00000016" w:usb3="00000000" w:csb0="00040001" w:csb1="00000000"/>
  </w:font>
  <w:font w:name="Courier New">
    <w:panose1 w:val="02070309020205020404"/>
    <w:charset w:val="01"/>
    <w:family w:val="modern"/>
    <w:pitch w:val="default"/>
    <w:sig w:usb0="E0002EFF" w:usb1="C0007843" w:usb2="00000009" w:usb3="00000000" w:csb0="400001FF" w:csb1="FFFF0000"/>
  </w:font>
  <w:font w:name="Symbol">
    <w:panose1 w:val="05050102010706020507"/>
    <w:charset w:val="02"/>
    <w:family w:val="roman"/>
    <w:pitch w:val="default"/>
    <w:sig w:usb0="00000000" w:usb1="00000000" w:usb2="00000000" w:usb3="00000000" w:csb0="80000000" w:csb1="00000000"/>
  </w:font>
  <w:font w:name="Calibri">
    <w:panose1 w:val="020F0502020204030204"/>
    <w:charset w:val="00"/>
    <w:family w:val="swiss"/>
    <w:pitch w:val="default"/>
    <w:sig w:usb0="E4002EFF" w:usb1="C200247B" w:usb2="00000009" w:usb3="00000000" w:csb0="200001FF" w:csb1="00000000"/>
  </w:font>
  <w:font w:name="仿宋_GB2312">
    <w:altName w:val="仿宋"/>
    <w:panose1 w:val="02010609030101010101"/>
    <w:charset w:val="86"/>
    <w:family w:val="modern"/>
    <w:pitch w:val="default"/>
    <w:sig w:usb0="00000000" w:usb1="00000000" w:usb2="00000010" w:usb3="00000000" w:csb0="00040000" w:csb1="00000000"/>
  </w:font>
  <w:font w:name="仿宋">
    <w:panose1 w:val="02010609060101010101"/>
    <w:charset w:val="86"/>
    <w:family w:val="modern"/>
    <w:pitch w:val="default"/>
    <w:sig w:usb0="800002BF" w:usb1="38CF7CFA" w:usb2="00000016" w:usb3="00000000" w:csb0="00040001"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xmlns:wpsCustomData="http://www.wps.cn/officeDocument/2013/wpsCustomData" mc:Ignorable="w14">
  <w:zoom w:percent="94"/>
  <w:embedSystemFonts/>
  <w:bordersDoNotSurroundHeader w:val="1"/>
  <w:bordersDoNotSurroundFooter w:val="1"/>
  <w:documentProtection w:enforcement="0"/>
  <w:defaultTabStop w:val="420"/>
  <w:drawingGridVerticalSpacing w:val="156"/>
  <w:displayHorizontalDrawingGridEvery w:val="0"/>
  <w:displayVerticalDrawingGridEvery w:val="2"/>
  <w:characterSpacingControl w:val="compressPunctuation"/>
  <w:compat>
    <w:spaceForUL/>
    <w:balanceSingleByteDoubleByteWidth/>
    <w:doNotLeaveBackslashAlone/>
    <w:ulTrailSpace/>
    <w:doNotExpandShiftReturn/>
    <w:adjustLineHeightInTable/>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docVars>
    <w:docVar w:name="commondata" w:val="eyJoZGlkIjoiZjFmZWIzNDg2MmIzZjExOTIzMmViNTBmYTMwYTk0ZWYifQ=="/>
  </w:docVars>
  <w:rsids>
    <w:rsidRoot w:val="0663454D"/>
    <w:rsid w:val="0663454D"/>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xmlns:wpsCustomData="http://www.wps.cn/officeDocument/2013/wpsCustomData" mc:Ignorable="w14">
  <w:docDefaults>
    <w:rPrDefault>
      <w:rPr>
        <w:rFonts w:asciiTheme="minorHAnsi" w:hAnsiTheme="minorHAnsi" w:eastAsiaTheme="minorEastAsia" w:cstheme="minorBidi"/>
      </w:rPr>
    </w:rPrDefault>
    <w:pPrDefault/>
  </w:docDefaults>
  <w:latentStyles w:count="260" w:defQFormat="0" w:defUnhideWhenUsed="1" w:defSemiHidden="1" w:defUIPriority="99" w:defLockedState="0">
    <w:lsdException w:qFormat="1" w:unhideWhenUsed="0" w:uiPriority="0" w:semiHidden="0" w:name="Normal"/>
    <w:lsdException w:qFormat="1" w:unhideWhenUsed="0" w:uiPriority="0" w:semiHidden="0" w:name="heading 1"/>
    <w:lsdException w:qFormat="1" w:unhideWhenUsed="0" w:uiPriority="0" w:semiHidden="0" w:name="heading 2"/>
    <w:lsdException w:qFormat="1" w:unhideWhenUsed="0" w:uiPriority="0" w:semiHidden="0" w:name="heading 3"/>
    <w:lsdException w:qFormat="1" w:uiPriority="0" w:name="heading 4"/>
    <w:lsdException w:qFormat="1" w:uiPriority="0" w:name="heading 5"/>
    <w:lsdException w:qFormat="1" w:uiPriority="0" w:name="heading 6"/>
    <w:lsdException w:qFormat="1" w:uiPriority="0" w:name="heading 7"/>
    <w:lsdException w:qFormat="1" w:uiPriority="0" w:name="heading 8"/>
    <w:lsdException w:qFormat="1" w:uiPriority="0" w:name="heading 9"/>
    <w:lsdException w:unhideWhenUsed="0" w:uiPriority="0" w:semiHidden="0" w:name="index 1"/>
    <w:lsdException w:unhideWhenUsed="0" w:uiPriority="0" w:semiHidden="0" w:name="index 2"/>
    <w:lsdException w:unhideWhenUsed="0" w:uiPriority="0" w:semiHidden="0" w:name="index 3"/>
    <w:lsdException w:unhideWhenUsed="0" w:uiPriority="0" w:semiHidden="0" w:name="index 4"/>
    <w:lsdException w:unhideWhenUsed="0" w:uiPriority="0" w:semiHidden="0" w:name="index 5"/>
    <w:lsdException w:unhideWhenUsed="0" w:uiPriority="0" w:semiHidden="0" w:name="index 6"/>
    <w:lsdException w:unhideWhenUsed="0" w:uiPriority="0" w:semiHidden="0" w:name="index 7"/>
    <w:lsdException w:unhideWhenUsed="0" w:uiPriority="0" w:semiHidden="0" w:name="index 8"/>
    <w:lsdException w:unhideWhenUsed="0" w:uiPriority="0" w:semiHidden="0" w:name="index 9"/>
    <w:lsdException w:unhideWhenUsed="0" w:uiPriority="0" w:semiHidden="0" w:name="toc 1"/>
    <w:lsdException w:unhideWhenUsed="0" w:uiPriority="0" w:semiHidden="0" w:name="toc 2"/>
    <w:lsdException w:unhideWhenUsed="0" w:uiPriority="0" w:semiHidden="0" w:name="toc 3"/>
    <w:lsdException w:unhideWhenUsed="0" w:uiPriority="0" w:semiHidden="0" w:name="toc 4"/>
    <w:lsdException w:unhideWhenUsed="0" w:uiPriority="0" w:semiHidden="0" w:name="toc 5"/>
    <w:lsdException w:unhideWhenUsed="0" w:uiPriority="0" w:semiHidden="0" w:name="toc 6"/>
    <w:lsdException w:unhideWhenUsed="0" w:uiPriority="0" w:semiHidden="0" w:name="toc 7"/>
    <w:lsdException w:unhideWhenUsed="0" w:uiPriority="0" w:semiHidden="0" w:name="toc 8"/>
    <w:lsdException w:unhideWhenUsed="0" w:uiPriority="0" w:semiHidden="0" w:name="toc 9"/>
    <w:lsdException w:unhideWhenUsed="0" w:uiPriority="0" w:semiHidden="0" w:name="Normal Indent"/>
    <w:lsdException w:unhideWhenUsed="0" w:uiPriority="0" w:semiHidden="0" w:name="footnote text"/>
    <w:lsdException w:unhideWhenUsed="0" w:uiPriority="0" w:semiHidden="0" w:name="annotation text"/>
    <w:lsdException w:unhideWhenUsed="0" w:uiPriority="0" w:semiHidden="0" w:name="header"/>
    <w:lsdException w:unhideWhenUsed="0" w:uiPriority="0" w:semiHidden="0" w:name="footer"/>
    <w:lsdException w:unhideWhenUsed="0" w:uiPriority="0" w:semiHidden="0" w:name="index heading"/>
    <w:lsdException w:qFormat="1" w:uiPriority="0" w:name="caption"/>
    <w:lsdException w:unhideWhenUsed="0" w:uiPriority="0" w:semiHidden="0" w:name="table of figures"/>
    <w:lsdException w:unhideWhenUsed="0" w:uiPriority="0" w:semiHidden="0" w:name="envelope address"/>
    <w:lsdException w:unhideWhenUsed="0" w:uiPriority="0" w:semiHidden="0" w:name="envelope return"/>
    <w:lsdException w:unhideWhenUsed="0" w:uiPriority="0" w:semiHidden="0" w:name="footnote reference"/>
    <w:lsdException w:unhideWhenUsed="0" w:uiPriority="0" w:semiHidden="0" w:name="annotation reference"/>
    <w:lsdException w:unhideWhenUsed="0" w:uiPriority="0" w:semiHidden="0" w:name="line number"/>
    <w:lsdException w:unhideWhenUsed="0" w:uiPriority="0" w:semiHidden="0" w:name="page number"/>
    <w:lsdException w:unhideWhenUsed="0" w:uiPriority="0" w:semiHidden="0" w:name="endnote reference"/>
    <w:lsdException w:unhideWhenUsed="0" w:uiPriority="0" w:semiHidden="0" w:name="endnote text"/>
    <w:lsdException w:unhideWhenUsed="0" w:uiPriority="0" w:semiHidden="0" w:name="table of authorities"/>
    <w:lsdException w:unhideWhenUsed="0" w:uiPriority="0" w:semiHidden="0" w:name="macro"/>
    <w:lsdException w:unhideWhenUsed="0" w:uiPriority="0" w:semiHidden="0" w:name="toa heading"/>
    <w:lsdException w:unhideWhenUsed="0" w:uiPriority="0" w:semiHidden="0" w:name="List"/>
    <w:lsdException w:unhideWhenUsed="0" w:uiPriority="0" w:semiHidden="0" w:name="List Bullet"/>
    <w:lsdException w:unhideWhenUsed="0" w:uiPriority="0" w:semiHidden="0" w:name="List Number"/>
    <w:lsdException w:unhideWhenUsed="0" w:uiPriority="0" w:semiHidden="0" w:name="List 2"/>
    <w:lsdException w:unhideWhenUsed="0" w:uiPriority="0" w:semiHidden="0" w:name="List 3"/>
    <w:lsdException w:unhideWhenUsed="0" w:uiPriority="0" w:semiHidden="0" w:name="List 4"/>
    <w:lsdException w:unhideWhenUsed="0" w:uiPriority="0" w:semiHidden="0" w:name="List 5"/>
    <w:lsdException w:unhideWhenUsed="0" w:uiPriority="0" w:semiHidden="0" w:name="List Bullet 2"/>
    <w:lsdException w:unhideWhenUsed="0" w:uiPriority="0" w:semiHidden="0" w:name="List Bullet 3"/>
    <w:lsdException w:unhideWhenUsed="0" w:uiPriority="0" w:semiHidden="0" w:name="List Bullet 4"/>
    <w:lsdException w:unhideWhenUsed="0" w:uiPriority="0" w:semiHidden="0" w:name="List Bullet 5"/>
    <w:lsdException w:unhideWhenUsed="0" w:uiPriority="0" w:semiHidden="0" w:name="List Number 2"/>
    <w:lsdException w:unhideWhenUsed="0" w:uiPriority="0" w:semiHidden="0" w:name="List Number 3"/>
    <w:lsdException w:unhideWhenUsed="0" w:uiPriority="0" w:semiHidden="0" w:name="List Number 4"/>
    <w:lsdException w:unhideWhenUsed="0" w:uiPriority="0" w:semiHidden="0" w:name="List Number 5"/>
    <w:lsdException w:qFormat="1" w:unhideWhenUsed="0" w:uiPriority="0" w:semiHidden="0" w:name="Title"/>
    <w:lsdException w:unhideWhenUsed="0" w:uiPriority="0" w:semiHidden="0" w:name="Closing"/>
    <w:lsdException w:unhideWhenUsed="0" w:uiPriority="0" w:semiHidden="0" w:name="Signature"/>
    <w:lsdException w:unhideWhenUsed="0" w:uiPriority="0" w:name="Default Paragraph Font"/>
    <w:lsdException w:qFormat="1" w:uiPriority="0" w:semiHidden="0" w:name="Body Text"/>
    <w:lsdException w:qFormat="1" w:unhideWhenUsed="0" w:uiPriority="99" w:semiHidden="0" w:name="Body Text Indent"/>
    <w:lsdException w:unhideWhenUsed="0" w:uiPriority="0" w:semiHidden="0" w:name="List Continue"/>
    <w:lsdException w:unhideWhenUsed="0" w:uiPriority="0" w:semiHidden="0" w:name="List Continue 2"/>
    <w:lsdException w:unhideWhenUsed="0" w:uiPriority="0" w:semiHidden="0" w:name="List Continue 3"/>
    <w:lsdException w:unhideWhenUsed="0" w:uiPriority="0" w:semiHidden="0" w:name="List Continue 4"/>
    <w:lsdException w:unhideWhenUsed="0" w:uiPriority="0" w:semiHidden="0" w:name="List Continue 5"/>
    <w:lsdException w:unhideWhenUsed="0" w:uiPriority="0" w:semiHidden="0" w:name="Message Header"/>
    <w:lsdException w:qFormat="1" w:unhideWhenUsed="0" w:uiPriority="0" w:semiHidden="0" w:name="Subtitle"/>
    <w:lsdException w:unhideWhenUsed="0" w:uiPriority="0" w:semiHidden="0" w:name="Salutation"/>
    <w:lsdException w:unhideWhenUsed="0" w:uiPriority="0" w:semiHidden="0" w:name="Date"/>
    <w:lsdException w:qFormat="1" w:unhideWhenUsed="0" w:uiPriority="0" w:semiHidden="0" w:name="Body Text First Indent"/>
    <w:lsdException w:qFormat="1" w:unhideWhenUsed="0" w:uiPriority="0" w:semiHidden="0" w:name="Body Text First Indent 2"/>
    <w:lsdException w:unhideWhenUsed="0" w:uiPriority="0" w:semiHidden="0" w:name="Note Heading"/>
    <w:lsdException w:unhideWhenUsed="0" w:uiPriority="0" w:semiHidden="0" w:name="Body Text 2"/>
    <w:lsdException w:unhideWhenUsed="0" w:uiPriority="0" w:semiHidden="0" w:name="Body Text 3"/>
    <w:lsdException w:unhideWhenUsed="0" w:uiPriority="0" w:semiHidden="0" w:name="Body Text Indent 2"/>
    <w:lsdException w:unhideWhenUsed="0" w:uiPriority="0" w:semiHidden="0" w:name="Body Text Indent 3"/>
    <w:lsdException w:unhideWhenUsed="0" w:uiPriority="0" w:semiHidden="0" w:name="Block Text"/>
    <w:lsdException w:unhideWhenUsed="0" w:uiPriority="0" w:semiHidden="0" w:name="Hyperlink"/>
    <w:lsdException w:unhideWhenUsed="0" w:uiPriority="0" w:semiHidden="0" w:name="FollowedHyperlink"/>
    <w:lsdException w:qFormat="1" w:unhideWhenUsed="0" w:uiPriority="0" w:semiHidden="0" w:name="Strong"/>
    <w:lsdException w:qFormat="1" w:unhideWhenUsed="0" w:uiPriority="0" w:semiHidden="0" w:name="Emphasis"/>
    <w:lsdException w:unhideWhenUsed="0" w:uiPriority="0" w:semiHidden="0" w:name="Document Map"/>
    <w:lsdException w:qFormat="1" w:unhideWhenUsed="0" w:uiPriority="0" w:semiHidden="0" w:name="Plain Text"/>
    <w:lsdException w:unhideWhenUsed="0" w:uiPriority="0" w:semiHidden="0" w:name="E-mail Signature"/>
    <w:lsdException w:qFormat="1" w:unhideWhenUsed="0" w:uiPriority="99" w:semiHidden="0" w:name="Normal (Web)"/>
    <w:lsdException w:unhideWhenUsed="0" w:uiPriority="0" w:semiHidden="0" w:name="HTML Acronym"/>
    <w:lsdException w:unhideWhenUsed="0" w:uiPriority="0" w:semiHidden="0" w:name="HTML Address"/>
    <w:lsdException w:unhideWhenUsed="0" w:uiPriority="0" w:semiHidden="0" w:name="HTML Cite"/>
    <w:lsdException w:unhideWhenUsed="0" w:uiPriority="0" w:semiHidden="0" w:name="HTML Code"/>
    <w:lsdException w:unhideWhenUsed="0" w:uiPriority="0" w:semiHidden="0" w:name="HTML Definition"/>
    <w:lsdException w:unhideWhenUsed="0" w:uiPriority="0" w:semiHidden="0" w:name="HTML Keyboard"/>
    <w:lsdException w:unhideWhenUsed="0" w:uiPriority="0" w:semiHidden="0" w:name="HTML Preformatted"/>
    <w:lsdException w:unhideWhenUsed="0" w:uiPriority="0" w:semiHidden="0" w:name="HTML Sample"/>
    <w:lsdException w:unhideWhenUsed="0" w:uiPriority="0" w:semiHidden="0" w:name="HTML Typewriter"/>
    <w:lsdException w:unhideWhenUsed="0" w:uiPriority="0" w:semiHidden="0" w:name="HTML Variable"/>
    <w:lsdException w:qFormat="1" w:unhideWhenUsed="0" w:uiPriority="0" w:name="Normal Table"/>
    <w:lsdException w:unhideWhenUsed="0" w:uiPriority="0" w:semiHidden="0" w:name="annotation subject"/>
    <w:lsdException w:unhideWhenUsed="0" w:uiPriority="0" w:semiHidden="0" w:name="Table Simple 1"/>
    <w:lsdException w:unhideWhenUsed="0" w:uiPriority="0" w:semiHidden="0" w:name="Table Simple 2"/>
    <w:lsdException w:unhideWhenUsed="0" w:uiPriority="0" w:semiHidden="0" w:name="Table Simple 3"/>
    <w:lsdException w:unhideWhenUsed="0" w:uiPriority="0" w:semiHidden="0" w:name="Table Classic 1"/>
    <w:lsdException w:unhideWhenUsed="0" w:uiPriority="0" w:semiHidden="0" w:name="Table Classic 2"/>
    <w:lsdException w:unhideWhenUsed="0" w:uiPriority="0" w:semiHidden="0" w:name="Table Classic 3"/>
    <w:lsdException w:unhideWhenUsed="0" w:uiPriority="0" w:semiHidden="0" w:name="Table Classic 4"/>
    <w:lsdException w:unhideWhenUsed="0" w:uiPriority="0" w:semiHidden="0" w:name="Table Colorful 1"/>
    <w:lsdException w:unhideWhenUsed="0" w:uiPriority="0" w:semiHidden="0" w:name="Table Colorful 2"/>
    <w:lsdException w:unhideWhenUsed="0" w:uiPriority="0" w:semiHidden="0" w:name="Table Colorful 3"/>
    <w:lsdException w:unhideWhenUsed="0" w:uiPriority="0" w:semiHidden="0" w:name="Table Columns 1"/>
    <w:lsdException w:unhideWhenUsed="0" w:uiPriority="0" w:semiHidden="0" w:name="Table Columns 2"/>
    <w:lsdException w:unhideWhenUsed="0" w:uiPriority="0" w:semiHidden="0" w:name="Table Columns 3"/>
    <w:lsdException w:unhideWhenUsed="0" w:uiPriority="0" w:semiHidden="0" w:name="Table Columns 4"/>
    <w:lsdException w:unhideWhenUsed="0" w:uiPriority="0" w:semiHidden="0" w:name="Table Columns 5"/>
    <w:lsdException w:unhideWhenUsed="0" w:uiPriority="0" w:semiHidden="0" w:name="Table Grid 1"/>
    <w:lsdException w:unhideWhenUsed="0" w:uiPriority="0" w:semiHidden="0" w:name="Table Grid 2"/>
    <w:lsdException w:unhideWhenUsed="0" w:uiPriority="0" w:semiHidden="0" w:name="Table Grid 3"/>
    <w:lsdException w:unhideWhenUsed="0" w:uiPriority="0" w:semiHidden="0" w:name="Table Grid 4"/>
    <w:lsdException w:unhideWhenUsed="0" w:uiPriority="0" w:semiHidden="0" w:name="Table Grid 5"/>
    <w:lsdException w:unhideWhenUsed="0" w:uiPriority="0" w:semiHidden="0" w:name="Table Grid 6"/>
    <w:lsdException w:unhideWhenUsed="0" w:uiPriority="0" w:semiHidden="0" w:name="Table Grid 7"/>
    <w:lsdException w:unhideWhenUsed="0" w:uiPriority="0" w:semiHidden="0" w:name="Table Grid 8"/>
    <w:lsdException w:unhideWhenUsed="0" w:uiPriority="0" w:semiHidden="0" w:name="Table List 1"/>
    <w:lsdException w:unhideWhenUsed="0" w:uiPriority="0" w:semiHidden="0" w:name="Table List 2"/>
    <w:lsdException w:unhideWhenUsed="0" w:uiPriority="0" w:semiHidden="0" w:name="Table List 3"/>
    <w:lsdException w:unhideWhenUsed="0" w:uiPriority="0" w:semiHidden="0" w:name="Table List 4"/>
    <w:lsdException w:unhideWhenUsed="0" w:uiPriority="0" w:semiHidden="0" w:name="Table List 5"/>
    <w:lsdException w:unhideWhenUsed="0" w:uiPriority="0" w:semiHidden="0" w:name="Table List 6"/>
    <w:lsdException w:unhideWhenUsed="0" w:uiPriority="0" w:semiHidden="0" w:name="Table List 7"/>
    <w:lsdException w:unhideWhenUsed="0" w:uiPriority="0" w:semiHidden="0" w:name="Table List 8"/>
    <w:lsdException w:unhideWhenUsed="0" w:uiPriority="0" w:semiHidden="0" w:name="Table 3D effects 1"/>
    <w:lsdException w:unhideWhenUsed="0" w:uiPriority="0" w:semiHidden="0" w:name="Table 3D effects 2"/>
    <w:lsdException w:unhideWhenUsed="0" w:uiPriority="0" w:semiHidden="0" w:name="Table 3D effects 3"/>
    <w:lsdException w:unhideWhenUsed="0" w:uiPriority="0" w:semiHidden="0" w:name="Table Contemporary"/>
    <w:lsdException w:unhideWhenUsed="0" w:uiPriority="0" w:semiHidden="0" w:name="Table Elegant"/>
    <w:lsdException w:unhideWhenUsed="0" w:uiPriority="0" w:semiHidden="0" w:name="Table Professional"/>
    <w:lsdException w:unhideWhenUsed="0" w:uiPriority="0" w:semiHidden="0" w:name="Table Subtle 1"/>
    <w:lsdException w:unhideWhenUsed="0" w:uiPriority="0" w:semiHidden="0" w:name="Table Subtle 2"/>
    <w:lsdException w:unhideWhenUsed="0" w:uiPriority="0" w:semiHidden="0" w:name="Table Web 1"/>
    <w:lsdException w:unhideWhenUsed="0" w:uiPriority="0" w:semiHidden="0" w:name="Table Web 2"/>
    <w:lsdException w:unhideWhenUsed="0" w:uiPriority="0" w:semiHidden="0" w:name="Table Web 3"/>
    <w:lsdException w:unhideWhenUsed="0" w:uiPriority="0" w:semiHidden="0" w:name="Balloon Text"/>
    <w:lsdException w:unhideWhenUsed="0" w:uiPriority="0" w:semiHidden="0" w:name="Table Grid"/>
    <w:lsdException w:unhideWhenUsed="0" w:uiPriority="0" w:semiHidden="0" w:name="Table Theme"/>
    <w:lsdException w:unhideWhenUsed="0" w:uiPriority="60" w:semiHidden="0" w:name="Light Shading"/>
    <w:lsdException w:unhideWhenUsed="0" w:uiPriority="61" w:semiHidden="0" w:name="Light List"/>
    <w:lsdException w:unhideWhenUsed="0" w:uiPriority="62" w:semiHidden="0" w:name="Light Grid"/>
    <w:lsdException w:unhideWhenUsed="0" w:uiPriority="63" w:semiHidden="0" w:name="Medium Shading 1"/>
    <w:lsdException w:unhideWhenUsed="0" w:uiPriority="64" w:semiHidden="0" w:name="Medium Shading 2"/>
    <w:lsdException w:unhideWhenUsed="0" w:uiPriority="65" w:semiHidden="0" w:name="Medium List 1"/>
    <w:lsdException w:unhideWhenUsed="0" w:uiPriority="66" w:semiHidden="0" w:name="Medium List 2"/>
    <w:lsdException w:unhideWhenUsed="0" w:uiPriority="67" w:semiHidden="0" w:name="Medium Grid 1"/>
    <w:lsdException w:unhideWhenUsed="0" w:uiPriority="68" w:semiHidden="0" w:name="Medium Grid 2"/>
    <w:lsdException w:unhideWhenUsed="0" w:uiPriority="69" w:semiHidden="0" w:name="Medium Grid 3"/>
    <w:lsdException w:unhideWhenUsed="0" w:uiPriority="70" w:semiHidden="0" w:name="Dark List"/>
    <w:lsdException w:unhideWhenUsed="0" w:uiPriority="71" w:semiHidden="0" w:name="Colorful Shading"/>
    <w:lsdException w:unhideWhenUsed="0" w:uiPriority="72" w:semiHidden="0" w:name="Colorful List"/>
    <w:lsdException w:unhideWhenUsed="0" w:uiPriority="73" w:semiHidden="0" w:name="Colorful Grid"/>
    <w:lsdException w:unhideWhenUsed="0" w:uiPriority="60" w:semiHidden="0" w:name="Light Shading Accent 1"/>
    <w:lsdException w:unhideWhenUsed="0" w:uiPriority="61" w:semiHidden="0" w:name="Light List Accent 1"/>
    <w:lsdException w:unhideWhenUsed="0" w:uiPriority="62" w:semiHidden="0" w:name="Light Grid Accent 1"/>
    <w:lsdException w:unhideWhenUsed="0" w:uiPriority="63" w:semiHidden="0" w:name="Medium Shading 1 Accent 1"/>
    <w:lsdException w:unhideWhenUsed="0" w:uiPriority="64" w:semiHidden="0" w:name="Medium Shading 2 Accent 1"/>
    <w:lsdException w:unhideWhenUsed="0" w:uiPriority="65" w:semiHidden="0" w:name="Medium List 1 Accent 1"/>
    <w:lsdException w:unhideWhenUsed="0" w:uiPriority="66" w:semiHidden="0" w:name="Medium List 2 Accent 1"/>
    <w:lsdException w:unhideWhenUsed="0" w:uiPriority="67" w:semiHidden="0" w:name="Medium Grid 1 Accent 1"/>
    <w:lsdException w:unhideWhenUsed="0" w:uiPriority="68" w:semiHidden="0" w:name="Medium Grid 2 Accent 1"/>
    <w:lsdException w:unhideWhenUsed="0" w:uiPriority="69" w:semiHidden="0" w:name="Medium Grid 3 Accent 1"/>
    <w:lsdException w:unhideWhenUsed="0" w:uiPriority="70" w:semiHidden="0" w:name="Dark List Accent 1"/>
    <w:lsdException w:unhideWhenUsed="0" w:uiPriority="71" w:semiHidden="0" w:name="Colorful Shading Accent 1"/>
    <w:lsdException w:unhideWhenUsed="0" w:uiPriority="72" w:semiHidden="0" w:name="Colorful List Accent 1"/>
    <w:lsdException w:unhideWhenUsed="0" w:uiPriority="73" w:semiHidden="0" w:name="Colorful Grid Accent 1"/>
    <w:lsdException w:unhideWhenUsed="0" w:uiPriority="60" w:semiHidden="0" w:name="Light Shading Accent 2"/>
    <w:lsdException w:unhideWhenUsed="0" w:uiPriority="61" w:semiHidden="0" w:name="Light List Accent 2"/>
    <w:lsdException w:unhideWhenUsed="0" w:uiPriority="62" w:semiHidden="0" w:name="Light Grid Accent 2"/>
    <w:lsdException w:unhideWhenUsed="0" w:uiPriority="63" w:semiHidden="0" w:name="Medium Shading 1 Accent 2"/>
    <w:lsdException w:unhideWhenUsed="0" w:uiPriority="64" w:semiHidden="0" w:name="Medium Shading 2 Accent 2"/>
    <w:lsdException w:unhideWhenUsed="0" w:uiPriority="65" w:semiHidden="0" w:name="Medium List 1 Accent 2"/>
    <w:lsdException w:unhideWhenUsed="0" w:uiPriority="66" w:semiHidden="0" w:name="Medium List 2 Accent 2"/>
    <w:lsdException w:unhideWhenUsed="0" w:uiPriority="67" w:semiHidden="0" w:name="Medium Grid 1 Accent 2"/>
    <w:lsdException w:unhideWhenUsed="0" w:uiPriority="68" w:semiHidden="0" w:name="Medium Grid 2 Accent 2"/>
    <w:lsdException w:unhideWhenUsed="0" w:uiPriority="69" w:semiHidden="0" w:name="Medium Grid 3 Accent 2"/>
    <w:lsdException w:unhideWhenUsed="0" w:uiPriority="70" w:semiHidden="0" w:name="Dark List Accent 2"/>
    <w:lsdException w:unhideWhenUsed="0" w:uiPriority="71" w:semiHidden="0" w:name="Colorful Shading Accent 2"/>
    <w:lsdException w:unhideWhenUsed="0" w:uiPriority="72" w:semiHidden="0" w:name="Colorful List Accent 2"/>
    <w:lsdException w:unhideWhenUsed="0" w:uiPriority="73" w:semiHidden="0" w:name="Colorful Grid Accent 2"/>
    <w:lsdException w:unhideWhenUsed="0" w:uiPriority="60" w:semiHidden="0" w:name="Light Shading Accent 3"/>
    <w:lsdException w:unhideWhenUsed="0" w:uiPriority="61" w:semiHidden="0" w:name="Light List Accent 3"/>
    <w:lsdException w:unhideWhenUsed="0" w:uiPriority="62" w:semiHidden="0" w:name="Light Grid Accent 3"/>
    <w:lsdException w:unhideWhenUsed="0" w:uiPriority="63" w:semiHidden="0" w:name="Medium Shading 1 Accent 3"/>
    <w:lsdException w:unhideWhenUsed="0" w:uiPriority="64" w:semiHidden="0" w:name="Medium Shading 2 Accent 3"/>
    <w:lsdException w:unhideWhenUsed="0" w:uiPriority="65" w:semiHidden="0" w:name="Medium List 1 Accent 3"/>
    <w:lsdException w:unhideWhenUsed="0" w:uiPriority="66" w:semiHidden="0" w:name="Medium List 2 Accent 3"/>
    <w:lsdException w:unhideWhenUsed="0" w:uiPriority="67" w:semiHidden="0" w:name="Medium Grid 1 Accent 3"/>
    <w:lsdException w:unhideWhenUsed="0" w:uiPriority="68" w:semiHidden="0" w:name="Medium Grid 2 Accent 3"/>
    <w:lsdException w:unhideWhenUsed="0" w:uiPriority="69" w:semiHidden="0" w:name="Medium Grid 3 Accent 3"/>
    <w:lsdException w:unhideWhenUsed="0" w:uiPriority="70" w:semiHidden="0" w:name="Dark List Accent 3"/>
    <w:lsdException w:unhideWhenUsed="0" w:uiPriority="71" w:semiHidden="0" w:name="Colorful Shading Accent 3"/>
    <w:lsdException w:unhideWhenUsed="0" w:uiPriority="72" w:semiHidden="0" w:name="Colorful List Accent 3"/>
    <w:lsdException w:unhideWhenUsed="0" w:uiPriority="73" w:semiHidden="0" w:name="Colorful Grid Accent 3"/>
    <w:lsdException w:unhideWhenUsed="0" w:uiPriority="60" w:semiHidden="0" w:name="Light Shading Accent 4"/>
    <w:lsdException w:unhideWhenUsed="0" w:uiPriority="61" w:semiHidden="0" w:name="Light List Accent 4"/>
    <w:lsdException w:unhideWhenUsed="0" w:uiPriority="62" w:semiHidden="0" w:name="Light Grid Accent 4"/>
    <w:lsdException w:unhideWhenUsed="0" w:uiPriority="63" w:semiHidden="0" w:name="Medium Shading 1 Accent 4"/>
    <w:lsdException w:unhideWhenUsed="0" w:uiPriority="64" w:semiHidden="0" w:name="Medium Shading 2 Accent 4"/>
    <w:lsdException w:unhideWhenUsed="0" w:uiPriority="65" w:semiHidden="0" w:name="Medium List 1 Accent 4"/>
    <w:lsdException w:unhideWhenUsed="0" w:uiPriority="66" w:semiHidden="0" w:name="Medium List 2 Accent 4"/>
    <w:lsdException w:unhideWhenUsed="0" w:uiPriority="67" w:semiHidden="0" w:name="Medium Grid 1 Accent 4"/>
    <w:lsdException w:unhideWhenUsed="0" w:uiPriority="68" w:semiHidden="0" w:name="Medium Grid 2 Accent 4"/>
    <w:lsdException w:unhideWhenUsed="0" w:uiPriority="69" w:semiHidden="0" w:name="Medium Grid 3 Accent 4"/>
    <w:lsdException w:unhideWhenUsed="0" w:uiPriority="70" w:semiHidden="0" w:name="Dark List Accent 4"/>
    <w:lsdException w:unhideWhenUsed="0" w:uiPriority="71" w:semiHidden="0" w:name="Colorful Shading Accent 4"/>
    <w:lsdException w:unhideWhenUsed="0" w:uiPriority="72" w:semiHidden="0" w:name="Colorful List Accent 4"/>
    <w:lsdException w:unhideWhenUsed="0" w:uiPriority="73" w:semiHidden="0" w:name="Colorful Grid Accent 4"/>
    <w:lsdException w:unhideWhenUsed="0" w:uiPriority="60" w:semiHidden="0" w:name="Light Shading Accent 5"/>
    <w:lsdException w:unhideWhenUsed="0" w:uiPriority="61" w:semiHidden="0" w:name="Light List Accent 5"/>
    <w:lsdException w:unhideWhenUsed="0" w:uiPriority="62" w:semiHidden="0" w:name="Light Grid Accent 5"/>
    <w:lsdException w:unhideWhenUsed="0" w:uiPriority="63" w:semiHidden="0" w:name="Medium Shading 1 Accent 5"/>
    <w:lsdException w:unhideWhenUsed="0" w:uiPriority="64" w:semiHidden="0" w:name="Medium Shading 2 Accent 5"/>
    <w:lsdException w:unhideWhenUsed="0" w:uiPriority="65" w:semiHidden="0" w:name="Medium List 1 Accent 5"/>
    <w:lsdException w:unhideWhenUsed="0" w:uiPriority="66" w:semiHidden="0" w:name="Medium List 2 Accent 5"/>
    <w:lsdException w:unhideWhenUsed="0" w:uiPriority="67" w:semiHidden="0" w:name="Medium Grid 1 Accent 5"/>
    <w:lsdException w:unhideWhenUsed="0" w:uiPriority="68" w:semiHidden="0" w:name="Medium Grid 2 Accent 5"/>
    <w:lsdException w:unhideWhenUsed="0" w:uiPriority="69" w:semiHidden="0" w:name="Medium Grid 3 Accent 5"/>
    <w:lsdException w:unhideWhenUsed="0" w:uiPriority="70" w:semiHidden="0" w:name="Dark List Accent 5"/>
    <w:lsdException w:unhideWhenUsed="0" w:uiPriority="71" w:semiHidden="0" w:name="Colorful Shading Accent 5"/>
    <w:lsdException w:unhideWhenUsed="0" w:uiPriority="72" w:semiHidden="0" w:name="Colorful List Accent 5"/>
    <w:lsdException w:unhideWhenUsed="0" w:uiPriority="73" w:semiHidden="0" w:name="Colorful Grid Accent 5"/>
    <w:lsdException w:unhideWhenUsed="0" w:uiPriority="60" w:semiHidden="0" w:name="Light Shading Accent 6"/>
    <w:lsdException w:unhideWhenUsed="0" w:uiPriority="61" w:semiHidden="0" w:name="Light List Accent 6"/>
    <w:lsdException w:unhideWhenUsed="0" w:uiPriority="62" w:semiHidden="0" w:name="Light Grid Accent 6"/>
    <w:lsdException w:unhideWhenUsed="0" w:uiPriority="63" w:semiHidden="0" w:name="Medium Shading 1 Accent 6"/>
    <w:lsdException w:unhideWhenUsed="0" w:uiPriority="64" w:semiHidden="0" w:name="Medium Shading 2 Accent 6"/>
    <w:lsdException w:unhideWhenUsed="0" w:uiPriority="65" w:semiHidden="0" w:name="Medium List 1 Accent 6"/>
    <w:lsdException w:unhideWhenUsed="0" w:uiPriority="66" w:semiHidden="0" w:name="Medium List 2 Accent 6"/>
    <w:lsdException w:unhideWhenUsed="0" w:uiPriority="67" w:semiHidden="0" w:name="Medium Grid 1 Accent 6"/>
    <w:lsdException w:unhideWhenUsed="0" w:uiPriority="68" w:semiHidden="0" w:name="Medium Grid 2 Accent 6"/>
    <w:lsdException w:unhideWhenUsed="0" w:uiPriority="69" w:semiHidden="0" w:name="Medium Grid 3 Accent 6"/>
    <w:lsdException w:unhideWhenUsed="0" w:uiPriority="70" w:semiHidden="0" w:name="Dark List Accent 6"/>
    <w:lsdException w:unhideWhenUsed="0" w:uiPriority="71" w:semiHidden="0" w:name="Colorful Shading Accent 6"/>
    <w:lsdException w:unhideWhenUsed="0" w:uiPriority="72" w:semiHidden="0" w:name="Colorful List Accent 6"/>
    <w:lsdException w:unhideWhenUsed="0" w:uiPriority="73" w:semiHidden="0" w:name="Colorful Grid Accent 6"/>
  </w:latentStyles>
  <w:style w:type="paragraph" w:default="1" w:styleId="1">
    <w:name w:val="Normal"/>
    <w:next w:val="2"/>
    <w:qFormat/>
    <w:uiPriority w:val="0"/>
    <w:pPr>
      <w:widowControl w:val="0"/>
      <w:jc w:val="both"/>
    </w:pPr>
    <w:rPr>
      <w:rFonts w:ascii="Calibri" w:hAnsi="Calibri" w:eastAsia="宋体" w:cs="Times New Roman"/>
      <w:kern w:val="2"/>
      <w:sz w:val="24"/>
      <w:szCs w:val="24"/>
      <w:lang w:val="en-US" w:eastAsia="zh-CN" w:bidi="ar-SA"/>
    </w:rPr>
  </w:style>
  <w:style w:type="paragraph" w:styleId="3">
    <w:name w:val="heading 2"/>
    <w:basedOn w:val="1"/>
    <w:next w:val="1"/>
    <w:qFormat/>
    <w:uiPriority w:val="0"/>
    <w:pPr>
      <w:keepNext/>
      <w:keepLines/>
      <w:spacing w:before="260" w:after="260" w:line="416" w:lineRule="auto"/>
      <w:outlineLvl w:val="1"/>
    </w:pPr>
    <w:rPr>
      <w:rFonts w:ascii="Arial" w:hAnsi="Arial" w:eastAsia="黑体"/>
      <w:b/>
      <w:bCs/>
      <w:sz w:val="32"/>
      <w:szCs w:val="32"/>
    </w:rPr>
  </w:style>
  <w:style w:type="paragraph" w:styleId="4">
    <w:name w:val="heading 3"/>
    <w:basedOn w:val="1"/>
    <w:next w:val="1"/>
    <w:qFormat/>
    <w:uiPriority w:val="0"/>
    <w:pPr>
      <w:keepNext/>
      <w:keepLines/>
      <w:snapToGrid w:val="0"/>
      <w:spacing w:before="160" w:after="40" w:line="312" w:lineRule="auto"/>
      <w:jc w:val="left"/>
      <w:outlineLvl w:val="2"/>
    </w:pPr>
    <w:rPr>
      <w:rFonts w:hint="eastAsia" w:ascii="黑体" w:hAnsi="宋体" w:eastAsia="黑体"/>
      <w:b/>
      <w:snapToGrid w:val="0"/>
      <w:kern w:val="0"/>
      <w:sz w:val="30"/>
      <w:szCs w:val="20"/>
    </w:rPr>
  </w:style>
  <w:style w:type="character" w:default="1" w:styleId="11">
    <w:name w:val="Default Paragraph Font"/>
    <w:semiHidden/>
    <w:uiPriority w:val="0"/>
  </w:style>
  <w:style w:type="table" w:default="1" w:styleId="10">
    <w:name w:val="Normal Table"/>
    <w:autoRedefine/>
    <w:semiHidden/>
    <w:qFormat/>
    <w:uiPriority w:val="0"/>
    <w:tblPr>
      <w:tblCellMar>
        <w:top w:w="0" w:type="dxa"/>
        <w:left w:w="108" w:type="dxa"/>
        <w:bottom w:w="0" w:type="dxa"/>
        <w:right w:w="108" w:type="dxa"/>
      </w:tblCellMar>
    </w:tblPr>
  </w:style>
  <w:style w:type="paragraph" w:styleId="2">
    <w:name w:val="Body Text"/>
    <w:basedOn w:val="1"/>
    <w:next w:val="1"/>
    <w:unhideWhenUsed/>
    <w:qFormat/>
    <w:uiPriority w:val="0"/>
    <w:pPr>
      <w:spacing w:after="120"/>
    </w:pPr>
  </w:style>
  <w:style w:type="paragraph" w:styleId="5">
    <w:name w:val="Body Text Indent"/>
    <w:basedOn w:val="1"/>
    <w:next w:val="6"/>
    <w:qFormat/>
    <w:uiPriority w:val="99"/>
    <w:pPr>
      <w:ind w:left="420" w:leftChars="200"/>
    </w:pPr>
  </w:style>
  <w:style w:type="paragraph" w:styleId="6">
    <w:name w:val="Body Text First Indent 2"/>
    <w:basedOn w:val="5"/>
    <w:next w:val="7"/>
    <w:qFormat/>
    <w:uiPriority w:val="0"/>
    <w:pPr>
      <w:spacing w:after="120"/>
      <w:ind w:firstLine="420" w:firstLineChars="200"/>
    </w:pPr>
    <w:rPr>
      <w:rFonts w:ascii="Times New Roman"/>
      <w:sz w:val="21"/>
    </w:rPr>
  </w:style>
  <w:style w:type="paragraph" w:styleId="7">
    <w:name w:val="Body Text First Indent"/>
    <w:basedOn w:val="2"/>
    <w:qFormat/>
    <w:uiPriority w:val="0"/>
    <w:pPr>
      <w:ind w:firstLine="420" w:firstLineChars="100"/>
    </w:pPr>
    <w:rPr>
      <w:rFonts w:eastAsia="仿宋_GB2312"/>
      <w:sz w:val="30"/>
    </w:rPr>
  </w:style>
  <w:style w:type="paragraph" w:styleId="8">
    <w:name w:val="Plain Text"/>
    <w:basedOn w:val="1"/>
    <w:next w:val="1"/>
    <w:qFormat/>
    <w:uiPriority w:val="0"/>
    <w:rPr>
      <w:rFonts w:ascii="宋体" w:hAnsi="Courier New"/>
      <w:color w:val="000000"/>
      <w:szCs w:val="20"/>
    </w:rPr>
  </w:style>
  <w:style w:type="paragraph" w:styleId="9">
    <w:name w:val="Normal (Web)"/>
    <w:basedOn w:val="1"/>
    <w:qFormat/>
    <w:uiPriority w:val="99"/>
    <w:pPr>
      <w:widowControl/>
      <w:spacing w:before="120" w:after="120" w:line="360" w:lineRule="atLeast"/>
      <w:ind w:left="600" w:right="600" w:firstLine="560"/>
      <w:jc w:val="left"/>
    </w:pPr>
    <w:rPr>
      <w:rFonts w:ascii="宋体" w:hAnsi="宋体" w:cs="宋体"/>
      <w:color w:val="000000"/>
      <w:kern w:val="0"/>
      <w:sz w:val="28"/>
      <w:szCs w:val="28"/>
    </w:rPr>
  </w:style>
</w:styles>
</file>

<file path=word/_rels/document.xml.rels><?xml version="1.0" encoding="UTF-8" standalone="yes"?>
<Relationships xmlns="http://schemas.openxmlformats.org/package/2006/relationships"><Relationship Id="rId4" Type="http://schemas.openxmlformats.org/officeDocument/2006/relationships/fontTable" Target="fontTable.xml"/><Relationship Id="rId3" Type="http://schemas.openxmlformats.org/officeDocument/2006/relationships/theme" Target="theme/theme1.xml"/><Relationship Id="rId2" Type="http://schemas.openxmlformats.org/officeDocument/2006/relationships/settings" Target="settings.xml"/><Relationship Id="rId1" Type="http://schemas.openxmlformats.org/officeDocument/2006/relationships/styles" Target="styles.xml"/></Relationships>
</file>

<file path=word/theme/theme1.xml><?xml version="1.0" encoding="utf-8"?>
<a:theme xmlns:a="http://schemas.openxmlformats.org/drawingml/2006/main" name="WPS">
  <a:themeElements>
    <a:clrScheme name="WPS">
      <a:dk1>
        <a:sysClr val="windowText" lastClr="000000"/>
      </a:dk1>
      <a:lt1>
        <a:sysClr val="window" lastClr="FFFFFF"/>
      </a:lt1>
      <a:dk2>
        <a:srgbClr val="44546A"/>
      </a:dk2>
      <a:lt2>
        <a:srgbClr val="E7E6E6"/>
      </a:lt2>
      <a:accent1>
        <a:srgbClr val="4874CB"/>
      </a:accent1>
      <a:accent2>
        <a:srgbClr val="EE822F"/>
      </a:accent2>
      <a:accent3>
        <a:srgbClr val="F2BA02"/>
      </a:accent3>
      <a:accent4>
        <a:srgbClr val="75BD42"/>
      </a:accent4>
      <a:accent5>
        <a:srgbClr val="30C0B4"/>
      </a:accent5>
      <a:accent6>
        <a:srgbClr val="E54C5E"/>
      </a:accent6>
      <a:hlink>
        <a:srgbClr val="0026E5"/>
      </a:hlink>
      <a:folHlink>
        <a:srgbClr val="7E1FAD"/>
      </a:folHlink>
    </a:clrScheme>
    <a:fontScheme name="WPS">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WPS">
      <a:fillStyleLst>
        <a:solidFill>
          <a:schemeClr val="phClr"/>
        </a:solidFill>
        <a:gradFill>
          <a:gsLst>
            <a:gs pos="0">
              <a:schemeClr val="phClr">
                <a:lumOff val="17500"/>
              </a:schemeClr>
            </a:gs>
            <a:gs pos="100000">
              <a:schemeClr val="phClr"/>
            </a:gs>
          </a:gsLst>
          <a:lin ang="2700000" scaled="0"/>
        </a:gradFill>
        <a:gradFill>
          <a:gsLst>
            <a:gs pos="0">
              <a:schemeClr val="phClr">
                <a:hueOff val="-2520000"/>
              </a:schemeClr>
            </a:gs>
            <a:gs pos="100000">
              <a:schemeClr val="phClr"/>
            </a:gs>
          </a:gsLst>
          <a:lin ang="2700000" scaled="0"/>
        </a:gradFill>
      </a:fillStyleLst>
      <a:lnStyleLst>
        <a:ln w="12700" cap="flat" cmpd="sng" algn="ctr">
          <a:solidFill>
            <a:schemeClr val="phClr"/>
          </a:solidFill>
          <a:prstDash val="solid"/>
          <a:miter lim="800000"/>
        </a:ln>
        <a:ln w="12700" cap="flat" cmpd="sng" algn="ctr">
          <a:solidFill>
            <a:schemeClr val="phClr"/>
          </a:solidFill>
          <a:prstDash val="solid"/>
          <a:miter lim="800000"/>
        </a:ln>
        <a:ln w="12700" cap="flat" cmpd="sng" algn="ctr">
          <a:gradFill>
            <a:gsLst>
              <a:gs pos="0">
                <a:schemeClr val="phClr">
                  <a:hueOff val="-4200000"/>
                </a:schemeClr>
              </a:gs>
              <a:gs pos="100000">
                <a:schemeClr val="phClr"/>
              </a:gs>
            </a:gsLst>
            <a:lin ang="2700000" scaled="1"/>
          </a:gradFill>
          <a:prstDash val="solid"/>
          <a:miter lim="800000"/>
        </a:ln>
      </a:lnStyleLst>
      <a:effectStyleLst>
        <a:effectStyle>
          <a:effectLst>
            <a:outerShdw blurRad="101600" dist="50800" dir="5400000" algn="ctr" rotWithShape="0">
              <a:schemeClr val="phClr">
                <a:alpha val="60000"/>
              </a:schemeClr>
            </a:outerShdw>
          </a:effectLst>
        </a:effectStyle>
        <a:effectStyle>
          <a:effectLst>
            <a:reflection stA="50000" endA="300" endPos="40000" dist="25400" dir="5400000" sy="-100000" algn="bl" rotWithShape="0"/>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theme>
</file>

<file path=docProps/app.xml><?xml version="1.0" encoding="utf-8"?>
<Properties xmlns="http://schemas.openxmlformats.org/officeDocument/2006/extended-properties" xmlns:vt="http://schemas.openxmlformats.org/officeDocument/2006/docPropsVTypes">
  <Template>Normal.dotm</Template>
  <Pages>1</Pages>
  <Words>0</Words>
  <Characters>0</Characters>
  <Lines>0</Lines>
  <Paragraphs>0</Paragraphs>
  <TotalTime>0</TotalTime>
  <ScaleCrop>false</ScaleCrop>
  <LinksUpToDate>false</LinksUpToDate>
  <CharactersWithSpaces>0</CharactersWithSpaces>
  <Application>WPS Office_12.1.0.16250_F1E327BC-269C-435d-A152-05C5408002CA</Application>
  <DocSecurity>0</DocSecurit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2024-08-12T14:41:00Z</dcterms:created>
  <dc:creator>隔壁→_→老杨</dc:creator>
  <cp:lastModifiedBy>隔壁→_→老杨</cp:lastModifiedBy>
  <dcterms:modified xsi:type="dcterms:W3CDTF">2024-08-12T14:42:09Z</dcterms:modified>
  <cp:revision>1</cp:revision>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2052-12.1.0.16250</vt:lpwstr>
  </property>
  <property fmtid="{D5CDD505-2E9C-101B-9397-08002B2CF9AE}" pid="3" name="ICV">
    <vt:lpwstr>723B84499E84439D9291379FA370E632_11</vt:lpwstr>
  </property>
</Properties>
</file>