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732A2">
      <w:pPr>
        <w:adjustRightInd w:val="0"/>
        <w:snapToGrid w:val="0"/>
        <w:spacing w:after="156" w:afterLines="50" w:line="360" w:lineRule="auto"/>
        <w:jc w:val="center"/>
        <w:outlineLvl w:val="0"/>
        <w:rPr>
          <w:rFonts w:hint="eastAsia" w:ascii="黑体" w:eastAsia="黑体"/>
          <w:b/>
          <w:kern w:val="44"/>
          <w:sz w:val="48"/>
          <w:szCs w:val="20"/>
        </w:rPr>
      </w:pPr>
      <w:bookmarkStart w:id="0" w:name="_Toc129880039"/>
      <w:r>
        <w:rPr>
          <w:rFonts w:hint="eastAsia" w:ascii="宋体" w:hAnsi="宋体"/>
          <w:b/>
          <w:sz w:val="30"/>
          <w:szCs w:val="30"/>
        </w:rPr>
        <w:t>第七部分 采购需求</w:t>
      </w:r>
      <w:bookmarkEnd w:id="0"/>
    </w:p>
    <w:p w14:paraId="7DF70B9A">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2C5AEB21">
      <w:pPr>
        <w:adjustRightInd w:val="0"/>
        <w:snapToGrid w:val="0"/>
        <w:jc w:val="center"/>
        <w:rPr>
          <w:rFonts w:hint="eastAsia" w:ascii="宋体" w:hAnsi="宋体"/>
          <w:b/>
          <w:sz w:val="30"/>
          <w:szCs w:val="30"/>
        </w:rPr>
      </w:pPr>
    </w:p>
    <w:tbl>
      <w:tblPr>
        <w:tblStyle w:val="4"/>
        <w:tblW w:w="98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23"/>
        <w:gridCol w:w="2509"/>
        <w:gridCol w:w="602"/>
        <w:gridCol w:w="2019"/>
        <w:gridCol w:w="1629"/>
        <w:gridCol w:w="2395"/>
      </w:tblGrid>
      <w:tr w14:paraId="58A2C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56" w:hRule="atLeast"/>
          <w:jc w:val="center"/>
        </w:trPr>
        <w:tc>
          <w:tcPr>
            <w:tcW w:w="723" w:type="dxa"/>
            <w:noWrap w:val="0"/>
            <w:vAlign w:val="center"/>
          </w:tcPr>
          <w:p w14:paraId="39B1274C">
            <w:pPr>
              <w:jc w:val="center"/>
              <w:rPr>
                <w:rFonts w:ascii="宋体" w:hAnsi="宋体"/>
                <w:sz w:val="24"/>
              </w:rPr>
            </w:pPr>
            <w:r>
              <w:rPr>
                <w:rFonts w:hint="eastAsia" w:ascii="宋体" w:hAnsi="宋体"/>
                <w:sz w:val="24"/>
              </w:rPr>
              <w:t>包号</w:t>
            </w:r>
          </w:p>
        </w:tc>
        <w:tc>
          <w:tcPr>
            <w:tcW w:w="2509" w:type="dxa"/>
            <w:noWrap w:val="0"/>
            <w:vAlign w:val="center"/>
          </w:tcPr>
          <w:p w14:paraId="10F028A7">
            <w:pPr>
              <w:jc w:val="center"/>
              <w:rPr>
                <w:rFonts w:ascii="宋体" w:hAnsi="宋体"/>
                <w:sz w:val="24"/>
              </w:rPr>
            </w:pPr>
            <w:r>
              <w:rPr>
                <w:rFonts w:hint="eastAsia" w:ascii="宋体" w:hAnsi="宋体"/>
                <w:sz w:val="24"/>
              </w:rPr>
              <w:t>货物名称</w:t>
            </w:r>
          </w:p>
        </w:tc>
        <w:tc>
          <w:tcPr>
            <w:tcW w:w="602" w:type="dxa"/>
            <w:noWrap w:val="0"/>
            <w:vAlign w:val="center"/>
          </w:tcPr>
          <w:p w14:paraId="717ECAD4">
            <w:pPr>
              <w:jc w:val="center"/>
              <w:rPr>
                <w:rFonts w:ascii="宋体" w:hAnsi="宋体"/>
                <w:sz w:val="24"/>
              </w:rPr>
            </w:pPr>
            <w:r>
              <w:rPr>
                <w:rFonts w:hint="eastAsia" w:ascii="宋体" w:hAnsi="宋体"/>
                <w:sz w:val="24"/>
              </w:rPr>
              <w:t>数量</w:t>
            </w:r>
          </w:p>
        </w:tc>
        <w:tc>
          <w:tcPr>
            <w:tcW w:w="2019" w:type="dxa"/>
            <w:noWrap w:val="0"/>
            <w:vAlign w:val="center"/>
          </w:tcPr>
          <w:p w14:paraId="7FB6DF31">
            <w:pPr>
              <w:jc w:val="center"/>
              <w:rPr>
                <w:rFonts w:ascii="宋体" w:hAnsi="宋体"/>
                <w:sz w:val="24"/>
              </w:rPr>
            </w:pPr>
            <w:r>
              <w:rPr>
                <w:rFonts w:hint="eastAsia" w:ascii="宋体" w:hAnsi="宋体"/>
                <w:sz w:val="24"/>
              </w:rPr>
              <w:t>交货期</w:t>
            </w:r>
          </w:p>
        </w:tc>
        <w:tc>
          <w:tcPr>
            <w:tcW w:w="1629" w:type="dxa"/>
            <w:noWrap w:val="0"/>
            <w:vAlign w:val="center"/>
          </w:tcPr>
          <w:p w14:paraId="6D5C74D3">
            <w:pPr>
              <w:jc w:val="center"/>
              <w:rPr>
                <w:rFonts w:hint="eastAsia" w:ascii="宋体" w:hAnsi="宋体"/>
                <w:sz w:val="24"/>
              </w:rPr>
            </w:pPr>
            <w:r>
              <w:rPr>
                <w:rFonts w:hint="eastAsia" w:ascii="宋体" w:hAnsi="宋体"/>
                <w:sz w:val="24"/>
              </w:rPr>
              <w:t>目的港</w:t>
            </w:r>
          </w:p>
        </w:tc>
        <w:tc>
          <w:tcPr>
            <w:tcW w:w="2395" w:type="dxa"/>
            <w:noWrap w:val="0"/>
            <w:vAlign w:val="center"/>
          </w:tcPr>
          <w:p w14:paraId="068F0E59">
            <w:pPr>
              <w:jc w:val="center"/>
              <w:rPr>
                <w:rFonts w:ascii="宋体" w:hAnsi="宋体"/>
                <w:sz w:val="24"/>
                <w:shd w:val="pct10" w:color="auto" w:fill="FFFFFF"/>
              </w:rPr>
            </w:pPr>
            <w:r>
              <w:rPr>
                <w:rFonts w:hint="eastAsia" w:ascii="宋体" w:hAnsi="宋体"/>
                <w:sz w:val="24"/>
              </w:rPr>
              <w:t>项目现场（交货地点）</w:t>
            </w:r>
          </w:p>
        </w:tc>
      </w:tr>
      <w:tr w14:paraId="1CC10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29" w:hRule="atLeast"/>
          <w:jc w:val="center"/>
        </w:trPr>
        <w:tc>
          <w:tcPr>
            <w:tcW w:w="723" w:type="dxa"/>
            <w:noWrap w:val="0"/>
            <w:vAlign w:val="center"/>
          </w:tcPr>
          <w:p w14:paraId="4C1E7CB5">
            <w:pPr>
              <w:jc w:val="center"/>
              <w:rPr>
                <w:rFonts w:ascii="宋体" w:hAnsi="宋体"/>
                <w:sz w:val="24"/>
              </w:rPr>
            </w:pPr>
            <w:r>
              <w:rPr>
                <w:rFonts w:ascii="宋体" w:hAnsi="宋体"/>
                <w:sz w:val="24"/>
              </w:rPr>
              <w:t>1</w:t>
            </w:r>
          </w:p>
        </w:tc>
        <w:tc>
          <w:tcPr>
            <w:tcW w:w="2509" w:type="dxa"/>
            <w:noWrap w:val="0"/>
            <w:vAlign w:val="center"/>
          </w:tcPr>
          <w:p w14:paraId="4226D058">
            <w:pPr>
              <w:jc w:val="center"/>
              <w:rPr>
                <w:rFonts w:hint="eastAsia" w:ascii="宋体" w:hAnsi="宋体"/>
                <w:sz w:val="24"/>
              </w:rPr>
            </w:pPr>
            <w:r>
              <w:rPr>
                <w:rFonts w:hint="eastAsia" w:ascii="宋体" w:hAnsi="宋体"/>
                <w:sz w:val="24"/>
              </w:rPr>
              <w:t>高分辨电感耦合等离子体质谱仪</w:t>
            </w:r>
          </w:p>
        </w:tc>
        <w:tc>
          <w:tcPr>
            <w:tcW w:w="602" w:type="dxa"/>
            <w:noWrap w:val="0"/>
            <w:vAlign w:val="center"/>
          </w:tcPr>
          <w:p w14:paraId="17314FDF">
            <w:pPr>
              <w:jc w:val="center"/>
              <w:rPr>
                <w:rFonts w:hint="eastAsia" w:ascii="宋体" w:hAnsi="宋体"/>
                <w:sz w:val="24"/>
              </w:rPr>
            </w:pPr>
            <w:r>
              <w:rPr>
                <w:rFonts w:hint="eastAsia" w:ascii="宋体" w:hAnsi="宋体"/>
                <w:sz w:val="24"/>
              </w:rPr>
              <w:t>1台</w:t>
            </w:r>
          </w:p>
        </w:tc>
        <w:tc>
          <w:tcPr>
            <w:tcW w:w="2019" w:type="dxa"/>
            <w:noWrap w:val="0"/>
            <w:vAlign w:val="center"/>
          </w:tcPr>
          <w:p w14:paraId="2BBA9C69">
            <w:pPr>
              <w:jc w:val="center"/>
              <w:rPr>
                <w:rFonts w:ascii="宋体" w:hAnsi="宋体"/>
                <w:sz w:val="24"/>
              </w:rPr>
            </w:pPr>
            <w:r>
              <w:rPr>
                <w:rFonts w:hint="eastAsia" w:ascii="宋体" w:hAnsi="宋体"/>
                <w:sz w:val="24"/>
              </w:rPr>
              <w:t xml:space="preserve">合同签订后12个月内交货    </w:t>
            </w:r>
          </w:p>
        </w:tc>
        <w:tc>
          <w:tcPr>
            <w:tcW w:w="1629" w:type="dxa"/>
            <w:noWrap w:val="0"/>
            <w:vAlign w:val="center"/>
          </w:tcPr>
          <w:p w14:paraId="72371D38">
            <w:pPr>
              <w:jc w:val="center"/>
              <w:rPr>
                <w:rFonts w:hint="eastAsia" w:ascii="宋体" w:hAnsi="宋体"/>
                <w:sz w:val="24"/>
              </w:rPr>
            </w:pPr>
            <w:r>
              <w:rPr>
                <w:rFonts w:hint="eastAsia" w:ascii="宋体" w:hAnsi="宋体"/>
                <w:sz w:val="24"/>
              </w:rPr>
              <w:t>CIP 广州机场</w:t>
            </w:r>
          </w:p>
        </w:tc>
        <w:tc>
          <w:tcPr>
            <w:tcW w:w="2395" w:type="dxa"/>
            <w:noWrap w:val="0"/>
            <w:vAlign w:val="center"/>
          </w:tcPr>
          <w:p w14:paraId="38EDC01D">
            <w:pPr>
              <w:jc w:val="center"/>
              <w:rPr>
                <w:rFonts w:ascii="宋体" w:hAnsi="宋体"/>
                <w:sz w:val="24"/>
              </w:rPr>
            </w:pPr>
            <w:r>
              <w:rPr>
                <w:rFonts w:hint="eastAsia" w:ascii="宋体" w:hAnsi="宋体"/>
                <w:sz w:val="24"/>
              </w:rPr>
              <w:t>中国科学院广州地球化学研究所内甲方指定地点</w:t>
            </w:r>
          </w:p>
        </w:tc>
      </w:tr>
    </w:tbl>
    <w:p w14:paraId="0961464D">
      <w:pPr>
        <w:adjustRightInd w:val="0"/>
        <w:snapToGrid w:val="0"/>
        <w:jc w:val="center"/>
        <w:rPr>
          <w:rFonts w:hint="eastAsia" w:ascii="宋体" w:hAnsi="宋体"/>
          <w:b/>
          <w:sz w:val="30"/>
          <w:szCs w:val="30"/>
        </w:rPr>
      </w:pPr>
    </w:p>
    <w:p w14:paraId="77270F3A">
      <w:pPr>
        <w:adjustRightInd w:val="0"/>
        <w:snapToGrid w:val="0"/>
        <w:jc w:val="center"/>
        <w:rPr>
          <w:rFonts w:hint="eastAsia" w:ascii="宋体" w:hAnsi="宋体"/>
          <w:b/>
          <w:sz w:val="30"/>
          <w:szCs w:val="30"/>
        </w:rPr>
      </w:pPr>
    </w:p>
    <w:p w14:paraId="15D6EEC6">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69964C13">
      <w:pPr>
        <w:adjustRightInd w:val="0"/>
        <w:snapToGrid w:val="0"/>
        <w:rPr>
          <w:rFonts w:hint="eastAsia" w:ascii="宋体" w:hAnsi="宋体"/>
          <w:szCs w:val="21"/>
        </w:rPr>
      </w:pPr>
    </w:p>
    <w:p w14:paraId="47C93298">
      <w:pPr>
        <w:adjustRightInd w:val="0"/>
        <w:snapToGrid w:val="0"/>
        <w:rPr>
          <w:rFonts w:hint="eastAsia" w:ascii="宋体" w:hAnsi="宋体"/>
          <w:szCs w:val="21"/>
        </w:rPr>
      </w:pPr>
    </w:p>
    <w:p w14:paraId="13073BDE">
      <w:pPr>
        <w:adjustRightInd w:val="0"/>
        <w:snapToGrid w:val="0"/>
        <w:rPr>
          <w:rFonts w:hint="eastAsia" w:ascii="宋体" w:hAnsi="宋体"/>
          <w:szCs w:val="21"/>
        </w:rPr>
      </w:pPr>
    </w:p>
    <w:p w14:paraId="6597143F">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20C62ADA">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61CBFC14">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1F9BFB01">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7E3C728">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0184819F">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2EDD0E6">
      <w:pPr>
        <w:adjustRightInd w:val="0"/>
        <w:snapToGrid w:val="0"/>
        <w:spacing w:line="360" w:lineRule="auto"/>
        <w:rPr>
          <w:rFonts w:ascii="宋体" w:hAnsi="宋体"/>
          <w:b/>
          <w:sz w:val="28"/>
          <w:szCs w:val="28"/>
        </w:rPr>
      </w:pPr>
      <w:r>
        <w:rPr>
          <w:rFonts w:hint="eastAsia" w:ascii="宋体" w:hAnsi="宋体"/>
          <w:b/>
          <w:sz w:val="28"/>
          <w:szCs w:val="28"/>
        </w:rPr>
        <w:t>2、评标标准</w:t>
      </w:r>
    </w:p>
    <w:p w14:paraId="02FC148F">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6B4E62F8">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7BD61C9">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5DEEE78">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573F3533">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41E5A62">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758D2E4E">
      <w:pPr>
        <w:spacing w:after="312" w:afterLines="100" w:line="360" w:lineRule="auto"/>
        <w:rPr>
          <w:rFonts w:hint="eastAsia" w:ascii="宋体" w:hAnsi="宋体"/>
          <w:sz w:val="24"/>
        </w:rPr>
      </w:pPr>
      <w:r>
        <w:rPr>
          <w:rFonts w:hint="eastAsia" w:ascii="宋体" w:hAnsi="宋体"/>
          <w:sz w:val="24"/>
        </w:rPr>
        <w:t>详见具体技术规格</w:t>
      </w:r>
      <w:r>
        <w:rPr>
          <w:rFonts w:ascii="宋体" w:hAnsi="宋体"/>
          <w:sz w:val="24"/>
        </w:rPr>
        <w:t xml:space="preserve"> </w:t>
      </w:r>
    </w:p>
    <w:p w14:paraId="00457DEC">
      <w:pPr>
        <w:rPr>
          <w:rFonts w:hint="eastAsia" w:eastAsia="黑体"/>
          <w:b/>
          <w:bCs/>
          <w:kern w:val="44"/>
          <w:sz w:val="24"/>
        </w:rPr>
      </w:pPr>
    </w:p>
    <w:p w14:paraId="5BC76F08">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42796EA0">
      <w:pPr>
        <w:spacing w:after="312" w:afterLines="100" w:line="360" w:lineRule="auto"/>
        <w:rPr>
          <w:rFonts w:hint="eastAsia" w:ascii="宋体" w:hAnsi="宋体"/>
          <w:sz w:val="24"/>
        </w:rPr>
      </w:pPr>
      <w:r>
        <w:rPr>
          <w:rFonts w:hint="eastAsia" w:ascii="宋体" w:hAnsi="宋体"/>
          <w:sz w:val="24"/>
        </w:rPr>
        <w:t>除非另有说明，所有仪器、设备和系统按下列要求进行验收：</w:t>
      </w:r>
      <w:r>
        <w:rPr>
          <w:rFonts w:ascii="宋体" w:hAnsi="宋体"/>
          <w:sz w:val="24"/>
        </w:rPr>
        <w:t xml:space="preserve"> </w:t>
      </w:r>
    </w:p>
    <w:p w14:paraId="697FE39E">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881D309">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A10590E">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3CED3094">
      <w:pPr>
        <w:pStyle w:val="3"/>
        <w:spacing w:line="360" w:lineRule="auto"/>
        <w:ind w:left="410" w:hanging="410" w:hangingChars="170"/>
        <w:rPr>
          <w:rFonts w:hint="eastAsia" w:hAnsi="宋体"/>
          <w:b/>
          <w:sz w:val="24"/>
          <w:szCs w:val="24"/>
        </w:rPr>
      </w:pPr>
    </w:p>
    <w:p w14:paraId="54A28312">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7A7D35A7">
      <w:pPr>
        <w:adjustRightInd w:val="0"/>
        <w:snapToGrid w:val="0"/>
        <w:spacing w:line="360" w:lineRule="auto"/>
        <w:rPr>
          <w:rFonts w:hint="eastAsia" w:ascii="宋体" w:hAnsi="宋体"/>
          <w:b/>
          <w:sz w:val="24"/>
        </w:rPr>
      </w:pPr>
    </w:p>
    <w:p w14:paraId="7C60BD3E">
      <w:pPr>
        <w:adjustRightInd w:val="0"/>
        <w:snapToGrid w:val="0"/>
        <w:spacing w:line="360" w:lineRule="auto"/>
        <w:rPr>
          <w:rFonts w:hint="eastAsia" w:ascii="宋体" w:hAnsi="宋体"/>
          <w:b/>
          <w:sz w:val="24"/>
        </w:rPr>
      </w:pPr>
      <w:r>
        <w:rPr>
          <w:rFonts w:hint="eastAsia" w:ascii="宋体" w:hAnsi="宋体"/>
          <w:b/>
          <w:sz w:val="24"/>
        </w:rPr>
        <w:t>6、如在具体规格要求中有本总则不一致之处，以具体规格中的要求为准。</w:t>
      </w:r>
    </w:p>
    <w:p w14:paraId="1B7C6A73">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二、具体规格要求</w:t>
      </w:r>
    </w:p>
    <w:p w14:paraId="2708EFFF">
      <w:pPr>
        <w:spacing w:line="360" w:lineRule="auto"/>
        <w:jc w:val="center"/>
        <w:rPr>
          <w:rFonts w:hint="eastAsia" w:ascii="宋体" w:hAnsi="宋体" w:cs="宋体"/>
          <w:b/>
          <w:sz w:val="24"/>
        </w:rPr>
      </w:pPr>
      <w:r>
        <w:rPr>
          <w:rFonts w:hint="eastAsia" w:ascii="宋体" w:hAnsi="宋体" w:cs="宋体"/>
          <w:b/>
          <w:sz w:val="24"/>
        </w:rPr>
        <w:t>第2包  高分辨电感耦合等离子体质谱仪</w:t>
      </w:r>
    </w:p>
    <w:p w14:paraId="3C4432EC">
      <w:pPr>
        <w:spacing w:line="360" w:lineRule="auto"/>
        <w:jc w:val="center"/>
        <w:rPr>
          <w:rFonts w:hint="eastAsia" w:ascii="宋体" w:hAnsi="宋体" w:cs="宋体"/>
          <w:b/>
          <w:sz w:val="24"/>
        </w:rPr>
      </w:pPr>
    </w:p>
    <w:p w14:paraId="3554BAEE">
      <w:pPr>
        <w:spacing w:line="360" w:lineRule="auto"/>
        <w:jc w:val="center"/>
        <w:rPr>
          <w:rFonts w:hint="eastAsia" w:ascii="宋体" w:hAnsi="宋体" w:cs="宋体"/>
          <w:b/>
          <w:sz w:val="24"/>
        </w:rPr>
      </w:pPr>
      <w:r>
        <w:rPr>
          <w:rFonts w:hint="eastAsia" w:ascii="宋体" w:hAnsi="宋体" w:cs="宋体"/>
          <w:b/>
          <w:sz w:val="24"/>
        </w:rPr>
        <w:t>（一）技术部分</w:t>
      </w:r>
    </w:p>
    <w:p w14:paraId="44FC036F">
      <w:pPr>
        <w:pStyle w:val="6"/>
        <w:spacing w:line="360" w:lineRule="auto"/>
        <w:jc w:val="left"/>
        <w:rPr>
          <w:rStyle w:val="7"/>
          <w:rFonts w:hint="eastAsia" w:hAnsi="宋体" w:cs="宋体"/>
          <w:color w:val="000000"/>
          <w:sz w:val="24"/>
          <w:szCs w:val="24"/>
        </w:rPr>
      </w:pPr>
      <w:r>
        <w:rPr>
          <w:rStyle w:val="7"/>
          <w:rFonts w:hint="eastAsia" w:hAnsi="宋体" w:cs="宋体"/>
          <w:color w:val="000000"/>
          <w:sz w:val="24"/>
          <w:szCs w:val="24"/>
        </w:rPr>
        <w:t>一、系统配置组成：</w:t>
      </w:r>
    </w:p>
    <w:p w14:paraId="0342D9D5">
      <w:pPr>
        <w:pStyle w:val="6"/>
        <w:spacing w:line="360" w:lineRule="auto"/>
        <w:ind w:firstLine="480" w:firstLineChars="200"/>
        <w:jc w:val="left"/>
        <w:rPr>
          <w:rStyle w:val="7"/>
          <w:rFonts w:hint="eastAsia" w:hAnsi="宋体" w:cs="宋体"/>
          <w:b w:val="0"/>
          <w:color w:val="000000"/>
          <w:sz w:val="24"/>
          <w:szCs w:val="24"/>
        </w:rPr>
      </w:pPr>
      <w:r>
        <w:rPr>
          <w:rStyle w:val="7"/>
          <w:rFonts w:hint="eastAsia" w:hAnsi="宋体" w:cs="宋体"/>
          <w:b w:val="0"/>
          <w:color w:val="000000"/>
          <w:sz w:val="24"/>
          <w:szCs w:val="24"/>
        </w:rPr>
        <w:t>高分辨电感耦合等离子体质谱仪整套设备主要包含：样品引入系统、等离子体（ICP）离子源、ICP接口、离子透镜、双聚焦质量分析器、检测系统、高真空系统、数据采集和处理系统、循环水冷系统、安全保护系统以及其他仪器正常工作的标准组件。</w:t>
      </w:r>
    </w:p>
    <w:p w14:paraId="3B0EB9F7">
      <w:pPr>
        <w:pStyle w:val="6"/>
        <w:spacing w:line="360" w:lineRule="auto"/>
        <w:jc w:val="left"/>
        <w:rPr>
          <w:rStyle w:val="7"/>
          <w:rFonts w:hint="eastAsia" w:hAnsi="宋体" w:cs="宋体"/>
          <w:color w:val="000000"/>
          <w:sz w:val="24"/>
          <w:szCs w:val="24"/>
        </w:rPr>
      </w:pPr>
      <w:r>
        <w:rPr>
          <w:rStyle w:val="7"/>
          <w:rFonts w:hint="eastAsia" w:hAnsi="宋体" w:cs="宋体"/>
          <w:color w:val="000000"/>
          <w:sz w:val="24"/>
          <w:szCs w:val="24"/>
        </w:rPr>
        <w:t>二、技术要求</w:t>
      </w:r>
    </w:p>
    <w:p w14:paraId="6F7E4A48">
      <w:pPr>
        <w:pStyle w:val="6"/>
        <w:spacing w:line="360" w:lineRule="auto"/>
        <w:jc w:val="left"/>
        <w:rPr>
          <w:rStyle w:val="7"/>
          <w:rFonts w:hint="eastAsia" w:hAnsi="宋体" w:cs="宋体"/>
          <w:color w:val="000000"/>
          <w:sz w:val="24"/>
          <w:szCs w:val="24"/>
        </w:rPr>
      </w:pPr>
      <w:r>
        <w:rPr>
          <w:rStyle w:val="7"/>
          <w:rFonts w:hint="eastAsia" w:hAnsi="宋体" w:cs="宋体"/>
          <w:color w:val="000000"/>
          <w:sz w:val="24"/>
          <w:szCs w:val="24"/>
        </w:rPr>
        <w:t>1、工作条件</w:t>
      </w:r>
    </w:p>
    <w:p w14:paraId="4F330A83">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1.1</w:t>
      </w:r>
      <w:bookmarkStart w:id="1" w:name="_Hlk196404664"/>
      <w:r>
        <w:rPr>
          <w:rStyle w:val="7"/>
          <w:rFonts w:hint="eastAsia" w:hAnsi="宋体" w:cs="宋体"/>
          <w:b w:val="0"/>
          <w:color w:val="000000"/>
          <w:sz w:val="24"/>
          <w:szCs w:val="24"/>
        </w:rPr>
        <w:t>电源电压：独立的动力电源AC 220V（± 10%），50Hz</w:t>
      </w:r>
      <w:bookmarkEnd w:id="1"/>
    </w:p>
    <w:p w14:paraId="2BD688F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1.2</w:t>
      </w:r>
      <w:bookmarkStart w:id="2" w:name="_Hlk196404698"/>
      <w:r>
        <w:rPr>
          <w:rStyle w:val="7"/>
          <w:rFonts w:hint="eastAsia" w:hAnsi="宋体" w:cs="宋体"/>
          <w:b w:val="0"/>
          <w:color w:val="000000"/>
          <w:sz w:val="24"/>
          <w:szCs w:val="24"/>
        </w:rPr>
        <w:t>工作环境温度：18–24℃（1℃/小时）</w:t>
      </w:r>
      <w:bookmarkEnd w:id="2"/>
    </w:p>
    <w:p w14:paraId="4D13C78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1.3</w:t>
      </w:r>
      <w:bookmarkStart w:id="3" w:name="_Hlk196404718"/>
      <w:r>
        <w:rPr>
          <w:rStyle w:val="7"/>
          <w:rFonts w:hint="eastAsia" w:hAnsi="宋体" w:cs="宋体"/>
          <w:b w:val="0"/>
          <w:color w:val="000000"/>
          <w:sz w:val="24"/>
          <w:szCs w:val="24"/>
        </w:rPr>
        <w:t>环境相对湿度：≤50–60%</w:t>
      </w:r>
      <w:bookmarkEnd w:id="3"/>
    </w:p>
    <w:p w14:paraId="7D9A48A8">
      <w:pPr>
        <w:pStyle w:val="6"/>
        <w:spacing w:line="360" w:lineRule="auto"/>
        <w:jc w:val="left"/>
        <w:rPr>
          <w:rStyle w:val="7"/>
          <w:rFonts w:hint="eastAsia" w:hAnsi="宋体" w:cs="宋体"/>
          <w:color w:val="000000"/>
          <w:sz w:val="24"/>
          <w:szCs w:val="24"/>
        </w:rPr>
      </w:pPr>
      <w:r>
        <w:rPr>
          <w:rStyle w:val="7"/>
          <w:rFonts w:hint="eastAsia" w:hAnsi="宋体" w:cs="宋体"/>
          <w:color w:val="000000"/>
          <w:sz w:val="24"/>
          <w:szCs w:val="24"/>
        </w:rPr>
        <w:t>2、设备用途</w:t>
      </w:r>
    </w:p>
    <w:p w14:paraId="413F9888">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2.1 ICP离子源和ICP接口</w:t>
      </w:r>
    </w:p>
    <w:p w14:paraId="4EE6A891">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2.1.1 采用27.12 MHz固态射频发生器，功率500W-2000W可调，自动功率匹配，全保护</w:t>
      </w:r>
    </w:p>
    <w:p w14:paraId="7AAB24D8">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2.1.2 ICP炬管X/Y/Z三维台，高稳定性，位置精确可移动调节（移动精度≤±0.1mm）；ICP炬管的X/Y/Z位置、点火和RF输出功率完全由计算机调控</w:t>
      </w:r>
    </w:p>
    <w:p w14:paraId="5CE43850">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2.1.3等离子体接口使用安全，易于和各进样系统联接及切换；点火操作中即可进行各外设之间的切换（如湿法转换至干法）；</w:t>
      </w:r>
    </w:p>
    <w:p w14:paraId="4D0B3E8C">
      <w:pPr>
        <w:pStyle w:val="6"/>
        <w:spacing w:line="360" w:lineRule="auto"/>
        <w:ind w:firstLine="360" w:firstLineChars="150"/>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2.1.4 高灵敏度接口系统（含100m</w:t>
      </w:r>
      <w:r>
        <w:rPr>
          <w:rStyle w:val="7"/>
          <w:rFonts w:hint="eastAsia" w:hAnsi="宋体" w:cs="宋体"/>
          <w:b w:val="0"/>
          <w:color w:val="000000"/>
          <w:sz w:val="24"/>
          <w:szCs w:val="24"/>
          <w:vertAlign w:val="superscript"/>
        </w:rPr>
        <w:t>3</w:t>
      </w:r>
      <w:r>
        <w:rPr>
          <w:rStyle w:val="7"/>
          <w:rFonts w:hint="eastAsia" w:hAnsi="宋体" w:cs="宋体"/>
          <w:b w:val="0"/>
          <w:color w:val="000000"/>
          <w:sz w:val="24"/>
          <w:szCs w:val="24"/>
        </w:rPr>
        <w:t>/h大抽速干泵），确保超高灵敏度</w:t>
      </w:r>
    </w:p>
    <w:p w14:paraId="65B6C3A7">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2.2 真空系统：由五级差分真空系统，四个涡轮分子泵、一个无油大抽速接口泵和一个机械真空泵，真空系统能自动保护</w:t>
      </w:r>
    </w:p>
    <w:p w14:paraId="6913C37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2.3离子透镜系统：低背景、低噪音，免清洗</w:t>
      </w:r>
    </w:p>
    <w:p w14:paraId="02A49FC6">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2.4 质量分析器</w:t>
      </w:r>
    </w:p>
    <w:p w14:paraId="4810FD29">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2.4.1采用双聚焦质量分析系统，包括静电场分析器和扇形磁场分析器，提高了质量分辨率和丰度灵敏度；</w:t>
      </w:r>
    </w:p>
    <w:p w14:paraId="3363787B">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2.4.2分析器处于加热屏蔽环境中，精密控温保证拥有最佳的质量轴稳定性；</w:t>
      </w:r>
    </w:p>
    <w:p w14:paraId="3091FC70">
      <w:pPr>
        <w:pStyle w:val="6"/>
        <w:spacing w:line="360" w:lineRule="auto"/>
        <w:ind w:firstLine="360" w:firstLineChars="150"/>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2.4.3磁铁采用水冷或风冷控温方式；</w:t>
      </w:r>
    </w:p>
    <w:p w14:paraId="76FD7336">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2.4.4 入射狭缝和检测器狭缝都有三个固定宽度狭缝，可自由切换，提供分别为300、4000、10000的质量分辨率（10%峰谷定义）</w:t>
      </w:r>
    </w:p>
    <w:p w14:paraId="0EA30E68">
      <w:pPr>
        <w:pStyle w:val="6"/>
        <w:spacing w:line="360" w:lineRule="auto"/>
        <w:ind w:firstLine="360" w:firstLineChars="150"/>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2.4.5单次分析可对不同元素采用不同分辨率组合，分辨率切换时间小于1秒；</w:t>
      </w:r>
    </w:p>
    <w:p w14:paraId="2FC62774">
      <w:pPr>
        <w:pStyle w:val="6"/>
        <w:spacing w:line="360" w:lineRule="auto"/>
        <w:ind w:firstLine="360" w:firstLineChars="150"/>
        <w:jc w:val="left"/>
        <w:rPr>
          <w:rStyle w:val="7"/>
          <w:rFonts w:hint="eastAsia" w:hAnsi="宋体" w:cs="宋体"/>
          <w:b w:val="0"/>
          <w:color w:val="000000"/>
          <w:sz w:val="24"/>
          <w:szCs w:val="24"/>
        </w:rPr>
      </w:pPr>
      <w:r>
        <w:rPr>
          <w:rStyle w:val="7"/>
          <w:rFonts w:hint="eastAsia" w:hAnsi="宋体" w:cs="宋体"/>
          <w:b w:val="0"/>
          <w:color w:val="000000"/>
          <w:sz w:val="24"/>
          <w:szCs w:val="24"/>
        </w:rPr>
        <w:t>2.4.6根据测试元素不同，单一分析中不同元素可以设定不同扫描参数。</w:t>
      </w:r>
    </w:p>
    <w:p w14:paraId="6DCA071F">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2.5 检测系统：采用计数模式、模拟模式和法拉第杯模式的检测系统，可同时测定常量元素（mg/ml）、痕量元素（ppm）、超痕量元素（ppb）；三种检测模式之间自动选择、自动切换、自动交叉校正</w:t>
      </w:r>
    </w:p>
    <w:p w14:paraId="19DEAAA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2.6 数据系统和控制：</w:t>
      </w:r>
      <w:r>
        <w:rPr>
          <w:rFonts w:hint="eastAsia" w:ascii="宋体" w:hAnsi="宋体" w:cs="宋体"/>
          <w:color w:val="000000"/>
          <w:sz w:val="24"/>
        </w:rPr>
        <w:t>包括仪器控制软件，数据采集和报告软件，支持远程控制与诊断等</w:t>
      </w:r>
    </w:p>
    <w:p w14:paraId="2B4CB752">
      <w:pPr>
        <w:pStyle w:val="6"/>
        <w:spacing w:line="360" w:lineRule="auto"/>
        <w:jc w:val="left"/>
        <w:rPr>
          <w:rStyle w:val="7"/>
          <w:rFonts w:hint="eastAsia" w:hAnsi="宋体" w:cs="宋体"/>
          <w:color w:val="000000"/>
          <w:sz w:val="24"/>
          <w:szCs w:val="24"/>
        </w:rPr>
      </w:pPr>
      <w:r>
        <w:rPr>
          <w:rStyle w:val="7"/>
          <w:rFonts w:hint="eastAsia" w:hAnsi="宋体" w:cs="宋体"/>
          <w:color w:val="000000"/>
          <w:sz w:val="24"/>
          <w:szCs w:val="24"/>
        </w:rPr>
        <w:t xml:space="preserve">3、技术规格   </w:t>
      </w:r>
    </w:p>
    <w:p w14:paraId="652D8EE0">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★3.1 质量分析范围 ≥ 6–250amu</w:t>
      </w:r>
    </w:p>
    <w:p w14:paraId="27338A83">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★3.2 灵敏度：&gt; 1×10</w:t>
      </w:r>
      <w:r>
        <w:rPr>
          <w:rStyle w:val="7"/>
          <w:rFonts w:hint="eastAsia" w:hAnsi="宋体" w:cs="宋体"/>
          <w:b w:val="0"/>
          <w:color w:val="000000"/>
          <w:sz w:val="24"/>
          <w:szCs w:val="24"/>
          <w:vertAlign w:val="superscript"/>
        </w:rPr>
        <w:t>9</w:t>
      </w:r>
      <w:r>
        <w:rPr>
          <w:rStyle w:val="7"/>
          <w:rFonts w:hint="eastAsia" w:hAnsi="宋体" w:cs="宋体"/>
          <w:b w:val="0"/>
          <w:color w:val="000000"/>
          <w:sz w:val="24"/>
          <w:szCs w:val="24"/>
        </w:rPr>
        <w:t xml:space="preserve"> cps/ppm 铟（玻璃同心雾化器）</w:t>
      </w:r>
    </w:p>
    <w:p w14:paraId="3C51E22C">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★3.3 分辨率定义为10%峰谷，三段固定狭缝满足低中高分辨率，分别为：≥ 300, ≥ 4000, ≥8000RP</w:t>
      </w:r>
    </w:p>
    <w:p w14:paraId="12F30DD1">
      <w:pPr>
        <w:pStyle w:val="6"/>
        <w:spacing w:line="360" w:lineRule="auto"/>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3.4 分辨率切换时间：≤ 1 s</w:t>
      </w:r>
    </w:p>
    <w:p w14:paraId="45122130">
      <w:pPr>
        <w:pStyle w:val="6"/>
        <w:spacing w:line="360" w:lineRule="auto"/>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3.5 质量稳定性：≤ 25ppm/8小时，不会因分辨率变化而变化</w:t>
      </w:r>
    </w:p>
    <w:p w14:paraId="2FAD43F6">
      <w:pPr>
        <w:pStyle w:val="6"/>
        <w:spacing w:line="360" w:lineRule="auto"/>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3.6 动态范围: ≥10</w:t>
      </w:r>
      <w:r>
        <w:rPr>
          <w:rStyle w:val="7"/>
          <w:rFonts w:hint="eastAsia" w:hAnsi="宋体" w:cs="宋体"/>
          <w:b w:val="0"/>
          <w:color w:val="000000"/>
          <w:sz w:val="24"/>
          <w:szCs w:val="24"/>
          <w:vertAlign w:val="superscript"/>
        </w:rPr>
        <w:t>12</w:t>
      </w:r>
      <w:r>
        <w:rPr>
          <w:rStyle w:val="7"/>
          <w:rFonts w:hint="eastAsia" w:hAnsi="宋体" w:cs="宋体"/>
          <w:b w:val="0"/>
          <w:color w:val="000000"/>
          <w:sz w:val="24"/>
          <w:szCs w:val="24"/>
        </w:rPr>
        <w:t xml:space="preserve"> 线性范围, 自动增益校准</w:t>
      </w:r>
    </w:p>
    <w:p w14:paraId="4E9BBF87">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3.7暗流噪音: ≤0.2 cps</w:t>
      </w:r>
    </w:p>
    <w:p w14:paraId="5B9E99AA">
      <w:pPr>
        <w:pStyle w:val="6"/>
        <w:spacing w:line="360" w:lineRule="auto"/>
        <w:jc w:val="left"/>
        <w:rPr>
          <w:rStyle w:val="7"/>
          <w:rFonts w:hint="eastAsia" w:hAnsi="宋体" w:cs="宋体"/>
          <w:b w:val="0"/>
          <w:color w:val="000000"/>
          <w:sz w:val="24"/>
          <w:szCs w:val="24"/>
        </w:rPr>
      </w:pPr>
      <w:r>
        <w:rPr>
          <w:rFonts w:hint="eastAsia" w:ascii="宋体" w:hAnsi="宋体" w:cs="宋体"/>
          <w:sz w:val="24"/>
        </w:rPr>
        <w:t>▲</w:t>
      </w:r>
      <w:r>
        <w:rPr>
          <w:rStyle w:val="7"/>
          <w:rFonts w:hint="eastAsia" w:hAnsi="宋体" w:cs="宋体"/>
          <w:b w:val="0"/>
          <w:color w:val="000000"/>
          <w:sz w:val="24"/>
          <w:szCs w:val="24"/>
        </w:rPr>
        <w:t>3.8信号稳定性：在不同锥情况下，信号稳定性均满足短期RSD ≤ 1%/ (10 min)；长期RSD ≤ 2%/h</w:t>
      </w:r>
    </w:p>
    <w:p w14:paraId="323AF49B">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3.9扫描速度(磁场)：m/z = 7到240到7 &lt; 150ms</w:t>
      </w:r>
    </w:p>
    <w:p w14:paraId="030155D5">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3.10 离子加速电压：≥ 7 kV</w:t>
      </w:r>
    </w:p>
    <w:p w14:paraId="3189407D">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3.11 丰度灵敏度（m-1）：≤7 ppm</w:t>
      </w:r>
    </w:p>
    <w:p w14:paraId="4772B18A">
      <w:pPr>
        <w:pStyle w:val="6"/>
        <w:spacing w:line="360" w:lineRule="auto"/>
        <w:rPr>
          <w:rFonts w:hint="eastAsia" w:ascii="宋体" w:hAnsi="宋体" w:cs="宋体"/>
          <w:color w:val="000000"/>
          <w:sz w:val="24"/>
        </w:rPr>
      </w:pPr>
      <w:r>
        <w:rPr>
          <w:rStyle w:val="7"/>
          <w:rFonts w:hint="eastAsia" w:hAnsi="宋体" w:cs="宋体"/>
          <w:b w:val="0"/>
          <w:color w:val="000000"/>
          <w:sz w:val="24"/>
          <w:szCs w:val="24"/>
        </w:rPr>
        <w:t>3.12</w:t>
      </w:r>
      <w:r>
        <w:rPr>
          <w:rFonts w:hint="eastAsia" w:ascii="宋体" w:hAnsi="宋体" w:cs="宋体"/>
          <w:color w:val="000000"/>
          <w:sz w:val="24"/>
        </w:rPr>
        <w:t xml:space="preserve"> 检出限：≤2ppq，无核素干扰</w:t>
      </w:r>
    </w:p>
    <w:p w14:paraId="2B36FE04">
      <w:pPr>
        <w:pStyle w:val="6"/>
        <w:spacing w:line="360" w:lineRule="auto"/>
        <w:rPr>
          <w:rFonts w:hint="eastAsia" w:ascii="宋体" w:hAnsi="宋体" w:cs="宋体"/>
          <w:color w:val="000000"/>
          <w:sz w:val="24"/>
        </w:rPr>
      </w:pPr>
      <w:r>
        <w:rPr>
          <w:rFonts w:hint="eastAsia" w:ascii="宋体" w:hAnsi="宋体" w:cs="宋体"/>
          <w:color w:val="000000"/>
          <w:sz w:val="24"/>
        </w:rPr>
        <w:t>3.13 氧化物产率CeO</w:t>
      </w:r>
      <w:r>
        <w:rPr>
          <w:rFonts w:hint="eastAsia" w:ascii="宋体" w:hAnsi="宋体" w:cs="宋体"/>
          <w:color w:val="000000"/>
          <w:sz w:val="24"/>
          <w:vertAlign w:val="superscript"/>
        </w:rPr>
        <w:t>＋</w:t>
      </w:r>
      <w:r>
        <w:rPr>
          <w:rFonts w:hint="eastAsia" w:ascii="宋体" w:hAnsi="宋体" w:cs="宋体"/>
          <w:color w:val="000000"/>
          <w:sz w:val="24"/>
        </w:rPr>
        <w:t>/Ce≤0.3%，双电荷产率Ba</w:t>
      </w:r>
      <w:r>
        <w:rPr>
          <w:rFonts w:hint="eastAsia" w:ascii="宋体" w:hAnsi="宋体" w:cs="宋体"/>
          <w:color w:val="000000"/>
          <w:sz w:val="24"/>
          <w:vertAlign w:val="superscript"/>
        </w:rPr>
        <w:t>++</w:t>
      </w:r>
      <w:r>
        <w:rPr>
          <w:rFonts w:hint="eastAsia" w:ascii="宋体" w:hAnsi="宋体" w:cs="宋体"/>
          <w:color w:val="000000"/>
          <w:sz w:val="24"/>
        </w:rPr>
        <w:t>/Ba</w:t>
      </w:r>
      <w:r>
        <w:rPr>
          <w:rFonts w:hint="eastAsia" w:ascii="宋体" w:hAnsi="宋体" w:cs="宋体"/>
          <w:color w:val="000000"/>
          <w:sz w:val="24"/>
          <w:vertAlign w:val="superscript"/>
        </w:rPr>
        <w:t>＋</w:t>
      </w:r>
      <w:r>
        <w:rPr>
          <w:rFonts w:hint="eastAsia" w:ascii="宋体" w:hAnsi="宋体" w:cs="宋体"/>
          <w:color w:val="000000"/>
          <w:sz w:val="24"/>
        </w:rPr>
        <w:t>≤3%</w:t>
      </w:r>
    </w:p>
    <w:p w14:paraId="3D20DDF4">
      <w:pPr>
        <w:pStyle w:val="6"/>
        <w:spacing w:line="360" w:lineRule="auto"/>
        <w:rPr>
          <w:rStyle w:val="7"/>
          <w:rFonts w:hint="eastAsia" w:hAnsi="宋体" w:cs="宋体"/>
          <w:color w:val="000000"/>
          <w:sz w:val="24"/>
          <w:szCs w:val="24"/>
        </w:rPr>
      </w:pPr>
      <w:r>
        <w:rPr>
          <w:rStyle w:val="7"/>
          <w:rFonts w:hint="eastAsia" w:hAnsi="宋体" w:cs="宋体"/>
          <w:color w:val="000000"/>
          <w:sz w:val="24"/>
          <w:szCs w:val="24"/>
        </w:rPr>
        <w:t>4、产品配置要求：</w:t>
      </w:r>
    </w:p>
    <w:p w14:paraId="2D2C4BFA">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★4.1高分辨率ICPMS主机1套（配置高灵敏度接口接口系统（含100m</w:t>
      </w:r>
      <w:r>
        <w:rPr>
          <w:rStyle w:val="7"/>
          <w:rFonts w:hint="eastAsia" w:hAnsi="宋体" w:cs="宋体"/>
          <w:b w:val="0"/>
          <w:color w:val="000000"/>
          <w:sz w:val="24"/>
          <w:szCs w:val="24"/>
          <w:vertAlign w:val="superscript"/>
        </w:rPr>
        <w:t>3</w:t>
      </w:r>
      <w:r>
        <w:rPr>
          <w:rStyle w:val="7"/>
          <w:rFonts w:hint="eastAsia" w:hAnsi="宋体" w:cs="宋体"/>
          <w:b w:val="0"/>
          <w:color w:val="000000"/>
          <w:sz w:val="24"/>
          <w:szCs w:val="24"/>
        </w:rPr>
        <w:t>/h大抽速干泵））1台</w:t>
      </w:r>
    </w:p>
    <w:p w14:paraId="67F579D2">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bookmarkStart w:id="4" w:name="_Hlk196404778"/>
      <w:r>
        <w:rPr>
          <w:rStyle w:val="7"/>
          <w:rFonts w:hint="eastAsia" w:hAnsi="宋体" w:cs="宋体"/>
          <w:b w:val="0"/>
          <w:color w:val="000000"/>
          <w:sz w:val="24"/>
          <w:szCs w:val="24"/>
          <w:lang w:val="en-US" w:eastAsia="zh-CN"/>
        </w:rPr>
        <w:t>2</w:t>
      </w:r>
      <w:r>
        <w:rPr>
          <w:rStyle w:val="7"/>
          <w:rFonts w:hint="eastAsia" w:hAnsi="宋体" w:cs="宋体"/>
          <w:b w:val="0"/>
          <w:color w:val="000000"/>
          <w:sz w:val="24"/>
          <w:szCs w:val="24"/>
        </w:rPr>
        <w:t>零备件包及消耗品包各1包</w:t>
      </w:r>
      <w:bookmarkEnd w:id="4"/>
      <w:r>
        <w:rPr>
          <w:rStyle w:val="7"/>
          <w:rFonts w:hint="eastAsia" w:hAnsi="宋体" w:cs="宋体"/>
          <w:b w:val="0"/>
          <w:color w:val="000000"/>
          <w:sz w:val="24"/>
          <w:szCs w:val="24"/>
        </w:rPr>
        <w:t>：三年常规零备件和消耗品包（包括蠕动泵管、矩管、采样锥和截取锥、雾化器、狭缝、石墨垫片、真空脂等）和备件（各种备用螺丝、垫片、铜垫圈、保险丝、O形密封圈、气路接头、水路接头、气管等）各一套</w:t>
      </w:r>
    </w:p>
    <w:p w14:paraId="5A08B6C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r>
        <w:rPr>
          <w:rStyle w:val="7"/>
          <w:rFonts w:hint="eastAsia" w:hAnsi="宋体" w:cs="宋体"/>
          <w:b w:val="0"/>
          <w:color w:val="000000"/>
          <w:sz w:val="24"/>
          <w:szCs w:val="24"/>
          <w:lang w:val="en-US" w:eastAsia="zh-CN"/>
        </w:rPr>
        <w:t>3</w:t>
      </w:r>
      <w:r>
        <w:rPr>
          <w:rStyle w:val="7"/>
          <w:rFonts w:hint="eastAsia" w:hAnsi="宋体" w:cs="宋体"/>
          <w:b w:val="0"/>
          <w:color w:val="000000"/>
          <w:sz w:val="24"/>
          <w:szCs w:val="24"/>
        </w:rPr>
        <w:t xml:space="preserve"> 40位以上液体自动进样器1台</w:t>
      </w:r>
    </w:p>
    <w:p w14:paraId="2914868E">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bookmarkStart w:id="5" w:name="_Hlk196404791"/>
      <w:r>
        <w:rPr>
          <w:rStyle w:val="7"/>
          <w:rFonts w:hint="eastAsia" w:hAnsi="宋体" w:cs="宋体"/>
          <w:b w:val="0"/>
          <w:color w:val="000000"/>
          <w:sz w:val="24"/>
          <w:szCs w:val="24"/>
          <w:lang w:val="en-US" w:eastAsia="zh-CN"/>
        </w:rPr>
        <w:t>4</w:t>
      </w:r>
      <w:r>
        <w:rPr>
          <w:rStyle w:val="7"/>
          <w:rFonts w:hint="eastAsia" w:hAnsi="宋体" w:cs="宋体"/>
          <w:b w:val="0"/>
          <w:color w:val="000000"/>
          <w:sz w:val="24"/>
          <w:szCs w:val="24"/>
        </w:rPr>
        <w:t>高精度测量同位素进样系统1套</w:t>
      </w:r>
      <w:bookmarkEnd w:id="5"/>
    </w:p>
    <w:p w14:paraId="0A358094">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r>
        <w:rPr>
          <w:rStyle w:val="7"/>
          <w:rFonts w:hint="eastAsia" w:hAnsi="宋体" w:cs="宋体"/>
          <w:b w:val="0"/>
          <w:color w:val="000000"/>
          <w:sz w:val="24"/>
          <w:szCs w:val="24"/>
          <w:lang w:val="en-US" w:eastAsia="zh-CN"/>
        </w:rPr>
        <w:t>5</w:t>
      </w:r>
      <w:r>
        <w:rPr>
          <w:rStyle w:val="7"/>
          <w:rFonts w:hint="eastAsia" w:hAnsi="宋体" w:cs="宋体"/>
          <w:color w:val="000000"/>
          <w:sz w:val="24"/>
          <w:szCs w:val="24"/>
        </w:rPr>
        <w:t xml:space="preserve"> </w:t>
      </w:r>
      <w:bookmarkStart w:id="6" w:name="_Hlk196404801"/>
      <w:r>
        <w:rPr>
          <w:rStyle w:val="7"/>
          <w:rFonts w:hint="eastAsia" w:hAnsi="宋体" w:cs="宋体"/>
          <w:b w:val="0"/>
          <w:color w:val="000000"/>
          <w:sz w:val="24"/>
          <w:szCs w:val="24"/>
        </w:rPr>
        <w:t>PFA雾化器（100 µL/min）、石英旋流雾化室各1个</w:t>
      </w:r>
      <w:bookmarkEnd w:id="6"/>
    </w:p>
    <w:p w14:paraId="39EE2BD5">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bookmarkStart w:id="7" w:name="_Hlk196404812"/>
      <w:r>
        <w:rPr>
          <w:rStyle w:val="7"/>
          <w:rFonts w:hint="eastAsia" w:hAnsi="宋体" w:cs="宋体"/>
          <w:b w:val="0"/>
          <w:color w:val="000000"/>
          <w:sz w:val="24"/>
          <w:szCs w:val="24"/>
          <w:lang w:val="en-US" w:eastAsia="zh-CN"/>
        </w:rPr>
        <w:t>6</w:t>
      </w:r>
      <w:r>
        <w:rPr>
          <w:rStyle w:val="7"/>
          <w:rFonts w:hint="eastAsia" w:hAnsi="宋体" w:cs="宋体"/>
          <w:b w:val="0"/>
          <w:color w:val="000000"/>
          <w:sz w:val="24"/>
          <w:szCs w:val="24"/>
        </w:rPr>
        <w:t>矩管、石英中心管各2个</w:t>
      </w:r>
      <w:bookmarkEnd w:id="7"/>
    </w:p>
    <w:p w14:paraId="08498E6A">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bookmarkStart w:id="8" w:name="_Hlk196404820"/>
      <w:r>
        <w:rPr>
          <w:rStyle w:val="7"/>
          <w:rFonts w:hint="eastAsia" w:hAnsi="宋体" w:cs="宋体"/>
          <w:b w:val="0"/>
          <w:color w:val="000000"/>
          <w:sz w:val="24"/>
          <w:szCs w:val="24"/>
          <w:lang w:val="en-US" w:eastAsia="zh-CN"/>
        </w:rPr>
        <w:t>7</w:t>
      </w:r>
      <w:r>
        <w:rPr>
          <w:rStyle w:val="7"/>
          <w:rFonts w:hint="eastAsia" w:hAnsi="宋体" w:cs="宋体"/>
          <w:b w:val="0"/>
          <w:color w:val="000000"/>
          <w:sz w:val="24"/>
          <w:szCs w:val="24"/>
        </w:rPr>
        <w:t>镍样品锥、镍截取锥、Jet型样品锥和X型镍截取锥各2个</w:t>
      </w:r>
      <w:bookmarkEnd w:id="8"/>
    </w:p>
    <w:p w14:paraId="3A1FDBCD">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★4.</w:t>
      </w:r>
      <w:bookmarkStart w:id="9" w:name="_Hlk196404831"/>
      <w:r>
        <w:rPr>
          <w:rStyle w:val="7"/>
          <w:rFonts w:hint="eastAsia" w:hAnsi="宋体" w:cs="宋体"/>
          <w:b w:val="0"/>
          <w:color w:val="000000"/>
          <w:sz w:val="24"/>
          <w:szCs w:val="24"/>
          <w:lang w:val="en-US" w:eastAsia="zh-CN"/>
        </w:rPr>
        <w:t>8</w:t>
      </w:r>
      <w:r>
        <w:rPr>
          <w:rStyle w:val="7"/>
          <w:rFonts w:hint="eastAsia" w:hAnsi="宋体" w:cs="宋体"/>
          <w:b w:val="0"/>
          <w:color w:val="000000"/>
          <w:sz w:val="24"/>
          <w:szCs w:val="24"/>
        </w:rPr>
        <w:t>插入式狭缝1个</w:t>
      </w:r>
      <w:bookmarkEnd w:id="9"/>
    </w:p>
    <w:p w14:paraId="1E184254">
      <w:pPr>
        <w:pStyle w:val="6"/>
        <w:spacing w:line="360" w:lineRule="auto"/>
        <w:rPr>
          <w:rStyle w:val="7"/>
          <w:rFonts w:hint="eastAsia" w:hAnsi="宋体" w:cs="宋体"/>
          <w:b w:val="0"/>
          <w:color w:val="000000"/>
          <w:sz w:val="24"/>
          <w:szCs w:val="24"/>
        </w:rPr>
      </w:pPr>
      <w:r>
        <w:rPr>
          <w:rStyle w:val="7"/>
          <w:rFonts w:hint="eastAsia" w:hAnsi="宋体" w:cs="宋体"/>
          <w:b w:val="0"/>
          <w:color w:val="000000"/>
          <w:sz w:val="24"/>
          <w:szCs w:val="24"/>
        </w:rPr>
        <w:t>4.</w:t>
      </w:r>
      <w:bookmarkStart w:id="10" w:name="_Hlk196404860"/>
      <w:r>
        <w:rPr>
          <w:rStyle w:val="7"/>
          <w:rFonts w:hint="eastAsia" w:hAnsi="宋体" w:cs="宋体"/>
          <w:b w:val="0"/>
          <w:color w:val="000000"/>
          <w:sz w:val="24"/>
          <w:szCs w:val="24"/>
          <w:lang w:val="en-US" w:eastAsia="zh-CN"/>
        </w:rPr>
        <w:t>9</w:t>
      </w:r>
      <w:r>
        <w:rPr>
          <w:rStyle w:val="7"/>
          <w:rFonts w:hint="eastAsia" w:hAnsi="宋体" w:cs="宋体"/>
          <w:b w:val="0"/>
          <w:color w:val="000000"/>
          <w:sz w:val="24"/>
          <w:szCs w:val="24"/>
        </w:rPr>
        <w:t>不间断电源1套，优于15KVA 三进三出</w:t>
      </w:r>
      <w:r>
        <w:rPr>
          <w:rFonts w:hint="eastAsia" w:ascii="宋体" w:hAnsi="宋体" w:cs="宋体"/>
          <w:color w:val="000000"/>
          <w:sz w:val="24"/>
        </w:rPr>
        <w:t>工业UPS电源（一线品牌）</w:t>
      </w:r>
      <w:r>
        <w:rPr>
          <w:rStyle w:val="7"/>
          <w:rFonts w:hint="eastAsia" w:hAnsi="宋体" w:cs="宋体"/>
          <w:b w:val="0"/>
          <w:color w:val="000000"/>
          <w:sz w:val="24"/>
          <w:szCs w:val="24"/>
        </w:rPr>
        <w:t>，</w:t>
      </w:r>
      <w:r>
        <w:rPr>
          <w:rFonts w:hint="eastAsia" w:ascii="宋体" w:hAnsi="宋体" w:cs="宋体"/>
          <w:color w:val="000000"/>
          <w:sz w:val="24"/>
        </w:rPr>
        <w:t>内含完全隔离逆变器（零地电压&lt;1V），输出电压400 V/220 V，稳定度≤±2%，配备电池延时</w:t>
      </w:r>
      <w:r>
        <w:rPr>
          <w:rStyle w:val="7"/>
          <w:rFonts w:hint="eastAsia" w:hAnsi="宋体" w:cs="宋体"/>
          <w:b w:val="0"/>
          <w:color w:val="000000"/>
          <w:sz w:val="24"/>
          <w:szCs w:val="24"/>
        </w:rPr>
        <w:t>1个小时</w:t>
      </w:r>
      <w:bookmarkEnd w:id="10"/>
      <w:r>
        <w:rPr>
          <w:rStyle w:val="7"/>
          <w:rFonts w:hint="eastAsia" w:hAnsi="宋体" w:cs="宋体"/>
          <w:b w:val="0"/>
          <w:color w:val="000000"/>
          <w:sz w:val="24"/>
          <w:szCs w:val="24"/>
        </w:rPr>
        <w:t>或以上</w:t>
      </w:r>
    </w:p>
    <w:p w14:paraId="2C2A2B50">
      <w:pPr>
        <w:pStyle w:val="6"/>
        <w:spacing w:line="360" w:lineRule="auto"/>
        <w:rPr>
          <w:rFonts w:hint="eastAsia" w:ascii="宋体" w:hAnsi="宋体" w:cs="宋体"/>
          <w:color w:val="000000"/>
          <w:sz w:val="24"/>
        </w:rPr>
      </w:pPr>
      <w:r>
        <w:rPr>
          <w:rStyle w:val="7"/>
          <w:rFonts w:hint="eastAsia" w:hAnsi="宋体" w:cs="宋体"/>
          <w:b w:val="0"/>
          <w:color w:val="000000"/>
          <w:sz w:val="24"/>
          <w:szCs w:val="24"/>
        </w:rPr>
        <w:t>4.1</w:t>
      </w:r>
      <w:r>
        <w:rPr>
          <w:rStyle w:val="7"/>
          <w:rFonts w:hint="eastAsia" w:hAnsi="宋体" w:cs="宋体"/>
          <w:b w:val="0"/>
          <w:color w:val="000000"/>
          <w:sz w:val="24"/>
          <w:szCs w:val="24"/>
          <w:lang w:val="en-US" w:eastAsia="zh-CN"/>
        </w:rPr>
        <w:t>0</w:t>
      </w:r>
      <w:r>
        <w:rPr>
          <w:rStyle w:val="7"/>
          <w:rFonts w:hint="eastAsia" w:hAnsi="宋体" w:cs="宋体"/>
          <w:b w:val="0"/>
          <w:color w:val="000000"/>
          <w:sz w:val="24"/>
          <w:szCs w:val="24"/>
        </w:rPr>
        <w:t xml:space="preserve"> </w:t>
      </w:r>
      <w:r>
        <w:rPr>
          <w:rFonts w:hint="eastAsia" w:ascii="宋体" w:hAnsi="宋体" w:cs="宋体"/>
          <w:color w:val="000000"/>
          <w:sz w:val="24"/>
        </w:rPr>
        <w:t>必配备用消耗品和配件</w:t>
      </w:r>
    </w:p>
    <w:p w14:paraId="59AC2B4C">
      <w:pPr>
        <w:pStyle w:val="6"/>
        <w:spacing w:line="360" w:lineRule="auto"/>
        <w:rPr>
          <w:rFonts w:hint="eastAsia" w:ascii="宋体" w:hAnsi="宋体" w:cs="宋体"/>
          <w:color w:val="000000"/>
          <w:sz w:val="24"/>
        </w:rPr>
      </w:pPr>
      <w:r>
        <w:rPr>
          <w:rFonts w:hint="eastAsia" w:ascii="宋体" w:hAnsi="宋体" w:cs="宋体"/>
          <w:color w:val="000000"/>
          <w:sz w:val="24"/>
        </w:rPr>
        <w:t xml:space="preserve">标准配置之外备用配件包括：标准锥（含采样锥和截取锥）2套，高灵敏度锥（含采样锥和截取锥）2套，铝锥2套，标准石英炬管（含外管和中心管）2套，旋流双通道石英雾化室1个， 200 </w:t>
      </w:r>
      <w:r>
        <w:rPr>
          <w:rStyle w:val="7"/>
          <w:rFonts w:hint="eastAsia" w:hAnsi="宋体" w:cs="宋体"/>
          <w:b w:val="0"/>
          <w:color w:val="000000"/>
          <w:sz w:val="24"/>
          <w:szCs w:val="24"/>
        </w:rPr>
        <w:t>µ</w:t>
      </w:r>
      <w:r>
        <w:rPr>
          <w:rFonts w:hint="eastAsia" w:ascii="宋体" w:hAnsi="宋体" w:cs="宋体"/>
          <w:color w:val="000000"/>
          <w:sz w:val="24"/>
        </w:rPr>
        <w:t xml:space="preserve">L/min石英雾化器1个，含碳纤维进样针PFA-100 </w:t>
      </w:r>
      <w:r>
        <w:rPr>
          <w:rStyle w:val="7"/>
          <w:rFonts w:hint="eastAsia" w:hAnsi="宋体" w:cs="宋体"/>
          <w:b w:val="0"/>
          <w:color w:val="000000"/>
          <w:sz w:val="24"/>
          <w:szCs w:val="24"/>
        </w:rPr>
        <w:t>µ</w:t>
      </w:r>
      <w:r>
        <w:rPr>
          <w:rFonts w:hint="eastAsia" w:ascii="宋体" w:hAnsi="宋体" w:cs="宋体"/>
          <w:color w:val="000000"/>
          <w:sz w:val="24"/>
        </w:rPr>
        <w:t xml:space="preserve">L/min雾化器1个，含碳纤维进样针PFA-50 </w:t>
      </w:r>
      <w:r>
        <w:rPr>
          <w:rStyle w:val="7"/>
          <w:rFonts w:hint="eastAsia" w:hAnsi="宋体" w:cs="宋体"/>
          <w:b w:val="0"/>
          <w:color w:val="000000"/>
          <w:sz w:val="24"/>
          <w:szCs w:val="24"/>
        </w:rPr>
        <w:t>µ</w:t>
      </w:r>
      <w:r>
        <w:rPr>
          <w:rFonts w:hint="eastAsia" w:ascii="宋体" w:hAnsi="宋体" w:cs="宋体"/>
          <w:color w:val="000000"/>
          <w:sz w:val="24"/>
        </w:rPr>
        <w:t>L/min雾化器1个，低分辨源狭缝1个，中高分辨狭缝2个，提取透镜2个，石墨垫片2包，水冷滤芯6个。</w:t>
      </w:r>
    </w:p>
    <w:p w14:paraId="06E44D4D">
      <w:pPr>
        <w:pStyle w:val="6"/>
        <w:spacing w:line="360" w:lineRule="auto"/>
        <w:rPr>
          <w:rFonts w:hint="eastAsia" w:ascii="宋体" w:hAnsi="宋体" w:cs="宋体"/>
          <w:color w:val="000000"/>
          <w:sz w:val="24"/>
        </w:rPr>
      </w:pPr>
    </w:p>
    <w:p w14:paraId="79274A0F">
      <w:pPr>
        <w:pStyle w:val="6"/>
        <w:spacing w:line="360" w:lineRule="auto"/>
        <w:jc w:val="center"/>
        <w:rPr>
          <w:rFonts w:ascii="宋体" w:hAnsi="宋体" w:cs="宋体"/>
          <w:b/>
          <w:bCs/>
          <w:color w:val="000000"/>
          <w:sz w:val="24"/>
        </w:rPr>
      </w:pPr>
      <w:r>
        <w:rPr>
          <w:rFonts w:hint="eastAsia" w:ascii="宋体" w:hAnsi="宋体" w:cs="宋体"/>
          <w:b/>
          <w:bCs/>
          <w:color w:val="000000"/>
          <w:sz w:val="24"/>
        </w:rPr>
        <w:t>（二）商务部分</w:t>
      </w:r>
    </w:p>
    <w:p w14:paraId="7E033F16">
      <w:pPr>
        <w:pStyle w:val="6"/>
        <w:spacing w:line="360" w:lineRule="auto"/>
        <w:jc w:val="left"/>
        <w:rPr>
          <w:rFonts w:hint="eastAsia" w:ascii="宋体" w:hAnsi="宋体" w:cs="宋体"/>
          <w:b/>
          <w:color w:val="000000"/>
          <w:sz w:val="24"/>
        </w:rPr>
      </w:pPr>
      <w:r>
        <w:rPr>
          <w:rFonts w:hint="eastAsia" w:ascii="宋体" w:hAnsi="宋体" w:cs="宋体"/>
          <w:b/>
          <w:color w:val="000000"/>
          <w:sz w:val="24"/>
        </w:rPr>
        <w:t>三、售后服务</w:t>
      </w:r>
    </w:p>
    <w:p w14:paraId="0C88D96C">
      <w:pPr>
        <w:pStyle w:val="6"/>
        <w:spacing w:line="360" w:lineRule="auto"/>
        <w:jc w:val="left"/>
        <w:rPr>
          <w:rFonts w:hint="eastAsia" w:ascii="宋体" w:hAnsi="宋体" w:cs="宋体"/>
          <w:b/>
          <w:color w:val="000000"/>
          <w:sz w:val="24"/>
        </w:rPr>
      </w:pPr>
      <w:r>
        <w:rPr>
          <w:rFonts w:hint="eastAsia" w:ascii="宋体" w:hAnsi="宋体" w:cs="宋体"/>
          <w:b/>
          <w:color w:val="000000"/>
          <w:sz w:val="24"/>
        </w:rPr>
        <w:t>1、技术服务</w:t>
      </w:r>
    </w:p>
    <w:p w14:paraId="3C4A6192">
      <w:pPr>
        <w:pStyle w:val="6"/>
        <w:spacing w:line="360" w:lineRule="auto"/>
        <w:jc w:val="left"/>
        <w:rPr>
          <w:rFonts w:hint="eastAsia" w:ascii="宋体" w:hAnsi="宋体" w:cs="宋体"/>
          <w:color w:val="000000"/>
          <w:sz w:val="24"/>
        </w:rPr>
      </w:pPr>
      <w:r>
        <w:rPr>
          <w:rFonts w:hint="eastAsia" w:ascii="宋体" w:hAnsi="宋体" w:cs="宋体"/>
          <w:color w:val="000000"/>
          <w:sz w:val="24"/>
        </w:rPr>
        <w:t>1.1 设备安装调试</w:t>
      </w:r>
    </w:p>
    <w:p w14:paraId="147B187F">
      <w:pPr>
        <w:pStyle w:val="6"/>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1.1.1 合同签定后，仪器公司协助我单位进行安装前的准备工作，提供相关的布局图和设计要求；</w:t>
      </w:r>
    </w:p>
    <w:p w14:paraId="4A0B2D29">
      <w:pPr>
        <w:pStyle w:val="6"/>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1.1.2供应商在接到用户安装通知后，须在15天内安排有经验的工程师到现场安装仪器，并在60天内安装调试完毕；仪器公司免费提供全面安装工具，安装工程师费用由仪器公司承担；</w:t>
      </w:r>
    </w:p>
    <w:p w14:paraId="516DAA78">
      <w:pPr>
        <w:pStyle w:val="6"/>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1.1.3 安装调试过程中，安装工程师有义务对用户讲解仪器操作及注意事项，对用户提出的问题安装工程师须认真讲解和回答。</w:t>
      </w:r>
    </w:p>
    <w:p w14:paraId="0437C664">
      <w:pPr>
        <w:pStyle w:val="6"/>
        <w:spacing w:line="360" w:lineRule="auto"/>
        <w:jc w:val="left"/>
        <w:rPr>
          <w:rFonts w:hint="eastAsia" w:ascii="宋体" w:hAnsi="宋体" w:cs="宋体"/>
          <w:color w:val="000000"/>
          <w:sz w:val="24"/>
        </w:rPr>
      </w:pPr>
      <w:r>
        <w:rPr>
          <w:rFonts w:hint="eastAsia" w:ascii="宋体" w:hAnsi="宋体" w:cs="宋体"/>
          <w:color w:val="000000"/>
          <w:sz w:val="24"/>
        </w:rPr>
        <w:t>1.2  技术培训</w:t>
      </w:r>
    </w:p>
    <w:p w14:paraId="2A93B690">
      <w:pPr>
        <w:pStyle w:val="6"/>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1.2.1 仪器安装后，仪器公司安装工程师为用户提供为期不少于一周现场免费培训，培训内容包括仪器的技术原理、操作、数据处理、基本维护等。仪器使用6–8周后，仪器公司应再派应用工程师提供现场解决疑难问题，所有费用由公司承担。</w:t>
      </w:r>
    </w:p>
    <w:p w14:paraId="0F03BFF8">
      <w:pPr>
        <w:pStyle w:val="6"/>
        <w:spacing w:line="360" w:lineRule="auto"/>
        <w:jc w:val="left"/>
        <w:rPr>
          <w:rFonts w:hint="eastAsia" w:ascii="宋体" w:hAnsi="宋体" w:cs="宋体"/>
          <w:color w:val="000000"/>
          <w:sz w:val="24"/>
        </w:rPr>
      </w:pPr>
      <w:r>
        <w:rPr>
          <w:rFonts w:hint="eastAsia" w:ascii="宋体" w:hAnsi="宋体" w:cs="宋体"/>
          <w:color w:val="000000"/>
          <w:sz w:val="24"/>
        </w:rPr>
        <w:t>1.3  验收：</w:t>
      </w:r>
    </w:p>
    <w:p w14:paraId="0ED50413">
      <w:pPr>
        <w:pStyle w:val="6"/>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在用户和仪器厂家技术人员双方确认仪器的各项功能均已达到技术指标要求后方可对仪器进行验收，验收按照相关规定及标书要求进行。整机自安装之日起1个月内，如果系统不能正常工作或不能达到仪器分析指标，在卖方尽快、尽力排除故障的前提下，仍不能解决问题，买方有权要求卖方更换部件或全部新品以解决问题。卖方应在接到买方书面申请（邮件和传真均有效）后，应在2个月内免费从原厂运出更换部件或更换新品。新品或新部件到货后3个月内，仍不能正常工作或不能满足仪器验收指标要求，买方有权利要求退换货。安装之日起4个月内，如果卖方没有更换部分或全部新品，仪器也没有明显的性能改善，系统仍不能正常工作或不能满足仪器验收指标要求的，买方可以提出要求卖方退货和返还全部预付款。</w:t>
      </w:r>
    </w:p>
    <w:p w14:paraId="6AEF9CCE">
      <w:pPr>
        <w:pStyle w:val="6"/>
        <w:spacing w:line="360" w:lineRule="auto"/>
        <w:jc w:val="left"/>
        <w:rPr>
          <w:rFonts w:hint="eastAsia" w:ascii="宋体" w:hAnsi="宋体" w:cs="宋体"/>
          <w:b/>
          <w:color w:val="000000"/>
          <w:sz w:val="24"/>
        </w:rPr>
      </w:pPr>
      <w:r>
        <w:rPr>
          <w:rFonts w:hint="eastAsia" w:ascii="宋体" w:hAnsi="宋体" w:cs="宋体"/>
          <w:b/>
          <w:color w:val="000000"/>
          <w:sz w:val="24"/>
        </w:rPr>
        <w:t>2、保修期：</w:t>
      </w:r>
    </w:p>
    <w:p w14:paraId="0A425F46">
      <w:pPr>
        <w:pStyle w:val="6"/>
        <w:spacing w:line="360" w:lineRule="auto"/>
        <w:jc w:val="left"/>
        <w:rPr>
          <w:rFonts w:hint="eastAsia" w:ascii="宋体" w:hAnsi="宋体" w:cs="宋体"/>
          <w:color w:val="000000"/>
          <w:sz w:val="24"/>
        </w:rPr>
      </w:pPr>
      <w:r>
        <w:rPr>
          <w:rFonts w:hint="eastAsia" w:ascii="宋体" w:hAnsi="宋体" w:cs="宋体"/>
          <w:color w:val="000000"/>
          <w:sz w:val="24"/>
        </w:rPr>
        <w:t>2.1  提供2年或2年以上的免费保修，保修期自买方进行技术验收完成之日起计算。</w:t>
      </w:r>
    </w:p>
    <w:p w14:paraId="255596DB">
      <w:pPr>
        <w:pStyle w:val="6"/>
        <w:spacing w:line="360" w:lineRule="auto"/>
        <w:jc w:val="left"/>
        <w:rPr>
          <w:rFonts w:hint="eastAsia" w:ascii="宋体" w:hAnsi="宋体" w:cs="宋体"/>
          <w:color w:val="000000"/>
          <w:sz w:val="24"/>
        </w:rPr>
      </w:pPr>
      <w:r>
        <w:rPr>
          <w:rFonts w:hint="eastAsia" w:ascii="宋体" w:hAnsi="宋体" w:cs="宋体"/>
          <w:color w:val="000000"/>
          <w:sz w:val="24"/>
        </w:rPr>
        <w:t>2.2  维修响应时间：卖方应在24小时内对用户的服务要求作出响应，一般问题应在48小时内解决，重大问题或其它无法迅速解决的问题应在一周内解决或提出明确解决方案，否则卖方应赔偿相应损失。</w:t>
      </w:r>
    </w:p>
    <w:p w14:paraId="4D78E094">
      <w:pPr>
        <w:pStyle w:val="6"/>
        <w:spacing w:line="360" w:lineRule="auto"/>
        <w:jc w:val="left"/>
        <w:rPr>
          <w:rFonts w:hint="eastAsia" w:ascii="宋体" w:hAnsi="宋体" w:cs="宋体"/>
          <w:b/>
          <w:color w:val="000000"/>
          <w:sz w:val="24"/>
        </w:rPr>
      </w:pPr>
      <w:r>
        <w:rPr>
          <w:rFonts w:hint="eastAsia" w:ascii="宋体" w:hAnsi="宋体" w:cs="宋体"/>
          <w:b/>
          <w:color w:val="000000"/>
          <w:sz w:val="24"/>
        </w:rPr>
        <w:t>3、软、硬件升级：</w:t>
      </w:r>
    </w:p>
    <w:p w14:paraId="0BA98F6C">
      <w:pPr>
        <w:pStyle w:val="6"/>
        <w:spacing w:line="360" w:lineRule="auto"/>
        <w:jc w:val="left"/>
        <w:rPr>
          <w:rFonts w:hint="eastAsia" w:ascii="宋体" w:hAnsi="宋体" w:cs="宋体"/>
          <w:color w:val="000000"/>
          <w:sz w:val="24"/>
        </w:rPr>
      </w:pPr>
      <w:r>
        <w:rPr>
          <w:rFonts w:hint="eastAsia" w:ascii="宋体" w:hAnsi="宋体" w:cs="宋体"/>
          <w:color w:val="000000"/>
          <w:sz w:val="24"/>
        </w:rPr>
        <w:t>3.1 卖方应免费向用户提供自验收之后未来3年的仪器软件升级和优惠提供与之相关的硬件升级。</w:t>
      </w:r>
    </w:p>
    <w:p w14:paraId="7E319B2C">
      <w:pPr>
        <w:pStyle w:val="6"/>
        <w:spacing w:line="360" w:lineRule="auto"/>
        <w:jc w:val="left"/>
        <w:rPr>
          <w:rFonts w:hint="eastAsia" w:ascii="宋体" w:hAnsi="宋体" w:cs="宋体"/>
          <w:b/>
          <w:color w:val="000000"/>
          <w:sz w:val="24"/>
        </w:rPr>
      </w:pPr>
      <w:r>
        <w:rPr>
          <w:rFonts w:hint="eastAsia" w:ascii="宋体" w:hAnsi="宋体" w:cs="宋体"/>
          <w:b/>
          <w:color w:val="000000"/>
          <w:sz w:val="24"/>
        </w:rPr>
        <w:t>4、其他技术服务</w:t>
      </w:r>
    </w:p>
    <w:p w14:paraId="72F330BE">
      <w:pPr>
        <w:pStyle w:val="6"/>
        <w:spacing w:line="360" w:lineRule="auto"/>
        <w:jc w:val="left"/>
        <w:rPr>
          <w:rFonts w:hint="eastAsia" w:ascii="宋体" w:hAnsi="宋体" w:cs="宋体"/>
          <w:color w:val="000000"/>
          <w:sz w:val="24"/>
        </w:rPr>
      </w:pPr>
      <w:r>
        <w:rPr>
          <w:rFonts w:hint="eastAsia" w:ascii="宋体" w:hAnsi="宋体" w:cs="宋体"/>
          <w:color w:val="000000"/>
          <w:sz w:val="24"/>
        </w:rPr>
        <w:t>4.1  中标仪器公司应具有正规注册的办事处、维修站及零备件保税库。在中国境内应有专门负责的经验丰富的维修工程师和专门的技术应用支持工程师。</w:t>
      </w:r>
    </w:p>
    <w:p w14:paraId="23702DE2">
      <w:pPr>
        <w:pStyle w:val="6"/>
        <w:spacing w:line="360" w:lineRule="auto"/>
        <w:jc w:val="left"/>
        <w:rPr>
          <w:rFonts w:hint="eastAsia" w:ascii="宋体" w:hAnsi="宋体" w:cs="宋体"/>
          <w:color w:val="000000"/>
          <w:sz w:val="24"/>
        </w:rPr>
      </w:pPr>
      <w:r>
        <w:rPr>
          <w:rFonts w:hint="eastAsia" w:ascii="宋体" w:hAnsi="宋体" w:cs="宋体"/>
          <w:color w:val="000000"/>
          <w:sz w:val="24"/>
        </w:rPr>
        <w:t>4.2  投标人提供给买方的货物，必须完整无缺，其所有部件都必须是原厂生产的最新、全新优质产品，且在中国境内买方拥有合法的产权和使用权。</w:t>
      </w:r>
    </w:p>
    <w:p w14:paraId="653954C5">
      <w:pPr>
        <w:pStyle w:val="6"/>
        <w:spacing w:line="360" w:lineRule="auto"/>
        <w:jc w:val="left"/>
        <w:rPr>
          <w:rFonts w:hint="eastAsia" w:ascii="宋体" w:hAnsi="宋体" w:cs="宋体"/>
          <w:color w:val="000000"/>
          <w:sz w:val="24"/>
        </w:rPr>
      </w:pPr>
      <w:r>
        <w:rPr>
          <w:rFonts w:hint="eastAsia" w:ascii="宋体" w:hAnsi="宋体" w:cs="宋体"/>
          <w:color w:val="000000"/>
          <w:sz w:val="24"/>
        </w:rPr>
        <w:t>4.3  为方便买方设备的正常接收及顺利开展安装前期准备工作，中标人须在合同生效后30天内向购方提供一套完整的产品资料，包括使用说明书、操作手册、安装要求，本项资料的提供不影响随机资料、投标资料的提供。</w:t>
      </w:r>
    </w:p>
    <w:p w14:paraId="06ACE972">
      <w:pPr>
        <w:pStyle w:val="6"/>
        <w:spacing w:line="360" w:lineRule="auto"/>
        <w:jc w:val="left"/>
        <w:rPr>
          <w:rFonts w:hint="eastAsia" w:ascii="宋体" w:hAnsi="宋体" w:cs="宋体"/>
          <w:b/>
          <w:color w:val="000000"/>
          <w:sz w:val="24"/>
        </w:rPr>
      </w:pPr>
      <w:r>
        <w:rPr>
          <w:rFonts w:hint="eastAsia" w:ascii="宋体" w:hAnsi="宋体" w:cs="宋体"/>
          <w:b/>
          <w:color w:val="000000"/>
          <w:sz w:val="24"/>
        </w:rPr>
        <w:t>四、订货数量：</w:t>
      </w:r>
    </w:p>
    <w:p w14:paraId="7B4B81A5">
      <w:pPr>
        <w:pStyle w:val="6"/>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 xml:space="preserve">一台 </w:t>
      </w:r>
    </w:p>
    <w:p w14:paraId="1C06F365">
      <w:pPr>
        <w:pStyle w:val="6"/>
        <w:spacing w:line="360" w:lineRule="auto"/>
        <w:jc w:val="left"/>
        <w:rPr>
          <w:rFonts w:hint="eastAsia" w:ascii="宋体" w:hAnsi="宋体" w:cs="宋体"/>
          <w:sz w:val="24"/>
        </w:rPr>
      </w:pPr>
      <w:r>
        <w:rPr>
          <w:rFonts w:hint="eastAsia" w:ascii="宋体" w:hAnsi="宋体" w:cs="宋体"/>
          <w:b/>
          <w:color w:val="000000"/>
          <w:sz w:val="24"/>
        </w:rPr>
        <w:t>五、目的港：</w:t>
      </w:r>
    </w:p>
    <w:p w14:paraId="67D6E1FA">
      <w:pPr>
        <w:pStyle w:val="6"/>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CIP 广州机场</w:t>
      </w:r>
    </w:p>
    <w:p w14:paraId="5566FD6C">
      <w:pPr>
        <w:pStyle w:val="6"/>
        <w:spacing w:line="360" w:lineRule="auto"/>
        <w:jc w:val="left"/>
        <w:rPr>
          <w:rFonts w:hint="eastAsia" w:ascii="宋体" w:hAnsi="宋体" w:cs="宋体"/>
          <w:b/>
          <w:color w:val="000000"/>
          <w:sz w:val="24"/>
        </w:rPr>
      </w:pPr>
      <w:r>
        <w:rPr>
          <w:rFonts w:hint="eastAsia" w:ascii="宋体" w:hAnsi="宋体" w:cs="宋体"/>
          <w:b/>
          <w:color w:val="000000"/>
          <w:sz w:val="24"/>
        </w:rPr>
        <w:t>六、交货地点：中国科学院广州地球化学研究所内甲方指定地点</w:t>
      </w:r>
    </w:p>
    <w:p w14:paraId="319409A4">
      <w:pPr>
        <w:pStyle w:val="6"/>
        <w:spacing w:line="360" w:lineRule="auto"/>
        <w:jc w:val="left"/>
        <w:rPr>
          <w:rFonts w:hint="eastAsia" w:ascii="宋体" w:hAnsi="宋体" w:cs="宋体"/>
          <w:b/>
          <w:color w:val="000000"/>
          <w:sz w:val="24"/>
        </w:rPr>
      </w:pPr>
      <w:r>
        <w:rPr>
          <w:rFonts w:hint="eastAsia" w:ascii="宋体" w:hAnsi="宋体" w:cs="宋体"/>
          <w:b/>
          <w:color w:val="000000"/>
          <w:sz w:val="24"/>
        </w:rPr>
        <w:t>七、交货日期：</w:t>
      </w:r>
      <w:bookmarkStart w:id="11" w:name="_Hlk196405491"/>
    </w:p>
    <w:p w14:paraId="41AEB342">
      <w:pPr>
        <w:pStyle w:val="6"/>
        <w:spacing w:line="360" w:lineRule="auto"/>
        <w:ind w:firstLine="360" w:firstLineChars="150"/>
        <w:jc w:val="left"/>
        <w:rPr>
          <w:rFonts w:hint="eastAsia" w:ascii="宋体" w:hAnsi="宋体" w:cs="宋体"/>
          <w:color w:val="000000"/>
          <w:sz w:val="24"/>
        </w:rPr>
      </w:pPr>
      <w:r>
        <w:rPr>
          <w:rStyle w:val="7"/>
          <w:rFonts w:hint="eastAsia" w:hAnsi="宋体" w:cs="宋体"/>
          <w:b w:val="0"/>
          <w:color w:val="000000"/>
          <w:sz w:val="24"/>
          <w:szCs w:val="24"/>
        </w:rPr>
        <w:t>合同签订后12个月内交货</w:t>
      </w:r>
      <w:bookmarkEnd w:id="11"/>
    </w:p>
    <w:p w14:paraId="781CAE5A">
      <w:pPr>
        <w:pStyle w:val="6"/>
        <w:spacing w:line="360" w:lineRule="auto"/>
        <w:jc w:val="left"/>
        <w:rPr>
          <w:rStyle w:val="7"/>
          <w:rFonts w:hint="eastAsia" w:hAnsi="宋体" w:cs="宋体"/>
          <w:color w:val="000000"/>
          <w:sz w:val="24"/>
          <w:szCs w:val="24"/>
        </w:rPr>
      </w:pPr>
      <w:r>
        <w:rPr>
          <w:rStyle w:val="7"/>
          <w:rFonts w:hint="eastAsia" w:hAnsi="宋体" w:cs="宋体"/>
          <w:b w:val="0"/>
          <w:color w:val="000000"/>
          <w:sz w:val="24"/>
          <w:szCs w:val="24"/>
        </w:rPr>
        <w:t>★</w:t>
      </w:r>
      <w:r>
        <w:rPr>
          <w:rStyle w:val="7"/>
          <w:rFonts w:hint="eastAsia" w:hAnsi="宋体" w:cs="宋体"/>
          <w:color w:val="000000"/>
          <w:sz w:val="24"/>
          <w:szCs w:val="24"/>
        </w:rPr>
        <w:t>八、付款方式</w:t>
      </w:r>
    </w:p>
    <w:p w14:paraId="48B0C470">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1、对于境内采购的产品，全部货物交货到采购人指定地点，并完成安装、调试及验收合格后30日内支付100%货款。</w:t>
      </w:r>
    </w:p>
    <w:p w14:paraId="41ED203F">
      <w:pPr>
        <w:pStyle w:val="6"/>
        <w:spacing w:line="360" w:lineRule="auto"/>
        <w:jc w:val="left"/>
        <w:rPr>
          <w:rStyle w:val="7"/>
          <w:rFonts w:hint="eastAsia" w:hAnsi="宋体" w:cs="宋体"/>
          <w:b w:val="0"/>
          <w:color w:val="000000"/>
          <w:sz w:val="24"/>
          <w:szCs w:val="24"/>
        </w:rPr>
      </w:pPr>
      <w:r>
        <w:rPr>
          <w:rStyle w:val="7"/>
          <w:rFonts w:hint="eastAsia" w:hAnsi="宋体" w:cs="宋体"/>
          <w:b w:val="0"/>
          <w:color w:val="000000"/>
          <w:sz w:val="24"/>
          <w:szCs w:val="24"/>
        </w:rPr>
        <w:t>2、对于进口产品，合同签订后开具100%信用证（L/C），发货后凭厂商出具的产品合格证、发货单据及中国海关进口货物报关单议付30%，货物开箱清点后凭用户签字确认的开箱记录表议付30%，技术验收后凭技术验收合格报告议付40%。</w:t>
      </w:r>
    </w:p>
    <w:p w14:paraId="5D74097F">
      <w:pPr>
        <w:widowControl/>
        <w:spacing w:line="360" w:lineRule="atLeast"/>
        <w:rPr>
          <w:rFonts w:hint="eastAsia" w:ascii="宋体" w:hAnsi="宋体"/>
          <w:b/>
          <w:sz w:val="30"/>
          <w:szCs w:val="30"/>
        </w:rPr>
      </w:pPr>
    </w:p>
    <w:p w14:paraId="001FE9AC">
      <w:bookmarkStart w:id="12" w:name="_GoBack"/>
      <w:bookmarkEnd w:id="12"/>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B84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99"/>
    <w:rPr>
      <w:rFonts w:ascii="宋体" w:hAnsi="Courier New"/>
      <w:szCs w:val="20"/>
    </w:rPr>
  </w:style>
  <w:style w:type="paragraph" w:styleId="6">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
    <w:name w:val="Heading 1 Char"/>
    <w:link w:val="2"/>
    <w:uiPriority w:val="9"/>
    <w:rPr>
      <w:rFonts w:ascii="宋体"/>
      <w:b/>
      <w:kern w:val="44"/>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2025-06-30T06:25:28Z</dcterms:created>
  <dc:creator>PC</dc:creator>
  <cp:lastModifiedBy>东方招标</cp:lastModifiedBy>
  <dcterms:modified xsi:type="dcterms:W3CDTF">2025-06-30T06:25:39Z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eyJoZGlkIjoiMmUwNTU4MjM3OTNiODlhOTU5NWUyZDRkYWZmNTE2MmQiLCJ1c2VySWQiOiIyMDE2OTM2MTEifQ==</vt:lpwstr>
  </property>
  <property fmtid="{D5CDD505-2E9C-101B-9397-08002B2CF9AE}" pid="4" name="ICV">
    <vt:lpwstr>B81391F33ABF4796881E957846632FBD_12</vt:lpwstr>
  </property>
</Properties>
</file>