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D7983B">
      <w:pPr>
        <w:adjustRightInd w:val="0"/>
        <w:snapToGrid w:val="0"/>
        <w:spacing w:after="156" w:afterLines="50" w:line="360" w:lineRule="auto"/>
        <w:jc w:val="center"/>
        <w:outlineLvl w:val="0"/>
        <w:rPr>
          <w:rFonts w:hint="eastAsia" w:ascii="黑体" w:eastAsia="黑体"/>
          <w:b/>
          <w:kern w:val="44"/>
          <w:sz w:val="48"/>
          <w:szCs w:val="20"/>
        </w:rPr>
      </w:pPr>
      <w:bookmarkStart w:id="0" w:name="_Toc129880039"/>
      <w:r>
        <w:rPr>
          <w:rFonts w:hint="eastAsia" w:ascii="宋体" w:hAnsi="宋体"/>
          <w:b/>
          <w:sz w:val="30"/>
          <w:szCs w:val="30"/>
        </w:rPr>
        <w:t>第八部分 采购需求</w:t>
      </w:r>
      <w:bookmarkEnd w:id="0"/>
    </w:p>
    <w:p w14:paraId="3BBAB4CF">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4069F395">
      <w:pPr>
        <w:adjustRightInd w:val="0"/>
        <w:snapToGrid w:val="0"/>
        <w:jc w:val="center"/>
        <w:rPr>
          <w:rFonts w:hint="eastAsia" w:ascii="宋体" w:hAnsi="宋体"/>
          <w:b/>
          <w:sz w:val="30"/>
          <w:szCs w:val="30"/>
        </w:rPr>
      </w:pPr>
    </w:p>
    <w:tbl>
      <w:tblPr>
        <w:tblStyle w:val="3"/>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58427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noWrap w:val="0"/>
            <w:vAlign w:val="center"/>
          </w:tcPr>
          <w:p w14:paraId="47803CC1">
            <w:pPr>
              <w:jc w:val="center"/>
              <w:rPr>
                <w:rFonts w:ascii="宋体" w:hAnsi="Bookman Old Style"/>
                <w:sz w:val="24"/>
              </w:rPr>
            </w:pPr>
            <w:r>
              <w:rPr>
                <w:rFonts w:hint="eastAsia" w:ascii="宋体" w:hAnsi="Bookman Old Style"/>
                <w:sz w:val="24"/>
              </w:rPr>
              <w:t>包号</w:t>
            </w:r>
          </w:p>
        </w:tc>
        <w:tc>
          <w:tcPr>
            <w:tcW w:w="2357" w:type="dxa"/>
            <w:noWrap w:val="0"/>
            <w:vAlign w:val="center"/>
          </w:tcPr>
          <w:p w14:paraId="14351DDD">
            <w:pPr>
              <w:jc w:val="center"/>
              <w:rPr>
                <w:rFonts w:ascii="宋体" w:hAnsi="Bookman Old Style"/>
                <w:sz w:val="24"/>
              </w:rPr>
            </w:pPr>
            <w:r>
              <w:rPr>
                <w:rFonts w:hint="eastAsia" w:ascii="宋体" w:hAnsi="Bookman Old Style"/>
                <w:sz w:val="24"/>
              </w:rPr>
              <w:t>货物名称</w:t>
            </w:r>
          </w:p>
        </w:tc>
        <w:tc>
          <w:tcPr>
            <w:tcW w:w="1329" w:type="dxa"/>
            <w:noWrap w:val="0"/>
            <w:vAlign w:val="center"/>
          </w:tcPr>
          <w:p w14:paraId="03060D35">
            <w:pPr>
              <w:jc w:val="center"/>
              <w:rPr>
                <w:rFonts w:ascii="宋体" w:hAnsi="Bookman Old Style"/>
                <w:sz w:val="24"/>
              </w:rPr>
            </w:pPr>
            <w:r>
              <w:rPr>
                <w:rFonts w:hint="eastAsia" w:ascii="宋体" w:hAnsi="Bookman Old Style"/>
                <w:sz w:val="24"/>
              </w:rPr>
              <w:t>数量</w:t>
            </w:r>
          </w:p>
        </w:tc>
        <w:tc>
          <w:tcPr>
            <w:tcW w:w="2470" w:type="dxa"/>
            <w:noWrap w:val="0"/>
            <w:vAlign w:val="center"/>
          </w:tcPr>
          <w:p w14:paraId="5C0E97A5">
            <w:pPr>
              <w:jc w:val="center"/>
              <w:rPr>
                <w:rFonts w:ascii="宋体" w:hAnsi="Bookman Old Style"/>
                <w:sz w:val="24"/>
              </w:rPr>
            </w:pPr>
            <w:r>
              <w:rPr>
                <w:rFonts w:hint="eastAsia" w:ascii="宋体" w:hAnsi="Bookman Old Style"/>
                <w:sz w:val="24"/>
              </w:rPr>
              <w:t>是否接受进口</w:t>
            </w:r>
          </w:p>
        </w:tc>
      </w:tr>
      <w:tr w14:paraId="65474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noWrap w:val="0"/>
            <w:vAlign w:val="center"/>
          </w:tcPr>
          <w:p w14:paraId="19A13248">
            <w:pPr>
              <w:jc w:val="center"/>
              <w:rPr>
                <w:rFonts w:ascii="宋体"/>
                <w:sz w:val="24"/>
              </w:rPr>
            </w:pPr>
            <w:r>
              <w:rPr>
                <w:rFonts w:hint="eastAsia" w:ascii="宋体"/>
                <w:sz w:val="24"/>
              </w:rPr>
              <w:t>24</w:t>
            </w:r>
          </w:p>
        </w:tc>
        <w:tc>
          <w:tcPr>
            <w:tcW w:w="2357" w:type="dxa"/>
            <w:noWrap w:val="0"/>
            <w:vAlign w:val="center"/>
          </w:tcPr>
          <w:p w14:paraId="02580D11">
            <w:pPr>
              <w:jc w:val="center"/>
              <w:rPr>
                <w:rFonts w:hint="eastAsia" w:ascii="宋体" w:hAnsi="宋体"/>
                <w:sz w:val="24"/>
              </w:rPr>
            </w:pPr>
            <w:r>
              <w:rPr>
                <w:rFonts w:hint="eastAsia" w:ascii="宋体" w:hAnsi="宋体"/>
                <w:sz w:val="24"/>
              </w:rPr>
              <w:t>冷冻聚焦离子束-扫描电子显微镜</w:t>
            </w:r>
          </w:p>
        </w:tc>
        <w:tc>
          <w:tcPr>
            <w:tcW w:w="1329" w:type="dxa"/>
            <w:noWrap w:val="0"/>
            <w:vAlign w:val="center"/>
          </w:tcPr>
          <w:p w14:paraId="438D54E5">
            <w:pPr>
              <w:jc w:val="center"/>
              <w:rPr>
                <w:rFonts w:ascii="宋体" w:hAnsi="Bookman Old Style"/>
                <w:sz w:val="24"/>
              </w:rPr>
            </w:pPr>
            <w:r>
              <w:rPr>
                <w:rFonts w:hint="eastAsia" w:ascii="宋体" w:hAnsi="Bookman Old Style"/>
                <w:sz w:val="24"/>
              </w:rPr>
              <w:t>1套</w:t>
            </w:r>
          </w:p>
        </w:tc>
        <w:tc>
          <w:tcPr>
            <w:tcW w:w="2470" w:type="dxa"/>
            <w:noWrap w:val="0"/>
            <w:vAlign w:val="center"/>
          </w:tcPr>
          <w:p w14:paraId="3D93F4EB">
            <w:pPr>
              <w:jc w:val="center"/>
              <w:rPr>
                <w:rFonts w:ascii="宋体" w:hAnsi="Bookman Old Style"/>
                <w:sz w:val="24"/>
              </w:rPr>
            </w:pPr>
            <w:r>
              <w:rPr>
                <w:rFonts w:hint="eastAsia" w:ascii="宋体" w:hAnsi="Bookman Old Style"/>
                <w:sz w:val="24"/>
              </w:rPr>
              <w:t>是</w:t>
            </w:r>
          </w:p>
        </w:tc>
      </w:tr>
    </w:tbl>
    <w:p w14:paraId="4021D490">
      <w:pPr>
        <w:rPr>
          <w:rFonts w:hint="eastAsia"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14:paraId="062965D7">
      <w:pPr>
        <w:adjustRightInd w:val="0"/>
        <w:snapToGrid w:val="0"/>
        <w:rPr>
          <w:rFonts w:hint="eastAsia" w:ascii="宋体" w:hAnsi="宋体"/>
          <w:szCs w:val="21"/>
        </w:rPr>
      </w:pPr>
    </w:p>
    <w:p w14:paraId="5B665C48">
      <w:pPr>
        <w:adjustRightInd w:val="0"/>
        <w:snapToGrid w:val="0"/>
        <w:rPr>
          <w:rFonts w:hint="eastAsia" w:ascii="宋体" w:hAnsi="宋体"/>
          <w:szCs w:val="21"/>
        </w:rPr>
      </w:pPr>
    </w:p>
    <w:p w14:paraId="6F73B221">
      <w:pPr>
        <w:adjustRightInd w:val="0"/>
        <w:snapToGrid w:val="0"/>
        <w:rPr>
          <w:rFonts w:hint="eastAsia" w:ascii="宋体" w:hAnsi="宋体"/>
          <w:szCs w:val="21"/>
        </w:rPr>
      </w:pPr>
    </w:p>
    <w:p w14:paraId="2C2BBFFE">
      <w:pPr>
        <w:adjustRightInd w:val="0"/>
        <w:snapToGrid w:val="0"/>
        <w:spacing w:line="360" w:lineRule="auto"/>
        <w:rPr>
          <w:rFonts w:ascii="宋体" w:hAnsi="宋体"/>
          <w:b/>
          <w:sz w:val="28"/>
          <w:szCs w:val="28"/>
        </w:rPr>
      </w:pPr>
      <w:r>
        <w:rPr>
          <w:rFonts w:ascii="宋体" w:hAnsi="宋体"/>
          <w:b/>
          <w:sz w:val="30"/>
          <w:szCs w:val="30"/>
        </w:rPr>
        <w:br w:type="page"/>
      </w:r>
      <w:r>
        <w:rPr>
          <w:rFonts w:hint="eastAsia" w:ascii="宋体" w:hAnsi="宋体"/>
          <w:b/>
          <w:sz w:val="28"/>
          <w:szCs w:val="28"/>
        </w:rPr>
        <w:t>一、总则</w:t>
      </w:r>
    </w:p>
    <w:p w14:paraId="1456C8D2">
      <w:pPr>
        <w:adjustRightInd w:val="0"/>
        <w:snapToGrid w:val="0"/>
        <w:spacing w:line="360" w:lineRule="auto"/>
        <w:rPr>
          <w:rFonts w:ascii="宋体" w:hAnsi="宋体"/>
          <w:b/>
          <w:sz w:val="28"/>
          <w:szCs w:val="28"/>
        </w:rPr>
      </w:pPr>
      <w:r>
        <w:rPr>
          <w:rFonts w:ascii="宋体" w:hAnsi="宋体"/>
          <w:b/>
          <w:sz w:val="28"/>
          <w:szCs w:val="28"/>
        </w:rPr>
        <w:t>1</w:t>
      </w:r>
      <w:r>
        <w:rPr>
          <w:rFonts w:hint="eastAsia" w:ascii="宋体" w:hAnsi="宋体"/>
          <w:b/>
          <w:sz w:val="28"/>
          <w:szCs w:val="28"/>
        </w:rPr>
        <w:t>、投标要求</w:t>
      </w:r>
    </w:p>
    <w:p w14:paraId="083B090B">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4F75CF3D">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633213DF">
      <w:pPr>
        <w:spacing w:line="360" w:lineRule="auto"/>
        <w:ind w:left="554" w:hanging="554" w:hangingChars="231"/>
        <w:rPr>
          <w:rFonts w:hint="eastAsia"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5317B1EF">
      <w:pPr>
        <w:spacing w:line="360" w:lineRule="auto"/>
        <w:ind w:left="554" w:hanging="554" w:hangingChars="231"/>
        <w:rPr>
          <w:rFonts w:hint="eastAsia"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7E4AA7FE">
      <w:pPr>
        <w:adjustRightInd w:val="0"/>
        <w:snapToGrid w:val="0"/>
        <w:spacing w:line="360" w:lineRule="auto"/>
        <w:rPr>
          <w:rFonts w:ascii="宋体" w:hAnsi="宋体"/>
          <w:b/>
          <w:sz w:val="28"/>
          <w:szCs w:val="28"/>
        </w:rPr>
      </w:pPr>
      <w:r>
        <w:rPr>
          <w:rFonts w:hint="eastAsia" w:ascii="宋体" w:hAnsi="宋体"/>
          <w:b/>
          <w:sz w:val="28"/>
          <w:szCs w:val="28"/>
        </w:rPr>
        <w:t>2、评标标准</w:t>
      </w:r>
    </w:p>
    <w:p w14:paraId="07A1E552">
      <w:pPr>
        <w:spacing w:line="360" w:lineRule="auto"/>
        <w:ind w:left="554" w:hanging="554" w:hangingChars="231"/>
        <w:rPr>
          <w:rFonts w:hint="eastAsia"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3BCE9E27">
      <w:pPr>
        <w:spacing w:line="360" w:lineRule="auto"/>
        <w:ind w:left="554" w:hanging="554" w:hangingChars="231"/>
        <w:rPr>
          <w:rFonts w:hint="eastAsia"/>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60BAF96E">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446CBE2D">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3CC2E722">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1A0D8191">
      <w:pPr>
        <w:adjustRightInd w:val="0"/>
        <w:snapToGrid w:val="0"/>
        <w:spacing w:line="360" w:lineRule="auto"/>
        <w:rPr>
          <w:rFonts w:hint="eastAsia" w:ascii="宋体" w:hAnsi="宋体"/>
          <w:b/>
          <w:sz w:val="28"/>
          <w:szCs w:val="28"/>
        </w:rPr>
      </w:pPr>
      <w:r>
        <w:rPr>
          <w:rFonts w:hint="eastAsia" w:ascii="宋体" w:hAnsi="宋体"/>
          <w:b/>
          <w:sz w:val="28"/>
          <w:szCs w:val="28"/>
        </w:rPr>
        <w:t>3、工作条件</w:t>
      </w:r>
    </w:p>
    <w:p w14:paraId="597340F9">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3276F135">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7E2295C2">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0F13D81B">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33554020">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0454E601">
      <w:pPr>
        <w:rPr>
          <w:rFonts w:hint="eastAsia" w:eastAsia="黑体"/>
          <w:b/>
          <w:bCs/>
          <w:kern w:val="44"/>
          <w:sz w:val="24"/>
        </w:rPr>
      </w:pPr>
    </w:p>
    <w:p w14:paraId="43E5A40B">
      <w:pPr>
        <w:adjustRightInd w:val="0"/>
        <w:snapToGrid w:val="0"/>
        <w:spacing w:line="360" w:lineRule="auto"/>
        <w:rPr>
          <w:rFonts w:hint="eastAsia" w:ascii="宋体" w:hAnsi="宋体"/>
          <w:b/>
          <w:sz w:val="28"/>
          <w:szCs w:val="28"/>
        </w:rPr>
      </w:pPr>
      <w:r>
        <w:rPr>
          <w:rFonts w:hint="eastAsia" w:ascii="宋体" w:hAnsi="宋体"/>
          <w:b/>
          <w:sz w:val="28"/>
          <w:szCs w:val="28"/>
        </w:rPr>
        <w:t>4、验收标准</w:t>
      </w:r>
    </w:p>
    <w:p w14:paraId="18943563">
      <w:pPr>
        <w:spacing w:after="312" w:afterLines="100" w:line="360" w:lineRule="auto"/>
        <w:rPr>
          <w:rFonts w:hint="eastAsia" w:ascii="宋体" w:hAnsi="宋体"/>
          <w:sz w:val="24"/>
        </w:rPr>
      </w:pPr>
      <w:r>
        <w:rPr>
          <w:rFonts w:hint="eastAsia" w:ascii="宋体" w:hAnsi="宋体"/>
          <w:sz w:val="24"/>
        </w:rPr>
        <w:t>除非另有说明，所有仪器、设备和系统按下列要求进行验收：</w:t>
      </w:r>
      <w:r>
        <w:rPr>
          <w:rFonts w:ascii="宋体" w:hAnsi="宋体"/>
          <w:sz w:val="24"/>
        </w:rPr>
        <w:t xml:space="preserve"> </w:t>
      </w:r>
    </w:p>
    <w:p w14:paraId="25B1C584">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14F1AD83">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201036DE">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36CE0FD2">
      <w:pPr>
        <w:pStyle w:val="2"/>
        <w:spacing w:line="360" w:lineRule="auto"/>
        <w:ind w:left="410" w:hanging="410" w:hangingChars="170"/>
        <w:rPr>
          <w:rFonts w:hint="eastAsia" w:hAnsi="宋体"/>
          <w:b/>
          <w:sz w:val="24"/>
          <w:szCs w:val="24"/>
        </w:rPr>
      </w:pPr>
    </w:p>
    <w:p w14:paraId="480884BA">
      <w:pPr>
        <w:adjustRightInd w:val="0"/>
        <w:snapToGrid w:val="0"/>
        <w:spacing w:line="360" w:lineRule="auto"/>
        <w:rPr>
          <w:rFonts w:hint="eastAsia" w:hAnsi="宋体"/>
          <w:b/>
          <w:sz w:val="24"/>
        </w:rPr>
      </w:pPr>
      <w:r>
        <w:rPr>
          <w:rFonts w:hint="eastAsia"/>
          <w:b/>
          <w:bCs/>
          <w:sz w:val="24"/>
        </w:rPr>
        <w:t>5、本采购需求书中标注“*”号技术条款的为实质性要求，不满足其投标将视为无效投标被拒绝。</w:t>
      </w:r>
    </w:p>
    <w:p w14:paraId="495D7733">
      <w:pPr>
        <w:adjustRightInd w:val="0"/>
        <w:snapToGrid w:val="0"/>
        <w:spacing w:line="360" w:lineRule="auto"/>
        <w:rPr>
          <w:rFonts w:hint="eastAsia" w:ascii="宋体" w:hAnsi="宋体"/>
          <w:b/>
          <w:sz w:val="24"/>
        </w:rPr>
      </w:pPr>
    </w:p>
    <w:p w14:paraId="36C052D3">
      <w:pPr>
        <w:adjustRightInd w:val="0"/>
        <w:snapToGrid w:val="0"/>
        <w:spacing w:line="360" w:lineRule="auto"/>
        <w:rPr>
          <w:rFonts w:hint="eastAsia" w:ascii="宋体" w:hAnsi="宋体"/>
          <w:b/>
          <w:sz w:val="24"/>
        </w:rPr>
      </w:pPr>
      <w:r>
        <w:rPr>
          <w:rFonts w:hint="eastAsia" w:ascii="宋体" w:hAnsi="宋体"/>
          <w:b/>
          <w:sz w:val="24"/>
        </w:rPr>
        <w:t>6、如在具体规格要求中有本总则不一致之处，以具体规格中的要求为准。</w:t>
      </w:r>
    </w:p>
    <w:p w14:paraId="6D5C6589">
      <w:pPr>
        <w:adjustRightInd w:val="0"/>
        <w:snapToGrid w:val="0"/>
        <w:spacing w:line="360" w:lineRule="auto"/>
        <w:rPr>
          <w:rFonts w:hint="eastAsia" w:ascii="宋体" w:hAnsi="宋体"/>
          <w:b/>
          <w:sz w:val="28"/>
          <w:szCs w:val="28"/>
        </w:rPr>
      </w:pPr>
      <w:r>
        <w:rPr>
          <w:rFonts w:ascii="宋体" w:hAnsi="宋体"/>
          <w:b/>
          <w:sz w:val="28"/>
        </w:rPr>
        <w:br w:type="page"/>
      </w:r>
      <w:r>
        <w:rPr>
          <w:rFonts w:hint="eastAsia" w:ascii="宋体" w:hAnsi="宋体"/>
          <w:b/>
          <w:sz w:val="28"/>
          <w:szCs w:val="28"/>
        </w:rPr>
        <w:t>二、具体规格要求</w:t>
      </w:r>
    </w:p>
    <w:p w14:paraId="33818F15">
      <w:pPr>
        <w:jc w:val="center"/>
        <w:rPr>
          <w:rFonts w:hint="eastAsia"/>
          <w:b/>
          <w:sz w:val="24"/>
        </w:rPr>
      </w:pPr>
      <w:r>
        <w:rPr>
          <w:rFonts w:hint="eastAsia"/>
          <w:b/>
          <w:sz w:val="24"/>
        </w:rPr>
        <w:t>冷冻聚焦离子束-扫描电子显微镜</w:t>
      </w:r>
    </w:p>
    <w:p w14:paraId="7F7364D8">
      <w:pPr>
        <w:rPr>
          <w:rFonts w:hint="eastAsia"/>
          <w:b/>
          <w:sz w:val="24"/>
        </w:rPr>
      </w:pPr>
    </w:p>
    <w:p w14:paraId="136124CD">
      <w:pPr>
        <w:numPr>
          <w:ilvl w:val="0"/>
          <w:numId w:val="1"/>
        </w:numPr>
        <w:spacing w:line="360" w:lineRule="auto"/>
        <w:rPr>
          <w:rFonts w:hint="eastAsia"/>
          <w:b/>
          <w:sz w:val="24"/>
        </w:rPr>
      </w:pPr>
      <w:r>
        <w:rPr>
          <w:rFonts w:hint="eastAsia"/>
          <w:b/>
          <w:sz w:val="24"/>
        </w:rPr>
        <w:t>技术要求：</w:t>
      </w:r>
    </w:p>
    <w:p w14:paraId="05F98EF1">
      <w:pPr>
        <w:spacing w:line="360" w:lineRule="auto"/>
        <w:rPr>
          <w:b/>
          <w:sz w:val="24"/>
        </w:rPr>
      </w:pPr>
    </w:p>
    <w:p w14:paraId="646880B0">
      <w:pPr>
        <w:numPr>
          <w:ilvl w:val="0"/>
          <w:numId w:val="2"/>
        </w:numPr>
        <w:spacing w:line="360" w:lineRule="auto"/>
        <w:rPr>
          <w:rFonts w:hint="eastAsia"/>
          <w:b/>
          <w:sz w:val="24"/>
        </w:rPr>
      </w:pPr>
      <w:r>
        <w:rPr>
          <w:rFonts w:hint="eastAsia"/>
          <w:b/>
          <w:sz w:val="24"/>
        </w:rPr>
        <w:t>工作条件：</w:t>
      </w:r>
    </w:p>
    <w:p w14:paraId="4235703B">
      <w:pPr>
        <w:spacing w:line="360" w:lineRule="auto"/>
        <w:rPr>
          <w:rFonts w:hint="eastAsia"/>
          <w:position w:val="-20"/>
          <w:sz w:val="24"/>
        </w:rPr>
      </w:pPr>
      <w:r>
        <w:rPr>
          <w:position w:val="-20"/>
          <w:sz w:val="24"/>
        </w:rPr>
        <w:t>1.</w:t>
      </w:r>
      <w:r>
        <w:rPr>
          <w:rFonts w:hint="eastAsia"/>
          <w:position w:val="-20"/>
          <w:sz w:val="24"/>
        </w:rPr>
        <w:t>1</w:t>
      </w:r>
      <w:r>
        <w:rPr>
          <w:position w:val="-20"/>
          <w:sz w:val="24"/>
        </w:rPr>
        <w:t xml:space="preserve"> </w:t>
      </w:r>
      <w:r>
        <w:rPr>
          <w:rFonts w:hint="eastAsia"/>
          <w:position w:val="-20"/>
          <w:sz w:val="24"/>
        </w:rPr>
        <w:t>适于在气温为摄氏18℃～23℃的环境条件下运输和储存</w:t>
      </w:r>
    </w:p>
    <w:p w14:paraId="0C37611D">
      <w:pPr>
        <w:spacing w:line="360" w:lineRule="auto"/>
        <w:rPr>
          <w:rFonts w:hint="eastAsia"/>
          <w:position w:val="-14"/>
          <w:sz w:val="24"/>
        </w:rPr>
      </w:pPr>
      <w:r>
        <w:rPr>
          <w:position w:val="-14"/>
          <w:sz w:val="24"/>
        </w:rPr>
        <w:t>1.</w:t>
      </w:r>
      <w:r>
        <w:rPr>
          <w:rFonts w:hint="eastAsia"/>
          <w:position w:val="-14"/>
          <w:sz w:val="24"/>
        </w:rPr>
        <w:t>2 适用于在电源单相 /220-VAC/50Hz</w:t>
      </w:r>
    </w:p>
    <w:p w14:paraId="3735762A">
      <w:pPr>
        <w:spacing w:line="360" w:lineRule="auto"/>
        <w:ind w:left="435" w:firstLine="240"/>
        <w:rPr>
          <w:rFonts w:hint="eastAsia"/>
          <w:sz w:val="24"/>
        </w:rPr>
      </w:pPr>
    </w:p>
    <w:p w14:paraId="64EEC0BD">
      <w:pPr>
        <w:numPr>
          <w:ilvl w:val="0"/>
          <w:numId w:val="2"/>
        </w:numPr>
        <w:spacing w:line="360" w:lineRule="auto"/>
        <w:rPr>
          <w:rFonts w:hint="eastAsia"/>
          <w:b/>
          <w:sz w:val="24"/>
        </w:rPr>
      </w:pPr>
      <w:r>
        <w:rPr>
          <w:rFonts w:hint="eastAsia"/>
          <w:b/>
          <w:sz w:val="24"/>
        </w:rPr>
        <w:t>设备用途：</w:t>
      </w:r>
    </w:p>
    <w:p w14:paraId="62708B97">
      <w:pPr>
        <w:spacing w:line="360" w:lineRule="auto"/>
        <w:ind w:firstLine="480" w:firstLineChars="200"/>
        <w:rPr>
          <w:rFonts w:hint="eastAsia"/>
          <w:sz w:val="24"/>
        </w:rPr>
      </w:pPr>
      <w:r>
        <w:rPr>
          <w:rFonts w:hint="eastAsia"/>
          <w:sz w:val="24"/>
        </w:rPr>
        <w:t>用于原位结构生物学领域细胞组织样品的冷冻聚焦离子束减薄制样技术，主要包括细胞样品的高通量薄片样品制备和组织样品的高通量样品制备。自动化的实验方法可实现连续24小时自动切割，荧光导航技术可以实现荧光定位的冷冻聚焦离子束加工技术，配置的冷冻微操机械手可以实现组织样品的提取减薄、高通量cryo-FIB减薄加工技术。</w:t>
      </w:r>
    </w:p>
    <w:p w14:paraId="6919EC89">
      <w:pPr>
        <w:spacing w:line="360" w:lineRule="auto"/>
        <w:ind w:firstLine="480" w:firstLineChars="200"/>
        <w:rPr>
          <w:rFonts w:hint="eastAsia"/>
          <w:sz w:val="24"/>
        </w:rPr>
      </w:pPr>
    </w:p>
    <w:p w14:paraId="2889305E">
      <w:pPr>
        <w:numPr>
          <w:ilvl w:val="0"/>
          <w:numId w:val="2"/>
        </w:numPr>
        <w:spacing w:line="360" w:lineRule="auto"/>
        <w:rPr>
          <w:rFonts w:hint="eastAsia"/>
          <w:b/>
          <w:sz w:val="24"/>
        </w:rPr>
      </w:pPr>
      <w:r>
        <w:rPr>
          <w:rFonts w:hint="eastAsia"/>
          <w:b/>
          <w:sz w:val="24"/>
        </w:rPr>
        <w:t>技术规格：</w:t>
      </w:r>
    </w:p>
    <w:p w14:paraId="6AD811D9">
      <w:pPr>
        <w:adjustRightInd w:val="0"/>
        <w:snapToGrid w:val="0"/>
        <w:spacing w:line="360" w:lineRule="auto"/>
        <w:rPr>
          <w:rFonts w:cs="Arial"/>
          <w:color w:val="000000"/>
          <w:sz w:val="24"/>
          <w:szCs w:val="22"/>
        </w:rPr>
      </w:pPr>
      <w:r>
        <w:rPr>
          <w:rFonts w:hint="eastAsia" w:cs="Arial"/>
          <w:color w:val="000000"/>
          <w:sz w:val="24"/>
          <w:szCs w:val="22"/>
        </w:rPr>
        <w:t>3.1. 电子源：</w:t>
      </w:r>
    </w:p>
    <w:p w14:paraId="0741DADD">
      <w:pPr>
        <w:adjustRightInd w:val="0"/>
        <w:snapToGrid w:val="0"/>
        <w:spacing w:line="360" w:lineRule="auto"/>
        <w:rPr>
          <w:rFonts w:cs="Arial"/>
          <w:color w:val="000000"/>
          <w:sz w:val="24"/>
          <w:szCs w:val="22"/>
        </w:rPr>
      </w:pPr>
      <w:r>
        <w:rPr>
          <w:rFonts w:hint="eastAsia" w:cs="Arial"/>
          <w:color w:val="000000"/>
          <w:sz w:val="24"/>
          <w:szCs w:val="22"/>
        </w:rPr>
        <w:t>3.1.1肖特基场发射电子枪；</w:t>
      </w:r>
    </w:p>
    <w:p w14:paraId="50ACF3BC">
      <w:pPr>
        <w:adjustRightInd w:val="0"/>
        <w:snapToGrid w:val="0"/>
        <w:spacing w:line="360" w:lineRule="auto"/>
        <w:rPr>
          <w:rFonts w:cs="Arial"/>
          <w:color w:val="000000"/>
          <w:sz w:val="24"/>
          <w:szCs w:val="22"/>
        </w:rPr>
      </w:pPr>
      <w:r>
        <w:rPr>
          <w:rFonts w:hint="eastAsia" w:cs="Arial"/>
          <w:color w:val="000000"/>
          <w:sz w:val="24"/>
          <w:szCs w:val="22"/>
        </w:rPr>
        <w:t>3.1.2使用寿命：≥ 1年；</w:t>
      </w:r>
    </w:p>
    <w:p w14:paraId="3C536464">
      <w:pPr>
        <w:adjustRightInd w:val="0"/>
        <w:snapToGrid w:val="0"/>
        <w:spacing w:line="360" w:lineRule="auto"/>
        <w:rPr>
          <w:rFonts w:cs="Arial"/>
          <w:color w:val="000000"/>
          <w:sz w:val="24"/>
          <w:szCs w:val="22"/>
        </w:rPr>
      </w:pPr>
      <w:r>
        <w:rPr>
          <w:rFonts w:hint="eastAsia" w:cs="Arial"/>
          <w:color w:val="000000"/>
          <w:sz w:val="24"/>
          <w:szCs w:val="22"/>
        </w:rPr>
        <w:t>3.1.3束流范围：≥2.0pA–30nA；</w:t>
      </w:r>
    </w:p>
    <w:p w14:paraId="31E1AA91">
      <w:pPr>
        <w:adjustRightInd w:val="0"/>
        <w:snapToGrid w:val="0"/>
        <w:spacing w:line="360" w:lineRule="auto"/>
        <w:rPr>
          <w:rFonts w:cs="Arial"/>
          <w:color w:val="000000"/>
          <w:sz w:val="24"/>
          <w:szCs w:val="22"/>
        </w:rPr>
      </w:pPr>
      <w:r>
        <w:rPr>
          <w:rFonts w:hint="eastAsia" w:cs="Arial"/>
          <w:color w:val="000000"/>
          <w:sz w:val="24"/>
          <w:szCs w:val="22"/>
        </w:rPr>
        <w:t>3.1.4加速电压范围：≥ 500V–30kV；</w:t>
      </w:r>
    </w:p>
    <w:p w14:paraId="2CC5BB3D">
      <w:pPr>
        <w:adjustRightInd w:val="0"/>
        <w:snapToGrid w:val="0"/>
        <w:spacing w:line="360" w:lineRule="auto"/>
        <w:rPr>
          <w:rFonts w:cs="Arial"/>
          <w:color w:val="000000"/>
          <w:sz w:val="24"/>
          <w:szCs w:val="22"/>
        </w:rPr>
      </w:pPr>
      <w:r>
        <w:rPr>
          <w:rFonts w:hint="eastAsia" w:cs="Arial"/>
          <w:b/>
          <w:bCs/>
          <w:color w:val="000000"/>
          <w:sz w:val="24"/>
          <w:szCs w:val="22"/>
        </w:rPr>
        <w:t>#3.1.5</w:t>
      </w:r>
      <w:r>
        <w:rPr>
          <w:rFonts w:hint="eastAsia" w:cs="Arial"/>
          <w:color w:val="000000"/>
          <w:sz w:val="24"/>
          <w:szCs w:val="22"/>
        </w:rPr>
        <w:t>电子束分辨率（冷冻状态下）优于≤6nm</w:t>
      </w:r>
      <w:r>
        <w:rPr>
          <w:rFonts w:cs="Arial"/>
          <w:color w:val="000000"/>
          <w:sz w:val="24"/>
          <w:szCs w:val="22"/>
        </w:rPr>
        <w:t xml:space="preserve"> </w:t>
      </w:r>
      <w:r>
        <w:rPr>
          <w:rFonts w:hint="eastAsia" w:cs="Arial"/>
          <w:color w:val="000000"/>
          <w:sz w:val="24"/>
          <w:szCs w:val="22"/>
        </w:rPr>
        <w:t>@ 2kV</w:t>
      </w:r>
    </w:p>
    <w:p w14:paraId="2B6FCF2F">
      <w:pPr>
        <w:adjustRightInd w:val="0"/>
        <w:snapToGrid w:val="0"/>
        <w:spacing w:line="360" w:lineRule="auto"/>
        <w:rPr>
          <w:rFonts w:cs="Arial"/>
          <w:color w:val="000000"/>
          <w:sz w:val="24"/>
          <w:szCs w:val="22"/>
        </w:rPr>
      </w:pPr>
      <w:r>
        <w:rPr>
          <w:rFonts w:hint="eastAsia" w:cs="Arial"/>
          <w:color w:val="000000"/>
          <w:sz w:val="24"/>
          <w:szCs w:val="22"/>
        </w:rPr>
        <w:t>3.1.6</w:t>
      </w:r>
      <w:r>
        <w:rPr>
          <w:rFonts w:cs="Arial"/>
          <w:color w:val="000000"/>
          <w:sz w:val="24"/>
          <w:szCs w:val="22"/>
        </w:rPr>
        <w:t xml:space="preserve"> </w:t>
      </w:r>
      <w:r>
        <w:rPr>
          <w:rFonts w:hint="eastAsia" w:cs="Arial"/>
          <w:color w:val="000000"/>
          <w:sz w:val="24"/>
          <w:szCs w:val="22"/>
        </w:rPr>
        <w:t>配备背散射和二次电子探测器、镜筒内背散射和二次电子探测器。</w:t>
      </w:r>
    </w:p>
    <w:p w14:paraId="497A51B2">
      <w:pPr>
        <w:adjustRightInd w:val="0"/>
        <w:snapToGrid w:val="0"/>
        <w:spacing w:line="360" w:lineRule="auto"/>
        <w:rPr>
          <w:rFonts w:cs="Arial"/>
          <w:color w:val="000000"/>
          <w:sz w:val="24"/>
          <w:szCs w:val="22"/>
        </w:rPr>
      </w:pPr>
      <w:r>
        <w:rPr>
          <w:rFonts w:hint="eastAsia" w:cs="Arial"/>
          <w:color w:val="000000"/>
          <w:sz w:val="24"/>
          <w:szCs w:val="22"/>
        </w:rPr>
        <w:t>3.2. 离子源</w:t>
      </w:r>
    </w:p>
    <w:p w14:paraId="0EB1EA58">
      <w:pPr>
        <w:adjustRightInd w:val="0"/>
        <w:snapToGrid w:val="0"/>
        <w:spacing w:line="360" w:lineRule="auto"/>
        <w:rPr>
          <w:rFonts w:cs="Arial"/>
          <w:color w:val="000000"/>
          <w:sz w:val="24"/>
          <w:szCs w:val="22"/>
        </w:rPr>
      </w:pPr>
      <w:r>
        <w:rPr>
          <w:rFonts w:hint="eastAsia" w:cs="Arial"/>
          <w:color w:val="000000"/>
          <w:sz w:val="24"/>
          <w:szCs w:val="22"/>
        </w:rPr>
        <w:t>3.2.1离子源种类：Ga</w:t>
      </w:r>
      <w:r>
        <w:rPr>
          <w:rFonts w:cs="Arial"/>
          <w:color w:val="000000"/>
          <w:sz w:val="24"/>
          <w:szCs w:val="22"/>
        </w:rPr>
        <w:t>+</w:t>
      </w:r>
      <w:r>
        <w:rPr>
          <w:rFonts w:hint="eastAsia" w:cs="Arial"/>
          <w:color w:val="000000"/>
          <w:sz w:val="24"/>
          <w:szCs w:val="22"/>
        </w:rPr>
        <w:t xml:space="preserve"> 离子源</w:t>
      </w:r>
    </w:p>
    <w:p w14:paraId="7A3E3EB5">
      <w:pPr>
        <w:adjustRightInd w:val="0"/>
        <w:snapToGrid w:val="0"/>
        <w:spacing w:line="360" w:lineRule="auto"/>
        <w:rPr>
          <w:rFonts w:cs="Arial"/>
          <w:color w:val="000000"/>
          <w:sz w:val="24"/>
          <w:szCs w:val="22"/>
        </w:rPr>
      </w:pPr>
      <w:r>
        <w:rPr>
          <w:rFonts w:hint="eastAsia" w:cs="Arial"/>
          <w:color w:val="000000"/>
          <w:sz w:val="24"/>
          <w:szCs w:val="22"/>
        </w:rPr>
        <w:t>3.2.2</w:t>
      </w:r>
      <w:r>
        <w:rPr>
          <w:rFonts w:cs="Arial"/>
          <w:color w:val="000000"/>
          <w:sz w:val="24"/>
          <w:szCs w:val="22"/>
        </w:rPr>
        <w:t xml:space="preserve"> </w:t>
      </w:r>
      <w:r>
        <w:rPr>
          <w:rFonts w:hint="eastAsia" w:cs="Arial"/>
          <w:color w:val="000000"/>
          <w:sz w:val="24"/>
          <w:szCs w:val="22"/>
        </w:rPr>
        <w:t>离子源寿命：≥1000小时；</w:t>
      </w:r>
    </w:p>
    <w:p w14:paraId="1400E3FC">
      <w:pPr>
        <w:adjustRightInd w:val="0"/>
        <w:snapToGrid w:val="0"/>
        <w:spacing w:line="360" w:lineRule="auto"/>
        <w:rPr>
          <w:rFonts w:cs="Arial"/>
          <w:color w:val="000000"/>
          <w:sz w:val="24"/>
          <w:szCs w:val="22"/>
        </w:rPr>
      </w:pPr>
      <w:r>
        <w:rPr>
          <w:rFonts w:hint="eastAsia" w:cs="Arial"/>
          <w:color w:val="000000"/>
          <w:sz w:val="24"/>
          <w:szCs w:val="22"/>
        </w:rPr>
        <w:t>3.2.3加速电压范围：≥ 500V - 30kV；</w:t>
      </w:r>
    </w:p>
    <w:p w14:paraId="3BFE44E1">
      <w:pPr>
        <w:adjustRightInd w:val="0"/>
        <w:snapToGrid w:val="0"/>
        <w:spacing w:line="360" w:lineRule="auto"/>
        <w:rPr>
          <w:rFonts w:cs="Arial"/>
          <w:color w:val="000000"/>
          <w:sz w:val="24"/>
          <w:szCs w:val="22"/>
        </w:rPr>
      </w:pPr>
      <w:r>
        <w:rPr>
          <w:rFonts w:hint="eastAsia" w:cs="Arial"/>
          <w:b/>
          <w:bCs/>
          <w:color w:val="000000"/>
          <w:sz w:val="24"/>
          <w:szCs w:val="22"/>
        </w:rPr>
        <w:t>#3.2.4</w:t>
      </w:r>
      <w:r>
        <w:rPr>
          <w:rFonts w:hint="eastAsia" w:cs="Arial"/>
          <w:color w:val="000000"/>
          <w:sz w:val="24"/>
          <w:szCs w:val="22"/>
        </w:rPr>
        <w:t>离子束流：1.5pA - 45nA ，不少于15步可调；</w:t>
      </w:r>
    </w:p>
    <w:p w14:paraId="3A1F3F3C">
      <w:pPr>
        <w:adjustRightInd w:val="0"/>
        <w:snapToGrid w:val="0"/>
        <w:spacing w:line="360" w:lineRule="auto"/>
        <w:rPr>
          <w:rFonts w:cs="Arial"/>
          <w:color w:val="000000"/>
          <w:sz w:val="24"/>
          <w:szCs w:val="22"/>
        </w:rPr>
      </w:pPr>
      <w:r>
        <w:rPr>
          <w:rFonts w:hint="eastAsia" w:cs="Arial"/>
          <w:color w:val="000000"/>
          <w:sz w:val="24"/>
          <w:szCs w:val="22"/>
        </w:rPr>
        <w:t>3.2.5具有针对非导电样品标配漂移抑制模式；</w:t>
      </w:r>
    </w:p>
    <w:p w14:paraId="1D5490F5">
      <w:pPr>
        <w:adjustRightInd w:val="0"/>
        <w:snapToGrid w:val="0"/>
        <w:spacing w:line="360" w:lineRule="auto"/>
        <w:rPr>
          <w:rFonts w:cs="Arial"/>
          <w:color w:val="000000"/>
          <w:sz w:val="24"/>
          <w:szCs w:val="22"/>
        </w:rPr>
      </w:pPr>
      <w:r>
        <w:rPr>
          <w:rFonts w:hint="eastAsia" w:cs="Arial"/>
          <w:color w:val="000000"/>
          <w:sz w:val="24"/>
          <w:szCs w:val="22"/>
        </w:rPr>
        <w:t>3.2.6 离子束分辨率（冷冻状态）优于7.0 nm</w:t>
      </w:r>
      <w:r>
        <w:rPr>
          <w:rFonts w:cs="Arial"/>
          <w:color w:val="000000"/>
          <w:sz w:val="24"/>
          <w:szCs w:val="22"/>
        </w:rPr>
        <w:t xml:space="preserve"> </w:t>
      </w:r>
      <w:r>
        <w:rPr>
          <w:rFonts w:hint="eastAsia" w:cs="Arial"/>
          <w:color w:val="000000"/>
          <w:sz w:val="24"/>
          <w:szCs w:val="22"/>
        </w:rPr>
        <w:t>@</w:t>
      </w:r>
      <w:r>
        <w:rPr>
          <w:rFonts w:cs="Arial"/>
          <w:color w:val="000000"/>
          <w:sz w:val="24"/>
          <w:szCs w:val="22"/>
        </w:rPr>
        <w:t xml:space="preserve"> </w:t>
      </w:r>
      <w:r>
        <w:rPr>
          <w:rFonts w:hint="eastAsia" w:cs="Arial"/>
          <w:color w:val="000000"/>
          <w:sz w:val="24"/>
          <w:szCs w:val="22"/>
        </w:rPr>
        <w:t>30 kV</w:t>
      </w:r>
    </w:p>
    <w:p w14:paraId="63AB9DBF">
      <w:pPr>
        <w:adjustRightInd w:val="0"/>
        <w:snapToGrid w:val="0"/>
        <w:spacing w:line="360" w:lineRule="auto"/>
        <w:rPr>
          <w:rFonts w:cs="Arial"/>
          <w:color w:val="000000"/>
          <w:sz w:val="24"/>
          <w:szCs w:val="22"/>
        </w:rPr>
      </w:pPr>
      <w:r>
        <w:rPr>
          <w:rFonts w:hint="eastAsia" w:cs="Arial"/>
          <w:b/>
          <w:bCs/>
          <w:color w:val="000000"/>
          <w:sz w:val="24"/>
          <w:szCs w:val="22"/>
        </w:rPr>
        <w:t>#3.2.7</w:t>
      </w:r>
      <w:r>
        <w:rPr>
          <w:rFonts w:hint="eastAsia" w:cs="Arial"/>
          <w:color w:val="000000"/>
          <w:sz w:val="24"/>
          <w:szCs w:val="22"/>
        </w:rPr>
        <w:t xml:space="preserve"> 配置有原位金属蒸镀部件，可进行Pt原位镀膜；</w:t>
      </w:r>
    </w:p>
    <w:p w14:paraId="678E5D1F">
      <w:pPr>
        <w:adjustRightInd w:val="0"/>
        <w:snapToGrid w:val="0"/>
        <w:spacing w:line="360" w:lineRule="auto"/>
        <w:rPr>
          <w:rFonts w:cs="Arial"/>
          <w:color w:val="000000"/>
          <w:sz w:val="24"/>
          <w:szCs w:val="22"/>
        </w:rPr>
      </w:pPr>
      <w:r>
        <w:rPr>
          <w:rFonts w:hint="eastAsia" w:cs="Arial"/>
          <w:color w:val="000000"/>
          <w:sz w:val="24"/>
          <w:szCs w:val="22"/>
        </w:rPr>
        <w:t>3.2.8 配置GIS气体微注入沉积系统，可进行原位Pt沉积；</w:t>
      </w:r>
    </w:p>
    <w:p w14:paraId="11554F2F">
      <w:pPr>
        <w:adjustRightInd w:val="0"/>
        <w:snapToGrid w:val="0"/>
        <w:spacing w:line="360" w:lineRule="auto"/>
        <w:rPr>
          <w:rFonts w:cs="Arial"/>
          <w:color w:val="000000"/>
          <w:sz w:val="24"/>
          <w:szCs w:val="22"/>
        </w:rPr>
      </w:pPr>
      <w:r>
        <w:rPr>
          <w:rFonts w:hint="eastAsia" w:cs="Arial"/>
          <w:b/>
          <w:bCs/>
          <w:color w:val="000000"/>
          <w:sz w:val="24"/>
          <w:szCs w:val="22"/>
        </w:rPr>
        <w:t>#3.2.9</w:t>
      </w:r>
      <w:r>
        <w:rPr>
          <w:rFonts w:hint="eastAsia" w:cs="Arial"/>
          <w:color w:val="000000"/>
          <w:sz w:val="24"/>
          <w:szCs w:val="22"/>
        </w:rPr>
        <w:t xml:space="preserve"> 配置Pt喷镀时对电子束镜筒保护的挡板。</w:t>
      </w:r>
    </w:p>
    <w:p w14:paraId="03BE6C3D">
      <w:pPr>
        <w:adjustRightInd w:val="0"/>
        <w:snapToGrid w:val="0"/>
        <w:spacing w:line="360" w:lineRule="auto"/>
        <w:rPr>
          <w:rFonts w:cs="Arial"/>
          <w:color w:val="000000"/>
          <w:sz w:val="24"/>
          <w:szCs w:val="22"/>
        </w:rPr>
      </w:pPr>
      <w:r>
        <w:rPr>
          <w:rFonts w:hint="eastAsia" w:cs="Arial"/>
          <w:color w:val="000000"/>
          <w:sz w:val="24"/>
          <w:szCs w:val="22"/>
        </w:rPr>
        <w:t>3.3. 真空系统</w:t>
      </w:r>
    </w:p>
    <w:p w14:paraId="36A96783">
      <w:pPr>
        <w:adjustRightInd w:val="0"/>
        <w:snapToGrid w:val="0"/>
        <w:spacing w:line="360" w:lineRule="auto"/>
        <w:rPr>
          <w:rFonts w:cs="Arial"/>
          <w:color w:val="000000"/>
          <w:sz w:val="24"/>
          <w:szCs w:val="22"/>
        </w:rPr>
      </w:pPr>
      <w:r>
        <w:rPr>
          <w:rFonts w:hint="eastAsia" w:cs="Arial"/>
          <w:color w:val="000000"/>
          <w:sz w:val="24"/>
          <w:szCs w:val="22"/>
        </w:rPr>
        <w:t>3.3.1完全无油真空系统；</w:t>
      </w:r>
    </w:p>
    <w:p w14:paraId="008BDD58">
      <w:pPr>
        <w:adjustRightInd w:val="0"/>
        <w:snapToGrid w:val="0"/>
        <w:spacing w:line="360" w:lineRule="auto"/>
        <w:rPr>
          <w:rFonts w:cs="Arial"/>
          <w:color w:val="000000"/>
          <w:sz w:val="24"/>
          <w:szCs w:val="22"/>
        </w:rPr>
      </w:pPr>
      <w:r>
        <w:rPr>
          <w:rFonts w:hint="eastAsia" w:cs="Arial"/>
          <w:color w:val="000000"/>
          <w:sz w:val="24"/>
          <w:szCs w:val="22"/>
        </w:rPr>
        <w:t>3.3.2腔室真空度（室温）：＜ 8×10</w:t>
      </w:r>
      <w:r>
        <w:rPr>
          <w:rFonts w:hint="eastAsia" w:cs="Arial"/>
          <w:color w:val="000000"/>
          <w:sz w:val="24"/>
          <w:szCs w:val="22"/>
          <w:vertAlign w:val="superscript"/>
        </w:rPr>
        <w:t>-4</w:t>
      </w:r>
      <w:r>
        <w:rPr>
          <w:rFonts w:hint="eastAsia" w:cs="Arial"/>
          <w:color w:val="000000"/>
          <w:sz w:val="24"/>
          <w:szCs w:val="22"/>
        </w:rPr>
        <w:t xml:space="preserve"> Pa；</w:t>
      </w:r>
    </w:p>
    <w:p w14:paraId="4A561F7B">
      <w:pPr>
        <w:adjustRightInd w:val="0"/>
        <w:snapToGrid w:val="0"/>
        <w:spacing w:line="360" w:lineRule="auto"/>
        <w:rPr>
          <w:rFonts w:cs="Arial"/>
          <w:color w:val="000000"/>
          <w:sz w:val="24"/>
          <w:szCs w:val="22"/>
        </w:rPr>
      </w:pPr>
      <w:r>
        <w:rPr>
          <w:rFonts w:hint="eastAsia" w:cs="Arial"/>
          <w:color w:val="000000"/>
          <w:sz w:val="24"/>
          <w:szCs w:val="22"/>
        </w:rPr>
        <w:t>3.3.3腔室真空度（冷冻）：＜ 8×10</w:t>
      </w:r>
      <w:r>
        <w:rPr>
          <w:rFonts w:hint="eastAsia" w:cs="Arial"/>
          <w:color w:val="000000"/>
          <w:sz w:val="24"/>
          <w:szCs w:val="22"/>
          <w:vertAlign w:val="superscript"/>
        </w:rPr>
        <w:t>-5</w:t>
      </w:r>
      <w:r>
        <w:rPr>
          <w:rFonts w:hint="eastAsia" w:cs="Arial"/>
          <w:color w:val="000000"/>
          <w:sz w:val="24"/>
          <w:szCs w:val="22"/>
        </w:rPr>
        <w:t xml:space="preserve"> Pa；</w:t>
      </w:r>
    </w:p>
    <w:p w14:paraId="044D38F4">
      <w:pPr>
        <w:adjustRightInd w:val="0"/>
        <w:snapToGrid w:val="0"/>
        <w:spacing w:line="360" w:lineRule="auto"/>
        <w:rPr>
          <w:rFonts w:cs="Arial"/>
          <w:color w:val="000000"/>
          <w:sz w:val="24"/>
          <w:szCs w:val="22"/>
        </w:rPr>
      </w:pPr>
      <w:r>
        <w:rPr>
          <w:rFonts w:hint="eastAsia" w:cs="Arial"/>
          <w:color w:val="000000"/>
          <w:sz w:val="24"/>
          <w:szCs w:val="22"/>
        </w:rPr>
        <w:t>3.4. 冷冻样品台</w:t>
      </w:r>
    </w:p>
    <w:p w14:paraId="7B24AD3D">
      <w:pPr>
        <w:adjustRightInd w:val="0"/>
        <w:snapToGrid w:val="0"/>
        <w:spacing w:line="360" w:lineRule="auto"/>
        <w:rPr>
          <w:rFonts w:cs="Arial"/>
          <w:color w:val="000000"/>
          <w:sz w:val="24"/>
          <w:szCs w:val="22"/>
        </w:rPr>
      </w:pPr>
      <w:r>
        <w:rPr>
          <w:rFonts w:hint="eastAsia" w:cs="Arial"/>
          <w:color w:val="000000"/>
          <w:sz w:val="24"/>
          <w:szCs w:val="22"/>
        </w:rPr>
        <w:t>3.4.1冷冻可旋转冷台；</w:t>
      </w:r>
    </w:p>
    <w:p w14:paraId="4BC1B468">
      <w:pPr>
        <w:adjustRightInd w:val="0"/>
        <w:snapToGrid w:val="0"/>
        <w:spacing w:line="360" w:lineRule="auto"/>
        <w:rPr>
          <w:rFonts w:cs="Arial"/>
          <w:color w:val="000000"/>
          <w:sz w:val="24"/>
          <w:szCs w:val="22"/>
        </w:rPr>
      </w:pPr>
      <w:r>
        <w:rPr>
          <w:rFonts w:hint="eastAsia" w:cs="Arial"/>
          <w:b/>
          <w:bCs/>
          <w:color w:val="000000"/>
          <w:sz w:val="24"/>
          <w:szCs w:val="22"/>
        </w:rPr>
        <w:t>#3.4.2</w:t>
      </w:r>
      <w:r>
        <w:rPr>
          <w:rFonts w:hint="eastAsia" w:cs="Arial"/>
          <w:color w:val="000000"/>
          <w:sz w:val="24"/>
          <w:szCs w:val="22"/>
        </w:rPr>
        <w:t>冷冻条件下旋转范围：≥360°；</w:t>
      </w:r>
    </w:p>
    <w:p w14:paraId="79DFD85E">
      <w:pPr>
        <w:adjustRightInd w:val="0"/>
        <w:snapToGrid w:val="0"/>
        <w:spacing w:line="360" w:lineRule="auto"/>
        <w:rPr>
          <w:rFonts w:cs="Arial"/>
          <w:color w:val="000000"/>
          <w:sz w:val="24"/>
          <w:szCs w:val="22"/>
        </w:rPr>
      </w:pPr>
      <w:r>
        <w:rPr>
          <w:rFonts w:hint="eastAsia" w:cs="Arial"/>
          <w:b/>
          <w:bCs/>
          <w:color w:val="000000"/>
          <w:sz w:val="24"/>
          <w:szCs w:val="22"/>
        </w:rPr>
        <w:t>#3.4.3</w:t>
      </w:r>
      <w:r>
        <w:rPr>
          <w:rFonts w:hint="eastAsia" w:cs="Arial"/>
          <w:color w:val="000000"/>
          <w:sz w:val="24"/>
          <w:szCs w:val="22"/>
        </w:rPr>
        <w:t>冷冻降温时间：＜ 40 min；</w:t>
      </w:r>
    </w:p>
    <w:p w14:paraId="34C18F13">
      <w:pPr>
        <w:adjustRightInd w:val="0"/>
        <w:snapToGrid w:val="0"/>
        <w:spacing w:line="360" w:lineRule="auto"/>
        <w:rPr>
          <w:rFonts w:cs="Arial"/>
          <w:color w:val="000000"/>
          <w:sz w:val="24"/>
          <w:szCs w:val="22"/>
        </w:rPr>
      </w:pPr>
      <w:r>
        <w:rPr>
          <w:rFonts w:hint="eastAsia" w:cs="Arial"/>
          <w:color w:val="000000"/>
          <w:sz w:val="24"/>
          <w:szCs w:val="22"/>
        </w:rPr>
        <w:t>3.4.4 XY轴行程：≥100 mm；</w:t>
      </w:r>
    </w:p>
    <w:p w14:paraId="48BB1C50">
      <w:pPr>
        <w:adjustRightInd w:val="0"/>
        <w:snapToGrid w:val="0"/>
        <w:spacing w:line="360" w:lineRule="auto"/>
        <w:rPr>
          <w:rFonts w:cs="Arial"/>
          <w:color w:val="000000"/>
          <w:sz w:val="24"/>
          <w:szCs w:val="22"/>
        </w:rPr>
      </w:pPr>
      <w:r>
        <w:rPr>
          <w:rFonts w:hint="eastAsia" w:cs="Arial"/>
          <w:color w:val="000000"/>
          <w:sz w:val="24"/>
          <w:szCs w:val="22"/>
        </w:rPr>
        <w:t>3.4.5 Z轴行程：≥ 20mm；</w:t>
      </w:r>
    </w:p>
    <w:p w14:paraId="697A6224">
      <w:pPr>
        <w:adjustRightInd w:val="0"/>
        <w:snapToGrid w:val="0"/>
        <w:spacing w:line="360" w:lineRule="auto"/>
        <w:rPr>
          <w:rFonts w:cs="Arial"/>
          <w:color w:val="000000"/>
          <w:sz w:val="24"/>
          <w:szCs w:val="22"/>
        </w:rPr>
      </w:pPr>
      <w:r>
        <w:rPr>
          <w:rFonts w:hint="eastAsia" w:cs="Arial"/>
          <w:color w:val="000000"/>
          <w:sz w:val="24"/>
          <w:szCs w:val="22"/>
        </w:rPr>
        <w:t>3.4.6 冷冻状态下倾斜角范围：-15°至 +50°；</w:t>
      </w:r>
    </w:p>
    <w:p w14:paraId="373C7E52">
      <w:pPr>
        <w:adjustRightInd w:val="0"/>
        <w:snapToGrid w:val="0"/>
        <w:spacing w:line="360" w:lineRule="auto"/>
        <w:rPr>
          <w:rFonts w:cs="Arial"/>
          <w:color w:val="000000"/>
          <w:sz w:val="24"/>
          <w:szCs w:val="22"/>
        </w:rPr>
      </w:pPr>
      <w:r>
        <w:rPr>
          <w:rFonts w:hint="eastAsia" w:cs="Arial"/>
          <w:color w:val="000000"/>
          <w:sz w:val="24"/>
          <w:szCs w:val="22"/>
        </w:rPr>
        <w:t>3.4.7冷冻温度：≤ -170℃；</w:t>
      </w:r>
    </w:p>
    <w:p w14:paraId="44022F20">
      <w:pPr>
        <w:adjustRightInd w:val="0"/>
        <w:snapToGrid w:val="0"/>
        <w:spacing w:line="360" w:lineRule="auto"/>
        <w:rPr>
          <w:rFonts w:cs="Arial"/>
          <w:color w:val="000000"/>
          <w:sz w:val="24"/>
          <w:szCs w:val="22"/>
        </w:rPr>
      </w:pPr>
      <w:r>
        <w:rPr>
          <w:rFonts w:hint="eastAsia" w:cs="Arial"/>
          <w:b/>
          <w:bCs/>
          <w:color w:val="000000"/>
          <w:sz w:val="24"/>
          <w:szCs w:val="22"/>
        </w:rPr>
        <w:t>#3.4.8</w:t>
      </w:r>
      <w:r>
        <w:rPr>
          <w:rFonts w:hint="eastAsia" w:cs="Arial"/>
          <w:color w:val="000000"/>
          <w:sz w:val="24"/>
          <w:szCs w:val="22"/>
        </w:rPr>
        <w:t xml:space="preserve"> 离子束冷冻减薄样品过程一次加满液氮可以保证持续工作时间≥10小时。</w:t>
      </w:r>
    </w:p>
    <w:p w14:paraId="4B015DD9">
      <w:pPr>
        <w:adjustRightInd w:val="0"/>
        <w:snapToGrid w:val="0"/>
        <w:spacing w:line="360" w:lineRule="auto"/>
        <w:rPr>
          <w:rFonts w:cs="Arial"/>
          <w:color w:val="000000"/>
          <w:sz w:val="24"/>
          <w:szCs w:val="22"/>
        </w:rPr>
      </w:pPr>
      <w:r>
        <w:rPr>
          <w:rFonts w:hint="eastAsia" w:cs="Arial"/>
          <w:color w:val="000000"/>
          <w:sz w:val="24"/>
          <w:szCs w:val="22"/>
        </w:rPr>
        <w:t>3.5. 图像处理</w:t>
      </w:r>
    </w:p>
    <w:p w14:paraId="006C63A1">
      <w:pPr>
        <w:adjustRightInd w:val="0"/>
        <w:snapToGrid w:val="0"/>
        <w:spacing w:line="360" w:lineRule="auto"/>
        <w:rPr>
          <w:rFonts w:cs="Arial"/>
          <w:color w:val="000000"/>
          <w:sz w:val="24"/>
          <w:szCs w:val="22"/>
        </w:rPr>
      </w:pPr>
      <w:r>
        <w:rPr>
          <w:rFonts w:hint="eastAsia" w:cs="Arial"/>
          <w:color w:val="000000"/>
          <w:sz w:val="24"/>
          <w:szCs w:val="22"/>
        </w:rPr>
        <w:t>3.5.1 图像存储格式：TIFF（8bit, 16bit 或24bit）、BMP、JPG；</w:t>
      </w:r>
    </w:p>
    <w:p w14:paraId="33364315">
      <w:pPr>
        <w:adjustRightInd w:val="0"/>
        <w:snapToGrid w:val="0"/>
        <w:spacing w:line="360" w:lineRule="auto"/>
        <w:rPr>
          <w:rFonts w:cs="Arial"/>
          <w:color w:val="000000"/>
          <w:sz w:val="24"/>
          <w:szCs w:val="22"/>
        </w:rPr>
      </w:pPr>
      <w:r>
        <w:rPr>
          <w:rFonts w:hint="eastAsia" w:cs="Arial"/>
          <w:color w:val="000000"/>
          <w:sz w:val="24"/>
          <w:szCs w:val="22"/>
        </w:rPr>
        <w:t>3.5.2 图像存储分辨率：≥ 6144×4096像素；</w:t>
      </w:r>
    </w:p>
    <w:p w14:paraId="1F8F3923">
      <w:pPr>
        <w:adjustRightInd w:val="0"/>
        <w:snapToGrid w:val="0"/>
        <w:spacing w:line="360" w:lineRule="auto"/>
        <w:rPr>
          <w:rFonts w:cs="Arial"/>
          <w:color w:val="000000"/>
          <w:sz w:val="24"/>
          <w:szCs w:val="22"/>
        </w:rPr>
      </w:pPr>
      <w:r>
        <w:rPr>
          <w:rFonts w:hint="eastAsia" w:cs="Arial"/>
          <w:color w:val="000000"/>
          <w:sz w:val="24"/>
          <w:szCs w:val="22"/>
        </w:rPr>
        <w:t>3.5.3 电子扫描旋转：360°</w:t>
      </w:r>
    </w:p>
    <w:p w14:paraId="77EC560F">
      <w:pPr>
        <w:adjustRightInd w:val="0"/>
        <w:snapToGrid w:val="0"/>
        <w:spacing w:line="360" w:lineRule="auto"/>
        <w:rPr>
          <w:rFonts w:cs="Arial"/>
          <w:color w:val="000000"/>
          <w:sz w:val="24"/>
          <w:szCs w:val="22"/>
        </w:rPr>
      </w:pPr>
      <w:r>
        <w:rPr>
          <w:rFonts w:hint="eastAsia" w:cs="Arial"/>
          <w:color w:val="000000"/>
          <w:sz w:val="24"/>
          <w:szCs w:val="22"/>
        </w:rPr>
        <w:t>3.5.4 驻留时间范围（扫描）：≥50 ns/pixel 至20 ms/pixel；</w:t>
      </w:r>
    </w:p>
    <w:p w14:paraId="0A3900D1">
      <w:pPr>
        <w:adjustRightInd w:val="0"/>
        <w:snapToGrid w:val="0"/>
        <w:spacing w:line="360" w:lineRule="auto"/>
        <w:rPr>
          <w:rFonts w:cs="Arial"/>
          <w:color w:val="000000"/>
          <w:sz w:val="24"/>
          <w:szCs w:val="22"/>
        </w:rPr>
      </w:pPr>
      <w:r>
        <w:rPr>
          <w:rFonts w:hint="eastAsia" w:cs="Arial"/>
          <w:color w:val="000000"/>
          <w:sz w:val="24"/>
          <w:szCs w:val="22"/>
        </w:rPr>
        <w:t>3.5.5</w:t>
      </w:r>
      <w:r>
        <w:rPr>
          <w:rFonts w:cs="Arial"/>
          <w:color w:val="000000"/>
          <w:sz w:val="24"/>
          <w:szCs w:val="22"/>
        </w:rPr>
        <w:t xml:space="preserve"> </w:t>
      </w:r>
      <w:r>
        <w:rPr>
          <w:rFonts w:hint="eastAsia" w:cs="Arial"/>
          <w:color w:val="000000"/>
          <w:sz w:val="24"/>
          <w:szCs w:val="22"/>
        </w:rPr>
        <w:t xml:space="preserve"> 图形匹配软件来进行冷冻光镜数据和cryo-FIB数据间相关性叠加。</w:t>
      </w:r>
    </w:p>
    <w:p w14:paraId="084E6167">
      <w:pPr>
        <w:adjustRightInd w:val="0"/>
        <w:snapToGrid w:val="0"/>
        <w:spacing w:line="360" w:lineRule="auto"/>
        <w:rPr>
          <w:rFonts w:cs="Arial"/>
          <w:color w:val="000000"/>
          <w:sz w:val="24"/>
          <w:szCs w:val="22"/>
        </w:rPr>
      </w:pPr>
      <w:r>
        <w:rPr>
          <w:rFonts w:hint="eastAsia" w:cs="Arial"/>
          <w:color w:val="000000"/>
          <w:sz w:val="24"/>
          <w:szCs w:val="22"/>
        </w:rPr>
        <w:t>3.6 冷冻机械臂</w:t>
      </w:r>
    </w:p>
    <w:p w14:paraId="2EB0F5A2">
      <w:pPr>
        <w:adjustRightInd w:val="0"/>
        <w:snapToGrid w:val="0"/>
        <w:spacing w:line="360" w:lineRule="auto"/>
        <w:rPr>
          <w:rFonts w:cs="Arial"/>
          <w:color w:val="000000"/>
          <w:sz w:val="24"/>
          <w:szCs w:val="22"/>
        </w:rPr>
      </w:pPr>
      <w:r>
        <w:rPr>
          <w:rFonts w:hint="eastAsia" w:cs="Arial"/>
          <w:color w:val="000000"/>
          <w:sz w:val="24"/>
          <w:szCs w:val="22"/>
        </w:rPr>
        <w:t>3</w:t>
      </w:r>
      <w:r>
        <w:rPr>
          <w:rFonts w:cs="Arial"/>
          <w:color w:val="000000"/>
          <w:sz w:val="24"/>
          <w:szCs w:val="22"/>
        </w:rPr>
        <w:t xml:space="preserve">.6.1 </w:t>
      </w:r>
      <w:r>
        <w:rPr>
          <w:rFonts w:hint="eastAsia" w:cs="Arial"/>
          <w:color w:val="000000"/>
          <w:sz w:val="24"/>
          <w:szCs w:val="22"/>
        </w:rPr>
        <w:t>配备有冷冻样品微操机械臂；</w:t>
      </w:r>
    </w:p>
    <w:p w14:paraId="63C22401">
      <w:pPr>
        <w:adjustRightInd w:val="0"/>
        <w:snapToGrid w:val="0"/>
        <w:spacing w:line="360" w:lineRule="auto"/>
        <w:rPr>
          <w:rFonts w:cs="Arial"/>
          <w:color w:val="000000"/>
          <w:sz w:val="24"/>
          <w:szCs w:val="22"/>
        </w:rPr>
      </w:pPr>
      <w:r>
        <w:rPr>
          <w:rFonts w:hint="eastAsia" w:cs="Arial"/>
          <w:color w:val="000000"/>
          <w:sz w:val="24"/>
          <w:szCs w:val="22"/>
        </w:rPr>
        <w:t>3.6.</w:t>
      </w:r>
      <w:r>
        <w:rPr>
          <w:rFonts w:cs="Arial"/>
          <w:color w:val="000000"/>
          <w:sz w:val="24"/>
          <w:szCs w:val="22"/>
        </w:rPr>
        <w:t>2</w:t>
      </w:r>
      <w:r>
        <w:rPr>
          <w:rFonts w:hint="eastAsia" w:cs="Arial"/>
          <w:color w:val="000000"/>
          <w:sz w:val="24"/>
          <w:szCs w:val="22"/>
        </w:rPr>
        <w:t xml:space="preserve"> 机械臂针尖温度：≤ -160°</w:t>
      </w:r>
    </w:p>
    <w:p w14:paraId="4EE81A16">
      <w:pPr>
        <w:adjustRightInd w:val="0"/>
        <w:snapToGrid w:val="0"/>
        <w:spacing w:line="360" w:lineRule="auto"/>
        <w:rPr>
          <w:rFonts w:cs="Arial"/>
          <w:color w:val="000000"/>
          <w:sz w:val="24"/>
          <w:szCs w:val="22"/>
        </w:rPr>
      </w:pPr>
      <w:r>
        <w:rPr>
          <w:rFonts w:hint="eastAsia" w:cs="Arial"/>
          <w:b/>
          <w:bCs/>
          <w:color w:val="000000"/>
          <w:sz w:val="24"/>
          <w:szCs w:val="22"/>
        </w:rPr>
        <w:t>#3.6.</w:t>
      </w:r>
      <w:r>
        <w:rPr>
          <w:rFonts w:cs="Arial"/>
          <w:b/>
          <w:bCs/>
          <w:color w:val="000000"/>
          <w:sz w:val="24"/>
          <w:szCs w:val="22"/>
        </w:rPr>
        <w:t>3</w:t>
      </w:r>
      <w:r>
        <w:rPr>
          <w:rFonts w:hint="eastAsia" w:cs="Arial"/>
          <w:color w:val="000000"/>
          <w:sz w:val="24"/>
          <w:szCs w:val="22"/>
        </w:rPr>
        <w:t xml:space="preserve"> 机械臂漂移：优于250nm/min</w:t>
      </w:r>
    </w:p>
    <w:p w14:paraId="6CD8B0DB">
      <w:pPr>
        <w:adjustRightInd w:val="0"/>
        <w:snapToGrid w:val="0"/>
        <w:spacing w:line="360" w:lineRule="auto"/>
        <w:rPr>
          <w:rFonts w:cs="Arial"/>
          <w:color w:val="000000"/>
          <w:sz w:val="24"/>
          <w:szCs w:val="22"/>
        </w:rPr>
      </w:pPr>
      <w:r>
        <w:rPr>
          <w:rFonts w:hint="eastAsia" w:cs="Arial"/>
          <w:color w:val="000000"/>
          <w:sz w:val="24"/>
          <w:szCs w:val="22"/>
        </w:rPr>
        <w:t>3.7 内置荧光显微镜</w:t>
      </w:r>
    </w:p>
    <w:p w14:paraId="3BA27303">
      <w:pPr>
        <w:adjustRightInd w:val="0"/>
        <w:snapToGrid w:val="0"/>
        <w:spacing w:line="360" w:lineRule="auto"/>
        <w:rPr>
          <w:rFonts w:cs="Arial"/>
          <w:color w:val="000000"/>
          <w:sz w:val="24"/>
          <w:szCs w:val="22"/>
        </w:rPr>
      </w:pPr>
      <w:r>
        <w:rPr>
          <w:rFonts w:hint="eastAsia" w:cs="Arial"/>
          <w:color w:val="000000"/>
          <w:sz w:val="24"/>
          <w:szCs w:val="22"/>
        </w:rPr>
        <w:t>3.7.1配置有荧光成像系统，可以实现三通道冷冻荧光成像。</w:t>
      </w:r>
    </w:p>
    <w:p w14:paraId="267FB1D2">
      <w:pPr>
        <w:adjustRightInd w:val="0"/>
        <w:snapToGrid w:val="0"/>
        <w:spacing w:line="360" w:lineRule="auto"/>
        <w:rPr>
          <w:rFonts w:cs="Arial"/>
          <w:color w:val="000000"/>
          <w:sz w:val="24"/>
          <w:szCs w:val="22"/>
        </w:rPr>
      </w:pPr>
      <w:r>
        <w:rPr>
          <w:rFonts w:hint="eastAsia" w:cs="Arial"/>
          <w:color w:val="000000"/>
          <w:sz w:val="24"/>
          <w:szCs w:val="22"/>
        </w:rPr>
        <w:t>3.8 软件</w:t>
      </w:r>
    </w:p>
    <w:p w14:paraId="52B1BDF4">
      <w:pPr>
        <w:adjustRightInd w:val="0"/>
        <w:snapToGrid w:val="0"/>
        <w:spacing w:line="360" w:lineRule="auto"/>
        <w:rPr>
          <w:rFonts w:cs="Arial"/>
          <w:color w:val="000000"/>
          <w:sz w:val="24"/>
          <w:szCs w:val="22"/>
        </w:rPr>
      </w:pPr>
      <w:r>
        <w:rPr>
          <w:rFonts w:hint="eastAsia" w:cs="Arial"/>
          <w:b/>
          <w:bCs/>
          <w:color w:val="000000"/>
          <w:sz w:val="24"/>
          <w:szCs w:val="22"/>
        </w:rPr>
        <w:t>#3.8.</w:t>
      </w:r>
      <w:r>
        <w:rPr>
          <w:rFonts w:hint="eastAsia" w:cs="Arial"/>
          <w:color w:val="000000"/>
          <w:sz w:val="24"/>
          <w:szCs w:val="22"/>
        </w:rPr>
        <w:t>1</w:t>
      </w:r>
      <w:r>
        <w:rPr>
          <w:rFonts w:cs="Arial"/>
          <w:color w:val="000000"/>
          <w:sz w:val="24"/>
          <w:szCs w:val="22"/>
        </w:rPr>
        <w:t xml:space="preserve"> </w:t>
      </w:r>
      <w:r>
        <w:rPr>
          <w:rFonts w:hint="eastAsia" w:cs="Arial"/>
          <w:color w:val="000000"/>
          <w:sz w:val="24"/>
          <w:szCs w:val="22"/>
        </w:rPr>
        <w:t>配置自动离子束制备冷冻切片软件；</w:t>
      </w:r>
    </w:p>
    <w:p w14:paraId="6CE8ECCF">
      <w:pPr>
        <w:adjustRightInd w:val="0"/>
        <w:snapToGrid w:val="0"/>
        <w:spacing w:line="360" w:lineRule="auto"/>
        <w:rPr>
          <w:rFonts w:hint="eastAsia"/>
          <w:sz w:val="24"/>
        </w:rPr>
      </w:pPr>
      <w:r>
        <w:rPr>
          <w:rFonts w:hint="eastAsia" w:cs="Arial"/>
          <w:b/>
          <w:bCs/>
          <w:color w:val="000000"/>
          <w:sz w:val="24"/>
          <w:szCs w:val="22"/>
        </w:rPr>
        <w:t>#3.8.2</w:t>
      </w:r>
      <w:r>
        <w:rPr>
          <w:rFonts w:hint="eastAsia" w:cs="Arial"/>
          <w:color w:val="000000"/>
          <w:sz w:val="24"/>
          <w:szCs w:val="22"/>
        </w:rPr>
        <w:t xml:space="preserve"> 具有电子束、离子束、样品台等控制接口，方便第三方软件编程控制；</w:t>
      </w:r>
    </w:p>
    <w:p w14:paraId="55109679">
      <w:pPr>
        <w:spacing w:line="360" w:lineRule="auto"/>
        <w:rPr>
          <w:rFonts w:hint="eastAsia"/>
          <w:sz w:val="24"/>
        </w:rPr>
      </w:pPr>
    </w:p>
    <w:p w14:paraId="77D262DB">
      <w:pPr>
        <w:spacing w:line="360" w:lineRule="auto"/>
        <w:rPr>
          <w:rFonts w:hint="eastAsia"/>
          <w:b/>
          <w:sz w:val="24"/>
        </w:rPr>
      </w:pPr>
      <w:r>
        <w:rPr>
          <w:rFonts w:hint="eastAsia"/>
          <w:b/>
          <w:sz w:val="24"/>
        </w:rPr>
        <w:t>（二）质保及售后服务：</w:t>
      </w:r>
    </w:p>
    <w:p w14:paraId="79C2AE20">
      <w:pPr>
        <w:adjustRightInd w:val="0"/>
        <w:snapToGrid w:val="0"/>
        <w:spacing w:line="360" w:lineRule="auto"/>
        <w:rPr>
          <w:rFonts w:cs="Arial"/>
          <w:sz w:val="24"/>
          <w:szCs w:val="22"/>
        </w:rPr>
      </w:pPr>
      <w:r>
        <w:rPr>
          <w:rFonts w:hint="eastAsia" w:cs="Arial"/>
          <w:sz w:val="24"/>
          <w:szCs w:val="22"/>
        </w:rPr>
        <w:t>1. 保修期自验收之日起一年。</w:t>
      </w:r>
    </w:p>
    <w:p w14:paraId="5286CCA9">
      <w:pPr>
        <w:adjustRightInd w:val="0"/>
        <w:snapToGrid w:val="0"/>
        <w:spacing w:line="360" w:lineRule="auto"/>
        <w:rPr>
          <w:rFonts w:cs="Arial"/>
          <w:sz w:val="24"/>
          <w:szCs w:val="22"/>
        </w:rPr>
      </w:pPr>
      <w:r>
        <w:rPr>
          <w:rFonts w:hint="eastAsia" w:cs="Arial"/>
          <w:sz w:val="24"/>
          <w:szCs w:val="22"/>
        </w:rPr>
        <w:t>2. 售后服务要求：24小时响应，48小时到现场。</w:t>
      </w:r>
    </w:p>
    <w:p w14:paraId="27F50D3E">
      <w:pPr>
        <w:spacing w:line="360" w:lineRule="auto"/>
        <w:ind w:firstLine="482" w:firstLineChars="200"/>
        <w:rPr>
          <w:rFonts w:hint="eastAsia"/>
          <w:b/>
          <w:sz w:val="24"/>
        </w:rPr>
      </w:pPr>
    </w:p>
    <w:p w14:paraId="20FB250B">
      <w:pPr>
        <w:spacing w:line="360" w:lineRule="auto"/>
        <w:rPr>
          <w:rFonts w:hint="eastAsia"/>
          <w:b/>
          <w:sz w:val="24"/>
        </w:rPr>
      </w:pPr>
      <w:r>
        <w:rPr>
          <w:rFonts w:hint="eastAsia"/>
          <w:b/>
          <w:sz w:val="24"/>
        </w:rPr>
        <w:t>（三） 订货数量：</w:t>
      </w:r>
    </w:p>
    <w:p w14:paraId="500607D8">
      <w:pPr>
        <w:spacing w:line="360" w:lineRule="auto"/>
        <w:rPr>
          <w:rFonts w:hint="eastAsia"/>
          <w:sz w:val="24"/>
        </w:rPr>
      </w:pPr>
      <w:r>
        <w:rPr>
          <w:rFonts w:hint="eastAsia"/>
          <w:sz w:val="24"/>
        </w:rPr>
        <w:t>1套</w:t>
      </w:r>
    </w:p>
    <w:p w14:paraId="3F3DEB3E">
      <w:pPr>
        <w:spacing w:line="360" w:lineRule="auto"/>
        <w:rPr>
          <w:sz w:val="24"/>
        </w:rPr>
      </w:pPr>
    </w:p>
    <w:p w14:paraId="1CCB3082">
      <w:pPr>
        <w:spacing w:line="360" w:lineRule="auto"/>
        <w:rPr>
          <w:rFonts w:hint="eastAsia"/>
          <w:b/>
          <w:sz w:val="24"/>
        </w:rPr>
      </w:pPr>
      <w:r>
        <w:rPr>
          <w:rFonts w:hint="eastAsia"/>
          <w:b/>
          <w:sz w:val="24"/>
        </w:rPr>
        <w:t>（四）交货日期和交货地点（项目现场）：</w:t>
      </w:r>
    </w:p>
    <w:p w14:paraId="04F60C37">
      <w:pPr>
        <w:spacing w:line="360" w:lineRule="auto"/>
        <w:rPr>
          <w:rFonts w:hint="eastAsia"/>
          <w:sz w:val="24"/>
        </w:rPr>
      </w:pPr>
      <w:r>
        <w:rPr>
          <w:rFonts w:hint="eastAsia"/>
          <w:sz w:val="24"/>
        </w:rPr>
        <w:t>交货日期：合同签订后6个月内</w:t>
      </w:r>
    </w:p>
    <w:p w14:paraId="64CE2466">
      <w:pPr>
        <w:spacing w:line="360" w:lineRule="auto"/>
        <w:rPr>
          <w:sz w:val="24"/>
        </w:rPr>
      </w:pPr>
      <w:r>
        <w:rPr>
          <w:rFonts w:hint="eastAsia"/>
          <w:sz w:val="24"/>
        </w:rPr>
        <w:t>交货地点：中国科学院生物物理研究所或用户指定地点</w:t>
      </w:r>
    </w:p>
    <w:p w14:paraId="19846E92">
      <w:pPr>
        <w:spacing w:line="360" w:lineRule="auto"/>
        <w:rPr>
          <w:sz w:val="24"/>
        </w:rPr>
      </w:pPr>
    </w:p>
    <w:p w14:paraId="79EA6146">
      <w:pPr>
        <w:spacing w:line="360" w:lineRule="auto"/>
        <w:rPr>
          <w:rFonts w:hint="eastAsia"/>
          <w:b/>
          <w:bCs/>
          <w:sz w:val="24"/>
        </w:rPr>
      </w:pPr>
      <w:r>
        <w:rPr>
          <w:rFonts w:hint="eastAsia"/>
          <w:b/>
          <w:bCs/>
          <w:sz w:val="24"/>
        </w:rPr>
        <w:t>（五）付款方式：</w:t>
      </w:r>
    </w:p>
    <w:p w14:paraId="00AE8707">
      <w:pPr>
        <w:spacing w:line="360" w:lineRule="auto"/>
        <w:rPr>
          <w:rFonts w:hint="eastAsia"/>
          <w:sz w:val="24"/>
        </w:rPr>
      </w:pPr>
      <w:r>
        <w:rPr>
          <w:rFonts w:hint="eastAsia"/>
          <w:sz w:val="24"/>
        </w:rPr>
        <w:t>1. 对于国产产品，签订合同后中标人支付合同金额10%的履约保证金后，采购人支付合同金额的100%；10%的履约保证金在验收通过后无息退还。</w:t>
      </w:r>
    </w:p>
    <w:p w14:paraId="7913AFD5">
      <w:pPr>
        <w:spacing w:line="360" w:lineRule="auto"/>
        <w:rPr>
          <w:rFonts w:hint="eastAsia"/>
          <w:sz w:val="24"/>
        </w:rPr>
      </w:pPr>
      <w:r>
        <w:rPr>
          <w:rFonts w:hint="eastAsia"/>
          <w:sz w:val="24"/>
        </w:rPr>
        <w:t xml:space="preserve">2. 对于进口产品，1）合同金额的90%在货到用户现场后，买方收到卖方按规定的装运文件单后，以电汇方式支付；2） 合同金额的10%凭最终用户签字盖章的验收报告电汇支付。                                         </w:t>
      </w:r>
    </w:p>
    <w:p w14:paraId="44EC63FA">
      <w:pPr>
        <w:spacing w:line="360" w:lineRule="auto"/>
        <w:rPr>
          <w:sz w:val="24"/>
        </w:rPr>
      </w:pPr>
    </w:p>
    <w:p w14:paraId="4EF63A7A">
      <w:pPr>
        <w:spacing w:line="360" w:lineRule="auto"/>
        <w:rPr>
          <w:rFonts w:hint="eastAsia"/>
          <w:b/>
          <w:sz w:val="24"/>
        </w:rPr>
      </w:pPr>
      <w:r>
        <w:rPr>
          <w:rFonts w:hint="eastAsia"/>
          <w:b/>
          <w:sz w:val="24"/>
        </w:rPr>
        <w:t>（六）执行的相关标准</w:t>
      </w:r>
    </w:p>
    <w:p w14:paraId="179D9E36">
      <w:pPr>
        <w:spacing w:line="360" w:lineRule="auto"/>
        <w:rPr>
          <w:rFonts w:hint="eastAsia" w:cs="宋体"/>
          <w:kern w:val="0"/>
          <w:sz w:val="24"/>
        </w:rPr>
      </w:pPr>
      <w:r>
        <w:rPr>
          <w:rFonts w:hint="eastAsia" w:cs="宋体"/>
          <w:kern w:val="0"/>
          <w:sz w:val="24"/>
        </w:rPr>
        <w:t xml:space="preserve">   产品应满足相关国家标准及行业标准</w:t>
      </w:r>
    </w:p>
    <w:p w14:paraId="7A7AA320">
      <w:bookmarkStart w:id="1" w:name="_GoBack"/>
      <w:bookmarkEnd w:id="1"/>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547A3F"/>
    <w:rsid w:val="5D547A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2025-07-01T09:34:00Z</dcterms:created>
  <dc:creator>顾嘉宁</dc:creator>
  <cp:lastModifiedBy>顾嘉宁</cp:lastModifiedBy>
  <dcterms:modified xsi:type="dcterms:W3CDTF">2025-07-01T09:35:09Z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96D27581619E4C6E879EEDCF14B50130_11</vt:lpwstr>
  </property>
  <property fmtid="{D5CDD505-2E9C-101B-9397-08002B2CF9AE}" pid="4" name="KSOTemplateDocerSaveRecord">
    <vt:lpwstr>eyJoZGlkIjoiM2FjYTIzZGUxMzUyYzc4ODFmYzlkNjk5ZTYzODY2NmIiLCJ1c2VySWQiOiIxNjYzMDExNDYwIn0=</vt:lpwstr>
  </property>
</Properties>
</file>