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EC1C72">
      <w:pPr>
        <w:adjustRightInd w:val="0"/>
        <w:snapToGrid w:val="0"/>
        <w:spacing w:after="156" w:afterLines="50" w:line="360" w:lineRule="auto"/>
        <w:jc w:val="center"/>
        <w:outlineLvl w:val="0"/>
        <w:rPr>
          <w:rFonts w:hint="eastAsia" w:ascii="黑体" w:hAnsi="Times New Roman" w:eastAsia="黑体" w:cs="Times New Roman"/>
          <w:b/>
          <w:kern w:val="44"/>
          <w:sz w:val="48"/>
          <w:szCs w:val="20"/>
        </w:rPr>
      </w:pPr>
      <w:bookmarkStart w:id="0" w:name="_Toc129880039"/>
      <w:r>
        <w:rPr>
          <w:rFonts w:hint="eastAsia" w:ascii="宋体" w:hAnsi="宋体" w:eastAsia="宋体" w:cs="Times New Roman"/>
          <w:b/>
          <w:sz w:val="30"/>
          <w:szCs w:val="30"/>
        </w:rPr>
        <w:t>第八部分 采购需求</w:t>
      </w:r>
      <w:bookmarkEnd w:id="0"/>
    </w:p>
    <w:p w14:paraId="101CC152"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宋体" w:hAnsi="宋体" w:eastAsia="宋体" w:cs="Times New Roman"/>
          <w:b/>
          <w:sz w:val="24"/>
        </w:rPr>
      </w:pPr>
      <w:r>
        <w:rPr>
          <w:rFonts w:hint="eastAsia" w:ascii="宋体" w:hAnsi="宋体" w:eastAsia="宋体" w:cs="Times New Roman"/>
          <w:b/>
          <w:sz w:val="24"/>
        </w:rPr>
        <w:t>货物需求一览表</w:t>
      </w:r>
    </w:p>
    <w:p w14:paraId="4CCEE524">
      <w:pPr>
        <w:adjustRightInd w:val="0"/>
        <w:snapToGrid w:val="0"/>
        <w:jc w:val="center"/>
        <w:rPr>
          <w:rFonts w:hint="eastAsia" w:ascii="宋体" w:hAnsi="宋体" w:eastAsia="宋体" w:cs="Times New Roman"/>
          <w:b/>
          <w:sz w:val="30"/>
          <w:szCs w:val="30"/>
        </w:rPr>
      </w:pPr>
    </w:p>
    <w:tbl>
      <w:tblPr>
        <w:tblStyle w:val="3"/>
        <w:tblW w:w="759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40"/>
        <w:gridCol w:w="2357"/>
        <w:gridCol w:w="1329"/>
        <w:gridCol w:w="2470"/>
      </w:tblGrid>
      <w:tr w14:paraId="2636AED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1440" w:type="dxa"/>
            <w:noWrap w:val="0"/>
            <w:vAlign w:val="center"/>
          </w:tcPr>
          <w:p w14:paraId="48EB1096"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包号</w:t>
            </w:r>
          </w:p>
        </w:tc>
        <w:tc>
          <w:tcPr>
            <w:tcW w:w="2357" w:type="dxa"/>
            <w:noWrap w:val="0"/>
            <w:vAlign w:val="center"/>
          </w:tcPr>
          <w:p w14:paraId="0E2BD50A"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货物名称</w:t>
            </w:r>
          </w:p>
        </w:tc>
        <w:tc>
          <w:tcPr>
            <w:tcW w:w="1329" w:type="dxa"/>
            <w:noWrap w:val="0"/>
            <w:vAlign w:val="center"/>
          </w:tcPr>
          <w:p w14:paraId="6117EB1B"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数量</w:t>
            </w:r>
          </w:p>
        </w:tc>
        <w:tc>
          <w:tcPr>
            <w:tcW w:w="2470" w:type="dxa"/>
            <w:noWrap w:val="0"/>
            <w:vAlign w:val="center"/>
          </w:tcPr>
          <w:p w14:paraId="6C1BD6D4"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是否接受进口</w:t>
            </w:r>
          </w:p>
        </w:tc>
      </w:tr>
      <w:tr w14:paraId="5A9F70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1440" w:type="dxa"/>
            <w:noWrap w:val="0"/>
            <w:vAlign w:val="center"/>
          </w:tcPr>
          <w:p w14:paraId="599170DB">
            <w:pPr>
              <w:jc w:val="center"/>
              <w:rPr>
                <w:rFonts w:hint="eastAsia" w:ascii="宋体" w:hAnsi="Times New Roman" w:eastAsia="宋体" w:cs="Times New Roman"/>
                <w:sz w:val="24"/>
              </w:rPr>
            </w:pPr>
            <w:r>
              <w:rPr>
                <w:rFonts w:hint="eastAsia" w:ascii="宋体" w:hAnsi="Times New Roman" w:eastAsia="宋体" w:cs="Times New Roman"/>
                <w:sz w:val="24"/>
              </w:rPr>
              <w:t>1</w:t>
            </w:r>
          </w:p>
        </w:tc>
        <w:tc>
          <w:tcPr>
            <w:tcW w:w="2357" w:type="dxa"/>
            <w:noWrap w:val="0"/>
            <w:vAlign w:val="center"/>
          </w:tcPr>
          <w:p w14:paraId="3CE6188B">
            <w:pPr>
              <w:jc w:val="center"/>
              <w:rPr>
                <w:rFonts w:hint="eastAsia" w:ascii="Bookman Old Style" w:hAnsi="Bookman Old Style" w:eastAsia="宋体" w:cs="Times New Roman"/>
                <w:sz w:val="24"/>
              </w:rPr>
            </w:pPr>
            <w:r>
              <w:rPr>
                <w:rFonts w:hint="eastAsia" w:ascii="Bookman Old Style" w:hAnsi="Bookman Old Style" w:eastAsia="宋体" w:cs="Times New Roman"/>
                <w:sz w:val="24"/>
              </w:rPr>
              <w:t>环境扫描电镜</w:t>
            </w:r>
          </w:p>
        </w:tc>
        <w:tc>
          <w:tcPr>
            <w:tcW w:w="1329" w:type="dxa"/>
            <w:noWrap w:val="0"/>
            <w:vAlign w:val="center"/>
          </w:tcPr>
          <w:p w14:paraId="2E106E20">
            <w:pPr>
              <w:jc w:val="center"/>
              <w:rPr>
                <w:rFonts w:hint="eastAsia"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1套</w:t>
            </w:r>
          </w:p>
        </w:tc>
        <w:tc>
          <w:tcPr>
            <w:tcW w:w="2470" w:type="dxa"/>
            <w:noWrap w:val="0"/>
            <w:vAlign w:val="center"/>
          </w:tcPr>
          <w:p w14:paraId="44657BCF">
            <w:pPr>
              <w:jc w:val="center"/>
              <w:rPr>
                <w:rFonts w:hint="eastAsia"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否</w:t>
            </w:r>
          </w:p>
        </w:tc>
      </w:tr>
    </w:tbl>
    <w:p w14:paraId="674A87FB">
      <w:pPr>
        <w:adjustRightInd w:val="0"/>
        <w:snapToGrid w:val="0"/>
        <w:jc w:val="center"/>
        <w:rPr>
          <w:rFonts w:hint="eastAsia" w:ascii="宋体" w:hAnsi="宋体" w:eastAsia="宋体" w:cs="Times New Roman"/>
          <w:b/>
          <w:sz w:val="30"/>
          <w:szCs w:val="30"/>
        </w:rPr>
      </w:pPr>
    </w:p>
    <w:p w14:paraId="537461B9">
      <w:pPr>
        <w:adjustRightInd w:val="0"/>
        <w:snapToGrid w:val="0"/>
        <w:jc w:val="center"/>
        <w:rPr>
          <w:rFonts w:hint="eastAsia" w:ascii="宋体" w:hAnsi="宋体" w:eastAsia="宋体" w:cs="Times New Roman"/>
          <w:b/>
          <w:sz w:val="30"/>
          <w:szCs w:val="30"/>
        </w:rPr>
      </w:pPr>
    </w:p>
    <w:p w14:paraId="1791A418">
      <w:pPr>
        <w:rPr>
          <w:rFonts w:hint="eastAsia" w:ascii="Bookman Old Style" w:hAnsi="Bookman Old Style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注：投标人须对上述投标内容中完整的一包或几包进行投标，</w:t>
      </w:r>
      <w:r>
        <w:rPr>
          <w:rFonts w:hint="eastAsia" w:ascii="Bookman Old Style" w:hAnsi="Bookman Old Style" w:eastAsia="宋体" w:cs="Times New Roman"/>
          <w:sz w:val="24"/>
        </w:rPr>
        <w:t>不完整的投标将视为非响应性投标予以拒绝。</w:t>
      </w:r>
    </w:p>
    <w:p w14:paraId="33750DBC">
      <w:pPr>
        <w:adjustRightInd w:val="0"/>
        <w:snapToGrid w:val="0"/>
        <w:rPr>
          <w:rFonts w:hint="eastAsia" w:ascii="宋体" w:hAnsi="宋体" w:eastAsia="宋体" w:cs="Times New Roman"/>
          <w:szCs w:val="21"/>
        </w:rPr>
      </w:pPr>
    </w:p>
    <w:p w14:paraId="699503BC">
      <w:pPr>
        <w:adjustRightInd w:val="0"/>
        <w:snapToGrid w:val="0"/>
        <w:rPr>
          <w:rFonts w:hint="eastAsia" w:ascii="宋体" w:hAnsi="宋体" w:eastAsia="宋体" w:cs="Times New Roman"/>
          <w:szCs w:val="21"/>
        </w:rPr>
      </w:pPr>
    </w:p>
    <w:p w14:paraId="6BF8F2F9">
      <w:pPr>
        <w:adjustRightInd w:val="0"/>
        <w:snapToGrid w:val="0"/>
        <w:rPr>
          <w:rFonts w:hint="eastAsia" w:ascii="宋体" w:hAnsi="宋体" w:eastAsia="宋体" w:cs="Times New Roman"/>
          <w:szCs w:val="21"/>
        </w:rPr>
      </w:pPr>
    </w:p>
    <w:p w14:paraId="770B2ECC">
      <w:pPr>
        <w:adjustRightInd w:val="0"/>
        <w:snapToGrid w:val="0"/>
        <w:spacing w:line="360" w:lineRule="auto"/>
        <w:rPr>
          <w:rFonts w:ascii="宋体" w:hAnsi="宋体" w:eastAsia="宋体" w:cs="Times New Roman"/>
          <w:b/>
          <w:sz w:val="28"/>
          <w:szCs w:val="28"/>
        </w:rPr>
      </w:pPr>
      <w:r>
        <w:rPr>
          <w:rFonts w:ascii="宋体" w:hAnsi="宋体" w:eastAsia="宋体" w:cs="Times New Roman"/>
          <w:b/>
          <w:sz w:val="30"/>
          <w:szCs w:val="30"/>
        </w:rPr>
        <w:br w:type="page"/>
      </w:r>
      <w:r>
        <w:rPr>
          <w:rFonts w:hint="eastAsia" w:ascii="宋体" w:hAnsi="宋体" w:eastAsia="宋体" w:cs="Times New Roman"/>
          <w:b/>
          <w:sz w:val="28"/>
          <w:szCs w:val="28"/>
        </w:rPr>
        <w:t>一、总则</w:t>
      </w:r>
    </w:p>
    <w:p w14:paraId="19D425ED">
      <w:pPr>
        <w:adjustRightInd w:val="0"/>
        <w:snapToGrid w:val="0"/>
        <w:spacing w:line="360" w:lineRule="auto"/>
        <w:rPr>
          <w:rFonts w:ascii="宋体" w:hAnsi="宋体" w:eastAsia="宋体" w:cs="Times New Roman"/>
          <w:b/>
          <w:sz w:val="28"/>
          <w:szCs w:val="28"/>
        </w:rPr>
      </w:pPr>
      <w:r>
        <w:rPr>
          <w:rFonts w:ascii="宋体" w:hAnsi="宋体" w:eastAsia="宋体" w:cs="Times New Roman"/>
          <w:b/>
          <w:sz w:val="28"/>
          <w:szCs w:val="28"/>
        </w:rPr>
        <w:t>1</w:t>
      </w:r>
      <w:r>
        <w:rPr>
          <w:rFonts w:hint="eastAsia" w:ascii="宋体" w:hAnsi="宋体" w:eastAsia="宋体" w:cs="Times New Roman"/>
          <w:b/>
          <w:sz w:val="28"/>
          <w:szCs w:val="28"/>
        </w:rPr>
        <w:t>、投标要求</w:t>
      </w:r>
    </w:p>
    <w:p w14:paraId="3E909764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ascii="宋体" w:hAnsi="宋体" w:eastAsia="宋体" w:cs="Times New Roman"/>
          <w:sz w:val="24"/>
        </w:rPr>
        <w:t xml:space="preserve">1.1 </w:t>
      </w:r>
      <w:r>
        <w:rPr>
          <w:rFonts w:hint="eastAsia" w:ascii="宋体" w:hAnsi="宋体" w:eastAsia="宋体" w:cs="Times New Roman"/>
          <w:sz w:val="24"/>
        </w:rPr>
        <w:t xml:space="preserve"> 投标人在准备投标书时，务必在所提供的商品的技术规格文件中，标明型号、商标名称、目录号。</w:t>
      </w:r>
    </w:p>
    <w:p w14:paraId="3F5EB6EC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05DDAE7A">
      <w:pPr>
        <w:spacing w:line="360" w:lineRule="auto"/>
        <w:ind w:left="554" w:hanging="554" w:hangingChars="231"/>
        <w:rPr>
          <w:rFonts w:hint="eastAsia" w:ascii="宋体" w:hAnsi="Times New Roman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 xml:space="preserve">1.3  </w:t>
      </w:r>
      <w:r>
        <w:rPr>
          <w:rFonts w:hint="eastAsia" w:ascii="Times New Roman" w:hAnsi="Times New Roman" w:eastAsia="宋体" w:cs="Times New Roman"/>
          <w:sz w:val="24"/>
        </w:rPr>
        <w:t>投标人提供的</w:t>
      </w:r>
      <w:r>
        <w:rPr>
          <w:rFonts w:hint="eastAsia" w:ascii="宋体" w:hAnsi="Times New Roman" w:eastAsia="宋体" w:cs="Times New Roman"/>
          <w:sz w:val="24"/>
        </w:rPr>
        <w:t>产品</w:t>
      </w:r>
      <w:r>
        <w:rPr>
          <w:rFonts w:hint="eastAsia" w:ascii="Times New Roman" w:hAnsi="Times New Roman" w:eastAsia="宋体" w:cs="Times New Roman"/>
          <w:sz w:val="24"/>
        </w:rPr>
        <w:t>样本，必须是“原件”而非复印件，</w:t>
      </w:r>
      <w:r>
        <w:rPr>
          <w:rFonts w:hint="eastAsia" w:ascii="宋体" w:hAnsi="Times New Roman" w:eastAsia="宋体" w:cs="Times New Roman"/>
          <w:sz w:val="24"/>
        </w:rPr>
        <w:t>图表、简图、电路图以及印刷电路板图等都应</w:t>
      </w:r>
      <w:r>
        <w:rPr>
          <w:rFonts w:hint="eastAsia" w:ascii="Times New Roman" w:hAnsi="Times New Roman" w:eastAsia="宋体" w:cs="Times New Roman"/>
          <w:sz w:val="24"/>
        </w:rPr>
        <w:t>清晰易读。</w:t>
      </w:r>
    </w:p>
    <w:p w14:paraId="41A10795">
      <w:pPr>
        <w:spacing w:line="360" w:lineRule="auto"/>
        <w:ind w:left="554" w:hanging="554" w:hangingChars="231"/>
        <w:rPr>
          <w:rFonts w:hint="eastAsia" w:ascii="宋体" w:hAnsi="Times New Roman" w:eastAsia="宋体" w:cs="Times New Roman"/>
          <w:sz w:val="24"/>
        </w:rPr>
      </w:pPr>
      <w:r>
        <w:rPr>
          <w:rFonts w:hint="eastAsia" w:ascii="宋体" w:hAnsi="Times New Roman" w:eastAsia="宋体" w:cs="Times New Roman"/>
          <w:sz w:val="24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1A15B870">
      <w:pPr>
        <w:adjustRightInd w:val="0"/>
        <w:snapToGrid w:val="0"/>
        <w:spacing w:line="360" w:lineRule="auto"/>
        <w:rPr>
          <w:rFonts w:ascii="宋体" w:hAnsi="宋体" w:eastAsia="宋体" w:cs="Times New Roman"/>
          <w:b/>
          <w:sz w:val="28"/>
          <w:szCs w:val="28"/>
        </w:rPr>
      </w:pPr>
      <w:r>
        <w:rPr>
          <w:rFonts w:hint="eastAsia" w:ascii="宋体" w:hAnsi="宋体" w:eastAsia="宋体" w:cs="Times New Roman"/>
          <w:b/>
          <w:sz w:val="28"/>
          <w:szCs w:val="28"/>
        </w:rPr>
        <w:t>2、评标标准</w:t>
      </w:r>
    </w:p>
    <w:p w14:paraId="6F181B80">
      <w:pPr>
        <w:spacing w:line="360" w:lineRule="auto"/>
        <w:ind w:left="554" w:hanging="554" w:hangingChars="231"/>
        <w:rPr>
          <w:rFonts w:hint="eastAsia" w:ascii="宋体" w:hAnsi="Times New Roman" w:eastAsia="宋体" w:cs="Times New Roman"/>
          <w:sz w:val="24"/>
        </w:rPr>
      </w:pPr>
      <w:r>
        <w:rPr>
          <w:rFonts w:ascii="宋体" w:hAnsi="宋体" w:eastAsia="宋体" w:cs="Times New Roman"/>
          <w:sz w:val="24"/>
        </w:rPr>
        <w:t>2.</w:t>
      </w:r>
      <w:r>
        <w:rPr>
          <w:rFonts w:hint="eastAsia" w:ascii="宋体" w:hAnsi="宋体" w:eastAsia="宋体" w:cs="Times New Roman"/>
          <w:sz w:val="24"/>
        </w:rPr>
        <w:t xml:space="preserve">1  </w:t>
      </w:r>
      <w:r>
        <w:rPr>
          <w:rFonts w:hint="eastAsia" w:ascii="Times New Roman" w:hAnsi="Times New Roman" w:eastAsia="宋体" w:cs="Times New Roman"/>
          <w:sz w:val="24"/>
        </w:rPr>
        <w:t>除招标文件中指定的附件和专用工具外，</w:t>
      </w:r>
      <w:r>
        <w:rPr>
          <w:rFonts w:hint="eastAsia" w:ascii="宋体" w:hAnsi="Times New Roman" w:eastAsia="宋体" w:cs="Times New Roman"/>
          <w:sz w:val="24"/>
        </w:rPr>
        <w:t>投标人应提供仪器设备的正常运行和常规保养所需的全套标准附件、专用工具</w:t>
      </w:r>
      <w:r>
        <w:rPr>
          <w:rFonts w:hint="eastAsia" w:ascii="Times New Roman" w:hAnsi="Times New Roman" w:eastAsia="宋体" w:cs="Times New Roman"/>
          <w:sz w:val="24"/>
        </w:rPr>
        <w:t>和消耗品</w:t>
      </w:r>
      <w:r>
        <w:rPr>
          <w:rFonts w:hint="eastAsia" w:ascii="宋体" w:hAnsi="Times New Roman" w:eastAsia="宋体" w:cs="Times New Roman"/>
          <w:sz w:val="24"/>
        </w:rPr>
        <w:t>。投标人在投标书中需列出这些附件和工具的数量和单价的清单，这些附件和工具的报价的总值需计入投标价中。</w:t>
      </w:r>
    </w:p>
    <w:p w14:paraId="3C760DB7">
      <w:pPr>
        <w:spacing w:line="360" w:lineRule="auto"/>
        <w:ind w:left="554" w:hanging="554" w:hangingChars="231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 xml:space="preserve">2.2  </w:t>
      </w:r>
      <w:r>
        <w:rPr>
          <w:rFonts w:hint="eastAsia" w:ascii="Times New Roman" w:hAnsi="Times New Roman" w:eastAsia="宋体" w:cs="Times New Roman"/>
          <w:sz w:val="24"/>
        </w:rPr>
        <w:t>对于标书</w:t>
      </w:r>
      <w:r>
        <w:rPr>
          <w:rFonts w:hint="eastAsia" w:ascii="宋体" w:hAnsi="Times New Roman" w:eastAsia="宋体" w:cs="Times New Roman"/>
          <w:sz w:val="24"/>
        </w:rPr>
        <w:t>技术规范中已列</w:t>
      </w:r>
      <w:r>
        <w:rPr>
          <w:rFonts w:hint="eastAsia" w:ascii="Times New Roman" w:hAnsi="Times New Roman" w:eastAsia="宋体" w:cs="Times New Roman"/>
          <w:sz w:val="24"/>
        </w:rPr>
        <w:t>出的作为查询选件的附件、零配件、专用工具和消耗品，投标书中</w:t>
      </w:r>
      <w:r>
        <w:rPr>
          <w:rFonts w:hint="eastAsia" w:ascii="宋体" w:hAnsi="Times New Roman" w:eastAsia="宋体" w:cs="Times New Roman"/>
          <w:sz w:val="24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7E4BC96E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2.3  为便于用户进行接收仪器的准备工作，卖方应在合同生效后</w:t>
      </w:r>
      <w:r>
        <w:rPr>
          <w:rFonts w:hint="eastAsia" w:ascii="宋体" w:hAnsi="宋体" w:eastAsia="宋体" w:cs="Times New Roman"/>
          <w:b/>
          <w:sz w:val="24"/>
        </w:rPr>
        <w:t>60</w:t>
      </w:r>
      <w:r>
        <w:rPr>
          <w:rFonts w:hint="eastAsia" w:ascii="宋体" w:hAnsi="宋体" w:eastAsia="宋体" w:cs="Times New Roman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6EEB6AC0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2</w:t>
      </w:r>
      <w:r>
        <w:rPr>
          <w:rFonts w:ascii="宋体" w:hAnsi="宋体" w:eastAsia="宋体" w:cs="Times New Roman"/>
          <w:sz w:val="24"/>
        </w:rPr>
        <w:t>.</w:t>
      </w:r>
      <w:r>
        <w:rPr>
          <w:rFonts w:hint="eastAsia" w:ascii="宋体" w:hAnsi="宋体" w:eastAsia="宋体" w:cs="Times New Roman"/>
          <w:sz w:val="24"/>
        </w:rPr>
        <w:t>4</w:t>
      </w:r>
      <w:r>
        <w:rPr>
          <w:rFonts w:ascii="宋体" w:hAnsi="宋体" w:eastAsia="宋体" w:cs="Times New Roman"/>
          <w:sz w:val="24"/>
        </w:rPr>
        <w:t xml:space="preserve"> </w:t>
      </w:r>
      <w:r>
        <w:rPr>
          <w:rFonts w:hint="eastAsia" w:ascii="宋体" w:hAnsi="宋体" w:eastAsia="宋体" w:cs="Times New Roman"/>
          <w:sz w:val="24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4DCB2350">
      <w:pPr>
        <w:spacing w:line="360" w:lineRule="auto"/>
        <w:ind w:left="554" w:hanging="554" w:hangingChars="231"/>
        <w:rPr>
          <w:rFonts w:ascii="宋体" w:hAnsi="宋体" w:eastAsia="宋体" w:cs="Times New Roman"/>
          <w:sz w:val="24"/>
        </w:rPr>
      </w:pPr>
      <w:r>
        <w:rPr>
          <w:rFonts w:ascii="宋体" w:hAnsi="宋体" w:eastAsia="宋体" w:cs="Times New Roman"/>
          <w:sz w:val="24"/>
        </w:rPr>
        <w:t>2.</w:t>
      </w:r>
      <w:r>
        <w:rPr>
          <w:rFonts w:hint="eastAsia" w:ascii="宋体" w:hAnsi="宋体" w:eastAsia="宋体" w:cs="Times New Roman"/>
          <w:sz w:val="24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3195D8CE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8"/>
          <w:szCs w:val="28"/>
        </w:rPr>
      </w:pPr>
      <w:r>
        <w:rPr>
          <w:rFonts w:hint="eastAsia" w:ascii="宋体" w:hAnsi="宋体" w:eastAsia="宋体" w:cs="Times New Roman"/>
          <w:b/>
          <w:sz w:val="28"/>
          <w:szCs w:val="28"/>
        </w:rPr>
        <w:t>3、工作条件</w:t>
      </w:r>
    </w:p>
    <w:p w14:paraId="3A79D6C0">
      <w:pPr>
        <w:spacing w:after="312" w:afterLines="100" w:line="360" w:lineRule="auto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除非在技术规格中另有说明，所有仪器、设备和系统都应符合下列要求：</w:t>
      </w:r>
      <w:r>
        <w:rPr>
          <w:rFonts w:ascii="宋体" w:hAnsi="宋体" w:eastAsia="宋体" w:cs="Times New Roman"/>
          <w:sz w:val="24"/>
        </w:rPr>
        <w:t xml:space="preserve"> </w:t>
      </w:r>
    </w:p>
    <w:p w14:paraId="27174ED2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3.1  适于在气温为摄氏</w:t>
      </w:r>
      <w:r>
        <w:rPr>
          <w:rFonts w:ascii="宋体" w:hAnsi="宋体" w:eastAsia="宋体" w:cs="Times New Roman"/>
          <w:b/>
          <w:sz w:val="24"/>
        </w:rPr>
        <w:t>-40</w:t>
      </w:r>
      <w:r>
        <w:rPr>
          <w:rFonts w:hint="eastAsia" w:ascii="宋体" w:hAnsi="宋体" w:eastAsia="宋体" w:cs="Times New Roman"/>
          <w:b/>
          <w:sz w:val="24"/>
        </w:rPr>
        <w:t>℃～＋</w:t>
      </w:r>
      <w:r>
        <w:rPr>
          <w:rFonts w:ascii="宋体" w:hAnsi="宋体" w:eastAsia="宋体" w:cs="Times New Roman"/>
          <w:b/>
          <w:sz w:val="24"/>
        </w:rPr>
        <w:t>50</w:t>
      </w:r>
      <w:r>
        <w:rPr>
          <w:rFonts w:hint="eastAsia" w:ascii="宋体" w:hAnsi="宋体" w:eastAsia="宋体" w:cs="Times New Roman"/>
          <w:b/>
          <w:sz w:val="24"/>
        </w:rPr>
        <w:t>℃</w:t>
      </w:r>
      <w:r>
        <w:rPr>
          <w:rFonts w:hint="eastAsia" w:ascii="宋体" w:hAnsi="宋体" w:eastAsia="宋体" w:cs="Times New Roman"/>
          <w:sz w:val="24"/>
        </w:rPr>
        <w:t>和相对湿度为</w:t>
      </w:r>
      <w:r>
        <w:rPr>
          <w:rFonts w:ascii="宋体" w:hAnsi="宋体" w:eastAsia="宋体" w:cs="Times New Roman"/>
          <w:b/>
          <w:sz w:val="24"/>
        </w:rPr>
        <w:t>90</w:t>
      </w:r>
      <w:r>
        <w:rPr>
          <w:rFonts w:hint="eastAsia" w:ascii="宋体" w:hAnsi="宋体" w:eastAsia="宋体" w:cs="Times New Roman"/>
          <w:b/>
          <w:sz w:val="24"/>
        </w:rPr>
        <w:t>％</w:t>
      </w:r>
      <w:r>
        <w:rPr>
          <w:rFonts w:hint="eastAsia" w:ascii="宋体" w:hAnsi="宋体" w:eastAsia="宋体" w:cs="Times New Roman"/>
          <w:sz w:val="24"/>
        </w:rPr>
        <w:t>的环境条件下运输和贮存。</w:t>
      </w:r>
    </w:p>
    <w:p w14:paraId="6DBAC565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3.2  适于在电源</w:t>
      </w:r>
      <w:r>
        <w:rPr>
          <w:rFonts w:ascii="宋体" w:hAnsi="宋体" w:eastAsia="宋体" w:cs="Times New Roman"/>
          <w:b/>
          <w:sz w:val="24"/>
        </w:rPr>
        <w:t>220V</w:t>
      </w:r>
      <w:r>
        <w:rPr>
          <w:rFonts w:hint="eastAsia" w:ascii="宋体" w:hAnsi="宋体" w:eastAsia="宋体" w:cs="Times New Roman"/>
          <w:b/>
          <w:sz w:val="24"/>
        </w:rPr>
        <w:t>（</w:t>
      </w:r>
      <w:r>
        <w:rPr>
          <w:rFonts w:ascii="宋体" w:hAnsi="宋体" w:eastAsia="宋体" w:cs="Times New Roman"/>
          <w:b/>
          <w:sz w:val="24"/>
        </w:rPr>
        <w:sym w:font="Symbol" w:char="F0B1"/>
      </w:r>
      <w:r>
        <w:rPr>
          <w:rFonts w:ascii="宋体" w:hAnsi="宋体" w:eastAsia="宋体" w:cs="Times New Roman"/>
          <w:b/>
          <w:sz w:val="24"/>
        </w:rPr>
        <w:t>10</w:t>
      </w:r>
      <w:r>
        <w:rPr>
          <w:rFonts w:hint="eastAsia" w:ascii="宋体" w:hAnsi="宋体" w:eastAsia="宋体" w:cs="Times New Roman"/>
          <w:b/>
          <w:sz w:val="24"/>
        </w:rPr>
        <w:t>％）</w:t>
      </w:r>
      <w:r>
        <w:rPr>
          <w:rFonts w:ascii="宋体" w:hAnsi="宋体" w:eastAsia="宋体" w:cs="Times New Roman"/>
          <w:b/>
          <w:sz w:val="24"/>
        </w:rPr>
        <w:t>/50Hz</w:t>
      </w:r>
      <w:r>
        <w:rPr>
          <w:rFonts w:hint="eastAsia" w:ascii="宋体" w:hAnsi="宋体" w:eastAsia="宋体" w:cs="Times New Roman"/>
          <w:sz w:val="24"/>
        </w:rPr>
        <w:t>、气温摄氏</w:t>
      </w:r>
      <w:r>
        <w:rPr>
          <w:rFonts w:hint="eastAsia" w:ascii="宋体" w:hAnsi="宋体" w:eastAsia="宋体" w:cs="Times New Roman"/>
          <w:b/>
          <w:sz w:val="24"/>
        </w:rPr>
        <w:t>+1</w:t>
      </w:r>
      <w:r>
        <w:rPr>
          <w:rFonts w:ascii="宋体" w:hAnsi="宋体" w:eastAsia="宋体" w:cs="Times New Roman"/>
          <w:b/>
          <w:sz w:val="24"/>
        </w:rPr>
        <w:t>5</w:t>
      </w:r>
      <w:r>
        <w:rPr>
          <w:rFonts w:hint="eastAsia" w:ascii="宋体" w:hAnsi="宋体" w:eastAsia="宋体" w:cs="Times New Roman"/>
          <w:b/>
          <w:sz w:val="24"/>
        </w:rPr>
        <w:t>℃～＋3</w:t>
      </w:r>
      <w:r>
        <w:rPr>
          <w:rFonts w:ascii="宋体" w:hAnsi="宋体" w:eastAsia="宋体" w:cs="Times New Roman"/>
          <w:b/>
          <w:sz w:val="24"/>
        </w:rPr>
        <w:t>0</w:t>
      </w:r>
      <w:r>
        <w:rPr>
          <w:rFonts w:hint="eastAsia" w:ascii="宋体" w:hAnsi="宋体" w:eastAsia="宋体" w:cs="Times New Roman"/>
          <w:b/>
          <w:sz w:val="24"/>
        </w:rPr>
        <w:t>℃</w:t>
      </w:r>
      <w:r>
        <w:rPr>
          <w:rFonts w:hint="eastAsia" w:ascii="宋体" w:hAnsi="宋体" w:eastAsia="宋体" w:cs="Times New Roman"/>
          <w:sz w:val="24"/>
        </w:rPr>
        <w:t>和相对湿度小于</w:t>
      </w:r>
      <w:r>
        <w:rPr>
          <w:rFonts w:ascii="宋体" w:hAnsi="宋体" w:eastAsia="宋体" w:cs="Times New Roman"/>
          <w:b/>
          <w:sz w:val="24"/>
        </w:rPr>
        <w:t>8</w:t>
      </w:r>
      <w:r>
        <w:rPr>
          <w:rFonts w:hint="eastAsia" w:ascii="宋体" w:hAnsi="宋体" w:eastAsia="宋体" w:cs="Times New Roman"/>
          <w:b/>
          <w:sz w:val="24"/>
        </w:rPr>
        <w:t>0％</w:t>
      </w:r>
      <w:r>
        <w:rPr>
          <w:rFonts w:hint="eastAsia" w:ascii="宋体" w:hAnsi="宋体" w:eastAsia="宋体" w:cs="Times New Roman"/>
          <w:sz w:val="24"/>
        </w:rPr>
        <w:t>的环境条件下运行。</w:t>
      </w:r>
      <w:r>
        <w:rPr>
          <w:rFonts w:hint="eastAsia" w:ascii="宋体" w:hAnsi="宋体" w:eastAsia="宋体" w:cs="Times New Roman"/>
          <w:b/>
          <w:sz w:val="24"/>
        </w:rPr>
        <w:t>能够连续正常工作。</w:t>
      </w:r>
    </w:p>
    <w:p w14:paraId="5477D0E3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3.3  配置符合中国有关标准要求的插头，如果没有这样的插头，则需</w:t>
      </w:r>
      <w:r>
        <w:rPr>
          <w:rFonts w:hint="eastAsia" w:ascii="宋体" w:hAnsi="Times New Roman" w:eastAsia="宋体" w:cs="Times New Roman"/>
          <w:sz w:val="24"/>
        </w:rPr>
        <w:t>提供适当的转</w:t>
      </w:r>
      <w:r>
        <w:rPr>
          <w:rFonts w:hint="eastAsia" w:ascii="宋体" w:hAnsi="宋体" w:eastAsia="宋体" w:cs="Times New Roman"/>
          <w:sz w:val="24"/>
        </w:rPr>
        <w:t>换插座。</w:t>
      </w:r>
    </w:p>
    <w:p w14:paraId="4E85AEAD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55E7C0A6">
      <w:pPr>
        <w:rPr>
          <w:rFonts w:hint="eastAsia" w:ascii="Times New Roman" w:hAnsi="Times New Roman" w:eastAsia="黑体" w:cs="Times New Roman"/>
          <w:b/>
          <w:bCs/>
          <w:kern w:val="44"/>
          <w:sz w:val="24"/>
        </w:rPr>
      </w:pPr>
    </w:p>
    <w:p w14:paraId="19506BEA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8"/>
          <w:szCs w:val="28"/>
        </w:rPr>
      </w:pPr>
      <w:r>
        <w:rPr>
          <w:rFonts w:hint="eastAsia" w:ascii="宋体" w:hAnsi="宋体" w:eastAsia="宋体" w:cs="Times New Roman"/>
          <w:b/>
          <w:sz w:val="28"/>
          <w:szCs w:val="28"/>
        </w:rPr>
        <w:t>4、验收标准</w:t>
      </w:r>
    </w:p>
    <w:p w14:paraId="32CB18A1">
      <w:pPr>
        <w:spacing w:after="312" w:afterLines="100" w:line="360" w:lineRule="auto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除非在技术规格中另有说明，所有仪器、设备和系统按下列要求进行验收：</w:t>
      </w:r>
      <w:r>
        <w:rPr>
          <w:rFonts w:ascii="宋体" w:hAnsi="宋体" w:eastAsia="宋体" w:cs="Times New Roman"/>
          <w:sz w:val="24"/>
        </w:rPr>
        <w:t xml:space="preserve"> </w:t>
      </w:r>
    </w:p>
    <w:p w14:paraId="059F4CEE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>4.1  仪器设备运抵安装现场后，买方将与卖方共同开箱验收</w:t>
      </w:r>
      <w:r>
        <w:rPr>
          <w:rFonts w:ascii="宋体" w:hAnsi="宋体" w:eastAsia="宋体" w:cs="Times New Roman"/>
          <w:sz w:val="24"/>
        </w:rPr>
        <w:t xml:space="preserve">, </w:t>
      </w:r>
      <w:r>
        <w:rPr>
          <w:rFonts w:hint="eastAsia" w:ascii="宋体" w:hAnsi="宋体" w:eastAsia="宋体" w:cs="Times New Roman"/>
          <w:sz w:val="24"/>
        </w:rPr>
        <w:t>如卖方届时不派人来</w:t>
      </w:r>
      <w:r>
        <w:rPr>
          <w:rFonts w:ascii="宋体" w:hAnsi="宋体" w:eastAsia="宋体" w:cs="Times New Roman"/>
          <w:sz w:val="24"/>
        </w:rPr>
        <w:t xml:space="preserve">, </w:t>
      </w:r>
      <w:r>
        <w:rPr>
          <w:rFonts w:hint="eastAsia" w:ascii="宋体" w:hAnsi="宋体" w:eastAsia="宋体" w:cs="Times New Roman"/>
          <w:sz w:val="24"/>
        </w:rPr>
        <w:t>则验收结果应以买方的验收报告为最终验收结果。验收时发现短缺、破损</w:t>
      </w:r>
      <w:r>
        <w:rPr>
          <w:rFonts w:ascii="宋体" w:hAnsi="宋体" w:eastAsia="宋体" w:cs="Times New Roman"/>
          <w:sz w:val="24"/>
        </w:rPr>
        <w:t xml:space="preserve">, </w:t>
      </w:r>
      <w:r>
        <w:rPr>
          <w:rFonts w:hint="eastAsia" w:ascii="宋体" w:hAnsi="宋体" w:eastAsia="宋体" w:cs="Times New Roman"/>
          <w:sz w:val="24"/>
        </w:rPr>
        <w:t>买方有权要求卖方负责更换。</w:t>
      </w:r>
    </w:p>
    <w:p w14:paraId="03D9C8EF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 xml:space="preserve">4.2  </w:t>
      </w:r>
      <w:r>
        <w:rPr>
          <w:rFonts w:hint="eastAsia" w:ascii="Times New Roman" w:hAnsi="Times New Roman" w:eastAsia="宋体" w:cs="Times New Roman"/>
          <w:sz w:val="24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0A3F9611">
      <w:pPr>
        <w:spacing w:line="360" w:lineRule="auto"/>
        <w:ind w:left="554" w:hanging="554" w:hangingChars="231"/>
        <w:rPr>
          <w:rFonts w:hint="eastAsia" w:ascii="宋体" w:hAnsi="宋体" w:eastAsia="宋体" w:cs="Times New Roman"/>
          <w:sz w:val="24"/>
        </w:rPr>
      </w:pPr>
      <w:r>
        <w:rPr>
          <w:rFonts w:hint="eastAsia" w:ascii="宋体" w:hAnsi="宋体" w:eastAsia="宋体" w:cs="Times New Roman"/>
          <w:sz w:val="24"/>
        </w:rPr>
        <w:t xml:space="preserve">4.3  </w:t>
      </w:r>
      <w:r>
        <w:rPr>
          <w:rFonts w:ascii="宋体" w:hAnsi="宋体" w:eastAsia="宋体" w:cs="Times New Roman"/>
          <w:sz w:val="24"/>
        </w:rPr>
        <w:t>验收由采购人、中标人及相关人员依国家有关标准、合同及有关附件要求进行，验收完毕由采购人及中标人在验收报告上签名。</w:t>
      </w:r>
    </w:p>
    <w:p w14:paraId="710D306E">
      <w:pPr>
        <w:pStyle w:val="2"/>
        <w:spacing w:line="360" w:lineRule="auto"/>
        <w:ind w:left="410" w:hanging="410" w:hangingChars="170"/>
        <w:rPr>
          <w:rFonts w:hint="eastAsia" w:hAnsi="宋体" w:eastAsia="宋体" w:cs="Times New Roman"/>
          <w:b/>
          <w:sz w:val="24"/>
          <w:szCs w:val="24"/>
        </w:rPr>
      </w:pPr>
    </w:p>
    <w:p w14:paraId="055F9543">
      <w:pPr>
        <w:adjustRightInd w:val="0"/>
        <w:snapToGrid w:val="0"/>
        <w:spacing w:line="360" w:lineRule="auto"/>
        <w:rPr>
          <w:rFonts w:hint="eastAsia" w:ascii="Times New Roman" w:hAnsi="宋体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b/>
          <w:bCs/>
          <w:sz w:val="24"/>
        </w:rPr>
        <w:t>5、本采购需求书中标注“★”号技术条款的为实质性要求，不满足其投标将视为无效投标被拒绝。</w:t>
      </w:r>
    </w:p>
    <w:p w14:paraId="5EDD7035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4"/>
        </w:rPr>
      </w:pPr>
    </w:p>
    <w:p w14:paraId="696998CB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4"/>
        </w:rPr>
      </w:pPr>
      <w:r>
        <w:rPr>
          <w:rFonts w:hint="eastAsia" w:ascii="宋体" w:hAnsi="宋体" w:eastAsia="宋体" w:cs="Times New Roman"/>
          <w:b/>
          <w:sz w:val="24"/>
        </w:rPr>
        <w:t>6、如在具体技术规格中有本总则不一致之处，以具体技术规格中的要求为准。</w:t>
      </w:r>
    </w:p>
    <w:p w14:paraId="5D813153">
      <w:pPr>
        <w:adjustRightInd w:val="0"/>
        <w:snapToGrid w:val="0"/>
        <w:spacing w:line="360" w:lineRule="auto"/>
        <w:rPr>
          <w:rFonts w:ascii="宋体" w:hAnsi="宋体" w:eastAsia="宋体" w:cs="Times New Roman"/>
          <w:b/>
          <w:sz w:val="28"/>
          <w:szCs w:val="28"/>
        </w:rPr>
      </w:pPr>
      <w:r>
        <w:rPr>
          <w:rFonts w:ascii="宋体" w:hAnsi="宋体" w:eastAsia="宋体" w:cs="Times New Roman"/>
          <w:b/>
          <w:sz w:val="28"/>
        </w:rPr>
        <w:br w:type="page"/>
      </w:r>
      <w:r>
        <w:rPr>
          <w:rFonts w:hint="eastAsia" w:ascii="宋体" w:hAnsi="宋体" w:eastAsia="宋体" w:cs="Times New Roman"/>
          <w:b/>
          <w:sz w:val="28"/>
          <w:szCs w:val="28"/>
        </w:rPr>
        <w:t>二、具体技术规格</w:t>
      </w:r>
    </w:p>
    <w:tbl>
      <w:tblPr>
        <w:tblStyle w:val="3"/>
        <w:tblW w:w="10193" w:type="dxa"/>
        <w:tblInd w:w="11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4"/>
        <w:gridCol w:w="2263"/>
        <w:gridCol w:w="1418"/>
        <w:gridCol w:w="4108"/>
      </w:tblGrid>
      <w:tr w14:paraId="030FF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404" w:type="dxa"/>
            <w:tcBorders>
              <w:top w:val="single" w:color="auto" w:sz="4" w:space="0"/>
            </w:tcBorders>
            <w:noWrap w:val="0"/>
            <w:vAlign w:val="center"/>
          </w:tcPr>
          <w:p w14:paraId="110931C5">
            <w:pPr>
              <w:widowControl/>
              <w:jc w:val="center"/>
              <w:rPr>
                <w:rFonts w:hint="eastAsia" w:ascii="宋体" w:hAnsi="宋体" w:eastAsia="宋体" w:cs="仿宋"/>
                <w:kern w:val="0"/>
                <w:sz w:val="24"/>
              </w:rPr>
            </w:pPr>
            <w:r>
              <w:rPr>
                <w:rFonts w:hint="eastAsia" w:ascii="宋体" w:hAnsi="宋体" w:eastAsia="宋体" w:cs="仿宋"/>
                <w:kern w:val="0"/>
                <w:sz w:val="24"/>
              </w:rPr>
              <w:t>项目名称</w:t>
            </w:r>
          </w:p>
        </w:tc>
        <w:tc>
          <w:tcPr>
            <w:tcW w:w="7789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 w14:paraId="0BA59912">
            <w:pPr>
              <w:jc w:val="center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环境扫描电镜（ESEM）</w:t>
            </w:r>
          </w:p>
        </w:tc>
      </w:tr>
      <w:tr w14:paraId="4299E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4" w:hRule="atLeast"/>
        </w:trPr>
        <w:tc>
          <w:tcPr>
            <w:tcW w:w="2404" w:type="dxa"/>
            <w:tcBorders>
              <w:top w:val="single" w:color="auto" w:sz="4" w:space="0"/>
            </w:tcBorders>
            <w:noWrap w:val="0"/>
            <w:vAlign w:val="center"/>
          </w:tcPr>
          <w:p w14:paraId="3CF8FCF6">
            <w:pPr>
              <w:jc w:val="center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项目需求与用途</w:t>
            </w:r>
          </w:p>
        </w:tc>
        <w:tc>
          <w:tcPr>
            <w:tcW w:w="7789" w:type="dxa"/>
            <w:gridSpan w:val="3"/>
            <w:tcBorders>
              <w:top w:val="single" w:color="auto" w:sz="4" w:space="0"/>
            </w:tcBorders>
            <w:noWrap w:val="0"/>
            <w:vAlign w:val="top"/>
          </w:tcPr>
          <w:p w14:paraId="749F2347">
            <w:pPr>
              <w:spacing w:before="156" w:beforeLines="50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ascii="宋体" w:hAnsi="宋体" w:eastAsia="宋体" w:cs="仿宋"/>
                <w:sz w:val="24"/>
              </w:rPr>
              <w:t>干旱区生态系统的脆弱性和异质性要求从微观尺度揭示土壤-植物-微生物的相互作用机制，而传统扫描电镜因需真空干燥样品，无法保持自然状态观测，严重限制了对含水、多孔或动态过程（如盐碱结晶、水分迁移）的研究。ESEM凭借其低真空/可变压力模式、动态环境模拟（温湿度、气体调控）及多模态联用分析（EDS、EBSD），可原位表征土壤修复材料的孔隙结构、耐旱植物气孔动态、微生物定殖过程等关键问题，直接支撑生物炭优化、固沙技术研发等国家重大课题。此次采购将补齐实验室“原位动态表征”技术短板，并通过共享机制服务全国干旱区研究网络，对突破生态修复的微观机制瓶颈具有不可替代的意义。</w:t>
            </w:r>
          </w:p>
          <w:p w14:paraId="5C864460">
            <w:pPr>
              <w:rPr>
                <w:rFonts w:hint="eastAsia" w:ascii="宋体" w:hAnsi="宋体" w:eastAsia="宋体" w:cs="仿宋"/>
                <w:sz w:val="24"/>
              </w:rPr>
            </w:pPr>
          </w:p>
        </w:tc>
      </w:tr>
      <w:tr w14:paraId="5DDF6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404" w:type="dxa"/>
            <w:noWrap w:val="0"/>
            <w:vAlign w:val="center"/>
          </w:tcPr>
          <w:p w14:paraId="333E1D97">
            <w:pPr>
              <w:jc w:val="center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预算金额（万元）</w:t>
            </w:r>
          </w:p>
        </w:tc>
        <w:tc>
          <w:tcPr>
            <w:tcW w:w="7789" w:type="dxa"/>
            <w:gridSpan w:val="3"/>
            <w:noWrap w:val="0"/>
            <w:vAlign w:val="center"/>
          </w:tcPr>
          <w:p w14:paraId="53A5DBA2">
            <w:pPr>
              <w:jc w:val="center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ascii="宋体" w:hAnsi="宋体" w:eastAsia="宋体" w:cs="Calibri"/>
                <w:sz w:val="24"/>
              </w:rPr>
              <w:t>¥</w:t>
            </w:r>
            <w:r>
              <w:rPr>
                <w:rFonts w:hint="eastAsia" w:ascii="宋体" w:hAnsi="宋体" w:eastAsia="宋体" w:cs="仿宋"/>
                <w:sz w:val="24"/>
                <w:u w:val="single"/>
              </w:rPr>
              <w:t xml:space="preserve"> 118.55 </w:t>
            </w:r>
            <w:r>
              <w:rPr>
                <w:rFonts w:hint="eastAsia" w:ascii="宋体" w:hAnsi="宋体" w:eastAsia="宋体" w:cs="仿宋"/>
                <w:sz w:val="24"/>
              </w:rPr>
              <w:t>万元</w:t>
            </w:r>
          </w:p>
        </w:tc>
      </w:tr>
      <w:tr w14:paraId="04974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404" w:type="dxa"/>
            <w:noWrap w:val="0"/>
            <w:vAlign w:val="center"/>
          </w:tcPr>
          <w:p w14:paraId="4AABFFBD">
            <w:pPr>
              <w:jc w:val="center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采购数量</w:t>
            </w:r>
          </w:p>
        </w:tc>
        <w:tc>
          <w:tcPr>
            <w:tcW w:w="2263" w:type="dxa"/>
            <w:noWrap w:val="0"/>
            <w:vAlign w:val="center"/>
          </w:tcPr>
          <w:p w14:paraId="24B9747D">
            <w:pPr>
              <w:jc w:val="center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1套</w:t>
            </w:r>
          </w:p>
        </w:tc>
        <w:tc>
          <w:tcPr>
            <w:tcW w:w="1418" w:type="dxa"/>
            <w:noWrap w:val="0"/>
            <w:vAlign w:val="center"/>
          </w:tcPr>
          <w:p w14:paraId="04A78E0A">
            <w:pPr>
              <w:jc w:val="center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交货期</w:t>
            </w:r>
          </w:p>
        </w:tc>
        <w:tc>
          <w:tcPr>
            <w:tcW w:w="4108" w:type="dxa"/>
            <w:noWrap w:val="0"/>
            <w:vAlign w:val="center"/>
          </w:tcPr>
          <w:p w14:paraId="325E3AD4">
            <w:pPr>
              <w:jc w:val="center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招标完成，合同签订后</w:t>
            </w:r>
            <w:r>
              <w:rPr>
                <w:rFonts w:hint="eastAsia" w:ascii="宋体" w:hAnsi="宋体" w:eastAsia="宋体" w:cs="仿宋"/>
                <w:sz w:val="24"/>
                <w:u w:val="single"/>
              </w:rPr>
              <w:t xml:space="preserve"> 1 </w:t>
            </w:r>
            <w:r>
              <w:rPr>
                <w:rFonts w:hint="eastAsia" w:ascii="宋体" w:hAnsi="宋体" w:eastAsia="宋体" w:cs="仿宋"/>
                <w:sz w:val="24"/>
              </w:rPr>
              <w:t>个月</w:t>
            </w:r>
          </w:p>
        </w:tc>
      </w:tr>
      <w:tr w14:paraId="0E5B77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exact"/>
        </w:trPr>
        <w:tc>
          <w:tcPr>
            <w:tcW w:w="2404" w:type="dxa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 w14:paraId="496DF81E">
            <w:pPr>
              <w:jc w:val="center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拟采购项目的</w:t>
            </w:r>
          </w:p>
          <w:p w14:paraId="0C5753D2">
            <w:pPr>
              <w:jc w:val="center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配置要求</w:t>
            </w:r>
          </w:p>
        </w:tc>
        <w:tc>
          <w:tcPr>
            <w:tcW w:w="7789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top"/>
          </w:tcPr>
          <w:p w14:paraId="5A8C7458">
            <w:pPr>
              <w:widowControl/>
              <w:rPr>
                <w:rFonts w:hint="eastAsia" w:ascii="宋体" w:hAnsi="宋体" w:eastAsia="宋体" w:cs="仿宋"/>
                <w:kern w:val="0"/>
                <w:sz w:val="24"/>
              </w:rPr>
            </w:pPr>
          </w:p>
        </w:tc>
      </w:tr>
      <w:tr w14:paraId="6FC55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atLeast"/>
        </w:trPr>
        <w:tc>
          <w:tcPr>
            <w:tcW w:w="2404" w:type="dxa"/>
            <w:vMerge w:val="continue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3E644E">
            <w:pPr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7789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3CFF65">
            <w:pPr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钨灯丝扫描电镜、电动插入式背散射电子探测器、低真空二次电子探测器（配套大图拼接软件）、低温冷台、磁控溅射仪、临界点干燥仪、UPS</w:t>
            </w:r>
          </w:p>
        </w:tc>
      </w:tr>
      <w:tr w14:paraId="4F71E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exact"/>
        </w:trPr>
        <w:tc>
          <w:tcPr>
            <w:tcW w:w="240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927B89">
            <w:pPr>
              <w:jc w:val="center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拟采购项目的</w:t>
            </w:r>
          </w:p>
          <w:p w14:paraId="206DA338">
            <w:pPr>
              <w:jc w:val="center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技术指标</w:t>
            </w:r>
          </w:p>
        </w:tc>
        <w:tc>
          <w:tcPr>
            <w:tcW w:w="7789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top"/>
          </w:tcPr>
          <w:p w14:paraId="21B94501">
            <w:pPr>
              <w:widowControl/>
              <w:rPr>
                <w:rFonts w:hint="eastAsia" w:ascii="宋体" w:hAnsi="宋体" w:eastAsia="宋体" w:cs="仿宋"/>
                <w:kern w:val="0"/>
                <w:sz w:val="24"/>
              </w:rPr>
            </w:pPr>
          </w:p>
          <w:p w14:paraId="4B06D4BB">
            <w:pPr>
              <w:widowControl/>
              <w:rPr>
                <w:rFonts w:hint="eastAsia" w:ascii="宋体" w:hAnsi="宋体" w:eastAsia="宋体" w:cs="仿宋"/>
                <w:kern w:val="0"/>
                <w:sz w:val="24"/>
              </w:rPr>
            </w:pPr>
          </w:p>
          <w:p w14:paraId="7290D32F">
            <w:pPr>
              <w:widowControl/>
              <w:rPr>
                <w:rFonts w:hint="eastAsia" w:ascii="宋体" w:hAnsi="宋体" w:eastAsia="宋体" w:cs="仿宋"/>
                <w:kern w:val="0"/>
                <w:sz w:val="24"/>
              </w:rPr>
            </w:pPr>
          </w:p>
          <w:p w14:paraId="15E95BA1">
            <w:pPr>
              <w:widowControl/>
              <w:rPr>
                <w:rFonts w:hint="eastAsia" w:ascii="宋体" w:hAnsi="宋体" w:eastAsia="宋体" w:cs="仿宋"/>
                <w:kern w:val="0"/>
                <w:sz w:val="24"/>
              </w:rPr>
            </w:pPr>
          </w:p>
          <w:p w14:paraId="601807DC">
            <w:pPr>
              <w:widowControl/>
              <w:rPr>
                <w:rFonts w:hint="eastAsia" w:ascii="宋体" w:hAnsi="宋体" w:eastAsia="宋体" w:cs="仿宋"/>
                <w:kern w:val="0"/>
                <w:sz w:val="24"/>
              </w:rPr>
            </w:pPr>
          </w:p>
          <w:p w14:paraId="38EF633F">
            <w:pPr>
              <w:widowControl/>
              <w:rPr>
                <w:rFonts w:hint="eastAsia" w:ascii="宋体" w:hAnsi="宋体" w:eastAsia="宋体" w:cs="仿宋"/>
                <w:kern w:val="0"/>
                <w:sz w:val="24"/>
              </w:rPr>
            </w:pPr>
          </w:p>
          <w:p w14:paraId="3BD2DDEB">
            <w:pPr>
              <w:widowControl/>
              <w:rPr>
                <w:rFonts w:hint="eastAsia" w:ascii="宋体" w:hAnsi="宋体" w:eastAsia="宋体" w:cs="仿宋"/>
                <w:kern w:val="0"/>
                <w:sz w:val="24"/>
              </w:rPr>
            </w:pPr>
          </w:p>
          <w:p w14:paraId="03A7044D">
            <w:pPr>
              <w:widowControl/>
              <w:rPr>
                <w:rFonts w:hint="eastAsia" w:ascii="宋体" w:hAnsi="宋体" w:eastAsia="宋体" w:cs="仿宋"/>
                <w:kern w:val="0"/>
                <w:sz w:val="24"/>
              </w:rPr>
            </w:pPr>
          </w:p>
          <w:p w14:paraId="0DCBED84">
            <w:pPr>
              <w:widowControl/>
              <w:rPr>
                <w:rFonts w:hint="eastAsia" w:ascii="宋体" w:hAnsi="宋体" w:eastAsia="宋体" w:cs="仿宋"/>
                <w:kern w:val="0"/>
                <w:sz w:val="24"/>
              </w:rPr>
            </w:pPr>
          </w:p>
          <w:p w14:paraId="653F29F8">
            <w:pPr>
              <w:widowControl/>
              <w:rPr>
                <w:rFonts w:hint="eastAsia" w:ascii="宋体" w:hAnsi="宋体" w:eastAsia="宋体" w:cs="仿宋"/>
                <w:kern w:val="0"/>
                <w:sz w:val="24"/>
              </w:rPr>
            </w:pPr>
          </w:p>
          <w:p w14:paraId="4A344D7C">
            <w:pPr>
              <w:widowControl/>
              <w:rPr>
                <w:rFonts w:hint="eastAsia" w:ascii="宋体" w:hAnsi="宋体" w:eastAsia="宋体" w:cs="仿宋"/>
                <w:kern w:val="0"/>
                <w:sz w:val="24"/>
              </w:rPr>
            </w:pPr>
          </w:p>
        </w:tc>
      </w:tr>
      <w:tr w14:paraId="3DC12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5" w:hRule="atLeast"/>
        </w:trPr>
        <w:tc>
          <w:tcPr>
            <w:tcW w:w="24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1877F5">
            <w:pPr>
              <w:widowControl/>
              <w:rPr>
                <w:rFonts w:ascii="宋体" w:hAnsi="宋体" w:eastAsia="宋体" w:cs="Times New Roman"/>
                <w:kern w:val="0"/>
                <w:sz w:val="24"/>
              </w:rPr>
            </w:pPr>
          </w:p>
        </w:tc>
        <w:tc>
          <w:tcPr>
            <w:tcW w:w="7789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12D75">
            <w:pPr>
              <w:keepNext/>
              <w:keepLines/>
              <w:numPr>
                <w:ilvl w:val="1"/>
                <w:numId w:val="1"/>
              </w:numPr>
              <w:spacing w:before="100" w:after="100"/>
              <w:ind w:left="567" w:hanging="567"/>
              <w:outlineLvl w:val="1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电子光学系统</w:t>
            </w:r>
          </w:p>
          <w:p w14:paraId="5132100A">
            <w:pPr>
              <w:numPr>
                <w:ilvl w:val="0"/>
                <w:numId w:val="2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Times New Roman" w:hAnsi="Times New Roman" w:eastAsia="宋体" w:cs="Times New Roman"/>
              </w:rPr>
              <w:t>#</w:t>
            </w:r>
            <w:r>
              <w:rPr>
                <w:rFonts w:hint="eastAsia" w:ascii="宋体" w:hAnsi="宋体" w:eastAsia="宋体" w:cs="仿宋"/>
                <w:sz w:val="24"/>
              </w:rPr>
              <w:t>电子枪：预对中型发叉式钨灯丝电子枪（一体化灯丝）；</w:t>
            </w:r>
          </w:p>
          <w:p w14:paraId="315B1820">
            <w:pPr>
              <w:numPr>
                <w:ilvl w:val="0"/>
                <w:numId w:val="2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Times New Roman" w:hAnsi="Times New Roman" w:eastAsia="宋体" w:cs="Times New Roman"/>
              </w:rPr>
              <w:t>#</w:t>
            </w:r>
            <w:r>
              <w:rPr>
                <w:rFonts w:hint="eastAsia" w:ascii="宋体" w:hAnsi="宋体" w:eastAsia="宋体" w:cs="仿宋"/>
                <w:sz w:val="24"/>
              </w:rPr>
              <w:t>高真空分辨率： ≥3 nm @ 30 kV，SE； ≥5 nm @ 10kV，SE； ≥7 nm @ 3 kV，SE； ≥4 nm @ 30 kV，BSE；</w:t>
            </w:r>
          </w:p>
          <w:p w14:paraId="4F508ECF">
            <w:pPr>
              <w:numPr>
                <w:ilvl w:val="0"/>
                <w:numId w:val="2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Times New Roman" w:hAnsi="Times New Roman" w:eastAsia="宋体" w:cs="Times New Roman"/>
              </w:rPr>
              <w:t>#</w:t>
            </w:r>
            <w:r>
              <w:rPr>
                <w:rFonts w:hint="eastAsia" w:ascii="宋体" w:hAnsi="宋体" w:eastAsia="宋体" w:cs="仿宋"/>
                <w:sz w:val="24"/>
              </w:rPr>
              <w:t>低真空分辨率：≥3 nm @ 30 kV，SE； ≥4 nm @ 30 kV，BSE；</w:t>
            </w:r>
          </w:p>
          <w:p w14:paraId="5AEC85A9">
            <w:pPr>
              <w:numPr>
                <w:ilvl w:val="0"/>
                <w:numId w:val="2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加速电压范围：0.2 kV～30 kV ；</w:t>
            </w:r>
          </w:p>
          <w:p w14:paraId="014A8FEE">
            <w:pPr>
              <w:numPr>
                <w:ilvl w:val="0"/>
                <w:numId w:val="2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放大倍数范围：1 x～300000 x（底片放大倍数，1～16x光学放大）；</w:t>
            </w:r>
          </w:p>
          <w:p w14:paraId="1EF4CFD5">
            <w:pPr>
              <w:numPr>
                <w:ilvl w:val="0"/>
                <w:numId w:val="2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电子束束流：0.5 pA～3uA；</w:t>
            </w:r>
          </w:p>
          <w:p w14:paraId="6C4DDD6D">
            <w:pPr>
              <w:numPr>
                <w:ilvl w:val="0"/>
                <w:numId w:val="2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Times New Roman" w:hAnsi="Times New Roman" w:eastAsia="宋体" w:cs="Times New Roman"/>
              </w:rPr>
              <w:t>#</w:t>
            </w:r>
            <w:r>
              <w:rPr>
                <w:rFonts w:hint="eastAsia" w:ascii="宋体" w:hAnsi="宋体" w:eastAsia="宋体" w:cs="仿宋"/>
                <w:sz w:val="24"/>
              </w:rPr>
              <w:t>中间阳极，采用双阳极结构，提升了低电压下的分辨率和成像质量；</w:t>
            </w:r>
          </w:p>
          <w:p w14:paraId="5E6461EF">
            <w:pPr>
              <w:keepNext/>
              <w:keepLines/>
              <w:numPr>
                <w:ilvl w:val="1"/>
                <w:numId w:val="1"/>
              </w:numPr>
              <w:spacing w:before="100" w:after="100"/>
              <w:ind w:left="567" w:hanging="567"/>
              <w:outlineLvl w:val="1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真空系统</w:t>
            </w:r>
          </w:p>
          <w:p w14:paraId="18CDC46B">
            <w:pPr>
              <w:numPr>
                <w:ilvl w:val="0"/>
                <w:numId w:val="3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涡轮分子泵1台；</w:t>
            </w:r>
          </w:p>
          <w:p w14:paraId="6A3506AD">
            <w:pPr>
              <w:numPr>
                <w:ilvl w:val="0"/>
                <w:numId w:val="3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机械泵1台；</w:t>
            </w:r>
          </w:p>
          <w:p w14:paraId="160CEB21">
            <w:pPr>
              <w:numPr>
                <w:ilvl w:val="0"/>
                <w:numId w:val="3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Times New Roman" w:hAnsi="Times New Roman" w:eastAsia="宋体" w:cs="Times New Roman"/>
              </w:rPr>
              <w:t>#</w:t>
            </w:r>
            <w:r>
              <w:rPr>
                <w:rFonts w:hint="eastAsia" w:ascii="宋体" w:hAnsi="宋体" w:eastAsia="宋体" w:cs="仿宋"/>
                <w:sz w:val="24"/>
              </w:rPr>
              <w:t>真空控制：全自动，具有真空互锁功能，有效避免误操作；舱内安装的真空电机，定位精度高、气密性好，后期维护少；</w:t>
            </w:r>
          </w:p>
          <w:p w14:paraId="5D782ED9">
            <w:pPr>
              <w:numPr>
                <w:ilvl w:val="0"/>
                <w:numId w:val="3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样品仓真空度：≤5×10-4 Pa；</w:t>
            </w:r>
          </w:p>
          <w:p w14:paraId="3FC56F03">
            <w:pPr>
              <w:numPr>
                <w:ilvl w:val="0"/>
                <w:numId w:val="3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低真空范围：5 Pa~1000 Pa;</w:t>
            </w:r>
          </w:p>
          <w:p w14:paraId="165573D3">
            <w:pPr>
              <w:keepNext/>
              <w:keepLines/>
              <w:numPr>
                <w:ilvl w:val="1"/>
                <w:numId w:val="1"/>
              </w:numPr>
              <w:spacing w:before="100" w:after="100"/>
              <w:ind w:left="567" w:hanging="567"/>
              <w:outlineLvl w:val="1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样品仓及样品台</w:t>
            </w:r>
          </w:p>
          <w:p w14:paraId="37C74909">
            <w:pPr>
              <w:numPr>
                <w:ilvl w:val="0"/>
                <w:numId w:val="4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样品台：5轴全自动样品台，全真空电机驱动；</w:t>
            </w:r>
          </w:p>
          <w:p w14:paraId="426267A1">
            <w:pPr>
              <w:numPr>
                <w:ilvl w:val="0"/>
                <w:numId w:val="4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Times New Roman" w:hAnsi="Times New Roman" w:eastAsia="宋体" w:cs="Times New Roman"/>
              </w:rPr>
              <w:t>#</w:t>
            </w:r>
            <w:r>
              <w:rPr>
                <w:rFonts w:hint="eastAsia" w:ascii="宋体" w:hAnsi="宋体" w:eastAsia="宋体" w:cs="仿宋"/>
                <w:sz w:val="24"/>
              </w:rPr>
              <w:t>样品台行程：X≥125 mm，Y≥125 mm，Z≥50 mm，T：-10°~ +90°，R：360°连续可调；</w:t>
            </w:r>
          </w:p>
          <w:p w14:paraId="56E0E935">
            <w:pPr>
              <w:numPr>
                <w:ilvl w:val="0"/>
                <w:numId w:val="4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Times New Roman" w:hAnsi="Times New Roman" w:eastAsia="宋体" w:cs="Times New Roman"/>
              </w:rPr>
              <w:t>#</w:t>
            </w:r>
            <w:r>
              <w:rPr>
                <w:rFonts w:hint="eastAsia" w:ascii="宋体" w:hAnsi="宋体" w:eastAsia="宋体" w:cs="仿宋"/>
                <w:sz w:val="24"/>
              </w:rPr>
              <w:t>样品仓容积：宽≥340 mm，高≥274 mm，深≥295 mm;</w:t>
            </w:r>
          </w:p>
          <w:p w14:paraId="15351DDF">
            <w:pPr>
              <w:numPr>
                <w:ilvl w:val="0"/>
                <w:numId w:val="4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Times New Roman" w:hAnsi="Times New Roman" w:eastAsia="宋体" w:cs="Times New Roman"/>
              </w:rPr>
              <w:t>#</w:t>
            </w:r>
            <w:r>
              <w:rPr>
                <w:rFonts w:hint="eastAsia" w:ascii="宋体" w:hAnsi="宋体" w:eastAsia="宋体" w:cs="仿宋"/>
                <w:sz w:val="24"/>
              </w:rPr>
              <w:t>最大样品尺寸：直径≥270 mm，高≥145mm；</w:t>
            </w:r>
          </w:p>
          <w:p w14:paraId="6DE657AD">
            <w:pPr>
              <w:numPr>
                <w:ilvl w:val="0"/>
                <w:numId w:val="4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样品台承重：≥3kg；</w:t>
            </w:r>
          </w:p>
          <w:p w14:paraId="4A5A942B">
            <w:pPr>
              <w:keepNext/>
              <w:keepLines/>
              <w:numPr>
                <w:ilvl w:val="1"/>
                <w:numId w:val="1"/>
              </w:numPr>
              <w:spacing w:before="100" w:after="100"/>
              <w:ind w:left="567" w:hanging="567"/>
              <w:outlineLvl w:val="1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附件</w:t>
            </w:r>
          </w:p>
          <w:p w14:paraId="44350C59">
            <w:pPr>
              <w:numPr>
                <w:ilvl w:val="0"/>
                <w:numId w:val="5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旁侧二次电子探测器一套；</w:t>
            </w:r>
          </w:p>
          <w:p w14:paraId="30B067CC">
            <w:pPr>
              <w:numPr>
                <w:ilvl w:val="0"/>
                <w:numId w:val="5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电动插入式背散射电子探测器一套；</w:t>
            </w:r>
          </w:p>
          <w:p w14:paraId="61C350A9">
            <w:pPr>
              <w:numPr>
                <w:ilvl w:val="0"/>
                <w:numId w:val="5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旋钮控制板一套；</w:t>
            </w:r>
          </w:p>
          <w:p w14:paraId="5AC9FC83">
            <w:pPr>
              <w:numPr>
                <w:ilvl w:val="0"/>
                <w:numId w:val="5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样品仓监控CCD一套；</w:t>
            </w:r>
          </w:p>
          <w:p w14:paraId="35BD15A8">
            <w:pPr>
              <w:numPr>
                <w:ilvl w:val="0"/>
                <w:numId w:val="5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导航相机一套；</w:t>
            </w:r>
          </w:p>
          <w:p w14:paraId="48A3866F">
            <w:pPr>
              <w:widowControl/>
              <w:numPr>
                <w:ilvl w:val="0"/>
                <w:numId w:val="6"/>
              </w:numPr>
              <w:adjustRightInd w:val="0"/>
              <w:snapToGrid w:val="0"/>
              <w:jc w:val="left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低真空模块一套；</w:t>
            </w:r>
          </w:p>
          <w:p w14:paraId="2921911F">
            <w:pPr>
              <w:widowControl/>
              <w:numPr>
                <w:ilvl w:val="0"/>
                <w:numId w:val="6"/>
              </w:numPr>
              <w:adjustRightInd w:val="0"/>
              <w:snapToGrid w:val="0"/>
              <w:jc w:val="left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Times New Roman" w:hAnsi="Times New Roman" w:eastAsia="宋体" w:cs="Times New Roman"/>
              </w:rPr>
              <w:t>#</w:t>
            </w:r>
            <w:r>
              <w:rPr>
                <w:rFonts w:hint="eastAsia" w:ascii="宋体" w:hAnsi="宋体" w:eastAsia="宋体" w:cs="仿宋"/>
                <w:sz w:val="24"/>
              </w:rPr>
              <w:t>低真空二次电子探测器LVD一套；</w:t>
            </w:r>
          </w:p>
          <w:p w14:paraId="1D659022">
            <w:pPr>
              <w:widowControl/>
              <w:numPr>
                <w:ilvl w:val="0"/>
                <w:numId w:val="6"/>
              </w:numPr>
              <w:adjustRightInd w:val="0"/>
              <w:snapToGrid w:val="0"/>
              <w:jc w:val="left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低温冷台一套；温度稳定性±1℃，温度范围-50℃到室温。</w:t>
            </w:r>
          </w:p>
          <w:p w14:paraId="5C324832">
            <w:pPr>
              <w:widowControl/>
              <w:numPr>
                <w:ilvl w:val="0"/>
                <w:numId w:val="6"/>
              </w:numPr>
              <w:adjustRightInd w:val="0"/>
              <w:snapToGrid w:val="0"/>
              <w:jc w:val="left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磁控溅射仪一台；</w:t>
            </w:r>
          </w:p>
          <w:p w14:paraId="72966973">
            <w:pPr>
              <w:widowControl/>
              <w:numPr>
                <w:ilvl w:val="0"/>
                <w:numId w:val="6"/>
              </w:numPr>
              <w:adjustRightInd w:val="0"/>
              <w:snapToGrid w:val="0"/>
              <w:jc w:val="left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临界点干燥仪一台；</w:t>
            </w:r>
          </w:p>
          <w:p w14:paraId="38755739">
            <w:pPr>
              <w:widowControl/>
              <w:numPr>
                <w:ilvl w:val="0"/>
                <w:numId w:val="6"/>
              </w:numPr>
              <w:adjustRightInd w:val="0"/>
              <w:snapToGrid w:val="0"/>
              <w:jc w:val="left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UPS（续航2小时）一台；</w:t>
            </w:r>
          </w:p>
          <w:p w14:paraId="0FE11C69">
            <w:pPr>
              <w:widowControl/>
              <w:numPr>
                <w:ilvl w:val="0"/>
                <w:numId w:val="6"/>
              </w:numPr>
              <w:adjustRightInd w:val="0"/>
              <w:snapToGrid w:val="0"/>
              <w:jc w:val="left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空调一台；</w:t>
            </w:r>
          </w:p>
          <w:p w14:paraId="460C6660">
            <w:pPr>
              <w:keepNext/>
              <w:keepLines/>
              <w:numPr>
                <w:ilvl w:val="1"/>
                <w:numId w:val="1"/>
              </w:numPr>
              <w:spacing w:before="100" w:after="100"/>
              <w:ind w:left="567" w:hanging="567"/>
              <w:outlineLvl w:val="1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软件和图像显示</w:t>
            </w:r>
          </w:p>
          <w:p w14:paraId="59FE604F">
            <w:pPr>
              <w:numPr>
                <w:ilvl w:val="0"/>
                <w:numId w:val="7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图像显示：768x512或1536x1024；</w:t>
            </w:r>
          </w:p>
          <w:p w14:paraId="1107B435">
            <w:pPr>
              <w:numPr>
                <w:ilvl w:val="0"/>
                <w:numId w:val="7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Times New Roman" w:hAnsi="Times New Roman" w:eastAsia="宋体" w:cs="Times New Roman"/>
              </w:rPr>
              <w:t>#</w:t>
            </w:r>
            <w:r>
              <w:rPr>
                <w:rFonts w:hint="eastAsia" w:ascii="宋体" w:hAnsi="宋体" w:eastAsia="宋体" w:cs="仿宋"/>
                <w:sz w:val="24"/>
              </w:rPr>
              <w:t>图像保存：最大48kx32k；</w:t>
            </w:r>
          </w:p>
          <w:p w14:paraId="18D79602">
            <w:pPr>
              <w:numPr>
                <w:ilvl w:val="0"/>
                <w:numId w:val="7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 xml:space="preserve">可进行多通道成像，分屏上可同时进行不同信号成像； </w:t>
            </w:r>
          </w:p>
          <w:p w14:paraId="6000D6CC">
            <w:pPr>
              <w:numPr>
                <w:ilvl w:val="0"/>
                <w:numId w:val="7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MIX模式，各个探测器分别接收纯净的 SE 或 BSE 信号，如根据需求将ETD和BSED两种探测器的信号进行自动混合，比例可调；</w:t>
            </w:r>
          </w:p>
          <w:p w14:paraId="7AB342EB">
            <w:pPr>
              <w:numPr>
                <w:ilvl w:val="0"/>
                <w:numId w:val="7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Times New Roman" w:hAnsi="Times New Roman" w:eastAsia="宋体" w:cs="Times New Roman"/>
              </w:rPr>
              <w:t>#</w:t>
            </w:r>
            <w:r>
              <w:rPr>
                <w:rFonts w:hint="eastAsia" w:ascii="宋体" w:hAnsi="宋体" w:eastAsia="宋体" w:cs="仿宋"/>
                <w:sz w:val="24"/>
              </w:rPr>
              <w:t>标配光学导航功能；特色功能：大图拼接；</w:t>
            </w:r>
          </w:p>
          <w:p w14:paraId="7A9C2D23">
            <w:pPr>
              <w:numPr>
                <w:ilvl w:val="0"/>
                <w:numId w:val="7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显示方式：全屏显示、分屏显示 ；</w:t>
            </w:r>
          </w:p>
          <w:p w14:paraId="40ECF12E">
            <w:pPr>
              <w:numPr>
                <w:ilvl w:val="0"/>
                <w:numId w:val="7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图像存储格式：TIFF、JPG、PNG、BMP格式；</w:t>
            </w:r>
          </w:p>
          <w:p w14:paraId="5F78C86D">
            <w:pPr>
              <w:numPr>
                <w:ilvl w:val="0"/>
                <w:numId w:val="7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扫描速度：预设四种扫描模式（快扫、中扫、慢扫、选区扫描），扫描速度可自由配置，同时也支持感兴趣区域扫描模式；</w:t>
            </w:r>
          </w:p>
          <w:p w14:paraId="1CBEC618">
            <w:pPr>
              <w:numPr>
                <w:ilvl w:val="0"/>
                <w:numId w:val="7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测量功能：支持多种测量标记工具，如长度、角度、直径等；</w:t>
            </w:r>
          </w:p>
          <w:p w14:paraId="7AE4BB37">
            <w:pPr>
              <w:numPr>
                <w:ilvl w:val="0"/>
                <w:numId w:val="7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图像注释与数据区：提供标准数据区，可在图片上显示各种电镜参数；</w:t>
            </w:r>
          </w:p>
          <w:p w14:paraId="1DD6F65D">
            <w:pPr>
              <w:numPr>
                <w:ilvl w:val="0"/>
                <w:numId w:val="7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状态菜单：显示各种工作参数；</w:t>
            </w:r>
          </w:p>
          <w:p w14:paraId="5D4C1308">
            <w:pPr>
              <w:numPr>
                <w:ilvl w:val="0"/>
                <w:numId w:val="7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操作设备：键盘、鼠标；</w:t>
            </w:r>
          </w:p>
          <w:p w14:paraId="477B3576">
            <w:pPr>
              <w:numPr>
                <w:ilvl w:val="0"/>
                <w:numId w:val="7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自动调整功能：自动聚焦、自动像散、自动亮度对比度等；</w:t>
            </w:r>
          </w:p>
          <w:p w14:paraId="3DC82E0E">
            <w:pPr>
              <w:numPr>
                <w:ilvl w:val="0"/>
                <w:numId w:val="7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配套计算机配置不低于：windows 10专业版；专用工作站；CPU不低于I5；内存≥16G；硬盘 ≥500G；</w:t>
            </w:r>
          </w:p>
          <w:p w14:paraId="3E6447BB">
            <w:pPr>
              <w:numPr>
                <w:ilvl w:val="0"/>
                <w:numId w:val="7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显示器：24寸（专业图像显示器，分辨率1920×1200）；</w:t>
            </w:r>
          </w:p>
          <w:p w14:paraId="03FD2C6B">
            <w:pPr>
              <w:keepNext/>
              <w:keepLines/>
              <w:numPr>
                <w:ilvl w:val="1"/>
                <w:numId w:val="1"/>
              </w:numPr>
              <w:spacing w:before="100" w:after="100"/>
              <w:ind w:left="567" w:hanging="567"/>
              <w:outlineLvl w:val="1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耗材</w:t>
            </w:r>
          </w:p>
          <w:p w14:paraId="1388468B">
            <w:pPr>
              <w:numPr>
                <w:ilvl w:val="0"/>
                <w:numId w:val="8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12.5 mm样品钉台1盒（20个）；</w:t>
            </w:r>
          </w:p>
          <w:p w14:paraId="0F004E52">
            <w:pPr>
              <w:numPr>
                <w:ilvl w:val="0"/>
                <w:numId w:val="8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钉型样品台存储盒，1盒（5个）；</w:t>
            </w:r>
          </w:p>
          <w:p w14:paraId="66C34BCC">
            <w:pPr>
              <w:numPr>
                <w:ilvl w:val="0"/>
                <w:numId w:val="8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导电碳胶带1卷（宽8 mm，长20 m）；</w:t>
            </w:r>
          </w:p>
          <w:p w14:paraId="1D7EC0C8">
            <w:pPr>
              <w:numPr>
                <w:ilvl w:val="0"/>
                <w:numId w:val="8"/>
              </w:numPr>
              <w:ind w:left="425" w:hanging="425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预对中钨灯丝1盒（6支）；</w:t>
            </w:r>
          </w:p>
          <w:p w14:paraId="6DD1C8DF">
            <w:pPr>
              <w:widowControl/>
              <w:rPr>
                <w:rFonts w:hint="eastAsia" w:ascii="宋体" w:hAnsi="宋体" w:eastAsia="宋体" w:cs="仿宋"/>
                <w:kern w:val="0"/>
                <w:sz w:val="24"/>
              </w:rPr>
            </w:pPr>
          </w:p>
        </w:tc>
      </w:tr>
      <w:tr w14:paraId="454D2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</w:trPr>
        <w:tc>
          <w:tcPr>
            <w:tcW w:w="2404" w:type="dxa"/>
            <w:vMerge w:val="restart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79801E81">
            <w:pPr>
              <w:jc w:val="center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服务需求</w:t>
            </w:r>
          </w:p>
        </w:tc>
        <w:tc>
          <w:tcPr>
            <w:tcW w:w="7789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top"/>
          </w:tcPr>
          <w:p w14:paraId="4C32AE30">
            <w:pPr>
              <w:autoSpaceDE w:val="0"/>
              <w:autoSpaceDN w:val="0"/>
              <w:adjustRightInd w:val="0"/>
              <w:snapToGrid w:val="0"/>
              <w:rPr>
                <w:rFonts w:hint="eastAsia" w:ascii="宋体" w:hAnsi="宋体" w:eastAsia="宋体" w:cs="仿宋"/>
                <w:sz w:val="24"/>
              </w:rPr>
            </w:pPr>
          </w:p>
        </w:tc>
      </w:tr>
      <w:tr w14:paraId="0B4CD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</w:trPr>
        <w:tc>
          <w:tcPr>
            <w:tcW w:w="2404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2F9CD14B">
            <w:pPr>
              <w:autoSpaceDE w:val="0"/>
              <w:autoSpaceDN w:val="0"/>
              <w:adjustRightInd w:val="0"/>
              <w:snapToGrid w:val="0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7789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6EEAF">
            <w:pPr>
              <w:autoSpaceDE w:val="0"/>
              <w:autoSpaceDN w:val="0"/>
              <w:adjustRightInd w:val="0"/>
              <w:snapToGrid w:val="0"/>
              <w:spacing w:before="62" w:beforeLines="20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 xml:space="preserve">1、供应商免费安排工程师上门安装、调试，免费为用户进行操作及维护培训。 </w:t>
            </w:r>
          </w:p>
          <w:p w14:paraId="7BBA601C">
            <w:pPr>
              <w:autoSpaceDE w:val="0"/>
              <w:autoSpaceDN w:val="0"/>
              <w:adjustRightInd w:val="0"/>
              <w:snapToGrid w:val="0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2、质保期</w:t>
            </w:r>
            <w:r>
              <w:rPr>
                <w:rFonts w:hint="eastAsia" w:ascii="宋体" w:hAnsi="宋体" w:eastAsia="宋体" w:cs="仿宋"/>
                <w:sz w:val="24"/>
                <w:u w:val="single"/>
              </w:rPr>
              <w:t xml:space="preserve">  1  </w:t>
            </w:r>
            <w:r>
              <w:rPr>
                <w:rFonts w:hint="eastAsia" w:ascii="宋体" w:hAnsi="宋体" w:eastAsia="宋体" w:cs="仿宋"/>
                <w:sz w:val="24"/>
              </w:rPr>
              <w:t>年，质保期内免费维修或更换部件，维修2次仍无法正常使用应整体更换。质保期后，供应商以优惠价格负责后续维修保养，提供全周期技术支持。</w:t>
            </w:r>
          </w:p>
          <w:p w14:paraId="48075C57">
            <w:pPr>
              <w:autoSpaceDE w:val="0"/>
              <w:autoSpaceDN w:val="0"/>
              <w:adjustRightInd w:val="0"/>
              <w:snapToGrid w:val="0"/>
              <w:rPr>
                <w:rFonts w:hint="eastAsia" w:ascii="宋体" w:hAnsi="宋体" w:eastAsia="宋体" w:cs="仿宋"/>
                <w:sz w:val="24"/>
              </w:rPr>
            </w:pPr>
            <w:r>
              <w:rPr>
                <w:rFonts w:hint="eastAsia" w:ascii="宋体" w:hAnsi="宋体" w:eastAsia="宋体" w:cs="仿宋"/>
                <w:sz w:val="24"/>
              </w:rPr>
              <w:t>3、供应商应在接到售后服务要求后4小时内响应、24小时内安排技术人员解决或提供解决方案。出现重大紧急故障，应在接到通知后48小时内赶赴现场排除故障。</w:t>
            </w:r>
          </w:p>
          <w:p w14:paraId="5EFAB56C">
            <w:pPr>
              <w:autoSpaceDE w:val="0"/>
              <w:autoSpaceDN w:val="0"/>
              <w:adjustRightInd w:val="0"/>
              <w:snapToGrid w:val="0"/>
              <w:rPr>
                <w:rFonts w:hint="eastAsia" w:ascii="宋体" w:hAnsi="宋体" w:eastAsia="宋体" w:cs="仿宋"/>
                <w:sz w:val="24"/>
              </w:rPr>
            </w:pPr>
          </w:p>
        </w:tc>
      </w:tr>
    </w:tbl>
    <w:p w14:paraId="1D3474AD">
      <w:pPr>
        <w:adjustRightInd w:val="0"/>
        <w:snapToGrid w:val="0"/>
        <w:spacing w:line="360" w:lineRule="auto"/>
        <w:rPr>
          <w:rFonts w:hint="eastAsia" w:ascii="宋体" w:hAnsi="宋体" w:eastAsia="宋体" w:cs="Times New Roman"/>
          <w:b/>
          <w:sz w:val="28"/>
          <w:szCs w:val="28"/>
        </w:rPr>
      </w:pPr>
    </w:p>
    <w:p w14:paraId="0F54C079">
      <w:bookmarkStart w:id="1" w:name="_GoBack"/>
      <w:bookmarkEnd w:id="1"/>
    </w:p>
    <w:sectPr>
      <w:pgSz w:w="11906" w:h="16838"/>
      <w:pgMar w:top="1418" w:right="1418" w:bottom="1418" w:left="141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3E29F7"/>
    <w:multiLevelType w:val="singleLevel"/>
    <w:tmpl w:val="843E29F7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1">
    <w:nsid w:val="88C55CDF"/>
    <w:multiLevelType w:val="singleLevel"/>
    <w:tmpl w:val="88C55CDF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2">
    <w:nsid w:val="9B945F87"/>
    <w:multiLevelType w:val="multilevel"/>
    <w:tmpl w:val="9B945F8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3">
    <w:nsid w:val="A19079F2"/>
    <w:multiLevelType w:val="singleLevel"/>
    <w:tmpl w:val="A19079F2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4">
    <w:nsid w:val="BEF23FFB"/>
    <w:multiLevelType w:val="singleLevel"/>
    <w:tmpl w:val="BEF23FFB"/>
    <w:lvl w:ilvl="0" w:tentative="0">
      <w:start w:val="7"/>
      <w:numFmt w:val="decimal"/>
      <w:suff w:val="space"/>
      <w:lvlText w:val="%1）"/>
      <w:lvlJc w:val="left"/>
    </w:lvl>
  </w:abstractNum>
  <w:abstractNum w:abstractNumId="5">
    <w:nsid w:val="4FA96CE4"/>
    <w:multiLevelType w:val="singleLevel"/>
    <w:tmpl w:val="4FA96CE4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6">
    <w:nsid w:val="525F1EF0"/>
    <w:multiLevelType w:val="singleLevel"/>
    <w:tmpl w:val="525F1EF0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7">
    <w:nsid w:val="7B424907"/>
    <w:multiLevelType w:val="singleLevel"/>
    <w:tmpl w:val="7B424907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056F2B"/>
    <w:rsid w:val="1605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qFormat/>
    <w:uiPriority w:val="99"/>
    <w:pPr>
      <w:widowControl w:val="0"/>
      <w:jc w:val="both"/>
    </w:pPr>
    <w:rPr>
      <w:rFonts w:ascii="宋体" w:hAnsi="Courier New" w:eastAsia="宋体" w:cs="Times New Roman"/>
      <w:kern w:val="2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2026-04-16T05:52:00Z</dcterms:created>
  <dc:creator>顾嘉宁</dc:creator>
  <cp:lastModifiedBy>顾嘉宁</cp:lastModifiedBy>
  <dcterms:modified xsi:type="dcterms:W3CDTF">2026-04-16T05:52:15Z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B9F65EC011C543C1891EBBD628EC9E16_11</vt:lpwstr>
  </property>
  <property fmtid="{D5CDD505-2E9C-101B-9397-08002B2CF9AE}" pid="4" name="KSOTemplateDocerSaveRecord">
    <vt:lpwstr>eyJoZGlkIjoiMjAwNWIzNzBmNzAwZWZhZTBkY2QyZDY2OWQ0NjczNzgiLCJ1c2VySWQiOiIxNjYzMDExNDYwIn0=</vt:lpwstr>
  </property>
</Properties>
</file>