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C2CF9C">
      <w:pPr>
        <w:spacing w:before="936" w:beforeLines="300"/>
        <w:ind w:firstLine="0" w:firstLineChars="0"/>
        <w:jc w:val="center"/>
        <w:rPr>
          <w:rFonts w:hint="eastAsia" w:eastAsia="华文中宋"/>
          <w:lang w:eastAsia="zh-CN"/>
        </w:rPr>
      </w:pPr>
      <w:r>
        <w:rPr>
          <w:rFonts w:hint="eastAsia" w:ascii="华文中宋" w:eastAsia="华文中宋" w:cs="华文中宋"/>
          <w:b/>
          <w:bCs/>
          <w:sz w:val="44"/>
          <w:szCs w:val="44"/>
          <w:lang w:eastAsia="zh-CN"/>
        </w:rPr>
        <w:t>云南省体育彩票管理中心2025年数字可视化系统服务采购项目</w:t>
      </w:r>
    </w:p>
    <w:p w14:paraId="4AAF7054">
      <w:pPr>
        <w:spacing w:before="624" w:beforeLines="200"/>
        <w:ind w:firstLine="0" w:firstLineChars="0"/>
        <w:jc w:val="center"/>
        <w:rPr>
          <w:rFonts w:hint="eastAsia" w:ascii="华文中宋" w:eastAsia="华文中宋" w:cs="华文中宋"/>
          <w:b/>
          <w:bCs/>
          <w:sz w:val="36"/>
          <w:szCs w:val="36"/>
          <w:lang w:eastAsia="zh-CN"/>
        </w:rPr>
      </w:pPr>
      <w:r>
        <w:rPr>
          <w:rFonts w:hint="eastAsia" w:ascii="华文中宋" w:eastAsia="华文中宋" w:cs="华文中宋"/>
          <w:b/>
          <w:bCs/>
          <w:sz w:val="36"/>
          <w:szCs w:val="36"/>
        </w:rPr>
        <w:t>项目编号：</w:t>
      </w:r>
      <w:r>
        <w:rPr>
          <w:rFonts w:hint="eastAsia" w:ascii="华文中宋" w:eastAsia="华文中宋" w:cs="华文中宋"/>
          <w:b/>
          <w:bCs/>
          <w:sz w:val="36"/>
          <w:szCs w:val="36"/>
          <w:lang w:eastAsia="zh-CN"/>
        </w:rPr>
        <w:t>YNZC2025-G3-06153-YNZZ-0597</w:t>
      </w:r>
    </w:p>
    <w:p w14:paraId="5E72934F">
      <w:pPr>
        <w:pStyle w:val="11"/>
        <w:rPr>
          <w:rFonts w:hint="eastAsia" w:ascii="华文中宋" w:eastAsia="华文中宋" w:cs="华文中宋"/>
          <w:b/>
          <w:bCs/>
          <w:sz w:val="36"/>
          <w:szCs w:val="36"/>
          <w:lang w:eastAsia="zh-CN"/>
        </w:rPr>
      </w:pPr>
    </w:p>
    <w:p w14:paraId="662C0695">
      <w:pPr>
        <w:rPr>
          <w:rFonts w:hint="eastAsia"/>
          <w:lang w:eastAsia="zh-CN"/>
        </w:rPr>
      </w:pPr>
    </w:p>
    <w:p w14:paraId="2344217D">
      <w:pPr>
        <w:spacing w:before="624" w:beforeLines="200"/>
        <w:ind w:firstLine="0" w:firstLineChars="0"/>
        <w:jc w:val="center"/>
        <w:rPr>
          <w:rFonts w:hint="eastAsia" w:ascii="华文中宋" w:eastAsia="华文中宋" w:cs="华文中宋"/>
          <w:b/>
          <w:sz w:val="96"/>
          <w:szCs w:val="96"/>
        </w:rPr>
      </w:pPr>
    </w:p>
    <w:p w14:paraId="56B352E5">
      <w:pPr>
        <w:spacing w:before="624" w:beforeLines="200"/>
        <w:ind w:firstLine="0" w:firstLineChars="0"/>
        <w:jc w:val="center"/>
        <w:rPr>
          <w:rFonts w:hint="eastAsia" w:ascii="宋体" w:cs="宋体"/>
          <w:b/>
          <w:sz w:val="28"/>
          <w:szCs w:val="21"/>
        </w:rPr>
      </w:pPr>
      <w:r>
        <w:rPr>
          <w:rFonts w:hint="eastAsia" w:ascii="华文中宋" w:eastAsia="华文中宋" w:cs="华文中宋"/>
          <w:b/>
          <w:sz w:val="96"/>
          <w:szCs w:val="96"/>
        </w:rPr>
        <w:t>招 标 文 件</w:t>
      </w:r>
    </w:p>
    <w:p w14:paraId="5BBA85E7">
      <w:pPr>
        <w:pStyle w:val="11"/>
        <w:rPr>
          <w:rFonts w:hint="eastAsia"/>
        </w:rPr>
      </w:pPr>
    </w:p>
    <w:p w14:paraId="79C6F9FE">
      <w:pPr>
        <w:spacing w:before="624" w:beforeLines="200" w:line="240" w:lineRule="auto"/>
        <w:ind w:firstLine="0" w:firstLineChars="0"/>
        <w:jc w:val="center"/>
        <w:rPr>
          <w:rFonts w:hint="eastAsia" w:ascii="华文中宋" w:hAnsi="等线" w:eastAsia="华文中宋" w:cs="华文中宋"/>
          <w:b/>
          <w:bCs/>
          <w:sz w:val="36"/>
          <w:szCs w:val="36"/>
          <w:lang w:eastAsia="zh-CN"/>
        </w:rPr>
      </w:pPr>
      <w:r>
        <w:rPr>
          <w:rFonts w:hint="eastAsia" w:ascii="华文中宋" w:hAnsi="等线" w:eastAsia="华文中宋" w:cs="华文中宋"/>
          <w:b/>
          <w:bCs/>
          <w:sz w:val="36"/>
          <w:szCs w:val="36"/>
        </w:rPr>
        <w:t>采购人：</w:t>
      </w:r>
      <w:r>
        <w:rPr>
          <w:rFonts w:hint="eastAsia" w:ascii="华文中宋" w:hAnsi="等线" w:eastAsia="华文中宋" w:cs="华文中宋"/>
          <w:b/>
          <w:bCs/>
          <w:sz w:val="36"/>
          <w:szCs w:val="36"/>
          <w:lang w:eastAsia="zh-CN"/>
        </w:rPr>
        <w:t>云南省体育彩票管理中心</w:t>
      </w:r>
    </w:p>
    <w:p w14:paraId="3599E9DB">
      <w:pPr>
        <w:spacing w:before="624" w:beforeLines="200" w:line="240" w:lineRule="auto"/>
        <w:ind w:firstLine="0" w:firstLineChars="0"/>
        <w:jc w:val="center"/>
        <w:rPr>
          <w:rFonts w:hint="eastAsia" w:ascii="华文中宋" w:hAnsi="等线" w:eastAsia="华文中宋" w:cs="华文中宋"/>
          <w:b/>
          <w:bCs/>
          <w:sz w:val="36"/>
          <w:szCs w:val="36"/>
        </w:rPr>
      </w:pPr>
      <w:r>
        <w:rPr>
          <w:rFonts w:hint="eastAsia" w:ascii="华文中宋" w:hAnsi="等线" w:eastAsia="华文中宋" w:cs="华文中宋"/>
          <w:b/>
          <w:bCs/>
          <w:sz w:val="36"/>
          <w:szCs w:val="36"/>
        </w:rPr>
        <w:t>采购代理机构：云南中咨海外咨询有限公司</w:t>
      </w:r>
    </w:p>
    <w:p w14:paraId="7ADEC985">
      <w:pPr>
        <w:spacing w:before="624" w:beforeLines="200" w:line="240" w:lineRule="auto"/>
        <w:ind w:firstLine="0" w:firstLineChars="0"/>
        <w:jc w:val="center"/>
        <w:rPr>
          <w:rFonts w:hint="eastAsia" w:ascii="华文中宋" w:hAnsi="华文中宋" w:eastAsia="华文中宋" w:cs="华文中宋"/>
          <w:b/>
          <w:bCs/>
          <w:spacing w:val="20"/>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等线" w:eastAsia="华文中宋" w:cs="华文中宋"/>
          <w:b/>
          <w:bCs/>
          <w:sz w:val="36"/>
          <w:szCs w:val="36"/>
          <w:lang w:bidi="ar"/>
        </w:rPr>
        <w:t>日期：二○二五年</w:t>
      </w:r>
      <w:r>
        <w:rPr>
          <w:rFonts w:hint="eastAsia" w:ascii="华文中宋" w:hAnsi="等线" w:eastAsia="华文中宋" w:cs="华文中宋"/>
          <w:b/>
          <w:bCs/>
          <w:sz w:val="36"/>
          <w:szCs w:val="36"/>
          <w:lang w:val="en-US" w:eastAsia="zh-CN" w:bidi="ar"/>
        </w:rPr>
        <w:t>九</w:t>
      </w:r>
      <w:r>
        <w:rPr>
          <w:rFonts w:hint="eastAsia" w:ascii="华文中宋" w:hAnsi="等线" w:eastAsia="华文中宋" w:cs="华文中宋"/>
          <w:b/>
          <w:bCs/>
          <w:sz w:val="36"/>
          <w:szCs w:val="36"/>
          <w:lang w:bidi="ar"/>
        </w:rPr>
        <w:t>月</w:t>
      </w:r>
    </w:p>
    <w:p w14:paraId="723EFE42">
      <w:pPr>
        <w:spacing w:line="720" w:lineRule="auto"/>
        <w:ind w:firstLine="0" w:firstLineChars="0"/>
        <w:jc w:val="center"/>
        <w:rPr>
          <w:rFonts w:hint="eastAsia" w:ascii="黑体" w:hAnsi="黑体" w:eastAsia="黑体" w:cs="黑体"/>
          <w:b/>
          <w:bCs/>
          <w:sz w:val="36"/>
          <w:szCs w:val="36"/>
        </w:rPr>
      </w:pPr>
      <w:bookmarkStart w:id="0" w:name="OLE_LINK136"/>
      <w:r>
        <w:rPr>
          <w:rFonts w:hint="eastAsia" w:ascii="黑体" w:hAnsi="黑体" w:eastAsia="黑体" w:cs="黑体"/>
          <w:b/>
          <w:bCs/>
          <w:sz w:val="36"/>
          <w:szCs w:val="36"/>
        </w:rPr>
        <w:t>目录</w:t>
      </w:r>
    </w:p>
    <w:p w14:paraId="70DC6F5E">
      <w:pPr>
        <w:pStyle w:val="26"/>
        <w:tabs>
          <w:tab w:val="right" w:leader="dot" w:pos="8844"/>
        </w:tabs>
        <w:ind w:firstLine="0" w:firstLineChars="0"/>
        <w:rPr>
          <w:rFonts w:hint="eastAsia" w:asci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eastAsia="黑体" w:cs="黑体"/>
          <w:b/>
          <w:bCs/>
          <w:sz w:val="28"/>
          <w:szCs w:val="28"/>
        </w:rPr>
        <w:t>第一章 招标公告</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_Toc207 \h </w:instrText>
      </w:r>
      <w:r>
        <w:rPr>
          <w:rFonts w:hint="eastAsia" w:ascii="黑体" w:eastAsia="黑体" w:cs="黑体"/>
          <w:b/>
          <w:bCs/>
          <w:sz w:val="28"/>
          <w:szCs w:val="28"/>
        </w:rPr>
        <w:fldChar w:fldCharType="separate"/>
      </w:r>
      <w:r>
        <w:rPr>
          <w:rFonts w:hint="eastAsia" w:ascii="黑体" w:eastAsia="黑体" w:cs="黑体"/>
          <w:b/>
          <w:bCs/>
          <w:sz w:val="28"/>
          <w:szCs w:val="28"/>
        </w:rPr>
        <w:t>1</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5C0F76CF">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"_Toc10769" </w:instrText>
      </w:r>
      <w:r>
        <w:fldChar w:fldCharType="separate"/>
      </w:r>
      <w:r>
        <w:rPr>
          <w:rFonts w:hint="eastAsia" w:ascii="黑体" w:eastAsia="黑体" w:cs="黑体"/>
          <w:b/>
          <w:bCs/>
          <w:sz w:val="28"/>
          <w:szCs w:val="28"/>
        </w:rPr>
        <w:t>第二章 投标人须知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_Toc10769 \h </w:instrText>
      </w:r>
      <w:r>
        <w:rPr>
          <w:rFonts w:hint="eastAsia" w:ascii="黑体" w:eastAsia="黑体" w:cs="黑体"/>
          <w:b/>
          <w:bCs/>
          <w:sz w:val="28"/>
          <w:szCs w:val="28"/>
        </w:rPr>
        <w:fldChar w:fldCharType="separate"/>
      </w:r>
      <w:r>
        <w:rPr>
          <w:rFonts w:hint="eastAsia" w:ascii="黑体" w:eastAsia="黑体" w:cs="黑体"/>
          <w:b/>
          <w:bCs/>
          <w:sz w:val="28"/>
          <w:szCs w:val="28"/>
        </w:rPr>
        <w:t>6</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39095D9E">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"_Toc12720" </w:instrText>
      </w:r>
      <w:r>
        <w:fldChar w:fldCharType="separate"/>
      </w:r>
      <w:r>
        <w:rPr>
          <w:rFonts w:hint="eastAsia" w:ascii="黑体" w:eastAsia="黑体" w:cs="黑体"/>
          <w:b/>
          <w:bCs/>
          <w:sz w:val="28"/>
          <w:szCs w:val="28"/>
        </w:rPr>
        <w:t>第三章 合同书样式及主要条款</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_Toc12720 \h </w:instrText>
      </w:r>
      <w:r>
        <w:rPr>
          <w:rFonts w:hint="eastAsia" w:ascii="黑体" w:eastAsia="黑体" w:cs="黑体"/>
          <w:b/>
          <w:bCs/>
          <w:sz w:val="28"/>
          <w:szCs w:val="28"/>
        </w:rPr>
        <w:fldChar w:fldCharType="separate"/>
      </w:r>
      <w:r>
        <w:rPr>
          <w:rFonts w:hint="eastAsia" w:ascii="黑体" w:eastAsia="黑体" w:cs="黑体"/>
          <w:b/>
          <w:bCs/>
          <w:sz w:val="28"/>
          <w:szCs w:val="28"/>
        </w:rPr>
        <w:t>24</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D7FA56A">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"_Toc23671" </w:instrText>
      </w:r>
      <w:r>
        <w:fldChar w:fldCharType="separate"/>
      </w:r>
      <w:r>
        <w:rPr>
          <w:rFonts w:hint="eastAsia" w:ascii="黑体" w:eastAsia="黑体" w:cs="黑体"/>
          <w:b/>
          <w:bCs/>
          <w:sz w:val="28"/>
          <w:szCs w:val="28"/>
        </w:rPr>
        <w:t>第四章 投标文件格式</w:t>
      </w:r>
      <w:bookmarkStart w:id="966" w:name="_GoBack"/>
      <w:bookmarkEnd w:id="966"/>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_Toc23671 \h </w:instrText>
      </w:r>
      <w:r>
        <w:rPr>
          <w:rFonts w:hint="eastAsia" w:ascii="黑体" w:eastAsia="黑体" w:cs="黑体"/>
          <w:b/>
          <w:bCs/>
          <w:sz w:val="28"/>
          <w:szCs w:val="28"/>
        </w:rPr>
        <w:fldChar w:fldCharType="separate"/>
      </w:r>
      <w:r>
        <w:rPr>
          <w:rFonts w:hint="eastAsia" w:ascii="黑体" w:eastAsia="黑体" w:cs="黑体"/>
          <w:b/>
          <w:bCs/>
          <w:sz w:val="28"/>
          <w:szCs w:val="28"/>
        </w:rPr>
        <w:t>33</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725B2977">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"_Toc16410" </w:instrText>
      </w:r>
      <w:r>
        <w:fldChar w:fldCharType="separate"/>
      </w:r>
      <w:r>
        <w:rPr>
          <w:rFonts w:hint="eastAsia" w:ascii="黑体" w:eastAsia="黑体" w:cs="黑体"/>
          <w:b/>
          <w:bCs/>
          <w:sz w:val="28"/>
          <w:szCs w:val="28"/>
        </w:rPr>
        <w:t>第五章 采购需求</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_Toc16410 \h </w:instrText>
      </w:r>
      <w:r>
        <w:rPr>
          <w:rFonts w:hint="eastAsia" w:ascii="黑体" w:eastAsia="黑体" w:cs="黑体"/>
          <w:b/>
          <w:bCs/>
          <w:sz w:val="28"/>
          <w:szCs w:val="28"/>
        </w:rPr>
        <w:fldChar w:fldCharType="separate"/>
      </w:r>
      <w:r>
        <w:rPr>
          <w:rFonts w:hint="eastAsia" w:ascii="黑体" w:eastAsia="黑体" w:cs="黑体"/>
          <w:b/>
          <w:bCs/>
          <w:sz w:val="28"/>
          <w:szCs w:val="28"/>
        </w:rPr>
        <w:t>69</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D2E63E7">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"_Toc27718" </w:instrText>
      </w:r>
      <w:r>
        <w:fldChar w:fldCharType="separate"/>
      </w:r>
      <w:r>
        <w:rPr>
          <w:rFonts w:hint="eastAsia" w:ascii="黑体" w:eastAsia="黑体" w:cs="黑体"/>
          <w:b/>
          <w:bCs/>
          <w:sz w:val="28"/>
          <w:szCs w:val="28"/>
        </w:rPr>
        <w:t>第六章 资格审查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_Toc27718 \h </w:instrText>
      </w:r>
      <w:r>
        <w:rPr>
          <w:rFonts w:hint="eastAsia" w:ascii="黑体" w:eastAsia="黑体" w:cs="黑体"/>
          <w:b/>
          <w:bCs/>
          <w:sz w:val="28"/>
          <w:szCs w:val="28"/>
        </w:rPr>
        <w:fldChar w:fldCharType="separate"/>
      </w:r>
      <w:r>
        <w:rPr>
          <w:rFonts w:hint="eastAsia" w:ascii="黑体" w:eastAsia="黑体" w:cs="黑体"/>
          <w:b/>
          <w:bCs/>
          <w:sz w:val="28"/>
          <w:szCs w:val="28"/>
        </w:rPr>
        <w:t>90</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1EE9E229">
      <w:pPr>
        <w:pStyle w:val="26"/>
        <w:tabs>
          <w:tab w:val="right" w:leader="dot" w:pos="8844"/>
        </w:tabs>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eastAsia="黑体" w:cs="黑体"/>
          <w:b/>
          <w:bCs/>
          <w:sz w:val="28"/>
          <w:szCs w:val="28"/>
        </w:rPr>
        <w:t>第七章 评标方法</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_Toc10932 \h </w:instrText>
      </w:r>
      <w:r>
        <w:rPr>
          <w:rFonts w:hint="eastAsia" w:ascii="黑体" w:eastAsia="黑体" w:cs="黑体"/>
          <w:b/>
          <w:bCs/>
          <w:sz w:val="28"/>
          <w:szCs w:val="28"/>
        </w:rPr>
        <w:fldChar w:fldCharType="separate"/>
      </w:r>
      <w:r>
        <w:rPr>
          <w:rFonts w:hint="eastAsia" w:ascii="黑体" w:eastAsia="黑体" w:cs="黑体"/>
          <w:b/>
          <w:bCs/>
          <w:sz w:val="28"/>
          <w:szCs w:val="28"/>
        </w:rPr>
        <w:t>91</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64B70364">
      <w:pPr>
        <w:ind w:firstLine="562"/>
        <w:rPr>
          <w:rFonts w:hint="eastAsia"/>
        </w:rPr>
      </w:pPr>
      <w:r>
        <w:rPr>
          <w:rFonts w:hint="eastAsia" w:ascii="黑体" w:hAnsi="黑体" w:eastAsia="黑体" w:cs="黑体"/>
          <w:b/>
          <w:bCs/>
          <w:sz w:val="28"/>
          <w:szCs w:val="28"/>
        </w:rPr>
        <w:fldChar w:fldCharType="end"/>
      </w:r>
      <w:bookmarkEnd w:id="0"/>
    </w:p>
    <w:p w14:paraId="68BE85FB">
      <w:pPr>
        <w:ind w:firstLine="0" w:firstLineChars="0"/>
        <w:jc w:val="center"/>
        <w:rPr>
          <w:rFonts w:ascii="Times New Roman" w:hAnsi="Times New Roman" w:cs="Times New Roman"/>
          <w:sz w:val="36"/>
          <w:szCs w:val="36"/>
        </w:rPr>
      </w:pPr>
    </w:p>
    <w:p w14:paraId="78168EC1">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51015841">
      <w:pPr>
        <w:pStyle w:val="2"/>
        <w:spacing w:before="0" w:beforeLines="0"/>
        <w:rPr>
          <w:rFonts w:ascii="Times New Roman" w:hAnsi="Times New Roman" w:cs="Times New Roman"/>
          <w:szCs w:val="20"/>
        </w:rPr>
      </w:pPr>
      <w:bookmarkStart w:id="1" w:name="_Toc207"/>
      <w:bookmarkStart w:id="2" w:name="_Toc38338258"/>
      <w:r>
        <w:rPr>
          <w:rFonts w:ascii="Times New Roman" w:hAnsi="Times New Roman" w:cs="Times New Roman"/>
        </w:rPr>
        <w:t>第一章</w:t>
      </w:r>
      <w:r>
        <w:rPr>
          <w:rFonts w:hint="eastAsia" w:ascii="Times New Roman" w:hAnsi="Times New Roman" w:cs="Times New Roman"/>
        </w:rPr>
        <w:t xml:space="preserve"> </w:t>
      </w:r>
      <w:r>
        <w:rPr>
          <w:rFonts w:ascii="Times New Roman" w:hAnsi="Times New Roman" w:cs="Times New Roman"/>
        </w:rPr>
        <w:t>招标公告</w:t>
      </w:r>
      <w:bookmarkEnd w:id="1"/>
      <w:bookmarkEnd w:id="2"/>
    </w:p>
    <w:p w14:paraId="1D9A0BDA">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2D4C7C8A">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lang w:eastAsia="zh-CN"/>
        </w:rPr>
        <w:t>云南省体育彩票管理中心2025年数字可视化系统服务采购项目</w:t>
      </w:r>
      <w:r>
        <w:rPr>
          <w:rFonts w:hint="eastAsia" w:ascii="宋体" w:hAnsi="宋体" w:cs="宋体"/>
          <w:szCs w:val="21"/>
        </w:rPr>
        <w:t>的潜在投标人应在</w:t>
      </w:r>
      <w:r>
        <w:rPr>
          <w:rFonts w:hint="eastAsia" w:ascii="宋体" w:hAnsi="宋体" w:cs="宋体"/>
          <w:szCs w:val="21"/>
          <w:u w:val="single"/>
        </w:rPr>
        <w:t>政府采购云平台（</w:t>
      </w:r>
      <w:bookmarkStart w:id="3" w:name="OLE_LINK385"/>
      <w:r>
        <w:rPr>
          <w:rFonts w:hint="eastAsia" w:ascii="宋体" w:hAnsi="宋体" w:cs="宋体"/>
          <w:szCs w:val="21"/>
          <w:u w:val="single"/>
        </w:rPr>
        <w:t>https://www.zcygov.cn/</w:t>
      </w:r>
      <w:bookmarkEnd w:id="3"/>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2025年10月20日14点00分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1D3CDA5A">
      <w:pPr>
        <w:pStyle w:val="3"/>
        <w:spacing w:before="0" w:beforeLines="0"/>
        <w:rPr>
          <w:rFonts w:ascii="Times New Roman" w:hAnsi="Times New Roman" w:cs="Times New Roman"/>
        </w:rPr>
      </w:pPr>
      <w:bookmarkStart w:id="4" w:name="_Toc4832"/>
      <w:bookmarkStart w:id="5" w:name="_Toc22449"/>
      <w:bookmarkStart w:id="6" w:name="_Toc35393790"/>
      <w:bookmarkStart w:id="7" w:name="_Toc12729"/>
      <w:bookmarkStart w:id="8" w:name="_Toc35393621"/>
      <w:bookmarkStart w:id="9" w:name="_Toc28359002"/>
      <w:bookmarkStart w:id="10" w:name="_Toc17725"/>
      <w:bookmarkStart w:id="11" w:name="_Toc28359079"/>
      <w:bookmarkStart w:id="12" w:name="_Toc9609"/>
      <w:bookmarkStart w:id="13" w:name="_Hlk24379207"/>
      <w:bookmarkStart w:id="14" w:name="OLE_LINK287"/>
      <w:r>
        <w:rPr>
          <w:rFonts w:ascii="Times New Roman" w:hAnsi="Times New Roman" w:cs="Times New Roman"/>
        </w:rPr>
        <w:t>一、项目基本情况</w:t>
      </w:r>
      <w:bookmarkEnd w:id="4"/>
      <w:bookmarkEnd w:id="5"/>
      <w:bookmarkEnd w:id="6"/>
      <w:bookmarkEnd w:id="7"/>
      <w:bookmarkEnd w:id="8"/>
      <w:bookmarkEnd w:id="9"/>
      <w:bookmarkEnd w:id="10"/>
      <w:bookmarkEnd w:id="11"/>
      <w:bookmarkEnd w:id="12"/>
    </w:p>
    <w:p w14:paraId="669FC048">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YNZC2025-G3-06153-YNZZ-0597</w:t>
      </w:r>
    </w:p>
    <w:p w14:paraId="6AB6F63A">
      <w:pPr>
        <w:ind w:firstLine="422"/>
        <w:rPr>
          <w:rFonts w:hint="eastAsia" w:ascii="宋体" w:hAnsi="宋体" w:eastAsia="宋体" w:cs="宋体"/>
          <w:szCs w:val="21"/>
          <w:lang w:eastAsia="zh-CN"/>
        </w:rPr>
      </w:pPr>
      <w:r>
        <w:rPr>
          <w:rFonts w:hint="eastAsia" w:ascii="宋体" w:hAnsi="宋体" w:cs="宋体"/>
          <w:b/>
          <w:bCs/>
          <w:szCs w:val="21"/>
        </w:rPr>
        <w:t>2.项目名称：</w:t>
      </w:r>
      <w:r>
        <w:rPr>
          <w:rFonts w:hint="eastAsia" w:ascii="宋体" w:hAnsi="宋体" w:cs="宋体"/>
          <w:szCs w:val="21"/>
          <w:lang w:eastAsia="zh-CN"/>
        </w:rPr>
        <w:t>云南省体育彩票管理中心2025年数字可视化系统服务采购项目</w:t>
      </w:r>
    </w:p>
    <w:bookmarkEnd w:id="13"/>
    <w:p w14:paraId="0094508D">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b/>
          <w:bCs/>
          <w:szCs w:val="21"/>
          <w:lang w:eastAsia="zh-CN"/>
        </w:rPr>
        <w:t>1300000</w:t>
      </w:r>
      <w:r>
        <w:rPr>
          <w:rFonts w:hint="eastAsia" w:ascii="宋体" w:hAnsi="宋体" w:cs="宋体"/>
          <w:b/>
          <w:bCs/>
          <w:szCs w:val="21"/>
        </w:rPr>
        <w:t>.00</w:t>
      </w:r>
      <w:r>
        <w:rPr>
          <w:rFonts w:hint="eastAsia" w:ascii="宋体" w:hAnsi="宋体" w:cs="宋体"/>
          <w:b/>
          <w:bCs/>
          <w:szCs w:val="21"/>
          <w:lang w:eastAsia="zh-CN"/>
        </w:rPr>
        <w:t>元</w:t>
      </w:r>
      <w:r>
        <w:rPr>
          <w:rFonts w:hint="eastAsia" w:ascii="宋体" w:hAnsi="宋体" w:cs="宋体"/>
          <w:b/>
          <w:bCs/>
          <w:szCs w:val="21"/>
        </w:rPr>
        <w:t>。</w:t>
      </w:r>
    </w:p>
    <w:p w14:paraId="0758FC9D">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b/>
          <w:bCs/>
          <w:szCs w:val="21"/>
          <w:lang w:eastAsia="zh-CN"/>
        </w:rPr>
        <w:t>1300000</w:t>
      </w:r>
      <w:r>
        <w:rPr>
          <w:rFonts w:hint="eastAsia" w:ascii="宋体" w:hAnsi="宋体" w:cs="宋体"/>
          <w:b/>
          <w:bCs/>
          <w:szCs w:val="21"/>
        </w:rPr>
        <w:t>.00</w:t>
      </w:r>
      <w:r>
        <w:rPr>
          <w:rFonts w:hint="eastAsia" w:ascii="宋体" w:hAnsi="宋体" w:cs="宋体"/>
          <w:b/>
          <w:bCs/>
          <w:szCs w:val="21"/>
          <w:lang w:eastAsia="zh-CN"/>
        </w:rPr>
        <w:t>元</w:t>
      </w:r>
      <w:r>
        <w:rPr>
          <w:rFonts w:hint="eastAsia" w:ascii="宋体" w:hAnsi="宋体" w:cs="宋体"/>
          <w:b/>
          <w:bCs/>
          <w:szCs w:val="21"/>
        </w:rPr>
        <w:t>。</w:t>
      </w:r>
    </w:p>
    <w:p w14:paraId="07346775">
      <w:pPr>
        <w:widowControl/>
        <w:spacing w:line="460" w:lineRule="exact"/>
        <w:ind w:firstLine="420" w:firstLineChars="200"/>
        <w:jc w:val="left"/>
        <w:rPr>
          <w:rFonts w:ascii="宋体" w:hAnsi="宋体" w:cs="宋体"/>
          <w:kern w:val="2"/>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56"/>
        <w:gridCol w:w="1909"/>
        <w:gridCol w:w="654"/>
        <w:gridCol w:w="1164"/>
        <w:gridCol w:w="4696"/>
      </w:tblGrid>
      <w:tr w14:paraId="44BB9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461" w:type="pct"/>
            <w:tcMar>
              <w:top w:w="0" w:type="dxa"/>
              <w:left w:w="108" w:type="dxa"/>
              <w:bottom w:w="0" w:type="dxa"/>
              <w:right w:w="108" w:type="dxa"/>
            </w:tcMar>
            <w:vAlign w:val="center"/>
          </w:tcPr>
          <w:p w14:paraId="285F06F6">
            <w:pPr>
              <w:pageBreakBefore w:val="0"/>
              <w:widowControl/>
              <w:kinsoku/>
              <w:wordWrap/>
              <w:overflowPunct/>
              <w:topLinePunct w:val="0"/>
              <w:autoSpaceDE/>
              <w:autoSpaceDN/>
              <w:bidi w:val="0"/>
              <w:adjustRightInd/>
              <w:snapToGrid/>
              <w:ind w:firstLine="0" w:firstLineChars="0"/>
              <w:jc w:val="center"/>
              <w:rPr>
                <w:rFonts w:ascii="宋体" w:hAnsi="宋体" w:cs="宋体"/>
                <w:b/>
                <w:bCs/>
                <w:kern w:val="0"/>
                <w:szCs w:val="21"/>
              </w:rPr>
            </w:pPr>
            <w:bookmarkStart w:id="15" w:name="OLE_LINK137" w:colFirst="6" w:colLast="6"/>
            <w:r>
              <w:rPr>
                <w:rFonts w:hint="eastAsia" w:ascii="宋体" w:hAnsi="宋体" w:cs="宋体"/>
                <w:b/>
                <w:bCs/>
                <w:kern w:val="0"/>
                <w:szCs w:val="21"/>
              </w:rPr>
              <w:t>序号</w:t>
            </w:r>
          </w:p>
        </w:tc>
        <w:tc>
          <w:tcPr>
            <w:tcW w:w="1028" w:type="pct"/>
            <w:tcMar>
              <w:top w:w="0" w:type="dxa"/>
              <w:left w:w="108" w:type="dxa"/>
              <w:bottom w:w="0" w:type="dxa"/>
              <w:right w:w="108" w:type="dxa"/>
            </w:tcMar>
            <w:vAlign w:val="center"/>
          </w:tcPr>
          <w:p w14:paraId="16D81B6E">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rPr>
            </w:pPr>
            <w:r>
              <w:rPr>
                <w:rFonts w:hint="eastAsia" w:ascii="宋体" w:hAnsi="宋体" w:cs="宋体"/>
                <w:b/>
                <w:bCs/>
                <w:kern w:val="0"/>
                <w:szCs w:val="21"/>
                <w:lang w:val="en-US" w:eastAsia="zh-CN"/>
              </w:rPr>
              <w:t>标的</w:t>
            </w:r>
            <w:r>
              <w:rPr>
                <w:rFonts w:hint="eastAsia" w:ascii="宋体" w:hAnsi="宋体" w:cs="宋体"/>
                <w:b/>
                <w:bCs/>
                <w:kern w:val="0"/>
                <w:szCs w:val="21"/>
              </w:rPr>
              <w:t>名称</w:t>
            </w:r>
          </w:p>
        </w:tc>
        <w:tc>
          <w:tcPr>
            <w:tcW w:w="352" w:type="pct"/>
            <w:tcMar>
              <w:top w:w="0" w:type="dxa"/>
              <w:left w:w="108" w:type="dxa"/>
              <w:bottom w:w="0" w:type="dxa"/>
              <w:right w:w="108" w:type="dxa"/>
            </w:tcMar>
            <w:vAlign w:val="center"/>
          </w:tcPr>
          <w:p w14:paraId="48B381BE">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rPr>
            </w:pPr>
            <w:r>
              <w:rPr>
                <w:rFonts w:hint="eastAsia" w:ascii="宋体" w:hAnsi="宋体" w:cs="宋体"/>
                <w:b/>
                <w:bCs/>
                <w:kern w:val="0"/>
                <w:szCs w:val="21"/>
              </w:rPr>
              <w:t>数量</w:t>
            </w:r>
          </w:p>
        </w:tc>
        <w:tc>
          <w:tcPr>
            <w:tcW w:w="627" w:type="pct"/>
            <w:tcMar>
              <w:top w:w="0" w:type="dxa"/>
              <w:left w:w="108" w:type="dxa"/>
              <w:bottom w:w="0" w:type="dxa"/>
              <w:right w:w="108" w:type="dxa"/>
            </w:tcMar>
            <w:vAlign w:val="center"/>
          </w:tcPr>
          <w:p w14:paraId="18FCCC98">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rPr>
            </w:pPr>
            <w:r>
              <w:rPr>
                <w:rFonts w:hint="eastAsia" w:ascii="宋体" w:hAnsi="宋体" w:cs="宋体"/>
                <w:b/>
                <w:bCs/>
                <w:kern w:val="0"/>
                <w:szCs w:val="21"/>
              </w:rPr>
              <w:t>计量单位</w:t>
            </w:r>
          </w:p>
        </w:tc>
        <w:tc>
          <w:tcPr>
            <w:tcW w:w="2529" w:type="pct"/>
            <w:tcMar>
              <w:top w:w="0" w:type="dxa"/>
              <w:left w:w="108" w:type="dxa"/>
              <w:bottom w:w="0" w:type="dxa"/>
              <w:right w:w="108" w:type="dxa"/>
            </w:tcMar>
            <w:vAlign w:val="center"/>
          </w:tcPr>
          <w:p w14:paraId="0973738C">
            <w:pPr>
              <w:pageBreakBefore w:val="0"/>
              <w:widowControl/>
              <w:kinsoku/>
              <w:wordWrap/>
              <w:overflowPunct/>
              <w:topLinePunct w:val="0"/>
              <w:autoSpaceDE/>
              <w:autoSpaceDN/>
              <w:bidi w:val="0"/>
              <w:adjustRightInd/>
              <w:snapToGrid/>
              <w:ind w:firstLine="0" w:firstLineChars="0"/>
              <w:jc w:val="center"/>
              <w:rPr>
                <w:rFonts w:hint="default" w:ascii="宋体" w:hAnsi="宋体" w:eastAsia="宋体" w:cs="宋体"/>
                <w:b/>
                <w:bCs/>
                <w:kern w:val="0"/>
                <w:szCs w:val="21"/>
                <w:lang w:val="en-US" w:eastAsia="zh-CN"/>
              </w:rPr>
            </w:pPr>
            <w:r>
              <w:rPr>
                <w:rFonts w:hint="eastAsia" w:ascii="宋体" w:hAnsi="宋体" w:cs="宋体"/>
                <w:b/>
                <w:bCs/>
                <w:kern w:val="0"/>
                <w:szCs w:val="21"/>
                <w:lang w:val="en-US" w:eastAsia="zh-CN"/>
              </w:rPr>
              <w:t>简要技术（服务）需求</w:t>
            </w:r>
          </w:p>
        </w:tc>
      </w:tr>
      <w:tr w14:paraId="11E6D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461" w:type="pct"/>
            <w:tcMar>
              <w:top w:w="0" w:type="dxa"/>
              <w:left w:w="108" w:type="dxa"/>
              <w:bottom w:w="0" w:type="dxa"/>
              <w:right w:w="108" w:type="dxa"/>
            </w:tcMar>
            <w:vAlign w:val="center"/>
          </w:tcPr>
          <w:p w14:paraId="4842A0D5">
            <w:pPr>
              <w:pageBreakBefore w:val="0"/>
              <w:widowControl/>
              <w:kinsoku/>
              <w:wordWrap/>
              <w:overflowPunct/>
              <w:topLinePunct w:val="0"/>
              <w:autoSpaceDE/>
              <w:autoSpaceDN/>
              <w:bidi w:val="0"/>
              <w:adjustRightInd/>
              <w:snapToGrid/>
              <w:ind w:firstLine="0" w:firstLineChars="0"/>
              <w:jc w:val="center"/>
              <w:textAlignment w:val="bottom"/>
              <w:rPr>
                <w:rFonts w:ascii="宋体" w:hAnsi="宋体" w:cs="宋体"/>
                <w:kern w:val="0"/>
                <w:szCs w:val="21"/>
              </w:rPr>
            </w:pPr>
            <w:r>
              <w:rPr>
                <w:rFonts w:hint="eastAsia" w:ascii="宋体" w:hAnsi="宋体" w:cs="宋体"/>
                <w:kern w:val="0"/>
                <w:szCs w:val="21"/>
              </w:rPr>
              <w:t>1</w:t>
            </w:r>
          </w:p>
        </w:tc>
        <w:tc>
          <w:tcPr>
            <w:tcW w:w="1028" w:type="pct"/>
            <w:tcMar>
              <w:top w:w="0" w:type="dxa"/>
              <w:left w:w="108" w:type="dxa"/>
              <w:bottom w:w="0" w:type="dxa"/>
              <w:right w:w="108" w:type="dxa"/>
            </w:tcMar>
            <w:vAlign w:val="center"/>
          </w:tcPr>
          <w:p w14:paraId="59695A29">
            <w:pPr>
              <w:pageBreakBefore w:val="0"/>
              <w:widowControl/>
              <w:kinsoku/>
              <w:wordWrap/>
              <w:overflowPunct/>
              <w:topLinePunct w:val="0"/>
              <w:autoSpaceDE/>
              <w:autoSpaceDN/>
              <w:bidi w:val="0"/>
              <w:adjustRightInd/>
              <w:snapToGrid/>
              <w:ind w:firstLine="0" w:firstLineChars="0"/>
              <w:jc w:val="center"/>
              <w:textAlignment w:val="center"/>
              <w:rPr>
                <w:rFonts w:ascii="宋体" w:hAnsi="宋体" w:cs="宋体"/>
                <w:color w:val="FF0000"/>
                <w:kern w:val="0"/>
                <w:szCs w:val="21"/>
              </w:rPr>
            </w:pPr>
            <w:r>
              <w:rPr>
                <w:rFonts w:hint="eastAsia" w:ascii="宋体" w:hAnsi="宋体" w:cs="宋体"/>
                <w:szCs w:val="21"/>
                <w:lang w:eastAsia="zh-CN"/>
              </w:rPr>
              <w:t>云南省体育彩票管理中心2025年数字可视化系统服务采购项目</w:t>
            </w:r>
          </w:p>
        </w:tc>
        <w:tc>
          <w:tcPr>
            <w:tcW w:w="352" w:type="pct"/>
            <w:tcMar>
              <w:top w:w="0" w:type="dxa"/>
              <w:left w:w="108" w:type="dxa"/>
              <w:bottom w:w="0" w:type="dxa"/>
              <w:right w:w="108" w:type="dxa"/>
            </w:tcMar>
            <w:vAlign w:val="center"/>
          </w:tcPr>
          <w:p w14:paraId="5B392151">
            <w:pPr>
              <w:widowControl/>
              <w:spacing w:line="460" w:lineRule="exact"/>
              <w:ind w:firstLine="0" w:firstLineChars="0"/>
              <w:jc w:val="center"/>
              <w:rPr>
                <w:rFonts w:ascii="宋体" w:hAnsi="宋体" w:cs="宋体"/>
                <w:color w:val="FF0000"/>
                <w:kern w:val="0"/>
                <w:szCs w:val="21"/>
              </w:rPr>
            </w:pPr>
            <w:r>
              <w:rPr>
                <w:rFonts w:hint="eastAsia" w:ascii="宋体" w:hAnsi="宋体" w:cs="宋体"/>
                <w:kern w:val="2"/>
                <w:szCs w:val="21"/>
              </w:rPr>
              <w:t>1</w:t>
            </w:r>
          </w:p>
        </w:tc>
        <w:tc>
          <w:tcPr>
            <w:tcW w:w="627" w:type="pct"/>
            <w:tcMar>
              <w:top w:w="0" w:type="dxa"/>
              <w:left w:w="108" w:type="dxa"/>
              <w:bottom w:w="0" w:type="dxa"/>
              <w:right w:w="108" w:type="dxa"/>
            </w:tcMar>
            <w:vAlign w:val="center"/>
          </w:tcPr>
          <w:p w14:paraId="0D3D5A83">
            <w:pPr>
              <w:widowControl/>
              <w:spacing w:line="460" w:lineRule="exact"/>
              <w:ind w:firstLine="0" w:firstLineChars="0"/>
              <w:jc w:val="center"/>
              <w:rPr>
                <w:rFonts w:ascii="宋体" w:hAnsi="宋体" w:cs="宋体"/>
                <w:color w:val="FF0000"/>
                <w:kern w:val="0"/>
                <w:szCs w:val="21"/>
              </w:rPr>
            </w:pPr>
            <w:r>
              <w:rPr>
                <w:rFonts w:hint="eastAsia" w:ascii="宋体" w:hAnsi="宋体" w:cs="宋体"/>
                <w:kern w:val="2"/>
                <w:szCs w:val="21"/>
              </w:rPr>
              <w:t>项</w:t>
            </w:r>
          </w:p>
        </w:tc>
        <w:tc>
          <w:tcPr>
            <w:tcW w:w="2529" w:type="pct"/>
            <w:tcMar>
              <w:top w:w="0" w:type="dxa"/>
              <w:left w:w="108" w:type="dxa"/>
              <w:bottom w:w="0" w:type="dxa"/>
              <w:right w:w="108" w:type="dxa"/>
            </w:tcMar>
            <w:vAlign w:val="center"/>
          </w:tcPr>
          <w:p w14:paraId="47D18687">
            <w:pPr>
              <w:pageBreakBefore w:val="0"/>
              <w:widowControl/>
              <w:kinsoku/>
              <w:wordWrap/>
              <w:overflowPunct/>
              <w:topLinePunct w:val="0"/>
              <w:autoSpaceDE/>
              <w:autoSpaceDN/>
              <w:bidi w:val="0"/>
              <w:adjustRightInd/>
              <w:snapToGrid/>
              <w:ind w:firstLine="420" w:firstLineChars="200"/>
              <w:jc w:val="both"/>
              <w:textAlignment w:val="center"/>
              <w:rPr>
                <w:rFonts w:hint="eastAsia" w:ascii="宋体" w:hAnsi="宋体" w:eastAsia="宋体" w:cs="宋体"/>
                <w:color w:val="FF0000"/>
                <w:kern w:val="0"/>
                <w:szCs w:val="21"/>
                <w:lang w:eastAsia="zh-CN"/>
              </w:rPr>
            </w:pPr>
            <w:r>
              <w:rPr>
                <w:rFonts w:hint="eastAsia" w:ascii="宋体" w:hAnsi="宋体" w:cs="宋体"/>
                <w:color w:val="auto"/>
                <w:kern w:val="0"/>
                <w:szCs w:val="21"/>
                <w:lang w:eastAsia="zh-CN"/>
              </w:rPr>
              <w:t>持续对云南省体育彩票管理中心（以下简称采购人）数字可视化系统进行技术服务和运营维护，2025年增加竞猜专题服务、即开专题服务、公益金专题服务、销售管理部数字可视化系统服务（含19个销售管理部数字可视化屏），利用数字可视化技术实现云南体育彩票的合规监管、综合预警、巡检管理、网络监测、数据分析、业务促销、专题展示等功能，进一步加强云南体育彩票精细化管理，推动云南体育彩票安全健康可持续发展。</w:t>
            </w:r>
          </w:p>
        </w:tc>
      </w:tr>
      <w:bookmarkEnd w:id="15"/>
    </w:tbl>
    <w:p w14:paraId="16A15C40">
      <w:pPr>
        <w:ind w:firstLine="422"/>
        <w:rPr>
          <w:rFonts w:hint="eastAsia" w:ascii="宋体" w:hAnsi="宋体" w:cs="宋体"/>
          <w:b/>
          <w:bCs/>
          <w:szCs w:val="21"/>
        </w:rPr>
      </w:pPr>
      <w:r>
        <w:rPr>
          <w:rFonts w:hint="eastAsia" w:ascii="宋体" w:hAnsi="宋体" w:cs="宋体"/>
          <w:b/>
          <w:bCs/>
          <w:szCs w:val="21"/>
        </w:rPr>
        <w:t>注：</w:t>
      </w:r>
    </w:p>
    <w:p w14:paraId="673BD1C1">
      <w:pPr>
        <w:ind w:firstLine="420" w:firstLineChars="0"/>
        <w:rPr>
          <w:rFonts w:hint="eastAsia" w:ascii="宋体" w:hAnsi="宋体" w:cs="宋体"/>
          <w:bCs/>
          <w:szCs w:val="21"/>
        </w:rPr>
      </w:pPr>
      <w:bookmarkStart w:id="16" w:name="OLE_LINK138"/>
      <w:r>
        <w:rPr>
          <w:rFonts w:hint="eastAsia" w:ascii="宋体" w:hAnsi="宋体" w:cs="宋体"/>
          <w:bCs/>
          <w:szCs w:val="21"/>
        </w:rPr>
        <w:t>（1）本项目共设</w:t>
      </w:r>
      <w:r>
        <w:rPr>
          <w:rFonts w:hint="eastAsia" w:ascii="宋体" w:hAnsi="宋体" w:cs="宋体"/>
          <w:b/>
          <w:szCs w:val="21"/>
          <w:u w:val="single"/>
          <w:lang w:val="en-US" w:eastAsia="zh-CN"/>
        </w:rPr>
        <w:t>1</w:t>
      </w:r>
      <w:r>
        <w:rPr>
          <w:rFonts w:hint="eastAsia" w:ascii="宋体" w:hAnsi="宋体" w:cs="宋体"/>
          <w:bCs/>
          <w:szCs w:val="21"/>
        </w:rPr>
        <w:t>个标段,</w:t>
      </w:r>
      <w:r>
        <w:rPr>
          <w:rFonts w:hint="eastAsia" w:ascii="宋体" w:hAnsi="宋体" w:cs="宋体"/>
          <w:b/>
          <w:szCs w:val="21"/>
          <w:lang w:bidi="ar"/>
        </w:rPr>
        <w:t>投标人必须对所有内容作出完整唯一的报价，不得缺项、漏项，否则投标文件将按无效处理。</w:t>
      </w:r>
    </w:p>
    <w:p w14:paraId="3DCD71FB">
      <w:pPr>
        <w:ind w:firstLine="420"/>
        <w:rPr>
          <w:rFonts w:hint="eastAsia"/>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）具</w:t>
      </w:r>
      <w:r>
        <w:rPr>
          <w:rFonts w:hint="eastAsia"/>
        </w:rPr>
        <w:t>体要求等详见本招标文件第五章《采购需求》。</w:t>
      </w:r>
    </w:p>
    <w:p w14:paraId="7239EA8D">
      <w:pPr>
        <w:ind w:firstLine="422"/>
        <w:rPr>
          <w:rFonts w:hint="eastAsia" w:ascii="宋体" w:hAnsi="宋体" w:eastAsia="宋体" w:cs="宋体"/>
          <w:b/>
          <w:bCs/>
          <w:szCs w:val="21"/>
          <w:lang w:eastAsia="zh-CN"/>
        </w:rPr>
      </w:pPr>
      <w:r>
        <w:rPr>
          <w:rFonts w:hint="eastAsia" w:ascii="宋体" w:hAnsi="宋体" w:cs="宋体"/>
          <w:b/>
          <w:bCs/>
          <w:color w:val="000000"/>
          <w:szCs w:val="21"/>
        </w:rPr>
        <w:t>▲</w:t>
      </w:r>
      <w:r>
        <w:rPr>
          <w:rFonts w:hint="eastAsia" w:ascii="宋体" w:hAnsi="宋体" w:cs="宋体"/>
          <w:b/>
          <w:bCs/>
          <w:szCs w:val="21"/>
        </w:rPr>
        <w:t>6</w:t>
      </w:r>
      <w:r>
        <w:rPr>
          <w:rFonts w:ascii="宋体" w:hAnsi="宋体" w:cs="宋体"/>
          <w:b/>
          <w:bCs/>
          <w:szCs w:val="21"/>
        </w:rPr>
        <w:t>.</w:t>
      </w:r>
      <w:r>
        <w:rPr>
          <w:rFonts w:hint="eastAsia" w:ascii="宋体" w:hAnsi="宋体" w:cs="宋体"/>
          <w:b/>
          <w:bCs/>
          <w:szCs w:val="21"/>
          <w:lang w:eastAsia="zh-CN"/>
        </w:rPr>
        <w:t>合同履行期限（服务期限）</w:t>
      </w:r>
      <w:r>
        <w:rPr>
          <w:rFonts w:hint="eastAsia" w:ascii="宋体" w:hAnsi="宋体" w:cs="宋体"/>
          <w:b/>
          <w:bCs/>
          <w:szCs w:val="21"/>
        </w:rPr>
        <w:t>：</w:t>
      </w:r>
      <w:r>
        <w:rPr>
          <w:rFonts w:hint="eastAsia" w:ascii="宋体" w:hAnsi="宋体" w:cs="宋体"/>
          <w:b w:val="0"/>
          <w:bCs w:val="0"/>
          <w:szCs w:val="21"/>
          <w:lang w:eastAsia="zh-CN"/>
        </w:rPr>
        <w:t>1年。</w:t>
      </w:r>
    </w:p>
    <w:p w14:paraId="237D4B6E">
      <w:pPr>
        <w:ind w:firstLine="422"/>
        <w:rPr>
          <w:rFonts w:hint="eastAsia" w:ascii="宋体" w:hAnsi="宋体" w:cs="宋体"/>
          <w:szCs w:val="21"/>
        </w:rPr>
      </w:pPr>
      <w:r>
        <w:rPr>
          <w:rFonts w:hint="eastAsia" w:ascii="宋体" w:hAnsi="宋体" w:cs="宋体"/>
          <w:b/>
          <w:bCs/>
          <w:szCs w:val="21"/>
        </w:rPr>
        <w:t>7</w:t>
      </w:r>
      <w:r>
        <w:rPr>
          <w:rFonts w:ascii="宋体" w:hAnsi="宋体" w:cs="宋体"/>
          <w:b/>
          <w:bCs/>
          <w:szCs w:val="21"/>
        </w:rPr>
        <w:t>.</w:t>
      </w:r>
      <w:r>
        <w:rPr>
          <w:rFonts w:hint="eastAsia" w:ascii="宋体" w:hAnsi="宋体" w:cs="宋体"/>
          <w:b/>
          <w:bCs/>
          <w:szCs w:val="21"/>
          <w:lang w:eastAsia="zh-CN"/>
        </w:rPr>
        <w:t>交付（或实施）地点</w:t>
      </w:r>
      <w:r>
        <w:rPr>
          <w:rFonts w:hint="eastAsia" w:ascii="宋体" w:hAnsi="宋体" w:cs="宋体"/>
          <w:b/>
          <w:bCs/>
          <w:szCs w:val="21"/>
        </w:rPr>
        <w:t>：</w:t>
      </w:r>
      <w:r>
        <w:rPr>
          <w:rFonts w:hint="eastAsia" w:ascii="宋体" w:hAnsi="宋体" w:cs="宋体"/>
          <w:b w:val="0"/>
          <w:bCs w:val="0"/>
          <w:szCs w:val="21"/>
          <w:lang w:eastAsia="zh-CN"/>
        </w:rPr>
        <w:t>甲方指定地点。</w:t>
      </w:r>
    </w:p>
    <w:p w14:paraId="13CDD081">
      <w:pPr>
        <w:ind w:firstLine="420"/>
        <w:rPr>
          <w:rFonts w:ascii="Times New Roman" w:hAnsi="Times New Roman" w:cs="Times New Roman"/>
          <w:szCs w:val="21"/>
        </w:rPr>
      </w:pPr>
      <w:r>
        <w:rPr>
          <w:rFonts w:hint="eastAsia" w:ascii="宋体" w:hAnsi="宋体" w:cs="宋体"/>
          <w:szCs w:val="21"/>
        </w:rPr>
        <w:t>8.本项目</w:t>
      </w:r>
      <w:r>
        <w:rPr>
          <w:rFonts w:hint="eastAsia" w:ascii="宋体" w:hAnsi="宋体" w:cs="宋体"/>
          <w:b/>
          <w:bCs/>
          <w:szCs w:val="21"/>
          <w:u w:val="single"/>
        </w:rPr>
        <w:t>不接受</w:t>
      </w:r>
      <w:r>
        <w:rPr>
          <w:rFonts w:hint="eastAsia" w:ascii="宋体" w:hAnsi="宋体" w:cs="宋体"/>
          <w:szCs w:val="21"/>
        </w:rPr>
        <w:t>联合体。</w:t>
      </w:r>
    </w:p>
    <w:bookmarkEnd w:id="16"/>
    <w:p w14:paraId="5C68A396">
      <w:pPr>
        <w:pStyle w:val="3"/>
        <w:spacing w:before="0" w:beforeLines="0"/>
        <w:rPr>
          <w:rFonts w:ascii="Times New Roman" w:hAnsi="Times New Roman" w:cs="Times New Roman"/>
        </w:rPr>
      </w:pPr>
      <w:bookmarkStart w:id="17" w:name="_Toc25425"/>
      <w:bookmarkStart w:id="18" w:name="_Toc28359080"/>
      <w:bookmarkStart w:id="19" w:name="_Toc3808"/>
      <w:bookmarkStart w:id="20" w:name="_Toc35393791"/>
      <w:bookmarkStart w:id="21" w:name="_Toc31401"/>
      <w:bookmarkStart w:id="22" w:name="_Toc10836"/>
      <w:bookmarkStart w:id="23" w:name="_Toc35393622"/>
      <w:bookmarkStart w:id="24" w:name="_Toc20415"/>
      <w:bookmarkStart w:id="25" w:name="_Toc28359003"/>
      <w:r>
        <w:rPr>
          <w:rFonts w:hint="eastAsia" w:ascii="宋体" w:hAnsi="宋体" w:eastAsia="宋体" w:cs="宋体"/>
          <w:szCs w:val="21"/>
        </w:rPr>
        <w:t>▲</w:t>
      </w:r>
      <w:r>
        <w:rPr>
          <w:rFonts w:ascii="Times New Roman" w:hAnsi="Times New Roman" w:cs="Times New Roman"/>
        </w:rPr>
        <w:t>二</w:t>
      </w:r>
      <w:bookmarkStart w:id="26" w:name="OLE_LINK23"/>
      <w:r>
        <w:rPr>
          <w:rFonts w:ascii="Times New Roman" w:hAnsi="Times New Roman" w:cs="Times New Roman"/>
        </w:rPr>
        <w:t>、</w:t>
      </w:r>
      <w:bookmarkStart w:id="27" w:name="OLE_LINK140"/>
      <w:r>
        <w:rPr>
          <w:rFonts w:hint="eastAsia" w:ascii="Times New Roman" w:hAnsi="Times New Roman" w:cs="Times New Roman"/>
        </w:rPr>
        <w:t>申请</w:t>
      </w:r>
      <w:bookmarkStart w:id="28" w:name="OLE_LINK139"/>
      <w:r>
        <w:rPr>
          <w:rFonts w:hint="eastAsia" w:ascii="Times New Roman" w:hAnsi="Times New Roman" w:cs="Times New Roman"/>
        </w:rPr>
        <w:t>人</w:t>
      </w:r>
      <w:r>
        <w:rPr>
          <w:rFonts w:ascii="Times New Roman" w:hAnsi="Times New Roman" w:cs="Times New Roman"/>
        </w:rPr>
        <w:t>的资格要求</w:t>
      </w:r>
      <w:bookmarkEnd w:id="17"/>
      <w:bookmarkEnd w:id="18"/>
      <w:bookmarkEnd w:id="19"/>
      <w:bookmarkEnd w:id="20"/>
      <w:bookmarkEnd w:id="21"/>
      <w:bookmarkEnd w:id="22"/>
      <w:bookmarkEnd w:id="23"/>
      <w:bookmarkEnd w:id="24"/>
      <w:bookmarkEnd w:id="25"/>
      <w:bookmarkEnd w:id="26"/>
      <w:bookmarkEnd w:id="27"/>
      <w:bookmarkEnd w:id="28"/>
    </w:p>
    <w:p w14:paraId="399FFF16">
      <w:pPr>
        <w:ind w:firstLine="422"/>
        <w:rPr>
          <w:rFonts w:hint="eastAsia" w:ascii="宋体" w:hAnsi="宋体" w:cs="宋体"/>
          <w:kern w:val="0"/>
          <w:szCs w:val="21"/>
        </w:rPr>
      </w:pPr>
      <w:bookmarkStart w:id="29" w:name="OLE_LINK66"/>
      <w:r>
        <w:rPr>
          <w:rFonts w:hint="eastAsia" w:ascii="宋体" w:hAnsi="宋体" w:cs="宋体"/>
          <w:b/>
          <w:bCs/>
          <w:szCs w:val="21"/>
        </w:rPr>
        <w:t>1.满足《中华人民共和国政府采购法》第二十二条规定：</w:t>
      </w:r>
      <w:bookmarkStart w:id="30" w:name="_Toc28359081"/>
      <w:bookmarkStart w:id="31" w:name="_Toc28359004"/>
    </w:p>
    <w:bookmarkEnd w:id="29"/>
    <w:p w14:paraId="4E69B9BD">
      <w:pPr>
        <w:ind w:firstLine="422"/>
        <w:rPr>
          <w:rFonts w:hint="eastAsia" w:ascii="宋体" w:hAnsi="宋体" w:cs="宋体"/>
          <w:szCs w:val="21"/>
        </w:rPr>
      </w:pPr>
      <w:r>
        <w:rPr>
          <w:rFonts w:hint="eastAsia" w:ascii="宋体" w:hAnsi="宋体" w:cs="宋体"/>
          <w:b/>
          <w:bCs/>
          <w:szCs w:val="21"/>
        </w:rPr>
        <w:t>1.1具有独立承担民事责任的能力：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007B7098">
      <w:pPr>
        <w:ind w:firstLine="422"/>
        <w:rPr>
          <w:rFonts w:hint="eastAsia" w:ascii="宋体" w:hAnsi="宋体" w:cs="宋体"/>
          <w:szCs w:val="21"/>
        </w:rPr>
      </w:pPr>
      <w:r>
        <w:rPr>
          <w:rFonts w:hint="eastAsia" w:ascii="宋体" w:hAnsi="宋体" w:cs="宋体"/>
          <w:b/>
          <w:bCs/>
          <w:szCs w:val="21"/>
        </w:rPr>
        <w:t>1.2具有良好的商业信誉和健全的财务会计制度：</w:t>
      </w:r>
    </w:p>
    <w:p w14:paraId="5821E752">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b/>
          <w:bCs/>
          <w:szCs w:val="21"/>
          <w:lang w:eastAsia="zh-CN"/>
        </w:rPr>
        <w:t>：</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152D030">
      <w:pPr>
        <w:ind w:firstLine="422"/>
        <w:rPr>
          <w:rFonts w:hint="eastAsia" w:ascii="宋体" w:hAnsi="宋体" w:cs="宋体"/>
          <w:szCs w:val="21"/>
        </w:rPr>
      </w:pPr>
      <w:r>
        <w:rPr>
          <w:rFonts w:hint="eastAsia" w:ascii="宋体" w:hAnsi="宋体" w:cs="宋体"/>
          <w:b/>
          <w:bCs/>
          <w:szCs w:val="21"/>
        </w:rPr>
        <w:t>1.2.2</w:t>
      </w:r>
      <w:r>
        <w:rPr>
          <w:rFonts w:hint="eastAsia" w:ascii="宋体" w:hAnsi="宋体" w:cs="宋体"/>
          <w:b/>
          <w:bCs/>
          <w:kern w:val="0"/>
          <w:szCs w:val="21"/>
        </w:rPr>
        <w:t>具有健全的财务会计制度</w:t>
      </w:r>
      <w:r>
        <w:rPr>
          <w:rFonts w:hint="eastAsia" w:ascii="宋体" w:hAnsi="宋体" w:cs="宋体"/>
          <w:b/>
          <w:bCs/>
          <w:kern w:val="0"/>
          <w:szCs w:val="21"/>
          <w:lang w:eastAsia="zh-CN"/>
        </w:rPr>
        <w:t>：</w:t>
      </w:r>
      <w:r>
        <w:rPr>
          <w:rFonts w:hint="eastAsia" w:ascii="宋体" w:hAnsi="宋体" w:cs="宋体"/>
          <w:szCs w:val="21"/>
          <w:lang w:eastAsia="zh-CN"/>
        </w:rPr>
        <w:t>投标人须提供2024年经第三方审计的财务报告及报表，或提供自本项目投标文件提交截止时间前三个月内基本开户银行出具的资信证明。新成立企业，成立时间不足一年的，提供自本项目投标文件提交截止时间前三个月内基本开户银行出具的资信证明或自成立至今经第三方审计的财务报告及报表；</w:t>
      </w:r>
    </w:p>
    <w:p w14:paraId="4DDFE3AC">
      <w:pPr>
        <w:ind w:firstLine="422"/>
        <w:rPr>
          <w:rFonts w:hint="eastAsia" w:ascii="宋体" w:hAnsi="宋体" w:cs="宋体"/>
          <w:szCs w:val="21"/>
        </w:rPr>
      </w:pPr>
      <w:r>
        <w:rPr>
          <w:rFonts w:hint="eastAsia" w:ascii="宋体" w:hAnsi="宋体" w:cs="宋体"/>
          <w:b/>
          <w:bCs/>
          <w:szCs w:val="21"/>
        </w:rPr>
        <w:t>1.3具有履行合同所必需的设备和专业技术能力：</w:t>
      </w:r>
      <w:r>
        <w:rPr>
          <w:rFonts w:hint="eastAsia" w:ascii="宋体" w:hAnsi="宋体" w:cs="宋体"/>
          <w:szCs w:val="21"/>
        </w:rPr>
        <w:t>投标人须具有履行合同所必需的设备和专业技术能力（提供说明承诺或其他证明材料）；</w:t>
      </w:r>
    </w:p>
    <w:p w14:paraId="2AB91554">
      <w:pPr>
        <w:ind w:firstLine="422"/>
        <w:rPr>
          <w:rFonts w:hint="eastAsia" w:ascii="宋体" w:hAnsi="宋体" w:cs="宋体"/>
          <w:szCs w:val="21"/>
        </w:rPr>
      </w:pPr>
      <w:r>
        <w:rPr>
          <w:rFonts w:hint="eastAsia" w:ascii="宋体" w:hAnsi="宋体" w:cs="宋体"/>
          <w:b/>
          <w:bCs/>
          <w:szCs w:val="21"/>
        </w:rPr>
        <w:t>1.4具有依法缴纳税收和社会保障资金的良好记录：</w:t>
      </w:r>
    </w:p>
    <w:p w14:paraId="227F17D8">
      <w:pPr>
        <w:ind w:firstLine="422"/>
        <w:rPr>
          <w:rFonts w:hint="eastAsia" w:ascii="宋体" w:hAnsi="宋体" w:cs="宋体"/>
          <w:szCs w:val="21"/>
        </w:rPr>
      </w:pPr>
      <w:r>
        <w:rPr>
          <w:rFonts w:hint="eastAsia" w:ascii="宋体" w:hAnsi="宋体" w:cs="宋体"/>
          <w:szCs w:val="21"/>
        </w:rPr>
        <w:t>1.4.1</w:t>
      </w:r>
      <w:r>
        <w:rPr>
          <w:rFonts w:hint="eastAsia" w:ascii="宋体" w:hAnsi="宋体" w:cs="宋体"/>
          <w:szCs w:val="21"/>
          <w:lang w:eastAsia="zh-CN"/>
        </w:rPr>
        <w:t>投标人须提供缴税所属时间在2024年1月1日起至提交投标文件截止之日前任意连续3个月的税务局税收通用缴款书复印件或银行电子缴税（费）凭证复印件或税务局出具纳税情况的相关证明。新成立企业，成立时间不足3个月的提供具有依法缴纳税收的证明或相关情况说明。投标人依法免税的，应提供依法免税的相关证明文件</w:t>
      </w:r>
      <w:r>
        <w:rPr>
          <w:rFonts w:hint="eastAsia" w:ascii="宋体" w:hAnsi="宋体" w:cs="宋体"/>
          <w:szCs w:val="21"/>
        </w:rPr>
        <w:t>；</w:t>
      </w:r>
    </w:p>
    <w:p w14:paraId="7A330888">
      <w:pPr>
        <w:ind w:firstLine="422"/>
        <w:rPr>
          <w:rFonts w:hint="eastAsia" w:ascii="宋体" w:hAnsi="宋体" w:cs="宋体"/>
          <w:szCs w:val="21"/>
        </w:rPr>
      </w:pPr>
      <w:r>
        <w:rPr>
          <w:rFonts w:hint="eastAsia" w:ascii="宋体" w:hAnsi="宋体" w:cs="宋体"/>
          <w:szCs w:val="21"/>
        </w:rPr>
        <w:t>1.4.2</w:t>
      </w:r>
      <w:r>
        <w:rPr>
          <w:rFonts w:hint="eastAsia" w:ascii="宋体" w:hAnsi="宋体" w:cs="宋体"/>
          <w:szCs w:val="21"/>
          <w:lang w:eastAsia="zh-CN"/>
        </w:rPr>
        <w:t>投标人须提供缴费所属时间在2024年1月1日起至提交投标文件截止之日前任意连续3个月的社会保险费缴款书复印件或银行电子缴税（费）凭证复印件或社保管理部门出具的有效的缴款证明。新成立企业，成立时间不足3个月的提供具有社会保障资金的良好记录的证明或相关情况说明。投标人依法免缴的，应提供依法免缴的相关证明文件</w:t>
      </w:r>
      <w:r>
        <w:rPr>
          <w:rFonts w:hint="eastAsia" w:ascii="宋体" w:hAnsi="宋体" w:cs="宋体"/>
          <w:szCs w:val="21"/>
        </w:rPr>
        <w:t>；</w:t>
      </w:r>
    </w:p>
    <w:p w14:paraId="12F7295F">
      <w:pPr>
        <w:ind w:firstLine="422"/>
        <w:rPr>
          <w:rFonts w:hint="eastAsia" w:ascii="宋体" w:hAnsi="宋体" w:cs="宋体"/>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3AA57F52">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kern w:val="2"/>
          <w:sz w:val="21"/>
          <w:szCs w:val="21"/>
          <w:lang w:val="en-US" w:eastAsia="zh-CN" w:bidi="ar"/>
        </w:rPr>
        <w:t>（提供投标人关联企业情况声明）</w:t>
      </w:r>
    </w:p>
    <w:p w14:paraId="5E067385">
      <w:pPr>
        <w:ind w:firstLine="422"/>
        <w:rPr>
          <w:rFonts w:hint="eastAsia" w:ascii="宋体" w:hAnsi="宋体" w:eastAsia="宋体" w:cs="宋体"/>
          <w:szCs w:val="21"/>
          <w:lang w:eastAsia="zh-CN"/>
        </w:rPr>
      </w:pPr>
      <w:r>
        <w:rPr>
          <w:rFonts w:hint="eastAsia" w:ascii="宋体" w:hAnsi="宋体" w:cs="宋体"/>
          <w:b/>
          <w:bCs/>
          <w:szCs w:val="21"/>
        </w:rPr>
        <w:t>2.落实政府采购政策需满足的资格要求：</w:t>
      </w:r>
      <w:r>
        <w:rPr>
          <w:rFonts w:hint="eastAsia" w:ascii="宋体" w:hAnsi="宋体" w:cs="宋体"/>
          <w:b/>
          <w:bCs/>
          <w:szCs w:val="21"/>
          <w:lang w:val="en-US" w:eastAsia="zh-CN"/>
        </w:rPr>
        <w:t>无。</w:t>
      </w:r>
    </w:p>
    <w:p w14:paraId="4FC12E8B">
      <w:pPr>
        <w:ind w:firstLine="422"/>
        <w:rPr>
          <w:rFonts w:hint="eastAsia" w:ascii="宋体" w:hAnsi="宋体" w:cs="宋体"/>
          <w:szCs w:val="21"/>
        </w:rPr>
      </w:pPr>
      <w:r>
        <w:rPr>
          <w:rFonts w:hint="eastAsia" w:ascii="宋体" w:hAnsi="宋体" w:cs="宋体"/>
          <w:b/>
          <w:bCs/>
          <w:szCs w:val="21"/>
        </w:rPr>
        <w:t>3.本项目的特定资格要求：</w:t>
      </w:r>
      <w:r>
        <w:rPr>
          <w:rFonts w:hint="eastAsia" w:ascii="宋体" w:hAnsi="宋体" w:cs="宋体"/>
          <w:szCs w:val="21"/>
        </w:rPr>
        <w:t>无。</w:t>
      </w:r>
    </w:p>
    <w:p w14:paraId="66C27486">
      <w:pPr>
        <w:pStyle w:val="3"/>
        <w:spacing w:before="0" w:beforeLines="0"/>
        <w:rPr>
          <w:rFonts w:ascii="Times New Roman" w:hAnsi="Times New Roman" w:cs="Times New Roman"/>
        </w:rPr>
      </w:pPr>
      <w:bookmarkStart w:id="32" w:name="_Toc20118"/>
      <w:bookmarkStart w:id="33" w:name="_Toc35393792"/>
      <w:bookmarkStart w:id="34" w:name="_Toc1560"/>
      <w:bookmarkStart w:id="35" w:name="_Toc2689"/>
      <w:bookmarkStart w:id="36" w:name="_Toc17197"/>
      <w:bookmarkStart w:id="37" w:name="_Toc35393623"/>
      <w:bookmarkStart w:id="38" w:name="_Toc23786"/>
      <w:r>
        <w:rPr>
          <w:rFonts w:ascii="Times New Roman" w:hAnsi="Times New Roman" w:cs="Times New Roman"/>
        </w:rPr>
        <w:t>三、获取招标文件</w:t>
      </w:r>
      <w:bookmarkEnd w:id="30"/>
      <w:bookmarkEnd w:id="31"/>
      <w:bookmarkEnd w:id="32"/>
      <w:bookmarkEnd w:id="33"/>
      <w:bookmarkEnd w:id="34"/>
      <w:bookmarkEnd w:id="35"/>
      <w:bookmarkEnd w:id="36"/>
      <w:bookmarkEnd w:id="37"/>
      <w:bookmarkEnd w:id="38"/>
    </w:p>
    <w:p w14:paraId="41796AA9">
      <w:pPr>
        <w:ind w:firstLine="422"/>
        <w:rPr>
          <w:rFonts w:hint="eastAsia" w:ascii="宋体" w:hAnsi="宋体" w:cs="宋体"/>
          <w:szCs w:val="21"/>
        </w:rPr>
      </w:pPr>
      <w:bookmarkStart w:id="39" w:name="_Toc28359005"/>
      <w:bookmarkStart w:id="40" w:name="_Toc28359082"/>
      <w:bookmarkStart w:id="41" w:name="_Toc6731"/>
      <w:bookmarkStart w:id="42" w:name="_Toc35393793"/>
      <w:bookmarkStart w:id="43" w:name="_Toc10554"/>
      <w:bookmarkStart w:id="44" w:name="_Toc35393624"/>
      <w:bookmarkStart w:id="45" w:name="_Toc20986"/>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30</w:t>
      </w:r>
      <w:r>
        <w:rPr>
          <w:rFonts w:hint="eastAsia" w:ascii="宋体" w:hAnsi="宋体" w:cs="宋体"/>
          <w:szCs w:val="21"/>
        </w:rPr>
        <w:t>日至2025年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14</w:t>
      </w:r>
      <w:r>
        <w:rPr>
          <w:rFonts w:hint="eastAsia" w:ascii="宋体" w:hAnsi="宋体" w:cs="宋体"/>
          <w:szCs w:val="21"/>
        </w:rPr>
        <w:t>日每天上午06:00至12:00，下午12:00至23:59（北京时间）。</w:t>
      </w:r>
    </w:p>
    <w:p w14:paraId="4FF1CB71">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46" w:name="OLE_LINK303"/>
      <w:r>
        <w:rPr>
          <w:rFonts w:ascii="宋体" w:hAnsi="宋体" w:cs="宋体"/>
          <w:szCs w:val="21"/>
        </w:rPr>
        <w:t>https://www.zcygov.cn/</w:t>
      </w:r>
      <w:bookmarkEnd w:id="46"/>
      <w:r>
        <w:rPr>
          <w:rFonts w:ascii="宋体" w:hAnsi="宋体" w:cs="宋体"/>
          <w:szCs w:val="21"/>
        </w:rPr>
        <w:t>）</w:t>
      </w:r>
      <w:r>
        <w:rPr>
          <w:rFonts w:hint="eastAsia" w:ascii="宋体" w:hAnsi="宋体" w:cs="宋体"/>
          <w:szCs w:val="21"/>
        </w:rPr>
        <w:t>（操作路径：登录政府采购云平台-项目采购-获取招标文件-找到本项目-点击“申请获取招标文件”）。</w:t>
      </w:r>
    </w:p>
    <w:p w14:paraId="6E06948C">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7" w:name="OLE_LINK304"/>
      <w:r>
        <w:rPr>
          <w:rFonts w:hint="eastAsia" w:ascii="宋体" w:hAnsi="宋体" w:cs="宋体"/>
          <w:szCs w:val="21"/>
        </w:rPr>
        <w:t>登录政府采购云平台完成数字证书（CA）绑定才可以使用，数字证书</w:t>
      </w:r>
      <w:bookmarkEnd w:id="47"/>
      <w:r>
        <w:rPr>
          <w:rFonts w:hint="eastAsia" w:ascii="宋体" w:hAnsi="宋体" w:cs="宋体"/>
          <w:szCs w:val="21"/>
        </w:rPr>
        <w:t>（CA）详见其办理流程。注：</w:t>
      </w:r>
      <w:bookmarkStart w:id="48" w:name="OLE_LINK305"/>
      <w:r>
        <w:rPr>
          <w:rFonts w:hint="eastAsia" w:ascii="宋体" w:hAnsi="宋体" w:cs="宋体"/>
          <w:szCs w:val="21"/>
        </w:rPr>
        <w:t>云南本地投标人如之前已在云南CA在线数字证书办理网进行过注册并办理过企业数字证书</w:t>
      </w:r>
      <w:bookmarkEnd w:id="48"/>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；2.按上述要求获取采购文件的投标人视为合法获取了本项目采购文件，可以参加投标；</w:t>
      </w:r>
    </w:p>
    <w:p w14:paraId="09FC82E2">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rPr>
        <w:t>0元。</w:t>
      </w:r>
    </w:p>
    <w:p w14:paraId="3956BDB5">
      <w:pPr>
        <w:pStyle w:val="3"/>
        <w:spacing w:before="0" w:beforeLines="0"/>
        <w:rPr>
          <w:rFonts w:ascii="Times New Roman" w:hAnsi="Times New Roman" w:cs="Times New Roman"/>
        </w:rPr>
      </w:pPr>
      <w:bookmarkStart w:id="49" w:name="_Toc11045"/>
      <w:r>
        <w:rPr>
          <w:rFonts w:ascii="Times New Roman" w:hAnsi="Times New Roman" w:cs="Times New Roman"/>
        </w:rPr>
        <w:t>四、提交投标文件</w:t>
      </w:r>
      <w:bookmarkEnd w:id="39"/>
      <w:bookmarkEnd w:id="40"/>
      <w:r>
        <w:rPr>
          <w:rFonts w:ascii="Times New Roman" w:hAnsi="Times New Roman" w:cs="Times New Roman"/>
        </w:rPr>
        <w:t>截止时间、开标时间和地点</w:t>
      </w:r>
      <w:bookmarkEnd w:id="41"/>
      <w:bookmarkEnd w:id="42"/>
      <w:bookmarkEnd w:id="43"/>
      <w:bookmarkEnd w:id="44"/>
      <w:bookmarkEnd w:id="45"/>
      <w:bookmarkEnd w:id="49"/>
    </w:p>
    <w:p w14:paraId="2440BAA4">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2025年10月20日14点00分</w:t>
      </w:r>
      <w:r>
        <w:rPr>
          <w:rFonts w:hint="eastAsia" w:ascii="宋体" w:hAnsi="宋体" w:cs="宋体"/>
          <w:bCs/>
          <w:szCs w:val="21"/>
        </w:rPr>
        <w:t>（北京时间）。</w:t>
      </w:r>
    </w:p>
    <w:p w14:paraId="3989EA0D">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w:t>
      </w:r>
      <w:r>
        <w:rPr>
          <w:rFonts w:hint="eastAsia"/>
          <w:lang w:val="en-US" w:eastAsia="zh-CN"/>
        </w:rPr>
        <w:t>开评一体6号会议室</w:t>
      </w:r>
      <w:r>
        <w:rPr>
          <w:rFonts w:hint="eastAsia"/>
        </w:rPr>
        <w:t>（云南省昆明市滇池度假区中天融域小区17幢1单元），投标人无需到达开标地点，须在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36B61983">
      <w:pPr>
        <w:pStyle w:val="3"/>
        <w:spacing w:before="0" w:beforeLines="0"/>
        <w:rPr>
          <w:rFonts w:ascii="Times New Roman" w:hAnsi="Times New Roman" w:cs="Times New Roman"/>
        </w:rPr>
      </w:pPr>
      <w:bookmarkStart w:id="50" w:name="_Toc35393794"/>
      <w:bookmarkStart w:id="51" w:name="_Toc28359007"/>
      <w:bookmarkStart w:id="52" w:name="_Toc28359084"/>
      <w:bookmarkStart w:id="53" w:name="_Toc29729"/>
      <w:bookmarkStart w:id="54" w:name="_Toc22439"/>
      <w:bookmarkStart w:id="55" w:name="_Toc35393625"/>
      <w:bookmarkStart w:id="56" w:name="_Toc18082"/>
      <w:bookmarkStart w:id="57" w:name="_Toc26157"/>
      <w:bookmarkStart w:id="58" w:name="_Toc11901"/>
      <w:r>
        <w:rPr>
          <w:rFonts w:ascii="Times New Roman" w:hAnsi="Times New Roman" w:cs="Times New Roman"/>
        </w:rPr>
        <w:t>五、公告期限</w:t>
      </w:r>
      <w:bookmarkEnd w:id="50"/>
      <w:bookmarkEnd w:id="51"/>
      <w:bookmarkEnd w:id="52"/>
      <w:bookmarkEnd w:id="53"/>
      <w:bookmarkEnd w:id="54"/>
      <w:bookmarkEnd w:id="55"/>
      <w:bookmarkEnd w:id="56"/>
      <w:bookmarkEnd w:id="57"/>
      <w:bookmarkEnd w:id="58"/>
    </w:p>
    <w:p w14:paraId="4D2753A0">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5D63CDCF">
      <w:pPr>
        <w:pStyle w:val="3"/>
        <w:spacing w:before="0" w:beforeLines="0"/>
        <w:rPr>
          <w:rFonts w:ascii="Times New Roman" w:hAnsi="Times New Roman" w:cs="Times New Roman"/>
        </w:rPr>
      </w:pPr>
      <w:bookmarkStart w:id="59" w:name="_Toc26032"/>
      <w:bookmarkStart w:id="60" w:name="_Toc31021"/>
      <w:bookmarkStart w:id="61" w:name="_Toc13693"/>
      <w:bookmarkStart w:id="62" w:name="_Toc35393795"/>
      <w:bookmarkStart w:id="63" w:name="_Toc35393626"/>
      <w:bookmarkStart w:id="64" w:name="_Toc20252"/>
      <w:bookmarkStart w:id="65" w:name="_Toc23711"/>
      <w:r>
        <w:rPr>
          <w:rFonts w:ascii="Times New Roman" w:hAnsi="Times New Roman" w:cs="Times New Roman"/>
        </w:rPr>
        <w:t>六、其他补充事宜</w:t>
      </w:r>
      <w:bookmarkEnd w:id="59"/>
      <w:bookmarkEnd w:id="60"/>
      <w:bookmarkEnd w:id="61"/>
      <w:bookmarkEnd w:id="62"/>
      <w:bookmarkEnd w:id="63"/>
      <w:bookmarkEnd w:id="64"/>
      <w:bookmarkEnd w:id="65"/>
    </w:p>
    <w:p w14:paraId="0D75183F">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66" w:name="OLE_LINK317"/>
      <w:r>
        <w:rPr>
          <w:rFonts w:hint="eastAsia" w:ascii="宋体" w:hAnsi="宋体" w:cs="宋体"/>
          <w:bCs/>
          <w:szCs w:val="21"/>
        </w:rPr>
        <w:t>在《云南省</w:t>
      </w:r>
      <w:bookmarkEnd w:id="66"/>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2A088E48">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798BBC4C">
      <w:pPr>
        <w:ind w:firstLine="420"/>
        <w:rPr>
          <w:rFonts w:ascii="Times New Roman" w:hAnsi="Times New Roman" w:eastAsia="黑体" w:cs="Times New Roman"/>
        </w:rPr>
      </w:pPr>
      <w:bookmarkStart w:id="67" w:name="_Toc12949"/>
      <w:bookmarkStart w:id="68" w:name="_Toc30872"/>
      <w:bookmarkStart w:id="69" w:name="_Toc35393627"/>
      <w:bookmarkStart w:id="70" w:name="_Toc35393796"/>
      <w:bookmarkStart w:id="71" w:name="_Toc9142"/>
      <w:bookmarkStart w:id="72" w:name="_Toc28359085"/>
      <w:bookmarkStart w:id="73" w:name="_Toc32637"/>
      <w:bookmarkStart w:id="74" w:name="_Toc7673"/>
      <w:bookmarkStart w:id="75" w:name="_Toc28359008"/>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41358E91">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67"/>
      <w:bookmarkEnd w:id="68"/>
      <w:bookmarkEnd w:id="69"/>
      <w:bookmarkEnd w:id="70"/>
      <w:bookmarkEnd w:id="71"/>
      <w:bookmarkEnd w:id="72"/>
      <w:bookmarkEnd w:id="73"/>
      <w:bookmarkEnd w:id="74"/>
      <w:bookmarkEnd w:id="75"/>
    </w:p>
    <w:p w14:paraId="2D3F8717">
      <w:pPr>
        <w:ind w:firstLine="422"/>
        <w:rPr>
          <w:rFonts w:hint="eastAsia" w:ascii="宋体" w:hAnsi="宋体" w:cs="宋体"/>
          <w:b/>
          <w:bCs/>
          <w:szCs w:val="21"/>
        </w:rPr>
      </w:pPr>
      <w:r>
        <w:rPr>
          <w:rFonts w:hint="eastAsia" w:ascii="宋体" w:hAnsi="宋体" w:cs="宋体"/>
          <w:b/>
          <w:bCs/>
          <w:szCs w:val="21"/>
        </w:rPr>
        <w:t>1.采购人信息</w:t>
      </w:r>
    </w:p>
    <w:p w14:paraId="7825D32D">
      <w:pPr>
        <w:ind w:firstLine="420"/>
        <w:rPr>
          <w:rFonts w:hint="eastAsia" w:ascii="宋体" w:hAnsi="宋体" w:eastAsia="宋体" w:cs="宋体"/>
          <w:szCs w:val="21"/>
          <w:lang w:eastAsia="zh-CN"/>
        </w:rPr>
      </w:pPr>
      <w:r>
        <w:rPr>
          <w:rFonts w:hint="eastAsia" w:ascii="宋体" w:hAnsi="宋体" w:cs="宋体"/>
          <w:szCs w:val="21"/>
        </w:rPr>
        <w:t>名称：</w:t>
      </w:r>
      <w:r>
        <w:rPr>
          <w:rFonts w:hint="eastAsia" w:ascii="宋体" w:hAnsi="宋体" w:cs="宋体"/>
          <w:szCs w:val="21"/>
          <w:lang w:eastAsia="zh-CN"/>
        </w:rPr>
        <w:t>云南省体育彩票管理中心</w:t>
      </w:r>
    </w:p>
    <w:p w14:paraId="3CC99F29">
      <w:pPr>
        <w:ind w:firstLine="420"/>
        <w:rPr>
          <w:rFonts w:hint="eastAsia" w:ascii="宋体" w:hAnsi="宋体" w:eastAsia="宋体" w:cs="宋体"/>
          <w:szCs w:val="21"/>
          <w:lang w:eastAsia="zh-CN"/>
        </w:rPr>
      </w:pPr>
      <w:r>
        <w:rPr>
          <w:rFonts w:hint="eastAsia" w:ascii="宋体" w:hAnsi="宋体" w:cs="宋体"/>
          <w:szCs w:val="21"/>
        </w:rPr>
        <w:t>地址：</w:t>
      </w:r>
      <w:r>
        <w:rPr>
          <w:rFonts w:hint="eastAsia" w:ascii="宋体" w:hAnsi="宋体" w:cs="宋体"/>
          <w:szCs w:val="21"/>
          <w:lang w:eastAsia="zh-CN"/>
        </w:rPr>
        <w:t>云南省昆明市西山区希望路45号</w:t>
      </w:r>
    </w:p>
    <w:p w14:paraId="57196D2F">
      <w:pPr>
        <w:ind w:firstLine="420"/>
        <w:rPr>
          <w:rFonts w:hint="eastAsia" w:ascii="宋体" w:hAnsi="宋体" w:eastAsia="宋体" w:cs="宋体"/>
          <w:b/>
          <w:bCs/>
          <w:szCs w:val="21"/>
          <w:lang w:eastAsia="zh-CN"/>
        </w:rPr>
      </w:pPr>
      <w:r>
        <w:rPr>
          <w:rFonts w:hint="eastAsia" w:ascii="宋体" w:hAnsi="宋体" w:cs="宋体"/>
          <w:szCs w:val="21"/>
        </w:rPr>
        <w:t>联系方式：</w:t>
      </w:r>
      <w:bookmarkStart w:id="76" w:name="_Toc28359086"/>
      <w:bookmarkStart w:id="77" w:name="_Toc28359009"/>
      <w:r>
        <w:rPr>
          <w:rFonts w:hint="eastAsia" w:ascii="宋体" w:hAnsi="宋体" w:cs="宋体"/>
          <w:szCs w:val="21"/>
          <w:lang w:val="en-US" w:eastAsia="zh-CN"/>
        </w:rPr>
        <w:t>陆老师</w:t>
      </w:r>
      <w:r>
        <w:rPr>
          <w:rFonts w:hint="eastAsia" w:ascii="宋体" w:hAnsi="宋体" w:cs="宋体"/>
          <w:szCs w:val="21"/>
        </w:rPr>
        <w:t xml:space="preserve"> </w:t>
      </w:r>
      <w:r>
        <w:rPr>
          <w:rFonts w:hint="eastAsia" w:ascii="宋体" w:hAnsi="宋体" w:cs="宋体"/>
          <w:szCs w:val="21"/>
          <w:lang w:val="en-US" w:eastAsia="zh-CN"/>
        </w:rPr>
        <w:t>0871-64622570</w:t>
      </w:r>
    </w:p>
    <w:p w14:paraId="483513DC">
      <w:pPr>
        <w:ind w:firstLine="422"/>
        <w:rPr>
          <w:rFonts w:hint="eastAsia" w:ascii="宋体" w:hAnsi="宋体" w:cs="宋体"/>
          <w:b/>
          <w:bCs/>
          <w:szCs w:val="21"/>
        </w:rPr>
      </w:pPr>
      <w:r>
        <w:rPr>
          <w:rFonts w:hint="eastAsia" w:ascii="宋体" w:hAnsi="宋体" w:cs="宋体"/>
          <w:b/>
          <w:bCs/>
          <w:szCs w:val="21"/>
        </w:rPr>
        <w:t>2.采购代理机构信息</w:t>
      </w:r>
      <w:bookmarkEnd w:id="76"/>
      <w:bookmarkEnd w:id="77"/>
    </w:p>
    <w:p w14:paraId="2E855F7E">
      <w:pPr>
        <w:ind w:firstLine="420"/>
        <w:rPr>
          <w:rFonts w:hint="eastAsia" w:ascii="宋体" w:hAnsi="宋体" w:cs="宋体"/>
          <w:szCs w:val="21"/>
        </w:rPr>
      </w:pPr>
      <w:r>
        <w:rPr>
          <w:rFonts w:hint="eastAsia" w:ascii="宋体" w:hAnsi="宋体" w:cs="宋体"/>
          <w:szCs w:val="21"/>
        </w:rPr>
        <w:t>名称：云南中</w:t>
      </w:r>
      <w:bookmarkEnd w:id="14"/>
      <w:r>
        <w:rPr>
          <w:rFonts w:hint="eastAsia" w:ascii="宋体" w:hAnsi="宋体" w:cs="宋体"/>
          <w:szCs w:val="21"/>
        </w:rPr>
        <w:t>咨海外咨询有限公司</w:t>
      </w:r>
    </w:p>
    <w:p w14:paraId="65B7612B">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4778E76F">
      <w:pPr>
        <w:ind w:firstLine="420"/>
        <w:rPr>
          <w:rFonts w:hint="default" w:ascii="宋体" w:hAnsi="宋体" w:eastAsia="宋体" w:cs="宋体"/>
          <w:b/>
          <w:bCs/>
          <w:szCs w:val="21"/>
          <w:lang w:val="en-US" w:eastAsia="zh-CN"/>
        </w:rPr>
      </w:pPr>
      <w:r>
        <w:rPr>
          <w:rFonts w:hint="eastAsia" w:ascii="宋体" w:hAnsi="宋体" w:cs="宋体"/>
          <w:szCs w:val="21"/>
        </w:rPr>
        <w:t>联系方式：</w:t>
      </w:r>
      <w:bookmarkStart w:id="78" w:name="_Toc28359087"/>
      <w:bookmarkStart w:id="79" w:name="_Toc28359010"/>
      <w:r>
        <w:rPr>
          <w:rFonts w:hint="eastAsia" w:ascii="宋体" w:hAnsi="宋体" w:cs="宋体"/>
          <w:szCs w:val="21"/>
        </w:rPr>
        <w:t>0871-68103662</w:t>
      </w:r>
      <w:r>
        <w:rPr>
          <w:rFonts w:hint="eastAsia" w:ascii="宋体" w:hAnsi="宋体" w:cs="宋体"/>
          <w:szCs w:val="21"/>
          <w:lang w:val="en-US" w:eastAsia="zh-CN"/>
        </w:rPr>
        <w:t>或0871-68101774</w:t>
      </w:r>
    </w:p>
    <w:p w14:paraId="5F3E4700">
      <w:pPr>
        <w:ind w:firstLine="422"/>
        <w:rPr>
          <w:rFonts w:hint="eastAsia" w:ascii="宋体" w:hAnsi="宋体" w:cs="宋体"/>
          <w:b/>
          <w:bCs/>
          <w:szCs w:val="21"/>
        </w:rPr>
      </w:pPr>
      <w:r>
        <w:rPr>
          <w:rFonts w:hint="eastAsia" w:ascii="宋体" w:hAnsi="宋体" w:cs="宋体"/>
          <w:b/>
          <w:bCs/>
          <w:szCs w:val="21"/>
        </w:rPr>
        <w:t>3.项目联系方式</w:t>
      </w:r>
      <w:bookmarkEnd w:id="78"/>
      <w:bookmarkEnd w:id="79"/>
    </w:p>
    <w:p w14:paraId="62A610A8">
      <w:pPr>
        <w:ind w:firstLine="420"/>
        <w:rPr>
          <w:rFonts w:hint="eastAsia" w:ascii="宋体" w:hAnsi="宋体" w:eastAsia="宋体" w:cs="宋体"/>
          <w:szCs w:val="21"/>
          <w:lang w:eastAsia="zh-CN"/>
        </w:rPr>
      </w:pPr>
      <w:r>
        <w:rPr>
          <w:rFonts w:hint="eastAsia" w:ascii="宋体" w:hAnsi="宋体" w:cs="宋体"/>
          <w:szCs w:val="21"/>
        </w:rPr>
        <w:t>项目联系人：</w:t>
      </w:r>
      <w:r>
        <w:rPr>
          <w:rFonts w:hint="eastAsia" w:ascii="宋体" w:hAnsi="宋体" w:cs="宋体"/>
          <w:szCs w:val="21"/>
          <w:lang w:eastAsia="zh-CN"/>
        </w:rPr>
        <w:t>阮斌丽、王柯懿、杨洁轶、丁红梅、李杰</w:t>
      </w:r>
    </w:p>
    <w:p w14:paraId="3142D453">
      <w:pPr>
        <w:ind w:firstLine="420"/>
        <w:rPr>
          <w:rFonts w:hint="eastAsia" w:ascii="宋体" w:hAnsi="宋体" w:cs="宋体"/>
          <w:sz w:val="24"/>
          <w:szCs w:val="24"/>
        </w:rPr>
      </w:pPr>
      <w:r>
        <w:rPr>
          <w:rFonts w:hint="eastAsia" w:ascii="宋体" w:hAnsi="宋体" w:cs="宋体"/>
          <w:szCs w:val="21"/>
        </w:rPr>
        <w:t>电　话：0871-68103662</w:t>
      </w:r>
      <w:r>
        <w:rPr>
          <w:rFonts w:hint="eastAsia" w:ascii="宋体" w:hAnsi="宋体" w:cs="宋体"/>
          <w:szCs w:val="21"/>
          <w:lang w:val="en-US" w:eastAsia="zh-CN"/>
        </w:rPr>
        <w:t>或0871-68101774</w:t>
      </w:r>
    </w:p>
    <w:p w14:paraId="3A4AFE6C">
      <w:pPr>
        <w:spacing w:line="460" w:lineRule="exact"/>
        <w:ind w:firstLine="420"/>
        <w:rPr>
          <w:rFonts w:hint="eastAsia" w:ascii="宋体" w:hAnsi="宋体" w:cs="宋体"/>
          <w:color w:val="FF0000"/>
          <w:sz w:val="24"/>
          <w:szCs w:val="24"/>
        </w:rPr>
      </w:pPr>
      <w:r>
        <w:rPr>
          <w:rFonts w:hint="eastAsia" w:ascii="宋体" w:hAnsi="宋体" w:cs="宋体"/>
          <w:szCs w:val="21"/>
        </w:rPr>
        <w:t>电子邮箱</w:t>
      </w:r>
      <w:r>
        <w:rPr>
          <w:rFonts w:hint="eastAsia" w:ascii="宋体" w:hAnsi="宋体"/>
          <w:color w:val="000000" w:themeColor="text1"/>
          <w:szCs w:val="21"/>
          <w14:textFill>
            <w14:solidFill>
              <w14:schemeClr w14:val="tx1"/>
            </w14:solidFill>
          </w14:textFill>
        </w:rPr>
        <w:t>：</w:t>
      </w:r>
      <w:r>
        <w:fldChar w:fldCharType="begin"/>
      </w:r>
      <w:r>
        <w:instrText xml:space="preserve"> HYPERLINK "mailto:zzhw02@vip.163.com" </w:instrText>
      </w:r>
      <w:r>
        <w:fldChar w:fldCharType="separate"/>
      </w:r>
      <w:r>
        <w:rPr>
          <w:rFonts w:hint="eastAsia" w:ascii="宋体" w:hAnsi="宋体"/>
          <w:color w:val="000000" w:themeColor="text1"/>
          <w:szCs w:val="21"/>
          <w14:textFill>
            <w14:solidFill>
              <w14:schemeClr w14:val="tx1"/>
            </w14:solidFill>
          </w14:textFill>
        </w:rPr>
        <w:t>zzhw02@vip.163.com</w:t>
      </w:r>
      <w:r>
        <w:rPr>
          <w:rFonts w:hint="eastAsia" w:ascii="宋体" w:hAnsi="宋体"/>
          <w:color w:val="000000" w:themeColor="text1"/>
          <w:szCs w:val="21"/>
          <w14:textFill>
            <w14:solidFill>
              <w14:schemeClr w14:val="tx1"/>
            </w14:solidFill>
          </w14:textFill>
        </w:rPr>
        <w:fldChar w:fldCharType="end"/>
      </w:r>
      <w:r>
        <w:rPr>
          <w:rFonts w:ascii="宋体" w:hAnsi="宋体" w:cs="宋体"/>
          <w:color w:val="FF0000"/>
          <w:sz w:val="24"/>
          <w:szCs w:val="24"/>
        </w:rPr>
        <w:br w:type="page"/>
      </w:r>
    </w:p>
    <w:p w14:paraId="12853D3E">
      <w:pPr>
        <w:pStyle w:val="2"/>
        <w:spacing w:before="0" w:beforeLines="0"/>
        <w:rPr>
          <w:rFonts w:ascii="Times New Roman" w:hAnsi="Times New Roman" w:cs="Times New Roman"/>
        </w:rPr>
      </w:pPr>
      <w:bookmarkStart w:id="80" w:name="_Toc10769"/>
      <w:bookmarkStart w:id="81" w:name="_Toc38338266"/>
      <w:bookmarkStart w:id="82" w:name="OLE_LINK173"/>
      <w:r>
        <w:rPr>
          <w:rFonts w:ascii="Times New Roman" w:hAnsi="Times New Roman" w:cs="Times New Roman"/>
        </w:rPr>
        <w:t>第二章</w:t>
      </w:r>
      <w:r>
        <w:rPr>
          <w:rFonts w:hint="eastAsia" w:ascii="Times New Roman" w:hAnsi="Times New Roman" w:cs="Times New Roman"/>
        </w:rPr>
        <w:t xml:space="preserve"> </w:t>
      </w:r>
      <w:r>
        <w:rPr>
          <w:rFonts w:ascii="Times New Roman" w:hAnsi="Times New Roman" w:cs="Times New Roman"/>
        </w:rPr>
        <w:t>投标人须知</w:t>
      </w:r>
      <w:bookmarkEnd w:id="80"/>
      <w:bookmarkEnd w:id="81"/>
    </w:p>
    <w:p w14:paraId="2B400DAA">
      <w:pPr>
        <w:pStyle w:val="3"/>
        <w:spacing w:before="0" w:beforeLines="0"/>
        <w:jc w:val="center"/>
        <w:rPr>
          <w:rFonts w:ascii="Times New Roman" w:hAnsi="Times New Roman" w:cs="Times New Roman"/>
        </w:rPr>
      </w:pPr>
      <w:bookmarkStart w:id="83" w:name="_Toc488633603"/>
      <w:bookmarkStart w:id="84" w:name="_Toc401342132"/>
      <w:bookmarkStart w:id="85" w:name="_Toc480817642"/>
      <w:bookmarkStart w:id="86" w:name="_Toc24524"/>
      <w:bookmarkStart w:id="87" w:name="_Toc38338267"/>
      <w:bookmarkStart w:id="88" w:name="_Toc12595"/>
      <w:bookmarkStart w:id="89" w:name="_Toc378239076"/>
      <w:bookmarkStart w:id="90" w:name="_Toc37716347"/>
      <w:bookmarkStart w:id="91" w:name="_Toc489145702"/>
      <w:bookmarkStart w:id="92" w:name="_Toc378239168"/>
      <w:bookmarkStart w:id="93" w:name="_Toc378239349"/>
      <w:r>
        <w:rPr>
          <w:rFonts w:ascii="Times New Roman" w:hAnsi="Times New Roman" w:cs="Times New Roman"/>
        </w:rPr>
        <w:t>投标人须知前附表</w:t>
      </w:r>
      <w:bookmarkEnd w:id="83"/>
      <w:bookmarkEnd w:id="84"/>
      <w:bookmarkEnd w:id="85"/>
      <w:bookmarkEnd w:id="86"/>
      <w:bookmarkEnd w:id="87"/>
      <w:bookmarkEnd w:id="88"/>
      <w:bookmarkEnd w:id="89"/>
      <w:bookmarkEnd w:id="90"/>
      <w:bookmarkEnd w:id="91"/>
      <w:bookmarkEnd w:id="92"/>
      <w:bookmarkEnd w:id="93"/>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6EF18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78370584">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33A167C9">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598E3C50">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2"/>
      <w:tr w14:paraId="7B616A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458AF2F5">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01499AFC">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099D2CF2">
            <w:pPr>
              <w:ind w:firstLine="0" w:firstLineChars="0"/>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云南省体育彩票管理中心</w:t>
            </w:r>
          </w:p>
        </w:tc>
      </w:tr>
      <w:tr w14:paraId="2EC4EF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58E8D72D">
            <w:pPr>
              <w:ind w:firstLine="0" w:firstLineChars="0"/>
              <w:jc w:val="center"/>
              <w:rPr>
                <w:rFonts w:ascii="Times New Roman" w:hAnsi="Times New Roman" w:cs="Times New Roman"/>
                <w:szCs w:val="21"/>
              </w:rPr>
            </w:pPr>
            <w:bookmarkStart w:id="94" w:name="OLE_LINK45" w:colFirst="1" w:colLast="1"/>
            <w:r>
              <w:rPr>
                <w:rFonts w:ascii="Times New Roman" w:hAnsi="Times New Roman" w:cs="Times New Roman"/>
                <w:szCs w:val="21"/>
              </w:rPr>
              <w:t>1.2</w:t>
            </w:r>
          </w:p>
        </w:tc>
        <w:tc>
          <w:tcPr>
            <w:tcW w:w="2486" w:type="dxa"/>
            <w:vAlign w:val="center"/>
          </w:tcPr>
          <w:p w14:paraId="2EAFA3F8">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1378CEDC">
            <w:pPr>
              <w:ind w:firstLine="0" w:firstLineChars="0"/>
              <w:rPr>
                <w:rFonts w:ascii="Times New Roman" w:hAnsi="Times New Roman" w:cs="Times New Roman"/>
                <w:szCs w:val="21"/>
              </w:rPr>
            </w:pPr>
            <w:r>
              <w:rPr>
                <w:rFonts w:hint="eastAsia" w:ascii="Times New Roman" w:hAnsi="Times New Roman" w:cs="Times New Roman"/>
                <w:szCs w:val="21"/>
              </w:rPr>
              <w:t>云南中咨海外咨询有限公司</w:t>
            </w:r>
          </w:p>
        </w:tc>
      </w:tr>
      <w:bookmarkEnd w:id="94"/>
      <w:tr w14:paraId="6DAA24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445C8687">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142AC788">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4CFDB2A3">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项目名称：</w:t>
            </w:r>
            <w:r>
              <w:rPr>
                <w:rFonts w:hint="eastAsia" w:ascii="Times New Roman" w:hAnsi="Times New Roman" w:cs="Times New Roman"/>
                <w:szCs w:val="21"/>
                <w:lang w:eastAsia="zh-CN"/>
              </w:rPr>
              <w:t>云南省体育彩票管理中心2025年数字可视化系统服务采购项目</w:t>
            </w:r>
          </w:p>
          <w:p w14:paraId="22BE9AFD">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YNZC2025-G3-06153-YNZZ-0597</w:t>
            </w:r>
          </w:p>
        </w:tc>
      </w:tr>
      <w:tr w14:paraId="444949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4E9848F">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0462C8B1">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1CED3D19">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481E5F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DA2719D">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0FA3371D">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2538F0BC">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1C50E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9B8742D">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3D60BAB3">
            <w:pPr>
              <w:ind w:firstLine="0" w:firstLineChars="0"/>
              <w:jc w:val="center"/>
              <w:rPr>
                <w:rFonts w:ascii="Times New Roman" w:hAnsi="Times New Roman" w:cs="Times New Roman"/>
                <w:bCs/>
                <w:szCs w:val="21"/>
              </w:rPr>
            </w:pPr>
            <w:r>
              <w:rPr>
                <w:rFonts w:hint="eastAsia" w:ascii="宋体" w:hAnsi="宋体" w:cs="宋体"/>
                <w:b/>
                <w:bCs/>
                <w:color w:val="000000"/>
                <w:szCs w:val="21"/>
              </w:rPr>
              <w:t>▲</w:t>
            </w:r>
            <w:r>
              <w:rPr>
                <w:rFonts w:ascii="Times New Roman" w:hAnsi="Times New Roman" w:cs="Times New Roman"/>
                <w:bCs/>
                <w:szCs w:val="21"/>
              </w:rPr>
              <w:t>合同履行期限</w:t>
            </w:r>
          </w:p>
          <w:p w14:paraId="65FFB456">
            <w:pPr>
              <w:ind w:firstLine="0" w:firstLineChars="0"/>
              <w:jc w:val="center"/>
              <w:rPr>
                <w:rFonts w:ascii="Times New Roman" w:hAnsi="Times New Roman" w:cs="Times New Roman"/>
                <w:szCs w:val="21"/>
              </w:rPr>
            </w:pPr>
            <w:r>
              <w:rPr>
                <w:rFonts w:hint="eastAsia" w:ascii="Times New Roman" w:hAnsi="Times New Roman" w:cs="Times New Roman"/>
                <w:bCs/>
                <w:szCs w:val="21"/>
              </w:rPr>
              <w:t>（</w:t>
            </w:r>
            <w:r>
              <w:rPr>
                <w:rFonts w:hint="eastAsia" w:ascii="Times New Roman" w:hAnsi="Times New Roman" w:cs="Times New Roman"/>
                <w:bCs/>
                <w:szCs w:val="21"/>
                <w:lang w:eastAsia="zh-CN"/>
              </w:rPr>
              <w:t>服务期限</w:t>
            </w:r>
            <w:r>
              <w:rPr>
                <w:rFonts w:hint="eastAsia" w:ascii="Times New Roman" w:hAnsi="Times New Roman" w:cs="Times New Roman"/>
                <w:bCs/>
                <w:szCs w:val="21"/>
              </w:rPr>
              <w:t>）</w:t>
            </w:r>
          </w:p>
        </w:tc>
        <w:tc>
          <w:tcPr>
            <w:tcW w:w="5333" w:type="dxa"/>
            <w:vAlign w:val="center"/>
          </w:tcPr>
          <w:p w14:paraId="6C0D5387">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157E5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52BE05C1">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3159AFB1">
            <w:pPr>
              <w:ind w:firstLine="0" w:firstLineChars="0"/>
              <w:jc w:val="center"/>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交付（或实施）地点</w:t>
            </w:r>
          </w:p>
        </w:tc>
        <w:tc>
          <w:tcPr>
            <w:tcW w:w="5333" w:type="dxa"/>
            <w:vAlign w:val="center"/>
          </w:tcPr>
          <w:p w14:paraId="5FE33037">
            <w:pPr>
              <w:ind w:firstLine="0" w:firstLineChars="0"/>
              <w:rPr>
                <w:rFonts w:ascii="Times New Roman" w:hAnsi="Times New Roman" w:cs="Times New Roman"/>
                <w:szCs w:val="21"/>
              </w:rPr>
            </w:pPr>
            <w:r>
              <w:rPr>
                <w:rFonts w:ascii="Times New Roman" w:hAnsi="Times New Roman" w:cs="Times New Roman"/>
                <w:szCs w:val="21"/>
              </w:rPr>
              <w:t>详见招标</w:t>
            </w:r>
            <w:bookmarkStart w:id="95" w:name="OLE_LINK4"/>
            <w:r>
              <w:rPr>
                <w:rFonts w:ascii="Times New Roman" w:hAnsi="Times New Roman" w:cs="Times New Roman"/>
                <w:szCs w:val="21"/>
              </w:rPr>
              <w:t>文件第</w:t>
            </w:r>
            <w:bookmarkEnd w:id="95"/>
            <w:r>
              <w:rPr>
                <w:rFonts w:ascii="Times New Roman" w:hAnsi="Times New Roman" w:cs="Times New Roman"/>
                <w:szCs w:val="21"/>
              </w:rPr>
              <w:t>一章《招标公告》</w:t>
            </w:r>
          </w:p>
        </w:tc>
      </w:tr>
      <w:tr w14:paraId="6A416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5A378E82">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39881AE9">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354DB1A1">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5655CF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1" w:hRule="atLeast"/>
        </w:trPr>
        <w:tc>
          <w:tcPr>
            <w:tcW w:w="1113" w:type="dxa"/>
            <w:vAlign w:val="center"/>
          </w:tcPr>
          <w:p w14:paraId="16A307B3">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6B192DC6">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74E18840">
            <w:pPr>
              <w:ind w:firstLine="0" w:firstLineChars="0"/>
              <w:rPr>
                <w:rFonts w:ascii="Times New Roman" w:hAnsi="Times New Roman" w:cs="Times New Roman"/>
                <w:szCs w:val="21"/>
              </w:rPr>
            </w:pPr>
            <w:r>
              <w:rPr>
                <w:rFonts w:ascii="Times New Roman" w:hAnsi="Times New Roman" w:cs="Times New Roman"/>
                <w:szCs w:val="21"/>
              </w:rPr>
              <w:t>详见</w:t>
            </w:r>
            <w:bookmarkStart w:id="96" w:name="OLE_LINK181"/>
            <w:r>
              <w:rPr>
                <w:rFonts w:ascii="Times New Roman" w:hAnsi="Times New Roman" w:cs="Times New Roman"/>
                <w:szCs w:val="21"/>
              </w:rPr>
              <w:t>招标文件第一章</w:t>
            </w:r>
            <w:bookmarkEnd w:id="96"/>
            <w:r>
              <w:rPr>
                <w:rFonts w:ascii="Times New Roman" w:hAnsi="Times New Roman" w:cs="Times New Roman"/>
                <w:szCs w:val="21"/>
              </w:rPr>
              <w:t>《招标公告》</w:t>
            </w:r>
          </w:p>
        </w:tc>
      </w:tr>
      <w:tr w14:paraId="525729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070FF6C8">
            <w:pPr>
              <w:ind w:firstLine="0" w:firstLineChars="0"/>
              <w:jc w:val="center"/>
              <w:rPr>
                <w:rFonts w:ascii="Times New Roman" w:hAnsi="Times New Roman" w:cs="Times New Roman"/>
                <w:szCs w:val="21"/>
              </w:rPr>
            </w:pPr>
            <w:bookmarkStart w:id="97" w:name="OLE_LINK7" w:colFirst="1" w:colLast="2"/>
            <w:r>
              <w:rPr>
                <w:rFonts w:hint="eastAsia" w:ascii="Times New Roman" w:hAnsi="Times New Roman" w:cs="Times New Roman"/>
                <w:szCs w:val="21"/>
              </w:rPr>
              <w:t>3.3</w:t>
            </w:r>
          </w:p>
        </w:tc>
        <w:tc>
          <w:tcPr>
            <w:tcW w:w="2486" w:type="dxa"/>
            <w:vAlign w:val="center"/>
          </w:tcPr>
          <w:p w14:paraId="68598D84">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16EA8501">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74D95D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2D584DCC">
            <w:pPr>
              <w:ind w:firstLine="0" w:firstLineChars="0"/>
              <w:jc w:val="center"/>
              <w:rPr>
                <w:rFonts w:ascii="Times New Roman" w:hAnsi="Times New Roman" w:cs="Times New Roman"/>
                <w:szCs w:val="21"/>
              </w:rPr>
            </w:pPr>
            <w:bookmarkStart w:id="98" w:name="OLE_LINK5" w:colFirst="1" w:colLast="1"/>
            <w:bookmarkStart w:id="99" w:name="OLE_LINK6" w:colFirst="2" w:colLast="2"/>
            <w:r>
              <w:rPr>
                <w:rFonts w:hint="eastAsia" w:ascii="Times New Roman" w:hAnsi="Times New Roman" w:cs="Times New Roman"/>
                <w:szCs w:val="21"/>
              </w:rPr>
              <w:t>4.1</w:t>
            </w:r>
          </w:p>
        </w:tc>
        <w:tc>
          <w:tcPr>
            <w:tcW w:w="2486" w:type="dxa"/>
            <w:vAlign w:val="center"/>
          </w:tcPr>
          <w:p w14:paraId="41E768E1">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6DB6F00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97"/>
      <w:tr w14:paraId="5B7DE1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3C5E5DF0">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68E4AFD0">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7147DFAF">
            <w:pPr>
              <w:ind w:firstLine="0" w:firstLineChars="0"/>
              <w:rPr>
                <w:rFonts w:ascii="Times New Roman" w:hAnsi="Times New Roman" w:cs="Times New Roman"/>
                <w:szCs w:val="21"/>
              </w:rPr>
            </w:pPr>
            <w:bookmarkStart w:id="100" w:name="OLE_LINK182"/>
            <w:r>
              <w:rPr>
                <w:rFonts w:hint="eastAsia" w:ascii="Times New Roman" w:hAnsi="Times New Roman" w:cs="Times New Roman"/>
                <w:szCs w:val="21"/>
              </w:rPr>
              <w:t>☑不组织</w:t>
            </w:r>
          </w:p>
          <w:p w14:paraId="6D85A9B4">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100"/>
          <w:p w14:paraId="5F230102">
            <w:pPr>
              <w:ind w:firstLine="0" w:firstLineChars="0"/>
              <w:rPr>
                <w:rFonts w:ascii="Times New Roman" w:hAnsi="Times New Roman" w:cs="Times New Roman"/>
                <w:szCs w:val="21"/>
              </w:rPr>
            </w:pPr>
            <w:r>
              <w:rPr>
                <w:rFonts w:hint="eastAsia" w:ascii="Times New Roman" w:hAnsi="Times New Roman" w:cs="Times New Roman"/>
                <w:szCs w:val="21"/>
              </w:rPr>
              <w:t>考察时间：年月日点分</w:t>
            </w:r>
          </w:p>
          <w:p w14:paraId="4763C077">
            <w:pPr>
              <w:ind w:firstLine="0" w:firstLineChars="0"/>
              <w:rPr>
                <w:rFonts w:hint="eastAsia"/>
              </w:rPr>
            </w:pPr>
            <w:r>
              <w:rPr>
                <w:rFonts w:hint="eastAsia" w:ascii="Times New Roman" w:hAnsi="Times New Roman" w:cs="Times New Roman"/>
                <w:szCs w:val="21"/>
              </w:rPr>
              <w:t>考察地点：</w:t>
            </w:r>
            <w:r>
              <w:rPr>
                <w:rFonts w:ascii="Times New Roman" w:hAnsi="Times New Roman" w:cs="Times New Roman"/>
                <w:szCs w:val="21"/>
              </w:rPr>
              <w:t>____________</w:t>
            </w:r>
          </w:p>
        </w:tc>
      </w:tr>
      <w:tr w14:paraId="547FC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7DB51DE">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561AF97B">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191449EA">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1" w:name="OLE_LINK183"/>
            <w:r>
              <w:rPr>
                <w:rFonts w:hint="eastAsia" w:ascii="Times New Roman" w:hAnsi="Times New Roman" w:cs="Times New Roman"/>
                <w:szCs w:val="21"/>
              </w:rPr>
              <w:t>召开</w:t>
            </w:r>
            <w:bookmarkEnd w:id="101"/>
          </w:p>
          <w:p w14:paraId="5B5E3C80">
            <w:pPr>
              <w:ind w:firstLine="0" w:firstLineChars="0"/>
              <w:rPr>
                <w:rFonts w:ascii="Times New Roman" w:hAnsi="Times New Roman" w:cs="Times New Roman"/>
                <w:szCs w:val="21"/>
              </w:rPr>
            </w:pPr>
            <w:r>
              <w:rPr>
                <w:rFonts w:hint="eastAsia" w:ascii="Times New Roman" w:hAnsi="Times New Roman" w:cs="Times New Roman"/>
                <w:szCs w:val="21"/>
              </w:rPr>
              <w:t>□召开</w:t>
            </w:r>
          </w:p>
          <w:p w14:paraId="6121A6A5">
            <w:pPr>
              <w:ind w:firstLine="0" w:firstLineChars="0"/>
              <w:rPr>
                <w:rFonts w:ascii="Times New Roman" w:hAnsi="Times New Roman" w:cs="Times New Roman"/>
                <w:szCs w:val="21"/>
              </w:rPr>
            </w:pPr>
            <w:r>
              <w:rPr>
                <w:rFonts w:hint="eastAsia" w:ascii="Times New Roman" w:hAnsi="Times New Roman" w:cs="Times New Roman"/>
                <w:szCs w:val="21"/>
              </w:rPr>
              <w:t>召开时间：年月日点分</w:t>
            </w:r>
          </w:p>
          <w:p w14:paraId="068073AF">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p>
        </w:tc>
      </w:tr>
      <w:bookmarkEnd w:id="98"/>
      <w:bookmarkEnd w:id="99"/>
      <w:tr w14:paraId="3DCA2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2FEA132">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2D7E66AE">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091E3004">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0D198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3D0350E8">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31BF4EB8">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65F83D19">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A2C20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0FC6FF43">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6FE0B443">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2E8E63FD">
            <w:pPr>
              <w:ind w:firstLine="0" w:firstLineChars="0"/>
              <w:rPr>
                <w:rFonts w:ascii="Times New Roman" w:hAnsi="Times New Roman" w:cs="Times New Roman"/>
                <w:szCs w:val="21"/>
              </w:rPr>
            </w:pPr>
            <w:bookmarkStart w:id="102"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3"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2"/>
            <w:bookmarkEnd w:id="103"/>
          </w:p>
        </w:tc>
      </w:tr>
      <w:tr w14:paraId="32BAB3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5FDDBB5E">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712EC635">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3BF46A12">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4" w:name="OLE_LINK42"/>
            <w:r>
              <w:rPr>
                <w:rFonts w:ascii="Times New Roman" w:hAnsi="Times New Roman" w:cs="Times New Roman"/>
                <w:szCs w:val="21"/>
                <w:u w:val="single"/>
              </w:rPr>
              <w:t>90</w:t>
            </w:r>
            <w:bookmarkEnd w:id="104"/>
            <w:r>
              <w:rPr>
                <w:rFonts w:ascii="Times New Roman" w:hAnsi="Times New Roman" w:cs="Times New Roman"/>
                <w:szCs w:val="21"/>
              </w:rPr>
              <w:t>日历天。</w:t>
            </w:r>
          </w:p>
        </w:tc>
      </w:tr>
      <w:tr w14:paraId="2E228A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4C9E6BD3">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5A93B1B4">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69085E31">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6A8763EA">
            <w:pPr>
              <w:topLinePunct/>
              <w:autoSpaceDE w:val="0"/>
              <w:autoSpaceDN w:val="0"/>
              <w:adjustRightInd w:val="0"/>
              <w:snapToGrid w:val="0"/>
              <w:ind w:firstLine="0" w:firstLineChars="0"/>
              <w:rPr>
                <w:rFonts w:hint="eastAsia" w:ascii="宋体" w:hAnsi="宋体" w:cs="宋体"/>
                <w:szCs w:val="21"/>
              </w:rPr>
            </w:pPr>
            <w:r>
              <w:rPr>
                <w:rFonts w:ascii="Times New Roman" w:hAnsi="Times New Roman" w:cs="Times New Roman"/>
                <w:szCs w:val="21"/>
              </w:rPr>
              <w:sym w:font="Wingdings" w:char="00FE"/>
            </w:r>
            <w:r>
              <w:rPr>
                <w:rFonts w:ascii="Times New Roman" w:hAnsi="Times New Roman" w:cs="Times New Roman"/>
                <w:szCs w:val="21"/>
              </w:rPr>
              <w:t>要求提供：</w:t>
            </w:r>
          </w:p>
          <w:p w14:paraId="27395F32">
            <w:pPr>
              <w:ind w:firstLine="0" w:firstLineChars="0"/>
              <w:rPr>
                <w:rFonts w:hint="eastAsia" w:ascii="宋体" w:hAnsi="宋体" w:cs="宋体"/>
                <w:szCs w:val="21"/>
              </w:rPr>
            </w:pPr>
            <w:r>
              <w:rPr>
                <w:rFonts w:hint="eastAsia" w:ascii="宋体" w:hAnsi="宋体" w:cs="宋体"/>
                <w:szCs w:val="21"/>
              </w:rPr>
              <w:t>投标保证金的形式：网银、电汇、支票、汇票、本票、保函等非现金方式缴纳或提交。</w:t>
            </w:r>
          </w:p>
          <w:p w14:paraId="23A3B38E">
            <w:pPr>
              <w:ind w:firstLine="0" w:firstLineChars="0"/>
              <w:rPr>
                <w:rFonts w:hint="eastAsia" w:ascii="宋体" w:hAnsi="宋体" w:cs="宋体"/>
                <w:b/>
                <w:szCs w:val="21"/>
              </w:rPr>
            </w:pPr>
            <w:r>
              <w:rPr>
                <w:rFonts w:hint="eastAsia" w:ascii="宋体" w:hAnsi="宋体" w:cs="宋体"/>
                <w:szCs w:val="21"/>
              </w:rPr>
              <w:t>投标保证金金额：</w:t>
            </w:r>
            <w:r>
              <w:rPr>
                <w:rFonts w:hint="eastAsia" w:ascii="宋体" w:hAnsi="宋体" w:cs="宋体"/>
                <w:szCs w:val="21"/>
                <w:u w:val="single"/>
              </w:rPr>
              <w:t>人民币</w:t>
            </w:r>
            <w:r>
              <w:rPr>
                <w:rFonts w:hint="eastAsia" w:ascii="宋体" w:hAnsi="宋体" w:cs="宋体"/>
                <w:szCs w:val="21"/>
                <w:u w:val="single"/>
                <w:lang w:val="en-US" w:eastAsia="zh-CN"/>
              </w:rPr>
              <w:t>壹万叁仟元整</w:t>
            </w:r>
            <w:r>
              <w:rPr>
                <w:rFonts w:hint="eastAsia" w:ascii="宋体" w:hAnsi="宋体" w:cs="宋体"/>
                <w:b/>
                <w:bCs/>
                <w:szCs w:val="21"/>
              </w:rPr>
              <w:t>（￥</w:t>
            </w:r>
            <w:r>
              <w:rPr>
                <w:rFonts w:hint="eastAsia" w:ascii="宋体" w:hAnsi="宋体" w:cs="宋体"/>
                <w:b/>
                <w:bCs/>
                <w:szCs w:val="21"/>
                <w:u w:val="single"/>
                <w:lang w:val="en-US" w:eastAsia="zh-CN"/>
              </w:rPr>
              <w:t>13000</w:t>
            </w:r>
            <w:r>
              <w:rPr>
                <w:rFonts w:hint="eastAsia" w:ascii="宋体" w:hAnsi="宋体" w:cs="宋体"/>
                <w:b/>
                <w:bCs/>
                <w:szCs w:val="21"/>
                <w:u w:val="single"/>
              </w:rPr>
              <w:t>.00</w:t>
            </w:r>
            <w:r>
              <w:rPr>
                <w:rFonts w:hint="eastAsia" w:ascii="宋体" w:hAnsi="宋体" w:cs="宋体"/>
                <w:b/>
                <w:bCs/>
                <w:szCs w:val="21"/>
              </w:rPr>
              <w:t>元）</w:t>
            </w:r>
          </w:p>
          <w:p w14:paraId="5D92EF68">
            <w:pPr>
              <w:ind w:firstLine="0" w:firstLineChars="0"/>
              <w:rPr>
                <w:rFonts w:hint="eastAsia" w:ascii="宋体" w:hAnsi="宋体" w:cs="宋体"/>
                <w:szCs w:val="21"/>
              </w:rPr>
            </w:pPr>
            <w:r>
              <w:rPr>
                <w:rFonts w:hint="eastAsia" w:ascii="宋体" w:hAnsi="宋体" w:cs="宋体"/>
                <w:szCs w:val="21"/>
              </w:rPr>
              <w:t>保证金按规定金额、形式从投标人基本账户缴纳至：</w:t>
            </w:r>
          </w:p>
          <w:p w14:paraId="2B259781">
            <w:pPr>
              <w:ind w:firstLine="0" w:firstLineChars="0"/>
              <w:rPr>
                <w:rFonts w:hint="eastAsia" w:ascii="宋体" w:hAnsi="宋体" w:cs="宋体"/>
                <w:szCs w:val="21"/>
              </w:rPr>
            </w:pPr>
            <w:r>
              <w:rPr>
                <w:rFonts w:hint="eastAsia" w:ascii="宋体" w:hAnsi="宋体" w:cs="宋体"/>
                <w:szCs w:val="21"/>
              </w:rPr>
              <w:t>开户名称：云南中咨海外咨询有限公司</w:t>
            </w:r>
          </w:p>
          <w:p w14:paraId="74513D32">
            <w:pPr>
              <w:ind w:firstLine="0" w:firstLineChars="0"/>
              <w:rPr>
                <w:rFonts w:hint="eastAsia" w:ascii="宋体" w:hAnsi="宋体" w:cs="宋体"/>
                <w:szCs w:val="21"/>
              </w:rPr>
            </w:pPr>
            <w:r>
              <w:rPr>
                <w:rFonts w:hint="eastAsia" w:ascii="宋体" w:hAnsi="宋体" w:cs="宋体"/>
                <w:szCs w:val="21"/>
              </w:rPr>
              <w:t>开户银行：平安银行昆明南亚支行</w:t>
            </w:r>
          </w:p>
          <w:p w14:paraId="13F01A0C">
            <w:pPr>
              <w:pStyle w:val="20"/>
              <w:rPr>
                <w:rFonts w:hint="eastAsia" w:hAnsi="宋体" w:cs="宋体"/>
                <w:szCs w:val="21"/>
              </w:rPr>
            </w:pPr>
            <w:r>
              <w:rPr>
                <w:rFonts w:hint="eastAsia" w:hAnsi="宋体" w:cs="宋体"/>
                <w:szCs w:val="21"/>
              </w:rPr>
              <w:t>账号：30205378600969</w:t>
            </w:r>
          </w:p>
          <w:p w14:paraId="024B0CA8">
            <w:pPr>
              <w:ind w:firstLine="0" w:firstLineChars="0"/>
              <w:rPr>
                <w:rFonts w:hint="eastAsia" w:ascii="宋体" w:hAnsi="宋体" w:cs="宋体"/>
                <w:szCs w:val="21"/>
              </w:rPr>
            </w:pPr>
            <w:r>
              <w:rPr>
                <w:rFonts w:hint="eastAsia" w:ascii="宋体" w:hAnsi="宋体" w:cs="宋体"/>
                <w:szCs w:val="21"/>
              </w:rPr>
              <w:t>保证金</w:t>
            </w:r>
            <w:bookmarkStart w:id="105" w:name="OLE_LINK219"/>
            <w:r>
              <w:rPr>
                <w:rFonts w:hint="eastAsia" w:ascii="宋体" w:hAnsi="宋体" w:cs="宋体"/>
                <w:szCs w:val="21"/>
              </w:rPr>
              <w:t>缴纳</w:t>
            </w:r>
            <w:bookmarkEnd w:id="105"/>
            <w:r>
              <w:rPr>
                <w:rFonts w:hint="eastAsia" w:ascii="宋体" w:hAnsi="宋体" w:cs="宋体"/>
                <w:szCs w:val="21"/>
              </w:rPr>
              <w:t>说明：</w:t>
            </w:r>
          </w:p>
          <w:p w14:paraId="39C4A7CE">
            <w:pPr>
              <w:ind w:firstLine="0" w:firstLineChars="0"/>
              <w:rPr>
                <w:rFonts w:hint="eastAsia" w:ascii="宋体" w:hAnsi="宋体" w:cs="宋体"/>
                <w:szCs w:val="21"/>
              </w:rPr>
            </w:pPr>
            <w:r>
              <w:rPr>
                <w:rFonts w:hint="eastAsia" w:ascii="宋体" w:hAnsi="宋体" w:cs="宋体"/>
                <w:szCs w:val="21"/>
              </w:rPr>
              <w:t>（1）网银或电汇或电子保函方式提交的，缴款回单或电子凭证即为缴纳凭证；其他方式提交保证金的投标人应持有效凭证（纸质原件）至云南中咨海外咨询有限公司财务室换取保证金收据。联系人：赵咏春联系方式：0871-63104709</w:t>
            </w:r>
          </w:p>
          <w:p w14:paraId="4BA9888F">
            <w:pPr>
              <w:ind w:firstLine="0" w:firstLineChars="0"/>
              <w:rPr>
                <w:rFonts w:hint="eastAsia" w:ascii="宋体" w:hAnsi="宋体" w:cs="宋体"/>
                <w:szCs w:val="21"/>
              </w:rPr>
            </w:pPr>
            <w:r>
              <w:rPr>
                <w:rFonts w:hint="eastAsia" w:ascii="宋体" w:hAnsi="宋体" w:cs="宋体"/>
                <w:szCs w:val="21"/>
              </w:rPr>
              <w:t>（2）投标人未按照招标文件要求提交投标保证金的，其投标无效。</w:t>
            </w:r>
          </w:p>
        </w:tc>
      </w:tr>
      <w:tr w14:paraId="25CAB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22BFBA78">
            <w:pPr>
              <w:ind w:firstLine="0" w:firstLineChars="0"/>
              <w:jc w:val="center"/>
              <w:rPr>
                <w:rFonts w:ascii="Times New Roman" w:hAnsi="Times New Roman" w:cs="Times New Roman"/>
                <w:szCs w:val="21"/>
              </w:rPr>
            </w:pPr>
            <w:bookmarkStart w:id="106" w:name="OLE_LINK288" w:colFirst="0" w:colLast="1"/>
            <w:r>
              <w:rPr>
                <w:rFonts w:hint="eastAsia" w:ascii="Times New Roman" w:hAnsi="Times New Roman" w:cs="Times New Roman"/>
                <w:szCs w:val="21"/>
              </w:rPr>
              <w:t>19.4</w:t>
            </w:r>
          </w:p>
        </w:tc>
        <w:tc>
          <w:tcPr>
            <w:tcW w:w="2486" w:type="dxa"/>
            <w:vAlign w:val="center"/>
          </w:tcPr>
          <w:p w14:paraId="0E377DCF">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42539E8E">
            <w:pPr>
              <w:ind w:firstLine="0" w:firstLineChars="0"/>
              <w:rPr>
                <w:rFonts w:hint="eastAsia"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。要求第三方出具的盖章件原件（如联合体协议、分包意向协议、制造商授权书等），投标文件中应使用原件的扫描件或照片等电子件。</w:t>
            </w:r>
          </w:p>
        </w:tc>
      </w:tr>
      <w:tr w14:paraId="0165A4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67C8B987">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2508FD6C">
            <w:pPr>
              <w:ind w:firstLine="0" w:firstLineChars="0"/>
              <w:jc w:val="center"/>
              <w:rPr>
                <w:rFonts w:ascii="Times New Roman" w:hAnsi="Times New Roman" w:cs="Times New Roman"/>
                <w:szCs w:val="21"/>
              </w:rPr>
            </w:pPr>
            <w:bookmarkStart w:id="107" w:name="OLE_LINK141"/>
            <w:r>
              <w:rPr>
                <w:rFonts w:ascii="Times New Roman" w:hAnsi="Times New Roman" w:cs="Times New Roman"/>
                <w:szCs w:val="21"/>
              </w:rPr>
              <w:t>投标报价</w:t>
            </w:r>
            <w:bookmarkEnd w:id="107"/>
          </w:p>
        </w:tc>
        <w:tc>
          <w:tcPr>
            <w:tcW w:w="5333" w:type="dxa"/>
            <w:vAlign w:val="center"/>
          </w:tcPr>
          <w:p w14:paraId="21D867E4">
            <w:pPr>
              <w:widowControl/>
              <w:ind w:firstLine="0" w:firstLineChars="0"/>
              <w:jc w:val="left"/>
              <w:rPr>
                <w:rFonts w:hint="eastAsia" w:ascii="宋体" w:hAnsi="宋体" w:cs="宋体"/>
              </w:rPr>
            </w:pPr>
            <w:r>
              <w:rPr>
                <w:rFonts w:hint="eastAsia" w:ascii="宋体" w:hAnsi="宋体" w:cs="宋体"/>
              </w:rPr>
              <w:t>（1）投标人必须对本次</w:t>
            </w:r>
            <w:bookmarkStart w:id="108" w:name="OLE_LINK2"/>
            <w:r>
              <w:rPr>
                <w:rFonts w:hint="eastAsia" w:ascii="宋体" w:hAnsi="宋体" w:cs="宋体"/>
              </w:rPr>
              <w:t>招标范围内所有内容作出完整唯一的投标报价，</w:t>
            </w:r>
            <w:bookmarkStart w:id="109" w:name="OLE_LINK264"/>
            <w:r>
              <w:rPr>
                <w:rFonts w:hint="eastAsia" w:ascii="宋体" w:hAnsi="宋体" w:cs="宋体"/>
              </w:rPr>
              <w:t>不得缺项</w:t>
            </w:r>
            <w:bookmarkEnd w:id="109"/>
            <w:r>
              <w:rPr>
                <w:rFonts w:hint="eastAsia" w:ascii="宋体" w:hAnsi="宋体" w:cs="宋体"/>
              </w:rPr>
              <w:t>、漏项</w:t>
            </w:r>
            <w:bookmarkEnd w:id="108"/>
            <w:r>
              <w:rPr>
                <w:rFonts w:hint="eastAsia" w:ascii="宋体" w:hAnsi="宋体" w:cs="宋体"/>
              </w:rPr>
              <w:t>，否则投标文件将按无效处理。</w:t>
            </w:r>
          </w:p>
          <w:p w14:paraId="5ADFC277">
            <w:pPr>
              <w:widowControl/>
              <w:ind w:firstLine="0" w:firstLineChars="0"/>
              <w:jc w:val="left"/>
              <w:rPr>
                <w:rFonts w:hint="eastAsia" w:ascii="宋体" w:hAnsi="宋体" w:cs="宋体"/>
              </w:rPr>
            </w:pPr>
            <w:r>
              <w:rPr>
                <w:rFonts w:hint="eastAsia" w:ascii="宋体" w:hAnsi="宋体" w:cs="宋体"/>
              </w:rPr>
              <w:t>（2）投标人的报价应包括但不限于下列内容：</w:t>
            </w:r>
          </w:p>
          <w:p w14:paraId="03538466">
            <w:pPr>
              <w:widowControl/>
              <w:ind w:firstLine="0" w:firstLineChars="0"/>
              <w:jc w:val="left"/>
              <w:rPr>
                <w:rFonts w:hint="eastAsia" w:ascii="宋体" w:hAnsi="宋体" w:cs="宋体"/>
                <w:color w:val="FF0000"/>
              </w:rPr>
            </w:pPr>
            <w:r>
              <w:rPr>
                <w:rFonts w:hint="eastAsia" w:ascii="宋体" w:hAnsi="宋体" w:cs="宋体"/>
              </w:rPr>
              <w:t>1）</w:t>
            </w:r>
            <w:r>
              <w:rPr>
                <w:rFonts w:hint="eastAsia" w:hAnsi="宋体"/>
                <w:szCs w:val="21"/>
                <w:highlight w:val="none"/>
                <w:lang w:eastAsia="zh-CN"/>
              </w:rPr>
              <w:t>服务期限内的运行维护费用、技术服务费、人工费、管理费、培训费等费用及必要的保险费用和各项税金、采购代理服务费及其它一切费用。</w:t>
            </w:r>
          </w:p>
          <w:p w14:paraId="4272B631">
            <w:pPr>
              <w:widowControl/>
              <w:ind w:firstLine="0" w:firstLineChars="0"/>
              <w:jc w:val="left"/>
              <w:rPr>
                <w:rFonts w:ascii="Times New Roman" w:hAnsi="Times New Roman" w:cs="Times New Roman"/>
                <w:color w:val="FF0000"/>
                <w:szCs w:val="21"/>
              </w:rPr>
            </w:pPr>
            <w:r>
              <w:rPr>
                <w:rFonts w:hint="eastAsia" w:ascii="宋体" w:hAnsi="宋体" w:cs="宋体"/>
              </w:rPr>
              <w:t>2）该报价应符合市场行情并能保证投标人完成履行合同所需的一切工作，采购人不再支付除投标报价以外的任何费用。</w:t>
            </w:r>
          </w:p>
        </w:tc>
      </w:tr>
      <w:bookmarkEnd w:id="106"/>
      <w:tr w14:paraId="670024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455D4833">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4692A6B6">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2CAC365D">
            <w:pPr>
              <w:ind w:firstLine="0" w:firstLineChars="0"/>
              <w:rPr>
                <w:rFonts w:ascii="Times New Roman" w:hAnsi="Times New Roman" w:cs="Times New Roman"/>
                <w:szCs w:val="21"/>
              </w:rPr>
            </w:pPr>
            <w:r>
              <w:rPr>
                <w:rFonts w:ascii="Times New Roman" w:hAnsi="Times New Roman" w:cs="Times New Roman"/>
                <w:szCs w:val="21"/>
              </w:rPr>
              <w:t>详见第一章《招标公告》</w:t>
            </w:r>
          </w:p>
        </w:tc>
      </w:tr>
      <w:tr w14:paraId="1D4B3E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1DE8787B">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101C616B">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7EF1D4DF">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评标委员会由采购人代表和评审专家组成，成员人数为5人以上单数（采购预算金额在1000万元以上成员人数为</w:t>
            </w:r>
            <w:r>
              <w:rPr>
                <w:rFonts w:ascii="Times New Roman" w:hAnsi="Times New Roman" w:cs="Times New Roman"/>
                <w:szCs w:val="21"/>
              </w:rPr>
              <w:t>7</w:t>
            </w:r>
            <w:r>
              <w:rPr>
                <w:rFonts w:hint="eastAsia" w:ascii="Times New Roman" w:hAnsi="Times New Roman" w:cs="Times New Roman"/>
                <w:szCs w:val="21"/>
              </w:rPr>
              <w:t>人以上单数），其中评审专家不得少于成员总数的三分之二。评标委员会应当推选组长，但采购人代表不得担任组长。</w:t>
            </w:r>
          </w:p>
        </w:tc>
      </w:tr>
      <w:tr w14:paraId="6F588A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AF2A55B">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2C1A6815">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7E148C7E">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394FD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152D478">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75C2090D">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0AA1CCFC">
            <w:pPr>
              <w:ind w:firstLine="0" w:firstLineChars="0"/>
              <w:rPr>
                <w:rFonts w:ascii="Times New Roman" w:hAnsi="Times New Roman" w:cs="Times New Roman"/>
                <w:szCs w:val="21"/>
              </w:rPr>
            </w:pPr>
            <w:r>
              <w:rPr>
                <w:rFonts w:hint="eastAsia" w:ascii="Times New Roman" w:hAnsi="Times New Roman" w:cs="Times New Roman"/>
                <w:szCs w:val="21"/>
              </w:rPr>
              <w:t>本项目的非主体、非关键性工作是否允许分包：</w:t>
            </w:r>
          </w:p>
          <w:p w14:paraId="17D5DEE0">
            <w:pPr>
              <w:ind w:firstLine="0" w:firstLineChars="0"/>
              <w:rPr>
                <w:rFonts w:ascii="Times New Roman" w:hAnsi="Times New Roman" w:cs="Times New Roman"/>
                <w:szCs w:val="21"/>
              </w:rPr>
            </w:pPr>
            <w:r>
              <w:rPr>
                <w:rFonts w:ascii="Times New Roman" w:hAnsi="Times New Roman" w:cs="Times New Roman"/>
                <w:szCs w:val="21"/>
              </w:rPr>
              <w:sym w:font="Wingdings" w:char="00FE"/>
            </w:r>
            <w:r>
              <w:rPr>
                <w:rFonts w:hint="eastAsia" w:ascii="Times New Roman" w:hAnsi="Times New Roman" w:cs="Times New Roman"/>
                <w:szCs w:val="21"/>
              </w:rPr>
              <w:t>不允许</w:t>
            </w:r>
          </w:p>
          <w:p w14:paraId="13A095BC">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允许，具体要求：</w:t>
            </w:r>
          </w:p>
          <w:p w14:paraId="14959F22">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）可以分包履行的具体内容：；</w:t>
            </w:r>
          </w:p>
          <w:p w14:paraId="22D5DDA9">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）允许分包的金额或者比例：；</w:t>
            </w:r>
          </w:p>
          <w:p w14:paraId="402268B8">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）其他要求：。</w:t>
            </w:r>
          </w:p>
        </w:tc>
      </w:tr>
      <w:tr w14:paraId="0C8133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67A0CC7">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2AB22A2E">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2E084A42">
            <w:pPr>
              <w:ind w:firstLine="0" w:firstLineChars="0"/>
              <w:rPr>
                <w:rFonts w:ascii="Times New Roman" w:hAnsi="Times New Roman" w:cs="Times New Roman"/>
                <w:szCs w:val="21"/>
                <w:lang w:val="zh-CN"/>
              </w:rPr>
            </w:pPr>
            <w:r>
              <w:rPr>
                <w:rFonts w:ascii="Times New Roman" w:hAnsi="Times New Roman" w:cs="Times New Roman"/>
                <w:szCs w:val="21"/>
              </w:rPr>
              <w:sym w:font="Wingdings" w:char="00FE"/>
            </w:r>
            <w:r>
              <w:rPr>
                <w:rFonts w:hint="eastAsia" w:ascii="Times New Roman" w:hAnsi="Times New Roman" w:cs="Times New Roman"/>
                <w:szCs w:val="21"/>
              </w:rPr>
              <w:t>不要求提供</w:t>
            </w:r>
          </w:p>
          <w:p w14:paraId="24F3EFFF">
            <w:pPr>
              <w:ind w:firstLine="0" w:firstLineChars="0"/>
              <w:rPr>
                <w:rFonts w:ascii="Times New Roman" w:hAnsi="Times New Roman" w:cs="Times New Roman"/>
                <w:szCs w:val="21"/>
              </w:rPr>
            </w:pPr>
            <w:r>
              <w:rPr>
                <w:rFonts w:hint="eastAsia" w:ascii="Times New Roman" w:hAnsi="Times New Roman" w:cs="Times New Roman"/>
                <w:szCs w:val="21"/>
              </w:rPr>
              <w:sym w:font="Wingdings 2" w:char="00A3"/>
            </w:r>
            <w:r>
              <w:rPr>
                <w:rFonts w:hint="eastAsia" w:ascii="Times New Roman" w:hAnsi="Times New Roman" w:cs="Times New Roman"/>
                <w:szCs w:val="21"/>
              </w:rPr>
              <w:t>要求提供：</w:t>
            </w:r>
          </w:p>
          <w:p w14:paraId="11EEAA9A">
            <w:pPr>
              <w:ind w:firstLine="0" w:firstLineChars="0"/>
              <w:rPr>
                <w:rFonts w:ascii="Times New Roman" w:hAnsi="Times New Roman" w:cs="Times New Roman"/>
                <w:szCs w:val="21"/>
              </w:rPr>
            </w:pPr>
            <w:r>
              <w:rPr>
                <w:rFonts w:hint="eastAsia" w:ascii="Times New Roman" w:hAnsi="Times New Roman" w:cs="Times New Roman"/>
                <w:szCs w:val="21"/>
                <w:lang w:bidi="ar"/>
              </w:rPr>
              <w:t>履约保证金金额：</w:t>
            </w:r>
            <w:r>
              <w:rPr>
                <w:rFonts w:hint="eastAsia" w:ascii="Times New Roman" w:hAnsi="Times New Roman" w:cs="Times New Roman"/>
                <w:szCs w:val="21"/>
                <w:lang w:val="en-US" w:eastAsia="zh-CN" w:bidi="ar"/>
              </w:rPr>
              <w:t>/</w:t>
            </w:r>
            <w:r>
              <w:rPr>
                <w:rFonts w:hint="eastAsia" w:ascii="Times New Roman" w:hAnsi="Times New Roman" w:cs="Times New Roman"/>
                <w:szCs w:val="21"/>
                <w:lang w:bidi="ar"/>
              </w:rPr>
              <w:t>；</w:t>
            </w:r>
          </w:p>
          <w:p w14:paraId="3412339D">
            <w:pPr>
              <w:ind w:firstLine="0" w:firstLineChars="0"/>
              <w:rPr>
                <w:rFonts w:hint="eastAsia"/>
              </w:rPr>
            </w:pPr>
            <w:r>
              <w:rPr>
                <w:rFonts w:hint="eastAsia" w:ascii="Times New Roman" w:hAnsi="Times New Roman" w:cs="Times New Roman"/>
                <w:szCs w:val="21"/>
                <w:lang w:bidi="ar"/>
              </w:rPr>
              <w:t>履约保证金形式：</w:t>
            </w:r>
            <w:r>
              <w:rPr>
                <w:rFonts w:hint="eastAsia" w:ascii="Times New Roman" w:hAnsi="Times New Roman" w:cs="Times New Roman"/>
                <w:szCs w:val="21"/>
                <w:lang w:val="en-US" w:eastAsia="zh-CN" w:bidi="ar"/>
              </w:rPr>
              <w:t>/</w:t>
            </w:r>
            <w:r>
              <w:rPr>
                <w:rFonts w:hint="eastAsia" w:ascii="Times New Roman" w:hAnsi="Times New Roman" w:cs="Times New Roman"/>
                <w:szCs w:val="21"/>
                <w:lang w:bidi="ar"/>
              </w:rPr>
              <w:t>。</w:t>
            </w:r>
          </w:p>
        </w:tc>
      </w:tr>
      <w:tr w14:paraId="4CCB3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5A17E34">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0DEE530F">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268005BE">
            <w:pPr>
              <w:ind w:firstLine="0" w:firstLineChars="0"/>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采购代理服务费参照中华人民共和国国家计划委员会[计价格[2002]1980号]文件规定的收费标准及《国家发展改革委办公厅关于招标代理服务收费有关问题的通知》[2003]857号文的规定收取，由中标人承担（计算基准价为中标总价）。</w:t>
            </w:r>
          </w:p>
        </w:tc>
      </w:tr>
      <w:tr w14:paraId="0CABF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E2E8597">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46033A56">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p>
        </w:tc>
      </w:tr>
      <w:tr w14:paraId="63A3E0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28FD8F7C">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545B7DD2">
            <w:pPr>
              <w:ind w:firstLine="0" w:firstLineChars="0"/>
              <w:jc w:val="center"/>
              <w:rPr>
                <w:rFonts w:ascii="Times New Roman" w:hAnsi="Times New Roman" w:cs="Times New Roman"/>
                <w:szCs w:val="21"/>
              </w:rPr>
            </w:pPr>
            <w:bookmarkStart w:id="110" w:name="OLE_LINK25"/>
            <w:r>
              <w:rPr>
                <w:rFonts w:ascii="Times New Roman" w:hAnsi="Times New Roman" w:cs="Times New Roman"/>
                <w:bCs/>
                <w:szCs w:val="21"/>
              </w:rPr>
              <w:t>为采购项目提供整体设计</w:t>
            </w:r>
            <w:bookmarkEnd w:id="110"/>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5AE52E3C">
            <w:pPr>
              <w:ind w:firstLine="0" w:firstLineChars="0"/>
              <w:rPr>
                <w:rFonts w:ascii="Times New Roman" w:hAnsi="Times New Roman" w:cs="Times New Roman"/>
                <w:szCs w:val="21"/>
              </w:rPr>
            </w:pPr>
            <w:r>
              <w:rPr>
                <w:rFonts w:ascii="Times New Roman" w:hAnsi="Times New Roman" w:cs="Times New Roman"/>
                <w:szCs w:val="21"/>
              </w:rPr>
              <w:sym w:font="Wingdings" w:char="00FE"/>
            </w:r>
            <w:r>
              <w:rPr>
                <w:rFonts w:hint="eastAsia" w:ascii="Times New Roman" w:hAnsi="Times New Roman" w:cs="Times New Roman"/>
                <w:szCs w:val="21"/>
              </w:rPr>
              <w:t>无</w:t>
            </w:r>
          </w:p>
          <w:p w14:paraId="024DEBA9">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6B0E9670">
            <w:pPr>
              <w:ind w:firstLine="0" w:firstLineChars="0"/>
              <w:rPr>
                <w:rFonts w:ascii="Times New Roman" w:hAnsi="Times New Roman" w:cs="Times New Roman"/>
                <w:szCs w:val="21"/>
                <w:u w:val="single"/>
              </w:rPr>
            </w:pPr>
            <w:bookmarkStart w:id="111" w:name="OLE_LINK26"/>
            <w:r>
              <w:rPr>
                <w:rFonts w:hint="eastAsia" w:ascii="Times New Roman" w:hAnsi="Times New Roman" w:cs="Times New Roman"/>
                <w:szCs w:val="21"/>
              </w:rPr>
              <w:t>单位名称：</w:t>
            </w:r>
            <w:bookmarkEnd w:id="111"/>
            <w:r>
              <w:rPr>
                <w:rFonts w:hint="eastAsia" w:ascii="Times New Roman" w:hAnsi="Times New Roman" w:cs="Times New Roman"/>
                <w:szCs w:val="21"/>
              </w:rPr>
              <w:t>。</w:t>
            </w:r>
          </w:p>
        </w:tc>
      </w:tr>
      <w:tr w14:paraId="12290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0D5D3E16">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5AD2E98A">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71175A89">
            <w:pPr>
              <w:adjustRightInd w:val="0"/>
              <w:snapToGrid w:val="0"/>
              <w:ind w:firstLine="0" w:firstLineChars="0"/>
              <w:rPr>
                <w:rFonts w:hint="eastAsia"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本项目服务内容类似业绩</w:t>
            </w:r>
            <w:r>
              <w:rPr>
                <w:rFonts w:hint="eastAsia" w:ascii="宋体" w:hAnsi="宋体"/>
                <w:kern w:val="0"/>
                <w:szCs w:val="21"/>
              </w:rPr>
              <w:t>；</w:t>
            </w:r>
          </w:p>
          <w:p w14:paraId="63AD117A">
            <w:pPr>
              <w:ind w:firstLine="0" w:firstLineChars="0"/>
              <w:rPr>
                <w:rFonts w:hint="eastAsia" w:ascii="Times New Roman" w:hAnsi="Times New Roman" w:eastAsia="宋体" w:cs="Times New Roman"/>
                <w:szCs w:val="21"/>
                <w:lang w:eastAsia="zh-CN"/>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b/>
                <w:bCs/>
                <w:kern w:val="0"/>
                <w:szCs w:val="21"/>
                <w:lang w:eastAsia="zh-CN"/>
              </w:rPr>
              <w:t>：</w:t>
            </w:r>
            <w:r>
              <w:rPr>
                <w:rFonts w:hint="eastAsia" w:ascii="宋体" w:hAnsi="宋体"/>
                <w:b w:val="0"/>
                <w:bCs w:val="0"/>
                <w:kern w:val="0"/>
                <w:szCs w:val="21"/>
                <w:u w:val="single"/>
                <w:lang w:eastAsia="zh-CN"/>
              </w:rPr>
              <w:t>合同或中标/成交通知书复印件/扫描件等证明材料，无证明材料或未按要求提供证明材料或证明材料无法体现内容的，不予认可。日期以合同签订日期或中标/成交通知书日期为准。</w:t>
            </w:r>
          </w:p>
        </w:tc>
      </w:tr>
      <w:tr w14:paraId="2A4D9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2F7661D6">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shd w:val="clear" w:color="auto" w:fill="auto"/>
            <w:vAlign w:val="center"/>
          </w:tcPr>
          <w:p w14:paraId="12A4AA26">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shd w:val="clear" w:color="auto" w:fill="auto"/>
            <w:vAlign w:val="center"/>
          </w:tcPr>
          <w:p w14:paraId="2A62ADF7">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19B92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2177C38">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7C080675">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4FCD3F3D">
            <w:pPr>
              <w:ind w:firstLine="0" w:firstLineChars="0"/>
              <w:rPr>
                <w:rFonts w:hint="eastAsia"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2100524C">
            <w:pPr>
              <w:ind w:firstLine="0" w:firstLineChars="0"/>
              <w:rPr>
                <w:rFonts w:hint="eastAsia"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22255AA8">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r w14:paraId="38ED2C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93E47BD">
            <w:pPr>
              <w:ind w:firstLine="0" w:firstLineChars="0"/>
              <w:jc w:val="center"/>
              <w:rPr>
                <w:rFonts w:hint="eastAsia" w:ascii="宋体" w:hAnsi="宋体" w:cs="Times New Roman"/>
                <w:szCs w:val="21"/>
              </w:rPr>
            </w:pPr>
            <w:bookmarkStart w:id="112" w:name="_Toc38338268"/>
            <w:bookmarkStart w:id="113" w:name="_Toc29525"/>
            <w:bookmarkStart w:id="114" w:name="_Toc29315"/>
            <w:bookmarkStart w:id="115" w:name="_Toc26092"/>
            <w:bookmarkStart w:id="116" w:name="_Toc37716348"/>
            <w:r>
              <w:rPr>
                <w:rFonts w:hint="eastAsia" w:ascii="宋体" w:hAnsi="宋体" w:cs="Times New Roman"/>
                <w:szCs w:val="21"/>
              </w:rPr>
              <w:t>37.5</w:t>
            </w:r>
          </w:p>
        </w:tc>
        <w:tc>
          <w:tcPr>
            <w:tcW w:w="2486" w:type="dxa"/>
            <w:tcBorders>
              <w:right w:val="single" w:color="auto" w:sz="4" w:space="0"/>
            </w:tcBorders>
            <w:vAlign w:val="center"/>
          </w:tcPr>
          <w:p w14:paraId="6FE88CCD">
            <w:pPr>
              <w:ind w:firstLine="0" w:firstLineChars="0"/>
              <w:jc w:val="center"/>
              <w:rPr>
                <w:rFonts w:hint="eastAsia" w:cs="Times New Roman"/>
              </w:rPr>
            </w:pPr>
            <w:r>
              <w:rPr>
                <w:rFonts w:hint="eastAsia" w:cs="Times New Roman"/>
              </w:rPr>
              <w:t>其他</w:t>
            </w:r>
          </w:p>
        </w:tc>
        <w:tc>
          <w:tcPr>
            <w:tcW w:w="5333" w:type="dxa"/>
            <w:tcBorders>
              <w:left w:val="single" w:color="auto" w:sz="4" w:space="0"/>
            </w:tcBorders>
            <w:vAlign w:val="center"/>
          </w:tcPr>
          <w:p w14:paraId="4770D323">
            <w:pPr>
              <w:ind w:firstLine="0" w:firstLineChars="0"/>
              <w:rPr>
                <w:rFonts w:hint="eastAsia" w:ascii="宋体" w:hAnsi="宋体" w:cs="Times New Roman"/>
                <w:bCs/>
                <w:szCs w:val="21"/>
              </w:rPr>
            </w:pPr>
            <w:r>
              <w:rPr>
                <w:rFonts w:hint="eastAsia" w:ascii="宋体" w:hAnsi="宋体" w:cs="Times New Roman"/>
                <w:bCs/>
                <w:szCs w:val="21"/>
              </w:rPr>
              <w:t>根据《财政部关于在政府采购活动中查询及使用信用记录有关问题的通知-财库〔2016〕125号》相关要求，采购人或者采购代理机构对信用记录进行核实，对列入失信被执行人、重大税收违法失信主体、政府采购严重违法失信行为记录名单及其他不符合《中华人民共和国政府采购法》第二十二条规定条件的投标人，拒绝其参与政府采购活动。</w:t>
            </w:r>
          </w:p>
        </w:tc>
      </w:tr>
    </w:tbl>
    <w:p w14:paraId="4FA78419">
      <w:pPr>
        <w:keepNext/>
        <w:keepLines/>
        <w:ind w:firstLine="280" w:firstLineChars="0"/>
        <w:jc w:val="center"/>
        <w:outlineLvl w:val="1"/>
        <w:rPr>
          <w:rFonts w:ascii="Times New Roman" w:hAnsi="Times New Roman" w:cs="Times New Roman"/>
        </w:rPr>
      </w:pPr>
      <w:r>
        <w:rPr>
          <w:rFonts w:ascii="Times New Roman" w:hAnsi="Times New Roman" w:cs="Times New Roman"/>
          <w:b/>
          <w:kern w:val="0"/>
          <w:sz w:val="28"/>
          <w:szCs w:val="28"/>
          <w:lang w:val="zh-CN"/>
        </w:rPr>
        <w:br w:type="page"/>
      </w:r>
      <w:bookmarkStart w:id="117" w:name="_Toc5162"/>
      <w:r>
        <w:rPr>
          <w:rFonts w:ascii="Times New Roman" w:hAnsi="Times New Roman" w:eastAsia="黑体" w:cs="Times New Roman"/>
          <w:b/>
          <w:bCs/>
          <w:sz w:val="28"/>
          <w:szCs w:val="32"/>
        </w:rPr>
        <w:t>一、总则</w:t>
      </w:r>
      <w:bookmarkEnd w:id="112"/>
      <w:bookmarkEnd w:id="113"/>
      <w:bookmarkEnd w:id="114"/>
      <w:bookmarkEnd w:id="115"/>
      <w:bookmarkEnd w:id="116"/>
      <w:bookmarkEnd w:id="117"/>
    </w:p>
    <w:p w14:paraId="49936F5F">
      <w:pPr>
        <w:pStyle w:val="4"/>
        <w:spacing w:before="165"/>
        <w:ind w:firstLine="482"/>
        <w:rPr>
          <w:rFonts w:hint="eastAsia" w:ascii="黑体" w:hAnsi="黑体" w:cs="黑体"/>
        </w:rPr>
      </w:pPr>
      <w:bookmarkStart w:id="118" w:name="_Toc489197808"/>
      <w:bookmarkStart w:id="119" w:name="_Toc38338269"/>
      <w:bookmarkStart w:id="120" w:name="_Toc296602421"/>
      <w:bookmarkStart w:id="121" w:name="_Toc247085690"/>
      <w:bookmarkStart w:id="122" w:name="_Toc246996176"/>
      <w:bookmarkStart w:id="123" w:name="_Toc32471"/>
      <w:bookmarkStart w:id="124" w:name="_Toc144974498"/>
      <w:bookmarkStart w:id="125" w:name="_Toc179632547"/>
      <w:bookmarkStart w:id="126" w:name="_Toc29713"/>
      <w:bookmarkStart w:id="127" w:name="_Toc152045530"/>
      <w:bookmarkStart w:id="128" w:name="_Toc152042306"/>
      <w:bookmarkStart w:id="129" w:name="_Toc37716349"/>
      <w:bookmarkStart w:id="130" w:name="_Toc246996919"/>
      <w:bookmarkStart w:id="131" w:name="_Toc489145704"/>
      <w:bookmarkStart w:id="132" w:name="_Toc17414"/>
      <w:bookmarkStart w:id="133" w:name="_Toc9876"/>
      <w:r>
        <w:rPr>
          <w:rFonts w:hint="eastAsia" w:ascii="黑体" w:hAnsi="黑体" w:cs="黑体"/>
        </w:rPr>
        <w:t>1.</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黑体" w:hAnsi="黑体" w:cs="黑体"/>
        </w:rPr>
        <w:t>采购人、采购代理机构</w:t>
      </w:r>
      <w:bookmarkEnd w:id="133"/>
    </w:p>
    <w:p w14:paraId="55A42A89">
      <w:pPr>
        <w:ind w:firstLine="420"/>
        <w:rPr>
          <w:rFonts w:hint="eastAsia" w:ascii="宋体" w:hAnsi="宋体" w:cs="宋体"/>
        </w:rPr>
      </w:pPr>
      <w:r>
        <w:rPr>
          <w:rFonts w:hint="eastAsia" w:ascii="宋体" w:hAnsi="宋体" w:cs="宋体"/>
        </w:rPr>
        <w:t>1.1采购人：详见《投标人须知前附表》。</w:t>
      </w:r>
    </w:p>
    <w:p w14:paraId="109751A1">
      <w:pPr>
        <w:ind w:firstLine="420"/>
        <w:rPr>
          <w:rFonts w:hint="eastAsia" w:ascii="宋体" w:hAnsi="宋体" w:cs="宋体"/>
        </w:rPr>
      </w:pPr>
      <w:r>
        <w:rPr>
          <w:rFonts w:hint="eastAsia" w:ascii="宋体" w:hAnsi="宋体" w:cs="宋体"/>
        </w:rPr>
        <w:t>1.2采购代理机构</w:t>
      </w:r>
      <w:bookmarkStart w:id="134" w:name="OLE_LINK179"/>
      <w:r>
        <w:rPr>
          <w:rFonts w:hint="eastAsia" w:ascii="宋体" w:hAnsi="宋体" w:cs="宋体"/>
        </w:rPr>
        <w:t>：详见《投标人须知前附表》</w:t>
      </w:r>
      <w:bookmarkEnd w:id="134"/>
      <w:r>
        <w:rPr>
          <w:rFonts w:hint="eastAsia" w:ascii="宋体" w:hAnsi="宋体" w:cs="宋体"/>
        </w:rPr>
        <w:t>。</w:t>
      </w:r>
    </w:p>
    <w:p w14:paraId="5C0FA9FB">
      <w:pPr>
        <w:pStyle w:val="4"/>
        <w:spacing w:before="165"/>
        <w:ind w:firstLine="482"/>
        <w:rPr>
          <w:rFonts w:hint="eastAsia" w:ascii="黑体" w:hAnsi="黑体" w:cs="黑体"/>
        </w:rPr>
      </w:pPr>
      <w:bookmarkStart w:id="135" w:name="_Toc4152"/>
      <w:r>
        <w:rPr>
          <w:rFonts w:hint="eastAsia" w:ascii="黑体" w:hAnsi="黑体" w:cs="黑体"/>
        </w:rPr>
        <w:t>2.项目基本情况</w:t>
      </w:r>
      <w:bookmarkEnd w:id="135"/>
    </w:p>
    <w:p w14:paraId="696BD5E7">
      <w:pPr>
        <w:ind w:firstLine="420"/>
        <w:rPr>
          <w:rFonts w:hint="eastAsia" w:ascii="宋体" w:hAnsi="宋体" w:cs="宋体"/>
        </w:rPr>
      </w:pPr>
      <w:r>
        <w:rPr>
          <w:rFonts w:hint="eastAsia" w:ascii="宋体" w:hAnsi="宋体" w:cs="宋体"/>
        </w:rPr>
        <w:t>2.1</w:t>
      </w:r>
      <w:bookmarkStart w:id="136" w:name="OLE_LINK220"/>
      <w:r>
        <w:rPr>
          <w:rFonts w:hint="eastAsia" w:ascii="宋体" w:hAnsi="宋体" w:cs="宋体"/>
        </w:rPr>
        <w:t>项目名称</w:t>
      </w:r>
      <w:bookmarkEnd w:id="136"/>
      <w:bookmarkStart w:id="137" w:name="OLE_LINK221"/>
      <w:r>
        <w:rPr>
          <w:rFonts w:hint="eastAsia" w:ascii="宋体" w:hAnsi="宋体" w:cs="宋体"/>
        </w:rPr>
        <w:t>及</w:t>
      </w:r>
      <w:bookmarkEnd w:id="137"/>
      <w:r>
        <w:rPr>
          <w:rFonts w:hint="eastAsia" w:ascii="宋体" w:hAnsi="宋体" w:cs="宋体"/>
        </w:rPr>
        <w:t>项目编号：详见《投标人须知前附表》。</w:t>
      </w:r>
    </w:p>
    <w:p w14:paraId="197E6E8C">
      <w:pPr>
        <w:ind w:firstLine="420"/>
        <w:rPr>
          <w:rFonts w:hint="eastAsia" w:ascii="宋体" w:hAnsi="宋体" w:cs="宋体"/>
        </w:rPr>
      </w:pPr>
      <w:r>
        <w:rPr>
          <w:rFonts w:hint="eastAsia" w:ascii="宋体" w:hAnsi="宋体" w:cs="宋体"/>
        </w:rPr>
        <w:t>2.2预算金额及最高限价（如有）：详见《投标人须知前附表》。</w:t>
      </w:r>
    </w:p>
    <w:p w14:paraId="7F2104DB">
      <w:pPr>
        <w:ind w:firstLine="420"/>
        <w:rPr>
          <w:rFonts w:hint="eastAsia" w:ascii="宋体" w:hAnsi="宋体" w:cs="宋体"/>
        </w:rPr>
      </w:pPr>
      <w:r>
        <w:rPr>
          <w:rFonts w:hint="eastAsia" w:ascii="宋体" w:hAnsi="宋体" w:cs="宋体"/>
        </w:rPr>
        <w:t>2.3采购需求：详见《投标人须知前附表》。</w:t>
      </w:r>
    </w:p>
    <w:p w14:paraId="78CBE0B0">
      <w:pPr>
        <w:ind w:firstLine="422"/>
        <w:rPr>
          <w:rFonts w:hint="eastAsia" w:ascii="宋体" w:hAnsi="宋体" w:cs="宋体"/>
        </w:rPr>
      </w:pPr>
      <w:r>
        <w:rPr>
          <w:rFonts w:hint="eastAsia" w:ascii="宋体" w:hAnsi="宋体" w:cs="宋体"/>
          <w:b/>
          <w:bCs/>
          <w:color w:val="000000"/>
          <w:szCs w:val="21"/>
        </w:rPr>
        <w:t>▲</w:t>
      </w:r>
      <w:r>
        <w:rPr>
          <w:rFonts w:hint="eastAsia" w:ascii="宋体" w:hAnsi="宋体" w:cs="宋体"/>
        </w:rPr>
        <w:t>2.4</w:t>
      </w:r>
      <w:r>
        <w:rPr>
          <w:rFonts w:hint="eastAsia" w:ascii="宋体" w:hAnsi="宋体" w:cs="宋体"/>
          <w:lang w:eastAsia="zh-CN"/>
        </w:rPr>
        <w:t>合同履行期限（服务期限）</w:t>
      </w:r>
      <w:r>
        <w:rPr>
          <w:rFonts w:hint="eastAsia" w:ascii="宋体" w:hAnsi="宋体" w:cs="宋体"/>
        </w:rPr>
        <w:t>：详见《投标人须知前附表》。</w:t>
      </w:r>
    </w:p>
    <w:p w14:paraId="2ADF2B1F">
      <w:pPr>
        <w:ind w:firstLine="420"/>
        <w:rPr>
          <w:rFonts w:hint="eastAsia" w:ascii="宋体" w:hAnsi="宋体" w:cs="宋体"/>
        </w:rPr>
      </w:pPr>
      <w:r>
        <w:rPr>
          <w:rFonts w:hint="eastAsia" w:ascii="宋体" w:hAnsi="宋体" w:cs="宋体"/>
        </w:rPr>
        <w:t>2.5</w:t>
      </w:r>
      <w:r>
        <w:rPr>
          <w:rFonts w:hint="eastAsia" w:ascii="宋体" w:hAnsi="宋体" w:cs="宋体"/>
          <w:lang w:eastAsia="zh-CN"/>
        </w:rPr>
        <w:t>交付（或实施）地点</w:t>
      </w:r>
      <w:r>
        <w:rPr>
          <w:rFonts w:hint="eastAsia" w:ascii="宋体" w:hAnsi="宋体" w:cs="宋体"/>
        </w:rPr>
        <w:t>：详见《投标人须知前附表》。</w:t>
      </w:r>
    </w:p>
    <w:p w14:paraId="2C7AFC86">
      <w:pPr>
        <w:pStyle w:val="4"/>
        <w:spacing w:before="165"/>
        <w:ind w:firstLine="482"/>
        <w:rPr>
          <w:rFonts w:ascii="Times New Roman" w:hAnsi="Times New Roman" w:cs="Times New Roman"/>
        </w:rPr>
      </w:pPr>
      <w:bookmarkStart w:id="138" w:name="_Toc27798"/>
      <w:bookmarkStart w:id="139" w:name="_Toc246996922"/>
      <w:bookmarkStart w:id="140" w:name="_Toc8793"/>
      <w:bookmarkStart w:id="141" w:name="_Toc6164"/>
      <w:bookmarkStart w:id="142" w:name="_Toc144974502"/>
      <w:bookmarkStart w:id="143" w:name="_Toc246996179"/>
      <w:bookmarkStart w:id="144" w:name="_Toc30223"/>
      <w:bookmarkStart w:id="145" w:name="_Toc152045534"/>
      <w:bookmarkStart w:id="146" w:name="_Toc152042310"/>
      <w:bookmarkStart w:id="147" w:name="_Toc38338272"/>
      <w:bookmarkStart w:id="148" w:name="_Toc489197811"/>
      <w:bookmarkStart w:id="149" w:name="_Toc179632551"/>
      <w:bookmarkStart w:id="150" w:name="_Toc296602424"/>
      <w:bookmarkStart w:id="151" w:name="_Toc247085693"/>
      <w:bookmarkStart w:id="152" w:name="_Toc37716352"/>
      <w:bookmarkStart w:id="153" w:name="_Toc489145707"/>
      <w:r>
        <w:rPr>
          <w:rFonts w:hint="eastAsia" w:ascii="Times New Roman" w:hAnsi="Times New Roman" w:cs="Times New Roman"/>
        </w:rPr>
        <w:t>3</w:t>
      </w:r>
      <w:r>
        <w:rPr>
          <w:rFonts w:ascii="Times New Roman" w:hAnsi="Times New Roman" w:cs="Times New Roman"/>
        </w:rPr>
        <w:t>.投标人的资格要求</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065C7766">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787384F7">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1FA7B47F">
      <w:pPr>
        <w:ind w:firstLine="420"/>
        <w:rPr>
          <w:rFonts w:hint="eastAsia" w:ascii="宋体" w:hAnsi="宋体" w:cs="宋体"/>
        </w:rPr>
      </w:pPr>
      <w:r>
        <w:rPr>
          <w:rFonts w:hint="eastAsia" w:ascii="宋体" w:hAnsi="宋体" w:cs="宋体"/>
        </w:rPr>
        <w:t>3.3本项目的特定资格要求：详见《投标人须知前附表》。</w:t>
      </w:r>
    </w:p>
    <w:p w14:paraId="09FE1855">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0F45E612">
      <w:pPr>
        <w:pStyle w:val="4"/>
        <w:spacing w:before="165"/>
        <w:ind w:firstLine="482"/>
        <w:rPr>
          <w:rFonts w:hint="eastAsia" w:ascii="黑体" w:hAnsi="黑体" w:cs="黑体"/>
        </w:rPr>
      </w:pPr>
      <w:bookmarkStart w:id="154" w:name="_Toc10682"/>
      <w:r>
        <w:rPr>
          <w:rFonts w:hint="eastAsia" w:ascii="黑体" w:hAnsi="黑体" w:cs="黑体"/>
        </w:rPr>
        <w:t>4.联合体</w:t>
      </w:r>
      <w:bookmarkEnd w:id="154"/>
    </w:p>
    <w:p w14:paraId="04263B61">
      <w:pPr>
        <w:ind w:firstLine="420"/>
        <w:rPr>
          <w:rFonts w:hint="eastAsia" w:ascii="宋体" w:hAnsi="宋体" w:cs="宋体"/>
        </w:rPr>
      </w:pPr>
      <w:r>
        <w:rPr>
          <w:rFonts w:hint="eastAsia" w:ascii="宋体" w:hAnsi="宋体" w:cs="宋体"/>
        </w:rPr>
        <w:t>4.1《投标人须知前附表》规定接受联合体投标的，联合体各方还应遵守以下规定：</w:t>
      </w:r>
    </w:p>
    <w:p w14:paraId="30457E8F">
      <w:pPr>
        <w:ind w:firstLine="420"/>
        <w:rPr>
          <w:rFonts w:hint="eastAsia" w:ascii="宋体" w:hAnsi="宋体" w:cs="宋体"/>
        </w:rPr>
      </w:pPr>
      <w:r>
        <w:rPr>
          <w:rFonts w:hint="eastAsia" w:ascii="宋体" w:hAnsi="宋体" w:cs="宋体"/>
        </w:rPr>
        <w:t>4.1.1两个以上的自然人、法人或者其他组织可以组成一个联合体，以一个投标人的身份共同参加投标。</w:t>
      </w:r>
    </w:p>
    <w:p w14:paraId="54A472A3">
      <w:pPr>
        <w:ind w:firstLine="420"/>
        <w:rPr>
          <w:rFonts w:hint="eastAsia"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79F21077">
      <w:pPr>
        <w:ind w:firstLine="420"/>
        <w:rPr>
          <w:rFonts w:hint="eastAsia"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22F1E92D">
      <w:pPr>
        <w:ind w:firstLine="420"/>
        <w:rPr>
          <w:rFonts w:hint="eastAsia"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55B45A30">
      <w:pPr>
        <w:pStyle w:val="4"/>
        <w:spacing w:before="165"/>
        <w:ind w:firstLine="482"/>
        <w:rPr>
          <w:rFonts w:ascii="Times New Roman" w:hAnsi="Times New Roman" w:cs="Times New Roman"/>
        </w:rPr>
      </w:pPr>
      <w:bookmarkStart w:id="155" w:name="_Toc37716354"/>
      <w:bookmarkStart w:id="156" w:name="_Toc38338274"/>
      <w:bookmarkStart w:id="157" w:name="_Toc4074"/>
      <w:bookmarkStart w:id="158" w:name="_Toc19270"/>
      <w:bookmarkStart w:id="159" w:name="_Toc834"/>
      <w:bookmarkStart w:id="160" w:name="_Toc6518"/>
      <w:bookmarkStart w:id="161" w:name="_Toc179632552"/>
      <w:bookmarkStart w:id="162" w:name="_Toc144974503"/>
      <w:bookmarkStart w:id="163" w:name="_Toc247085694"/>
      <w:bookmarkStart w:id="164" w:name="_Toc4239"/>
      <w:bookmarkStart w:id="165" w:name="_Toc31036"/>
      <w:bookmarkStart w:id="166" w:name="_Toc152042311"/>
      <w:bookmarkStart w:id="167" w:name="_Toc24355"/>
      <w:bookmarkStart w:id="168" w:name="_Toc152045535"/>
      <w:bookmarkStart w:id="169" w:name="_Toc296602425"/>
      <w:bookmarkStart w:id="170" w:name="_Toc38338273"/>
      <w:bookmarkStart w:id="171" w:name="_Toc246996923"/>
      <w:bookmarkStart w:id="172" w:name="_Toc489197812"/>
      <w:bookmarkStart w:id="173" w:name="_Toc37716353"/>
      <w:bookmarkStart w:id="174" w:name="_Toc246996180"/>
      <w:bookmarkStart w:id="175" w:name="_Toc489145708"/>
      <w:r>
        <w:rPr>
          <w:rFonts w:hint="eastAsia" w:ascii="Times New Roman" w:hAnsi="Times New Roman" w:cs="Times New Roman"/>
        </w:rPr>
        <w:t>5</w:t>
      </w:r>
      <w:r>
        <w:rPr>
          <w:rFonts w:ascii="Times New Roman" w:hAnsi="Times New Roman" w:cs="Times New Roman"/>
        </w:rPr>
        <w:t>.</w:t>
      </w:r>
      <w:bookmarkEnd w:id="155"/>
      <w:bookmarkEnd w:id="156"/>
      <w:bookmarkEnd w:id="157"/>
      <w:bookmarkEnd w:id="158"/>
      <w:bookmarkEnd w:id="159"/>
      <w:r>
        <w:rPr>
          <w:rFonts w:ascii="Times New Roman" w:hAnsi="Times New Roman" w:cs="Times New Roman"/>
        </w:rPr>
        <w:t>现场考察</w:t>
      </w:r>
      <w:bookmarkEnd w:id="160"/>
    </w:p>
    <w:p w14:paraId="1563E41F">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w:t>
      </w:r>
    </w:p>
    <w:p w14:paraId="608EA2DD">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2C863585">
      <w:pPr>
        <w:ind w:firstLine="420"/>
        <w:rPr>
          <w:rFonts w:hint="eastAsia" w:ascii="宋体" w:hAnsi="宋体" w:cs="宋体"/>
        </w:rPr>
      </w:pPr>
      <w:r>
        <w:rPr>
          <w:rFonts w:hint="eastAsia" w:ascii="宋体" w:hAnsi="宋体" w:cs="宋体"/>
        </w:rPr>
        <w:t>5.3除采购人的原因外，潜在投标人自行负责在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34D49146">
      <w:pPr>
        <w:ind w:firstLine="420"/>
        <w:rPr>
          <w:rFonts w:hint="eastAsia" w:ascii="宋体" w:hAnsi="宋体" w:cs="宋体"/>
        </w:rPr>
      </w:pPr>
      <w:r>
        <w:rPr>
          <w:rFonts w:hint="eastAsia" w:ascii="宋体" w:hAnsi="宋体" w:cs="宋体"/>
        </w:rPr>
        <w:t>5.4采购人在</w:t>
      </w:r>
      <w:r>
        <w:rPr>
          <w:rFonts w:ascii="Times New Roman" w:hAnsi="Times New Roman" w:cs="Times New Roman"/>
          <w:szCs w:val="21"/>
        </w:rPr>
        <w:t>现场考察</w:t>
      </w:r>
      <w:r>
        <w:rPr>
          <w:rFonts w:hint="eastAsia" w:ascii="宋体" w:hAnsi="宋体" w:cs="宋体"/>
        </w:rPr>
        <w:t>中介绍的项目基本情况，仅供潜在投标人在编制投标文件时参考，采购人不对潜在投标人据此作出的判断和决策负责。</w:t>
      </w:r>
    </w:p>
    <w:p w14:paraId="1214EC1A">
      <w:pPr>
        <w:pStyle w:val="4"/>
        <w:spacing w:before="165"/>
        <w:ind w:firstLine="482"/>
        <w:rPr>
          <w:rFonts w:ascii="Times New Roman" w:hAnsi="Times New Roman" w:cs="Times New Roman"/>
        </w:rPr>
      </w:pPr>
      <w:bookmarkStart w:id="176" w:name="_Toc38338275"/>
      <w:bookmarkStart w:id="177" w:name="_Toc37716355"/>
      <w:bookmarkStart w:id="178" w:name="_Toc19944"/>
      <w:bookmarkStart w:id="179" w:name="_Toc17379"/>
      <w:bookmarkStart w:id="180" w:name="_Toc3204"/>
      <w:bookmarkStart w:id="181" w:name="_Toc15130"/>
      <w:r>
        <w:rPr>
          <w:rFonts w:hint="eastAsia" w:ascii="Times New Roman" w:hAnsi="Times New Roman" w:cs="Times New Roman"/>
        </w:rPr>
        <w:t>6</w:t>
      </w:r>
      <w:r>
        <w:rPr>
          <w:rFonts w:ascii="Times New Roman" w:hAnsi="Times New Roman" w:cs="Times New Roman"/>
        </w:rPr>
        <w:t>.开标前答疑会</w:t>
      </w:r>
      <w:bookmarkEnd w:id="176"/>
      <w:bookmarkEnd w:id="177"/>
      <w:bookmarkEnd w:id="178"/>
      <w:bookmarkEnd w:id="179"/>
      <w:bookmarkEnd w:id="180"/>
      <w:bookmarkEnd w:id="181"/>
    </w:p>
    <w:p w14:paraId="6D7FF0B7">
      <w:pPr>
        <w:ind w:firstLine="420"/>
        <w:rPr>
          <w:rFonts w:ascii="Times New Roman" w:hAnsi="Times New Roman" w:cs="Times New Roman"/>
        </w:rPr>
      </w:pPr>
      <w:r>
        <w:rPr>
          <w:rFonts w:hint="eastAsia" w:ascii="宋体" w:hAnsi="宋体" w:cs="宋体"/>
        </w:rPr>
        <w:t>6.1《投标人须知前附表》规定召开开标前答疑会的，采购人将按规定的时间、地点组织已获取招标文件的潜在投标人召开开标前答疑会。</w:t>
      </w:r>
    </w:p>
    <w:p w14:paraId="2E29CDF2">
      <w:pPr>
        <w:pStyle w:val="4"/>
        <w:spacing w:before="165"/>
        <w:ind w:firstLine="482"/>
        <w:rPr>
          <w:rFonts w:ascii="Times New Roman" w:hAnsi="Times New Roman" w:cs="Times New Roman"/>
        </w:rPr>
      </w:pPr>
      <w:bookmarkStart w:id="182" w:name="_Toc15451"/>
      <w:r>
        <w:rPr>
          <w:rFonts w:hint="eastAsia" w:ascii="Times New Roman" w:hAnsi="Times New Roman" w:cs="Times New Roman"/>
        </w:rPr>
        <w:t>7</w:t>
      </w:r>
      <w:r>
        <w:rPr>
          <w:rFonts w:ascii="Times New Roman" w:hAnsi="Times New Roman" w:cs="Times New Roman"/>
        </w:rPr>
        <w:t>.费用承担</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82"/>
    </w:p>
    <w:p w14:paraId="12929068">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25A20F64">
      <w:pPr>
        <w:pStyle w:val="3"/>
        <w:spacing w:before="165"/>
        <w:jc w:val="center"/>
        <w:rPr>
          <w:rFonts w:ascii="Times New Roman" w:hAnsi="Times New Roman" w:cs="Times New Roman"/>
        </w:rPr>
      </w:pPr>
      <w:bookmarkStart w:id="183" w:name="_Toc378239171"/>
      <w:bookmarkStart w:id="184" w:name="_Toc179632560"/>
      <w:bookmarkStart w:id="185" w:name="_Toc246996930"/>
      <w:bookmarkStart w:id="186" w:name="_Toc7169"/>
      <w:bookmarkStart w:id="187" w:name="_Toc488633605"/>
      <w:bookmarkStart w:id="188" w:name="_Toc246996187"/>
      <w:bookmarkStart w:id="189" w:name="_Toc9137"/>
      <w:bookmarkStart w:id="190" w:name="_Toc401342135"/>
      <w:bookmarkStart w:id="191" w:name="_Toc144974510"/>
      <w:bookmarkStart w:id="192" w:name="_Toc38338278"/>
      <w:bookmarkStart w:id="193" w:name="_Toc152045542"/>
      <w:bookmarkStart w:id="194" w:name="_Toc152042318"/>
      <w:bookmarkStart w:id="195" w:name="_Toc489197817"/>
      <w:bookmarkStart w:id="196" w:name="_Toc480817644"/>
      <w:bookmarkStart w:id="197" w:name="_Toc19564"/>
      <w:bookmarkStart w:id="198" w:name="_Toc9608"/>
      <w:bookmarkStart w:id="199" w:name="_Toc378239079"/>
      <w:bookmarkStart w:id="200" w:name="_Toc247085701"/>
      <w:bookmarkStart w:id="201" w:name="_Toc489145713"/>
      <w:bookmarkStart w:id="202" w:name="_Toc378239352"/>
      <w:bookmarkStart w:id="203" w:name="_Toc37716358"/>
      <w:bookmarkStart w:id="204" w:name="_Toc296602432"/>
      <w:bookmarkStart w:id="205" w:name="_Toc17348"/>
      <w:r>
        <w:rPr>
          <w:rFonts w:ascii="Times New Roman" w:hAnsi="Times New Roman" w:cs="Times New Roman"/>
        </w:rPr>
        <w:t>二、招标文件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703ED580">
      <w:pPr>
        <w:pStyle w:val="4"/>
        <w:spacing w:before="165"/>
        <w:ind w:firstLine="482"/>
        <w:rPr>
          <w:rFonts w:ascii="Times New Roman" w:hAnsi="Times New Roman" w:cs="Times New Roman"/>
        </w:rPr>
      </w:pPr>
      <w:bookmarkStart w:id="206" w:name="_Toc20738"/>
      <w:bookmarkStart w:id="207" w:name="_Toc30968"/>
      <w:bookmarkStart w:id="208" w:name="_Toc23732"/>
      <w:bookmarkStart w:id="209" w:name="_Toc785"/>
      <w:bookmarkStart w:id="210" w:name="_Toc10033"/>
      <w:bookmarkStart w:id="211" w:name="_Toc37716359"/>
      <w:bookmarkStart w:id="212" w:name="_Toc38338279"/>
      <w:bookmarkStart w:id="213" w:name="_Toc489145714"/>
      <w:bookmarkStart w:id="214" w:name="_Toc144974511"/>
      <w:bookmarkStart w:id="215" w:name="_Toc246996931"/>
      <w:bookmarkStart w:id="216" w:name="_Toc152042319"/>
      <w:bookmarkStart w:id="217" w:name="_Toc152045543"/>
      <w:bookmarkStart w:id="218" w:name="_Toc179632561"/>
      <w:bookmarkStart w:id="219" w:name="_Toc246996188"/>
      <w:bookmarkStart w:id="220" w:name="_Toc489197818"/>
      <w:bookmarkStart w:id="221" w:name="_Toc247085702"/>
      <w:bookmarkStart w:id="222" w:name="_Toc296602433"/>
      <w:r>
        <w:rPr>
          <w:rFonts w:hint="eastAsia" w:ascii="Times New Roman" w:hAnsi="Times New Roman" w:cs="Times New Roman"/>
        </w:rPr>
        <w:t>8</w:t>
      </w:r>
      <w:r>
        <w:rPr>
          <w:rFonts w:ascii="Times New Roman" w:hAnsi="Times New Roman" w:cs="Times New Roman"/>
        </w:rPr>
        <w:t>.招标文件编制依据</w:t>
      </w:r>
      <w:bookmarkEnd w:id="206"/>
      <w:bookmarkEnd w:id="207"/>
      <w:bookmarkEnd w:id="208"/>
      <w:bookmarkEnd w:id="209"/>
      <w:bookmarkEnd w:id="210"/>
      <w:bookmarkEnd w:id="211"/>
      <w:bookmarkEnd w:id="212"/>
    </w:p>
    <w:p w14:paraId="6AD8EF03">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13"/>
    <w:bookmarkEnd w:id="214"/>
    <w:bookmarkEnd w:id="215"/>
    <w:bookmarkEnd w:id="216"/>
    <w:bookmarkEnd w:id="217"/>
    <w:bookmarkEnd w:id="218"/>
    <w:bookmarkEnd w:id="219"/>
    <w:bookmarkEnd w:id="220"/>
    <w:bookmarkEnd w:id="221"/>
    <w:bookmarkEnd w:id="222"/>
    <w:p w14:paraId="260E9428">
      <w:pPr>
        <w:pStyle w:val="4"/>
        <w:spacing w:before="165"/>
        <w:ind w:firstLine="482"/>
        <w:rPr>
          <w:rFonts w:ascii="Times New Roman" w:hAnsi="Times New Roman" w:cs="Times New Roman"/>
        </w:rPr>
      </w:pPr>
      <w:bookmarkStart w:id="223" w:name="_Toc25191"/>
      <w:bookmarkStart w:id="224" w:name="_Toc3366"/>
      <w:bookmarkStart w:id="225" w:name="_Toc1213"/>
      <w:bookmarkStart w:id="226" w:name="_Toc26791"/>
      <w:bookmarkStart w:id="227" w:name="_Toc37716360"/>
      <w:bookmarkStart w:id="228" w:name="_Toc31638"/>
      <w:bookmarkStart w:id="229" w:name="_Toc38338280"/>
      <w:r>
        <w:rPr>
          <w:rFonts w:hint="eastAsia" w:ascii="Times New Roman" w:hAnsi="Times New Roman" w:cs="Times New Roman"/>
        </w:rPr>
        <w:t>9</w:t>
      </w:r>
      <w:r>
        <w:rPr>
          <w:rFonts w:ascii="Times New Roman" w:hAnsi="Times New Roman" w:cs="Times New Roman"/>
        </w:rPr>
        <w:t>.招标文件的组成</w:t>
      </w:r>
      <w:bookmarkEnd w:id="223"/>
      <w:bookmarkEnd w:id="224"/>
      <w:bookmarkEnd w:id="225"/>
      <w:bookmarkEnd w:id="226"/>
      <w:bookmarkEnd w:id="227"/>
      <w:bookmarkEnd w:id="228"/>
      <w:bookmarkEnd w:id="229"/>
    </w:p>
    <w:p w14:paraId="7EC4A2B0">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2A7159F4">
      <w:pPr>
        <w:ind w:firstLine="420"/>
        <w:rPr>
          <w:rFonts w:hint="eastAsia" w:ascii="宋体" w:hAnsi="宋体" w:cs="宋体"/>
          <w:kern w:val="0"/>
        </w:rPr>
      </w:pPr>
      <w:r>
        <w:rPr>
          <w:rFonts w:hint="eastAsia" w:ascii="宋体" w:hAnsi="宋体" w:cs="宋体"/>
          <w:kern w:val="0"/>
        </w:rPr>
        <w:t>第一章招标公告</w:t>
      </w:r>
    </w:p>
    <w:p w14:paraId="4C1C22E3">
      <w:pPr>
        <w:ind w:firstLine="420"/>
        <w:rPr>
          <w:rFonts w:hint="eastAsia" w:ascii="宋体" w:hAnsi="宋体" w:cs="宋体"/>
          <w:kern w:val="0"/>
        </w:rPr>
      </w:pPr>
      <w:r>
        <w:rPr>
          <w:rFonts w:hint="eastAsia" w:ascii="宋体" w:hAnsi="宋体" w:cs="宋体"/>
          <w:kern w:val="0"/>
        </w:rPr>
        <w:t>第二章投标人须知</w:t>
      </w:r>
    </w:p>
    <w:p w14:paraId="014AE450">
      <w:pPr>
        <w:ind w:firstLine="420"/>
        <w:rPr>
          <w:rFonts w:hint="eastAsia" w:ascii="宋体" w:hAnsi="宋体" w:cs="宋体"/>
          <w:kern w:val="0"/>
        </w:rPr>
      </w:pPr>
      <w:r>
        <w:rPr>
          <w:rFonts w:hint="eastAsia" w:ascii="宋体" w:hAnsi="宋体" w:cs="宋体"/>
          <w:kern w:val="0"/>
        </w:rPr>
        <w:t>第三章合同书样式及主要条款</w:t>
      </w:r>
    </w:p>
    <w:p w14:paraId="772B6746">
      <w:pPr>
        <w:ind w:firstLine="420"/>
        <w:rPr>
          <w:rFonts w:hint="eastAsia" w:ascii="宋体" w:hAnsi="宋体" w:cs="宋体"/>
          <w:kern w:val="0"/>
        </w:rPr>
      </w:pPr>
      <w:r>
        <w:rPr>
          <w:rFonts w:hint="eastAsia" w:ascii="宋体" w:hAnsi="宋体" w:cs="宋体"/>
          <w:kern w:val="0"/>
        </w:rPr>
        <w:t>第四章投标文件格式</w:t>
      </w:r>
    </w:p>
    <w:p w14:paraId="42ABF541">
      <w:pPr>
        <w:ind w:firstLine="420"/>
        <w:rPr>
          <w:rFonts w:hint="eastAsia" w:ascii="宋体" w:hAnsi="宋体" w:cs="宋体"/>
          <w:kern w:val="0"/>
        </w:rPr>
      </w:pPr>
      <w:r>
        <w:rPr>
          <w:rFonts w:hint="eastAsia" w:ascii="宋体" w:hAnsi="宋体" w:cs="宋体"/>
          <w:kern w:val="0"/>
        </w:rPr>
        <w:t>第五章采购需求</w:t>
      </w:r>
    </w:p>
    <w:p w14:paraId="7DF33EE5">
      <w:pPr>
        <w:ind w:firstLine="420"/>
        <w:rPr>
          <w:rFonts w:hint="eastAsia" w:ascii="宋体" w:hAnsi="宋体" w:cs="宋体"/>
          <w:kern w:val="0"/>
        </w:rPr>
      </w:pPr>
      <w:r>
        <w:rPr>
          <w:rFonts w:hint="eastAsia" w:ascii="宋体" w:hAnsi="宋体" w:cs="宋体"/>
          <w:kern w:val="0"/>
        </w:rPr>
        <w:t>第六章资格审查</w:t>
      </w:r>
    </w:p>
    <w:p w14:paraId="1CC4AA7E">
      <w:pPr>
        <w:ind w:firstLine="420"/>
        <w:rPr>
          <w:rFonts w:hint="eastAsia" w:ascii="宋体" w:hAnsi="宋体" w:cs="宋体"/>
          <w:kern w:val="0"/>
        </w:rPr>
      </w:pPr>
      <w:r>
        <w:rPr>
          <w:rFonts w:hint="eastAsia" w:ascii="宋体" w:hAnsi="宋体" w:cs="宋体"/>
          <w:kern w:val="0"/>
        </w:rPr>
        <w:t>第七章评标方法</w:t>
      </w:r>
    </w:p>
    <w:p w14:paraId="58D2B285">
      <w:pPr>
        <w:ind w:firstLine="420"/>
        <w:rPr>
          <w:rFonts w:hint="eastAsia" w:ascii="宋体" w:hAnsi="宋体" w:cs="宋体"/>
          <w:kern w:val="0"/>
        </w:rPr>
      </w:pPr>
      <w:r>
        <w:rPr>
          <w:rFonts w:hint="eastAsia" w:ascii="宋体" w:hAnsi="宋体" w:cs="宋体"/>
        </w:rPr>
        <w:t>9.2根据本章规定对招标文件所作的澄清、修改构成招标文件的组成部分。</w:t>
      </w:r>
    </w:p>
    <w:p w14:paraId="24B557D8">
      <w:pPr>
        <w:pStyle w:val="4"/>
        <w:spacing w:before="165"/>
        <w:ind w:firstLine="482"/>
        <w:rPr>
          <w:rFonts w:ascii="Times New Roman" w:hAnsi="Times New Roman" w:cs="Times New Roman"/>
        </w:rPr>
      </w:pPr>
      <w:bookmarkStart w:id="230" w:name="_Toc3777"/>
      <w:bookmarkStart w:id="231" w:name="_Toc246996189"/>
      <w:bookmarkStart w:id="232" w:name="_Toc152042320"/>
      <w:bookmarkStart w:id="233" w:name="_Toc38338281"/>
      <w:bookmarkStart w:id="234" w:name="_Toc144974512"/>
      <w:bookmarkStart w:id="235" w:name="_Toc152045544"/>
      <w:bookmarkStart w:id="236" w:name="_Toc18148"/>
      <w:bookmarkStart w:id="237" w:name="_Toc25924"/>
      <w:bookmarkStart w:id="238" w:name="_Toc30865"/>
      <w:bookmarkStart w:id="239" w:name="_Toc37716361"/>
      <w:bookmarkStart w:id="240" w:name="_Toc489197820"/>
      <w:bookmarkStart w:id="241" w:name="_Toc179632562"/>
      <w:bookmarkStart w:id="242" w:name="_Toc246996932"/>
      <w:bookmarkStart w:id="243" w:name="_Toc489145716"/>
      <w:bookmarkStart w:id="244" w:name="_Toc247085703"/>
      <w:bookmarkStart w:id="245" w:name="_Toc296602434"/>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0"/>
    </w:p>
    <w:p w14:paraId="19120369">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2574481C">
      <w:pPr>
        <w:ind w:firstLine="420"/>
        <w:rPr>
          <w:rFonts w:hint="eastAsia" w:ascii="宋体" w:hAnsi="宋体" w:cs="宋体"/>
        </w:rPr>
      </w:pPr>
      <w:bookmarkStart w:id="246" w:name="OLE_LINK70"/>
      <w:r>
        <w:rPr>
          <w:rFonts w:hint="eastAsia" w:ascii="宋体" w:hAnsi="宋体" w:cs="宋体"/>
        </w:rPr>
        <w:t>10.2投标人应仔细阅读和检查招标文件的全部内容。</w:t>
      </w:r>
    </w:p>
    <w:bookmarkEnd w:id="246"/>
    <w:p w14:paraId="1530BFC7">
      <w:pPr>
        <w:ind w:firstLine="420"/>
        <w:rPr>
          <w:rFonts w:ascii="Times New Roman" w:hAnsi="Times New Roman" w:cs="Times New Roman"/>
        </w:rPr>
      </w:pPr>
      <w:r>
        <w:rPr>
          <w:rFonts w:hint="eastAsia" w:ascii="宋体" w:hAnsi="宋体" w:cs="宋体"/>
        </w:rPr>
        <w:t>10.3询问联系方式：详见《投标人须知前附表》。</w:t>
      </w:r>
    </w:p>
    <w:p w14:paraId="37E3B705">
      <w:pPr>
        <w:pStyle w:val="4"/>
        <w:spacing w:before="165"/>
        <w:ind w:firstLine="482"/>
        <w:rPr>
          <w:rFonts w:ascii="Times New Roman" w:hAnsi="Times New Roman" w:cs="Times New Roman"/>
        </w:rPr>
      </w:pPr>
      <w:bookmarkStart w:id="247" w:name="_Toc3450"/>
      <w:r>
        <w:rPr>
          <w:rFonts w:hint="eastAsia" w:ascii="Times New Roman" w:hAnsi="Times New Roman" w:cs="Times New Roman"/>
        </w:rPr>
        <w:t>11</w:t>
      </w:r>
      <w:r>
        <w:rPr>
          <w:rFonts w:ascii="Times New Roman" w:hAnsi="Times New Roman" w:cs="Times New Roman"/>
        </w:rPr>
        <w:t>.招标文件的澄清、修改</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7"/>
    </w:p>
    <w:p w14:paraId="4C75F0D9">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3D86ACF6">
      <w:pPr>
        <w:ind w:firstLine="420"/>
        <w:rPr>
          <w:rFonts w:hint="eastAsia" w:ascii="宋体" w:hAnsi="宋体" w:cs="宋体"/>
        </w:rPr>
      </w:pPr>
      <w:bookmarkStart w:id="248"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05B4D99A">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48"/>
    <w:p w14:paraId="73516152">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5F92709">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7AD1FAD1">
      <w:pPr>
        <w:pStyle w:val="3"/>
        <w:spacing w:before="165"/>
        <w:jc w:val="center"/>
        <w:rPr>
          <w:rFonts w:ascii="Times New Roman" w:hAnsi="Times New Roman" w:cs="Times New Roman"/>
        </w:rPr>
      </w:pPr>
      <w:bookmarkStart w:id="249" w:name="_Toc21970"/>
      <w:bookmarkStart w:id="250" w:name="_Toc296602436"/>
      <w:bookmarkStart w:id="251" w:name="_Toc37716362"/>
      <w:bookmarkStart w:id="252" w:name="_Toc29509"/>
      <w:bookmarkStart w:id="253" w:name="_Toc246996934"/>
      <w:bookmarkStart w:id="254" w:name="_Toc179632564"/>
      <w:bookmarkStart w:id="255" w:name="_Toc378239353"/>
      <w:bookmarkStart w:id="256" w:name="_Toc378239080"/>
      <w:bookmarkStart w:id="257" w:name="_Toc480817645"/>
      <w:bookmarkStart w:id="258" w:name="_Toc152045546"/>
      <w:bookmarkStart w:id="259" w:name="_Toc1087"/>
      <w:bookmarkStart w:id="260" w:name="_Toc488633606"/>
      <w:bookmarkStart w:id="261" w:name="_Toc378239172"/>
      <w:bookmarkStart w:id="262" w:name="_Toc15486"/>
      <w:bookmarkStart w:id="263" w:name="_Toc152042322"/>
      <w:bookmarkStart w:id="264" w:name="_Toc247085705"/>
      <w:bookmarkStart w:id="265" w:name="_Toc401342136"/>
      <w:bookmarkStart w:id="266" w:name="_Toc489197821"/>
      <w:bookmarkStart w:id="267" w:name="_Toc246996191"/>
      <w:bookmarkStart w:id="268" w:name="_Toc38338282"/>
      <w:bookmarkStart w:id="269" w:name="_Toc1055"/>
      <w:bookmarkStart w:id="270" w:name="_Toc144974514"/>
      <w:bookmarkStart w:id="271" w:name="_Toc489145717"/>
      <w:r>
        <w:rPr>
          <w:rFonts w:ascii="Times New Roman" w:hAnsi="Times New Roman" w:cs="Times New Roman"/>
        </w:rPr>
        <w:t>三、投标文件</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F00B4FD">
      <w:pPr>
        <w:pStyle w:val="4"/>
        <w:spacing w:before="165"/>
        <w:ind w:firstLine="482"/>
        <w:rPr>
          <w:rFonts w:ascii="Times New Roman" w:hAnsi="Times New Roman" w:cs="Times New Roman"/>
        </w:rPr>
      </w:pPr>
      <w:bookmarkStart w:id="272" w:name="_Toc37716363"/>
      <w:bookmarkStart w:id="273" w:name="_Toc10160"/>
      <w:bookmarkStart w:id="274" w:name="_Toc489145718"/>
      <w:bookmarkStart w:id="275" w:name="_Toc561"/>
      <w:bookmarkStart w:id="276" w:name="_Toc26359"/>
      <w:bookmarkStart w:id="277" w:name="_Toc21003"/>
      <w:bookmarkStart w:id="278" w:name="_Toc489197822"/>
      <w:bookmarkStart w:id="279" w:name="_Toc38338283"/>
      <w:r>
        <w:rPr>
          <w:rFonts w:hint="eastAsia" w:ascii="Times New Roman" w:hAnsi="Times New Roman" w:cs="Times New Roman"/>
        </w:rPr>
        <w:t>12</w:t>
      </w:r>
      <w:r>
        <w:rPr>
          <w:rFonts w:ascii="Times New Roman" w:hAnsi="Times New Roman" w:cs="Times New Roman"/>
        </w:rPr>
        <w:t>.投标文件编写注意事项</w:t>
      </w:r>
      <w:bookmarkEnd w:id="272"/>
      <w:bookmarkEnd w:id="273"/>
      <w:bookmarkEnd w:id="274"/>
      <w:bookmarkEnd w:id="275"/>
      <w:bookmarkEnd w:id="276"/>
      <w:bookmarkEnd w:id="277"/>
      <w:bookmarkEnd w:id="278"/>
      <w:bookmarkEnd w:id="279"/>
    </w:p>
    <w:p w14:paraId="611CD7E8">
      <w:pPr>
        <w:ind w:firstLine="420"/>
        <w:rPr>
          <w:rFonts w:hint="eastAsia" w:ascii="宋体" w:hAnsi="宋体" w:cs="宋体"/>
        </w:rPr>
      </w:pPr>
      <w:r>
        <w:rPr>
          <w:rFonts w:hint="eastAsia" w:ascii="宋体" w:hAnsi="宋体" w:cs="宋体"/>
        </w:rPr>
        <w:t>12.1投标人应仔细阅读招标文件，在完全了解采购需求和商务技术条件后，根据招标文件要求编写投标文件。</w:t>
      </w:r>
    </w:p>
    <w:p w14:paraId="35EBE0DD">
      <w:pPr>
        <w:ind w:firstLine="420"/>
        <w:rPr>
          <w:rFonts w:hint="eastAsia" w:ascii="宋体" w:hAnsi="宋体" w:cs="宋体"/>
        </w:rPr>
      </w:pPr>
      <w:r>
        <w:rPr>
          <w:rFonts w:hint="eastAsia" w:ascii="宋体" w:hAnsi="宋体" w:cs="宋体"/>
        </w:rPr>
        <w:t>12.2对招标文件提出的实质性要求和条件作出响应是指投标人的投标文件必须对招标文件中规定的实质性要求和条件作出满足或者优于原要求和条件的承诺，并按要求提供相应的证明材料，否则按无效处理。</w:t>
      </w:r>
    </w:p>
    <w:p w14:paraId="2A10BAC2">
      <w:pPr>
        <w:pStyle w:val="4"/>
        <w:spacing w:before="165"/>
        <w:ind w:firstLine="482"/>
        <w:rPr>
          <w:rFonts w:ascii="Times New Roman" w:hAnsi="Times New Roman" w:cs="Times New Roman"/>
        </w:rPr>
      </w:pPr>
      <w:bookmarkStart w:id="280" w:name="_Toc489197823"/>
      <w:bookmarkStart w:id="281" w:name="_Toc489145719"/>
      <w:bookmarkStart w:id="282" w:name="_Toc37716364"/>
      <w:bookmarkStart w:id="283" w:name="_Toc8417"/>
      <w:bookmarkStart w:id="284" w:name="_Toc8471"/>
      <w:bookmarkStart w:id="285" w:name="_Toc25372"/>
      <w:bookmarkStart w:id="286" w:name="_Toc38338284"/>
      <w:bookmarkStart w:id="287" w:name="_Toc30528"/>
      <w:r>
        <w:rPr>
          <w:rFonts w:hint="eastAsia" w:ascii="Times New Roman" w:hAnsi="Times New Roman" w:cs="Times New Roman"/>
        </w:rPr>
        <w:t>13</w:t>
      </w:r>
      <w:r>
        <w:rPr>
          <w:rFonts w:ascii="Times New Roman" w:hAnsi="Times New Roman" w:cs="Times New Roman"/>
        </w:rPr>
        <w:t>.语言文字</w:t>
      </w:r>
      <w:bookmarkEnd w:id="280"/>
      <w:bookmarkEnd w:id="281"/>
      <w:bookmarkEnd w:id="282"/>
      <w:bookmarkEnd w:id="283"/>
      <w:bookmarkEnd w:id="284"/>
      <w:bookmarkEnd w:id="285"/>
      <w:bookmarkEnd w:id="286"/>
      <w:bookmarkEnd w:id="287"/>
    </w:p>
    <w:p w14:paraId="1446D8E2">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0F03FCAD">
      <w:pPr>
        <w:pStyle w:val="4"/>
        <w:spacing w:before="165"/>
        <w:ind w:firstLine="482"/>
        <w:rPr>
          <w:rFonts w:ascii="Times New Roman" w:hAnsi="Times New Roman" w:cs="Times New Roman"/>
        </w:rPr>
      </w:pPr>
      <w:bookmarkStart w:id="288" w:name="_Toc38338285"/>
      <w:bookmarkStart w:id="289" w:name="_Toc12593"/>
      <w:bookmarkStart w:id="290" w:name="_Toc22668"/>
      <w:bookmarkStart w:id="291" w:name="_Toc489197824"/>
      <w:bookmarkStart w:id="292" w:name="_Toc13512"/>
      <w:bookmarkStart w:id="293" w:name="_Toc37716365"/>
      <w:bookmarkStart w:id="294" w:name="_Toc489145720"/>
      <w:bookmarkStart w:id="295" w:name="_Toc4221"/>
      <w:r>
        <w:rPr>
          <w:rFonts w:hint="eastAsia" w:ascii="Times New Roman" w:hAnsi="Times New Roman" w:cs="Times New Roman"/>
        </w:rPr>
        <w:t>14</w:t>
      </w:r>
      <w:r>
        <w:rPr>
          <w:rFonts w:ascii="Times New Roman" w:hAnsi="Times New Roman" w:cs="Times New Roman"/>
        </w:rPr>
        <w:t>.计量单位</w:t>
      </w:r>
      <w:bookmarkEnd w:id="288"/>
      <w:bookmarkEnd w:id="289"/>
      <w:bookmarkEnd w:id="290"/>
      <w:bookmarkEnd w:id="291"/>
      <w:bookmarkEnd w:id="292"/>
      <w:bookmarkEnd w:id="293"/>
      <w:bookmarkEnd w:id="294"/>
      <w:bookmarkEnd w:id="295"/>
    </w:p>
    <w:p w14:paraId="641BF88C">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5BE203BF">
      <w:pPr>
        <w:pStyle w:val="4"/>
        <w:spacing w:before="165"/>
        <w:ind w:firstLine="482"/>
        <w:rPr>
          <w:rFonts w:ascii="Times New Roman" w:hAnsi="Times New Roman" w:cs="Times New Roman"/>
        </w:rPr>
      </w:pPr>
      <w:bookmarkStart w:id="296" w:name="_Toc144974515"/>
      <w:bookmarkStart w:id="297" w:name="_Toc489197825"/>
      <w:bookmarkStart w:id="298" w:name="_Toc152045547"/>
      <w:bookmarkStart w:id="299" w:name="_Toc31123"/>
      <w:bookmarkStart w:id="300" w:name="_Toc31344"/>
      <w:bookmarkStart w:id="301" w:name="_Toc296602437"/>
      <w:bookmarkStart w:id="302" w:name="_Toc246996935"/>
      <w:bookmarkStart w:id="303" w:name="_Toc38338286"/>
      <w:bookmarkStart w:id="304" w:name="_Toc179632565"/>
      <w:bookmarkStart w:id="305" w:name="_Toc246996192"/>
      <w:bookmarkStart w:id="306" w:name="_Toc152042323"/>
      <w:bookmarkStart w:id="307" w:name="_Toc21026"/>
      <w:bookmarkStart w:id="308" w:name="_Toc489145721"/>
      <w:bookmarkStart w:id="309" w:name="_Toc14023"/>
      <w:bookmarkStart w:id="310" w:name="_Toc37716366"/>
      <w:bookmarkStart w:id="311" w:name="_Toc247085706"/>
      <w:r>
        <w:rPr>
          <w:rFonts w:hint="eastAsia" w:ascii="Times New Roman" w:hAnsi="Times New Roman" w:cs="Times New Roman"/>
        </w:rPr>
        <w:t>15</w:t>
      </w:r>
      <w:r>
        <w:rPr>
          <w:rFonts w:ascii="Times New Roman" w:hAnsi="Times New Roman" w:cs="Times New Roman"/>
        </w:rPr>
        <w:t>.投标文件的组成</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53B4C31F">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12" w:name="OLE_LINK260"/>
      <w:r>
        <w:rPr>
          <w:rFonts w:hint="eastAsia"/>
        </w:rPr>
        <w:t>或照片等形式的电子文件</w:t>
      </w:r>
      <w:bookmarkEnd w:id="312"/>
      <w:r>
        <w:rPr>
          <w:rFonts w:hint="eastAsia" w:ascii="宋体" w:hAnsi="宋体" w:cs="宋体"/>
        </w:rPr>
        <w:t>。</w:t>
      </w:r>
    </w:p>
    <w:p w14:paraId="138776B7">
      <w:pPr>
        <w:ind w:firstLine="420"/>
        <w:rPr>
          <w:rFonts w:hint="eastAsia" w:ascii="宋体" w:hAnsi="宋体" w:cs="宋体"/>
        </w:rPr>
      </w:pPr>
      <w:bookmarkStart w:id="313" w:name="_Toc5987"/>
      <w:bookmarkStart w:id="314" w:name="_Toc38338287"/>
      <w:bookmarkStart w:id="315" w:name="_Toc5508"/>
      <w:bookmarkStart w:id="316" w:name="_Toc28123"/>
      <w:bookmarkStart w:id="317" w:name="_Toc489197826"/>
      <w:bookmarkStart w:id="318" w:name="_Toc489145722"/>
      <w:bookmarkStart w:id="319" w:name="_Toc37716367"/>
      <w:bookmarkStart w:id="320" w:name="_Toc2067"/>
      <w:r>
        <w:rPr>
          <w:rFonts w:hint="eastAsia" w:ascii="宋体" w:hAnsi="宋体" w:cs="宋体"/>
        </w:rPr>
        <w:t>15.2</w:t>
      </w:r>
      <w:bookmarkStart w:id="321" w:name="OLE_LINK72"/>
      <w:r>
        <w:rPr>
          <w:rFonts w:hint="eastAsia" w:ascii="宋体" w:hAnsi="宋体" w:cs="宋体"/>
        </w:rPr>
        <w:t>投标描述与证明材料不一致或多份证明材料之间不一致的，造成的后果由投标人自行承担责任</w:t>
      </w:r>
      <w:bookmarkEnd w:id="321"/>
      <w:r>
        <w:rPr>
          <w:rFonts w:hint="eastAsia" w:ascii="宋体" w:hAnsi="宋体" w:cs="宋体"/>
        </w:rPr>
        <w:t>。</w:t>
      </w:r>
      <w:bookmarkEnd w:id="313"/>
    </w:p>
    <w:p w14:paraId="7A91A931">
      <w:pPr>
        <w:pStyle w:val="4"/>
        <w:spacing w:before="165"/>
        <w:ind w:firstLine="482"/>
        <w:rPr>
          <w:rFonts w:ascii="Times New Roman" w:hAnsi="Times New Roman" w:cs="Times New Roman"/>
        </w:rPr>
      </w:pPr>
      <w:bookmarkStart w:id="322" w:name="_Toc28752"/>
      <w:r>
        <w:rPr>
          <w:rFonts w:hint="eastAsia" w:ascii="Times New Roman" w:hAnsi="Times New Roman" w:cs="Times New Roman"/>
        </w:rPr>
        <w:t>16</w:t>
      </w:r>
      <w:r>
        <w:rPr>
          <w:rFonts w:ascii="Times New Roman" w:hAnsi="Times New Roman" w:cs="Times New Roman"/>
        </w:rPr>
        <w:t>.投标文件的格式要求</w:t>
      </w:r>
      <w:bookmarkEnd w:id="314"/>
      <w:bookmarkEnd w:id="315"/>
      <w:bookmarkEnd w:id="316"/>
      <w:bookmarkEnd w:id="317"/>
      <w:bookmarkEnd w:id="318"/>
      <w:bookmarkEnd w:id="319"/>
      <w:bookmarkEnd w:id="320"/>
      <w:bookmarkEnd w:id="322"/>
    </w:p>
    <w:p w14:paraId="7474355A">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23" w:name="OLE_LINK12"/>
      <w:r>
        <w:rPr>
          <w:rFonts w:hint="eastAsia" w:ascii="宋体" w:hAnsi="宋体" w:cs="宋体"/>
        </w:rPr>
        <w:t>。</w:t>
      </w:r>
      <w:bookmarkEnd w:id="323"/>
      <w:bookmarkStart w:id="324" w:name="_Toc18691"/>
      <w:bookmarkStart w:id="325" w:name="_Toc489197827"/>
      <w:bookmarkStart w:id="326" w:name="_Toc6502"/>
      <w:bookmarkStart w:id="327" w:name="_Toc489145723"/>
      <w:bookmarkStart w:id="328" w:name="_Toc19178"/>
      <w:bookmarkStart w:id="329" w:name="_Toc37716368"/>
      <w:bookmarkStart w:id="330" w:name="_Toc38338288"/>
    </w:p>
    <w:p w14:paraId="4E0556EA">
      <w:pPr>
        <w:pStyle w:val="4"/>
        <w:spacing w:before="165"/>
        <w:ind w:firstLine="482"/>
        <w:rPr>
          <w:rFonts w:ascii="Times New Roman" w:hAnsi="Times New Roman" w:cs="Times New Roman"/>
        </w:rPr>
      </w:pPr>
      <w:bookmarkStart w:id="331" w:name="_Toc10657"/>
      <w:r>
        <w:rPr>
          <w:rFonts w:hint="eastAsia" w:ascii="Times New Roman" w:hAnsi="Times New Roman" w:cs="Times New Roman"/>
        </w:rPr>
        <w:t>17</w:t>
      </w:r>
      <w:r>
        <w:rPr>
          <w:rFonts w:ascii="Times New Roman" w:hAnsi="Times New Roman" w:cs="Times New Roman"/>
        </w:rPr>
        <w:t>.投标有效期</w:t>
      </w:r>
      <w:bookmarkEnd w:id="324"/>
      <w:bookmarkEnd w:id="325"/>
      <w:bookmarkEnd w:id="326"/>
      <w:bookmarkEnd w:id="327"/>
      <w:bookmarkEnd w:id="328"/>
      <w:bookmarkEnd w:id="329"/>
      <w:bookmarkEnd w:id="330"/>
      <w:bookmarkEnd w:id="331"/>
    </w:p>
    <w:p w14:paraId="1A1DD4A1">
      <w:pPr>
        <w:ind w:firstLine="420"/>
        <w:rPr>
          <w:rFonts w:hint="eastAsia" w:ascii="宋体" w:hAnsi="宋体" w:cs="宋体"/>
        </w:rPr>
      </w:pPr>
      <w:bookmarkStart w:id="332" w:name="_Toc179632567"/>
      <w:bookmarkStart w:id="333" w:name="_Toc152045549"/>
      <w:bookmarkStart w:id="334" w:name="_Toc246996194"/>
      <w:bookmarkStart w:id="335" w:name="_Toc247085708"/>
      <w:bookmarkStart w:id="336" w:name="_Toc296602439"/>
      <w:bookmarkStart w:id="337" w:name="_Toc144974517"/>
      <w:bookmarkStart w:id="338" w:name="_Toc246996937"/>
      <w:bookmarkStart w:id="339" w:name="_Toc152042325"/>
      <w:r>
        <w:rPr>
          <w:rFonts w:hint="eastAsia" w:ascii="宋体" w:hAnsi="宋体" w:cs="宋体"/>
        </w:rPr>
        <w:t>17.1</w:t>
      </w:r>
      <w:bookmarkEnd w:id="332"/>
      <w:bookmarkEnd w:id="333"/>
      <w:bookmarkEnd w:id="334"/>
      <w:bookmarkEnd w:id="335"/>
      <w:bookmarkEnd w:id="336"/>
      <w:bookmarkEnd w:id="337"/>
      <w:bookmarkEnd w:id="338"/>
      <w:bookmarkEnd w:id="339"/>
      <w:r>
        <w:rPr>
          <w:rFonts w:hint="eastAsia" w:ascii="宋体" w:hAnsi="宋体" w:cs="宋体"/>
        </w:rPr>
        <w:t>投标人投标文件在《投标人须知前附表》规定的投标文件有效期内保持有效，在此期间投标人不得要求撤销或修改其投标文件。</w:t>
      </w:r>
    </w:p>
    <w:p w14:paraId="24FCAED5">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A7198DF">
      <w:pPr>
        <w:pStyle w:val="4"/>
        <w:spacing w:before="165"/>
        <w:ind w:firstLine="482"/>
        <w:rPr>
          <w:rFonts w:ascii="Times New Roman" w:hAnsi="Times New Roman" w:cs="Times New Roman"/>
        </w:rPr>
      </w:pPr>
      <w:bookmarkStart w:id="340" w:name="_Toc489197828"/>
      <w:bookmarkStart w:id="341" w:name="_Toc5509"/>
      <w:bookmarkStart w:id="342" w:name="_Toc489145724"/>
      <w:bookmarkStart w:id="343" w:name="_Toc37716369"/>
      <w:bookmarkStart w:id="344" w:name="_Toc8378"/>
      <w:bookmarkStart w:id="345" w:name="_Toc5447"/>
      <w:bookmarkStart w:id="346" w:name="_Toc38338289"/>
      <w:bookmarkStart w:id="347" w:name="_Toc24530"/>
      <w:r>
        <w:rPr>
          <w:rFonts w:hint="eastAsia" w:ascii="Times New Roman" w:hAnsi="Times New Roman" w:cs="Times New Roman"/>
        </w:rPr>
        <w:t>18</w:t>
      </w:r>
      <w:r>
        <w:rPr>
          <w:rFonts w:ascii="Times New Roman" w:hAnsi="Times New Roman" w:cs="Times New Roman"/>
        </w:rPr>
        <w:t>.投标保证金</w:t>
      </w:r>
      <w:bookmarkEnd w:id="340"/>
      <w:bookmarkEnd w:id="341"/>
      <w:bookmarkEnd w:id="342"/>
      <w:bookmarkEnd w:id="343"/>
      <w:bookmarkEnd w:id="344"/>
      <w:bookmarkEnd w:id="345"/>
      <w:bookmarkEnd w:id="346"/>
      <w:bookmarkEnd w:id="347"/>
    </w:p>
    <w:p w14:paraId="6DE006F1">
      <w:pPr>
        <w:ind w:firstLine="420"/>
        <w:rPr>
          <w:rFonts w:hint="eastAsia" w:ascii="宋体" w:hAnsi="宋体" w:cs="宋体"/>
        </w:rPr>
      </w:pPr>
      <w:bookmarkStart w:id="348" w:name="_Toc152042326"/>
      <w:bookmarkStart w:id="349" w:name="_Toc246996195"/>
      <w:bookmarkStart w:id="350" w:name="_Toc152045550"/>
      <w:bookmarkStart w:id="351" w:name="_Toc247085709"/>
      <w:bookmarkStart w:id="352" w:name="_Toc179632568"/>
      <w:bookmarkStart w:id="353" w:name="_Toc296602440"/>
      <w:bookmarkStart w:id="354" w:name="_Toc246996938"/>
      <w:bookmarkStart w:id="355" w:name="_Toc144974518"/>
      <w:r>
        <w:rPr>
          <w:rFonts w:hint="eastAsia" w:ascii="宋体" w:hAnsi="宋体" w:cs="宋体"/>
        </w:rPr>
        <w:t>18.1</w:t>
      </w:r>
      <w:bookmarkEnd w:id="348"/>
      <w:bookmarkEnd w:id="349"/>
      <w:bookmarkEnd w:id="350"/>
      <w:bookmarkEnd w:id="351"/>
      <w:bookmarkEnd w:id="352"/>
      <w:bookmarkEnd w:id="353"/>
      <w:bookmarkEnd w:id="354"/>
      <w:bookmarkEnd w:id="355"/>
      <w:r>
        <w:rPr>
          <w:rFonts w:hint="eastAsia" w:ascii="宋体" w:hAnsi="宋体" w:cs="宋体"/>
        </w:rPr>
        <w:t>投标人应按《投标人须知前附表》规定的金额、形式交纳投标保证金，投标人未按照招标文件要求提交投标保证金的，投标无效。</w:t>
      </w:r>
    </w:p>
    <w:p w14:paraId="601F9B9A">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76AE98CE">
      <w:pPr>
        <w:ind w:firstLine="420"/>
        <w:rPr>
          <w:rFonts w:hint="eastAsia" w:ascii="宋体" w:hAnsi="宋体" w:cs="宋体"/>
        </w:rPr>
      </w:pPr>
      <w:r>
        <w:rPr>
          <w:rFonts w:hint="eastAsia" w:ascii="宋体" w:hAnsi="宋体" w:cs="宋体"/>
        </w:rPr>
        <w:t>（1）投标人在提交投标文件截止时间后撤销投标文件的；</w:t>
      </w:r>
    </w:p>
    <w:p w14:paraId="41B37689">
      <w:pPr>
        <w:ind w:firstLine="420"/>
        <w:rPr>
          <w:rFonts w:hint="eastAsia" w:ascii="宋体" w:hAnsi="宋体" w:cs="宋体"/>
        </w:rPr>
      </w:pPr>
      <w:r>
        <w:rPr>
          <w:rFonts w:hint="eastAsia" w:ascii="宋体" w:hAnsi="宋体" w:cs="宋体"/>
        </w:rPr>
        <w:t>（2）投标人在投标文件中提供虚假材料的；</w:t>
      </w:r>
    </w:p>
    <w:p w14:paraId="302AF705">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5F656492">
      <w:pPr>
        <w:ind w:firstLine="420"/>
        <w:rPr>
          <w:rFonts w:hint="eastAsia" w:ascii="宋体" w:hAnsi="宋体" w:cs="宋体"/>
        </w:rPr>
      </w:pPr>
      <w:r>
        <w:rPr>
          <w:rFonts w:hint="eastAsia" w:ascii="宋体" w:hAnsi="宋体" w:cs="宋体"/>
        </w:rPr>
        <w:t>（4）投标人与采购人、其他投标人或者采购代理机构恶意串通的；</w:t>
      </w:r>
    </w:p>
    <w:p w14:paraId="42DEF48C">
      <w:pPr>
        <w:ind w:firstLine="420"/>
        <w:rPr>
          <w:rFonts w:hint="eastAsia" w:ascii="宋体" w:hAnsi="宋体" w:cs="宋体"/>
        </w:rPr>
      </w:pPr>
      <w:r>
        <w:rPr>
          <w:rFonts w:hint="eastAsia" w:ascii="宋体" w:hAnsi="宋体" w:cs="宋体"/>
        </w:rPr>
        <w:t>（5）招标文件规定的其他情形。</w:t>
      </w:r>
    </w:p>
    <w:p w14:paraId="15B6C95F">
      <w:pPr>
        <w:pStyle w:val="4"/>
        <w:spacing w:before="165"/>
        <w:ind w:firstLine="482"/>
        <w:rPr>
          <w:rFonts w:ascii="Times New Roman" w:hAnsi="Times New Roman" w:cs="Times New Roman"/>
        </w:rPr>
      </w:pPr>
      <w:bookmarkStart w:id="356" w:name="_Toc14341"/>
      <w:bookmarkStart w:id="357" w:name="_Toc37716370"/>
      <w:bookmarkStart w:id="358" w:name="_Toc19328"/>
      <w:bookmarkStart w:id="359" w:name="_Toc489145725"/>
      <w:bookmarkStart w:id="360" w:name="_Toc489197829"/>
      <w:bookmarkStart w:id="361" w:name="_Toc23926"/>
      <w:bookmarkStart w:id="362" w:name="_Toc30973"/>
      <w:bookmarkStart w:id="363" w:name="_Toc38338290"/>
      <w:r>
        <w:rPr>
          <w:rFonts w:hint="eastAsia" w:ascii="Times New Roman" w:hAnsi="Times New Roman" w:cs="Times New Roman"/>
        </w:rPr>
        <w:t>19</w:t>
      </w:r>
      <w:r>
        <w:rPr>
          <w:rFonts w:ascii="Times New Roman" w:hAnsi="Times New Roman" w:cs="Times New Roman"/>
        </w:rPr>
        <w:t>.投标文件的编制</w:t>
      </w:r>
      <w:bookmarkEnd w:id="356"/>
      <w:bookmarkEnd w:id="357"/>
      <w:bookmarkEnd w:id="358"/>
      <w:bookmarkEnd w:id="359"/>
      <w:bookmarkEnd w:id="360"/>
      <w:bookmarkEnd w:id="361"/>
      <w:bookmarkEnd w:id="362"/>
      <w:bookmarkEnd w:id="363"/>
      <w:bookmarkStart w:id="364" w:name="_Toc296602442"/>
    </w:p>
    <w:bookmarkEnd w:id="364"/>
    <w:p w14:paraId="0908EBD1">
      <w:pPr>
        <w:pStyle w:val="11"/>
        <w:rPr>
          <w:rFonts w:hint="eastAsia" w:ascii="宋体" w:hAnsi="宋体" w:cs="宋体"/>
        </w:rPr>
      </w:pPr>
      <w:r>
        <w:rPr>
          <w:rFonts w:hint="eastAsia" w:ascii="宋体" w:hAnsi="宋体" w:cs="宋体"/>
        </w:rPr>
        <w:t>19.1</w:t>
      </w:r>
      <w:bookmarkStart w:id="365" w:name="OLE_LINK180"/>
      <w:bookmarkStart w:id="366" w:name="OLE_LINK316"/>
      <w:r>
        <w:rPr>
          <w:rFonts w:hint="eastAsia" w:ascii="宋体" w:hAnsi="宋体" w:cs="宋体"/>
        </w:rPr>
        <w:t>本</w:t>
      </w:r>
      <w:bookmarkStart w:id="367" w:name="OLE_LINK178"/>
      <w:r>
        <w:rPr>
          <w:rFonts w:hint="eastAsia" w:ascii="宋体" w:hAnsi="宋体" w:cs="宋体"/>
        </w:rPr>
        <w:t>项目实行</w:t>
      </w:r>
      <w:bookmarkEnd w:id="365"/>
      <w:r>
        <w:rPr>
          <w:rFonts w:ascii="Times New Roman" w:hAnsi="Times New Roman" w:cs="Times New Roman"/>
          <w:bCs/>
        </w:rPr>
        <w:t>网上</w:t>
      </w:r>
      <w:bookmarkEnd w:id="367"/>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66"/>
      <w:r>
        <w:rPr>
          <w:rFonts w:hint="eastAsia" w:ascii="宋体" w:hAnsi="宋体" w:cs="宋体"/>
        </w:rPr>
        <w:t>。</w:t>
      </w:r>
    </w:p>
    <w:p w14:paraId="6411159B">
      <w:pPr>
        <w:ind w:firstLine="420"/>
        <w:rPr>
          <w:rFonts w:hint="eastAsia" w:ascii="宋体" w:hAnsi="宋体" w:cs="宋体"/>
        </w:rPr>
      </w:pPr>
      <w:r>
        <w:rPr>
          <w:rFonts w:hint="eastAsia" w:ascii="宋体" w:hAnsi="宋体" w:cs="宋体"/>
        </w:rPr>
        <w:t>19.2投标</w:t>
      </w:r>
      <w:bookmarkStart w:id="368" w:name="OLE_LINK67"/>
      <w:r>
        <w:rPr>
          <w:rFonts w:hint="eastAsia" w:ascii="宋体" w:hAnsi="宋体" w:cs="宋体"/>
        </w:rPr>
        <w:t>人将</w:t>
      </w:r>
      <w:bookmarkEnd w:id="368"/>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69" w:name="OLE_LINK311"/>
      <w:r>
        <w:rPr>
          <w:rFonts w:hint="eastAsia" w:ascii="宋体" w:hAnsi="宋体" w:cs="宋体"/>
        </w:rPr>
        <w:t>务热线400-881-7190进行咨询以及云</w:t>
      </w:r>
      <w:bookmarkEnd w:id="369"/>
      <w:r>
        <w:rPr>
          <w:rFonts w:hint="eastAsia" w:ascii="宋体" w:hAnsi="宋体" w:cs="宋体"/>
        </w:rPr>
        <w:t>南CA操作问题：请致电云南CA，4006727666；云南CA紧急联系方式：15288315056。</w:t>
      </w:r>
      <w:bookmarkStart w:id="370" w:name="OLE_LINK312"/>
      <w:r>
        <w:rPr>
          <w:rFonts w:hint="eastAsia" w:ascii="宋体" w:hAnsi="宋体" w:cs="宋体"/>
        </w:rPr>
        <w:t>如因投标人自身原因导致在规定时间内无法</w:t>
      </w:r>
      <w:bookmarkEnd w:id="370"/>
      <w:r>
        <w:rPr>
          <w:rFonts w:hint="eastAsia" w:ascii="宋体" w:hAnsi="宋体" w:cs="宋体"/>
        </w:rPr>
        <w:t>正常解密的（如：浏览器故障、未安装相关驱动、网络故障、加密CA与解密CA不一致等），</w:t>
      </w:r>
      <w:bookmarkStart w:id="371" w:name="OLE_LINK315"/>
      <w:r>
        <w:rPr>
          <w:rFonts w:hint="eastAsia" w:hAnsi="宋体" w:cs="宋体"/>
          <w:szCs w:val="21"/>
        </w:rPr>
        <w:t>其投标文件将不予受理</w:t>
      </w:r>
      <w:bookmarkEnd w:id="371"/>
      <w:r>
        <w:rPr>
          <w:rFonts w:hint="eastAsia" w:ascii="宋体" w:hAnsi="宋体" w:cs="宋体"/>
        </w:rPr>
        <w:t>。</w:t>
      </w:r>
    </w:p>
    <w:p w14:paraId="3977AB38">
      <w:pPr>
        <w:ind w:firstLine="420"/>
        <w:rPr>
          <w:rFonts w:hint="eastAsia" w:ascii="宋体" w:hAnsi="宋体" w:cs="宋体"/>
        </w:rPr>
      </w:pPr>
      <w:r>
        <w:rPr>
          <w:rFonts w:hint="eastAsia" w:ascii="宋体" w:hAnsi="宋体" w:cs="宋体"/>
        </w:rPr>
        <w:t>19.3</w:t>
      </w:r>
      <w:bookmarkStart w:id="372" w:name="OLE_LINK73"/>
      <w:bookmarkStart w:id="373" w:name="OLE_LINK15"/>
      <w:r>
        <w:rPr>
          <w:rFonts w:hint="eastAsia" w:ascii="宋体" w:hAnsi="宋体" w:cs="宋体"/>
        </w:rPr>
        <w:t>投标文件中提供的资料（包括</w:t>
      </w:r>
      <w:bookmarkStart w:id="374" w:name="OLE_LINK314"/>
      <w:r>
        <w:rPr>
          <w:rFonts w:hint="eastAsia" w:ascii="宋体" w:hAnsi="宋体" w:cs="宋体"/>
        </w:rPr>
        <w:t>扫描件、照片等</w:t>
      </w:r>
      <w:bookmarkEnd w:id="374"/>
      <w:r>
        <w:rPr>
          <w:rFonts w:hint="eastAsia" w:ascii="宋体" w:hAnsi="宋体" w:cs="宋体"/>
        </w:rPr>
        <w:t>）、关</w:t>
      </w:r>
      <w:bookmarkStart w:id="375" w:name="OLE_LINK58"/>
      <w:r>
        <w:rPr>
          <w:rFonts w:hint="eastAsia" w:ascii="宋体" w:hAnsi="宋体" w:cs="宋体"/>
        </w:rPr>
        <w:t>键内容必须清晰可辨，若出现字迹潦草</w:t>
      </w:r>
      <w:bookmarkEnd w:id="375"/>
      <w:r>
        <w:rPr>
          <w:rFonts w:hint="eastAsia" w:ascii="宋体" w:hAnsi="宋体" w:cs="宋体"/>
        </w:rPr>
        <w:t>、表达不清、未按要求填写而导致非唯一理解产生的后果由投标人自行承担</w:t>
      </w:r>
      <w:bookmarkEnd w:id="372"/>
      <w:r>
        <w:rPr>
          <w:rFonts w:hint="eastAsia" w:ascii="宋体" w:hAnsi="宋体" w:cs="宋体"/>
        </w:rPr>
        <w:t>。</w:t>
      </w:r>
      <w:bookmarkEnd w:id="373"/>
    </w:p>
    <w:p w14:paraId="362149C4">
      <w:pPr>
        <w:pStyle w:val="13"/>
        <w:ind w:firstLine="420"/>
        <w:rPr>
          <w:rFonts w:hint="eastAsia"/>
        </w:rPr>
      </w:pPr>
      <w:bookmarkStart w:id="376"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76"/>
    <w:p w14:paraId="1D28EA20">
      <w:pPr>
        <w:pStyle w:val="4"/>
        <w:spacing w:before="165"/>
        <w:ind w:firstLine="482"/>
        <w:rPr>
          <w:rFonts w:ascii="Times New Roman" w:hAnsi="Times New Roman" w:cs="Times New Roman"/>
        </w:rPr>
      </w:pPr>
      <w:bookmarkStart w:id="377" w:name="_Toc27491"/>
      <w:bookmarkStart w:id="378" w:name="_Toc3265"/>
      <w:bookmarkStart w:id="379" w:name="_Toc38338291"/>
      <w:bookmarkStart w:id="380" w:name="_Toc489197830"/>
      <w:bookmarkStart w:id="381" w:name="_Toc32680"/>
      <w:bookmarkStart w:id="382" w:name="_Toc37716371"/>
      <w:bookmarkStart w:id="383" w:name="_Toc14764"/>
      <w:bookmarkStart w:id="384" w:name="_Toc489145726"/>
      <w:r>
        <w:rPr>
          <w:rFonts w:hint="eastAsia" w:ascii="Times New Roman" w:hAnsi="Times New Roman" w:cs="Times New Roman"/>
        </w:rPr>
        <w:t>20</w:t>
      </w:r>
      <w:r>
        <w:rPr>
          <w:rFonts w:ascii="Times New Roman" w:hAnsi="Times New Roman" w:cs="Times New Roman"/>
        </w:rPr>
        <w:t>.投标报价和报价货币</w:t>
      </w:r>
      <w:bookmarkEnd w:id="377"/>
      <w:bookmarkEnd w:id="378"/>
      <w:bookmarkEnd w:id="379"/>
      <w:bookmarkEnd w:id="380"/>
      <w:bookmarkEnd w:id="381"/>
      <w:bookmarkEnd w:id="382"/>
      <w:bookmarkEnd w:id="383"/>
      <w:bookmarkEnd w:id="384"/>
      <w:bookmarkStart w:id="385" w:name="OLE_LINK16"/>
      <w:bookmarkStart w:id="386" w:name="_Toc383175485"/>
      <w:bookmarkStart w:id="387" w:name="_Toc86124056"/>
      <w:bookmarkStart w:id="388" w:name="_Toc329810197"/>
      <w:bookmarkStart w:id="389" w:name="_Toc383175287"/>
      <w:bookmarkStart w:id="390" w:name="_Toc432194837"/>
      <w:bookmarkStart w:id="391" w:name="_Toc432106486"/>
      <w:bookmarkStart w:id="392" w:name="_Toc482343737"/>
      <w:bookmarkStart w:id="393" w:name="_Toc470507051"/>
      <w:bookmarkStart w:id="394" w:name="_Toc383175063"/>
    </w:p>
    <w:p w14:paraId="611B0010">
      <w:pPr>
        <w:ind w:firstLine="420"/>
        <w:rPr>
          <w:rFonts w:hint="eastAsia" w:ascii="宋体" w:hAnsi="宋体" w:cs="宋体"/>
        </w:rPr>
      </w:pPr>
      <w:bookmarkStart w:id="395" w:name="OLE_LINK74"/>
      <w:bookmarkStart w:id="396" w:name="OLE_LINK162"/>
      <w:r>
        <w:rPr>
          <w:rFonts w:hint="eastAsia" w:ascii="宋体" w:hAnsi="宋体" w:cs="宋体"/>
        </w:rPr>
        <w:t>20.</w:t>
      </w:r>
      <w:bookmarkStart w:id="397" w:name="OLE_LINK49"/>
      <w:r>
        <w:rPr>
          <w:rFonts w:hint="eastAsia" w:ascii="宋体" w:hAnsi="宋体" w:cs="宋体"/>
        </w:rPr>
        <w:t>1投标报价：</w:t>
      </w:r>
      <w:bookmarkStart w:id="398" w:name="OLE_LINK217"/>
      <w:r>
        <w:rPr>
          <w:rFonts w:hint="eastAsia" w:ascii="宋体" w:hAnsi="宋体" w:cs="宋体"/>
        </w:rPr>
        <w:t>详见《投标人须知前附表》。</w:t>
      </w:r>
      <w:bookmarkEnd w:id="397"/>
      <w:bookmarkEnd w:id="398"/>
    </w:p>
    <w:bookmarkEnd w:id="395"/>
    <w:p w14:paraId="45585653">
      <w:pPr>
        <w:ind w:firstLine="420"/>
        <w:rPr>
          <w:rFonts w:hint="eastAsia" w:ascii="宋体" w:hAnsi="宋体" w:cs="宋体"/>
        </w:rPr>
      </w:pPr>
      <w:bookmarkStart w:id="399" w:name="OLE_LINK184"/>
      <w:r>
        <w:rPr>
          <w:rFonts w:hint="eastAsia" w:ascii="宋体" w:hAnsi="宋体" w:cs="宋体"/>
        </w:rPr>
        <w:t>20.2投标人的投标报价将</w:t>
      </w:r>
      <w:bookmarkEnd w:id="399"/>
      <w:r>
        <w:rPr>
          <w:rFonts w:hint="eastAsia" w:ascii="宋体" w:hAnsi="宋体" w:cs="宋体"/>
        </w:rPr>
        <w:t>被视为已经包含了所有与项目相关的费用。由于投标人不清楚或存在其它任何失误所导致的任何不利后果均由投标人自行承担。</w:t>
      </w:r>
    </w:p>
    <w:p w14:paraId="28E76EEF">
      <w:pPr>
        <w:ind w:firstLine="420"/>
        <w:rPr>
          <w:rFonts w:hint="eastAsia" w:ascii="宋体" w:hAnsi="宋体" w:cs="宋体"/>
        </w:rPr>
      </w:pPr>
      <w:bookmarkStart w:id="400" w:name="OLE_LINK53"/>
      <w:r>
        <w:rPr>
          <w:rFonts w:hint="eastAsia" w:ascii="宋体" w:hAnsi="宋体" w:cs="宋体"/>
        </w:rPr>
        <w:t>20.</w:t>
      </w:r>
      <w:bookmarkStart w:id="401"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1"/>
    </w:p>
    <w:bookmarkEnd w:id="400"/>
    <w:p w14:paraId="6D8D192C">
      <w:pPr>
        <w:ind w:firstLine="420"/>
        <w:rPr>
          <w:rFonts w:hint="eastAsia" w:ascii="宋体" w:hAnsi="宋体" w:cs="宋体"/>
        </w:rPr>
      </w:pPr>
      <w:r>
        <w:rPr>
          <w:rFonts w:hint="eastAsia" w:ascii="宋体" w:hAnsi="宋体" w:cs="宋体"/>
        </w:rPr>
        <w:t>20.4</w:t>
      </w:r>
      <w:bookmarkStart w:id="402" w:name="OLE_LINK11"/>
      <w:r>
        <w:rPr>
          <w:rFonts w:hint="eastAsia" w:ascii="宋体" w:hAnsi="宋体" w:cs="宋体"/>
        </w:rPr>
        <w:t>投标人应保证其提供的货物或者服务是全新的</w:t>
      </w:r>
      <w:bookmarkEnd w:id="402"/>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85"/>
    <w:p w14:paraId="7E1C9ABB">
      <w:pPr>
        <w:ind w:firstLine="420"/>
        <w:rPr>
          <w:rFonts w:hint="eastAsia" w:ascii="宋体" w:hAnsi="宋体" w:cs="宋体"/>
        </w:rPr>
      </w:pPr>
      <w:r>
        <w:rPr>
          <w:rFonts w:hint="eastAsia" w:ascii="宋体" w:hAnsi="宋体" w:cs="宋体"/>
        </w:rPr>
        <w:t>20.5报价货币：</w:t>
      </w:r>
      <w:bookmarkEnd w:id="396"/>
      <w:r>
        <w:rPr>
          <w:rFonts w:hint="eastAsia" w:ascii="宋体" w:hAnsi="宋体" w:cs="宋体"/>
        </w:rPr>
        <w:t>人民币。</w:t>
      </w:r>
    </w:p>
    <w:bookmarkEnd w:id="386"/>
    <w:bookmarkEnd w:id="387"/>
    <w:bookmarkEnd w:id="388"/>
    <w:bookmarkEnd w:id="389"/>
    <w:bookmarkEnd w:id="390"/>
    <w:bookmarkEnd w:id="391"/>
    <w:bookmarkEnd w:id="392"/>
    <w:bookmarkEnd w:id="393"/>
    <w:bookmarkEnd w:id="394"/>
    <w:p w14:paraId="2D38E6B5">
      <w:pPr>
        <w:pStyle w:val="3"/>
        <w:spacing w:before="165"/>
        <w:jc w:val="center"/>
        <w:rPr>
          <w:rFonts w:ascii="Times New Roman" w:hAnsi="Times New Roman" w:cs="Times New Roman"/>
        </w:rPr>
      </w:pPr>
      <w:bookmarkStart w:id="403" w:name="_Toc489197831"/>
      <w:bookmarkStart w:id="404" w:name="_Toc22411"/>
      <w:bookmarkStart w:id="405" w:name="_Toc37716372"/>
      <w:bookmarkStart w:id="406" w:name="_Toc1502"/>
      <w:bookmarkStart w:id="407" w:name="_Toc22477"/>
      <w:bookmarkStart w:id="408" w:name="_Toc38338292"/>
      <w:bookmarkStart w:id="409" w:name="_Toc488633607"/>
      <w:bookmarkStart w:id="410" w:name="_Toc5985"/>
      <w:bookmarkStart w:id="411" w:name="_Toc489145727"/>
      <w:r>
        <w:rPr>
          <w:rFonts w:ascii="Times New Roman" w:hAnsi="Times New Roman" w:cs="Times New Roman"/>
        </w:rPr>
        <w:t>四、投标</w:t>
      </w:r>
      <w:bookmarkEnd w:id="403"/>
      <w:bookmarkEnd w:id="404"/>
      <w:bookmarkEnd w:id="405"/>
      <w:bookmarkEnd w:id="406"/>
      <w:bookmarkEnd w:id="407"/>
      <w:bookmarkEnd w:id="408"/>
      <w:bookmarkEnd w:id="409"/>
      <w:bookmarkEnd w:id="410"/>
      <w:bookmarkEnd w:id="411"/>
    </w:p>
    <w:p w14:paraId="78D97CE6">
      <w:pPr>
        <w:pStyle w:val="4"/>
        <w:spacing w:before="165"/>
        <w:ind w:firstLine="482"/>
        <w:rPr>
          <w:rFonts w:ascii="Times New Roman" w:hAnsi="Times New Roman" w:cs="Times New Roman"/>
        </w:rPr>
      </w:pPr>
      <w:bookmarkStart w:id="412" w:name="_Toc17048"/>
      <w:bookmarkStart w:id="413" w:name="_Toc489197832"/>
      <w:bookmarkStart w:id="414" w:name="_Toc38338293"/>
      <w:bookmarkStart w:id="415" w:name="_Toc37716373"/>
      <w:bookmarkStart w:id="416" w:name="_Toc15000"/>
      <w:bookmarkStart w:id="417" w:name="_Toc489145728"/>
      <w:bookmarkStart w:id="418" w:name="_Toc4852"/>
      <w:bookmarkStart w:id="419" w:name="_Toc8947"/>
      <w:r>
        <w:rPr>
          <w:rFonts w:hint="eastAsia" w:ascii="Times New Roman" w:hAnsi="Times New Roman" w:cs="Times New Roman"/>
        </w:rPr>
        <w:t>21</w:t>
      </w:r>
      <w:r>
        <w:rPr>
          <w:rFonts w:ascii="Times New Roman" w:hAnsi="Times New Roman" w:cs="Times New Roman"/>
        </w:rPr>
        <w:t>.投标文</w:t>
      </w:r>
      <w:bookmarkStart w:id="420" w:name="_Toc378239173"/>
      <w:bookmarkStart w:id="421" w:name="_Toc480817646"/>
      <w:bookmarkStart w:id="422" w:name="_Toc401342137"/>
      <w:bookmarkStart w:id="423" w:name="_Toc378239354"/>
      <w:bookmarkStart w:id="424" w:name="_Toc378239081"/>
      <w:bookmarkStart w:id="425" w:name="_Toc296602443"/>
      <w:bookmarkStart w:id="426" w:name="_Toc4707"/>
      <w:r>
        <w:rPr>
          <w:rFonts w:ascii="Times New Roman" w:hAnsi="Times New Roman" w:cs="Times New Roman"/>
        </w:rPr>
        <w:t>件的</w:t>
      </w:r>
      <w:bookmarkEnd w:id="412"/>
      <w:bookmarkEnd w:id="413"/>
      <w:bookmarkEnd w:id="414"/>
      <w:bookmarkEnd w:id="415"/>
      <w:bookmarkEnd w:id="416"/>
      <w:bookmarkEnd w:id="417"/>
      <w:bookmarkEnd w:id="418"/>
      <w:bookmarkEnd w:id="420"/>
      <w:bookmarkEnd w:id="421"/>
      <w:bookmarkEnd w:id="422"/>
      <w:bookmarkEnd w:id="423"/>
      <w:bookmarkEnd w:id="424"/>
      <w:bookmarkEnd w:id="425"/>
      <w:bookmarkEnd w:id="426"/>
      <w:bookmarkStart w:id="427" w:name="_Toc247085714"/>
      <w:bookmarkStart w:id="428" w:name="_Toc144974524"/>
      <w:bookmarkStart w:id="429" w:name="_Toc246996200"/>
      <w:bookmarkStart w:id="430" w:name="_Toc296602444"/>
      <w:bookmarkStart w:id="431" w:name="_Toc152042332"/>
      <w:bookmarkStart w:id="432" w:name="_Toc246996943"/>
      <w:bookmarkStart w:id="433" w:name="_Toc152045556"/>
      <w:bookmarkStart w:id="434" w:name="_Toc179632574"/>
      <w:r>
        <w:rPr>
          <w:rFonts w:hint="eastAsia" w:ascii="Times New Roman" w:hAnsi="Times New Roman" w:cs="Times New Roman"/>
        </w:rPr>
        <w:t>加密</w:t>
      </w:r>
      <w:bookmarkEnd w:id="419"/>
    </w:p>
    <w:bookmarkEnd w:id="427"/>
    <w:bookmarkEnd w:id="428"/>
    <w:bookmarkEnd w:id="429"/>
    <w:bookmarkEnd w:id="430"/>
    <w:bookmarkEnd w:id="431"/>
    <w:bookmarkEnd w:id="432"/>
    <w:bookmarkEnd w:id="433"/>
    <w:bookmarkEnd w:id="434"/>
    <w:p w14:paraId="5562AF12">
      <w:pPr>
        <w:ind w:firstLine="420"/>
        <w:rPr>
          <w:rFonts w:hint="eastAsia" w:ascii="宋体" w:hAnsi="宋体" w:cs="宋体"/>
        </w:rPr>
      </w:pPr>
      <w:bookmarkStart w:id="435" w:name="_Toc179632575"/>
      <w:bookmarkStart w:id="436" w:name="_Toc152042333"/>
      <w:bookmarkStart w:id="437" w:name="_Toc246996944"/>
      <w:bookmarkStart w:id="438" w:name="_Toc144974525"/>
      <w:bookmarkStart w:id="439" w:name="_Toc246996201"/>
      <w:bookmarkStart w:id="440" w:name="_Toc247085715"/>
      <w:bookmarkStart w:id="441" w:name="_Toc152045557"/>
      <w:r>
        <w:rPr>
          <w:rFonts w:hint="eastAsia" w:ascii="宋体" w:hAnsi="宋体" w:cs="宋体"/>
        </w:rPr>
        <w:t>21</w:t>
      </w:r>
      <w:r>
        <w:rPr>
          <w:rFonts w:ascii="宋体" w:hAnsi="宋体" w:cs="宋体"/>
        </w:rPr>
        <w:t>.1</w:t>
      </w:r>
      <w:r>
        <w:rPr>
          <w:rFonts w:hint="eastAsia" w:ascii="宋体" w:hAnsi="宋体" w:cs="宋体"/>
          <w:color w:val="000000" w:themeColor="text1"/>
          <w14:textFill>
            <w14:solidFill>
              <w14:schemeClr w14:val="tx1"/>
            </w14:solidFill>
          </w14:textFill>
        </w:rPr>
        <w:t>投标人</w:t>
      </w:r>
      <w:bookmarkStart w:id="442" w:name="OLE_LINK322"/>
      <w:r>
        <w:rPr>
          <w:rFonts w:hint="eastAsia" w:ascii="宋体" w:hAnsi="宋体" w:cs="宋体"/>
          <w:color w:val="000000" w:themeColor="text1"/>
          <w14:textFill>
            <w14:solidFill>
              <w14:schemeClr w14:val="tx1"/>
            </w14:solidFill>
          </w14:textFill>
        </w:rPr>
        <w:t>应按照</w:t>
      </w:r>
      <w:bookmarkEnd w:id="442"/>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15678760">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26E3688B">
      <w:pPr>
        <w:pStyle w:val="4"/>
        <w:spacing w:before="165"/>
        <w:ind w:firstLine="482"/>
        <w:rPr>
          <w:rFonts w:ascii="Times New Roman" w:hAnsi="Times New Roman" w:cs="Times New Roman"/>
        </w:rPr>
      </w:pPr>
      <w:bookmarkStart w:id="443" w:name="_Toc7447"/>
      <w:bookmarkStart w:id="444" w:name="_Toc37716374"/>
      <w:bookmarkStart w:id="445" w:name="_Toc489145729"/>
      <w:bookmarkStart w:id="446" w:name="_Toc38338294"/>
      <w:bookmarkStart w:id="447" w:name="_Toc1570"/>
      <w:bookmarkStart w:id="448" w:name="_Toc29292"/>
      <w:bookmarkStart w:id="449" w:name="_Toc27671"/>
      <w:bookmarkStart w:id="450" w:name="_Toc489197833"/>
      <w:r>
        <w:rPr>
          <w:rFonts w:hint="eastAsia" w:ascii="Times New Roman" w:hAnsi="Times New Roman" w:cs="Times New Roman"/>
        </w:rPr>
        <w:t>22</w:t>
      </w:r>
      <w:r>
        <w:rPr>
          <w:rFonts w:ascii="Times New Roman" w:hAnsi="Times New Roman" w:cs="Times New Roman"/>
        </w:rPr>
        <w:t>.投标文件的提交</w:t>
      </w:r>
      <w:bookmarkEnd w:id="443"/>
      <w:bookmarkEnd w:id="444"/>
      <w:bookmarkEnd w:id="445"/>
      <w:bookmarkEnd w:id="446"/>
      <w:bookmarkEnd w:id="447"/>
      <w:bookmarkEnd w:id="448"/>
      <w:bookmarkEnd w:id="449"/>
      <w:bookmarkEnd w:id="450"/>
    </w:p>
    <w:p w14:paraId="34132316">
      <w:pPr>
        <w:ind w:firstLine="420"/>
        <w:rPr>
          <w:rFonts w:hint="eastAsia" w:ascii="宋体" w:hAnsi="宋体" w:cs="宋体"/>
        </w:rPr>
      </w:pPr>
      <w:bookmarkStart w:id="451" w:name="_Toc296602445"/>
      <w:r>
        <w:rPr>
          <w:rFonts w:hint="eastAsia" w:ascii="宋体" w:hAnsi="宋体" w:cs="宋体"/>
        </w:rPr>
        <w:t>22.1</w:t>
      </w:r>
      <w:bookmarkEnd w:id="435"/>
      <w:bookmarkEnd w:id="436"/>
      <w:bookmarkEnd w:id="437"/>
      <w:bookmarkEnd w:id="438"/>
      <w:bookmarkEnd w:id="439"/>
      <w:bookmarkEnd w:id="440"/>
      <w:bookmarkEnd w:id="441"/>
      <w:bookmarkEnd w:id="451"/>
      <w:r>
        <w:rPr>
          <w:rFonts w:hint="eastAsia" w:ascii="宋体" w:hAnsi="宋体" w:cs="宋体"/>
        </w:rPr>
        <w:t>提交投标文件截止时间和地点：详见</w:t>
      </w:r>
      <w:bookmarkStart w:id="452" w:name="OLE_LINK78"/>
      <w:r>
        <w:rPr>
          <w:rFonts w:hint="eastAsia" w:ascii="宋体" w:hAnsi="宋体" w:cs="宋体"/>
        </w:rPr>
        <w:t>《投标人须知前附表》</w:t>
      </w:r>
      <w:bookmarkEnd w:id="452"/>
      <w:r>
        <w:rPr>
          <w:rFonts w:hint="eastAsia" w:ascii="宋体" w:hAnsi="宋体" w:cs="宋体"/>
        </w:rPr>
        <w:t>。</w:t>
      </w:r>
    </w:p>
    <w:p w14:paraId="66548052">
      <w:pPr>
        <w:ind w:firstLine="420"/>
        <w:rPr>
          <w:rFonts w:hint="eastAsia" w:ascii="宋体" w:hAnsi="宋体" w:cs="宋体"/>
        </w:rPr>
      </w:pPr>
      <w:r>
        <w:rPr>
          <w:rFonts w:hint="eastAsia" w:ascii="宋体" w:hAnsi="宋体" w:cs="宋体"/>
        </w:rPr>
        <w:t>22.2</w:t>
      </w:r>
      <w:bookmarkStart w:id="453" w:name="OLE_LINK69"/>
      <w:r>
        <w:rPr>
          <w:rFonts w:hint="eastAsia" w:ascii="宋体" w:hAnsi="宋体" w:cs="宋体"/>
        </w:rPr>
        <w:t>本项目采用电子招标投标，</w:t>
      </w:r>
      <w:bookmarkEnd w:id="453"/>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6806F0D8">
      <w:pPr>
        <w:pStyle w:val="4"/>
        <w:spacing w:before="165"/>
        <w:ind w:firstLine="482"/>
        <w:rPr>
          <w:rFonts w:ascii="Times New Roman" w:hAnsi="Times New Roman" w:cs="Times New Roman"/>
        </w:rPr>
      </w:pPr>
      <w:bookmarkStart w:id="454" w:name="_Toc38338295"/>
      <w:bookmarkStart w:id="455" w:name="_Toc25230"/>
      <w:bookmarkStart w:id="456" w:name="_Toc1383"/>
      <w:bookmarkStart w:id="457" w:name="_Toc11826"/>
      <w:bookmarkStart w:id="458" w:name="_Toc37716375"/>
      <w:bookmarkStart w:id="459" w:name="_Toc489197834"/>
      <w:bookmarkStart w:id="460" w:name="_Toc489145730"/>
      <w:bookmarkStart w:id="461" w:name="_Toc31747"/>
      <w:r>
        <w:rPr>
          <w:rFonts w:hint="eastAsia" w:ascii="Times New Roman" w:hAnsi="Times New Roman" w:cs="Times New Roman"/>
        </w:rPr>
        <w:t>23</w:t>
      </w:r>
      <w:r>
        <w:rPr>
          <w:rFonts w:ascii="Times New Roman" w:hAnsi="Times New Roman" w:cs="Times New Roman"/>
        </w:rPr>
        <w:t>.投标文件的补充、</w:t>
      </w:r>
      <w:bookmarkStart w:id="462" w:name="_Toc179632576"/>
      <w:bookmarkStart w:id="463" w:name="_Toc246996945"/>
      <w:bookmarkStart w:id="464" w:name="_Toc247085716"/>
      <w:bookmarkStart w:id="465" w:name="_Toc246996202"/>
      <w:bookmarkStart w:id="466" w:name="_Toc152042334"/>
      <w:bookmarkStart w:id="467" w:name="_Toc152045558"/>
      <w:bookmarkStart w:id="468" w:name="_Toc296602446"/>
      <w:bookmarkStart w:id="469" w:name="_Toc144974526"/>
      <w:r>
        <w:rPr>
          <w:rFonts w:ascii="Times New Roman" w:hAnsi="Times New Roman" w:cs="Times New Roman"/>
        </w:rPr>
        <w:t>修改或者撤回</w:t>
      </w:r>
      <w:bookmarkEnd w:id="454"/>
      <w:bookmarkEnd w:id="455"/>
      <w:bookmarkEnd w:id="456"/>
      <w:bookmarkEnd w:id="457"/>
      <w:bookmarkEnd w:id="458"/>
      <w:bookmarkEnd w:id="459"/>
      <w:bookmarkEnd w:id="460"/>
      <w:bookmarkEnd w:id="461"/>
    </w:p>
    <w:bookmarkEnd w:id="462"/>
    <w:bookmarkEnd w:id="463"/>
    <w:bookmarkEnd w:id="464"/>
    <w:bookmarkEnd w:id="465"/>
    <w:bookmarkEnd w:id="466"/>
    <w:bookmarkEnd w:id="467"/>
    <w:bookmarkEnd w:id="468"/>
    <w:bookmarkEnd w:id="469"/>
    <w:p w14:paraId="45515749">
      <w:pPr>
        <w:ind w:firstLine="420"/>
        <w:rPr>
          <w:rFonts w:hint="eastAsia" w:ascii="宋体" w:hAnsi="宋体" w:cs="宋体"/>
        </w:rPr>
      </w:pPr>
      <w:r>
        <w:rPr>
          <w:rFonts w:hint="eastAsia" w:ascii="宋体" w:hAnsi="宋体" w:cs="宋体"/>
        </w:rPr>
        <w:t>23</w:t>
      </w:r>
      <w:r>
        <w:rPr>
          <w:rFonts w:ascii="宋体" w:hAnsi="宋体" w:cs="宋体"/>
        </w:rPr>
        <w:t>.1</w:t>
      </w:r>
      <w:bookmarkStart w:id="470" w:name="OLE_LINK30"/>
      <w:bookmarkStart w:id="471" w:name="OLE_LINK76"/>
      <w:r>
        <w:rPr>
          <w:rFonts w:hint="eastAsia" w:ascii="宋体" w:hAnsi="宋体" w:cs="宋体"/>
          <w:color w:val="000000" w:themeColor="text1"/>
          <w:szCs w:val="21"/>
          <w14:textFill>
            <w14:solidFill>
              <w14:schemeClr w14:val="tx1"/>
            </w14:solidFill>
          </w14:textFill>
        </w:rPr>
        <w:t>投标人</w:t>
      </w:r>
      <w:bookmarkEnd w:id="470"/>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1"/>
    </w:p>
    <w:p w14:paraId="02E6725B">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23.2投标人应按照本项目招标文件和政府采购云平台的要求编制、加密后在投标文件提交截止时间前重新上传至政府采购云平台，投标文件提交截止时间前未完成投标文件上传的，视为撤回投标文件。</w:t>
      </w:r>
    </w:p>
    <w:p w14:paraId="3BC1EA0D">
      <w:pPr>
        <w:pStyle w:val="3"/>
        <w:spacing w:before="165"/>
        <w:jc w:val="center"/>
        <w:rPr>
          <w:rFonts w:ascii="Times New Roman" w:hAnsi="Times New Roman" w:cs="Times New Roman"/>
        </w:rPr>
      </w:pPr>
      <w:bookmarkStart w:id="472" w:name="_Toc489197835"/>
      <w:bookmarkStart w:id="473" w:name="_Toc2358"/>
      <w:bookmarkStart w:id="474" w:name="_Toc489145731"/>
      <w:bookmarkStart w:id="475" w:name="_Toc25120"/>
      <w:bookmarkStart w:id="476" w:name="_Toc29368"/>
      <w:bookmarkStart w:id="477" w:name="_Toc37716376"/>
      <w:bookmarkStart w:id="478" w:name="_Toc38338296"/>
      <w:bookmarkStart w:id="479" w:name="_Toc488633608"/>
      <w:bookmarkStart w:id="480" w:name="_Toc1406"/>
      <w:r>
        <w:rPr>
          <w:rFonts w:ascii="Times New Roman" w:hAnsi="Times New Roman" w:cs="Times New Roman"/>
        </w:rPr>
        <w:t>五、</w:t>
      </w:r>
      <w:bookmarkEnd w:id="472"/>
      <w:bookmarkEnd w:id="473"/>
      <w:bookmarkEnd w:id="474"/>
      <w:bookmarkEnd w:id="475"/>
      <w:bookmarkEnd w:id="476"/>
      <w:bookmarkEnd w:id="477"/>
      <w:bookmarkEnd w:id="478"/>
      <w:bookmarkEnd w:id="479"/>
      <w:r>
        <w:rPr>
          <w:rFonts w:hint="eastAsia" w:ascii="Times New Roman" w:hAnsi="Times New Roman" w:cs="Times New Roman"/>
        </w:rPr>
        <w:t>电子开标</w:t>
      </w:r>
      <w:bookmarkStart w:id="481" w:name="OLE_LINK187"/>
      <w:r>
        <w:rPr>
          <w:rFonts w:hint="eastAsia" w:ascii="Times New Roman" w:hAnsi="Times New Roman" w:cs="Times New Roman"/>
        </w:rPr>
        <w:t>及</w:t>
      </w:r>
      <w:bookmarkStart w:id="482" w:name="OLE_LINK77"/>
      <w:r>
        <w:rPr>
          <w:rFonts w:hint="eastAsia" w:ascii="Times New Roman" w:hAnsi="Times New Roman" w:cs="Times New Roman"/>
        </w:rPr>
        <w:t>投标文</w:t>
      </w:r>
      <w:bookmarkEnd w:id="481"/>
      <w:r>
        <w:rPr>
          <w:rFonts w:hint="eastAsia" w:ascii="Times New Roman" w:hAnsi="Times New Roman" w:cs="Times New Roman"/>
        </w:rPr>
        <w:t>件解密</w:t>
      </w:r>
      <w:bookmarkEnd w:id="480"/>
      <w:bookmarkEnd w:id="482"/>
    </w:p>
    <w:p w14:paraId="7FB9AF05">
      <w:pPr>
        <w:ind w:firstLine="422"/>
        <w:outlineLvl w:val="2"/>
        <w:rPr>
          <w:rFonts w:hint="eastAsia" w:ascii="宋体" w:hAnsi="宋体" w:cs="宋体"/>
          <w:b/>
          <w:bCs/>
        </w:rPr>
      </w:pPr>
      <w:bookmarkStart w:id="483"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83"/>
    </w:p>
    <w:p w14:paraId="12B48460">
      <w:pPr>
        <w:ind w:firstLine="420"/>
        <w:rPr>
          <w:rFonts w:hint="eastAsia" w:ascii="宋体" w:hAnsi="宋体" w:cs="Times New Roman"/>
          <w:szCs w:val="21"/>
        </w:rPr>
      </w:pPr>
      <w:bookmarkStart w:id="484"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7AC2E084">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68F10E80">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84"/>
    <w:p w14:paraId="4B7D8306">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85" w:name="OLE_LINK331"/>
      <w:r>
        <w:rPr>
          <w:rFonts w:hint="eastAsia" w:ascii="宋体" w:hAnsi="宋体" w:cs="宋体"/>
          <w:color w:val="000000" w:themeColor="text1"/>
          <w:szCs w:val="21"/>
          <w14:textFill>
            <w14:solidFill>
              <w14:schemeClr w14:val="tx1"/>
            </w14:solidFill>
          </w14:textFill>
        </w:rPr>
        <w:t>政府采购云平台</w:t>
      </w:r>
      <w:bookmarkEnd w:id="485"/>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09936974">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7E419505">
      <w:pPr>
        <w:ind w:firstLine="420"/>
        <w:rPr>
          <w:rFonts w:hint="eastAsia" w:ascii="宋体" w:hAnsi="宋体" w:cs="宋体"/>
          <w:szCs w:val="21"/>
        </w:rPr>
      </w:pPr>
      <w:r>
        <w:rPr>
          <w:rFonts w:hint="eastAsia" w:ascii="宋体" w:hAnsi="宋体" w:cs="宋体"/>
          <w:szCs w:val="21"/>
        </w:rPr>
        <w:t>开标会由采购代理机构主持，具体流程如下：</w:t>
      </w:r>
    </w:p>
    <w:p w14:paraId="32BC8673">
      <w:pPr>
        <w:ind w:firstLine="420"/>
        <w:rPr>
          <w:rFonts w:hint="eastAsia" w:ascii="宋体" w:hAnsi="宋体" w:cs="宋体"/>
          <w:szCs w:val="21"/>
        </w:rPr>
      </w:pPr>
      <w:bookmarkStart w:id="486" w:name="OLE_LINK329"/>
      <w:bookmarkStart w:id="487" w:name="OLE_LINK328"/>
      <w:r>
        <w:rPr>
          <w:rFonts w:hint="eastAsia" w:ascii="宋体" w:hAnsi="宋体" w:cs="宋体"/>
          <w:szCs w:val="21"/>
        </w:rPr>
        <w:t>（1）采购代理机构依托电子交易平台发起开始解密指令，投标人须使用加密时所用的CA锁按平台提示和招标文件的规定登录到政府采购云平台电子开标大厅，并在发起解密指令之时起60分钟内完成对电子投标文件在线解密。</w:t>
      </w:r>
    </w:p>
    <w:p w14:paraId="5CB54B6C">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86"/>
    <w:p w14:paraId="633C7263">
      <w:pPr>
        <w:ind w:firstLine="420"/>
        <w:rPr>
          <w:rFonts w:hint="eastAsia" w:ascii="宋体" w:hAnsi="宋体" w:cs="宋体"/>
          <w:color w:val="000000" w:themeColor="text1"/>
          <w:szCs w:val="21"/>
          <w14:textFill>
            <w14:solidFill>
              <w14:schemeClr w14:val="tx1"/>
            </w14:solidFill>
          </w14:textFill>
        </w:rPr>
      </w:pPr>
      <w:bookmarkStart w:id="488" w:name="OLE_LINK330"/>
      <w:r>
        <w:rPr>
          <w:rFonts w:hint="eastAsia" w:ascii="宋体" w:hAnsi="宋体" w:cs="宋体"/>
          <w:color w:val="000000" w:themeColor="text1"/>
          <w:szCs w:val="21"/>
          <w14:textFill>
            <w14:solidFill>
              <w14:schemeClr w14:val="tx1"/>
            </w14:solidFill>
          </w14:textFill>
        </w:rPr>
        <w:t>24.6开标工作人员将做开标记录。</w:t>
      </w:r>
    </w:p>
    <w:p w14:paraId="4A61604A">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89" w:name="OLE_LINK80"/>
      <w:r>
        <w:rPr>
          <w:rFonts w:hint="eastAsia" w:ascii="宋体" w:hAnsi="宋体" w:cs="宋体"/>
          <w:color w:val="000000" w:themeColor="text1"/>
          <w:szCs w:val="21"/>
          <w14:textFill>
            <w14:solidFill>
              <w14:schemeClr w14:val="tx1"/>
            </w14:solidFill>
          </w14:textFill>
        </w:rPr>
        <w:t>。</w:t>
      </w:r>
      <w:bookmarkEnd w:id="489"/>
      <w:bookmarkStart w:id="490" w:name="_Toc32643"/>
      <w:bookmarkStart w:id="491" w:name="_Toc488633609"/>
      <w:bookmarkStart w:id="492" w:name="_Toc8445"/>
      <w:bookmarkStart w:id="493" w:name="_Toc38338298"/>
      <w:bookmarkStart w:id="494" w:name="_Toc19728"/>
      <w:bookmarkStart w:id="495" w:name="_Toc489145733"/>
      <w:bookmarkStart w:id="496" w:name="_Toc16525"/>
      <w:bookmarkStart w:id="497" w:name="_Toc489197837"/>
      <w:bookmarkStart w:id="498" w:name="_Toc37716378"/>
    </w:p>
    <w:bookmarkEnd w:id="487"/>
    <w:bookmarkEnd w:id="488"/>
    <w:p w14:paraId="62533386">
      <w:pPr>
        <w:ind w:firstLine="562"/>
        <w:jc w:val="center"/>
        <w:outlineLvl w:val="1"/>
        <w:rPr>
          <w:rFonts w:hint="eastAsia" w:ascii="黑体" w:hAnsi="黑体" w:eastAsia="黑体" w:cs="黑体"/>
          <w:b/>
          <w:bCs/>
          <w:sz w:val="28"/>
          <w:szCs w:val="28"/>
        </w:rPr>
      </w:pPr>
      <w:bookmarkStart w:id="499" w:name="OLE_LINK188"/>
      <w:r>
        <w:rPr>
          <w:rFonts w:hint="eastAsia" w:ascii="黑体" w:hAnsi="黑体" w:eastAsia="黑体" w:cs="黑体"/>
          <w:b/>
          <w:bCs/>
          <w:sz w:val="28"/>
          <w:szCs w:val="28"/>
        </w:rPr>
        <w:t>六、资格审查及评标</w:t>
      </w:r>
      <w:bookmarkEnd w:id="490"/>
      <w:bookmarkEnd w:id="491"/>
      <w:bookmarkEnd w:id="492"/>
      <w:bookmarkEnd w:id="493"/>
      <w:bookmarkEnd w:id="494"/>
      <w:bookmarkEnd w:id="495"/>
      <w:bookmarkEnd w:id="496"/>
      <w:bookmarkEnd w:id="497"/>
      <w:bookmarkEnd w:id="498"/>
    </w:p>
    <w:bookmarkEnd w:id="499"/>
    <w:p w14:paraId="7BBF3B6D">
      <w:pPr>
        <w:pStyle w:val="4"/>
        <w:spacing w:before="0" w:beforeLines="0"/>
        <w:ind w:firstLine="482"/>
        <w:rPr>
          <w:rFonts w:ascii="Times New Roman" w:hAnsi="Times New Roman" w:cs="Times New Roman"/>
        </w:rPr>
      </w:pPr>
      <w:bookmarkStart w:id="500" w:name="_Toc27526"/>
      <w:bookmarkStart w:id="501" w:name="_Toc22860"/>
      <w:bookmarkStart w:id="502" w:name="_Toc26106"/>
      <w:bookmarkStart w:id="503" w:name="_Toc4245"/>
      <w:bookmarkStart w:id="504" w:name="_Toc37716379"/>
      <w:bookmarkStart w:id="505" w:name="_Toc5568"/>
      <w:bookmarkStart w:id="506" w:name="_Toc38338299"/>
      <w:bookmarkStart w:id="507" w:name="_Toc489197838"/>
      <w:bookmarkStart w:id="508" w:name="_Toc489145734"/>
      <w:r>
        <w:rPr>
          <w:rFonts w:hint="eastAsia" w:ascii="Times New Roman" w:hAnsi="Times New Roman" w:cs="Times New Roman"/>
        </w:rPr>
        <w:t>25</w:t>
      </w:r>
      <w:r>
        <w:rPr>
          <w:rFonts w:ascii="Times New Roman" w:hAnsi="Times New Roman" w:cs="Times New Roman"/>
        </w:rPr>
        <w:t>.资格审查</w:t>
      </w:r>
      <w:bookmarkEnd w:id="500"/>
      <w:bookmarkEnd w:id="501"/>
      <w:bookmarkEnd w:id="502"/>
      <w:bookmarkEnd w:id="503"/>
      <w:bookmarkEnd w:id="504"/>
      <w:bookmarkEnd w:id="505"/>
      <w:bookmarkEnd w:id="506"/>
    </w:p>
    <w:p w14:paraId="5512FDDF">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47D6346C">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73A1E484">
      <w:pPr>
        <w:pStyle w:val="4"/>
        <w:spacing w:before="165"/>
        <w:ind w:firstLine="482"/>
        <w:rPr>
          <w:rFonts w:ascii="Times New Roman" w:hAnsi="Times New Roman" w:cs="Times New Roman"/>
        </w:rPr>
      </w:pPr>
      <w:bookmarkStart w:id="509" w:name="_Toc10789"/>
      <w:bookmarkStart w:id="510" w:name="_Toc6552"/>
      <w:bookmarkStart w:id="511" w:name="_Toc38338300"/>
      <w:bookmarkStart w:id="512" w:name="_Toc12896"/>
      <w:bookmarkStart w:id="513" w:name="_Toc37716380"/>
      <w:bookmarkStart w:id="514" w:name="_Toc3328"/>
      <w:r>
        <w:rPr>
          <w:rFonts w:hint="eastAsia" w:ascii="Times New Roman" w:hAnsi="Times New Roman" w:cs="Times New Roman"/>
        </w:rPr>
        <w:t>26</w:t>
      </w:r>
      <w:r>
        <w:rPr>
          <w:rFonts w:ascii="Times New Roman" w:hAnsi="Times New Roman" w:cs="Times New Roman"/>
        </w:rPr>
        <w:t>.评标</w:t>
      </w:r>
      <w:bookmarkEnd w:id="507"/>
      <w:bookmarkEnd w:id="508"/>
      <w:bookmarkEnd w:id="509"/>
      <w:bookmarkEnd w:id="510"/>
      <w:bookmarkEnd w:id="511"/>
      <w:bookmarkEnd w:id="512"/>
      <w:bookmarkEnd w:id="513"/>
      <w:bookmarkEnd w:id="514"/>
    </w:p>
    <w:p w14:paraId="03631693">
      <w:pPr>
        <w:ind w:firstLine="420"/>
        <w:rPr>
          <w:rFonts w:hint="eastAsia" w:ascii="宋体" w:hAnsi="宋体" w:cs="宋体"/>
        </w:rPr>
      </w:pPr>
      <w:r>
        <w:rPr>
          <w:rFonts w:hint="eastAsia" w:ascii="宋体" w:hAnsi="宋体" w:cs="宋体"/>
        </w:rPr>
        <w:t>26.1评标委员会负责具体评标事务，</w:t>
      </w:r>
      <w:bookmarkStart w:id="515" w:name="OLE_LINK84"/>
      <w:r>
        <w:rPr>
          <w:rFonts w:hint="eastAsia" w:ascii="宋体" w:hAnsi="宋体" w:cs="宋体"/>
        </w:rPr>
        <w:t>并独立履行下列职责</w:t>
      </w:r>
      <w:bookmarkEnd w:id="515"/>
      <w:r>
        <w:rPr>
          <w:rFonts w:hint="eastAsia" w:ascii="宋体" w:hAnsi="宋体" w:cs="宋体"/>
        </w:rPr>
        <w:t>：</w:t>
      </w:r>
    </w:p>
    <w:p w14:paraId="1DB2A245">
      <w:pPr>
        <w:ind w:firstLine="420"/>
        <w:rPr>
          <w:rFonts w:hint="eastAsia" w:ascii="宋体" w:hAnsi="宋体" w:cs="宋体"/>
        </w:rPr>
      </w:pPr>
      <w:r>
        <w:rPr>
          <w:rFonts w:hint="eastAsia" w:ascii="宋体" w:hAnsi="宋体" w:cs="宋体"/>
        </w:rPr>
        <w:t>（1）审查、评价投标文件是否符合招标文件的商务、技术等实质性要求；</w:t>
      </w:r>
    </w:p>
    <w:p w14:paraId="043B6FD1">
      <w:pPr>
        <w:ind w:firstLine="420"/>
        <w:rPr>
          <w:rFonts w:hint="eastAsia" w:ascii="宋体" w:hAnsi="宋体" w:cs="宋体"/>
        </w:rPr>
      </w:pPr>
      <w:r>
        <w:rPr>
          <w:rFonts w:hint="eastAsia" w:ascii="宋体" w:hAnsi="宋体" w:cs="宋体"/>
        </w:rPr>
        <w:t>（2）要求投标人对投标文件有关事项作出澄清或者说明；</w:t>
      </w:r>
    </w:p>
    <w:p w14:paraId="0A3E6BCE">
      <w:pPr>
        <w:ind w:firstLine="420"/>
        <w:rPr>
          <w:rFonts w:hint="eastAsia" w:ascii="宋体" w:hAnsi="宋体" w:cs="宋体"/>
        </w:rPr>
      </w:pPr>
      <w:r>
        <w:rPr>
          <w:rFonts w:hint="eastAsia" w:ascii="宋体" w:hAnsi="宋体" w:cs="宋体"/>
        </w:rPr>
        <w:t>（3）对投标文件进行比较和评价；</w:t>
      </w:r>
    </w:p>
    <w:p w14:paraId="02D294B3">
      <w:pPr>
        <w:ind w:firstLine="420"/>
        <w:rPr>
          <w:rFonts w:hint="eastAsia" w:ascii="宋体" w:hAnsi="宋体" w:cs="宋体"/>
        </w:rPr>
      </w:pPr>
      <w:r>
        <w:rPr>
          <w:rFonts w:hint="eastAsia" w:ascii="宋体" w:hAnsi="宋体" w:cs="宋体"/>
        </w:rPr>
        <w:t>（4）确定中标候选人名单，以及根据采购人委托直接确定中标人；</w:t>
      </w:r>
    </w:p>
    <w:p w14:paraId="6B13586B">
      <w:pPr>
        <w:ind w:firstLine="420"/>
        <w:rPr>
          <w:rFonts w:hint="eastAsia" w:ascii="宋体" w:hAnsi="宋体" w:cs="宋体"/>
        </w:rPr>
      </w:pPr>
      <w:r>
        <w:rPr>
          <w:rFonts w:hint="eastAsia" w:ascii="宋体" w:hAnsi="宋体" w:cs="宋体"/>
        </w:rPr>
        <w:t>（5）向采购人、采购代理机构或者有关部门报告评标中发现的违法行为。</w:t>
      </w:r>
    </w:p>
    <w:p w14:paraId="5035230C">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09CF2202">
      <w:pPr>
        <w:ind w:firstLine="420"/>
        <w:rPr>
          <w:rFonts w:hint="eastAsia" w:ascii="宋体" w:hAnsi="宋体" w:cs="宋体"/>
        </w:rPr>
      </w:pPr>
      <w:bookmarkStart w:id="516" w:name="OLE_LINK88"/>
      <w:r>
        <w:rPr>
          <w:rFonts w:hint="eastAsia" w:ascii="宋体" w:hAnsi="宋体" w:cs="宋体"/>
        </w:rPr>
        <w:t>26.3评标活动遵循公平、公正、科学和</w:t>
      </w:r>
      <w:bookmarkStart w:id="517" w:name="OLE_LINK87"/>
      <w:r>
        <w:rPr>
          <w:rFonts w:hint="eastAsia" w:ascii="宋体" w:hAnsi="宋体" w:cs="宋体"/>
        </w:rPr>
        <w:t>择优</w:t>
      </w:r>
      <w:bookmarkEnd w:id="517"/>
      <w:r>
        <w:rPr>
          <w:rFonts w:hint="eastAsia" w:ascii="宋体" w:hAnsi="宋体" w:cs="宋体"/>
        </w:rPr>
        <w:t>的原</w:t>
      </w:r>
      <w:bookmarkStart w:id="518" w:name="OLE_LINK85"/>
      <w:r>
        <w:rPr>
          <w:rFonts w:hint="eastAsia" w:ascii="宋体" w:hAnsi="宋体" w:cs="宋体"/>
        </w:rPr>
        <w:t>则</w:t>
      </w:r>
      <w:bookmarkEnd w:id="516"/>
      <w:r>
        <w:rPr>
          <w:rFonts w:hint="eastAsia" w:ascii="宋体" w:hAnsi="宋体" w:cs="宋体"/>
        </w:rPr>
        <w:t>。</w:t>
      </w:r>
    </w:p>
    <w:p w14:paraId="4EC4DFCE">
      <w:pPr>
        <w:ind w:firstLine="420"/>
        <w:rPr>
          <w:rFonts w:hint="eastAsia" w:ascii="宋体" w:hAnsi="宋体" w:cs="宋体"/>
        </w:rPr>
      </w:pPr>
      <w:r>
        <w:rPr>
          <w:rFonts w:hint="eastAsia" w:ascii="宋体" w:hAnsi="宋体" w:cs="宋体"/>
        </w:rPr>
        <w:t>26.4本项目评标方法：</w:t>
      </w:r>
      <w:bookmarkStart w:id="519" w:name="OLE_LINK81"/>
      <w:r>
        <w:rPr>
          <w:rFonts w:hint="eastAsia" w:ascii="宋体" w:hAnsi="宋体" w:cs="宋体"/>
        </w:rPr>
        <w:t>详</w:t>
      </w:r>
      <w:bookmarkEnd w:id="518"/>
      <w:r>
        <w:rPr>
          <w:rFonts w:hint="eastAsia" w:ascii="宋体" w:hAnsi="宋体" w:cs="宋体"/>
        </w:rPr>
        <w:t>见《投标人须知前附表》</w:t>
      </w:r>
      <w:bookmarkEnd w:id="519"/>
      <w:r>
        <w:rPr>
          <w:rFonts w:hint="eastAsia" w:ascii="宋体" w:hAnsi="宋体" w:cs="宋体"/>
        </w:rPr>
        <w:t>。</w:t>
      </w:r>
    </w:p>
    <w:p w14:paraId="0DC0093B">
      <w:pPr>
        <w:ind w:firstLine="420"/>
        <w:rPr>
          <w:rFonts w:hint="eastAsia" w:ascii="宋体" w:hAnsi="宋体" w:cs="宋体"/>
        </w:rPr>
      </w:pPr>
      <w:r>
        <w:rPr>
          <w:rFonts w:hint="eastAsia" w:ascii="宋体" w:hAnsi="宋体" w:cs="宋体"/>
        </w:rPr>
        <w:t>26.5评标委员会发现招标文</w:t>
      </w:r>
      <w:r>
        <w:rPr>
          <w:rFonts w:ascii="Times New Roman" w:hAnsi="Times New Roman" w:cs="Times New Roman"/>
        </w:rPr>
        <w:t>件存在</w:t>
      </w:r>
      <w:bookmarkStart w:id="520" w:name="OLE_LINK82"/>
      <w:r>
        <w:rPr>
          <w:rFonts w:ascii="Times New Roman" w:hAnsi="Times New Roman" w:cs="Times New Roman"/>
        </w:rPr>
        <w:t>歧</w:t>
      </w:r>
      <w:bookmarkEnd w:id="520"/>
      <w:r>
        <w:rPr>
          <w:rFonts w:ascii="Times New Roman" w:hAnsi="Times New Roman" w:cs="Times New Roman"/>
        </w:rPr>
        <w:t>义、</w:t>
      </w:r>
      <w:bookmarkStart w:id="521" w:name="OLE_LINK83"/>
      <w:r>
        <w:rPr>
          <w:rFonts w:ascii="Times New Roman" w:hAnsi="Times New Roman" w:cs="Times New Roman"/>
        </w:rPr>
        <w:t>重大缺陷</w:t>
      </w:r>
      <w:bookmarkEnd w:id="521"/>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6EA1CC6">
      <w:pPr>
        <w:ind w:firstLine="420"/>
        <w:rPr>
          <w:rFonts w:hint="eastAsia" w:ascii="宋体" w:hAnsi="宋体" w:cs="宋体"/>
        </w:rPr>
      </w:pPr>
      <w:r>
        <w:rPr>
          <w:rFonts w:hint="eastAsia" w:ascii="宋体" w:hAnsi="宋体" w:cs="宋体"/>
        </w:rPr>
        <w:t>26.6评标过程的保密</w:t>
      </w:r>
    </w:p>
    <w:p w14:paraId="4706749F">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602FAC05">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22" w:name="_Toc38338301"/>
      <w:bookmarkStart w:id="523" w:name="_Toc11454"/>
      <w:bookmarkStart w:id="524" w:name="_Toc31256"/>
      <w:bookmarkStart w:id="525" w:name="_Toc22222"/>
      <w:bookmarkStart w:id="526" w:name="_Toc7282"/>
      <w:bookmarkStart w:id="527" w:name="_Toc489197839"/>
      <w:bookmarkStart w:id="528" w:name="_Toc489145735"/>
      <w:bookmarkStart w:id="529" w:name="_Toc37716381"/>
    </w:p>
    <w:p w14:paraId="624B909F">
      <w:pPr>
        <w:pStyle w:val="4"/>
        <w:spacing w:before="165"/>
        <w:ind w:firstLine="482"/>
        <w:rPr>
          <w:rFonts w:ascii="Times New Roman" w:hAnsi="Times New Roman" w:cs="Times New Roman"/>
        </w:rPr>
      </w:pPr>
      <w:bookmarkStart w:id="530" w:name="_Toc14706"/>
      <w:bookmarkStart w:id="531" w:name="OLE_LINK89"/>
      <w:r>
        <w:rPr>
          <w:rFonts w:hint="eastAsia" w:ascii="Times New Roman" w:hAnsi="Times New Roman" w:cs="Times New Roman"/>
        </w:rPr>
        <w:t>27.</w:t>
      </w:r>
      <w:r>
        <w:rPr>
          <w:rFonts w:ascii="Times New Roman" w:hAnsi="Times New Roman" w:cs="Times New Roman"/>
        </w:rPr>
        <w:t>投标文件的澄清和补正原则</w:t>
      </w:r>
      <w:bookmarkEnd w:id="530"/>
    </w:p>
    <w:bookmarkEnd w:id="531"/>
    <w:p w14:paraId="5AAF4862">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64060665">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24359692">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.3评标委员会对投标人提交的澄清、说明或补正有疑问的，可以要求投标人进一步澄清、说明或补正，直至满足评标委员会的要求。</w:t>
      </w:r>
    </w:p>
    <w:p w14:paraId="41D0209C">
      <w:pPr>
        <w:spacing w:before="165" w:beforeLines="50"/>
        <w:ind w:firstLine="482"/>
        <w:outlineLvl w:val="2"/>
        <w:rPr>
          <w:rFonts w:ascii="Times New Roman" w:hAnsi="Times New Roman" w:eastAsia="黑体" w:cs="Times New Roman"/>
          <w:b/>
          <w:bCs/>
          <w:sz w:val="24"/>
          <w:szCs w:val="32"/>
        </w:rPr>
      </w:pPr>
      <w:bookmarkStart w:id="532"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5554F117">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.1投标文件报价出现前后不一致的，除招标文件另有规定外，按照下列规定修正</w:t>
      </w:r>
      <w:r>
        <w:rPr>
          <w:rFonts w:hint="eastAsia" w:ascii="Times New Roman" w:hAnsi="Times New Roman" w:cs="Times New Roman"/>
        </w:rPr>
        <w:t>：</w:t>
      </w:r>
    </w:p>
    <w:p w14:paraId="49B1E128">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5CBE101D">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7916203C">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0DFC4C12">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4A8A4F44">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22"/>
    <w:bookmarkEnd w:id="523"/>
    <w:bookmarkEnd w:id="524"/>
    <w:bookmarkEnd w:id="525"/>
    <w:bookmarkEnd w:id="526"/>
    <w:bookmarkEnd w:id="527"/>
    <w:bookmarkEnd w:id="528"/>
    <w:bookmarkEnd w:id="529"/>
    <w:bookmarkEnd w:id="532"/>
    <w:p w14:paraId="0CA95176">
      <w:pPr>
        <w:pStyle w:val="4"/>
        <w:spacing w:before="0" w:beforeLines="0"/>
        <w:ind w:firstLine="482"/>
        <w:rPr>
          <w:rFonts w:hint="eastAsia" w:ascii="黑体" w:hAnsi="黑体" w:cs="黑体"/>
        </w:rPr>
      </w:pPr>
      <w:bookmarkStart w:id="533" w:name="_Toc11055"/>
      <w:bookmarkStart w:id="534" w:name="_Toc13507"/>
      <w:bookmarkStart w:id="535" w:name="_Toc7465"/>
      <w:bookmarkStart w:id="536" w:name="_Toc38338302"/>
      <w:bookmarkStart w:id="537" w:name="_Toc37716382"/>
      <w:bookmarkStart w:id="538" w:name="_Toc28983"/>
      <w:bookmarkStart w:id="539" w:name="_Toc16934"/>
      <w:r>
        <w:rPr>
          <w:rFonts w:hint="eastAsia" w:ascii="黑体" w:hAnsi="黑体" w:cs="黑体"/>
        </w:rPr>
        <w:t>29.投标无效</w:t>
      </w:r>
      <w:bookmarkEnd w:id="533"/>
    </w:p>
    <w:p w14:paraId="3738FB5A">
      <w:pPr>
        <w:ind w:firstLine="422"/>
        <w:rPr>
          <w:rFonts w:hint="eastAsia" w:ascii="宋体" w:hAnsi="宋体" w:cs="宋体"/>
          <w:b/>
          <w:bCs/>
        </w:rPr>
      </w:pPr>
      <w:bookmarkStart w:id="540" w:name="_Toc13228"/>
      <w:r>
        <w:rPr>
          <w:rFonts w:hint="eastAsia" w:ascii="宋体" w:hAnsi="宋体" w:cs="宋体"/>
          <w:b/>
          <w:bCs/>
        </w:rPr>
        <w:t>29.1有下列情形之一的，视为投标人串通投标，其投标无效</w:t>
      </w:r>
      <w:bookmarkEnd w:id="534"/>
      <w:bookmarkEnd w:id="535"/>
      <w:bookmarkEnd w:id="536"/>
      <w:bookmarkEnd w:id="537"/>
      <w:bookmarkEnd w:id="538"/>
      <w:bookmarkEnd w:id="539"/>
      <w:bookmarkEnd w:id="540"/>
    </w:p>
    <w:p w14:paraId="7CB694B7">
      <w:pPr>
        <w:ind w:firstLine="420"/>
        <w:rPr>
          <w:rFonts w:hint="eastAsia" w:ascii="宋体" w:hAnsi="宋体" w:cs="宋体"/>
        </w:rPr>
      </w:pPr>
      <w:r>
        <w:rPr>
          <w:rFonts w:hint="eastAsia" w:ascii="宋体" w:hAnsi="宋体" w:cs="宋体"/>
        </w:rPr>
        <w:t>（1）不同投标人的投标文件由同一单位或者个人编制；</w:t>
      </w:r>
    </w:p>
    <w:p w14:paraId="1D56577B">
      <w:pPr>
        <w:ind w:firstLine="420"/>
        <w:rPr>
          <w:rFonts w:hint="eastAsia" w:ascii="宋体" w:hAnsi="宋体" w:cs="宋体"/>
        </w:rPr>
      </w:pPr>
      <w:r>
        <w:rPr>
          <w:rFonts w:hint="eastAsia" w:ascii="宋体" w:hAnsi="宋体" w:cs="宋体"/>
        </w:rPr>
        <w:t>（2）不同投标人委托同一单位或者个人办理投标事宜；</w:t>
      </w:r>
    </w:p>
    <w:p w14:paraId="74849E91">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20008A48">
      <w:pPr>
        <w:ind w:firstLine="420"/>
        <w:rPr>
          <w:rFonts w:hint="eastAsia" w:ascii="宋体" w:hAnsi="宋体" w:cs="宋体"/>
        </w:rPr>
      </w:pPr>
      <w:r>
        <w:rPr>
          <w:rFonts w:hint="eastAsia" w:ascii="宋体" w:hAnsi="宋体" w:cs="宋体"/>
        </w:rPr>
        <w:t>（4）不同投标人的投标文件异常一致或者投标报价呈规律性差异；</w:t>
      </w:r>
    </w:p>
    <w:p w14:paraId="69580B0C">
      <w:pPr>
        <w:ind w:firstLine="420"/>
        <w:rPr>
          <w:rFonts w:hint="eastAsia" w:ascii="宋体" w:hAnsi="宋体" w:cs="宋体"/>
        </w:rPr>
      </w:pPr>
      <w:r>
        <w:rPr>
          <w:rFonts w:hint="eastAsia" w:ascii="宋体" w:hAnsi="宋体" w:cs="宋体"/>
        </w:rPr>
        <w:t>（5）不同投标人的投标文件相互混装；</w:t>
      </w:r>
    </w:p>
    <w:p w14:paraId="78B7A0E3">
      <w:pPr>
        <w:ind w:firstLine="420"/>
        <w:rPr>
          <w:rFonts w:hint="eastAsia" w:ascii="宋体" w:hAnsi="宋体" w:cs="宋体"/>
        </w:rPr>
      </w:pPr>
      <w:r>
        <w:rPr>
          <w:rFonts w:hint="eastAsia" w:ascii="宋体" w:hAnsi="宋体" w:cs="宋体"/>
        </w:rPr>
        <w:t>（6）不同投标人的投标保证金从同一单位或者个人的账户转出。</w:t>
      </w:r>
    </w:p>
    <w:p w14:paraId="2CB217C8">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4EFEA6F5">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16D7F581">
      <w:pPr>
        <w:ind w:firstLine="422"/>
        <w:rPr>
          <w:rFonts w:hint="eastAsia" w:ascii="宋体" w:hAnsi="宋体" w:cs="宋体"/>
          <w:b/>
          <w:bCs/>
        </w:rPr>
      </w:pPr>
      <w:bookmarkStart w:id="541" w:name="_Toc37716383"/>
      <w:bookmarkStart w:id="542" w:name="_Toc3125"/>
      <w:bookmarkStart w:id="543" w:name="_Toc22934"/>
      <w:bookmarkStart w:id="544" w:name="_Toc38338303"/>
      <w:bookmarkStart w:id="545" w:name="_Toc489145736"/>
      <w:bookmarkStart w:id="546" w:name="_Toc19157"/>
      <w:bookmarkStart w:id="547" w:name="_Toc489197840"/>
      <w:bookmarkStart w:id="548" w:name="_Toc30792"/>
      <w:r>
        <w:rPr>
          <w:rFonts w:hint="eastAsia" w:ascii="宋体" w:hAnsi="宋体" w:cs="宋体"/>
          <w:b/>
          <w:bCs/>
        </w:rPr>
        <w:t>29.2投标人存在下列情</w:t>
      </w:r>
      <w:bookmarkStart w:id="549" w:name="_Toc417913977"/>
      <w:r>
        <w:rPr>
          <w:rFonts w:hint="eastAsia" w:ascii="宋体" w:hAnsi="宋体" w:cs="宋体"/>
          <w:b/>
          <w:bCs/>
        </w:rPr>
        <w:t>况之一的，投标无效</w:t>
      </w:r>
      <w:bookmarkEnd w:id="541"/>
      <w:bookmarkEnd w:id="542"/>
      <w:bookmarkEnd w:id="543"/>
      <w:bookmarkEnd w:id="544"/>
      <w:bookmarkEnd w:id="545"/>
      <w:bookmarkEnd w:id="546"/>
      <w:bookmarkEnd w:id="547"/>
      <w:bookmarkEnd w:id="548"/>
    </w:p>
    <w:p w14:paraId="4DD3E2E8">
      <w:pPr>
        <w:ind w:firstLine="420"/>
        <w:rPr>
          <w:rFonts w:hint="eastAsia" w:ascii="宋体" w:hAnsi="宋体" w:cs="宋体"/>
        </w:rPr>
      </w:pPr>
      <w:r>
        <w:rPr>
          <w:rFonts w:hint="eastAsia" w:ascii="宋体" w:hAnsi="宋体" w:cs="宋体"/>
        </w:rPr>
        <w:t>（1）未按照招标文件的</w:t>
      </w:r>
      <w:bookmarkEnd w:id="549"/>
      <w:r>
        <w:rPr>
          <w:rFonts w:hint="eastAsia" w:ascii="宋体" w:hAnsi="宋体" w:cs="宋体"/>
        </w:rPr>
        <w:t>规定提交投标保证金的；</w:t>
      </w:r>
    </w:p>
    <w:p w14:paraId="3AB8A786">
      <w:pPr>
        <w:ind w:firstLine="420"/>
        <w:rPr>
          <w:rFonts w:hint="eastAsia" w:ascii="宋体" w:hAnsi="宋体" w:cs="宋体"/>
        </w:rPr>
      </w:pPr>
      <w:r>
        <w:rPr>
          <w:rFonts w:hint="eastAsia" w:ascii="宋体" w:hAnsi="宋体" w:cs="宋体"/>
        </w:rPr>
        <w:t>（2）投标文件未按招标文件要求签署、盖章的；</w:t>
      </w:r>
    </w:p>
    <w:p w14:paraId="05320C33">
      <w:pPr>
        <w:ind w:firstLine="420"/>
        <w:rPr>
          <w:rFonts w:hint="eastAsia" w:ascii="宋体" w:hAnsi="宋体" w:cs="宋体"/>
        </w:rPr>
      </w:pPr>
      <w:r>
        <w:rPr>
          <w:rFonts w:hint="eastAsia" w:ascii="宋体" w:hAnsi="宋体" w:cs="宋体"/>
        </w:rPr>
        <w:t>（3）不具备招标文件中规定的资格要求的；</w:t>
      </w:r>
    </w:p>
    <w:p w14:paraId="43E3A8BA">
      <w:pPr>
        <w:ind w:firstLine="420"/>
        <w:rPr>
          <w:rFonts w:hint="eastAsia" w:ascii="宋体" w:hAnsi="宋体" w:cs="宋体"/>
        </w:rPr>
      </w:pPr>
      <w:r>
        <w:rPr>
          <w:rFonts w:hint="eastAsia" w:ascii="宋体" w:hAnsi="宋体" w:cs="宋体"/>
        </w:rPr>
        <w:t>（4）报价超过招标文件中规定的预算金额或者最高限价的；</w:t>
      </w:r>
    </w:p>
    <w:p w14:paraId="72C496B8">
      <w:pPr>
        <w:ind w:firstLine="420"/>
        <w:rPr>
          <w:rFonts w:hint="eastAsia" w:ascii="宋体" w:hAnsi="宋体" w:cs="宋体"/>
        </w:rPr>
      </w:pPr>
      <w:r>
        <w:rPr>
          <w:rFonts w:hint="eastAsia" w:ascii="宋体" w:hAnsi="宋体" w:cs="宋体"/>
        </w:rPr>
        <w:t>（5）投标文件含有采购人不能接受的</w:t>
      </w:r>
      <w:bookmarkStart w:id="550" w:name="OLE_LINK17"/>
      <w:r>
        <w:rPr>
          <w:rFonts w:hint="eastAsia" w:ascii="宋体" w:hAnsi="宋体" w:cs="宋体"/>
        </w:rPr>
        <w:t>附加条件的</w:t>
      </w:r>
      <w:bookmarkEnd w:id="550"/>
      <w:r>
        <w:rPr>
          <w:rFonts w:hint="eastAsia" w:ascii="宋体" w:hAnsi="宋体" w:cs="宋体"/>
        </w:rPr>
        <w:t>；</w:t>
      </w:r>
    </w:p>
    <w:p w14:paraId="24E2E3ED">
      <w:pPr>
        <w:ind w:firstLine="420"/>
        <w:rPr>
          <w:rFonts w:hint="eastAsia" w:ascii="宋体" w:hAnsi="宋体" w:cs="宋体"/>
        </w:rPr>
      </w:pPr>
      <w:r>
        <w:rPr>
          <w:rFonts w:hint="eastAsia" w:ascii="宋体" w:hAnsi="宋体" w:cs="宋体"/>
        </w:rPr>
        <w:t>（6）法律、法规和招标文件规定的其他无效情形。</w:t>
      </w:r>
    </w:p>
    <w:p w14:paraId="0E950EA6">
      <w:pPr>
        <w:ind w:firstLine="422"/>
        <w:rPr>
          <w:rFonts w:hint="eastAsia" w:ascii="宋体" w:hAnsi="宋体" w:cs="宋体"/>
          <w:b/>
          <w:bCs/>
        </w:rPr>
      </w:pPr>
      <w:bookmarkStart w:id="551" w:name="_Toc489145737"/>
      <w:bookmarkStart w:id="552" w:name="_Toc1159"/>
      <w:bookmarkStart w:id="553" w:name="_Toc38338304"/>
      <w:bookmarkStart w:id="554" w:name="_Toc489197841"/>
      <w:bookmarkStart w:id="555" w:name="_Toc37716384"/>
      <w:bookmarkStart w:id="556" w:name="_Toc12150"/>
      <w:bookmarkStart w:id="557" w:name="_Toc4803"/>
      <w:r>
        <w:rPr>
          <w:rFonts w:hint="eastAsia" w:ascii="宋体" w:hAnsi="宋体" w:cs="宋体"/>
          <w:b/>
          <w:bCs/>
        </w:rPr>
        <w:t>29.3</w:t>
      </w:r>
      <w:r>
        <w:rPr>
          <w:rFonts w:ascii="宋体" w:hAnsi="宋体" w:cs="宋体"/>
          <w:b/>
          <w:bCs/>
        </w:rPr>
        <w:t>在招标采购中，出现下列情形之一的，应予废标</w:t>
      </w:r>
      <w:bookmarkEnd w:id="551"/>
      <w:bookmarkEnd w:id="552"/>
      <w:bookmarkEnd w:id="553"/>
      <w:bookmarkEnd w:id="554"/>
      <w:bookmarkEnd w:id="555"/>
      <w:bookmarkEnd w:id="556"/>
      <w:bookmarkEnd w:id="557"/>
    </w:p>
    <w:p w14:paraId="4B1F0962">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4EBC936F">
      <w:pPr>
        <w:ind w:firstLine="420"/>
        <w:rPr>
          <w:rFonts w:hint="eastAsia" w:ascii="宋体" w:hAnsi="宋体" w:cs="宋体"/>
        </w:rPr>
      </w:pPr>
      <w:r>
        <w:rPr>
          <w:rFonts w:hint="eastAsia" w:ascii="宋体" w:hAnsi="宋体" w:cs="宋体"/>
        </w:rPr>
        <w:t>（2）出现影响采购公正的违法、违规行为的；</w:t>
      </w:r>
    </w:p>
    <w:p w14:paraId="4507A49A">
      <w:pPr>
        <w:ind w:firstLine="420"/>
        <w:rPr>
          <w:rFonts w:hint="eastAsia" w:ascii="宋体" w:hAnsi="宋体" w:cs="宋体"/>
        </w:rPr>
      </w:pPr>
      <w:r>
        <w:rPr>
          <w:rFonts w:hint="eastAsia" w:ascii="宋体" w:hAnsi="宋体" w:cs="宋体"/>
        </w:rPr>
        <w:t>（3）投标人的报价均超过了采购预算，采购人不能支付的；</w:t>
      </w:r>
    </w:p>
    <w:p w14:paraId="365E139C">
      <w:pPr>
        <w:ind w:firstLine="420"/>
        <w:rPr>
          <w:rFonts w:hint="eastAsia" w:ascii="宋体" w:hAnsi="宋体" w:cs="宋体"/>
        </w:rPr>
      </w:pPr>
      <w:r>
        <w:rPr>
          <w:rFonts w:hint="eastAsia" w:ascii="宋体" w:hAnsi="宋体" w:cs="宋体"/>
        </w:rPr>
        <w:t>（4）因重大变故，采购任务取消的。</w:t>
      </w:r>
    </w:p>
    <w:p w14:paraId="73CE1A4D">
      <w:pPr>
        <w:ind w:firstLine="420"/>
        <w:rPr>
          <w:rFonts w:hint="eastAsia" w:ascii="宋体" w:hAnsi="宋体" w:cs="宋体"/>
        </w:rPr>
      </w:pPr>
      <w:r>
        <w:rPr>
          <w:rFonts w:hint="eastAsia" w:ascii="宋体" w:hAnsi="宋体" w:cs="宋体"/>
        </w:rPr>
        <w:t>废标后，采购人应当将废标理由通知所有投标人。</w:t>
      </w:r>
    </w:p>
    <w:p w14:paraId="531C5DD8">
      <w:pPr>
        <w:pStyle w:val="3"/>
        <w:spacing w:before="165"/>
        <w:jc w:val="center"/>
        <w:rPr>
          <w:rFonts w:ascii="Times New Roman" w:hAnsi="Times New Roman" w:cs="Times New Roman"/>
        </w:rPr>
      </w:pPr>
      <w:bookmarkStart w:id="558" w:name="_Toc8350"/>
      <w:bookmarkStart w:id="559" w:name="_Toc30651"/>
      <w:bookmarkStart w:id="560" w:name="_Toc489145738"/>
      <w:bookmarkStart w:id="561" w:name="_Toc38338305"/>
      <w:bookmarkStart w:id="562" w:name="_Toc27305"/>
      <w:bookmarkStart w:id="563" w:name="_Toc488633610"/>
      <w:bookmarkStart w:id="564" w:name="_Toc489197842"/>
      <w:bookmarkStart w:id="565" w:name="_Toc7930"/>
      <w:bookmarkStart w:id="566" w:name="_Toc37716385"/>
      <w:r>
        <w:rPr>
          <w:rFonts w:hint="eastAsia" w:ascii="Times New Roman" w:hAnsi="Times New Roman" w:cs="Times New Roman"/>
        </w:rPr>
        <w:t>七</w:t>
      </w:r>
      <w:r>
        <w:rPr>
          <w:rFonts w:ascii="Times New Roman" w:hAnsi="Times New Roman" w:cs="Times New Roman"/>
        </w:rPr>
        <w:t>、中标结果</w:t>
      </w:r>
      <w:bookmarkEnd w:id="558"/>
      <w:bookmarkEnd w:id="559"/>
      <w:bookmarkEnd w:id="560"/>
      <w:bookmarkEnd w:id="561"/>
      <w:bookmarkEnd w:id="562"/>
      <w:bookmarkEnd w:id="563"/>
      <w:bookmarkEnd w:id="564"/>
      <w:bookmarkEnd w:id="565"/>
      <w:bookmarkEnd w:id="566"/>
    </w:p>
    <w:p w14:paraId="7060E644">
      <w:pPr>
        <w:pStyle w:val="4"/>
        <w:spacing w:before="165"/>
        <w:ind w:firstLine="482"/>
        <w:rPr>
          <w:rFonts w:ascii="Times New Roman" w:hAnsi="Times New Roman" w:cs="Times New Roman"/>
        </w:rPr>
      </w:pPr>
      <w:bookmarkStart w:id="567" w:name="_Toc38338306"/>
      <w:bookmarkStart w:id="568" w:name="_Toc489197843"/>
      <w:bookmarkStart w:id="569" w:name="_Toc31972"/>
      <w:bookmarkStart w:id="570" w:name="_Toc37716386"/>
      <w:bookmarkStart w:id="571" w:name="_Toc28797"/>
      <w:bookmarkStart w:id="572" w:name="_Toc25664"/>
      <w:bookmarkStart w:id="573" w:name="_Toc921"/>
      <w:bookmarkStart w:id="574" w:name="_Toc489145739"/>
      <w:r>
        <w:rPr>
          <w:rFonts w:hint="eastAsia" w:ascii="Times New Roman" w:hAnsi="Times New Roman" w:cs="Times New Roman"/>
        </w:rPr>
        <w:t>30</w:t>
      </w:r>
      <w:r>
        <w:rPr>
          <w:rFonts w:ascii="Times New Roman" w:hAnsi="Times New Roman" w:cs="Times New Roman"/>
        </w:rPr>
        <w:t>.中</w:t>
      </w:r>
      <w:bookmarkStart w:id="575" w:name="_Toc144974534"/>
      <w:bookmarkStart w:id="576" w:name="_Toc246996210"/>
      <w:bookmarkStart w:id="577" w:name="_Toc378239176"/>
      <w:bookmarkStart w:id="578" w:name="_Toc247085724"/>
      <w:bookmarkStart w:id="579" w:name="_Toc179632584"/>
      <w:bookmarkStart w:id="580" w:name="_Toc246996953"/>
      <w:bookmarkStart w:id="581" w:name="_Toc401342140"/>
      <w:bookmarkStart w:id="582" w:name="_Toc378239357"/>
      <w:bookmarkStart w:id="583" w:name="_Toc296602455"/>
      <w:bookmarkStart w:id="584" w:name="_Toc152042342"/>
      <w:bookmarkStart w:id="585" w:name="_Toc378239084"/>
      <w:bookmarkStart w:id="586" w:name="_Toc152045566"/>
      <w:bookmarkStart w:id="587" w:name="_Toc480817649"/>
      <w:bookmarkStart w:id="588" w:name="_Toc13517"/>
      <w:r>
        <w:rPr>
          <w:rFonts w:ascii="Times New Roman" w:hAnsi="Times New Roman" w:cs="Times New Roman"/>
        </w:rPr>
        <w:t>标</w:t>
      </w:r>
      <w:bookmarkEnd w:id="575"/>
      <w:bookmarkEnd w:id="576"/>
      <w:bookmarkEnd w:id="577"/>
      <w:bookmarkEnd w:id="578"/>
      <w:bookmarkEnd w:id="579"/>
      <w:bookmarkEnd w:id="580"/>
      <w:bookmarkEnd w:id="581"/>
      <w:bookmarkEnd w:id="582"/>
      <w:bookmarkEnd w:id="583"/>
      <w:bookmarkEnd w:id="584"/>
      <w:bookmarkEnd w:id="585"/>
      <w:bookmarkEnd w:id="586"/>
      <w:r>
        <w:rPr>
          <w:rFonts w:ascii="Times New Roman" w:hAnsi="Times New Roman" w:cs="Times New Roman"/>
        </w:rPr>
        <w:t>人的</w:t>
      </w:r>
      <w:bookmarkEnd w:id="587"/>
      <w:bookmarkEnd w:id="588"/>
      <w:r>
        <w:rPr>
          <w:rFonts w:ascii="Times New Roman" w:hAnsi="Times New Roman" w:cs="Times New Roman"/>
        </w:rPr>
        <w:t>确</w:t>
      </w:r>
      <w:bookmarkStart w:id="589" w:name="_Toc247085725"/>
      <w:bookmarkStart w:id="590" w:name="_Toc179632585"/>
      <w:bookmarkStart w:id="591" w:name="_Toc152042343"/>
      <w:bookmarkStart w:id="592" w:name="_Toc246996211"/>
      <w:bookmarkStart w:id="593" w:name="_Toc246996954"/>
      <w:bookmarkStart w:id="594" w:name="_Toc152045567"/>
      <w:bookmarkStart w:id="595" w:name="_Toc144974535"/>
      <w:bookmarkStart w:id="596" w:name="_Toc296602456"/>
      <w:r>
        <w:rPr>
          <w:rFonts w:ascii="Times New Roman" w:hAnsi="Times New Roman" w:cs="Times New Roman"/>
        </w:rPr>
        <w:t>定</w:t>
      </w:r>
      <w:bookmarkEnd w:id="567"/>
      <w:bookmarkEnd w:id="568"/>
      <w:bookmarkEnd w:id="569"/>
      <w:bookmarkEnd w:id="570"/>
      <w:bookmarkEnd w:id="571"/>
      <w:bookmarkEnd w:id="572"/>
      <w:bookmarkEnd w:id="573"/>
      <w:bookmarkEnd w:id="574"/>
    </w:p>
    <w:p w14:paraId="17E32886">
      <w:pPr>
        <w:ind w:firstLine="420"/>
        <w:rPr>
          <w:rFonts w:hint="eastAsia" w:ascii="宋体" w:hAnsi="宋体" w:cs="宋体"/>
        </w:rPr>
      </w:pPr>
      <w:bookmarkStart w:id="597" w:name="_Toc417913979"/>
      <w:r>
        <w:rPr>
          <w:rFonts w:hint="eastAsia" w:ascii="宋体" w:hAnsi="宋体" w:cs="宋体"/>
        </w:rPr>
        <w:t>30.1采购代理机构应</w:t>
      </w:r>
      <w:bookmarkEnd w:id="589"/>
      <w:bookmarkEnd w:id="590"/>
      <w:bookmarkEnd w:id="591"/>
      <w:bookmarkEnd w:id="592"/>
      <w:bookmarkEnd w:id="593"/>
      <w:bookmarkEnd w:id="594"/>
      <w:bookmarkEnd w:id="595"/>
      <w:bookmarkEnd w:id="596"/>
      <w:bookmarkEnd w:id="597"/>
      <w:r>
        <w:rPr>
          <w:rFonts w:hint="eastAsia" w:ascii="宋体" w:hAnsi="宋体" w:cs="宋体"/>
        </w:rPr>
        <w:t>当在评标结束后2个工作日内将评标报告送采购人。</w:t>
      </w:r>
    </w:p>
    <w:p w14:paraId="21ED048E">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598" w:name="OLE_LINK10"/>
      <w:r>
        <w:rPr>
          <w:rFonts w:hint="eastAsia" w:ascii="宋体" w:hAnsi="宋体" w:cs="宋体"/>
        </w:rPr>
        <w:t>由</w:t>
      </w:r>
      <w:bookmarkEnd w:id="598"/>
      <w:r>
        <w:rPr>
          <w:rFonts w:hint="eastAsia" w:ascii="宋体" w:hAnsi="宋体" w:cs="宋体"/>
        </w:rPr>
        <w:t>采购人或者采购人委托评标委员会按照招标文件规定的方式确定中标人；招标文件未规定的，采取随机抽取的方式确定中标人。</w:t>
      </w:r>
    </w:p>
    <w:p w14:paraId="28600F2D">
      <w:pPr>
        <w:pStyle w:val="4"/>
        <w:spacing w:before="165"/>
        <w:ind w:firstLine="482"/>
        <w:rPr>
          <w:rFonts w:ascii="Times New Roman" w:hAnsi="Times New Roman" w:cs="Times New Roman"/>
        </w:rPr>
      </w:pPr>
      <w:bookmarkStart w:id="599" w:name="_Toc489145740"/>
      <w:bookmarkStart w:id="600" w:name="_Toc489197844"/>
      <w:bookmarkStart w:id="601" w:name="_Toc5762"/>
      <w:bookmarkStart w:id="602" w:name="_Toc29421"/>
      <w:bookmarkStart w:id="603" w:name="_Toc37716387"/>
      <w:bookmarkStart w:id="604" w:name="_Toc22369"/>
      <w:bookmarkStart w:id="605" w:name="_Toc38338307"/>
      <w:bookmarkStart w:id="606" w:name="_Toc24499"/>
      <w:r>
        <w:rPr>
          <w:rFonts w:hint="eastAsia" w:ascii="Times New Roman" w:hAnsi="Times New Roman" w:cs="Times New Roman"/>
        </w:rPr>
        <w:t>31</w:t>
      </w:r>
      <w:r>
        <w:rPr>
          <w:rFonts w:ascii="Times New Roman" w:hAnsi="Times New Roman" w:cs="Times New Roman"/>
        </w:rPr>
        <w:t>.中标通知书</w:t>
      </w:r>
      <w:bookmarkEnd w:id="599"/>
      <w:bookmarkEnd w:id="600"/>
      <w:bookmarkEnd w:id="601"/>
      <w:bookmarkEnd w:id="602"/>
      <w:bookmarkEnd w:id="603"/>
      <w:bookmarkEnd w:id="604"/>
      <w:bookmarkEnd w:id="605"/>
      <w:bookmarkEnd w:id="606"/>
    </w:p>
    <w:p w14:paraId="2B842674">
      <w:pPr>
        <w:ind w:firstLine="420"/>
        <w:rPr>
          <w:rFonts w:hint="eastAsia" w:ascii="宋体" w:hAnsi="宋体" w:cs="宋体"/>
        </w:rPr>
      </w:pPr>
      <w:bookmarkStart w:id="607" w:name="_Toc152045568"/>
      <w:bookmarkStart w:id="608" w:name="_Toc144974536"/>
      <w:bookmarkStart w:id="609" w:name="_Toc179632586"/>
      <w:bookmarkStart w:id="610" w:name="_Toc152042344"/>
      <w:bookmarkStart w:id="611" w:name="_Toc246996955"/>
      <w:bookmarkStart w:id="612" w:name="_Toc247085726"/>
      <w:bookmarkStart w:id="613" w:name="_Toc296602458"/>
      <w:bookmarkStart w:id="614" w:name="_Toc246996212"/>
      <w:r>
        <w:rPr>
          <w:rFonts w:hint="eastAsia" w:ascii="宋体" w:hAnsi="宋体" w:cs="宋体"/>
        </w:rPr>
        <w:t>31.1中标人确定之</w:t>
      </w:r>
      <w:bookmarkEnd w:id="607"/>
      <w:bookmarkEnd w:id="608"/>
      <w:bookmarkEnd w:id="609"/>
      <w:bookmarkEnd w:id="610"/>
      <w:bookmarkEnd w:id="611"/>
      <w:bookmarkEnd w:id="612"/>
      <w:bookmarkEnd w:id="613"/>
      <w:bookmarkEnd w:id="614"/>
      <w:r>
        <w:rPr>
          <w:rFonts w:hint="eastAsia" w:ascii="宋体" w:hAnsi="宋体" w:cs="宋体"/>
        </w:rPr>
        <w:t>日起</w:t>
      </w:r>
      <w:bookmarkStart w:id="615" w:name="_Toc246996214"/>
      <w:bookmarkStart w:id="616" w:name="_Toc296602460"/>
      <w:bookmarkStart w:id="617" w:name="_Toc247085728"/>
      <w:bookmarkStart w:id="618" w:name="_Toc152042346"/>
      <w:bookmarkStart w:id="619" w:name="_Toc144974538"/>
      <w:bookmarkStart w:id="620" w:name="_Toc246996957"/>
      <w:bookmarkStart w:id="621" w:name="_Toc152045570"/>
      <w:bookmarkStart w:id="622" w:name="_Toc179632588"/>
      <w:r>
        <w:rPr>
          <w:rFonts w:hint="eastAsia" w:ascii="宋体" w:hAnsi="宋体" w:cs="宋体"/>
        </w:rPr>
        <w:t>2个工作日内，采购代理机构向中标人发出中标通知书，并在财政部门指定的政府采购信息发布媒体上公告中标结果。中标公告期限为1个工作日。</w:t>
      </w:r>
    </w:p>
    <w:p w14:paraId="3746A0D7">
      <w:pPr>
        <w:ind w:firstLine="420"/>
        <w:rPr>
          <w:rFonts w:hint="eastAsia" w:ascii="宋体" w:hAnsi="宋体" w:cs="宋体"/>
        </w:rPr>
      </w:pPr>
      <w:r>
        <w:rPr>
          <w:rFonts w:hint="eastAsia" w:ascii="宋体" w:hAnsi="宋体" w:cs="宋体"/>
        </w:rPr>
        <w:t>31.2中标通知书是合同的一个组成部分。</w:t>
      </w:r>
    </w:p>
    <w:p w14:paraId="5C074F23">
      <w:pPr>
        <w:pStyle w:val="4"/>
        <w:spacing w:before="165"/>
        <w:ind w:firstLine="482"/>
        <w:rPr>
          <w:rFonts w:ascii="Times New Roman" w:hAnsi="Times New Roman" w:cs="Times New Roman"/>
        </w:rPr>
      </w:pPr>
      <w:bookmarkStart w:id="623" w:name="_Toc37716388"/>
      <w:bookmarkStart w:id="624" w:name="_Toc38338308"/>
      <w:bookmarkStart w:id="625" w:name="_Toc31439"/>
      <w:bookmarkStart w:id="626" w:name="_Toc14947"/>
      <w:bookmarkStart w:id="627" w:name="_Toc14129"/>
      <w:bookmarkStart w:id="628" w:name="_Toc489197845"/>
      <w:bookmarkStart w:id="629" w:name="_Toc489145741"/>
      <w:bookmarkStart w:id="630" w:name="_Toc22164"/>
      <w:r>
        <w:rPr>
          <w:rFonts w:hint="eastAsia" w:ascii="Times New Roman" w:hAnsi="Times New Roman" w:cs="Times New Roman"/>
        </w:rPr>
        <w:t>32</w:t>
      </w:r>
      <w:r>
        <w:rPr>
          <w:rFonts w:ascii="Times New Roman" w:hAnsi="Times New Roman" w:cs="Times New Roman"/>
        </w:rPr>
        <w:t>.签订合同</w:t>
      </w:r>
      <w:bookmarkEnd w:id="623"/>
      <w:bookmarkEnd w:id="624"/>
      <w:bookmarkEnd w:id="625"/>
      <w:bookmarkEnd w:id="626"/>
      <w:bookmarkEnd w:id="627"/>
      <w:bookmarkEnd w:id="628"/>
      <w:bookmarkEnd w:id="629"/>
      <w:bookmarkEnd w:id="630"/>
    </w:p>
    <w:p w14:paraId="7215D0A4">
      <w:pPr>
        <w:ind w:firstLine="420"/>
        <w:rPr>
          <w:rFonts w:hint="eastAsia" w:ascii="宋体" w:hAnsi="宋体" w:cs="宋体"/>
        </w:rPr>
      </w:pPr>
      <w:r>
        <w:rPr>
          <w:rFonts w:hint="eastAsia" w:ascii="宋体" w:hAnsi="宋体" w:cs="宋体"/>
        </w:rPr>
        <w:t>32.1采购人应当自中</w:t>
      </w:r>
      <w:bookmarkEnd w:id="615"/>
      <w:bookmarkEnd w:id="616"/>
      <w:bookmarkEnd w:id="617"/>
      <w:bookmarkEnd w:id="618"/>
      <w:bookmarkEnd w:id="619"/>
      <w:bookmarkEnd w:id="620"/>
      <w:bookmarkEnd w:id="621"/>
      <w:bookmarkEnd w:id="622"/>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0ED42CB6">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7AEB1412">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2BFE1AFD">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5670A983">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2D1EF055">
      <w:pPr>
        <w:ind w:firstLine="420"/>
        <w:rPr>
          <w:rFonts w:hint="eastAsia"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1D0B9C68">
      <w:pPr>
        <w:pStyle w:val="4"/>
        <w:spacing w:before="165"/>
        <w:ind w:firstLine="482"/>
        <w:rPr>
          <w:rFonts w:ascii="Times New Roman" w:hAnsi="Times New Roman" w:cs="Times New Roman"/>
        </w:rPr>
      </w:pPr>
      <w:bookmarkStart w:id="631" w:name="_Toc5181"/>
      <w:bookmarkStart w:id="632" w:name="_Toc38338309"/>
      <w:bookmarkStart w:id="633" w:name="_Toc12406"/>
      <w:bookmarkStart w:id="634" w:name="_Toc489197846"/>
      <w:bookmarkStart w:id="635" w:name="_Toc37716389"/>
      <w:bookmarkStart w:id="636" w:name="_Toc21082"/>
      <w:bookmarkStart w:id="637" w:name="_Toc489145742"/>
      <w:bookmarkStart w:id="638" w:name="_Toc7332"/>
      <w:r>
        <w:rPr>
          <w:rFonts w:hint="eastAsia" w:ascii="Times New Roman" w:hAnsi="Times New Roman" w:cs="Times New Roman"/>
        </w:rPr>
        <w:t>33</w:t>
      </w:r>
      <w:r>
        <w:rPr>
          <w:rFonts w:ascii="Times New Roman" w:hAnsi="Times New Roman" w:cs="Times New Roman"/>
        </w:rPr>
        <w:t>.履约保证金</w:t>
      </w:r>
      <w:bookmarkEnd w:id="631"/>
      <w:bookmarkEnd w:id="632"/>
      <w:bookmarkEnd w:id="633"/>
      <w:bookmarkEnd w:id="634"/>
      <w:bookmarkEnd w:id="635"/>
      <w:bookmarkEnd w:id="636"/>
      <w:bookmarkEnd w:id="637"/>
      <w:bookmarkEnd w:id="638"/>
    </w:p>
    <w:p w14:paraId="55224FA7">
      <w:pPr>
        <w:ind w:firstLine="420"/>
        <w:rPr>
          <w:rFonts w:hint="eastAsia" w:ascii="宋体" w:hAnsi="宋体" w:cs="宋体"/>
        </w:rPr>
      </w:pPr>
      <w:bookmarkStart w:id="639" w:name="_Toc417913982"/>
      <w:r>
        <w:rPr>
          <w:rFonts w:hint="eastAsia" w:ascii="宋体" w:hAnsi="宋体" w:cs="宋体"/>
        </w:rPr>
        <w:t>33.1</w:t>
      </w:r>
      <w:bookmarkEnd w:id="639"/>
      <w:bookmarkStart w:id="640"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0"/>
    </w:p>
    <w:p w14:paraId="52ACA084">
      <w:pPr>
        <w:ind w:firstLine="420"/>
        <w:rPr>
          <w:rFonts w:hint="eastAsia" w:ascii="宋体" w:hAnsi="宋体" w:cs="宋体"/>
        </w:rPr>
      </w:pPr>
      <w:bookmarkStart w:id="641"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1"/>
    <w:p w14:paraId="1AC44C13">
      <w:pPr>
        <w:pStyle w:val="3"/>
        <w:spacing w:before="165"/>
        <w:jc w:val="center"/>
        <w:rPr>
          <w:rFonts w:ascii="Times New Roman" w:hAnsi="Times New Roman" w:cs="Times New Roman"/>
        </w:rPr>
      </w:pPr>
      <w:bookmarkStart w:id="642" w:name="_Toc132880280"/>
      <w:bookmarkStart w:id="643" w:name="_Toc13284_WPSOffice_Level2"/>
      <w:bookmarkStart w:id="644" w:name="_Toc23713"/>
      <w:bookmarkStart w:id="645" w:name="OLE_LINK92"/>
      <w:bookmarkStart w:id="646" w:name="_Toc14512"/>
      <w:bookmarkStart w:id="647" w:name="_Toc489145743"/>
      <w:bookmarkStart w:id="648" w:name="_Toc489197847"/>
      <w:bookmarkStart w:id="649" w:name="_Toc37716390"/>
      <w:bookmarkStart w:id="650" w:name="_Toc30656"/>
      <w:bookmarkStart w:id="651" w:name="_Toc488633611"/>
      <w:bookmarkStart w:id="652" w:name="_Toc29233"/>
      <w:bookmarkStart w:id="653" w:name="_Toc38338310"/>
      <w:r>
        <w:rPr>
          <w:rFonts w:hint="eastAsia" w:ascii="Times New Roman" w:hAnsi="Times New Roman" w:cs="Times New Roman"/>
        </w:rPr>
        <w:t>八、质疑</w:t>
      </w:r>
      <w:bookmarkEnd w:id="642"/>
      <w:bookmarkEnd w:id="643"/>
      <w:r>
        <w:rPr>
          <w:rFonts w:hint="eastAsia" w:ascii="Times New Roman" w:hAnsi="Times New Roman" w:cs="Times New Roman"/>
        </w:rPr>
        <w:t>投诉</w:t>
      </w:r>
      <w:bookmarkEnd w:id="644"/>
    </w:p>
    <w:bookmarkEnd w:id="645"/>
    <w:p w14:paraId="4C898923">
      <w:pPr>
        <w:pStyle w:val="4"/>
        <w:spacing w:before="165"/>
        <w:ind w:firstLine="482"/>
        <w:rPr>
          <w:rFonts w:ascii="Times New Roman" w:hAnsi="Times New Roman" w:cs="Times New Roman"/>
        </w:rPr>
      </w:pPr>
      <w:bookmarkStart w:id="654" w:name="_Toc37716356"/>
      <w:bookmarkStart w:id="655" w:name="_Toc489145711"/>
      <w:bookmarkStart w:id="656" w:name="_Toc20061"/>
      <w:bookmarkStart w:id="657" w:name="_Toc18828"/>
      <w:bookmarkStart w:id="658" w:name="_Toc489197815"/>
      <w:bookmarkStart w:id="659" w:name="_Toc15471"/>
      <w:bookmarkStart w:id="660" w:name="_Toc5389"/>
      <w:bookmarkStart w:id="661" w:name="_Toc38338276"/>
      <w:r>
        <w:rPr>
          <w:rFonts w:hint="eastAsia" w:ascii="Times New Roman" w:hAnsi="Times New Roman" w:cs="Times New Roman"/>
        </w:rPr>
        <w:t>34</w:t>
      </w:r>
      <w:r>
        <w:rPr>
          <w:rFonts w:ascii="Times New Roman" w:hAnsi="Times New Roman" w:cs="Times New Roman"/>
        </w:rPr>
        <w:t>.质疑</w:t>
      </w:r>
      <w:bookmarkEnd w:id="654"/>
      <w:bookmarkEnd w:id="655"/>
      <w:bookmarkEnd w:id="656"/>
      <w:bookmarkEnd w:id="657"/>
      <w:bookmarkEnd w:id="658"/>
      <w:bookmarkEnd w:id="659"/>
      <w:bookmarkEnd w:id="660"/>
      <w:bookmarkEnd w:id="661"/>
    </w:p>
    <w:p w14:paraId="17DFB93A">
      <w:pPr>
        <w:ind w:firstLine="420"/>
        <w:rPr>
          <w:rFonts w:hint="eastAsia" w:ascii="宋体" w:hAnsi="宋体" w:cs="宋体"/>
        </w:rPr>
      </w:pPr>
      <w:bookmarkStart w:id="662" w:name="OLE_LINK163"/>
      <w:r>
        <w:rPr>
          <w:rFonts w:hint="eastAsia" w:ascii="宋体" w:hAnsi="宋体" w:cs="宋体"/>
        </w:rPr>
        <w:t>34.1</w:t>
      </w:r>
      <w:bookmarkStart w:id="663" w:name="OLE_LINK165"/>
      <w:r>
        <w:rPr>
          <w:rFonts w:hint="eastAsia" w:ascii="宋体" w:hAnsi="宋体" w:cs="宋体"/>
        </w:rPr>
        <w:t>投标人认为招标文件、采购过程、中标结果使自己的权益受到损害的，可以在知道或者应知其权益受到损害之日起7个工作日内</w:t>
      </w:r>
      <w:bookmarkEnd w:id="663"/>
      <w:r>
        <w:rPr>
          <w:rFonts w:hint="eastAsia" w:ascii="宋体" w:hAnsi="宋体" w:cs="宋体"/>
        </w:rPr>
        <w:t>，</w:t>
      </w:r>
      <w:bookmarkStart w:id="664"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2FAD2329">
      <w:pPr>
        <w:ind w:firstLine="420"/>
        <w:rPr>
          <w:rFonts w:hint="eastAsia" w:ascii="宋体" w:hAnsi="宋体" w:cs="宋体"/>
        </w:rPr>
      </w:pPr>
      <w:bookmarkStart w:id="665" w:name="OLE_LINK333"/>
      <w:r>
        <w:rPr>
          <w:rFonts w:hint="eastAsia" w:ascii="宋体" w:hAnsi="宋体" w:cs="宋体"/>
        </w:rPr>
        <w:t>34.2招标文件中“知道或者应知其权益受到损害之日”是指：</w:t>
      </w:r>
    </w:p>
    <w:p w14:paraId="3936D5C4">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176A9A50">
      <w:pPr>
        <w:ind w:firstLine="420"/>
        <w:rPr>
          <w:rFonts w:hint="eastAsia" w:ascii="宋体" w:hAnsi="宋体" w:cs="宋体"/>
        </w:rPr>
      </w:pPr>
      <w:r>
        <w:rPr>
          <w:rFonts w:hint="eastAsia" w:ascii="宋体" w:hAnsi="宋体" w:cs="宋体"/>
        </w:rPr>
        <w:t>（2）对采购过程提出质疑的</w:t>
      </w:r>
      <w:bookmarkEnd w:id="662"/>
      <w:r>
        <w:rPr>
          <w:rFonts w:hint="eastAsia" w:ascii="宋体" w:hAnsi="宋体" w:cs="宋体"/>
        </w:rPr>
        <w:t>，为各采购程序环节结束之日；</w:t>
      </w:r>
    </w:p>
    <w:p w14:paraId="366D26CB">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3FBA3455">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702E123F">
      <w:pPr>
        <w:ind w:firstLine="420"/>
        <w:rPr>
          <w:rFonts w:hint="eastAsia" w:ascii="宋体" w:hAnsi="宋体" w:cs="宋体"/>
        </w:rPr>
      </w:pPr>
      <w:r>
        <w:rPr>
          <w:rFonts w:hint="eastAsia" w:ascii="宋体" w:hAnsi="宋体" w:cs="宋体"/>
        </w:rPr>
        <w:t>提出质疑的投标人应当是参与所质疑项目采购活动的投标人。</w:t>
      </w:r>
    </w:p>
    <w:bookmarkEnd w:id="665"/>
    <w:p w14:paraId="68F9B8B6">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48ADA18E">
      <w:pPr>
        <w:ind w:firstLine="420"/>
        <w:rPr>
          <w:rFonts w:hint="eastAsia" w:ascii="宋体" w:hAnsi="宋体" w:cs="宋体"/>
        </w:rPr>
      </w:pPr>
      <w:r>
        <w:rPr>
          <w:rFonts w:hint="eastAsia" w:ascii="宋体" w:hAnsi="宋体" w:cs="宋体"/>
        </w:rPr>
        <w:t>（1）投标人的姓名或者名称、地址、邮编、联系人及联系电话；</w:t>
      </w:r>
    </w:p>
    <w:p w14:paraId="2F2A5666">
      <w:pPr>
        <w:ind w:firstLine="420"/>
        <w:rPr>
          <w:rFonts w:hint="eastAsia" w:ascii="宋体" w:hAnsi="宋体" w:cs="宋体"/>
        </w:rPr>
      </w:pPr>
      <w:r>
        <w:rPr>
          <w:rFonts w:hint="eastAsia" w:ascii="宋体" w:hAnsi="宋体" w:cs="宋体"/>
        </w:rPr>
        <w:t>（2）质疑项目的名称、编号；</w:t>
      </w:r>
    </w:p>
    <w:p w14:paraId="6514E241">
      <w:pPr>
        <w:ind w:firstLine="420"/>
        <w:rPr>
          <w:rFonts w:hint="eastAsia" w:ascii="宋体" w:hAnsi="宋体" w:cs="宋体"/>
        </w:rPr>
      </w:pPr>
      <w:r>
        <w:rPr>
          <w:rFonts w:hint="eastAsia" w:ascii="宋体" w:hAnsi="宋体" w:cs="宋体"/>
        </w:rPr>
        <w:t>（3）具体、明确的质疑事项和与质疑事项相关的请求；</w:t>
      </w:r>
    </w:p>
    <w:p w14:paraId="1735E2B5">
      <w:pPr>
        <w:ind w:firstLine="420"/>
        <w:rPr>
          <w:rFonts w:hint="eastAsia" w:ascii="宋体" w:hAnsi="宋体" w:cs="宋体"/>
        </w:rPr>
      </w:pPr>
      <w:r>
        <w:rPr>
          <w:rFonts w:hint="eastAsia" w:ascii="宋体" w:hAnsi="宋体" w:cs="宋体"/>
        </w:rPr>
        <w:t>（4）事实依据；</w:t>
      </w:r>
    </w:p>
    <w:p w14:paraId="68E2912B">
      <w:pPr>
        <w:ind w:firstLine="420"/>
        <w:rPr>
          <w:rFonts w:hint="eastAsia" w:ascii="宋体" w:hAnsi="宋体" w:cs="宋体"/>
        </w:rPr>
      </w:pPr>
      <w:r>
        <w:rPr>
          <w:rFonts w:hint="eastAsia" w:ascii="宋体" w:hAnsi="宋体" w:cs="宋体"/>
        </w:rPr>
        <w:t>（5）必要的法律依据；</w:t>
      </w:r>
    </w:p>
    <w:p w14:paraId="60D1E954">
      <w:pPr>
        <w:ind w:firstLine="420"/>
        <w:rPr>
          <w:rFonts w:hint="eastAsia" w:ascii="宋体" w:hAnsi="宋体" w:cs="宋体"/>
        </w:rPr>
      </w:pPr>
      <w:r>
        <w:rPr>
          <w:rFonts w:hint="eastAsia" w:ascii="宋体" w:hAnsi="宋体" w:cs="宋体"/>
        </w:rPr>
        <w:t>（6）提出质疑的日期。</w:t>
      </w:r>
    </w:p>
    <w:p w14:paraId="5DEAF5DA">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66" w:name="OLE_LINK334"/>
      <w:r>
        <w:rPr>
          <w:rFonts w:hint="eastAsia" w:ascii="宋体" w:hAnsi="宋体" w:cs="宋体"/>
        </w:rPr>
        <w:t>者盖章，并加盖公章。</w:t>
      </w:r>
    </w:p>
    <w:bookmarkEnd w:id="666"/>
    <w:p w14:paraId="645982CB">
      <w:pPr>
        <w:ind w:firstLine="420"/>
        <w:rPr>
          <w:rFonts w:hint="eastAsia" w:ascii="宋体" w:hAnsi="宋体" w:cs="宋体"/>
        </w:rPr>
      </w:pPr>
      <w:r>
        <w:rPr>
          <w:rFonts w:hint="eastAsia" w:ascii="宋体" w:hAnsi="宋体" w:cs="宋体"/>
        </w:rPr>
        <w:t>34.5投标人不得捏造事实、提供虚假材料或者以非法手段取得证明材料。</w:t>
      </w:r>
    </w:p>
    <w:p w14:paraId="40AFB418">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30CA0ACC">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2598819B">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67" w:name="OLE_LINK336"/>
      <w:r>
        <w:rPr>
          <w:rFonts w:hint="eastAsia" w:ascii="宋体" w:hAnsi="宋体" w:cs="宋体"/>
        </w:rPr>
        <w:t>协助答复质疑。</w:t>
      </w:r>
      <w:bookmarkStart w:id="668" w:name="OLE_LINK332"/>
      <w:r>
        <w:rPr>
          <w:rFonts w:hint="eastAsia" w:ascii="宋体" w:hAnsi="宋体" w:cs="宋体"/>
        </w:rPr>
        <w:t>质疑答复导致中标结果改变的，采购人或者采</w:t>
      </w:r>
      <w:bookmarkEnd w:id="668"/>
      <w:r>
        <w:rPr>
          <w:rFonts w:hint="eastAsia" w:ascii="宋体" w:hAnsi="宋体" w:cs="宋体"/>
        </w:rPr>
        <w:t>购代理机构会将有关情况书面报告本级财政部门。</w:t>
      </w:r>
    </w:p>
    <w:p w14:paraId="46667DAD">
      <w:pPr>
        <w:ind w:firstLine="420"/>
        <w:rPr>
          <w:rFonts w:hint="eastAsia" w:ascii="宋体" w:hAnsi="宋体" w:cs="宋体"/>
        </w:rPr>
      </w:pPr>
      <w:bookmarkStart w:id="669"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5120F0CC">
      <w:pPr>
        <w:pStyle w:val="4"/>
        <w:spacing w:before="165"/>
        <w:ind w:firstLine="482"/>
        <w:rPr>
          <w:rFonts w:ascii="Times New Roman" w:hAnsi="Times New Roman" w:cs="Times New Roman"/>
        </w:rPr>
      </w:pPr>
      <w:bookmarkStart w:id="670" w:name="_Toc8518"/>
      <w:bookmarkStart w:id="671" w:name="_Toc489197816"/>
      <w:bookmarkStart w:id="672" w:name="_Toc489145712"/>
      <w:bookmarkStart w:id="673" w:name="_Toc15777"/>
      <w:bookmarkStart w:id="674" w:name="_Toc16110"/>
      <w:bookmarkStart w:id="675" w:name="_Toc37716357"/>
      <w:bookmarkStart w:id="676" w:name="_Toc30469"/>
      <w:bookmarkStart w:id="677" w:name="_Toc38338277"/>
      <w:r>
        <w:rPr>
          <w:rFonts w:hint="eastAsia" w:ascii="Times New Roman" w:hAnsi="Times New Roman" w:cs="Times New Roman"/>
        </w:rPr>
        <w:t>35</w:t>
      </w:r>
      <w:r>
        <w:rPr>
          <w:rFonts w:ascii="Times New Roman" w:hAnsi="Times New Roman" w:cs="Times New Roman"/>
        </w:rPr>
        <w:t>.投诉</w:t>
      </w:r>
      <w:bookmarkEnd w:id="670"/>
      <w:bookmarkEnd w:id="671"/>
      <w:bookmarkEnd w:id="672"/>
      <w:bookmarkEnd w:id="673"/>
      <w:bookmarkEnd w:id="674"/>
      <w:bookmarkEnd w:id="675"/>
      <w:bookmarkEnd w:id="676"/>
      <w:bookmarkEnd w:id="677"/>
    </w:p>
    <w:p w14:paraId="07BFD1A9">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64"/>
    <w:bookmarkEnd w:id="667"/>
    <w:bookmarkEnd w:id="669"/>
    <w:p w14:paraId="791EFB55">
      <w:pPr>
        <w:pStyle w:val="3"/>
        <w:spacing w:before="165"/>
        <w:jc w:val="center"/>
        <w:rPr>
          <w:rFonts w:ascii="Times New Roman" w:hAnsi="Times New Roman" w:cs="Times New Roman"/>
        </w:rPr>
      </w:pPr>
      <w:bookmarkStart w:id="678" w:name="_Toc29403"/>
      <w:bookmarkStart w:id="679" w:name="OLE_LINK94"/>
      <w:r>
        <w:rPr>
          <w:rFonts w:ascii="Times New Roman" w:hAnsi="Times New Roman" w:cs="Times New Roman"/>
        </w:rPr>
        <w:t>九、其他事项</w:t>
      </w:r>
      <w:bookmarkEnd w:id="646"/>
      <w:bookmarkEnd w:id="647"/>
      <w:bookmarkEnd w:id="648"/>
      <w:bookmarkEnd w:id="649"/>
      <w:bookmarkEnd w:id="650"/>
      <w:bookmarkEnd w:id="651"/>
      <w:bookmarkEnd w:id="652"/>
      <w:bookmarkEnd w:id="653"/>
      <w:bookmarkEnd w:id="678"/>
    </w:p>
    <w:bookmarkEnd w:id="679"/>
    <w:p w14:paraId="6934A175">
      <w:pPr>
        <w:pStyle w:val="4"/>
        <w:spacing w:before="165"/>
        <w:ind w:firstLine="482"/>
        <w:rPr>
          <w:rFonts w:ascii="Times New Roman" w:hAnsi="Times New Roman" w:cs="Times New Roman"/>
        </w:rPr>
      </w:pPr>
      <w:bookmarkStart w:id="680" w:name="_Toc38338311"/>
      <w:bookmarkStart w:id="681" w:name="_Toc10772"/>
      <w:bookmarkStart w:id="682" w:name="_Toc489197848"/>
      <w:bookmarkStart w:id="683" w:name="_Toc6352"/>
      <w:bookmarkStart w:id="684" w:name="_Toc37716391"/>
      <w:bookmarkStart w:id="685" w:name="_Toc489145744"/>
      <w:bookmarkStart w:id="686" w:name="_Toc28376"/>
      <w:bookmarkStart w:id="687" w:name="_Toc18948"/>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0"/>
      <w:bookmarkEnd w:id="681"/>
      <w:bookmarkEnd w:id="682"/>
      <w:bookmarkEnd w:id="683"/>
      <w:bookmarkEnd w:id="684"/>
      <w:bookmarkEnd w:id="685"/>
      <w:bookmarkEnd w:id="686"/>
      <w:bookmarkEnd w:id="687"/>
    </w:p>
    <w:p w14:paraId="1380F298">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7D0A7168">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6E2661BD">
      <w:pPr>
        <w:pStyle w:val="4"/>
        <w:spacing w:before="165"/>
        <w:ind w:firstLine="482"/>
        <w:rPr>
          <w:rFonts w:ascii="Times New Roman" w:hAnsi="Times New Roman" w:cs="Times New Roman"/>
        </w:rPr>
      </w:pPr>
      <w:bookmarkStart w:id="688" w:name="_Toc489145745"/>
      <w:bookmarkStart w:id="689" w:name="_Toc489197849"/>
      <w:bookmarkStart w:id="690" w:name="_Toc28088"/>
      <w:bookmarkStart w:id="691" w:name="_Toc10739"/>
      <w:bookmarkStart w:id="692" w:name="_Toc12260"/>
      <w:bookmarkStart w:id="693" w:name="_Toc37716392"/>
      <w:bookmarkStart w:id="694" w:name="_Toc38338312"/>
      <w:bookmarkStart w:id="695" w:name="_Toc16900"/>
      <w:r>
        <w:rPr>
          <w:rFonts w:hint="eastAsia" w:ascii="Times New Roman" w:hAnsi="Times New Roman" w:cs="Times New Roman"/>
        </w:rPr>
        <w:t>37</w:t>
      </w:r>
      <w:r>
        <w:rPr>
          <w:rFonts w:ascii="Times New Roman" w:hAnsi="Times New Roman" w:cs="Times New Roman"/>
        </w:rPr>
        <w:t>.</w:t>
      </w:r>
      <w:bookmarkEnd w:id="688"/>
      <w:bookmarkEnd w:id="689"/>
      <w:bookmarkStart w:id="696" w:name="_Toc489145746"/>
      <w:bookmarkStart w:id="697" w:name="_Toc489197850"/>
      <w:r>
        <w:rPr>
          <w:rFonts w:ascii="Times New Roman" w:hAnsi="Times New Roman" w:cs="Times New Roman"/>
        </w:rPr>
        <w:t>需要补充的其他内容</w:t>
      </w:r>
      <w:bookmarkEnd w:id="690"/>
      <w:bookmarkEnd w:id="691"/>
      <w:bookmarkEnd w:id="692"/>
      <w:bookmarkEnd w:id="693"/>
      <w:bookmarkEnd w:id="694"/>
      <w:bookmarkEnd w:id="695"/>
      <w:bookmarkEnd w:id="696"/>
      <w:bookmarkEnd w:id="697"/>
    </w:p>
    <w:p w14:paraId="66C3A376">
      <w:pPr>
        <w:ind w:firstLine="840" w:firstLineChars="400"/>
        <w:rPr>
          <w:rFonts w:hint="eastAsia" w:ascii="宋体" w:hAnsi="宋体" w:cs="宋体"/>
        </w:rPr>
      </w:pPr>
      <w:r>
        <w:rPr>
          <w:rFonts w:hint="eastAsia" w:ascii="宋体" w:hAnsi="宋体" w:cs="宋体"/>
        </w:rPr>
        <w:t>其他需要补充的其他内容：详见《投标人须知前附表》。</w:t>
      </w:r>
    </w:p>
    <w:p w14:paraId="5FC7F7A7">
      <w:pPr>
        <w:ind w:firstLine="420"/>
        <w:rPr>
          <w:rFonts w:ascii="Times New Roman" w:hAnsi="Times New Roman" w:cs="Times New Roman"/>
        </w:rPr>
      </w:pPr>
      <w:bookmarkStart w:id="698" w:name="_Toc38338313"/>
      <w:r>
        <w:rPr>
          <w:rFonts w:ascii="Times New Roman" w:hAnsi="Times New Roman" w:cs="Times New Roman"/>
        </w:rPr>
        <w:br w:type="page"/>
      </w:r>
    </w:p>
    <w:p w14:paraId="07502DC2">
      <w:pPr>
        <w:pStyle w:val="2"/>
        <w:spacing w:before="165"/>
        <w:rPr>
          <w:rFonts w:ascii="Times New Roman" w:hAnsi="Times New Roman" w:cs="Times New Roman"/>
        </w:rPr>
      </w:pPr>
      <w:bookmarkStart w:id="699" w:name="_Toc12720"/>
      <w:r>
        <w:rPr>
          <w:rFonts w:ascii="Times New Roman" w:hAnsi="Times New Roman" w:cs="Times New Roman"/>
        </w:rPr>
        <w:t>第三章</w:t>
      </w:r>
      <w:r>
        <w:rPr>
          <w:rFonts w:hint="eastAsia" w:ascii="Times New Roman" w:hAnsi="Times New Roman" w:cs="Times New Roman"/>
        </w:rPr>
        <w:t xml:space="preserve"> </w:t>
      </w:r>
      <w:r>
        <w:rPr>
          <w:rFonts w:ascii="Times New Roman" w:hAnsi="Times New Roman" w:cs="Times New Roman"/>
        </w:rPr>
        <w:t>合同书样式及主要条款</w:t>
      </w:r>
      <w:bookmarkEnd w:id="698"/>
      <w:bookmarkEnd w:id="699"/>
    </w:p>
    <w:p w14:paraId="2AB58ED7">
      <w:pPr>
        <w:pStyle w:val="3"/>
        <w:spacing w:before="165"/>
        <w:jc w:val="center"/>
        <w:rPr>
          <w:rFonts w:hint="eastAsia" w:ascii="宋体" w:hAnsi="宋体" w:cs="宋体"/>
          <w:color w:val="000000" w:themeColor="text1"/>
          <w:szCs w:val="28"/>
          <w14:textFill>
            <w14:solidFill>
              <w14:schemeClr w14:val="tx1"/>
            </w14:solidFill>
          </w14:textFill>
        </w:rPr>
      </w:pPr>
      <w:bookmarkStart w:id="700" w:name="_Toc492340338"/>
      <w:bookmarkStart w:id="701" w:name="_Toc25107"/>
      <w:bookmarkStart w:id="702" w:name="_Toc86124079"/>
      <w:r>
        <w:rPr>
          <w:rFonts w:hint="eastAsia" w:ascii="宋体" w:hAnsi="宋体" w:cs="宋体"/>
          <w:color w:val="000000" w:themeColor="text1"/>
          <w:szCs w:val="28"/>
          <w14:textFill>
            <w14:solidFill>
              <w14:schemeClr w14:val="tx1"/>
            </w14:solidFill>
          </w14:textFill>
        </w:rPr>
        <w:t>合同条款前附表</w:t>
      </w:r>
      <w:bookmarkEnd w:id="700"/>
      <w:bookmarkEnd w:id="701"/>
      <w:bookmarkEnd w:id="702"/>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6482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053D9A55">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79A16532">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内容</w:t>
            </w:r>
          </w:p>
        </w:tc>
        <w:tc>
          <w:tcPr>
            <w:tcW w:w="5548" w:type="dxa"/>
            <w:tcBorders>
              <w:bottom w:val="single" w:color="auto" w:sz="4" w:space="0"/>
            </w:tcBorders>
            <w:vAlign w:val="center"/>
          </w:tcPr>
          <w:p w14:paraId="313FB4E9">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要求</w:t>
            </w:r>
          </w:p>
        </w:tc>
      </w:tr>
      <w:tr w14:paraId="7BE1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6C90EC0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0D3173CB">
            <w:pPr>
              <w:pStyle w:val="20"/>
              <w:jc w:val="center"/>
              <w:rPr>
                <w:rFonts w:hint="eastAsia" w:hAnsi="宋体" w:eastAsia="宋体"/>
                <w:color w:val="000000" w:themeColor="text1"/>
                <w:szCs w:val="21"/>
                <w:lang w:eastAsia="zh-CN"/>
                <w14:textFill>
                  <w14:solidFill>
                    <w14:schemeClr w14:val="tx1"/>
                  </w14:solidFill>
                </w14:textFill>
              </w:rPr>
            </w:pPr>
            <w:r>
              <w:rPr>
                <w:rFonts w:hint="eastAsia" w:hAnsi="宋体"/>
                <w:color w:val="000000" w:themeColor="text1"/>
                <w:szCs w:val="21"/>
                <w:lang w:eastAsia="zh-CN"/>
                <w14:textFill>
                  <w14:solidFill>
                    <w14:schemeClr w14:val="tx1"/>
                  </w14:solidFill>
                </w14:textFill>
              </w:rPr>
              <w:t>合同履行期限（服务期限）</w:t>
            </w:r>
          </w:p>
        </w:tc>
        <w:tc>
          <w:tcPr>
            <w:tcW w:w="5548" w:type="dxa"/>
            <w:tcBorders>
              <w:top w:val="single" w:color="auto" w:sz="4" w:space="0"/>
              <w:left w:val="single" w:color="auto" w:sz="4" w:space="0"/>
              <w:bottom w:val="single" w:color="auto" w:sz="4" w:space="0"/>
            </w:tcBorders>
            <w:vAlign w:val="center"/>
          </w:tcPr>
          <w:p w14:paraId="4FCBD386">
            <w:pPr>
              <w:pStyle w:val="20"/>
              <w:rPr>
                <w:rFonts w:hint="eastAsia" w:hAnsi="宋体" w:eastAsia="宋体"/>
                <w:color w:val="000000" w:themeColor="text1"/>
                <w:szCs w:val="21"/>
                <w:lang w:eastAsia="zh-CN"/>
                <w14:textFill>
                  <w14:solidFill>
                    <w14:schemeClr w14:val="tx1"/>
                  </w14:solidFill>
                </w14:textFill>
              </w:rPr>
            </w:pPr>
            <w:r>
              <w:rPr>
                <w:rFonts w:hint="eastAsia" w:hAnsi="宋体" w:cs="宋体"/>
                <w:b w:val="0"/>
                <w:bCs w:val="0"/>
                <w:szCs w:val="21"/>
                <w:lang w:eastAsia="zh-CN"/>
              </w:rPr>
              <w:t>1年。</w:t>
            </w:r>
          </w:p>
        </w:tc>
      </w:tr>
      <w:tr w14:paraId="4D6AA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2F3509C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0521AB26">
            <w:pPr>
              <w:spacing w:line="400" w:lineRule="exact"/>
              <w:ind w:firstLine="0" w:firstLineChars="0"/>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交付（或实施）地点</w:t>
            </w:r>
          </w:p>
        </w:tc>
        <w:tc>
          <w:tcPr>
            <w:tcW w:w="5548" w:type="dxa"/>
            <w:tcBorders>
              <w:top w:val="single" w:color="auto" w:sz="4" w:space="0"/>
            </w:tcBorders>
            <w:vAlign w:val="center"/>
          </w:tcPr>
          <w:p w14:paraId="05DD7B91">
            <w:pPr>
              <w:spacing w:line="400" w:lineRule="exact"/>
              <w:ind w:firstLine="0" w:firstLineChars="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s="宋体"/>
                <w:b w:val="0"/>
                <w:bCs w:val="0"/>
                <w:szCs w:val="21"/>
                <w:lang w:eastAsia="zh-CN"/>
              </w:rPr>
              <w:t>甲方指定地点。</w:t>
            </w:r>
          </w:p>
        </w:tc>
      </w:tr>
      <w:tr w14:paraId="214C1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4561095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4AF95EE8">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13A79F23">
            <w:pPr>
              <w:spacing w:line="460" w:lineRule="atLeast"/>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签订后，甲方收到乙方开具的等额有效发票后，甲方于10日内向乙方支付合同总价50%的首付款，乙方于7日内按照合同总价的50%，由合同中明确的乙方收款银行出具银行保函正本原件，保函有效期为12个月，甲方在收到乙方提供的有效银行保函（合同总价的50%）和乙方开具的等额有效发票后，甲方于10日内向乙方支付合同总价50%的尾款。如12个月保函到期，项目未履行完毕，乙方需要更换新的银行保函，待项目总体验收合格后且乙方无违约行为，甲方于10日内向乙方退还银行保函正本原件。如合同期限届满乙方都未能提供保函，剩余合同尾款的支付前提应以对乙方履行合同内容验收合格且无违约情形为前提（未尽事宜以合同签订时商定为准）。</w:t>
            </w:r>
          </w:p>
        </w:tc>
      </w:tr>
    </w:tbl>
    <w:p w14:paraId="2D327FDC">
      <w:pPr>
        <w:ind w:firstLine="422"/>
        <w:rPr>
          <w:rFonts w:hint="eastAsia" w:ascii="宋体" w:hAnsi="宋体" w:cs="宋体"/>
          <w:b/>
          <w:bCs/>
          <w:color w:val="000000" w:themeColor="text1"/>
          <w14:textFill>
            <w14:solidFill>
              <w14:schemeClr w14:val="tx1"/>
            </w14:solidFill>
          </w14:textFill>
        </w:rPr>
      </w:pPr>
    </w:p>
    <w:p w14:paraId="01E0B939">
      <w:pPr>
        <w:ind w:firstLine="1687"/>
        <w:rPr>
          <w:rFonts w:hint="eastAsia"/>
          <w:color w:val="000000" w:themeColor="text1"/>
          <w:sz w:val="84"/>
          <w:szCs w:val="84"/>
          <w14:textFill>
            <w14:solidFill>
              <w14:schemeClr w14:val="tx1"/>
            </w14:solidFill>
          </w14:textFill>
        </w:rPr>
      </w:pPr>
      <w:r>
        <w:rPr>
          <w:rFonts w:ascii="宋体" w:hAnsi="宋体" w:cs="宋体"/>
          <w:b/>
          <w:color w:val="000000" w:themeColor="text1"/>
          <w:sz w:val="84"/>
          <w:szCs w:val="84"/>
          <w14:textFill>
            <w14:solidFill>
              <w14:schemeClr w14:val="tx1"/>
            </w14:solidFill>
          </w14:textFill>
        </w:rPr>
        <w:br w:type="page"/>
      </w:r>
    </w:p>
    <w:p w14:paraId="66BF94A7">
      <w:pPr>
        <w:spacing w:before="162" w:line="221" w:lineRule="auto"/>
        <w:ind w:firstLine="1040"/>
        <w:jc w:val="center"/>
        <w:rPr>
          <w:rFonts w:hint="eastAsia" w:ascii="黑体" w:hAnsi="黑体" w:eastAsia="黑体" w:cs="黑体"/>
          <w:spacing w:val="10"/>
          <w:sz w:val="50"/>
          <w:szCs w:val="50"/>
        </w:rPr>
      </w:pPr>
    </w:p>
    <w:p w14:paraId="0E4EFCA5">
      <w:pPr>
        <w:spacing w:before="162" w:line="221" w:lineRule="auto"/>
        <w:ind w:firstLine="1040"/>
        <w:jc w:val="center"/>
        <w:rPr>
          <w:rFonts w:hint="eastAsia" w:ascii="黑体" w:hAnsi="黑体" w:eastAsia="黑体" w:cs="黑体"/>
          <w:spacing w:val="10"/>
          <w:sz w:val="50"/>
          <w:szCs w:val="50"/>
        </w:rPr>
      </w:pPr>
    </w:p>
    <w:p w14:paraId="1D576BA3">
      <w:pPr>
        <w:spacing w:line="221" w:lineRule="auto"/>
        <w:ind w:firstLine="1040"/>
        <w:jc w:val="center"/>
        <w:rPr>
          <w:rFonts w:hint="eastAsia" w:ascii="黑体" w:hAnsi="黑体" w:eastAsia="黑体" w:cs="黑体"/>
          <w:spacing w:val="10"/>
          <w:sz w:val="50"/>
          <w:szCs w:val="50"/>
        </w:rPr>
      </w:pPr>
    </w:p>
    <w:p w14:paraId="05C7F559">
      <w:pPr>
        <w:spacing w:line="221" w:lineRule="auto"/>
        <w:ind w:firstLine="1040"/>
        <w:jc w:val="center"/>
        <w:rPr>
          <w:rFonts w:hint="eastAsia" w:ascii="黑体" w:hAnsi="黑体" w:eastAsia="黑体" w:cs="黑体"/>
          <w:spacing w:val="10"/>
          <w:sz w:val="50"/>
          <w:szCs w:val="50"/>
        </w:rPr>
      </w:pPr>
    </w:p>
    <w:p w14:paraId="057DDF28">
      <w:pPr>
        <w:spacing w:line="221" w:lineRule="auto"/>
        <w:ind w:firstLine="1040"/>
        <w:jc w:val="center"/>
        <w:rPr>
          <w:rFonts w:hint="eastAsia" w:ascii="黑体" w:hAnsi="黑体" w:eastAsia="黑体" w:cs="黑体"/>
          <w:sz w:val="50"/>
          <w:szCs w:val="50"/>
        </w:rPr>
      </w:pPr>
      <w:r>
        <w:rPr>
          <w:rFonts w:ascii="黑体" w:hAnsi="黑体" w:eastAsia="黑体" w:cs="黑体"/>
          <w:spacing w:val="10"/>
          <w:sz w:val="50"/>
          <w:szCs w:val="50"/>
        </w:rPr>
        <w:t>政府采购合同</w:t>
      </w:r>
    </w:p>
    <w:p w14:paraId="3BF71C3F">
      <w:pPr>
        <w:pStyle w:val="14"/>
        <w:ind w:firstLine="420"/>
        <w:jc w:val="center"/>
        <w:rPr>
          <w:rFonts w:hint="eastAsia"/>
        </w:rPr>
      </w:pPr>
    </w:p>
    <w:p w14:paraId="7A3A2AD8">
      <w:pPr>
        <w:pStyle w:val="14"/>
        <w:ind w:firstLine="420"/>
        <w:jc w:val="center"/>
        <w:rPr>
          <w:rFonts w:hint="eastAsia"/>
        </w:rPr>
      </w:pPr>
    </w:p>
    <w:p w14:paraId="2B709FC4">
      <w:pPr>
        <w:pStyle w:val="14"/>
        <w:ind w:firstLine="420"/>
        <w:jc w:val="center"/>
        <w:rPr>
          <w:rFonts w:hint="eastAsia"/>
        </w:rPr>
      </w:pPr>
    </w:p>
    <w:p w14:paraId="1017008A">
      <w:pPr>
        <w:pStyle w:val="14"/>
        <w:ind w:firstLine="420"/>
        <w:jc w:val="center"/>
        <w:rPr>
          <w:rFonts w:hint="eastAsia"/>
        </w:rPr>
      </w:pPr>
    </w:p>
    <w:p w14:paraId="24D1F5B5">
      <w:pPr>
        <w:pStyle w:val="14"/>
        <w:ind w:firstLine="420"/>
        <w:jc w:val="center"/>
        <w:rPr>
          <w:rFonts w:hint="eastAsia"/>
        </w:rP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3977F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747B2C5">
            <w:pPr>
              <w:widowControl/>
              <w:snapToGrid w:val="0"/>
              <w:ind w:firstLine="0" w:firstLineChars="0"/>
              <w:rPr>
                <w:rFonts w:hint="eastAsia" w:ascii="宋体" w:hAnsi="宋体" w:cs="宋体"/>
                <w:sz w:val="24"/>
              </w:rPr>
            </w:pPr>
            <w:r>
              <w:rPr>
                <w:rFonts w:hint="eastAsia" w:ascii="宋体" w:hAnsi="宋体" w:cs="宋体"/>
                <w:sz w:val="24"/>
              </w:rPr>
              <w:t>项目名称：</w:t>
            </w:r>
          </w:p>
        </w:tc>
        <w:tc>
          <w:tcPr>
            <w:tcW w:w="4428" w:type="dxa"/>
            <w:tcBorders>
              <w:top w:val="nil"/>
              <w:left w:val="nil"/>
              <w:bottom w:val="nil"/>
              <w:right w:val="nil"/>
            </w:tcBorders>
          </w:tcPr>
          <w:p w14:paraId="3559B336">
            <w:pPr>
              <w:widowControl/>
              <w:snapToGrid w:val="0"/>
              <w:ind w:firstLine="562"/>
              <w:jc w:val="center"/>
              <w:rPr>
                <w:rFonts w:hint="eastAsia" w:ascii="宋体" w:hAnsi="宋体" w:cs="宋体"/>
                <w:b/>
                <w:bCs/>
                <w:sz w:val="28"/>
                <w:szCs w:val="28"/>
              </w:rPr>
            </w:pPr>
          </w:p>
        </w:tc>
      </w:tr>
      <w:tr w14:paraId="7424F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6B5589A1">
            <w:pPr>
              <w:widowControl/>
              <w:snapToGrid w:val="0"/>
              <w:ind w:firstLine="0" w:firstLineChars="0"/>
              <w:rPr>
                <w:rFonts w:hint="eastAsia" w:ascii="宋体" w:hAnsi="宋体" w:cs="宋体"/>
                <w:sz w:val="24"/>
              </w:rPr>
            </w:pPr>
            <w:r>
              <w:rPr>
                <w:rFonts w:ascii="宋体" w:hAnsi="宋体" w:cs="宋体"/>
                <w:spacing w:val="-2"/>
                <w:sz w:val="24"/>
              </w:rPr>
              <w:t>合</w:t>
            </w:r>
            <w:r>
              <w:rPr>
                <w:rFonts w:ascii="宋体" w:hAnsi="宋体" w:cs="宋体"/>
                <w:spacing w:val="-1"/>
                <w:sz w:val="24"/>
              </w:rPr>
              <w:t>同编号：</w:t>
            </w:r>
          </w:p>
        </w:tc>
        <w:tc>
          <w:tcPr>
            <w:tcW w:w="4428" w:type="dxa"/>
            <w:tcBorders>
              <w:top w:val="nil"/>
              <w:left w:val="nil"/>
              <w:bottom w:val="nil"/>
              <w:right w:val="nil"/>
            </w:tcBorders>
          </w:tcPr>
          <w:p w14:paraId="1D0BC584">
            <w:pPr>
              <w:widowControl/>
              <w:snapToGrid w:val="0"/>
              <w:ind w:firstLine="376"/>
              <w:jc w:val="center"/>
              <w:rPr>
                <w:rFonts w:hint="eastAsia" w:ascii="宋体" w:hAnsi="宋体" w:cs="宋体"/>
                <w:b/>
                <w:bCs/>
                <w:sz w:val="28"/>
                <w:szCs w:val="28"/>
              </w:rPr>
            </w:pPr>
            <w:r>
              <w:rPr>
                <w:rFonts w:ascii="宋体" w:hAnsi="宋体" w:cs="宋体"/>
                <w:spacing w:val="-1"/>
                <w:sz w:val="19"/>
                <w:szCs w:val="19"/>
              </w:rPr>
              <w:t>（系统编号）</w:t>
            </w:r>
          </w:p>
        </w:tc>
      </w:tr>
      <w:tr w14:paraId="66C11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5B19C236">
            <w:pPr>
              <w:widowControl/>
              <w:snapToGrid w:val="0"/>
              <w:ind w:firstLine="480"/>
              <w:jc w:val="center"/>
              <w:rPr>
                <w:rFonts w:hint="eastAsia" w:ascii="宋体" w:hAnsi="宋体" w:cs="宋体"/>
                <w:sz w:val="24"/>
              </w:rPr>
            </w:pPr>
          </w:p>
        </w:tc>
        <w:tc>
          <w:tcPr>
            <w:tcW w:w="4428" w:type="dxa"/>
            <w:tcBorders>
              <w:top w:val="nil"/>
              <w:left w:val="nil"/>
              <w:bottom w:val="nil"/>
              <w:right w:val="nil"/>
            </w:tcBorders>
          </w:tcPr>
          <w:p w14:paraId="3DED9641">
            <w:pPr>
              <w:widowControl/>
              <w:snapToGrid w:val="0"/>
              <w:ind w:firstLine="376"/>
              <w:jc w:val="center"/>
              <w:rPr>
                <w:rFonts w:hint="eastAsia" w:ascii="宋体" w:hAnsi="宋体" w:cs="宋体"/>
                <w:spacing w:val="-1"/>
                <w:sz w:val="19"/>
                <w:szCs w:val="19"/>
              </w:rPr>
            </w:pPr>
            <w:r>
              <w:rPr>
                <w:rFonts w:hint="eastAsia" w:ascii="宋体" w:hAnsi="宋体" w:cs="宋体"/>
                <w:spacing w:val="-1"/>
                <w:sz w:val="19"/>
                <w:szCs w:val="19"/>
              </w:rPr>
              <w:t>（自编号，如有）</w:t>
            </w:r>
          </w:p>
        </w:tc>
      </w:tr>
      <w:tr w14:paraId="57B8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C257F9C">
            <w:pPr>
              <w:widowControl/>
              <w:snapToGrid w:val="0"/>
              <w:ind w:firstLine="0" w:firstLineChars="0"/>
              <w:rPr>
                <w:rFonts w:hint="eastAsia" w:ascii="宋体" w:hAnsi="宋体" w:cs="宋体"/>
                <w:sz w:val="24"/>
              </w:rPr>
            </w:pPr>
            <w:r>
              <w:rPr>
                <w:rFonts w:hint="eastAsia" w:ascii="宋体" w:hAnsi="宋体" w:cs="宋体"/>
                <w:sz w:val="24"/>
              </w:rPr>
              <w:t>甲方：</w:t>
            </w:r>
          </w:p>
        </w:tc>
        <w:tc>
          <w:tcPr>
            <w:tcW w:w="4428" w:type="dxa"/>
            <w:tcBorders>
              <w:top w:val="nil"/>
              <w:left w:val="nil"/>
              <w:bottom w:val="nil"/>
              <w:right w:val="nil"/>
            </w:tcBorders>
          </w:tcPr>
          <w:p w14:paraId="5586C3F8">
            <w:pPr>
              <w:widowControl/>
              <w:snapToGrid w:val="0"/>
              <w:ind w:firstLine="376"/>
              <w:jc w:val="center"/>
              <w:rPr>
                <w:rFonts w:hint="eastAsia" w:ascii="宋体" w:hAnsi="宋体" w:cs="宋体"/>
                <w:spacing w:val="-1"/>
                <w:sz w:val="19"/>
                <w:szCs w:val="19"/>
              </w:rPr>
            </w:pPr>
          </w:p>
        </w:tc>
      </w:tr>
      <w:tr w14:paraId="0911A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E0976B8">
            <w:pPr>
              <w:widowControl/>
              <w:snapToGrid w:val="0"/>
              <w:ind w:firstLine="0" w:firstLineChars="0"/>
              <w:rPr>
                <w:rFonts w:hint="eastAsia" w:ascii="宋体" w:hAnsi="宋体" w:cs="宋体"/>
                <w:sz w:val="24"/>
              </w:rPr>
            </w:pPr>
            <w:r>
              <w:rPr>
                <w:rFonts w:hint="eastAsia" w:ascii="宋体" w:hAnsi="宋体" w:cs="宋体"/>
                <w:sz w:val="24"/>
              </w:rPr>
              <w:t>乙方：</w:t>
            </w:r>
          </w:p>
        </w:tc>
        <w:tc>
          <w:tcPr>
            <w:tcW w:w="4428" w:type="dxa"/>
            <w:tcBorders>
              <w:top w:val="nil"/>
              <w:left w:val="nil"/>
              <w:bottom w:val="nil"/>
              <w:right w:val="nil"/>
            </w:tcBorders>
          </w:tcPr>
          <w:p w14:paraId="5B7817CA">
            <w:pPr>
              <w:widowControl/>
              <w:snapToGrid w:val="0"/>
              <w:ind w:firstLine="376"/>
              <w:jc w:val="center"/>
              <w:rPr>
                <w:rFonts w:hint="eastAsia" w:ascii="宋体" w:hAnsi="宋体" w:cs="宋体"/>
                <w:spacing w:val="-1"/>
                <w:sz w:val="19"/>
                <w:szCs w:val="19"/>
              </w:rPr>
            </w:pPr>
          </w:p>
        </w:tc>
      </w:tr>
    </w:tbl>
    <w:p w14:paraId="67028DE5">
      <w:pPr>
        <w:widowControl/>
        <w:spacing w:line="240" w:lineRule="auto"/>
        <w:ind w:firstLine="482"/>
        <w:jc w:val="center"/>
        <w:rPr>
          <w:rFonts w:hint="eastAsia"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71F259A9">
        <w:tblPrEx>
          <w:tblCellMar>
            <w:top w:w="0" w:type="dxa"/>
            <w:left w:w="0" w:type="dxa"/>
            <w:bottom w:w="0" w:type="dxa"/>
            <w:right w:w="0" w:type="dxa"/>
          </w:tblCellMar>
        </w:tblPrEx>
        <w:trPr>
          <w:tblCellSpacing w:w="0" w:type="dxa"/>
          <w:jc w:val="center"/>
        </w:trPr>
        <w:tc>
          <w:tcPr>
            <w:tcW w:w="9263" w:type="dxa"/>
            <w:vAlign w:val="center"/>
          </w:tcPr>
          <w:tbl>
            <w:tblPr>
              <w:tblStyle w:val="32"/>
              <w:tblW w:w="864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469"/>
              <w:gridCol w:w="7171"/>
            </w:tblGrid>
            <w:tr w14:paraId="4CFF1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748CDDAA">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甲方（采购人公章）名 称：</w:t>
                  </w:r>
                </w:p>
              </w:tc>
            </w:tr>
            <w:tr w14:paraId="798C9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684E1461">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34A9C406">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地 址：</w:t>
                  </w:r>
                </w:p>
              </w:tc>
            </w:tr>
            <w:tr w14:paraId="4AAB1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720C2F23">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301532D4">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邮 编：</w:t>
                  </w:r>
                </w:p>
              </w:tc>
            </w:tr>
            <w:tr w14:paraId="68BF6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60A08AF2">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65BA1449">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法定代表人或委托代理人：</w:t>
                  </w:r>
                </w:p>
              </w:tc>
            </w:tr>
            <w:tr w14:paraId="406B0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29239FF5">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272F6BB3">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项目（技术）负责人：</w:t>
                  </w:r>
                </w:p>
              </w:tc>
            </w:tr>
            <w:tr w14:paraId="2AF22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1831F115">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02DEC9E5">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电 话：</w:t>
                  </w:r>
                </w:p>
              </w:tc>
            </w:tr>
            <w:tr w14:paraId="212BD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4A4E35F1">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5A88C8A0">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签订日期：</w:t>
                  </w:r>
                </w:p>
              </w:tc>
            </w:tr>
            <w:tr w14:paraId="3DCC6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0B45B12E">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乙方（</w:t>
                  </w:r>
                  <w:r>
                    <w:rPr>
                      <w:rFonts w:hint="eastAsia" w:ascii="宋体" w:hAnsi="宋体" w:cs="宋体"/>
                      <w:caps w:val="0"/>
                      <w:spacing w:val="0"/>
                      <w:kern w:val="0"/>
                      <w:sz w:val="21"/>
                      <w:szCs w:val="21"/>
                      <w:lang w:val="en-US" w:eastAsia="zh-CN" w:bidi="ar"/>
                    </w:rPr>
                    <w:t>投标人</w:t>
                  </w:r>
                  <w:r>
                    <w:rPr>
                      <w:rFonts w:hint="eastAsia" w:ascii="宋体" w:hAnsi="宋体" w:eastAsia="宋体" w:cs="宋体"/>
                      <w:caps w:val="0"/>
                      <w:spacing w:val="0"/>
                      <w:kern w:val="0"/>
                      <w:sz w:val="21"/>
                      <w:szCs w:val="21"/>
                      <w:lang w:val="en-US" w:eastAsia="zh-CN" w:bidi="ar"/>
                    </w:rPr>
                    <w:t>公章）名 称：</w:t>
                  </w:r>
                </w:p>
              </w:tc>
            </w:tr>
            <w:tr w14:paraId="36443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0CDB4097">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09B53BA3">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地 址：</w:t>
                  </w:r>
                </w:p>
              </w:tc>
            </w:tr>
            <w:tr w14:paraId="48B8C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45077696">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413884A6">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邮 编：</w:t>
                  </w:r>
                </w:p>
              </w:tc>
            </w:tr>
            <w:tr w14:paraId="46482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448BCC57">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6B2E3501">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法定代表人或委托代理人：</w:t>
                  </w:r>
                </w:p>
              </w:tc>
            </w:tr>
            <w:tr w14:paraId="093B5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1E6A2D06">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04EE4D58">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经办人：</w:t>
                  </w:r>
                </w:p>
              </w:tc>
            </w:tr>
            <w:tr w14:paraId="125CE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2D9AF79C">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14132105">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电 话：</w:t>
                  </w:r>
                </w:p>
              </w:tc>
            </w:tr>
            <w:tr w14:paraId="466AA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2E49941E">
                  <w:pPr>
                    <w:pageBreakBefore w:val="0"/>
                    <w:kinsoku/>
                    <w:wordWrap w:val="0"/>
                    <w:overflowPunct/>
                    <w:topLinePunct w:val="0"/>
                    <w:bidi w:val="0"/>
                    <w:spacing w:line="240" w:lineRule="auto"/>
                    <w:rPr>
                      <w:rFonts w:hint="eastAsia" w:ascii="宋体" w:hAnsi="宋体" w:eastAsia="宋体" w:cs="宋体"/>
                      <w:caps w:val="0"/>
                      <w:spacing w:val="0"/>
                      <w:sz w:val="21"/>
                      <w:szCs w:val="21"/>
                    </w:rPr>
                  </w:pPr>
                </w:p>
              </w:tc>
              <w:tc>
                <w:tcPr>
                  <w:tcW w:w="7171" w:type="dxa"/>
                  <w:shd w:val="clear" w:color="auto" w:fill="auto"/>
                  <w:vAlign w:val="center"/>
                </w:tcPr>
                <w:p w14:paraId="5349360C">
                  <w:pPr>
                    <w:keepNext w:val="0"/>
                    <w:keepLines w:val="0"/>
                    <w:pageBreakBefore w:val="0"/>
                    <w:widowControl/>
                    <w:suppressLineNumbers w:val="0"/>
                    <w:kinsoku/>
                    <w:wordWrap w:val="0"/>
                    <w:overflowPunct/>
                    <w:topLinePunct w:val="0"/>
                    <w:bidi w:val="0"/>
                    <w:spacing w:after="240" w:afterAutospacing="0" w:line="240" w:lineRule="auto"/>
                    <w:ind w:left="0" w:firstLine="0"/>
                    <w:jc w:val="left"/>
                    <w:rPr>
                      <w:rFonts w:hint="eastAsia" w:ascii="宋体" w:hAnsi="宋体" w:eastAsia="宋体" w:cs="宋体"/>
                      <w:caps w:val="0"/>
                      <w:spacing w:val="0"/>
                      <w:sz w:val="21"/>
                      <w:szCs w:val="21"/>
                    </w:rPr>
                  </w:pPr>
                  <w:r>
                    <w:rPr>
                      <w:rFonts w:hint="eastAsia" w:ascii="宋体" w:hAnsi="宋体" w:eastAsia="宋体" w:cs="宋体"/>
                      <w:caps w:val="0"/>
                      <w:spacing w:val="0"/>
                      <w:kern w:val="0"/>
                      <w:sz w:val="21"/>
                      <w:szCs w:val="21"/>
                      <w:lang w:val="en-US" w:eastAsia="zh-CN" w:bidi="ar"/>
                    </w:rPr>
                    <w:t>签订日期：</w:t>
                  </w:r>
                </w:p>
              </w:tc>
            </w:tr>
          </w:tbl>
          <w:p w14:paraId="32F6ECB0">
            <w:pPr>
              <w:pageBreakBefore w:val="0"/>
              <w:kinsoku/>
              <w:wordWrap w:val="0"/>
              <w:overflowPunct/>
              <w:topLinePunct w:val="0"/>
              <w:bidi w:val="0"/>
              <w:spacing w:line="240" w:lineRule="auto"/>
              <w:rPr>
                <w:rFonts w:hint="eastAsia" w:ascii="宋体" w:hAnsi="宋体" w:eastAsia="宋体" w:cs="宋体"/>
                <w:vanish/>
                <w:sz w:val="21"/>
                <w:szCs w:val="21"/>
              </w:rPr>
            </w:pPr>
          </w:p>
          <w:tbl>
            <w:tblPr>
              <w:tblStyle w:val="32"/>
              <w:tblW w:w="864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469"/>
              <w:gridCol w:w="7171"/>
            </w:tblGrid>
            <w:tr w14:paraId="020A9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6E9E3112">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丙方（鉴证方公章）名 称：</w:t>
                  </w:r>
                </w:p>
              </w:tc>
            </w:tr>
            <w:tr w14:paraId="0FA47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43A84EEF">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4DF729AF">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地 址：</w:t>
                  </w:r>
                </w:p>
              </w:tc>
            </w:tr>
            <w:tr w14:paraId="769B2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76871EEA">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054099C9">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邮 编：</w:t>
                  </w:r>
                </w:p>
              </w:tc>
            </w:tr>
            <w:tr w14:paraId="7FFCD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1A71D8AA">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50AA3973">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法定代表人或委托代理人：</w:t>
                  </w:r>
                </w:p>
              </w:tc>
            </w:tr>
            <w:tr w14:paraId="72E87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469" w:type="dxa"/>
                  <w:shd w:val="clear" w:color="auto" w:fill="auto"/>
                  <w:vAlign w:val="center"/>
                </w:tcPr>
                <w:p w14:paraId="79187548">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2A503E49">
                  <w:pPr>
                    <w:keepNext w:val="0"/>
                    <w:keepLines w:val="0"/>
                    <w:pageBreakBefore w:val="0"/>
                    <w:widowControl/>
                    <w:suppressLineNumbers w:val="0"/>
                    <w:kinsoku/>
                    <w:wordWrap w:val="0"/>
                    <w:overflowPunct/>
                    <w:topLinePunct w:val="0"/>
                    <w:bidi w:val="0"/>
                    <w:spacing w:after="240" w:afterAutospacing="0"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经办人：</w:t>
                  </w:r>
                </w:p>
              </w:tc>
            </w:tr>
            <w:tr w14:paraId="51FAA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469" w:type="dxa"/>
                  <w:shd w:val="clear" w:color="auto" w:fill="auto"/>
                  <w:vAlign w:val="center"/>
                </w:tcPr>
                <w:p w14:paraId="09D96FEF">
                  <w:pPr>
                    <w:pageBreakBefore w:val="0"/>
                    <w:kinsoku/>
                    <w:wordWrap w:val="0"/>
                    <w:overflowPunct/>
                    <w:topLinePunct w:val="0"/>
                    <w:bidi w:val="0"/>
                    <w:spacing w:line="240" w:lineRule="auto"/>
                    <w:rPr>
                      <w:rFonts w:hint="eastAsia" w:ascii="宋体" w:hAnsi="宋体" w:eastAsia="宋体" w:cs="宋体"/>
                      <w:sz w:val="21"/>
                      <w:szCs w:val="21"/>
                    </w:rPr>
                  </w:pPr>
                </w:p>
              </w:tc>
              <w:tc>
                <w:tcPr>
                  <w:tcW w:w="7171" w:type="dxa"/>
                  <w:shd w:val="clear" w:color="auto" w:fill="auto"/>
                  <w:vAlign w:val="center"/>
                </w:tcPr>
                <w:p w14:paraId="1E1E1987">
                  <w:pPr>
                    <w:keepNext w:val="0"/>
                    <w:keepLines w:val="0"/>
                    <w:pageBreakBefore w:val="0"/>
                    <w:widowControl/>
                    <w:suppressLineNumbers w:val="0"/>
                    <w:kinsoku/>
                    <w:wordWrap w:val="0"/>
                    <w:overflowPunct/>
                    <w:topLinePunct w:val="0"/>
                    <w:bidi w:val="0"/>
                    <w:spacing w:line="240" w:lineRule="auto"/>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 话：</w:t>
                  </w:r>
                </w:p>
              </w:tc>
            </w:tr>
          </w:tbl>
          <w:p w14:paraId="5F1199B9">
            <w:pPr>
              <w:spacing w:line="240" w:lineRule="auto"/>
              <w:ind w:firstLine="420"/>
              <w:jc w:val="left"/>
              <w:rPr>
                <w:rFonts w:hint="eastAsia" w:hAnsi="宋体" w:cs="宋体"/>
              </w:rPr>
            </w:pPr>
          </w:p>
        </w:tc>
      </w:tr>
    </w:tbl>
    <w:p w14:paraId="581B176F">
      <w:pPr>
        <w:ind w:firstLine="0" w:firstLineChars="0"/>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4E7A5B05">
      <w:pPr>
        <w:widowControl/>
        <w:snapToGrid w:val="0"/>
        <w:spacing w:after="0" w:line="360" w:lineRule="auto"/>
        <w:ind w:firstLine="0" w:firstLineChars="0"/>
        <w:jc w:val="center"/>
        <w:rPr>
          <w:rFonts w:eastAsia="仿宋"/>
        </w:rPr>
      </w:pPr>
      <w:bookmarkStart w:id="703" w:name="_Toc26367"/>
      <w:bookmarkStart w:id="704" w:name="_Toc20658"/>
      <w:r>
        <w:rPr>
          <w:rFonts w:hint="eastAsia" w:ascii="仿宋" w:hAnsi="仿宋" w:eastAsia="仿宋"/>
          <w:b/>
          <w:sz w:val="44"/>
          <w:szCs w:val="44"/>
        </w:rPr>
        <w:t>合同书样式</w:t>
      </w:r>
    </w:p>
    <w:p w14:paraId="3A648D80">
      <w:pPr>
        <w:widowControl/>
        <w:spacing w:line="360" w:lineRule="auto"/>
        <w:ind w:firstLine="0" w:firstLineChars="0"/>
        <w:jc w:val="center"/>
        <w:rPr>
          <w:rFonts w:ascii="宋体" w:hAnsi="宋体"/>
          <w:szCs w:val="21"/>
        </w:rPr>
      </w:pPr>
      <w:r>
        <w:rPr>
          <w:rFonts w:hint="eastAsia" w:ascii="宋体" w:hAnsi="宋体" w:cs="宋体"/>
          <w:color w:val="000000"/>
          <w:sz w:val="24"/>
          <w:szCs w:val="24"/>
          <w:lang w:bidi="ar"/>
        </w:rPr>
        <w:t>(以下合同内容仅供参考，具体合同内容以签订合同时甲乙双方商定为准)</w:t>
      </w:r>
    </w:p>
    <w:p w14:paraId="14006EEB">
      <w:pPr>
        <w:spacing w:line="360" w:lineRule="auto"/>
        <w:ind w:firstLine="0" w:firstLineChars="0"/>
        <w:rPr>
          <w:szCs w:val="21"/>
        </w:rPr>
      </w:pPr>
      <w:r>
        <w:rPr>
          <w:rFonts w:hint="eastAsia" w:ascii="宋体" w:hAnsi="宋体"/>
          <w:szCs w:val="21"/>
        </w:rPr>
        <w:t>采购人</w:t>
      </w:r>
      <w:r>
        <w:rPr>
          <w:rFonts w:hint="eastAsia"/>
          <w:szCs w:val="21"/>
        </w:rPr>
        <w:t>：</w:t>
      </w:r>
      <w:r>
        <w:rPr>
          <w:rFonts w:hint="eastAsia"/>
          <w:szCs w:val="21"/>
          <w:u w:val="single"/>
        </w:rPr>
        <w:t xml:space="preserve">                              </w:t>
      </w:r>
      <w:r>
        <w:rPr>
          <w:rFonts w:hint="eastAsia"/>
          <w:szCs w:val="21"/>
        </w:rPr>
        <w:t>（以下简称甲方）</w:t>
      </w:r>
    </w:p>
    <w:p w14:paraId="20510531">
      <w:pPr>
        <w:spacing w:line="360" w:lineRule="auto"/>
        <w:ind w:firstLine="0" w:firstLineChars="0"/>
        <w:rPr>
          <w:rFonts w:hAnsi="宋体"/>
          <w:b/>
          <w:szCs w:val="21"/>
        </w:rPr>
      </w:pPr>
      <w:r>
        <w:rPr>
          <w:rFonts w:hint="eastAsia" w:hAnsi="宋体"/>
          <w:szCs w:val="21"/>
        </w:rPr>
        <w:t>中标人：</w:t>
      </w:r>
      <w:r>
        <w:rPr>
          <w:rFonts w:hint="eastAsia" w:hAnsi="宋体"/>
          <w:szCs w:val="21"/>
          <w:u w:val="single"/>
        </w:rPr>
        <w:t xml:space="preserve">                              </w:t>
      </w:r>
      <w:r>
        <w:rPr>
          <w:rFonts w:hint="eastAsia" w:hAnsi="宋体"/>
          <w:szCs w:val="21"/>
        </w:rPr>
        <w:t>（以下简称乙方）</w:t>
      </w:r>
    </w:p>
    <w:p w14:paraId="0EB5F561">
      <w:pPr>
        <w:spacing w:line="360" w:lineRule="auto"/>
        <w:ind w:firstLine="420" w:firstLineChars="200"/>
        <w:jc w:val="left"/>
        <w:rPr>
          <w:rFonts w:hAnsi="宋体"/>
          <w:bCs/>
          <w:szCs w:val="21"/>
        </w:rPr>
      </w:pPr>
      <w:r>
        <w:rPr>
          <w:rFonts w:hint="eastAsia" w:hAnsi="宋体"/>
          <w:bCs/>
          <w:szCs w:val="21"/>
        </w:rPr>
        <w:t xml:space="preserve">甲乙双方按照“ </w:t>
      </w:r>
      <w:r>
        <w:rPr>
          <w:rFonts w:hint="eastAsia" w:hAnsi="宋体"/>
          <w:bCs/>
          <w:szCs w:val="21"/>
          <w:u w:val="single"/>
        </w:rPr>
        <w:t xml:space="preserve">    （项目名称及项目编号）    </w:t>
      </w:r>
      <w:r>
        <w:rPr>
          <w:rFonts w:hint="eastAsia" w:hAnsi="宋体"/>
          <w:bCs/>
          <w:szCs w:val="21"/>
        </w:rPr>
        <w:t xml:space="preserve"> ”公开招标的采购结果，经双方协定达成一致，签订以下内容：</w:t>
      </w:r>
    </w:p>
    <w:p w14:paraId="1B17001D">
      <w:pPr>
        <w:spacing w:line="360" w:lineRule="auto"/>
        <w:ind w:left="502" w:firstLine="0" w:firstLineChars="0"/>
        <w:jc w:val="left"/>
        <w:rPr>
          <w:rFonts w:hAnsi="宋体"/>
          <w:b/>
          <w:szCs w:val="21"/>
        </w:rPr>
      </w:pPr>
      <w:r>
        <w:rPr>
          <w:rFonts w:hint="eastAsia" w:hAnsi="宋体"/>
          <w:b/>
          <w:szCs w:val="21"/>
        </w:rPr>
        <w:t>一、合同服务内容</w:t>
      </w:r>
    </w:p>
    <w:p w14:paraId="595F56C0">
      <w:pPr>
        <w:spacing w:line="360" w:lineRule="auto"/>
        <w:ind w:firstLine="0" w:firstLineChars="0"/>
        <w:jc w:val="left"/>
        <w:rPr>
          <w:rFonts w:ascii="宋体" w:hAnsi="宋体"/>
          <w:bCs/>
          <w:szCs w:val="21"/>
        </w:rPr>
      </w:pPr>
      <w:r>
        <w:rPr>
          <w:rFonts w:hint="eastAsia" w:ascii="宋体" w:hAnsi="宋体"/>
          <w:bCs/>
          <w:szCs w:val="21"/>
        </w:rPr>
        <w:t>（详见第五章 采购需求，若乙方投标文件中有更优方案的，经甲方确认后以乙方投标文件内容为准）</w:t>
      </w:r>
    </w:p>
    <w:p w14:paraId="7533E514">
      <w:pPr>
        <w:spacing w:line="360" w:lineRule="auto"/>
        <w:ind w:left="502" w:firstLine="0" w:firstLineChars="0"/>
        <w:jc w:val="left"/>
        <w:rPr>
          <w:rFonts w:hAnsi="宋体"/>
          <w:b/>
          <w:szCs w:val="21"/>
        </w:rPr>
      </w:pPr>
      <w:r>
        <w:rPr>
          <w:rFonts w:hint="eastAsia" w:hAnsi="宋体"/>
          <w:b/>
          <w:szCs w:val="21"/>
        </w:rPr>
        <w:t>二、服务要求</w:t>
      </w:r>
    </w:p>
    <w:p w14:paraId="56297C46">
      <w:pPr>
        <w:spacing w:line="360" w:lineRule="auto"/>
        <w:ind w:firstLine="420" w:firstLineChars="200"/>
        <w:jc w:val="left"/>
        <w:rPr>
          <w:rFonts w:ascii="宋体" w:hAnsi="宋体"/>
          <w:bCs/>
          <w:szCs w:val="21"/>
        </w:rPr>
      </w:pPr>
      <w:r>
        <w:rPr>
          <w:rFonts w:hint="eastAsia" w:ascii="宋体" w:hAnsi="宋体"/>
          <w:bCs/>
          <w:szCs w:val="21"/>
        </w:rPr>
        <w:t>1.合同履行期限（服务期限）：</w:t>
      </w:r>
      <w:r>
        <w:rPr>
          <w:rFonts w:hint="eastAsia" w:ascii="宋体" w:hAnsi="宋体" w:cs="宋体"/>
          <w:b w:val="0"/>
          <w:bCs w:val="0"/>
          <w:szCs w:val="21"/>
          <w:lang w:eastAsia="zh-CN"/>
        </w:rPr>
        <w:t>1年</w:t>
      </w:r>
      <w:r>
        <w:rPr>
          <w:rFonts w:hint="eastAsia" w:ascii="宋体" w:hAnsi="宋体" w:cs="宋体"/>
          <w:kern w:val="2"/>
          <w:szCs w:val="21"/>
        </w:rPr>
        <w:t>。</w:t>
      </w:r>
    </w:p>
    <w:p w14:paraId="1B70B177">
      <w:pPr>
        <w:spacing w:line="360" w:lineRule="auto"/>
        <w:ind w:firstLine="420" w:firstLineChars="200"/>
        <w:jc w:val="left"/>
        <w:rPr>
          <w:rFonts w:ascii="宋体" w:hAnsi="宋体"/>
          <w:bCs/>
          <w:szCs w:val="21"/>
        </w:rPr>
      </w:pPr>
      <w:r>
        <w:rPr>
          <w:rFonts w:hint="eastAsia" w:ascii="宋体" w:hAnsi="宋体"/>
          <w:bCs/>
          <w:szCs w:val="21"/>
        </w:rPr>
        <w:t>2.交付（或实施）地点：甲方指定地点。</w:t>
      </w:r>
    </w:p>
    <w:p w14:paraId="46A1CCCF">
      <w:pPr>
        <w:spacing w:line="360" w:lineRule="auto"/>
        <w:ind w:firstLine="420" w:firstLineChars="200"/>
        <w:jc w:val="left"/>
        <w:rPr>
          <w:rFonts w:ascii="宋体" w:hAnsi="宋体"/>
          <w:bCs/>
          <w:szCs w:val="21"/>
        </w:rPr>
      </w:pPr>
      <w:r>
        <w:rPr>
          <w:rFonts w:hint="eastAsia" w:ascii="宋体" w:hAnsi="宋体"/>
          <w:bCs/>
          <w:szCs w:val="21"/>
        </w:rPr>
        <w:t>3.本项目质量要求：如有国家标准则执行国家标准；如无国家标准，则所有委托项目均应以合理满足本合同要求并以甲方事后认可作为达到本合同质量要求的依据。</w:t>
      </w:r>
    </w:p>
    <w:p w14:paraId="7C984728">
      <w:pPr>
        <w:spacing w:line="360" w:lineRule="auto"/>
        <w:ind w:firstLine="420" w:firstLineChars="200"/>
        <w:jc w:val="left"/>
        <w:rPr>
          <w:rFonts w:ascii="宋体" w:hAnsi="宋体"/>
          <w:bCs/>
          <w:szCs w:val="21"/>
        </w:rPr>
      </w:pPr>
      <w:r>
        <w:rPr>
          <w:rFonts w:hint="eastAsia" w:ascii="宋体" w:hAnsi="宋体"/>
          <w:bCs/>
          <w:szCs w:val="21"/>
        </w:rPr>
        <w:t>4.未经甲方事先书面同意,乙方不得将委托事项全部或部分转交他人完成。乙方如需将部分工作交由第三人办理的，应事先征得甲方书面同意，并就该第三人的工作向甲方承担全部责任。</w:t>
      </w:r>
    </w:p>
    <w:p w14:paraId="2DD2F660">
      <w:pPr>
        <w:spacing w:line="360" w:lineRule="auto"/>
        <w:ind w:left="502" w:firstLine="0" w:firstLineChars="0"/>
        <w:jc w:val="left"/>
        <w:rPr>
          <w:rFonts w:hAnsi="宋体"/>
          <w:b/>
          <w:szCs w:val="21"/>
        </w:rPr>
      </w:pPr>
      <w:r>
        <w:rPr>
          <w:rFonts w:hint="eastAsia" w:hAnsi="宋体"/>
          <w:b/>
          <w:szCs w:val="21"/>
        </w:rPr>
        <w:t>三、合同总价及支付方式</w:t>
      </w:r>
    </w:p>
    <w:p w14:paraId="549F8C58">
      <w:pPr>
        <w:spacing w:line="360" w:lineRule="auto"/>
        <w:ind w:firstLine="420" w:firstLineChars="200"/>
        <w:jc w:val="left"/>
        <w:rPr>
          <w:rFonts w:ascii="宋体" w:hAnsi="宋体"/>
          <w:bCs/>
          <w:szCs w:val="21"/>
        </w:rPr>
      </w:pPr>
      <w:r>
        <w:rPr>
          <w:rFonts w:hint="eastAsia" w:ascii="宋体" w:hAnsi="宋体"/>
          <w:bCs/>
          <w:szCs w:val="21"/>
        </w:rPr>
        <w:t>1.合同总价（含税）为人民币</w:t>
      </w:r>
      <w:r>
        <w:rPr>
          <w:rFonts w:hint="eastAsia" w:ascii="宋体" w:hAnsi="宋体"/>
          <w:bCs/>
          <w:szCs w:val="21"/>
          <w:u w:val="single"/>
        </w:rPr>
        <w:t xml:space="preserve"> </w:t>
      </w:r>
      <w:r>
        <w:rPr>
          <w:rFonts w:hint="eastAsia" w:ascii="宋体" w:hAnsi="宋体"/>
          <w:bCs/>
          <w:szCs w:val="21"/>
          <w:u w:val="single"/>
        </w:rPr>
        <w:tab/>
      </w:r>
      <w:r>
        <w:rPr>
          <w:rFonts w:hint="eastAsia" w:ascii="宋体" w:hAnsi="宋体"/>
          <w:bCs/>
          <w:szCs w:val="21"/>
          <w:u w:val="single"/>
        </w:rPr>
        <w:t xml:space="preserve">     </w:t>
      </w:r>
      <w:r>
        <w:rPr>
          <w:rFonts w:hint="eastAsia" w:ascii="宋体" w:hAnsi="宋体"/>
          <w:bCs/>
          <w:szCs w:val="21"/>
        </w:rPr>
        <w:t>整（￥</w:t>
      </w:r>
      <w:r>
        <w:rPr>
          <w:rFonts w:hint="eastAsia" w:ascii="宋体" w:hAnsi="宋体"/>
          <w:bCs/>
          <w:szCs w:val="21"/>
          <w:u w:val="single"/>
        </w:rPr>
        <w:t xml:space="preserve">           </w:t>
      </w:r>
      <w:r>
        <w:rPr>
          <w:rFonts w:hint="eastAsia" w:ascii="宋体" w:hAnsi="宋体"/>
          <w:bCs/>
          <w:szCs w:val="21"/>
        </w:rPr>
        <w:t>元）。</w:t>
      </w:r>
    </w:p>
    <w:p w14:paraId="5617988A">
      <w:pPr>
        <w:spacing w:line="360" w:lineRule="auto"/>
        <w:ind w:firstLine="420" w:firstLineChars="200"/>
        <w:rPr>
          <w:rFonts w:ascii="宋体" w:hAnsi="宋体"/>
          <w:bCs/>
          <w:szCs w:val="21"/>
        </w:rPr>
      </w:pPr>
      <w:r>
        <w:rPr>
          <w:rFonts w:hint="eastAsia" w:ascii="宋体" w:hAnsi="宋体"/>
          <w:bCs/>
          <w:szCs w:val="21"/>
        </w:rPr>
        <w:t>注：</w:t>
      </w:r>
      <w:r>
        <w:rPr>
          <w:rFonts w:hint="eastAsia" w:hAnsi="宋体"/>
          <w:szCs w:val="21"/>
        </w:rPr>
        <w:t>合同总价包括但不限于服务期限内的运行维护费用、技术服务费、人工费、管理费、培训费等费用及必要的保险费用和各项税金、采购代理服务费及其它一切费用。此价格在合同实施期间将不因市场价格等的变化而调整，除甲乙双方另行约定外，甲方不再支付其他任何费用。</w:t>
      </w:r>
    </w:p>
    <w:p w14:paraId="65D0066C">
      <w:pPr>
        <w:spacing w:line="360" w:lineRule="auto"/>
        <w:ind w:firstLine="420" w:firstLineChars="200"/>
        <w:jc w:val="left"/>
        <w:rPr>
          <w:rFonts w:hint="eastAsia" w:ascii="宋体" w:hAnsi="宋体" w:eastAsia="宋体"/>
          <w:bCs/>
          <w:szCs w:val="21"/>
          <w:lang w:eastAsia="zh-CN"/>
        </w:rPr>
      </w:pPr>
      <w:r>
        <w:rPr>
          <w:rFonts w:hint="eastAsia" w:ascii="宋体" w:hAnsi="宋体"/>
          <w:bCs/>
          <w:szCs w:val="21"/>
        </w:rPr>
        <w:t>2.付款方式：合同签订后，甲方收到乙方开具的等额有效发票后，甲方于10日内向乙方支付合同总价50%的首付款，乙方于7日内按照合同总价的50%，由合同中明确的乙方收款银行出具银行保函正本原件，保函有效期为12个月，甲方在收到乙方提供的有效银行保函（合同总价的50%）和乙方开具的等额有效发票后，甲方于10日内向乙方支付合同总价50%的尾款。如12个月保函到期，项目未履行完毕，乙方需要更换新的银行保函，待项目总体验收合格后且乙方无违约行为，甲方于10日内向乙方退还银行保函正本原件。如合同期限届满乙方都未能提供保函，剩余合同尾款的支付前提应以对乙方履行合同内容验收合格且无违约情形为前提</w:t>
      </w:r>
      <w:r>
        <w:rPr>
          <w:rFonts w:hint="eastAsia" w:ascii="宋体" w:hAnsi="宋体"/>
          <w:bCs/>
          <w:szCs w:val="21"/>
          <w:lang w:eastAsia="zh-CN"/>
        </w:rPr>
        <w:t>。</w:t>
      </w:r>
    </w:p>
    <w:p w14:paraId="252FC8F8">
      <w:pPr>
        <w:spacing w:line="360" w:lineRule="auto"/>
        <w:ind w:firstLine="420" w:firstLineChars="200"/>
        <w:jc w:val="left"/>
        <w:rPr>
          <w:rFonts w:ascii="宋体" w:hAnsi="宋体"/>
          <w:bCs/>
          <w:szCs w:val="21"/>
        </w:rPr>
      </w:pPr>
      <w:r>
        <w:rPr>
          <w:rFonts w:hint="eastAsia" w:ascii="宋体" w:hAnsi="宋体"/>
          <w:bCs/>
          <w:szCs w:val="21"/>
        </w:rPr>
        <w:t>乙方在甲方每次付款前向甲方出具的前述发票应为正规税务发票。</w:t>
      </w:r>
    </w:p>
    <w:p w14:paraId="79F93C03">
      <w:pPr>
        <w:spacing w:line="360" w:lineRule="auto"/>
        <w:ind w:firstLine="420" w:firstLineChars="200"/>
        <w:jc w:val="left"/>
        <w:rPr>
          <w:rFonts w:ascii="宋体" w:hAnsi="宋体"/>
          <w:bCs/>
          <w:szCs w:val="21"/>
        </w:rPr>
      </w:pPr>
      <w:r>
        <w:rPr>
          <w:rFonts w:hint="eastAsia" w:ascii="宋体" w:hAnsi="宋体"/>
          <w:bCs/>
          <w:szCs w:val="21"/>
        </w:rPr>
        <w:t>乙方银行账户信息如下：</w:t>
      </w:r>
    </w:p>
    <w:p w14:paraId="21579BB5">
      <w:pPr>
        <w:spacing w:line="360" w:lineRule="auto"/>
        <w:ind w:firstLine="420" w:firstLineChars="200"/>
        <w:jc w:val="left"/>
        <w:rPr>
          <w:rFonts w:ascii="宋体" w:hAnsi="宋体"/>
          <w:bCs/>
          <w:szCs w:val="21"/>
        </w:rPr>
      </w:pPr>
      <w:r>
        <w:rPr>
          <w:rFonts w:hint="eastAsia" w:ascii="宋体" w:hAnsi="宋体"/>
          <w:bCs/>
          <w:szCs w:val="21"/>
        </w:rPr>
        <w:t>银行账号：</w:t>
      </w:r>
    </w:p>
    <w:p w14:paraId="4D776808">
      <w:pPr>
        <w:spacing w:line="360" w:lineRule="auto"/>
        <w:ind w:firstLine="420" w:firstLineChars="200"/>
        <w:jc w:val="left"/>
        <w:rPr>
          <w:rFonts w:ascii="宋体" w:hAnsi="宋体"/>
          <w:bCs/>
          <w:szCs w:val="21"/>
        </w:rPr>
      </w:pPr>
      <w:r>
        <w:rPr>
          <w:rFonts w:hint="eastAsia" w:ascii="宋体" w:hAnsi="宋体"/>
          <w:bCs/>
          <w:szCs w:val="21"/>
        </w:rPr>
        <w:t xml:space="preserve">开户行：  </w:t>
      </w:r>
    </w:p>
    <w:p w14:paraId="2A9D0F41">
      <w:pPr>
        <w:spacing w:line="360" w:lineRule="auto"/>
        <w:ind w:firstLine="420" w:firstLineChars="200"/>
        <w:jc w:val="left"/>
        <w:rPr>
          <w:rFonts w:ascii="宋体" w:hAnsi="宋体"/>
          <w:bCs/>
          <w:szCs w:val="21"/>
        </w:rPr>
      </w:pPr>
      <w:r>
        <w:rPr>
          <w:rFonts w:hint="eastAsia" w:ascii="宋体" w:hAnsi="宋体"/>
          <w:bCs/>
          <w:szCs w:val="21"/>
        </w:rPr>
        <w:t>开户名：</w:t>
      </w:r>
    </w:p>
    <w:p w14:paraId="5BAA1649">
      <w:pPr>
        <w:spacing w:line="360" w:lineRule="auto"/>
        <w:ind w:firstLine="420" w:firstLineChars="200"/>
        <w:jc w:val="left"/>
        <w:rPr>
          <w:rFonts w:ascii="宋体" w:hAnsi="宋体"/>
          <w:bCs/>
          <w:szCs w:val="21"/>
        </w:rPr>
      </w:pPr>
      <w:r>
        <w:rPr>
          <w:rFonts w:hint="eastAsia" w:ascii="宋体" w:hAnsi="宋体"/>
          <w:bCs/>
          <w:szCs w:val="21"/>
        </w:rPr>
        <w:t>3.若根据本合同相关约定乙方应当支付违约金和/或承担赔偿责任的，则甲方有权从上述任何一笔付款中直接扣除相应金额。</w:t>
      </w:r>
    </w:p>
    <w:p w14:paraId="1A5D0E3E">
      <w:pPr>
        <w:spacing w:line="360" w:lineRule="auto"/>
        <w:ind w:firstLine="420" w:firstLineChars="200"/>
        <w:jc w:val="left"/>
        <w:rPr>
          <w:rFonts w:ascii="宋体" w:hAnsi="宋体"/>
          <w:bCs/>
          <w:szCs w:val="21"/>
        </w:rPr>
      </w:pPr>
      <w:r>
        <w:rPr>
          <w:rFonts w:hint="eastAsia" w:ascii="宋体" w:hAnsi="宋体"/>
          <w:bCs/>
          <w:szCs w:val="21"/>
        </w:rPr>
        <w:t>4.除双方另有约定外，甲方无需就本合同项下乙方服务另行支付其他任何费用。</w:t>
      </w:r>
    </w:p>
    <w:p w14:paraId="49457EC2">
      <w:pPr>
        <w:spacing w:line="360" w:lineRule="auto"/>
        <w:ind w:left="502" w:firstLine="0" w:firstLineChars="0"/>
        <w:jc w:val="left"/>
        <w:rPr>
          <w:rFonts w:hAnsi="宋体"/>
          <w:b/>
          <w:szCs w:val="21"/>
        </w:rPr>
      </w:pPr>
      <w:r>
        <w:rPr>
          <w:rFonts w:hint="eastAsia" w:hAnsi="宋体"/>
          <w:b/>
          <w:szCs w:val="21"/>
        </w:rPr>
        <w:t>四、甲方的权利和义务</w:t>
      </w:r>
    </w:p>
    <w:p w14:paraId="51305A4C">
      <w:pPr>
        <w:spacing w:line="360" w:lineRule="auto"/>
        <w:ind w:firstLine="420" w:firstLineChars="200"/>
        <w:jc w:val="left"/>
        <w:rPr>
          <w:rFonts w:ascii="宋体" w:hAnsi="宋体"/>
          <w:bCs/>
          <w:szCs w:val="21"/>
        </w:rPr>
      </w:pPr>
      <w:r>
        <w:rPr>
          <w:rFonts w:hint="eastAsia" w:ascii="宋体" w:hAnsi="宋体"/>
          <w:bCs/>
          <w:szCs w:val="21"/>
        </w:rPr>
        <w:t>1.甲方有权随时了解乙方的工作进展情况。</w:t>
      </w:r>
    </w:p>
    <w:p w14:paraId="25CFA060">
      <w:pPr>
        <w:spacing w:line="360" w:lineRule="auto"/>
        <w:ind w:firstLine="420" w:firstLineChars="200"/>
        <w:jc w:val="left"/>
        <w:rPr>
          <w:rFonts w:ascii="宋体" w:hAnsi="宋体"/>
          <w:bCs/>
          <w:szCs w:val="21"/>
        </w:rPr>
      </w:pPr>
      <w:r>
        <w:rPr>
          <w:rFonts w:hint="eastAsia" w:ascii="宋体" w:hAnsi="宋体"/>
          <w:bCs/>
          <w:szCs w:val="21"/>
        </w:rPr>
        <w:t>2.甲方有权按照本合同约定对乙方提供的服务工作成果进行验收。</w:t>
      </w:r>
    </w:p>
    <w:p w14:paraId="5CCFAC47">
      <w:pPr>
        <w:spacing w:line="360" w:lineRule="auto"/>
        <w:ind w:firstLine="420" w:firstLineChars="200"/>
        <w:jc w:val="left"/>
        <w:rPr>
          <w:rFonts w:ascii="宋体" w:hAnsi="宋体"/>
          <w:bCs/>
          <w:szCs w:val="21"/>
        </w:rPr>
      </w:pPr>
      <w:r>
        <w:rPr>
          <w:rFonts w:hint="eastAsia" w:ascii="宋体" w:hAnsi="宋体"/>
          <w:bCs/>
          <w:szCs w:val="21"/>
        </w:rPr>
        <w:t>3.甲方应按本合同约定支付合同价款。</w:t>
      </w:r>
    </w:p>
    <w:p w14:paraId="22CC49F6">
      <w:pPr>
        <w:spacing w:line="360" w:lineRule="auto"/>
        <w:ind w:firstLine="420" w:firstLineChars="200"/>
        <w:jc w:val="left"/>
        <w:rPr>
          <w:rFonts w:ascii="宋体" w:hAnsi="宋体"/>
          <w:bCs/>
          <w:szCs w:val="21"/>
        </w:rPr>
      </w:pPr>
      <w:r>
        <w:rPr>
          <w:rFonts w:hint="eastAsia" w:ascii="宋体" w:hAnsi="宋体"/>
          <w:bCs/>
          <w:szCs w:val="21"/>
        </w:rPr>
        <w:t>4.甲方应向乙方提供为完成服务工作所需要的必要信息、资料和其他相关协助。</w:t>
      </w:r>
    </w:p>
    <w:p w14:paraId="5327B083">
      <w:pPr>
        <w:spacing w:line="360" w:lineRule="auto"/>
        <w:ind w:firstLine="420" w:firstLineChars="200"/>
        <w:jc w:val="left"/>
        <w:rPr>
          <w:rFonts w:ascii="宋体" w:hAnsi="宋体"/>
          <w:bCs/>
          <w:szCs w:val="21"/>
        </w:rPr>
      </w:pPr>
      <w:r>
        <w:rPr>
          <w:rFonts w:hint="eastAsia" w:ascii="宋体" w:hAnsi="宋体"/>
          <w:bCs/>
          <w:szCs w:val="21"/>
        </w:rPr>
        <w:t xml:space="preserve">5.有权监督乙方全面履行本协议所规定的各项义务；有权对乙方的工作进度、质量和服务成果进行确认；有权对乙方工作提出改进、调整等整改要求。 </w:t>
      </w:r>
    </w:p>
    <w:p w14:paraId="4D9DA637">
      <w:pPr>
        <w:spacing w:line="360" w:lineRule="auto"/>
        <w:ind w:firstLine="420" w:firstLineChars="200"/>
        <w:jc w:val="left"/>
        <w:rPr>
          <w:rFonts w:ascii="宋体" w:hAnsi="宋体"/>
          <w:bCs/>
          <w:szCs w:val="21"/>
        </w:rPr>
      </w:pPr>
      <w:r>
        <w:rPr>
          <w:rFonts w:hint="eastAsia" w:ascii="宋体" w:hAnsi="宋体"/>
          <w:bCs/>
          <w:szCs w:val="21"/>
        </w:rPr>
        <w:t>6.甲方不得要求乙方违反国家有关标准开展工作。</w:t>
      </w:r>
    </w:p>
    <w:p w14:paraId="11E2BA18">
      <w:pPr>
        <w:spacing w:line="360" w:lineRule="auto"/>
        <w:ind w:firstLine="420" w:firstLineChars="200"/>
        <w:jc w:val="left"/>
        <w:rPr>
          <w:rFonts w:ascii="宋体" w:hAnsi="宋体"/>
          <w:bCs/>
          <w:szCs w:val="21"/>
        </w:rPr>
      </w:pPr>
      <w:r>
        <w:rPr>
          <w:rFonts w:hint="eastAsia" w:ascii="宋体" w:hAnsi="宋体"/>
          <w:bCs/>
          <w:szCs w:val="21"/>
        </w:rPr>
        <w:t>7.若乙方接到甲方对项目要求进行调整，乙方须无条件接受相关调整，并报调整方案给甲方，经甲方认可后实施。</w:t>
      </w:r>
    </w:p>
    <w:p w14:paraId="0F9A78E3">
      <w:pPr>
        <w:spacing w:line="360" w:lineRule="auto"/>
        <w:ind w:firstLine="420" w:firstLineChars="200"/>
        <w:jc w:val="left"/>
        <w:rPr>
          <w:rFonts w:ascii="宋体" w:hAnsi="宋体"/>
          <w:bCs/>
          <w:szCs w:val="21"/>
        </w:rPr>
      </w:pPr>
      <w:r>
        <w:rPr>
          <w:rFonts w:hint="eastAsia" w:ascii="宋体" w:hAnsi="宋体"/>
          <w:bCs/>
          <w:szCs w:val="21"/>
        </w:rPr>
        <w:t>8.在合同履行期间，因甲方原因单方面终止或解除合同，按乙方实际已开展的经甲方确认的工作量进行费用结算。</w:t>
      </w:r>
    </w:p>
    <w:p w14:paraId="4A83F8C8">
      <w:pPr>
        <w:spacing w:line="360" w:lineRule="auto"/>
        <w:ind w:left="502" w:firstLine="0" w:firstLineChars="0"/>
        <w:jc w:val="left"/>
        <w:rPr>
          <w:rFonts w:hAnsi="宋体"/>
          <w:b/>
          <w:szCs w:val="21"/>
        </w:rPr>
      </w:pPr>
      <w:r>
        <w:rPr>
          <w:rFonts w:hint="eastAsia" w:hAnsi="宋体"/>
          <w:b/>
          <w:szCs w:val="21"/>
        </w:rPr>
        <w:t>五、乙方的权利和义务</w:t>
      </w:r>
    </w:p>
    <w:p w14:paraId="70106F0F">
      <w:pPr>
        <w:spacing w:line="360" w:lineRule="auto"/>
        <w:ind w:firstLine="420" w:firstLineChars="200"/>
        <w:jc w:val="left"/>
        <w:rPr>
          <w:rFonts w:ascii="宋体" w:hAnsi="宋体"/>
          <w:bCs/>
          <w:szCs w:val="21"/>
        </w:rPr>
      </w:pPr>
      <w:r>
        <w:rPr>
          <w:rFonts w:hint="eastAsia" w:ascii="宋体" w:hAnsi="宋体"/>
          <w:bCs/>
          <w:szCs w:val="21"/>
        </w:rPr>
        <w:t>1.乙方应根据本合同的约定提供服务并提交服务工作成果。未经甲方书面同意，乙方不得擅自将本合同约定的任何工作内容委托任何第三方代为履行。</w:t>
      </w:r>
    </w:p>
    <w:p w14:paraId="115A8627">
      <w:pPr>
        <w:spacing w:line="360" w:lineRule="auto"/>
        <w:ind w:firstLine="420" w:firstLineChars="200"/>
        <w:jc w:val="left"/>
        <w:rPr>
          <w:rFonts w:ascii="宋体" w:hAnsi="宋体"/>
          <w:bCs/>
          <w:szCs w:val="21"/>
        </w:rPr>
      </w:pPr>
      <w:r>
        <w:rPr>
          <w:rFonts w:hint="eastAsia" w:ascii="宋体" w:hAnsi="宋体"/>
          <w:bCs/>
          <w:szCs w:val="21"/>
        </w:rPr>
        <w:t>2.乙方应根据本合同的约定提交相关文件、资料，并配合甲方的检查与监督。</w:t>
      </w:r>
    </w:p>
    <w:p w14:paraId="10C7D8E5">
      <w:pPr>
        <w:spacing w:line="360" w:lineRule="auto"/>
        <w:ind w:firstLine="420" w:firstLineChars="200"/>
        <w:jc w:val="left"/>
        <w:rPr>
          <w:rFonts w:ascii="宋体" w:hAnsi="宋体"/>
          <w:bCs/>
          <w:szCs w:val="21"/>
        </w:rPr>
      </w:pPr>
      <w:r>
        <w:rPr>
          <w:rFonts w:hint="eastAsia" w:ascii="宋体" w:hAnsi="宋体"/>
          <w:bCs/>
          <w:szCs w:val="21"/>
        </w:rPr>
        <w:t>3.合同履行过程中，乙方有义务协助甲方对服务工作成果进行验收；并就甲方需注意的事项以书面形式提请甲方注意。</w:t>
      </w:r>
    </w:p>
    <w:p w14:paraId="4258382E">
      <w:pPr>
        <w:spacing w:line="360" w:lineRule="auto"/>
        <w:ind w:firstLine="420" w:firstLineChars="200"/>
        <w:jc w:val="left"/>
        <w:rPr>
          <w:rFonts w:ascii="宋体" w:hAnsi="宋体"/>
          <w:bCs/>
          <w:szCs w:val="21"/>
        </w:rPr>
      </w:pPr>
      <w:r>
        <w:rPr>
          <w:rFonts w:hint="eastAsia" w:ascii="宋体" w:hAnsi="宋体"/>
          <w:bCs/>
          <w:szCs w:val="21"/>
        </w:rPr>
        <w:t>4.乙方应按照本合同约定履行保密义务。</w:t>
      </w:r>
    </w:p>
    <w:p w14:paraId="08E46FAF">
      <w:pPr>
        <w:spacing w:line="360" w:lineRule="auto"/>
        <w:ind w:firstLine="420" w:firstLineChars="200"/>
        <w:jc w:val="left"/>
        <w:rPr>
          <w:rFonts w:ascii="宋体" w:hAnsi="宋体"/>
          <w:bCs/>
          <w:szCs w:val="21"/>
        </w:rPr>
      </w:pPr>
      <w:r>
        <w:rPr>
          <w:rFonts w:hint="eastAsia" w:ascii="宋体" w:hAnsi="宋体"/>
          <w:bCs/>
          <w:szCs w:val="21"/>
        </w:rPr>
        <w:t>5.在合同履行期间及服务工作成果提交后</w:t>
      </w:r>
      <w:r>
        <w:rPr>
          <w:rFonts w:hint="eastAsia" w:ascii="宋体" w:hAnsi="宋体"/>
          <w:bCs/>
          <w:szCs w:val="21"/>
          <w:u w:val="single"/>
        </w:rPr>
        <w:t xml:space="preserve">     </w:t>
      </w:r>
      <w:r>
        <w:rPr>
          <w:rFonts w:hint="eastAsia" w:ascii="宋体" w:hAnsi="宋体"/>
          <w:bCs/>
          <w:szCs w:val="21"/>
        </w:rPr>
        <w:t>个工作日内，对甲方提出的有关本合同项目的任何问题，乙方有义务提供后续服务，包括但不限于免费修改、免费咨询等。乙方为上述问题提供后续服务的期限不以上述期限为限。</w:t>
      </w:r>
    </w:p>
    <w:p w14:paraId="7A5F43DB">
      <w:pPr>
        <w:spacing w:line="360" w:lineRule="auto"/>
        <w:ind w:firstLine="420" w:firstLineChars="200"/>
        <w:jc w:val="left"/>
        <w:rPr>
          <w:rFonts w:ascii="宋体" w:hAnsi="宋体"/>
          <w:bCs/>
          <w:szCs w:val="21"/>
        </w:rPr>
      </w:pPr>
      <w:r>
        <w:rPr>
          <w:rFonts w:hint="eastAsia" w:ascii="宋体" w:hAnsi="宋体"/>
          <w:bCs/>
          <w:szCs w:val="21"/>
        </w:rPr>
        <w:t>6.乙方交付给甲方的服务工作成果以及所有有关项目的报告、文件、图片、视频和项目往来文件均应以中文或甲方要求的文字完成。</w:t>
      </w:r>
    </w:p>
    <w:p w14:paraId="1669D501">
      <w:pPr>
        <w:spacing w:line="360" w:lineRule="auto"/>
        <w:ind w:firstLine="420" w:firstLineChars="200"/>
        <w:jc w:val="left"/>
        <w:rPr>
          <w:rFonts w:ascii="宋体" w:hAnsi="宋体"/>
          <w:bCs/>
          <w:szCs w:val="21"/>
        </w:rPr>
      </w:pPr>
      <w:r>
        <w:rPr>
          <w:rFonts w:hint="eastAsia" w:ascii="宋体" w:hAnsi="宋体"/>
          <w:bCs/>
          <w:szCs w:val="21"/>
        </w:rPr>
        <w:t>7.乙方应保证交付服务工作成果的质量，乙方应向甲方提供参加本项目工作人员信息，包括工作人员简历、职位、资质水平等。</w:t>
      </w:r>
    </w:p>
    <w:p w14:paraId="49954899">
      <w:pPr>
        <w:spacing w:line="360" w:lineRule="auto"/>
        <w:ind w:firstLine="420" w:firstLineChars="200"/>
        <w:jc w:val="left"/>
        <w:rPr>
          <w:rFonts w:ascii="宋体" w:hAnsi="宋体"/>
          <w:bCs/>
          <w:szCs w:val="21"/>
        </w:rPr>
      </w:pPr>
      <w:r>
        <w:rPr>
          <w:rFonts w:hint="eastAsia" w:ascii="宋体" w:hAnsi="宋体"/>
          <w:bCs/>
          <w:szCs w:val="21"/>
        </w:rPr>
        <w:t>8.乙方应保证其工作人员的稳定性。如果需要更换任何人员，应就被调换人员和接替人员事先取得甲方的同意，接替人员的职位、资质应当不低于被调换的人员。乙方应向甲方提供新的清单。</w:t>
      </w:r>
    </w:p>
    <w:p w14:paraId="46CF1A9E">
      <w:pPr>
        <w:spacing w:line="360" w:lineRule="auto"/>
        <w:ind w:left="502" w:firstLine="0" w:firstLineChars="0"/>
        <w:jc w:val="left"/>
        <w:rPr>
          <w:rFonts w:hAnsi="宋体"/>
          <w:b/>
          <w:szCs w:val="21"/>
        </w:rPr>
      </w:pPr>
      <w:r>
        <w:rPr>
          <w:rFonts w:hint="eastAsia" w:hAnsi="宋体"/>
          <w:b/>
          <w:szCs w:val="21"/>
        </w:rPr>
        <w:t>六、项目验收</w:t>
      </w:r>
    </w:p>
    <w:p w14:paraId="421EBC30">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1.</w:t>
      </w:r>
      <w:r>
        <w:rPr>
          <w:rFonts w:hint="eastAsia" w:ascii="宋体" w:hAnsi="宋体" w:cs="宋体"/>
          <w:bCs/>
          <w:szCs w:val="21"/>
        </w:rPr>
        <w:t>甲方根据乙方提供的相关服务、合同约定内容及最终成果文件按照招标文件要求进行验收。</w:t>
      </w:r>
    </w:p>
    <w:p w14:paraId="0DFCA008">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2.</w:t>
      </w:r>
      <w:r>
        <w:rPr>
          <w:rFonts w:hint="eastAsia" w:ascii="宋体" w:hAnsi="宋体" w:cs="宋体"/>
          <w:bCs/>
          <w:szCs w:val="21"/>
        </w:rPr>
        <w:t>所有数字可视化屏必须按照招标文件及合同的要求实现，功能通过测试，所有数字可视化屏均可正常显示。</w:t>
      </w:r>
    </w:p>
    <w:p w14:paraId="28ED05BD">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3.</w:t>
      </w:r>
      <w:r>
        <w:rPr>
          <w:rFonts w:hint="eastAsia" w:ascii="宋体" w:hAnsi="宋体" w:cs="宋体"/>
          <w:bCs/>
          <w:szCs w:val="21"/>
        </w:rPr>
        <w:t>乙方向甲方提供相应的技术文档。</w:t>
      </w:r>
    </w:p>
    <w:p w14:paraId="3814D246">
      <w:pPr>
        <w:spacing w:line="360" w:lineRule="auto"/>
        <w:ind w:firstLine="420" w:firstLineChars="200"/>
        <w:jc w:val="left"/>
        <w:rPr>
          <w:rFonts w:ascii="宋体" w:hAnsi="宋体" w:cs="宋体"/>
          <w:bCs/>
          <w:szCs w:val="21"/>
        </w:rPr>
      </w:pPr>
      <w:r>
        <w:rPr>
          <w:rFonts w:hint="eastAsia" w:ascii="宋体" w:hAnsi="宋体" w:cs="宋体"/>
          <w:bCs/>
          <w:szCs w:val="21"/>
          <w:lang w:val="en-US" w:eastAsia="zh-CN"/>
        </w:rPr>
        <w:t>4.</w:t>
      </w:r>
      <w:r>
        <w:rPr>
          <w:rFonts w:hint="eastAsia" w:ascii="宋体" w:hAnsi="宋体" w:cs="宋体"/>
          <w:bCs/>
          <w:szCs w:val="21"/>
        </w:rPr>
        <w:t>乙方向甲方提供必要的用户培训，确保甲方能够熟练使用软件。</w:t>
      </w:r>
    </w:p>
    <w:p w14:paraId="048E1A85">
      <w:pPr>
        <w:spacing w:line="360" w:lineRule="auto"/>
        <w:ind w:left="502" w:firstLine="0" w:firstLineChars="0"/>
        <w:jc w:val="left"/>
        <w:rPr>
          <w:rFonts w:hAnsi="宋体"/>
          <w:b/>
          <w:szCs w:val="21"/>
        </w:rPr>
      </w:pPr>
      <w:r>
        <w:rPr>
          <w:rFonts w:hint="eastAsia" w:hAnsi="宋体"/>
          <w:b/>
          <w:szCs w:val="21"/>
        </w:rPr>
        <w:t>七、知识产权</w:t>
      </w:r>
    </w:p>
    <w:p w14:paraId="23ECA6D8">
      <w:pPr>
        <w:spacing w:line="360" w:lineRule="auto"/>
        <w:ind w:firstLine="420" w:firstLineChars="200"/>
        <w:jc w:val="left"/>
        <w:rPr>
          <w:rFonts w:ascii="宋体" w:hAnsi="宋体"/>
          <w:bCs/>
          <w:szCs w:val="21"/>
        </w:rPr>
      </w:pPr>
      <w:r>
        <w:rPr>
          <w:rFonts w:hint="eastAsia" w:ascii="宋体" w:hAnsi="宋体"/>
          <w:bCs/>
          <w:szCs w:val="21"/>
        </w:rPr>
        <w:t>1.乙方根据本合同或在本合同履行过程中所产生的项目成果，其所有权、知识产权和其他一切权益全部归甲方所有，甲方可不受限制地行使使用、收益、处分等一切权利。</w:t>
      </w:r>
    </w:p>
    <w:p w14:paraId="2954D94B">
      <w:pPr>
        <w:spacing w:line="360" w:lineRule="auto"/>
        <w:ind w:firstLine="420" w:firstLineChars="200"/>
        <w:jc w:val="left"/>
        <w:rPr>
          <w:rFonts w:ascii="宋体" w:hAnsi="宋体"/>
          <w:bCs/>
          <w:szCs w:val="21"/>
        </w:rPr>
      </w:pPr>
      <w:r>
        <w:rPr>
          <w:rFonts w:hint="eastAsia" w:ascii="宋体" w:hAnsi="宋体"/>
          <w:bCs/>
          <w:szCs w:val="21"/>
        </w:rPr>
        <w:t>2.甲方根据本合同向乙方提供的技术性信息、商业信息、文件、程序、计划、技术、图片、素材、视频、模型、数据、标准和其他专有信息等，其知识产权和其他权益全部归甲方所有，未经甲方事先书面许可，乙方不得为本合同之外的任何目的、以任何形式自行使用或擅自许可任何第三方使用。在本合同中，“第三方”指任何自然人、企业或其分支机构、代理、组织或其他实体。</w:t>
      </w:r>
    </w:p>
    <w:p w14:paraId="70441F52">
      <w:pPr>
        <w:spacing w:line="360" w:lineRule="auto"/>
        <w:ind w:firstLine="420" w:firstLineChars="200"/>
        <w:jc w:val="left"/>
        <w:rPr>
          <w:rFonts w:ascii="宋体" w:hAnsi="宋体"/>
          <w:bCs/>
          <w:szCs w:val="21"/>
        </w:rPr>
      </w:pPr>
      <w:r>
        <w:rPr>
          <w:rFonts w:hint="eastAsia" w:ascii="宋体" w:hAnsi="宋体"/>
          <w:bCs/>
          <w:szCs w:val="21"/>
        </w:rPr>
        <w:t>3.乙方保证其提交的项目成果不违反任何法律法规且不侵犯任何第三方的知识产权和其他合法权益。与本项目成果有关或因甲方使用该成果而发生或引起的任何索赔或纠纷或其他不利法律后果。由乙方负责处理并承担责任；因此造成甲方损失的，乙方应承担赔偿责任。</w:t>
      </w:r>
    </w:p>
    <w:p w14:paraId="4E33DD54">
      <w:pPr>
        <w:spacing w:line="360" w:lineRule="auto"/>
        <w:ind w:firstLine="420" w:firstLineChars="200"/>
        <w:jc w:val="left"/>
        <w:rPr>
          <w:rFonts w:ascii="宋体" w:hAnsi="宋体"/>
          <w:bCs/>
          <w:szCs w:val="21"/>
        </w:rPr>
      </w:pPr>
      <w:r>
        <w:rPr>
          <w:rFonts w:hint="eastAsia" w:ascii="宋体" w:hAnsi="宋体"/>
          <w:bCs/>
          <w:szCs w:val="21"/>
        </w:rPr>
        <w:t>4.乙方在此明确同意，放弃与本项目服务工作成果相关的专利申请权或其他知识产权权利，并放弃授权本合同之外的任何第三人就本合同项下的服务工作成果申请专利或其他知识产权或者在任何其他国家和地区寻求其他法律保护。</w:t>
      </w:r>
    </w:p>
    <w:p w14:paraId="073A1E3B">
      <w:pPr>
        <w:spacing w:line="360" w:lineRule="auto"/>
        <w:ind w:firstLine="420" w:firstLineChars="200"/>
        <w:jc w:val="left"/>
        <w:rPr>
          <w:rFonts w:ascii="宋体" w:hAnsi="宋体"/>
          <w:bCs/>
          <w:szCs w:val="21"/>
        </w:rPr>
      </w:pPr>
      <w:r>
        <w:rPr>
          <w:rFonts w:hint="eastAsia" w:ascii="宋体" w:hAnsi="宋体"/>
          <w:bCs/>
          <w:szCs w:val="21"/>
        </w:rPr>
        <w:t>5.本合同履行完毕、解除或不可抗力等终止之日起</w:t>
      </w:r>
      <w:r>
        <w:rPr>
          <w:rFonts w:hint="eastAsia" w:ascii="宋体" w:hAnsi="宋体"/>
          <w:bCs/>
          <w:szCs w:val="21"/>
          <w:u w:val="single"/>
        </w:rPr>
        <w:t xml:space="preserve">    </w:t>
      </w:r>
      <w:r>
        <w:rPr>
          <w:rFonts w:hint="eastAsia" w:ascii="宋体" w:hAnsi="宋体"/>
          <w:bCs/>
          <w:szCs w:val="21"/>
        </w:rPr>
        <w:t>个工作日内，乙方应将甲方的所有信息和资料移交甲方，并且不得继续使用或擅自许可任何第三方使用。</w:t>
      </w:r>
    </w:p>
    <w:p w14:paraId="0CA2B25F">
      <w:pPr>
        <w:spacing w:line="360" w:lineRule="auto"/>
        <w:ind w:left="502" w:firstLine="0" w:firstLineChars="0"/>
        <w:jc w:val="left"/>
        <w:rPr>
          <w:rFonts w:hAnsi="宋体"/>
          <w:b/>
          <w:szCs w:val="21"/>
        </w:rPr>
      </w:pPr>
      <w:r>
        <w:rPr>
          <w:rFonts w:hint="eastAsia" w:hAnsi="宋体"/>
          <w:b/>
          <w:szCs w:val="21"/>
        </w:rPr>
        <w:t>八、保密</w:t>
      </w:r>
    </w:p>
    <w:p w14:paraId="64F1FB9A">
      <w:pPr>
        <w:spacing w:line="360" w:lineRule="auto"/>
        <w:ind w:firstLine="420" w:firstLineChars="200"/>
        <w:jc w:val="left"/>
        <w:rPr>
          <w:rFonts w:ascii="宋体" w:hAnsi="宋体"/>
          <w:bCs/>
          <w:szCs w:val="21"/>
        </w:rPr>
      </w:pPr>
      <w:r>
        <w:rPr>
          <w:rFonts w:hint="eastAsia" w:ascii="宋体" w:hAnsi="宋体"/>
          <w:bCs/>
          <w:szCs w:val="21"/>
        </w:rPr>
        <w:t>甲方根据本合同向乙方提供的信息，包括但不限于技术性信息、商业信息、文件、程序、计划、技术、图片、素材、视频、模型、数据、标准和其他专有信息等，本合同的条款和本合同有关的其他商业信息和技术信息（以下统称“保密信息”），只能由接受方及其人员为本合同目的而使用。除本合同另有规定外，对于甲方提供的任何保密信息，未经甲方的书面同意，乙方及其知悉保密信息的人员均不得直接或间接地以任何方式提供或披露给任何第三方或为非本合同目的而自行使用。</w:t>
      </w:r>
    </w:p>
    <w:p w14:paraId="0A8FB62A">
      <w:pPr>
        <w:spacing w:line="360" w:lineRule="auto"/>
        <w:ind w:firstLine="420" w:firstLineChars="200"/>
        <w:jc w:val="left"/>
        <w:rPr>
          <w:rFonts w:ascii="宋体" w:hAnsi="宋体"/>
          <w:bCs/>
          <w:szCs w:val="21"/>
        </w:rPr>
      </w:pPr>
      <w:r>
        <w:rPr>
          <w:rFonts w:hint="eastAsia" w:ascii="宋体" w:hAnsi="宋体"/>
          <w:bCs/>
          <w:szCs w:val="21"/>
        </w:rPr>
        <w:t>任何情形下，本条所规定的保密义务永久持续有效。</w:t>
      </w:r>
    </w:p>
    <w:p w14:paraId="4B950C32">
      <w:pPr>
        <w:spacing w:line="360" w:lineRule="auto"/>
        <w:ind w:left="502" w:firstLine="0" w:firstLineChars="0"/>
        <w:jc w:val="left"/>
        <w:rPr>
          <w:rFonts w:hAnsi="宋体"/>
          <w:b/>
          <w:szCs w:val="21"/>
        </w:rPr>
      </w:pPr>
      <w:r>
        <w:rPr>
          <w:rFonts w:hint="eastAsia" w:hAnsi="宋体"/>
          <w:b/>
          <w:szCs w:val="21"/>
        </w:rPr>
        <w:t>九、违约责任</w:t>
      </w:r>
    </w:p>
    <w:p w14:paraId="10C56309">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1.</w:t>
      </w:r>
      <w:r>
        <w:rPr>
          <w:rFonts w:hint="eastAsia" w:ascii="宋体" w:hAnsi="宋体" w:cs="宋体"/>
          <w:bCs/>
          <w:szCs w:val="21"/>
        </w:rPr>
        <w:t>因乙方原因导致合同项目内容未能按期完成的，每延迟一天，乙方应向甲方支付合同总价1‰的违约金。逾期达到或超过15天的，甲方有权解除本合同，乙方应向甲方退还全部已收报酬和甲方已经支付的全部经费，按照上述约定支付违约金并赔偿甲方因此而受到的全部经济损失。</w:t>
      </w:r>
    </w:p>
    <w:p w14:paraId="0025C973">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2.</w:t>
      </w:r>
      <w:r>
        <w:rPr>
          <w:rFonts w:hint="eastAsia" w:ascii="宋体" w:hAnsi="宋体" w:cs="宋体"/>
          <w:bCs/>
          <w:szCs w:val="21"/>
        </w:rPr>
        <w:t>乙方逾期提供保修服务或者延误故障修复时限的，每逾期或延误一天，每天处罚违约金为合同总价的1‰，但该笔违约金额不得超过合同总价的5%。</w:t>
      </w:r>
    </w:p>
    <w:p w14:paraId="1550E318">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3.</w:t>
      </w:r>
      <w:r>
        <w:rPr>
          <w:rFonts w:hint="eastAsia" w:ascii="宋体" w:hAnsi="宋体" w:cs="宋体"/>
          <w:bCs/>
          <w:szCs w:val="21"/>
        </w:rPr>
        <w:t>如乙方未按照合同约定履行其相关义务及职责，存在违约情形或致使甲方遭受损失的，甲方有权采取补救措施并扣除违约金及损失。如乙方在提供保函前进行违约，甲方有权自应付款项中对违约金及赔偿金进行扣除。如在提供保函后违约或给甲方造成损失，甲方有权依据合同及保函约定进行索赔如根据乙方提供保函无法获得赔付或赔付金额不足以覆盖甲方损失的，乙方应当继续对甲方承担违约及赔偿责任。</w:t>
      </w:r>
    </w:p>
    <w:p w14:paraId="6E3F0FFD">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4.</w:t>
      </w:r>
      <w:r>
        <w:rPr>
          <w:rFonts w:hint="eastAsia" w:ascii="宋体" w:hAnsi="宋体" w:cs="宋体"/>
          <w:bCs/>
          <w:szCs w:val="21"/>
        </w:rPr>
        <w:t>乙方所提供的服务不符合合同要求或者现场检验不符合要求，致使不能实现合同目的，甲方有权单方解除合同并要求乙方偿付合同总价5%的违约金。</w:t>
      </w:r>
    </w:p>
    <w:p w14:paraId="63B9FB75">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 xml:space="preserve">如在服务期间因乙方过失造成甲方出现重大安全事故，甲方有权要求乙方进行赔偿。 </w:t>
      </w:r>
    </w:p>
    <w:p w14:paraId="3CF2BB13">
      <w:pPr>
        <w:spacing w:line="360" w:lineRule="auto"/>
        <w:ind w:firstLine="420" w:firstLineChars="200"/>
        <w:jc w:val="left"/>
        <w:rPr>
          <w:rFonts w:hint="eastAsia" w:ascii="宋体" w:hAnsi="宋体" w:cs="宋体"/>
          <w:bCs/>
          <w:szCs w:val="21"/>
        </w:rPr>
      </w:pPr>
      <w:r>
        <w:rPr>
          <w:rFonts w:hint="eastAsia" w:ascii="宋体" w:hAnsi="宋体" w:cs="宋体"/>
          <w:bCs/>
          <w:szCs w:val="21"/>
          <w:lang w:val="en-US" w:eastAsia="zh-CN"/>
        </w:rPr>
        <w:t>6.</w:t>
      </w:r>
      <w:r>
        <w:rPr>
          <w:rFonts w:hint="eastAsia" w:ascii="宋体" w:hAnsi="宋体" w:cs="宋体"/>
          <w:bCs/>
          <w:szCs w:val="21"/>
        </w:rPr>
        <w:t>甲方无正当理由延迟支付服务费，每延迟一日，支付延迟金额的0.1‰的违约金。超过30日未支付的，乙方有权解除合同。合同解除后，甲方应将已经发生的费用全部支付给乙方，并支付合同总价5%的违约金。</w:t>
      </w:r>
    </w:p>
    <w:p w14:paraId="0A0D9448">
      <w:pPr>
        <w:spacing w:line="460" w:lineRule="atLeast"/>
        <w:ind w:firstLine="420" w:firstLineChars="200"/>
        <w:jc w:val="left"/>
        <w:rPr>
          <w:rFonts w:ascii="宋体" w:hAnsi="宋体"/>
          <w:bCs/>
          <w:szCs w:val="21"/>
        </w:rPr>
      </w:pPr>
      <w:r>
        <w:rPr>
          <w:rFonts w:hint="eastAsia" w:ascii="宋体" w:hAnsi="宋体" w:cs="宋体"/>
          <w:bCs/>
          <w:szCs w:val="21"/>
          <w:lang w:val="en-US" w:eastAsia="zh-CN"/>
        </w:rPr>
        <w:t>7.</w:t>
      </w:r>
      <w:r>
        <w:rPr>
          <w:rFonts w:hint="eastAsia" w:ascii="宋体" w:hAnsi="宋体" w:cs="宋体"/>
          <w:bCs/>
          <w:szCs w:val="21"/>
        </w:rPr>
        <w:t>如乙方出现合同中未列明的违约情形，则应向甲方支付合同总价5%作为违约金，违约金不足以弥补甲方损失的，还应赔偿损失。同时乙方违约的应承担甲方为维护自身合法权益而支出的必要费用，包括但不限于诉讼费、律师费、保全费、保全担保费等)。</w:t>
      </w:r>
    </w:p>
    <w:p w14:paraId="211AD539">
      <w:pPr>
        <w:spacing w:line="360" w:lineRule="auto"/>
        <w:ind w:left="502" w:firstLine="0" w:firstLineChars="0"/>
        <w:jc w:val="left"/>
        <w:rPr>
          <w:rFonts w:hAnsi="宋体"/>
          <w:b/>
          <w:szCs w:val="21"/>
        </w:rPr>
      </w:pPr>
      <w:r>
        <w:rPr>
          <w:rFonts w:hint="eastAsia" w:hAnsi="宋体"/>
          <w:b/>
          <w:szCs w:val="21"/>
        </w:rPr>
        <w:t>十、不可抗力</w:t>
      </w:r>
    </w:p>
    <w:p w14:paraId="4BAF3FA1">
      <w:pPr>
        <w:spacing w:line="360" w:lineRule="auto"/>
        <w:ind w:firstLine="420" w:firstLineChars="200"/>
        <w:jc w:val="left"/>
        <w:rPr>
          <w:rFonts w:ascii="宋体" w:hAnsi="宋体"/>
          <w:bCs/>
          <w:szCs w:val="21"/>
        </w:rPr>
      </w:pPr>
      <w:r>
        <w:rPr>
          <w:rFonts w:hint="eastAsia" w:ascii="宋体" w:hAnsi="宋体"/>
          <w:bCs/>
          <w:szCs w:val="21"/>
        </w:rPr>
        <w:t>1.不可抗力指本协议一方或双方无法控制、无法预见，或虽然可以预见但无法避免且在本协议有效期内发生，或者国家政策、法律、法规等变化，使任何一方无法全部或部分履行本协议的事件。</w:t>
      </w:r>
    </w:p>
    <w:p w14:paraId="1CF8E1CD">
      <w:pPr>
        <w:spacing w:line="360" w:lineRule="auto"/>
        <w:ind w:firstLine="420" w:firstLineChars="200"/>
        <w:jc w:val="left"/>
        <w:rPr>
          <w:rFonts w:ascii="宋体" w:hAnsi="宋体"/>
          <w:bCs/>
          <w:szCs w:val="21"/>
        </w:rPr>
      </w:pPr>
      <w:r>
        <w:rPr>
          <w:rFonts w:hint="eastAsia" w:ascii="宋体" w:hAnsi="宋体"/>
          <w:bCs/>
          <w:szCs w:val="21"/>
        </w:rPr>
        <w:t>2.如果发生不可抗力事件，履行本协议受阻的一方应以最快捷的方式无延误地通知对方，并在不可抗力事件发生的5个工作日内向对方提供该事件的详细书面报告。</w:t>
      </w:r>
    </w:p>
    <w:p w14:paraId="401BE7B0">
      <w:pPr>
        <w:spacing w:line="360" w:lineRule="auto"/>
        <w:ind w:firstLine="420" w:firstLineChars="200"/>
        <w:jc w:val="left"/>
        <w:rPr>
          <w:rFonts w:ascii="宋体" w:hAnsi="宋体"/>
          <w:bCs/>
          <w:szCs w:val="21"/>
        </w:rPr>
      </w:pPr>
      <w:r>
        <w:rPr>
          <w:rFonts w:hint="eastAsia" w:ascii="宋体" w:hAnsi="宋体"/>
          <w:bCs/>
          <w:szCs w:val="21"/>
        </w:rPr>
        <w:t>3.受到不可抗力影响的一方应当采取所有合理行为消除不可抗力的影响及减少不可抗力对对方的损失，否则，应当承担由此造成的扩大损失。协议双方应根据不可抗力事件对履行本协议的影响，决定是否终止或推迟本协议的履行，或部分或全部地免除受阻方在本协议中的义务。</w:t>
      </w:r>
    </w:p>
    <w:p w14:paraId="6FA3A770">
      <w:pPr>
        <w:spacing w:line="360" w:lineRule="auto"/>
        <w:ind w:firstLine="420" w:firstLineChars="200"/>
        <w:jc w:val="left"/>
        <w:rPr>
          <w:rFonts w:ascii="宋体" w:hAnsi="宋体"/>
          <w:bCs/>
          <w:szCs w:val="21"/>
        </w:rPr>
      </w:pPr>
      <w:r>
        <w:rPr>
          <w:rFonts w:hint="eastAsia" w:ascii="宋体" w:hAnsi="宋体"/>
          <w:bCs/>
          <w:szCs w:val="21"/>
        </w:rPr>
        <w:t>4.因不可抗力导致当事人订立合同的目的不能实现或合同不能履行时，则甲方有权解除合同，且不承担违约责任。</w:t>
      </w:r>
    </w:p>
    <w:p w14:paraId="732A5F24">
      <w:pPr>
        <w:spacing w:line="360" w:lineRule="auto"/>
        <w:ind w:left="502" w:firstLine="0" w:firstLineChars="0"/>
        <w:jc w:val="left"/>
        <w:rPr>
          <w:rFonts w:hAnsi="宋体"/>
          <w:b/>
          <w:szCs w:val="21"/>
        </w:rPr>
      </w:pPr>
      <w:r>
        <w:rPr>
          <w:rFonts w:hint="eastAsia" w:hAnsi="宋体"/>
          <w:b/>
          <w:szCs w:val="21"/>
        </w:rPr>
        <w:t>十一、争议的解决</w:t>
      </w:r>
    </w:p>
    <w:p w14:paraId="702E1689">
      <w:pPr>
        <w:spacing w:line="360" w:lineRule="auto"/>
        <w:ind w:firstLine="420" w:firstLineChars="200"/>
        <w:jc w:val="left"/>
        <w:rPr>
          <w:rFonts w:ascii="宋体" w:hAnsi="宋体"/>
          <w:bCs/>
          <w:szCs w:val="21"/>
        </w:rPr>
      </w:pPr>
      <w:r>
        <w:rPr>
          <w:rFonts w:hint="eastAsia" w:ascii="宋体" w:hAnsi="宋体"/>
          <w:bCs/>
          <w:szCs w:val="21"/>
        </w:rPr>
        <w:t>1.因本合同的解释、执行或与本合同有关事项而产生的争议，应首先由双方通过友好协商解决。</w:t>
      </w:r>
    </w:p>
    <w:p w14:paraId="28611ECA">
      <w:pPr>
        <w:spacing w:line="360" w:lineRule="auto"/>
        <w:ind w:firstLine="420" w:firstLineChars="200"/>
        <w:jc w:val="left"/>
        <w:rPr>
          <w:rFonts w:ascii="宋体" w:hAnsi="宋体"/>
          <w:bCs/>
          <w:szCs w:val="21"/>
        </w:rPr>
      </w:pPr>
      <w:r>
        <w:rPr>
          <w:rFonts w:hint="eastAsia" w:ascii="宋体" w:hAnsi="宋体"/>
          <w:bCs/>
          <w:szCs w:val="21"/>
        </w:rPr>
        <w:t>2.如协商或调解不成，任何一方可将争议提交甲方住所地人民法院提起诉讼。</w:t>
      </w:r>
    </w:p>
    <w:p w14:paraId="189E258E">
      <w:pPr>
        <w:spacing w:line="360" w:lineRule="auto"/>
        <w:ind w:left="502" w:firstLine="0" w:firstLineChars="0"/>
        <w:jc w:val="left"/>
        <w:rPr>
          <w:rFonts w:hAnsi="宋体"/>
          <w:b/>
          <w:szCs w:val="21"/>
        </w:rPr>
      </w:pPr>
      <w:r>
        <w:rPr>
          <w:rFonts w:hint="eastAsia" w:hAnsi="宋体"/>
          <w:b/>
          <w:szCs w:val="21"/>
        </w:rPr>
        <w:t>十二、其他事项</w:t>
      </w:r>
    </w:p>
    <w:p w14:paraId="5FCC81F2">
      <w:pPr>
        <w:spacing w:line="360" w:lineRule="auto"/>
        <w:ind w:firstLine="420" w:firstLineChars="200"/>
        <w:jc w:val="left"/>
        <w:rPr>
          <w:rFonts w:ascii="宋体" w:hAnsi="宋体"/>
          <w:bCs/>
          <w:szCs w:val="21"/>
        </w:rPr>
      </w:pPr>
      <w:r>
        <w:rPr>
          <w:rFonts w:hint="eastAsia" w:ascii="宋体" w:hAnsi="宋体"/>
          <w:bCs/>
          <w:szCs w:val="21"/>
        </w:rPr>
        <w:t>1.甲、乙双方确认，本合同首页关于双方通讯地址、电话、传真均系真实有效，如有变更，变更方应在变更后48小时内通知对方。因一方变更前述通讯地址、电话、传真而未及时通知对方，造成对方无法发出通知的，由此造成的损失和后果由变更方承担。</w:t>
      </w:r>
    </w:p>
    <w:p w14:paraId="6A7084F3">
      <w:pPr>
        <w:spacing w:line="360" w:lineRule="auto"/>
        <w:ind w:firstLine="420" w:firstLineChars="200"/>
        <w:jc w:val="left"/>
        <w:rPr>
          <w:rFonts w:ascii="宋体" w:hAnsi="宋体"/>
          <w:bCs/>
          <w:szCs w:val="21"/>
        </w:rPr>
      </w:pPr>
      <w:r>
        <w:rPr>
          <w:rFonts w:hint="eastAsia" w:ascii="宋体" w:hAnsi="宋体"/>
          <w:bCs/>
          <w:szCs w:val="21"/>
        </w:rPr>
        <w:t>2.乙方将自行承担本合同涉及的所有税款。</w:t>
      </w:r>
    </w:p>
    <w:p w14:paraId="7A77439B">
      <w:pPr>
        <w:spacing w:line="360" w:lineRule="auto"/>
        <w:ind w:left="502" w:firstLine="0" w:firstLineChars="0"/>
        <w:jc w:val="left"/>
        <w:rPr>
          <w:rFonts w:hAnsi="宋体"/>
          <w:b/>
          <w:szCs w:val="21"/>
        </w:rPr>
      </w:pPr>
      <w:r>
        <w:rPr>
          <w:rFonts w:hint="eastAsia" w:hAnsi="宋体"/>
          <w:b/>
          <w:szCs w:val="21"/>
        </w:rPr>
        <w:t>十三、合同的生效及终止</w:t>
      </w:r>
    </w:p>
    <w:p w14:paraId="2507E9A1">
      <w:pPr>
        <w:spacing w:line="360" w:lineRule="auto"/>
        <w:ind w:firstLine="420" w:firstLineChars="200"/>
        <w:jc w:val="left"/>
        <w:rPr>
          <w:rFonts w:ascii="宋体" w:hAnsi="宋体"/>
          <w:bCs/>
          <w:szCs w:val="21"/>
        </w:rPr>
      </w:pPr>
      <w:r>
        <w:rPr>
          <w:rFonts w:hint="eastAsia" w:ascii="宋体" w:hAnsi="宋体"/>
          <w:bCs/>
          <w:szCs w:val="21"/>
        </w:rPr>
        <w:t>1.本合同自双方法定代表人或授权代理人签字盖章之日起生效，至甲乙双方履行完本合同项下全部义务之日终止。</w:t>
      </w:r>
    </w:p>
    <w:p w14:paraId="3C153EAB">
      <w:pPr>
        <w:spacing w:line="360" w:lineRule="auto"/>
        <w:ind w:left="502" w:firstLine="0" w:firstLineChars="0"/>
        <w:jc w:val="left"/>
        <w:rPr>
          <w:rFonts w:hAnsi="宋体"/>
          <w:b/>
          <w:szCs w:val="21"/>
        </w:rPr>
      </w:pPr>
      <w:r>
        <w:rPr>
          <w:rFonts w:hint="eastAsia" w:hAnsi="宋体"/>
          <w:b/>
          <w:szCs w:val="21"/>
        </w:rPr>
        <w:t>十四、合同变更、解除</w:t>
      </w:r>
    </w:p>
    <w:p w14:paraId="1AEF0B1F">
      <w:pPr>
        <w:spacing w:line="360" w:lineRule="auto"/>
        <w:ind w:firstLine="420" w:firstLineChars="200"/>
        <w:jc w:val="left"/>
        <w:rPr>
          <w:rFonts w:ascii="宋体" w:hAnsi="宋体"/>
          <w:bCs/>
          <w:szCs w:val="21"/>
        </w:rPr>
      </w:pPr>
      <w:r>
        <w:rPr>
          <w:rFonts w:hint="eastAsia" w:ascii="宋体" w:hAnsi="宋体"/>
          <w:bCs/>
          <w:szCs w:val="21"/>
        </w:rPr>
        <w:t>1.甲乙双方不得擅自变更本合同，但合同继续履行将损害国家和社会公共利益的除外。如必须对合同条款进行改动时，当事人双方须共同签署书面文件，作为合同的补充。</w:t>
      </w:r>
    </w:p>
    <w:p w14:paraId="61009E75">
      <w:pPr>
        <w:spacing w:line="360" w:lineRule="auto"/>
        <w:ind w:firstLine="420" w:firstLineChars="200"/>
        <w:jc w:val="left"/>
        <w:rPr>
          <w:rFonts w:ascii="宋体" w:hAnsi="宋体"/>
          <w:bCs/>
          <w:szCs w:val="21"/>
        </w:rPr>
      </w:pPr>
      <w:r>
        <w:rPr>
          <w:rFonts w:hint="eastAsia" w:ascii="宋体" w:hAnsi="宋体"/>
          <w:bCs/>
          <w:szCs w:val="21"/>
        </w:rPr>
        <w:t>2.甲方有权在事先通知乙方的情况下，改变工作的时间和安排，因此延误工作筹办的时间，甲方给乙方相应的顺延。</w:t>
      </w:r>
    </w:p>
    <w:p w14:paraId="109DECCA">
      <w:pPr>
        <w:spacing w:line="360" w:lineRule="auto"/>
        <w:ind w:left="502" w:firstLine="0" w:firstLineChars="0"/>
        <w:jc w:val="left"/>
        <w:rPr>
          <w:rFonts w:hAnsi="宋体"/>
          <w:b/>
          <w:szCs w:val="21"/>
        </w:rPr>
      </w:pPr>
      <w:r>
        <w:rPr>
          <w:rFonts w:hint="eastAsia" w:hAnsi="宋体"/>
          <w:b/>
          <w:szCs w:val="21"/>
        </w:rPr>
        <w:t>十五、转让</w:t>
      </w:r>
    </w:p>
    <w:p w14:paraId="5A690F92">
      <w:pPr>
        <w:spacing w:line="360" w:lineRule="auto"/>
        <w:ind w:firstLine="420" w:firstLineChars="200"/>
        <w:jc w:val="left"/>
        <w:rPr>
          <w:rFonts w:ascii="宋体" w:hAnsi="宋体"/>
          <w:bCs/>
          <w:szCs w:val="21"/>
        </w:rPr>
      </w:pPr>
      <w:r>
        <w:rPr>
          <w:rFonts w:hint="eastAsia" w:ascii="宋体" w:hAnsi="宋体"/>
          <w:bCs/>
          <w:szCs w:val="21"/>
        </w:rPr>
        <w:t>本合同任何一方未经另一方书面同意，不得将本合同规定的任何权利和义务转让给任何第三方。</w:t>
      </w:r>
    </w:p>
    <w:p w14:paraId="71224EE4">
      <w:pPr>
        <w:spacing w:line="360" w:lineRule="auto"/>
        <w:ind w:left="502" w:firstLine="0" w:firstLineChars="0"/>
        <w:jc w:val="left"/>
        <w:rPr>
          <w:rFonts w:hAnsi="宋体"/>
          <w:b/>
          <w:szCs w:val="21"/>
        </w:rPr>
      </w:pPr>
      <w:r>
        <w:rPr>
          <w:rFonts w:hint="eastAsia" w:hAnsi="宋体"/>
          <w:b/>
          <w:szCs w:val="21"/>
        </w:rPr>
        <w:t>十六、适用法律</w:t>
      </w:r>
    </w:p>
    <w:p w14:paraId="52E22471">
      <w:pPr>
        <w:spacing w:line="360" w:lineRule="auto"/>
        <w:ind w:firstLine="420" w:firstLineChars="200"/>
        <w:jc w:val="left"/>
        <w:rPr>
          <w:rFonts w:ascii="宋体" w:hAnsi="宋体"/>
          <w:bCs/>
          <w:szCs w:val="21"/>
        </w:rPr>
      </w:pPr>
      <w:r>
        <w:rPr>
          <w:rFonts w:hint="eastAsia" w:ascii="宋体" w:hAnsi="宋体"/>
          <w:bCs/>
          <w:szCs w:val="21"/>
        </w:rPr>
        <w:t>本合同的签署、执行等有关事项均适用中华人民共和国法律。</w:t>
      </w:r>
    </w:p>
    <w:p w14:paraId="36E9B930">
      <w:pPr>
        <w:spacing w:line="360" w:lineRule="auto"/>
        <w:ind w:left="502" w:firstLine="0" w:firstLineChars="0"/>
        <w:jc w:val="left"/>
        <w:rPr>
          <w:rFonts w:hAnsi="宋体"/>
          <w:b/>
          <w:szCs w:val="21"/>
        </w:rPr>
      </w:pPr>
      <w:r>
        <w:rPr>
          <w:rFonts w:hint="eastAsia" w:hAnsi="宋体"/>
          <w:b/>
          <w:szCs w:val="21"/>
        </w:rPr>
        <w:t>十七、合同的效力</w:t>
      </w:r>
    </w:p>
    <w:p w14:paraId="5884D676">
      <w:pPr>
        <w:spacing w:line="360" w:lineRule="auto"/>
        <w:ind w:firstLine="420" w:firstLineChars="200"/>
        <w:jc w:val="left"/>
        <w:rPr>
          <w:rFonts w:ascii="宋体" w:hAnsi="宋体"/>
          <w:bCs/>
          <w:szCs w:val="21"/>
        </w:rPr>
      </w:pPr>
      <w:r>
        <w:rPr>
          <w:rFonts w:hint="eastAsia" w:ascii="宋体" w:hAnsi="宋体"/>
          <w:bCs/>
          <w:szCs w:val="21"/>
        </w:rPr>
        <w:t>附件是本合同有效组成部分，与合同具同等法律效力。</w:t>
      </w:r>
    </w:p>
    <w:p w14:paraId="4A156AF2">
      <w:pPr>
        <w:spacing w:line="360" w:lineRule="auto"/>
        <w:ind w:left="502" w:firstLine="0" w:firstLineChars="0"/>
        <w:jc w:val="left"/>
        <w:rPr>
          <w:rFonts w:hAnsi="宋体"/>
          <w:b/>
          <w:szCs w:val="21"/>
        </w:rPr>
      </w:pPr>
      <w:r>
        <w:rPr>
          <w:rFonts w:hint="eastAsia" w:hAnsi="宋体"/>
          <w:b/>
          <w:szCs w:val="21"/>
        </w:rPr>
        <w:t>十八、 其他</w:t>
      </w:r>
    </w:p>
    <w:p w14:paraId="4B8A7B2C">
      <w:pPr>
        <w:spacing w:line="360" w:lineRule="auto"/>
        <w:ind w:firstLine="420" w:firstLineChars="200"/>
        <w:jc w:val="left"/>
        <w:rPr>
          <w:rFonts w:ascii="宋体" w:hAnsi="宋体"/>
          <w:bCs/>
          <w:szCs w:val="21"/>
        </w:rPr>
      </w:pPr>
      <w:r>
        <w:rPr>
          <w:rFonts w:hint="eastAsia" w:ascii="宋体" w:hAnsi="宋体"/>
          <w:bCs/>
          <w:szCs w:val="21"/>
        </w:rPr>
        <w:t>本合同一式</w:t>
      </w:r>
      <w:r>
        <w:rPr>
          <w:rFonts w:hint="eastAsia" w:ascii="宋体" w:hAnsi="宋体"/>
          <w:bCs/>
          <w:szCs w:val="21"/>
          <w:u w:val="single"/>
        </w:rPr>
        <w:t xml:space="preserve">   </w:t>
      </w:r>
      <w:r>
        <w:rPr>
          <w:rFonts w:hint="eastAsia" w:ascii="宋体" w:hAnsi="宋体"/>
          <w:bCs/>
          <w:szCs w:val="21"/>
        </w:rPr>
        <w:t>份，甲方持</w:t>
      </w:r>
      <w:r>
        <w:rPr>
          <w:rFonts w:hint="eastAsia" w:ascii="宋体" w:hAnsi="宋体"/>
          <w:bCs/>
          <w:szCs w:val="21"/>
          <w:u w:val="single"/>
        </w:rPr>
        <w:t xml:space="preserve">   </w:t>
      </w:r>
      <w:r>
        <w:rPr>
          <w:rFonts w:hint="eastAsia" w:ascii="宋体" w:hAnsi="宋体"/>
          <w:bCs/>
          <w:szCs w:val="21"/>
        </w:rPr>
        <w:t>份，乙方持</w:t>
      </w:r>
      <w:r>
        <w:rPr>
          <w:rFonts w:hint="eastAsia" w:ascii="宋体" w:hAnsi="宋体"/>
          <w:bCs/>
          <w:szCs w:val="21"/>
          <w:u w:val="single"/>
        </w:rPr>
        <w:t xml:space="preserve">   </w:t>
      </w:r>
      <w:r>
        <w:rPr>
          <w:rFonts w:hint="eastAsia" w:ascii="宋体" w:hAnsi="宋体"/>
          <w:bCs/>
          <w:szCs w:val="21"/>
        </w:rPr>
        <w:t>份，丙方持</w:t>
      </w:r>
      <w:r>
        <w:rPr>
          <w:rFonts w:hint="eastAsia" w:ascii="宋体" w:hAnsi="宋体"/>
          <w:bCs/>
          <w:szCs w:val="21"/>
          <w:u w:val="single"/>
        </w:rPr>
        <w:t xml:space="preserve">   </w:t>
      </w:r>
      <w:r>
        <w:rPr>
          <w:rFonts w:hint="eastAsia" w:ascii="宋体" w:hAnsi="宋体"/>
          <w:bCs/>
          <w:szCs w:val="21"/>
        </w:rPr>
        <w:t>份，具同等法律效力。</w:t>
      </w:r>
    </w:p>
    <w:p w14:paraId="0940FEA9">
      <w:pPr>
        <w:spacing w:line="360" w:lineRule="auto"/>
        <w:ind w:left="502" w:firstLine="0" w:firstLineChars="0"/>
        <w:jc w:val="left"/>
        <w:rPr>
          <w:rFonts w:hAnsi="宋体"/>
          <w:b/>
          <w:szCs w:val="21"/>
        </w:rPr>
      </w:pPr>
      <w:r>
        <w:rPr>
          <w:rFonts w:hint="eastAsia" w:hAnsi="宋体"/>
          <w:b/>
          <w:szCs w:val="21"/>
        </w:rPr>
        <w:t xml:space="preserve">十九、本合同不可分割之部分及解释顺序  </w:t>
      </w:r>
    </w:p>
    <w:p w14:paraId="7E8099DE">
      <w:pPr>
        <w:spacing w:line="360" w:lineRule="auto"/>
        <w:ind w:firstLine="420" w:firstLineChars="200"/>
        <w:jc w:val="left"/>
        <w:rPr>
          <w:rFonts w:ascii="宋体" w:hAnsi="宋体"/>
          <w:bCs/>
          <w:szCs w:val="21"/>
        </w:rPr>
      </w:pPr>
      <w:r>
        <w:rPr>
          <w:rFonts w:hint="eastAsia" w:ascii="宋体" w:hAnsi="宋体"/>
          <w:bCs/>
          <w:szCs w:val="21"/>
        </w:rPr>
        <w:t xml:space="preserve">1.合同书及附件； </w:t>
      </w:r>
    </w:p>
    <w:p w14:paraId="1BC90C36">
      <w:pPr>
        <w:spacing w:line="360" w:lineRule="auto"/>
        <w:ind w:firstLine="420" w:firstLineChars="200"/>
        <w:jc w:val="left"/>
        <w:rPr>
          <w:rFonts w:ascii="宋体" w:hAnsi="宋体"/>
          <w:bCs/>
          <w:szCs w:val="21"/>
        </w:rPr>
      </w:pPr>
      <w:r>
        <w:rPr>
          <w:rFonts w:hint="eastAsia" w:ascii="宋体" w:hAnsi="宋体"/>
          <w:bCs/>
          <w:szCs w:val="21"/>
        </w:rPr>
        <w:t xml:space="preserve">2.中标通知书； </w:t>
      </w:r>
    </w:p>
    <w:p w14:paraId="3EA8E5FA">
      <w:pPr>
        <w:spacing w:line="360" w:lineRule="auto"/>
        <w:ind w:firstLine="420" w:firstLineChars="200"/>
        <w:jc w:val="left"/>
        <w:rPr>
          <w:rFonts w:ascii="宋体" w:hAnsi="宋体"/>
          <w:bCs/>
          <w:szCs w:val="21"/>
        </w:rPr>
      </w:pPr>
      <w:r>
        <w:rPr>
          <w:rFonts w:hint="eastAsia" w:ascii="宋体" w:hAnsi="宋体"/>
          <w:bCs/>
          <w:szCs w:val="21"/>
        </w:rPr>
        <w:t xml:space="preserve">3.中标人投标文件及承诺书； </w:t>
      </w:r>
    </w:p>
    <w:p w14:paraId="2F139162">
      <w:pPr>
        <w:spacing w:line="360" w:lineRule="auto"/>
        <w:ind w:firstLine="420" w:firstLineChars="200"/>
        <w:jc w:val="left"/>
        <w:rPr>
          <w:rFonts w:ascii="宋体" w:hAnsi="宋体"/>
          <w:bCs/>
          <w:szCs w:val="21"/>
        </w:rPr>
      </w:pPr>
      <w:r>
        <w:rPr>
          <w:rFonts w:hint="eastAsia" w:ascii="宋体" w:hAnsi="宋体"/>
          <w:bCs/>
          <w:szCs w:val="21"/>
        </w:rPr>
        <w:t>4.招标文件。</w:t>
      </w:r>
    </w:p>
    <w:bookmarkEnd w:id="703"/>
    <w:bookmarkEnd w:id="704"/>
    <w:p w14:paraId="5A983696">
      <w:pPr>
        <w:spacing w:line="240" w:lineRule="auto"/>
        <w:ind w:firstLine="0" w:firstLineChars="0"/>
        <w:jc w:val="left"/>
        <w:rPr>
          <w:rFonts w:ascii="Times New Roman" w:hAnsi="Times New Roman" w:cs="Times New Roman"/>
        </w:rPr>
      </w:pPr>
      <w:r>
        <w:rPr>
          <w:rFonts w:hint="eastAsia" w:hAnsi="宋体" w:cs="宋体"/>
          <w:szCs w:val="21"/>
        </w:rPr>
        <w:br w:type="page"/>
      </w:r>
      <w:bookmarkStart w:id="705" w:name="_Toc489145749"/>
      <w:bookmarkStart w:id="706" w:name="_Toc38338315"/>
      <w:bookmarkStart w:id="707" w:name="_Toc23671"/>
    </w:p>
    <w:p w14:paraId="4232C6C4">
      <w:pPr>
        <w:pStyle w:val="2"/>
        <w:spacing w:before="165"/>
        <w:rPr>
          <w:rFonts w:ascii="Times New Roman" w:hAnsi="Times New Roman" w:cs="Times New Roman"/>
        </w:rPr>
      </w:pPr>
      <w:r>
        <w:rPr>
          <w:rFonts w:ascii="Times New Roman" w:hAnsi="Times New Roman" w:cs="Times New Roman"/>
        </w:rPr>
        <w:t>第四章</w:t>
      </w:r>
      <w:r>
        <w:rPr>
          <w:rFonts w:hint="eastAsia" w:ascii="Times New Roman" w:hAnsi="Times New Roman" w:cs="Times New Roman"/>
        </w:rPr>
        <w:t xml:space="preserve"> </w:t>
      </w:r>
      <w:r>
        <w:rPr>
          <w:rFonts w:ascii="Times New Roman" w:hAnsi="Times New Roman" w:cs="Times New Roman"/>
        </w:rPr>
        <w:t>投标文件格式</w:t>
      </w:r>
      <w:bookmarkEnd w:id="705"/>
      <w:bookmarkEnd w:id="706"/>
      <w:bookmarkEnd w:id="707"/>
    </w:p>
    <w:p w14:paraId="51CE38E1">
      <w:pPr>
        <w:widowControl/>
        <w:ind w:firstLine="0" w:firstLineChars="0"/>
        <w:jc w:val="center"/>
        <w:rPr>
          <w:rFonts w:hint="eastAsia" w:ascii="宋体" w:hAnsi="宋体" w:cs="宋体"/>
          <w:b/>
          <w:bCs/>
          <w:szCs w:val="21"/>
        </w:rPr>
      </w:pPr>
      <w:bookmarkStart w:id="708" w:name="OLE_LINK376"/>
      <w:bookmarkStart w:id="709" w:name="OLE_LINK373"/>
      <w:r>
        <w:rPr>
          <w:rFonts w:hint="eastAsia" w:ascii="宋体" w:hAnsi="宋体" w:cs="宋体"/>
          <w:b/>
          <w:bCs/>
          <w:szCs w:val="21"/>
          <w:lang w:bidi="ar"/>
        </w:rPr>
        <w:t>投标人编制文件须知</w:t>
      </w:r>
    </w:p>
    <w:bookmarkEnd w:id="708"/>
    <w:p w14:paraId="398EB51D">
      <w:pPr>
        <w:widowControl/>
        <w:numPr>
          <w:ilvl w:val="255"/>
          <w:numId w:val="0"/>
        </w:numPr>
        <w:ind w:firstLine="420" w:firstLineChars="200"/>
        <w:rPr>
          <w:rFonts w:hint="eastAsia"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6AF9AA7F">
      <w:pPr>
        <w:widowControl/>
        <w:ind w:firstLine="420"/>
        <w:rPr>
          <w:rFonts w:hint="eastAsia"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。未标记▲号的格式文件和招标文件未提供格式的内容，可由投标人自行编写。</w:t>
      </w:r>
    </w:p>
    <w:p w14:paraId="16BD0B2C">
      <w:pPr>
        <w:widowControl/>
        <w:ind w:firstLine="420"/>
        <w:rPr>
          <w:rFonts w:hint="eastAsia"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09"/>
    </w:p>
    <w:p w14:paraId="048605F4">
      <w:pPr>
        <w:widowControl/>
        <w:ind w:firstLine="420"/>
        <w:rPr>
          <w:rFonts w:hint="eastAsia"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30576EA5">
      <w:pPr>
        <w:ind w:firstLine="0" w:firstLineChars="0"/>
        <w:rPr>
          <w:rFonts w:hint="eastAsia"/>
        </w:rPr>
      </w:pPr>
    </w:p>
    <w:p w14:paraId="5F05429B">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3D89280F">
      <w:pPr>
        <w:pStyle w:val="3"/>
        <w:spacing w:before="0" w:beforeLines="0"/>
        <w:jc w:val="center"/>
        <w:rPr>
          <w:rFonts w:ascii="Times New Roman" w:hAnsi="Times New Roman" w:cs="Times New Roman"/>
        </w:rPr>
      </w:pPr>
      <w:bookmarkStart w:id="710" w:name="_Toc49935356"/>
      <w:bookmarkStart w:id="711" w:name="_Toc31707"/>
      <w:bookmarkStart w:id="712" w:name="_Toc36116087"/>
      <w:bookmarkStart w:id="713" w:name="_Toc68090078"/>
      <w:bookmarkStart w:id="714" w:name="OLE_LINK96"/>
      <w:r>
        <w:rPr>
          <w:rFonts w:hint="eastAsia" w:ascii="Times New Roman" w:hAnsi="Times New Roman" w:cs="Times New Roman"/>
        </w:rPr>
        <w:t>一、</w:t>
      </w:r>
      <w:r>
        <w:rPr>
          <w:rFonts w:ascii="Times New Roman" w:hAnsi="Times New Roman" w:cs="Times New Roman"/>
        </w:rPr>
        <w:t>资格</w:t>
      </w:r>
      <w:bookmarkEnd w:id="710"/>
      <w:bookmarkEnd w:id="711"/>
      <w:bookmarkEnd w:id="712"/>
      <w:bookmarkEnd w:id="713"/>
      <w:bookmarkStart w:id="715" w:name="_Toc213141104"/>
      <w:bookmarkStart w:id="716" w:name="_Toc272421900"/>
      <w:bookmarkStart w:id="717" w:name="_Toc51288985"/>
      <w:bookmarkStart w:id="718" w:name="_Toc26783956"/>
      <w:bookmarkStart w:id="719" w:name="_Toc49935357"/>
      <w:bookmarkStart w:id="720" w:name="_Toc68090079"/>
      <w:r>
        <w:rPr>
          <w:rFonts w:ascii="Times New Roman" w:hAnsi="Times New Roman" w:cs="Times New Roman"/>
          <w:bCs w:val="0"/>
          <w:szCs w:val="28"/>
        </w:rPr>
        <w:t>证明文件部分</w:t>
      </w:r>
    </w:p>
    <w:bookmarkEnd w:id="715"/>
    <w:bookmarkEnd w:id="716"/>
    <w:bookmarkEnd w:id="717"/>
    <w:p w14:paraId="03E7F04E">
      <w:pPr>
        <w:pStyle w:val="4"/>
        <w:spacing w:before="0" w:beforeLines="0"/>
        <w:ind w:firstLine="0" w:firstLineChars="0"/>
        <w:jc w:val="center"/>
        <w:rPr>
          <w:rFonts w:ascii="Times New Roman" w:hAnsi="Times New Roman" w:cs="Times New Roman"/>
          <w:b w:val="0"/>
          <w:bCs w:val="0"/>
          <w:sz w:val="28"/>
          <w:szCs w:val="28"/>
        </w:rPr>
      </w:pPr>
      <w:bookmarkStart w:id="721" w:name="OLE_LINK189"/>
      <w:bookmarkStart w:id="722"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21"/>
      <w:r>
        <w:rPr>
          <w:rFonts w:ascii="Times New Roman" w:hAnsi="Times New Roman" w:cs="Times New Roman"/>
          <w:b w:val="0"/>
          <w:bCs w:val="0"/>
          <w:sz w:val="28"/>
          <w:szCs w:val="28"/>
        </w:rPr>
        <w:t>材料</w:t>
      </w:r>
      <w:bookmarkEnd w:id="718"/>
      <w:bookmarkEnd w:id="719"/>
      <w:bookmarkEnd w:id="720"/>
      <w:bookmarkEnd w:id="722"/>
    </w:p>
    <w:p w14:paraId="11456B6A">
      <w:pPr>
        <w:ind w:firstLine="422"/>
        <w:rPr>
          <w:rFonts w:hint="eastAsia" w:ascii="宋体" w:hAnsi="宋体" w:cs="宋体"/>
          <w:b/>
          <w:szCs w:val="21"/>
        </w:rPr>
      </w:pPr>
      <w:bookmarkStart w:id="723" w:name="OLE_LINK54"/>
      <w:r>
        <w:rPr>
          <w:rFonts w:hint="eastAsia" w:ascii="宋体" w:hAnsi="宋体" w:cs="宋体"/>
          <w:b/>
          <w:bCs/>
          <w:szCs w:val="21"/>
        </w:rPr>
        <w:t>投标人提供的资格证明</w:t>
      </w:r>
      <w:r>
        <w:rPr>
          <w:rFonts w:hint="eastAsia" w:ascii="宋体" w:hAnsi="宋体" w:cs="宋体"/>
          <w:szCs w:val="21"/>
        </w:rPr>
        <w:t>材料应满</w:t>
      </w:r>
      <w:bookmarkStart w:id="724" w:name="OLE_LINK374"/>
      <w:r>
        <w:rPr>
          <w:rFonts w:hint="eastAsia" w:ascii="宋体" w:hAnsi="宋体" w:cs="宋体"/>
          <w:szCs w:val="21"/>
        </w:rPr>
        <w:t>足本项目招标公告中对申</w:t>
      </w:r>
      <w:bookmarkEnd w:id="724"/>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14"/>
      <w:bookmarkEnd w:id="723"/>
      <w:bookmarkStart w:id="725" w:name="OLE_LINK342"/>
      <w:r>
        <w:rPr>
          <w:rFonts w:hint="eastAsia" w:ascii="宋体" w:hAnsi="宋体" w:cs="宋体"/>
          <w:b/>
          <w:szCs w:val="21"/>
        </w:rPr>
        <w:t>。</w:t>
      </w:r>
      <w:bookmarkEnd w:id="725"/>
    </w:p>
    <w:p w14:paraId="3C8D8A98">
      <w:pPr>
        <w:ind w:firstLine="562"/>
        <w:rPr>
          <w:rFonts w:hint="eastAsia" w:hAnsi="宋体"/>
          <w:b/>
          <w:sz w:val="28"/>
          <w:szCs w:val="28"/>
        </w:rPr>
      </w:pPr>
      <w:r>
        <w:rPr>
          <w:rFonts w:hint="eastAsia" w:hAnsi="宋体"/>
          <w:b/>
          <w:sz w:val="28"/>
          <w:szCs w:val="28"/>
        </w:rPr>
        <w:br w:type="page"/>
      </w:r>
    </w:p>
    <w:p w14:paraId="42284833">
      <w:pPr>
        <w:widowControl/>
        <w:ind w:firstLine="0" w:firstLineChars="0"/>
        <w:jc w:val="left"/>
        <w:rPr>
          <w:rFonts w:hint="eastAsia" w:hAnsi="宋体"/>
          <w:b/>
          <w:sz w:val="28"/>
          <w:szCs w:val="28"/>
        </w:rPr>
      </w:pPr>
      <w:r>
        <w:rPr>
          <w:rFonts w:hint="eastAsia" w:hAnsi="宋体"/>
          <w:b/>
          <w:sz w:val="28"/>
          <w:szCs w:val="28"/>
        </w:rPr>
        <w:t>格式1：</w:t>
      </w:r>
    </w:p>
    <w:p w14:paraId="407E6D66">
      <w:pPr>
        <w:ind w:firstLine="562"/>
        <w:rPr>
          <w:rFonts w:hint="eastAsia" w:hAnsi="宋体"/>
          <w:b/>
          <w:sz w:val="28"/>
          <w:szCs w:val="28"/>
        </w:rPr>
      </w:pPr>
      <w:r>
        <w:rPr>
          <w:rFonts w:hint="eastAsia" w:ascii="宋体" w:hAnsi="宋体" w:cs="宋体"/>
          <w:b/>
          <w:bCs/>
          <w:szCs w:val="21"/>
        </w:rPr>
        <w:t>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r>
        <w:rPr>
          <w:rFonts w:hint="eastAsia" w:hAnsi="宋体"/>
          <w:b/>
          <w:sz w:val="28"/>
          <w:szCs w:val="28"/>
        </w:rPr>
        <w:br w:type="page"/>
      </w:r>
    </w:p>
    <w:p w14:paraId="404D2E8F">
      <w:pPr>
        <w:widowControl/>
        <w:ind w:firstLine="0" w:firstLineChars="0"/>
        <w:jc w:val="left"/>
        <w:rPr>
          <w:rFonts w:hint="eastAsia" w:hAnsi="宋体"/>
          <w:b/>
          <w:sz w:val="28"/>
          <w:szCs w:val="28"/>
        </w:rPr>
      </w:pPr>
      <w:r>
        <w:rPr>
          <w:rFonts w:hint="eastAsia" w:hAnsi="宋体"/>
          <w:b/>
          <w:sz w:val="28"/>
          <w:szCs w:val="28"/>
        </w:rPr>
        <w:t>格式2：</w:t>
      </w:r>
    </w:p>
    <w:p w14:paraId="0C5ED08D">
      <w:pPr>
        <w:ind w:firstLine="422"/>
        <w:rPr>
          <w:rFonts w:hint="eastAsia" w:ascii="宋体" w:hAnsi="宋体" w:cs="宋体"/>
          <w:szCs w:val="21"/>
        </w:rPr>
      </w:pPr>
      <w:r>
        <w:rPr>
          <w:rFonts w:hint="eastAsia" w:ascii="宋体" w:hAnsi="宋体" w:cs="宋体"/>
          <w:b/>
          <w:bCs/>
          <w:szCs w:val="21"/>
        </w:rPr>
        <w:t>具有良好的商业信誉和健全的财务会计制度：</w:t>
      </w:r>
    </w:p>
    <w:p w14:paraId="63404DDE">
      <w:pPr>
        <w:ind w:firstLine="422"/>
        <w:rPr>
          <w:rFonts w:hint="eastAsia" w:ascii="宋体" w:hAnsi="宋体" w:cs="宋体"/>
          <w:szCs w:val="21"/>
        </w:rPr>
      </w:pPr>
      <w:r>
        <w:rPr>
          <w:rFonts w:hint="eastAsia" w:ascii="宋体" w:hAnsi="宋体" w:cs="宋体"/>
          <w:b/>
          <w:bCs/>
          <w:szCs w:val="21"/>
          <w:lang w:val="en-US" w:eastAsia="zh-CN"/>
        </w:rPr>
        <w:t>1、</w:t>
      </w:r>
      <w:r>
        <w:rPr>
          <w:rFonts w:hint="eastAsia" w:ascii="宋体" w:hAnsi="宋体" w:cs="宋体"/>
          <w:b/>
          <w:bCs/>
          <w:szCs w:val="21"/>
        </w:rPr>
        <w:t>具有良好的商业信誉</w:t>
      </w:r>
      <w:r>
        <w:rPr>
          <w:rFonts w:hint="eastAsia" w:ascii="宋体" w:hAnsi="宋体" w:cs="宋体"/>
          <w:b/>
          <w:bCs/>
          <w:szCs w:val="21"/>
          <w:lang w:eastAsia="zh-CN"/>
        </w:rPr>
        <w:t>：</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241E22EA">
      <w:pPr>
        <w:ind w:firstLine="422"/>
        <w:rPr>
          <w:rFonts w:hint="eastAsia"/>
        </w:rPr>
      </w:pPr>
      <w:r>
        <w:rPr>
          <w:rFonts w:hint="eastAsia" w:ascii="宋体" w:hAnsi="宋体" w:cs="宋体"/>
          <w:b/>
          <w:bCs/>
          <w:szCs w:val="21"/>
          <w:lang w:val="en-US" w:eastAsia="zh-CN"/>
        </w:rPr>
        <w:t>2、</w:t>
      </w:r>
      <w:r>
        <w:rPr>
          <w:rFonts w:hint="eastAsia" w:ascii="宋体" w:hAnsi="宋体" w:cs="宋体"/>
          <w:b/>
          <w:bCs/>
          <w:kern w:val="0"/>
          <w:szCs w:val="21"/>
        </w:rPr>
        <w:t>具有健全的财务会计制度</w:t>
      </w:r>
      <w:r>
        <w:rPr>
          <w:rFonts w:hint="eastAsia" w:ascii="宋体" w:hAnsi="宋体" w:cs="宋体"/>
          <w:b/>
          <w:bCs/>
          <w:kern w:val="0"/>
          <w:szCs w:val="21"/>
          <w:lang w:eastAsia="zh-CN"/>
        </w:rPr>
        <w:t>：</w:t>
      </w:r>
      <w:r>
        <w:rPr>
          <w:rFonts w:hint="eastAsia" w:ascii="宋体" w:hAnsi="宋体" w:cs="宋体"/>
          <w:szCs w:val="21"/>
          <w:lang w:eastAsia="zh-CN"/>
        </w:rPr>
        <w:t>投标人须提供2024年经第三方审计的财务报告及报表，或提供自本项目投标文件提交截止时间前三个月内基本开户银行出具的资信证明。新成立企业，成立时间不足一年的，提供自本项目投标文件提交截止时间前三个月内基本开户银行出具的资信证明或自成立至今经第三方审计的财务报告及报表；</w:t>
      </w:r>
    </w:p>
    <w:p w14:paraId="75E9549D">
      <w:pPr>
        <w:ind w:firstLine="562"/>
        <w:rPr>
          <w:rFonts w:hint="eastAsia" w:hAnsi="宋体"/>
          <w:b/>
          <w:sz w:val="28"/>
          <w:szCs w:val="28"/>
        </w:rPr>
      </w:pPr>
      <w:r>
        <w:rPr>
          <w:rFonts w:hint="eastAsia" w:hAnsi="宋体"/>
          <w:b/>
          <w:sz w:val="28"/>
          <w:szCs w:val="28"/>
        </w:rPr>
        <w:br w:type="page"/>
      </w:r>
    </w:p>
    <w:p w14:paraId="0175E71B">
      <w:pPr>
        <w:widowControl/>
        <w:ind w:firstLine="0" w:firstLineChars="0"/>
        <w:jc w:val="left"/>
        <w:rPr>
          <w:rFonts w:hint="eastAsia" w:hAnsi="宋体"/>
          <w:b/>
          <w:sz w:val="28"/>
          <w:szCs w:val="28"/>
        </w:rPr>
      </w:pPr>
      <w:r>
        <w:rPr>
          <w:rFonts w:hint="eastAsia" w:hAnsi="宋体"/>
          <w:b/>
          <w:sz w:val="28"/>
          <w:szCs w:val="28"/>
        </w:rPr>
        <w:t>格式3：</w:t>
      </w:r>
    </w:p>
    <w:p w14:paraId="2B7CE5F3">
      <w:pPr>
        <w:widowControl/>
        <w:ind w:firstLine="422"/>
        <w:jc w:val="left"/>
        <w:rPr>
          <w:rFonts w:hint="eastAsia" w:ascii="宋体" w:hAnsi="宋体" w:cs="宋体"/>
          <w:b/>
          <w:szCs w:val="21"/>
        </w:rPr>
      </w:pPr>
      <w:r>
        <w:rPr>
          <w:rFonts w:hint="eastAsia" w:ascii="宋体" w:hAnsi="宋体" w:cs="宋体"/>
          <w:b/>
          <w:bCs/>
          <w:szCs w:val="21"/>
        </w:rPr>
        <w:t>具有履行合同所必需的设备和专业技术能力：</w:t>
      </w:r>
      <w:r>
        <w:rPr>
          <w:rFonts w:hint="eastAsia" w:ascii="宋体" w:hAnsi="宋体" w:cs="宋体"/>
          <w:szCs w:val="21"/>
        </w:rPr>
        <w:t>投标人须具有履行合同所必需的设备和专业技术能力（提供说明承诺或其他证明材料）；</w:t>
      </w:r>
    </w:p>
    <w:p w14:paraId="59CCAE1A">
      <w:pPr>
        <w:ind w:firstLine="562"/>
        <w:rPr>
          <w:rFonts w:hint="eastAsia" w:hAnsi="宋体"/>
          <w:b/>
          <w:sz w:val="28"/>
          <w:szCs w:val="28"/>
        </w:rPr>
      </w:pPr>
      <w:r>
        <w:rPr>
          <w:rFonts w:hint="eastAsia" w:hAnsi="宋体"/>
          <w:b/>
          <w:sz w:val="28"/>
          <w:szCs w:val="28"/>
        </w:rPr>
        <w:br w:type="page"/>
      </w:r>
    </w:p>
    <w:p w14:paraId="2D2DAE84">
      <w:pPr>
        <w:widowControl/>
        <w:ind w:firstLine="0" w:firstLineChars="0"/>
        <w:jc w:val="left"/>
        <w:rPr>
          <w:rFonts w:hint="eastAsia" w:hAnsi="宋体"/>
          <w:b/>
          <w:sz w:val="28"/>
          <w:szCs w:val="28"/>
        </w:rPr>
      </w:pPr>
      <w:r>
        <w:rPr>
          <w:rFonts w:hint="eastAsia" w:hAnsi="宋体"/>
          <w:b/>
          <w:sz w:val="28"/>
          <w:szCs w:val="28"/>
        </w:rPr>
        <w:t>格式4：</w:t>
      </w:r>
    </w:p>
    <w:p w14:paraId="096C3EF1">
      <w:pPr>
        <w:ind w:firstLine="422"/>
        <w:rPr>
          <w:rFonts w:hint="eastAsia" w:ascii="宋体" w:hAnsi="宋体" w:cs="宋体"/>
          <w:szCs w:val="21"/>
        </w:rPr>
      </w:pPr>
      <w:r>
        <w:rPr>
          <w:rFonts w:hint="eastAsia" w:ascii="宋体" w:hAnsi="宋体" w:cs="宋体"/>
          <w:b/>
          <w:bCs/>
          <w:szCs w:val="21"/>
        </w:rPr>
        <w:t>具有依法缴纳税收和社会保障资金的良好记录：</w:t>
      </w:r>
    </w:p>
    <w:p w14:paraId="1D348980">
      <w:pPr>
        <w:ind w:firstLine="422"/>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lang w:eastAsia="zh-CN"/>
        </w:rPr>
        <w:t>投标人须提供缴税所属时间在2024年1月1日起至提交投标文件截止之日前任意连续3个月的税务局税收通用缴款书复印件或银行电子缴税（费）凭证复印件或税务局出具纳税情况的相关证明。新成立企业，成立时间不足3个月的提供具有依法缴纳税收的证明或相关情况说明。投标人依法免税的，应提供依法免税的相关证明文件</w:t>
      </w:r>
      <w:r>
        <w:rPr>
          <w:rFonts w:hint="eastAsia" w:ascii="宋体" w:hAnsi="宋体" w:cs="宋体"/>
          <w:szCs w:val="21"/>
        </w:rPr>
        <w:t>；</w:t>
      </w:r>
    </w:p>
    <w:p w14:paraId="6790BDE2">
      <w:pPr>
        <w:ind w:firstLine="422"/>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lang w:eastAsia="zh-CN"/>
        </w:rPr>
        <w:t>投标人须提供缴费所属时间在2024年1月1日起至提交投标文件截止之日前任意连续3个月的社会保险费缴款书复印件或银行电子缴税（费）凭证复印件或社保管理部门出具的有效的缴款证明。新成立企业，成立时间不足3个月的提供具有社会保障资金的良好记录的证明或相关情况说明。投标人依法免缴的，应提供依法免缴的相关证明文件</w:t>
      </w:r>
      <w:r>
        <w:rPr>
          <w:rFonts w:hint="eastAsia" w:ascii="宋体" w:hAnsi="宋体" w:cs="宋体"/>
          <w:szCs w:val="21"/>
        </w:rPr>
        <w:t>；</w:t>
      </w:r>
    </w:p>
    <w:p w14:paraId="75E54635">
      <w:pPr>
        <w:ind w:firstLine="420"/>
        <w:rPr>
          <w:rFonts w:hint="eastAsia" w:ascii="宋体" w:hAnsi="宋体" w:cs="宋体"/>
          <w:szCs w:val="21"/>
        </w:rPr>
      </w:pPr>
    </w:p>
    <w:p w14:paraId="75DF86BC">
      <w:pPr>
        <w:ind w:firstLine="562"/>
        <w:rPr>
          <w:rFonts w:hint="eastAsia" w:hAnsi="宋体"/>
          <w:b/>
          <w:sz w:val="28"/>
          <w:szCs w:val="28"/>
        </w:rPr>
      </w:pPr>
      <w:r>
        <w:rPr>
          <w:rFonts w:hint="eastAsia" w:hAnsi="宋体"/>
          <w:b/>
          <w:sz w:val="28"/>
          <w:szCs w:val="28"/>
        </w:rPr>
        <w:br w:type="page"/>
      </w:r>
    </w:p>
    <w:p w14:paraId="61C8F908">
      <w:pPr>
        <w:widowControl/>
        <w:ind w:firstLine="0" w:firstLineChars="0"/>
        <w:jc w:val="left"/>
        <w:rPr>
          <w:rFonts w:hint="eastAsia" w:hAnsi="宋体"/>
          <w:b/>
          <w:sz w:val="28"/>
          <w:szCs w:val="28"/>
        </w:rPr>
      </w:pPr>
      <w:r>
        <w:rPr>
          <w:rFonts w:hint="eastAsia" w:hAnsi="宋体"/>
          <w:b/>
          <w:sz w:val="28"/>
          <w:szCs w:val="28"/>
        </w:rPr>
        <w:t>格式5：</w:t>
      </w:r>
    </w:p>
    <w:p w14:paraId="6AA1A5FE">
      <w:pPr>
        <w:widowControl/>
        <w:ind w:firstLine="422"/>
        <w:jc w:val="left"/>
        <w:rPr>
          <w:rFonts w:hint="eastAsia" w:ascii="宋体" w:hAnsi="宋体" w:cs="宋体"/>
          <w:b/>
          <w:szCs w:val="21"/>
        </w:rPr>
      </w:pPr>
      <w:r>
        <w:rPr>
          <w:rFonts w:hint="eastAsia" w:ascii="宋体" w:hAnsi="宋体" w:cs="宋体"/>
          <w:b/>
          <w:bCs/>
          <w:szCs w:val="21"/>
        </w:rPr>
        <w:t>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5BF49E34">
      <w:pPr>
        <w:ind w:firstLine="562"/>
        <w:rPr>
          <w:rFonts w:hint="eastAsia" w:hAnsi="宋体"/>
          <w:b/>
          <w:sz w:val="28"/>
          <w:szCs w:val="28"/>
        </w:rPr>
      </w:pPr>
      <w:r>
        <w:rPr>
          <w:rFonts w:hint="eastAsia" w:hAnsi="宋体"/>
          <w:b/>
          <w:sz w:val="28"/>
          <w:szCs w:val="28"/>
        </w:rPr>
        <w:br w:type="page"/>
      </w:r>
    </w:p>
    <w:p w14:paraId="3C35A226">
      <w:pPr>
        <w:widowControl/>
        <w:ind w:firstLine="0" w:firstLineChars="0"/>
        <w:jc w:val="left"/>
        <w:rPr>
          <w:rFonts w:hint="eastAsia" w:hAnsi="宋体"/>
          <w:b/>
          <w:sz w:val="28"/>
          <w:szCs w:val="28"/>
        </w:rPr>
      </w:pPr>
      <w:r>
        <w:rPr>
          <w:rFonts w:hint="eastAsia" w:hAnsi="宋体"/>
          <w:b/>
          <w:sz w:val="28"/>
          <w:szCs w:val="28"/>
        </w:rPr>
        <w:t>格式6：</w:t>
      </w:r>
    </w:p>
    <w:p w14:paraId="6BD82CA4">
      <w:pPr>
        <w:ind w:firstLine="422"/>
        <w:rPr>
          <w:rFonts w:hint="eastAsia" w:ascii="宋体" w:hAnsi="宋体" w:cs="宋体"/>
          <w:b/>
          <w:szCs w:val="21"/>
        </w:rPr>
      </w:pPr>
      <w:r>
        <w:rPr>
          <w:rFonts w:hint="eastAsia" w:ascii="宋体" w:hAnsi="宋体" w:cs="宋体"/>
          <w:b/>
          <w:bCs/>
          <w:szCs w:val="21"/>
        </w:rPr>
        <w:t>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kern w:val="2"/>
          <w:sz w:val="21"/>
          <w:szCs w:val="21"/>
          <w:lang w:val="en-US" w:eastAsia="zh-CN" w:bidi="ar"/>
        </w:rPr>
        <w:t>（提供投标人关联企业情况声明）</w:t>
      </w:r>
    </w:p>
    <w:p w14:paraId="16E56750">
      <w:pPr>
        <w:ind w:left="0" w:leftChars="0" w:firstLine="0" w:firstLineChars="0"/>
        <w:jc w:val="center"/>
        <w:outlineLvl w:val="2"/>
        <w:rPr>
          <w:rFonts w:hint="eastAsia" w:ascii="Times New Roman" w:hAnsi="Times New Roman" w:eastAsia="黑体" w:cs="Times New Roman"/>
          <w:sz w:val="28"/>
          <w:szCs w:val="28"/>
        </w:rPr>
      </w:pPr>
      <w:bookmarkStart w:id="726" w:name="OLE_LINK154"/>
      <w:r>
        <w:rPr>
          <w:rFonts w:hint="eastAsia" w:ascii="Times New Roman" w:hAnsi="Times New Roman" w:eastAsia="黑体" w:cs="Times New Roman"/>
          <w:sz w:val="28"/>
          <w:szCs w:val="28"/>
        </w:rPr>
        <w:t>▲</w:t>
      </w:r>
      <w:bookmarkStart w:id="727" w:name="OLE_LINK302"/>
      <w:r>
        <w:rPr>
          <w:rFonts w:hint="eastAsia" w:ascii="Times New Roman" w:hAnsi="Times New Roman" w:eastAsia="黑体" w:cs="Times New Roman"/>
          <w:sz w:val="28"/>
          <w:szCs w:val="28"/>
        </w:rPr>
        <w:t>投标人关联企业情况声明</w:t>
      </w:r>
      <w:bookmarkEnd w:id="727"/>
    </w:p>
    <w:p w14:paraId="3F16DDB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bookmarkStart w:id="728" w:name="OLE_LINK206"/>
      <w:r>
        <w:rPr>
          <w:rFonts w:hint="eastAsia" w:ascii="宋体" w:hAnsi="宋体" w:eastAsia="宋体" w:cs="宋体"/>
          <w:color w:val="auto"/>
          <w:sz w:val="21"/>
          <w:szCs w:val="21"/>
          <w:highlight w:val="none"/>
          <w:lang w:eastAsia="zh-CN"/>
        </w:rPr>
        <w:t>我方</w:t>
      </w:r>
      <w:r>
        <w:rPr>
          <w:rFonts w:hint="eastAsia" w:ascii="宋体" w:hAnsi="宋体" w:eastAsia="宋体" w:cs="宋体"/>
          <w:color w:val="auto"/>
          <w:sz w:val="21"/>
          <w:szCs w:val="21"/>
          <w:highlight w:val="none"/>
        </w:rPr>
        <w:t>郑重声明如下：</w:t>
      </w:r>
    </w:p>
    <w:p w14:paraId="32130C2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619A216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67ADA4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4E60A81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29" w:name="OLE_LINK207"/>
            <w:bookmarkStart w:id="730" w:name="OLE_LINK208" w:colFirst="0" w:colLast="4"/>
            <w:r>
              <w:rPr>
                <w:rFonts w:hint="eastAsia" w:ascii="宋体" w:hAnsi="宋体" w:eastAsia="宋体" w:cs="宋体"/>
                <w:color w:val="auto"/>
                <w:sz w:val="21"/>
                <w:szCs w:val="21"/>
                <w:highlight w:val="none"/>
              </w:rPr>
              <w:t>直接上级控股/管理单位/自然人控股股东名称</w:t>
            </w:r>
          </w:p>
        </w:tc>
        <w:tc>
          <w:tcPr>
            <w:tcW w:w="1053" w:type="pct"/>
            <w:tcBorders>
              <w:tl2br w:val="nil"/>
              <w:tr2bl w:val="nil"/>
            </w:tcBorders>
            <w:vAlign w:val="center"/>
          </w:tcPr>
          <w:p w14:paraId="4AB611B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对本单位的控股（出资）比例（%）</w:t>
            </w:r>
          </w:p>
        </w:tc>
        <w:tc>
          <w:tcPr>
            <w:tcW w:w="897" w:type="pct"/>
            <w:tcBorders>
              <w:tl2br w:val="nil"/>
              <w:tr2bl w:val="nil"/>
            </w:tcBorders>
            <w:vAlign w:val="center"/>
          </w:tcPr>
          <w:p w14:paraId="23DA4DE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927" w:type="pct"/>
            <w:tcBorders>
              <w:tl2br w:val="nil"/>
              <w:tr2bl w:val="nil"/>
            </w:tcBorders>
            <w:vAlign w:val="center"/>
          </w:tcPr>
          <w:p w14:paraId="642E670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663" w:type="pct"/>
            <w:tcBorders>
              <w:tl2br w:val="nil"/>
              <w:tr2bl w:val="nil"/>
            </w:tcBorders>
            <w:vAlign w:val="center"/>
          </w:tcPr>
          <w:p w14:paraId="58D2044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29"/>
      <w:bookmarkEnd w:id="730"/>
      <w:tr w14:paraId="05A48E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vAlign w:val="top"/>
          </w:tcPr>
          <w:p w14:paraId="15138A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053" w:type="pct"/>
            <w:tcBorders>
              <w:tl2br w:val="nil"/>
              <w:tr2bl w:val="nil"/>
            </w:tcBorders>
            <w:vAlign w:val="top"/>
          </w:tcPr>
          <w:p w14:paraId="2D9A1A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7" w:type="pct"/>
            <w:tcBorders>
              <w:tl2br w:val="nil"/>
              <w:tr2bl w:val="nil"/>
            </w:tcBorders>
            <w:vAlign w:val="top"/>
          </w:tcPr>
          <w:p w14:paraId="0E6ABA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27" w:type="pct"/>
            <w:tcBorders>
              <w:tl2br w:val="nil"/>
              <w:tr2bl w:val="nil"/>
            </w:tcBorders>
            <w:vAlign w:val="top"/>
          </w:tcPr>
          <w:p w14:paraId="77292C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63" w:type="pct"/>
            <w:tcBorders>
              <w:tl2br w:val="nil"/>
              <w:tr2bl w:val="nil"/>
            </w:tcBorders>
            <w:vAlign w:val="top"/>
          </w:tcPr>
          <w:p w14:paraId="2899A2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53BAEC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vAlign w:val="top"/>
          </w:tcPr>
          <w:p w14:paraId="2D53C9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53" w:type="pct"/>
            <w:tcBorders>
              <w:tl2br w:val="nil"/>
              <w:tr2bl w:val="nil"/>
            </w:tcBorders>
            <w:vAlign w:val="top"/>
          </w:tcPr>
          <w:p w14:paraId="357CDD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7" w:type="pct"/>
            <w:tcBorders>
              <w:tl2br w:val="nil"/>
              <w:tr2bl w:val="nil"/>
            </w:tcBorders>
            <w:vAlign w:val="top"/>
          </w:tcPr>
          <w:p w14:paraId="1E6A0B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27" w:type="pct"/>
            <w:tcBorders>
              <w:tl2br w:val="nil"/>
              <w:tr2bl w:val="nil"/>
            </w:tcBorders>
            <w:vAlign w:val="top"/>
          </w:tcPr>
          <w:p w14:paraId="7195EE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63" w:type="pct"/>
            <w:tcBorders>
              <w:tl2br w:val="nil"/>
              <w:tr2bl w:val="nil"/>
            </w:tcBorders>
            <w:vAlign w:val="top"/>
          </w:tcPr>
          <w:p w14:paraId="38EAD8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52AE6F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vAlign w:val="top"/>
          </w:tcPr>
          <w:p w14:paraId="087B72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4059E8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33C02F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31" w:name="OLE_LINK209" w:colFirst="0" w:colLast="4"/>
            <w:r>
              <w:rPr>
                <w:rFonts w:hint="eastAsia" w:ascii="宋体" w:hAnsi="宋体" w:eastAsia="宋体" w:cs="宋体"/>
                <w:color w:val="auto"/>
                <w:sz w:val="21"/>
                <w:szCs w:val="21"/>
                <w:highlight w:val="none"/>
              </w:rPr>
              <w:t>直接下级控股/管理单位名称</w:t>
            </w:r>
          </w:p>
        </w:tc>
        <w:tc>
          <w:tcPr>
            <w:tcW w:w="1053" w:type="pct"/>
            <w:tcBorders>
              <w:tl2br w:val="nil"/>
              <w:tr2bl w:val="nil"/>
            </w:tcBorders>
            <w:vAlign w:val="center"/>
          </w:tcPr>
          <w:p w14:paraId="277A6D9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本单位控股（出资）比例（%）</w:t>
            </w:r>
          </w:p>
        </w:tc>
        <w:tc>
          <w:tcPr>
            <w:tcW w:w="897" w:type="pct"/>
            <w:tcBorders>
              <w:tl2br w:val="nil"/>
              <w:tr2bl w:val="nil"/>
            </w:tcBorders>
            <w:vAlign w:val="center"/>
          </w:tcPr>
          <w:p w14:paraId="3A71693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927" w:type="pct"/>
            <w:tcBorders>
              <w:tl2br w:val="nil"/>
              <w:tr2bl w:val="nil"/>
            </w:tcBorders>
            <w:vAlign w:val="center"/>
          </w:tcPr>
          <w:p w14:paraId="476136C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663" w:type="pct"/>
            <w:tcBorders>
              <w:tl2br w:val="nil"/>
              <w:tr2bl w:val="nil"/>
            </w:tcBorders>
            <w:vAlign w:val="center"/>
          </w:tcPr>
          <w:p w14:paraId="4276E62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31"/>
      <w:tr w14:paraId="6E28A1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vAlign w:val="top"/>
          </w:tcPr>
          <w:p w14:paraId="1105BC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053" w:type="pct"/>
            <w:tcBorders>
              <w:tl2br w:val="nil"/>
              <w:tr2bl w:val="nil"/>
            </w:tcBorders>
            <w:vAlign w:val="top"/>
          </w:tcPr>
          <w:p w14:paraId="20424C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7" w:type="pct"/>
            <w:tcBorders>
              <w:tl2br w:val="nil"/>
              <w:tr2bl w:val="nil"/>
            </w:tcBorders>
            <w:vAlign w:val="top"/>
          </w:tcPr>
          <w:p w14:paraId="52CA1A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27" w:type="pct"/>
            <w:tcBorders>
              <w:tl2br w:val="nil"/>
              <w:tr2bl w:val="nil"/>
            </w:tcBorders>
            <w:vAlign w:val="top"/>
          </w:tcPr>
          <w:p w14:paraId="04FD2F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63" w:type="pct"/>
            <w:tcBorders>
              <w:tl2br w:val="nil"/>
              <w:tr2bl w:val="nil"/>
            </w:tcBorders>
            <w:vAlign w:val="top"/>
          </w:tcPr>
          <w:p w14:paraId="56A8C5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191B26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vAlign w:val="top"/>
          </w:tcPr>
          <w:p w14:paraId="7FD33E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53" w:type="pct"/>
            <w:tcBorders>
              <w:tl2br w:val="nil"/>
              <w:tr2bl w:val="nil"/>
            </w:tcBorders>
            <w:vAlign w:val="top"/>
          </w:tcPr>
          <w:p w14:paraId="7EE2AD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7" w:type="pct"/>
            <w:tcBorders>
              <w:tl2br w:val="nil"/>
              <w:tr2bl w:val="nil"/>
            </w:tcBorders>
            <w:vAlign w:val="top"/>
          </w:tcPr>
          <w:p w14:paraId="3D7B03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27" w:type="pct"/>
            <w:tcBorders>
              <w:tl2br w:val="nil"/>
              <w:tr2bl w:val="nil"/>
            </w:tcBorders>
            <w:vAlign w:val="top"/>
          </w:tcPr>
          <w:p w14:paraId="2DD8D2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63" w:type="pct"/>
            <w:tcBorders>
              <w:tl2br w:val="nil"/>
              <w:tr2bl w:val="nil"/>
            </w:tcBorders>
            <w:vAlign w:val="top"/>
          </w:tcPr>
          <w:p w14:paraId="68F7B7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14:paraId="3D180CB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5B18C1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2352" w:hRule="atLeast"/>
          <w:jc w:val="center"/>
        </w:trPr>
        <w:tc>
          <w:tcPr>
            <w:tcW w:w="1469" w:type="pct"/>
            <w:tcBorders>
              <w:tl2br w:val="nil"/>
              <w:tr2bl w:val="nil"/>
            </w:tcBorders>
            <w:vAlign w:val="center"/>
          </w:tcPr>
          <w:p w14:paraId="30A1B93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32" w:name="OLE_LINK210" w:colFirst="0" w:colLast="4"/>
            <w:r>
              <w:rPr>
                <w:rFonts w:hint="eastAsia" w:ascii="宋体" w:hAnsi="宋体" w:eastAsia="宋体" w:cs="宋体"/>
                <w:color w:val="auto"/>
                <w:sz w:val="21"/>
                <w:szCs w:val="21"/>
                <w:highlight w:val="none"/>
              </w:rPr>
              <w:t>其他兄弟单位名称</w:t>
            </w:r>
          </w:p>
        </w:tc>
        <w:tc>
          <w:tcPr>
            <w:tcW w:w="1046" w:type="pct"/>
            <w:tcBorders>
              <w:tl2br w:val="nil"/>
              <w:tr2bl w:val="nil"/>
            </w:tcBorders>
            <w:vAlign w:val="center"/>
          </w:tcPr>
          <w:p w14:paraId="303A7D0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同一直接上级控股/管理单位/自然人控股股东对该单位控股（出资）比例（%）</w:t>
            </w:r>
          </w:p>
        </w:tc>
        <w:tc>
          <w:tcPr>
            <w:tcW w:w="918" w:type="pct"/>
            <w:tcBorders>
              <w:tl2br w:val="nil"/>
              <w:tr2bl w:val="nil"/>
            </w:tcBorders>
            <w:vAlign w:val="center"/>
          </w:tcPr>
          <w:p w14:paraId="322EA34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894" w:type="pct"/>
            <w:tcBorders>
              <w:tl2br w:val="nil"/>
              <w:tr2bl w:val="nil"/>
            </w:tcBorders>
            <w:vAlign w:val="center"/>
          </w:tcPr>
          <w:p w14:paraId="7E611F8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671" w:type="pct"/>
            <w:tcBorders>
              <w:tl2br w:val="nil"/>
              <w:tr2bl w:val="nil"/>
            </w:tcBorders>
            <w:vAlign w:val="center"/>
          </w:tcPr>
          <w:p w14:paraId="6137E48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32"/>
      <w:tr w14:paraId="323DC1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vAlign w:val="top"/>
          </w:tcPr>
          <w:p w14:paraId="0FCB18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046" w:type="pct"/>
            <w:tcBorders>
              <w:tl2br w:val="nil"/>
              <w:tr2bl w:val="nil"/>
            </w:tcBorders>
            <w:vAlign w:val="top"/>
          </w:tcPr>
          <w:p w14:paraId="34FB55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18" w:type="pct"/>
            <w:tcBorders>
              <w:tl2br w:val="nil"/>
              <w:tr2bl w:val="nil"/>
            </w:tcBorders>
            <w:vAlign w:val="top"/>
          </w:tcPr>
          <w:p w14:paraId="448F94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4" w:type="pct"/>
            <w:tcBorders>
              <w:tl2br w:val="nil"/>
              <w:tr2bl w:val="nil"/>
            </w:tcBorders>
            <w:vAlign w:val="top"/>
          </w:tcPr>
          <w:p w14:paraId="6F1771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71" w:type="pct"/>
            <w:tcBorders>
              <w:tl2br w:val="nil"/>
              <w:tr2bl w:val="nil"/>
            </w:tcBorders>
            <w:vAlign w:val="top"/>
          </w:tcPr>
          <w:p w14:paraId="365856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392E29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vAlign w:val="top"/>
          </w:tcPr>
          <w:p w14:paraId="4144EF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46" w:type="pct"/>
            <w:tcBorders>
              <w:tl2br w:val="nil"/>
              <w:tr2bl w:val="nil"/>
            </w:tcBorders>
            <w:vAlign w:val="top"/>
          </w:tcPr>
          <w:p w14:paraId="0C92C7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918" w:type="pct"/>
            <w:tcBorders>
              <w:tl2br w:val="nil"/>
              <w:tr2bl w:val="nil"/>
            </w:tcBorders>
            <w:vAlign w:val="top"/>
          </w:tcPr>
          <w:p w14:paraId="32385F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94" w:type="pct"/>
            <w:tcBorders>
              <w:tl2br w:val="nil"/>
              <w:tr2bl w:val="nil"/>
            </w:tcBorders>
            <w:vAlign w:val="top"/>
          </w:tcPr>
          <w:p w14:paraId="50F1FF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671" w:type="pct"/>
            <w:tcBorders>
              <w:tl2br w:val="nil"/>
              <w:tr2bl w:val="nil"/>
            </w:tcBorders>
            <w:vAlign w:val="top"/>
          </w:tcPr>
          <w:p w14:paraId="61DF8C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14:paraId="6E74952C">
      <w:pPr>
        <w:ind w:firstLine="0"/>
        <w:rPr>
          <w:rFonts w:hint="eastAsia" w:ascii="宋体" w:hAnsi="宋体" w:cs="宋体"/>
          <w:szCs w:val="21"/>
        </w:rPr>
      </w:pPr>
      <w:r>
        <w:rPr>
          <w:rFonts w:hint="eastAsia" w:ascii="宋体" w:hAnsi="宋体" w:eastAsia="宋体" w:cs="宋体"/>
          <w:color w:val="auto"/>
          <w:sz w:val="21"/>
          <w:szCs w:val="21"/>
          <w:highlight w:val="none"/>
        </w:rPr>
        <w:t>注：如实填写</w:t>
      </w:r>
      <w:r>
        <w:rPr>
          <w:rFonts w:hint="eastAsia" w:ascii="宋体" w:hAnsi="宋体" w:cs="宋体"/>
          <w:color w:val="auto"/>
          <w:sz w:val="21"/>
          <w:szCs w:val="21"/>
          <w:highlight w:val="none"/>
          <w:lang w:val="en-US" w:eastAsia="zh-CN"/>
        </w:rPr>
        <w:t>上述表格中内容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若无控股/管理单位</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自然人控股股东</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兄弟单位关联企业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则在上述表格中填写“无”。</w:t>
      </w:r>
      <w:bookmarkEnd w:id="726"/>
      <w:bookmarkEnd w:id="728"/>
      <w:r>
        <w:rPr>
          <w:rFonts w:hint="eastAsia" w:ascii="宋体" w:hAnsi="宋体" w:cs="宋体"/>
          <w:szCs w:val="21"/>
        </w:rPr>
        <w:br w:type="page"/>
      </w:r>
    </w:p>
    <w:p w14:paraId="6E22B69C">
      <w:pPr>
        <w:widowControl/>
        <w:ind w:firstLine="0" w:firstLineChars="0"/>
        <w:jc w:val="center"/>
        <w:outlineLvl w:val="2"/>
        <w:rPr>
          <w:rFonts w:ascii="Times New Roman" w:hAnsi="Times New Roman" w:eastAsia="黑体" w:cs="Times New Roman"/>
          <w:sz w:val="28"/>
          <w:szCs w:val="28"/>
        </w:rPr>
      </w:pPr>
      <w:bookmarkStart w:id="733" w:name="OLE_LINK367"/>
      <w:bookmarkStart w:id="734" w:name="OLE_LINK257"/>
      <w:bookmarkStart w:id="735" w:name="_Toc23663"/>
      <w:bookmarkStart w:id="736" w:name="OLE_LINK97"/>
      <w:bookmarkStart w:id="737" w:name="_Toc68090077"/>
      <w:bookmarkStart w:id="738" w:name="_Toc49935360"/>
      <w:bookmarkStart w:id="739" w:name="_Toc68090080"/>
      <w:bookmarkStart w:id="740" w:name="_Toc36116104"/>
      <w:r>
        <w:rPr>
          <w:rFonts w:hint="eastAsia" w:ascii="Times New Roman" w:hAnsi="Times New Roman" w:eastAsia="黑体" w:cs="Times New Roman"/>
          <w:sz w:val="28"/>
          <w:szCs w:val="28"/>
        </w:rPr>
        <w:t>承</w:t>
      </w:r>
      <w:bookmarkStart w:id="741" w:name="OLE_LINK86"/>
      <w:r>
        <w:rPr>
          <w:rFonts w:hint="eastAsia" w:ascii="Times New Roman" w:hAnsi="Times New Roman" w:eastAsia="黑体" w:cs="Times New Roman"/>
          <w:sz w:val="28"/>
          <w:szCs w:val="28"/>
        </w:rPr>
        <w:t>诺书</w:t>
      </w:r>
      <w:bookmarkEnd w:id="741"/>
    </w:p>
    <w:p w14:paraId="63B582D3">
      <w:pPr>
        <w:widowControl/>
        <w:spacing w:line="480" w:lineRule="auto"/>
        <w:ind w:firstLine="0" w:firstLineChars="0"/>
        <w:jc w:val="left"/>
        <w:rPr>
          <w:rFonts w:hint="eastAsia" w:ascii="宋体" w:hAnsi="宋体" w:cs="宋体"/>
          <w:szCs w:val="21"/>
        </w:rPr>
      </w:pPr>
      <w:bookmarkStart w:id="742" w:name="OLE_LINK191"/>
      <w:r>
        <w:rPr>
          <w:rFonts w:hint="eastAsia" w:ascii="宋体" w:hAnsi="宋体" w:cs="宋体"/>
          <w:color w:val="000000"/>
          <w:kern w:val="0"/>
          <w:szCs w:val="21"/>
          <w:lang w:bidi="ar"/>
        </w:rPr>
        <w:t>致：</w:t>
      </w:r>
      <w:r>
        <w:rPr>
          <w:rFonts w:hint="eastAsia" w:ascii="宋体" w:hAnsi="宋体" w:cs="宋体"/>
          <w:szCs w:val="21"/>
        </w:rPr>
        <w:t>（采购人名称）：</w:t>
      </w:r>
    </w:p>
    <w:p w14:paraId="28E4587E">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在参与本次项目投标中，我单位承诺：</w:t>
      </w:r>
    </w:p>
    <w:p w14:paraId="559473F7">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43" w:name="OLE_LINK190"/>
      <w:r>
        <w:rPr>
          <w:rFonts w:hint="eastAsia" w:ascii="宋体" w:hAnsi="宋体" w:cs="宋体"/>
          <w:color w:val="000000"/>
          <w:kern w:val="0"/>
          <w:szCs w:val="21"/>
          <w:lang w:bidi="ar"/>
        </w:rPr>
        <w:t>1）</w:t>
      </w:r>
      <w:bookmarkEnd w:id="743"/>
      <w:r>
        <w:rPr>
          <w:rFonts w:hint="eastAsia" w:ascii="宋体" w:hAnsi="宋体" w:cs="宋体"/>
          <w:color w:val="000000"/>
          <w:kern w:val="0"/>
          <w:szCs w:val="21"/>
          <w:lang w:bidi="ar"/>
        </w:rPr>
        <w:t>具有履行合同所必需的设备和专业技术能力；</w:t>
      </w:r>
    </w:p>
    <w:p w14:paraId="524B70BE">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080296D0">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（3）我单位不存在为采购项目</w:t>
      </w:r>
      <w:r>
        <w:rPr>
          <w:rFonts w:hint="eastAsia" w:ascii="宋体" w:hAnsi="宋体" w:cs="宋体"/>
          <w:szCs w:val="21"/>
          <w:lang w:bidi="ar"/>
        </w:rPr>
        <w:t>提供整体设计、规范编制或者项目管理、监理、检测等服务</w:t>
      </w:r>
      <w:r>
        <w:rPr>
          <w:rFonts w:hint="eastAsia" w:ascii="宋体" w:hAnsi="宋体" w:cs="宋体"/>
          <w:color w:val="000000"/>
          <w:kern w:val="0"/>
          <w:szCs w:val="21"/>
          <w:lang w:bidi="ar"/>
        </w:rPr>
        <w:t>后，再参加该采购项目的其他采购活动的情形；</w:t>
      </w:r>
    </w:p>
    <w:p w14:paraId="77742A27">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51B068DF">
      <w:pPr>
        <w:spacing w:line="480" w:lineRule="auto"/>
        <w:ind w:firstLine="422"/>
        <w:jc w:val="left"/>
        <w:rPr>
          <w:rFonts w:hint="eastAsia" w:ascii="宋体" w:hAnsi="宋体" w:cs="宋体"/>
          <w:b/>
          <w:bCs/>
          <w:szCs w:val="21"/>
        </w:rPr>
      </w:pPr>
    </w:p>
    <w:p w14:paraId="64ACED81">
      <w:pPr>
        <w:spacing w:line="480" w:lineRule="auto"/>
        <w:ind w:firstLine="422"/>
        <w:jc w:val="left"/>
        <w:rPr>
          <w:rFonts w:hint="eastAsia" w:ascii="宋体" w:hAnsi="宋体" w:cs="宋体"/>
          <w:b/>
          <w:bCs/>
          <w:szCs w:val="21"/>
        </w:rPr>
      </w:pPr>
    </w:p>
    <w:p w14:paraId="6B1105E1">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53C743BD">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42"/>
    <w:p w14:paraId="452F0BEF">
      <w:pPr>
        <w:ind w:firstLine="422"/>
        <w:rPr>
          <w:rFonts w:ascii="Times New Roman" w:hAnsi="Times New Roman" w:cs="Times New Roman"/>
          <w:b/>
          <w:szCs w:val="21"/>
        </w:rPr>
      </w:pPr>
      <w:r>
        <w:rPr>
          <w:rFonts w:ascii="Times New Roman" w:hAnsi="Times New Roman" w:cs="Times New Roman"/>
          <w:b/>
          <w:szCs w:val="21"/>
        </w:rPr>
        <w:br w:type="page"/>
      </w:r>
    </w:p>
    <w:p w14:paraId="790483C1">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33"/>
      <w:r>
        <w:rPr>
          <w:rFonts w:hint="eastAsia" w:ascii="Times New Roman" w:hAnsi="Times New Roman" w:cs="Times New Roman"/>
        </w:rPr>
        <w:t>、报价</w:t>
      </w:r>
      <w:r>
        <w:rPr>
          <w:rFonts w:ascii="Times New Roman" w:hAnsi="Times New Roman" w:cs="Times New Roman"/>
        </w:rPr>
        <w:t>文件部分</w:t>
      </w:r>
      <w:bookmarkEnd w:id="734"/>
      <w:bookmarkEnd w:id="735"/>
      <w:bookmarkEnd w:id="736"/>
      <w:bookmarkEnd w:id="737"/>
    </w:p>
    <w:p w14:paraId="129AF77E">
      <w:pPr>
        <w:pStyle w:val="4"/>
        <w:spacing w:before="0" w:beforeLines="0"/>
        <w:ind w:firstLine="0" w:firstLineChars="0"/>
        <w:jc w:val="center"/>
        <w:rPr>
          <w:rFonts w:hint="eastAsia" w:ascii="黑体" w:hAnsi="黑体" w:cs="黑体"/>
          <w:b w:val="0"/>
          <w:bCs w:val="0"/>
          <w:sz w:val="28"/>
          <w:szCs w:val="28"/>
        </w:rPr>
      </w:pPr>
      <w:bookmarkStart w:id="744" w:name="_Toc31699"/>
      <w:bookmarkStart w:id="745" w:name="OLE_LINK100"/>
      <w:r>
        <w:rPr>
          <w:rFonts w:hint="eastAsia" w:ascii="Times New Roman" w:hAnsi="Times New Roman" w:cs="Times New Roman"/>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69C41A6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EF78F86">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69285C8F">
            <w:pPr>
              <w:ind w:firstLine="0" w:firstLineChars="0"/>
              <w:jc w:val="left"/>
              <w:rPr>
                <w:rFonts w:ascii="Times New Roman" w:hAnsi="Times New Roman" w:cs="Times New Roman"/>
                <w:szCs w:val="21"/>
              </w:rPr>
            </w:pPr>
          </w:p>
        </w:tc>
      </w:tr>
      <w:tr w14:paraId="2DC9AAB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5C4A803">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14B9ADBB">
            <w:pPr>
              <w:ind w:firstLine="0" w:firstLineChars="0"/>
              <w:jc w:val="left"/>
              <w:rPr>
                <w:rFonts w:hint="eastAsia" w:ascii="Times New Roman" w:hAnsi="Times New Roman" w:eastAsia="宋体" w:cs="Times New Roman"/>
                <w:szCs w:val="21"/>
                <w:lang w:val="en-US" w:eastAsia="zh-CN"/>
              </w:rPr>
            </w:pPr>
            <w:r>
              <w:rPr>
                <w:rFonts w:ascii="Times New Roman" w:hAnsi="Times New Roman" w:cs="Times New Roman"/>
                <w:szCs w:val="21"/>
              </w:rPr>
              <w:t>小写：¥</w:t>
            </w:r>
            <w:r>
              <w:rPr>
                <w:rFonts w:hint="eastAsia" w:ascii="Times New Roman" w:hAnsi="Times New Roman" w:cs="Times New Roman"/>
                <w:szCs w:val="21"/>
                <w:lang w:val="en-US" w:eastAsia="zh-CN"/>
              </w:rPr>
              <w:t xml:space="preserve">    元</w:t>
            </w:r>
          </w:p>
          <w:p w14:paraId="4C282A69">
            <w:pPr>
              <w:ind w:firstLine="0" w:firstLineChars="0"/>
              <w:jc w:val="left"/>
              <w:rPr>
                <w:rFonts w:hint="eastAsia" w:ascii="Times New Roman" w:hAnsi="Times New Roman" w:eastAsia="宋体" w:cs="Times New Roman"/>
                <w:szCs w:val="21"/>
                <w:lang w:val="en-US" w:eastAsia="zh-CN"/>
              </w:rPr>
            </w:pPr>
            <w:r>
              <w:rPr>
                <w:rFonts w:ascii="Times New Roman" w:hAnsi="Times New Roman" w:cs="Times New Roman"/>
                <w:szCs w:val="21"/>
              </w:rPr>
              <w:t>大写：人民币</w:t>
            </w:r>
          </w:p>
        </w:tc>
      </w:tr>
      <w:tr w14:paraId="4FB2415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13AA96D6">
            <w:pPr>
              <w:ind w:firstLine="0" w:firstLineChars="0"/>
              <w:jc w:val="center"/>
              <w:rPr>
                <w:rFonts w:hint="eastAsia" w:ascii="Times New Roman" w:hAnsi="Times New Roman" w:eastAsia="宋体" w:cs="Times New Roman"/>
                <w:szCs w:val="21"/>
                <w:lang w:eastAsia="zh-CN"/>
              </w:rPr>
            </w:pPr>
            <w:r>
              <w:rPr>
                <w:rFonts w:hint="eastAsia" w:ascii="Times New Roman" w:hAnsi="Times New Roman" w:cs="Times New Roman"/>
                <w:szCs w:val="21"/>
                <w:lang w:eastAsia="zh-CN"/>
              </w:rPr>
              <w:t>合同履行期限（服务期限）</w:t>
            </w:r>
          </w:p>
        </w:tc>
        <w:tc>
          <w:tcPr>
            <w:tcW w:w="6181" w:type="dxa"/>
            <w:vAlign w:val="center"/>
          </w:tcPr>
          <w:p w14:paraId="32A6B7C9">
            <w:pPr>
              <w:ind w:firstLine="0" w:firstLineChars="0"/>
              <w:jc w:val="center"/>
              <w:rPr>
                <w:rFonts w:ascii="Times New Roman" w:hAnsi="Times New Roman" w:cs="Times New Roman"/>
                <w:szCs w:val="21"/>
              </w:rPr>
            </w:pPr>
          </w:p>
        </w:tc>
      </w:tr>
      <w:tr w14:paraId="61CF6C0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0DBB017A">
            <w:pPr>
              <w:ind w:firstLine="0" w:firstLineChars="0"/>
              <w:jc w:val="center"/>
              <w:rPr>
                <w:rFonts w:hint="eastAsia" w:ascii="Times New Roman" w:hAnsi="Times New Roman" w:eastAsia="宋体" w:cs="Times New Roman"/>
                <w:szCs w:val="21"/>
                <w:lang w:eastAsia="zh-CN"/>
              </w:rPr>
            </w:pPr>
            <w:r>
              <w:rPr>
                <w:rFonts w:hint="eastAsia" w:ascii="宋体" w:hAnsi="宋体" w:cs="宋体"/>
                <w:szCs w:val="21"/>
                <w:lang w:eastAsia="zh-CN"/>
              </w:rPr>
              <w:t>交付（或实施）地点</w:t>
            </w:r>
          </w:p>
        </w:tc>
        <w:tc>
          <w:tcPr>
            <w:tcW w:w="6181" w:type="dxa"/>
            <w:vAlign w:val="center"/>
          </w:tcPr>
          <w:p w14:paraId="5FD72F45">
            <w:pPr>
              <w:ind w:firstLine="0" w:firstLineChars="0"/>
              <w:jc w:val="center"/>
              <w:rPr>
                <w:rFonts w:ascii="Times New Roman" w:hAnsi="Times New Roman" w:cs="Times New Roman"/>
                <w:szCs w:val="21"/>
              </w:rPr>
            </w:pPr>
          </w:p>
        </w:tc>
      </w:tr>
      <w:tr w14:paraId="1B31AB9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4546E8D5">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A4DAB13">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65491EB0">
            <w:pPr>
              <w:ind w:firstLine="0" w:firstLineChars="0"/>
              <w:jc w:val="center"/>
              <w:rPr>
                <w:rFonts w:ascii="Times New Roman" w:hAnsi="Times New Roman" w:cs="Times New Roman"/>
                <w:szCs w:val="21"/>
              </w:rPr>
            </w:pPr>
          </w:p>
        </w:tc>
      </w:tr>
    </w:tbl>
    <w:p w14:paraId="20FF0013">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lang w:val="en-US" w:eastAsia="zh-CN"/>
          <w14:textFill>
            <w14:solidFill>
              <w14:schemeClr w14:val="tx1"/>
            </w14:solidFill>
          </w14:textFill>
        </w:rPr>
        <w:t>1.</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60A62270">
      <w:pPr>
        <w:ind w:firstLine="420"/>
        <w:rPr>
          <w:rFonts w:ascii="Times New Roman" w:hAnsi="Times New Roman" w:cs="Times New Roman"/>
        </w:rPr>
      </w:pPr>
      <w:r>
        <w:rPr>
          <w:rFonts w:ascii="Times New Roman" w:hAnsi="Times New Roman" w:cs="Times New Roman"/>
        </w:rPr>
        <w:br w:type="page"/>
      </w:r>
    </w:p>
    <w:p w14:paraId="31A6D80C">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38"/>
      <w:bookmarkEnd w:id="739"/>
      <w:bookmarkEnd w:id="744"/>
    </w:p>
    <w:bookmarkEnd w:id="745"/>
    <w:p w14:paraId="16288BF7">
      <w:pPr>
        <w:ind w:firstLine="0" w:firstLineChars="0"/>
        <w:rPr>
          <w:rFonts w:hint="eastAsia" w:hAnsi="宋体"/>
          <w:b/>
          <w:sz w:val="28"/>
          <w:szCs w:val="28"/>
        </w:rPr>
      </w:pPr>
      <w:bookmarkStart w:id="746" w:name="_Toc68090098"/>
      <w:bookmarkStart w:id="747" w:name="_Toc44576639"/>
      <w:bookmarkStart w:id="748" w:name="_Toc25819"/>
      <w:bookmarkStart w:id="749" w:name="_Toc26783977"/>
      <w:bookmarkStart w:id="750" w:name="OLE_LINK156"/>
      <w:bookmarkStart w:id="751" w:name="_Toc51288987"/>
      <w:bookmarkStart w:id="752" w:name="_Hlk519063903"/>
      <w:bookmarkStart w:id="753" w:name="_Toc213141106"/>
      <w:bookmarkStart w:id="754" w:name="_Toc68090081"/>
      <w:bookmarkStart w:id="755" w:name="_Toc3848"/>
      <w:bookmarkStart w:id="756" w:name="_Toc49935361"/>
      <w:bookmarkStart w:id="757" w:name="_Toc272421901"/>
      <w:bookmarkStart w:id="758" w:name="_Toc26783960"/>
      <w:r>
        <w:rPr>
          <w:rFonts w:hint="eastAsia" w:hAnsi="宋体"/>
          <w:b/>
          <w:sz w:val="28"/>
          <w:szCs w:val="28"/>
        </w:rPr>
        <w:t>格式1：</w:t>
      </w:r>
    </w:p>
    <w:p w14:paraId="1A28D1A9">
      <w:pPr>
        <w:ind w:firstLine="0" w:firstLineChars="0"/>
        <w:jc w:val="center"/>
        <w:outlineLvl w:val="2"/>
        <w:rPr>
          <w:rFonts w:hint="eastAsia" w:ascii="Times New Roman" w:hAnsi="Times New Roman" w:eastAsia="黑体" w:cs="Times New Roman"/>
          <w:sz w:val="28"/>
          <w:szCs w:val="28"/>
          <w:lang w:eastAsia="zh-CN"/>
        </w:rPr>
      </w:pPr>
      <w:r>
        <w:rPr>
          <w:rFonts w:hint="eastAsia" w:ascii="Times New Roman" w:hAnsi="Times New Roman" w:eastAsia="黑体" w:cs="Times New Roman"/>
          <w:sz w:val="28"/>
          <w:szCs w:val="28"/>
        </w:rPr>
        <w:t>▲</w:t>
      </w:r>
      <w:bookmarkEnd w:id="746"/>
      <w:bookmarkEnd w:id="747"/>
      <w:bookmarkEnd w:id="748"/>
      <w:bookmarkEnd w:id="749"/>
      <w:r>
        <w:rPr>
          <w:rFonts w:hint="eastAsia" w:ascii="Times New Roman" w:hAnsi="Times New Roman" w:eastAsia="黑体" w:cs="Times New Roman"/>
          <w:sz w:val="28"/>
          <w:szCs w:val="28"/>
          <w:lang w:eastAsia="zh-CN"/>
        </w:rPr>
        <w:t>技术要求偏离表</w:t>
      </w:r>
    </w:p>
    <w:p w14:paraId="0408517A">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sz w:val="21"/>
          <w:szCs w:val="21"/>
          <w:lang w:eastAsia="zh-CN"/>
        </w:rPr>
      </w:pPr>
      <w:bookmarkStart w:id="759" w:name="OLE_LINK126"/>
      <w:bookmarkStart w:id="760" w:name="OLE_LINK197"/>
      <w:bookmarkStart w:id="761" w:name="OLE_LINK62"/>
      <w:r>
        <w:rPr>
          <w:rFonts w:hint="eastAsia" w:ascii="宋体" w:hAnsi="宋体" w:eastAsia="宋体" w:cs="宋体"/>
          <w:sz w:val="21"/>
          <w:szCs w:val="21"/>
        </w:rPr>
        <w:t>请对应招标文件</w:t>
      </w:r>
      <w:r>
        <w:rPr>
          <w:rFonts w:hint="eastAsia" w:ascii="宋体" w:hAnsi="宋体" w:cs="宋体"/>
          <w:szCs w:val="21"/>
        </w:rPr>
        <w:t>第五章《采购需求》中</w:t>
      </w:r>
      <w:r>
        <w:rPr>
          <w:rFonts w:hint="eastAsia" w:ascii="宋体" w:hAnsi="宋体" w:cs="宋体"/>
          <w:szCs w:val="21"/>
          <w:lang w:val="en-US" w:eastAsia="zh-CN"/>
        </w:rPr>
        <w:t>二、技术要求</w:t>
      </w:r>
      <w:r>
        <w:rPr>
          <w:rFonts w:hint="eastAsia" w:ascii="宋体" w:hAnsi="宋体" w:eastAsia="宋体" w:cs="宋体"/>
          <w:sz w:val="21"/>
          <w:szCs w:val="21"/>
          <w:lang w:val="en-US" w:eastAsia="zh-CN"/>
        </w:rPr>
        <w:t>的内容</w:t>
      </w:r>
      <w:r>
        <w:rPr>
          <w:rFonts w:hint="eastAsia" w:ascii="宋体" w:hAnsi="宋体" w:eastAsia="宋体" w:cs="宋体"/>
          <w:sz w:val="21"/>
          <w:szCs w:val="21"/>
        </w:rPr>
        <w:t>认真填写该表</w:t>
      </w:r>
      <w:r>
        <w:rPr>
          <w:rFonts w:hint="eastAsia" w:ascii="宋体" w:hAnsi="宋体" w:eastAsia="宋体" w:cs="宋体"/>
          <w:sz w:val="21"/>
          <w:szCs w:val="21"/>
          <w:lang w:eastAsia="zh-CN"/>
        </w:rPr>
        <w:t>。</w:t>
      </w:r>
    </w:p>
    <w:p w14:paraId="49C9A22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bCs/>
          <w:color w:val="auto"/>
          <w:sz w:val="21"/>
          <w:szCs w:val="21"/>
        </w:rPr>
      </w:pPr>
      <w:bookmarkStart w:id="762" w:name="OLE_LINK194"/>
      <w:r>
        <w:rPr>
          <w:rFonts w:hint="eastAsia" w:ascii="宋体" w:hAnsi="宋体" w:eastAsia="宋体" w:cs="宋体"/>
          <w:b/>
          <w:bCs/>
          <w:color w:val="auto"/>
          <w:sz w:val="21"/>
          <w:szCs w:val="21"/>
        </w:rPr>
        <w:t>A、□我公司已详细阅读招标文件中</w:t>
      </w:r>
      <w:bookmarkStart w:id="763" w:name="OLE_LINK195"/>
      <w:r>
        <w:rPr>
          <w:rFonts w:hint="eastAsia" w:ascii="宋体" w:hAnsi="宋体" w:eastAsia="宋体" w:cs="宋体"/>
          <w:b/>
          <w:bCs/>
          <w:color w:val="auto"/>
          <w:sz w:val="21"/>
          <w:szCs w:val="21"/>
          <w:lang w:val="en-US" w:eastAsia="zh-CN"/>
        </w:rPr>
        <w:t>技术</w:t>
      </w:r>
      <w:bookmarkEnd w:id="763"/>
      <w:r>
        <w:rPr>
          <w:rFonts w:hint="eastAsia" w:ascii="宋体" w:hAnsi="宋体" w:eastAsia="宋体" w:cs="宋体"/>
          <w:b/>
          <w:bCs/>
          <w:color w:val="auto"/>
          <w:sz w:val="21"/>
          <w:szCs w:val="21"/>
        </w:rPr>
        <w:t>要求，所有</w:t>
      </w:r>
      <w:r>
        <w:rPr>
          <w:rFonts w:hint="eastAsia" w:ascii="宋体" w:hAnsi="宋体" w:eastAsia="宋体" w:cs="宋体"/>
          <w:b/>
          <w:bCs/>
          <w:color w:val="auto"/>
          <w:sz w:val="21"/>
          <w:szCs w:val="21"/>
          <w:lang w:val="en-US" w:eastAsia="zh-CN"/>
        </w:rPr>
        <w:t>技术</w:t>
      </w:r>
      <w:r>
        <w:rPr>
          <w:rFonts w:hint="eastAsia" w:ascii="宋体" w:hAnsi="宋体" w:eastAsia="宋体" w:cs="宋体"/>
          <w:b/>
          <w:bCs/>
          <w:color w:val="auto"/>
          <w:sz w:val="21"/>
          <w:szCs w:val="21"/>
        </w:rPr>
        <w:t>要求均无偏离，</w:t>
      </w:r>
      <w:bookmarkStart w:id="764" w:name="OLE_LINK379"/>
      <w:r>
        <w:rPr>
          <w:rFonts w:hint="eastAsia" w:ascii="宋体" w:hAnsi="宋体" w:eastAsia="宋体" w:cs="宋体"/>
          <w:b/>
          <w:bCs/>
          <w:color w:val="auto"/>
          <w:sz w:val="21"/>
          <w:szCs w:val="21"/>
        </w:rPr>
        <w:t>中标后我公司将严格遵照执行</w:t>
      </w:r>
      <w:bookmarkEnd w:id="764"/>
      <w:r>
        <w:rPr>
          <w:rFonts w:hint="eastAsia" w:ascii="宋体" w:hAnsi="宋体" w:eastAsia="宋体" w:cs="宋体"/>
          <w:b/>
          <w:bCs/>
          <w:color w:val="auto"/>
          <w:sz w:val="21"/>
          <w:szCs w:val="21"/>
        </w:rPr>
        <w:t>。</w:t>
      </w:r>
    </w:p>
    <w:p w14:paraId="57F52A17">
      <w:pPr>
        <w:pStyle w:val="11"/>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 w:val="21"/>
          <w:szCs w:val="21"/>
        </w:rPr>
      </w:pPr>
      <w:r>
        <w:rPr>
          <w:rFonts w:hint="eastAsia" w:ascii="宋体" w:hAnsi="宋体" w:eastAsia="宋体" w:cs="宋体"/>
          <w:b/>
          <w:bCs/>
          <w:color w:val="auto"/>
          <w:sz w:val="21"/>
          <w:szCs w:val="21"/>
        </w:rPr>
        <w:t>B、□我公司已详细阅读招标文件中</w:t>
      </w:r>
      <w:r>
        <w:rPr>
          <w:rFonts w:hint="eastAsia" w:ascii="宋体" w:hAnsi="宋体" w:eastAsia="宋体" w:cs="宋体"/>
          <w:b/>
          <w:bCs/>
          <w:color w:val="auto"/>
          <w:sz w:val="21"/>
          <w:szCs w:val="21"/>
          <w:lang w:val="en-US" w:eastAsia="zh-CN"/>
        </w:rPr>
        <w:t>技术</w:t>
      </w:r>
      <w:r>
        <w:rPr>
          <w:rFonts w:hint="eastAsia" w:ascii="宋体" w:hAnsi="宋体" w:eastAsia="宋体" w:cs="宋体"/>
          <w:b/>
          <w:bCs/>
          <w:color w:val="auto"/>
          <w:sz w:val="21"/>
          <w:szCs w:val="21"/>
        </w:rPr>
        <w:t>要求，除下述条款有偏离外，其余条款我公司均予以认可，中标后将严格遵照执行。</w:t>
      </w:r>
      <w:bookmarkEnd w:id="762"/>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0D6D37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7" w:type="pct"/>
            <w:vAlign w:val="center"/>
          </w:tcPr>
          <w:p w14:paraId="074505C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序号</w:t>
            </w:r>
          </w:p>
        </w:tc>
        <w:tc>
          <w:tcPr>
            <w:tcW w:w="684" w:type="pct"/>
            <w:vAlign w:val="center"/>
          </w:tcPr>
          <w:p w14:paraId="50EDB0A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lang w:val="en-US" w:eastAsia="zh-CN"/>
              </w:rPr>
              <w:t>标的</w:t>
            </w:r>
            <w:r>
              <w:rPr>
                <w:rFonts w:hint="eastAsia" w:ascii="宋体" w:hAnsi="宋体" w:eastAsia="宋体" w:cs="宋体"/>
                <w:b/>
                <w:sz w:val="21"/>
                <w:szCs w:val="21"/>
              </w:rPr>
              <w:t>名称</w:t>
            </w:r>
          </w:p>
        </w:tc>
        <w:tc>
          <w:tcPr>
            <w:tcW w:w="1354" w:type="pct"/>
            <w:vAlign w:val="center"/>
          </w:tcPr>
          <w:p w14:paraId="5CE2D96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招标文件技术规范、要求</w:t>
            </w:r>
          </w:p>
        </w:tc>
        <w:tc>
          <w:tcPr>
            <w:tcW w:w="1102" w:type="pct"/>
            <w:vAlign w:val="center"/>
          </w:tcPr>
          <w:p w14:paraId="0B6AA9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宋体" w:hAnsi="宋体" w:eastAsia="宋体" w:cs="宋体"/>
                <w:b/>
                <w:sz w:val="21"/>
                <w:szCs w:val="21"/>
                <w:lang w:val="en-US" w:eastAsia="zh-CN"/>
              </w:rPr>
            </w:pPr>
            <w:r>
              <w:rPr>
                <w:rFonts w:hint="eastAsia" w:ascii="宋体" w:hAnsi="宋体" w:cs="宋体"/>
                <w:b/>
                <w:sz w:val="21"/>
                <w:szCs w:val="21"/>
                <w:lang w:val="en-US" w:eastAsia="zh-CN"/>
              </w:rPr>
              <w:t>投标文件应答情况</w:t>
            </w:r>
          </w:p>
        </w:tc>
        <w:tc>
          <w:tcPr>
            <w:tcW w:w="580" w:type="pct"/>
            <w:vAlign w:val="center"/>
          </w:tcPr>
          <w:p w14:paraId="1A8B240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偏离</w:t>
            </w:r>
          </w:p>
        </w:tc>
        <w:tc>
          <w:tcPr>
            <w:tcW w:w="921" w:type="pct"/>
            <w:vAlign w:val="center"/>
          </w:tcPr>
          <w:p w14:paraId="7ED7793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技术支持资料索引（页码及条目号等）</w:t>
            </w:r>
          </w:p>
        </w:tc>
      </w:tr>
      <w:tr w14:paraId="3591C8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7" w:type="pct"/>
            <w:vAlign w:val="center"/>
          </w:tcPr>
          <w:p w14:paraId="7734519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0D99C5F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7A3078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03B8A75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494BB85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04B3AB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00D89E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27E3F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652CE1B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1CD4BB2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018C28A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6383BC5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69B69AB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43D2B1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0CBB8A9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7D1A065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6CD08D9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4157552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0AFC612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43698F8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76CAF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26C4B4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68DF6B0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023C2E0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5A58D74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1E09673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2C9B4FE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2C240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3E933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78B1336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37A04E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33FEC3D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613A45A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3785525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5BD9E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823CB3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5E6FC20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0726CDB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29AA1C7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73C9355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00354BE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251D94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1EC230C">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1"/>
                <w:szCs w:val="21"/>
              </w:rPr>
            </w:pPr>
          </w:p>
        </w:tc>
        <w:tc>
          <w:tcPr>
            <w:tcW w:w="684" w:type="pct"/>
            <w:vAlign w:val="center"/>
          </w:tcPr>
          <w:p w14:paraId="7B81198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49D3D56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1F47407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2C28678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73184A7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39BAA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57DE6FE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4E0A9F1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471629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376576B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6990CF2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6553AEC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49FA27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5935FA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5D0989A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469EA5E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73F5F14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33821EA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3BD366A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r w14:paraId="292FEC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3AE23A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684" w:type="pct"/>
            <w:vAlign w:val="center"/>
          </w:tcPr>
          <w:p w14:paraId="65C6A93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354" w:type="pct"/>
            <w:vAlign w:val="center"/>
          </w:tcPr>
          <w:p w14:paraId="1D0DF0C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1102" w:type="pct"/>
            <w:vAlign w:val="center"/>
          </w:tcPr>
          <w:p w14:paraId="368516D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580" w:type="pct"/>
          </w:tcPr>
          <w:p w14:paraId="3381BF5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c>
          <w:tcPr>
            <w:tcW w:w="921" w:type="pct"/>
            <w:vAlign w:val="center"/>
          </w:tcPr>
          <w:p w14:paraId="3C9FD73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rPr>
            </w:pPr>
          </w:p>
        </w:tc>
      </w:tr>
    </w:tbl>
    <w:p w14:paraId="10C8D9B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b/>
          <w:sz w:val="21"/>
          <w:szCs w:val="21"/>
        </w:rPr>
      </w:pPr>
      <w:r>
        <w:rPr>
          <w:rFonts w:hint="eastAsia" w:ascii="宋体" w:hAnsi="宋体" w:eastAsia="宋体" w:cs="宋体"/>
          <w:b/>
          <w:sz w:val="21"/>
          <w:szCs w:val="21"/>
        </w:rPr>
        <w:t>表格填写说明：</w:t>
      </w:r>
    </w:p>
    <w:p w14:paraId="013A3515">
      <w:pPr>
        <w:pStyle w:val="11"/>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1、投标人根据应根据实际投标情况，填写本表格，若无偏离，则</w:t>
      </w:r>
      <w:r>
        <w:rPr>
          <w:rFonts w:hint="eastAsia" w:ascii="宋体" w:hAnsi="宋体" w:eastAsia="宋体" w:cs="宋体"/>
          <w:b/>
          <w:bCs/>
          <w:color w:val="auto"/>
          <w:sz w:val="21"/>
          <w:szCs w:val="21"/>
        </w:rPr>
        <w:t>勾选A项</w:t>
      </w:r>
      <w:r>
        <w:rPr>
          <w:rFonts w:hint="eastAsia" w:ascii="宋体" w:hAnsi="宋体" w:eastAsia="宋体" w:cs="宋体"/>
          <w:color w:val="auto"/>
          <w:sz w:val="21"/>
          <w:szCs w:val="21"/>
        </w:rPr>
        <w:t>。若有偏离，则</w:t>
      </w:r>
      <w:r>
        <w:rPr>
          <w:rFonts w:hint="eastAsia" w:ascii="宋体" w:hAnsi="宋体" w:eastAsia="宋体" w:cs="宋体"/>
          <w:b/>
          <w:bCs/>
          <w:color w:val="auto"/>
          <w:sz w:val="21"/>
          <w:szCs w:val="21"/>
        </w:rPr>
        <w:t>勾选B项</w:t>
      </w:r>
      <w:r>
        <w:rPr>
          <w:rFonts w:hint="eastAsia" w:ascii="宋体" w:hAnsi="宋体" w:eastAsia="宋体" w:cs="宋体"/>
          <w:color w:val="auto"/>
          <w:sz w:val="21"/>
          <w:szCs w:val="21"/>
        </w:rPr>
        <w:t>，按表格要求及实际情况填写。表格中只需填写有“偏离”部分，“无偏离”部分不用填写。</w:t>
      </w:r>
    </w:p>
    <w:p w14:paraId="3E08B0F6">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auto"/>
          <w:sz w:val="21"/>
          <w:szCs w:val="21"/>
        </w:rPr>
      </w:pPr>
      <w:bookmarkStart w:id="765" w:name="OLE_LINK33"/>
      <w:r>
        <w:rPr>
          <w:rFonts w:hint="eastAsia" w:ascii="宋体" w:hAnsi="宋体" w:eastAsia="宋体" w:cs="宋体"/>
          <w:color w:val="auto"/>
          <w:sz w:val="21"/>
          <w:szCs w:val="21"/>
        </w:rPr>
        <w:t>2</w:t>
      </w:r>
      <w:bookmarkEnd w:id="765"/>
      <w:r>
        <w:rPr>
          <w:rFonts w:hint="eastAsia" w:ascii="宋体" w:hAnsi="宋体" w:eastAsia="宋体" w:cs="宋体"/>
          <w:color w:val="auto"/>
          <w:sz w:val="21"/>
          <w:szCs w:val="21"/>
        </w:rPr>
        <w:t>、“偏离”系指“正偏离”、“负偏离”或“无偏离”。</w:t>
      </w:r>
    </w:p>
    <w:p w14:paraId="38980F3C">
      <w:pPr>
        <w:pStyle w:val="11"/>
        <w:rPr>
          <w:rFonts w:hint="eastAsia"/>
        </w:rPr>
      </w:pPr>
      <w:r>
        <w:rPr>
          <w:rFonts w:hint="eastAsia" w:ascii="宋体" w:hAnsi="宋体" w:eastAsia="宋体" w:cs="宋体"/>
          <w:color w:val="auto"/>
          <w:sz w:val="21"/>
          <w:szCs w:val="21"/>
        </w:rPr>
        <w:t>3、勾选示例：</w:t>
      </w:r>
      <w:r>
        <w:rPr>
          <w:rFonts w:hint="eastAsia" w:ascii="宋体" w:hAnsi="宋体" w:eastAsia="宋体" w:cs="宋体"/>
          <w:b/>
          <w:bCs/>
          <w:color w:val="auto"/>
          <w:sz w:val="21"/>
          <w:szCs w:val="21"/>
        </w:rPr>
        <w:sym w:font="Wingdings 2" w:char="0052"/>
      </w:r>
      <w:bookmarkEnd w:id="750"/>
      <w:bookmarkEnd w:id="759"/>
      <w:bookmarkEnd w:id="760"/>
      <w:bookmarkEnd w:id="761"/>
      <w:bookmarkStart w:id="766" w:name="_Hlk478971614"/>
      <w:bookmarkStart w:id="767" w:name="OLE_LINK157"/>
    </w:p>
    <w:p w14:paraId="156AFABF">
      <w:pPr>
        <w:ind w:firstLine="420"/>
        <w:rPr>
          <w:rFonts w:hint="eastAsia"/>
        </w:rPr>
      </w:pPr>
      <w:r>
        <w:rPr>
          <w:rFonts w:hint="eastAsia"/>
        </w:rPr>
        <w:br w:type="page"/>
      </w:r>
      <w:bookmarkEnd w:id="766"/>
      <w:bookmarkStart w:id="768" w:name="_Toc78985528"/>
      <w:bookmarkStart w:id="769" w:name="_Toc68090103"/>
    </w:p>
    <w:p w14:paraId="3DA5B683">
      <w:pPr>
        <w:ind w:firstLine="0" w:firstLineChars="0"/>
        <w:rPr>
          <w:rFonts w:hint="eastAsia" w:hAnsi="宋体"/>
          <w:b/>
          <w:sz w:val="28"/>
          <w:szCs w:val="28"/>
        </w:rPr>
      </w:pPr>
      <w:bookmarkStart w:id="770" w:name="OLE_LINK198"/>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p>
    <w:p w14:paraId="1E8720D0">
      <w:pPr>
        <w:ind w:firstLine="0" w:firstLineChars="0"/>
        <w:jc w:val="center"/>
        <w:outlineLvl w:val="2"/>
        <w:rPr>
          <w:rFonts w:ascii="Times New Roman" w:hAnsi="Times New Roman" w:eastAsia="黑体" w:cs="Times New Roman"/>
          <w:sz w:val="30"/>
          <w:szCs w:val="30"/>
        </w:rPr>
      </w:pPr>
      <w:r>
        <w:rPr>
          <w:rFonts w:ascii="Times New Roman" w:hAnsi="Times New Roman" w:eastAsia="黑体" w:cs="Times New Roman"/>
          <w:sz w:val="30"/>
          <w:szCs w:val="30"/>
        </w:rPr>
        <w:t>其</w:t>
      </w:r>
      <w:bookmarkStart w:id="771" w:name="OLE_LINK225"/>
      <w:r>
        <w:rPr>
          <w:rFonts w:ascii="Times New Roman" w:hAnsi="Times New Roman" w:eastAsia="黑体" w:cs="Times New Roman"/>
          <w:sz w:val="30"/>
          <w:szCs w:val="30"/>
        </w:rPr>
        <w:t>它技术资</w:t>
      </w:r>
      <w:bookmarkEnd w:id="771"/>
      <w:r>
        <w:rPr>
          <w:rFonts w:ascii="Times New Roman" w:hAnsi="Times New Roman" w:eastAsia="黑体" w:cs="Times New Roman"/>
          <w:sz w:val="30"/>
          <w:szCs w:val="30"/>
        </w:rPr>
        <w:t>料</w:t>
      </w:r>
      <w:bookmarkEnd w:id="768"/>
      <w:bookmarkEnd w:id="769"/>
    </w:p>
    <w:bookmarkEnd w:id="770"/>
    <w:p w14:paraId="5368FE78">
      <w:pPr>
        <w:ind w:firstLine="422"/>
        <w:rPr>
          <w:rFonts w:hint="eastAsia" w:ascii="宋体" w:hAnsi="宋体" w:cs="宋体"/>
          <w:b/>
          <w:bCs/>
          <w:szCs w:val="21"/>
        </w:rPr>
      </w:pPr>
      <w:bookmarkStart w:id="772" w:name="OLE_LINK205"/>
      <w:bookmarkStart w:id="773" w:name="_Hlk478978464"/>
      <w:r>
        <w:rPr>
          <w:rFonts w:hint="eastAsia" w:ascii="宋体" w:hAnsi="宋体" w:cs="宋体"/>
          <w:b/>
          <w:bCs/>
          <w:szCs w:val="21"/>
        </w:rPr>
        <w:t>以下内容根据项目技术部分评分内容进行编制：</w:t>
      </w:r>
    </w:p>
    <w:p w14:paraId="6629D3A5">
      <w:pPr>
        <w:ind w:firstLine="422"/>
        <w:rPr>
          <w:rFonts w:hint="eastAsia" w:ascii="宋体" w:hAnsi="宋体" w:cs="宋体"/>
          <w:b/>
          <w:bCs/>
          <w:szCs w:val="21"/>
        </w:rPr>
      </w:pPr>
      <w:bookmarkStart w:id="774" w:name="OLE_LINK200"/>
      <w:r>
        <w:rPr>
          <w:rFonts w:hint="eastAsia" w:ascii="宋体" w:hAnsi="宋体" w:cs="宋体"/>
          <w:b/>
          <w:bCs/>
          <w:szCs w:val="21"/>
        </w:rPr>
        <w:br w:type="page"/>
      </w:r>
    </w:p>
    <w:p w14:paraId="027ABD74">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-1：</w:t>
      </w:r>
    </w:p>
    <w:bookmarkEnd w:id="774"/>
    <w:p w14:paraId="3E874EBC">
      <w:pPr>
        <w:ind w:firstLine="0" w:firstLineChars="0"/>
        <w:jc w:val="center"/>
        <w:rPr>
          <w:rFonts w:hint="eastAsia" w:ascii="宋体" w:hAnsi="宋体" w:cs="宋体"/>
          <w:b/>
          <w:bCs/>
          <w:sz w:val="32"/>
          <w:szCs w:val="32"/>
        </w:rPr>
      </w:pPr>
      <w:r>
        <w:rPr>
          <w:rFonts w:hint="eastAsia" w:ascii="宋体" w:hAnsi="宋体" w:cs="宋体"/>
          <w:b/>
          <w:bCs/>
          <w:sz w:val="32"/>
          <w:szCs w:val="32"/>
          <w:lang w:val="en-US" w:eastAsia="zh-CN"/>
        </w:rPr>
        <w:t>数字可视化系统服务预案</w:t>
      </w:r>
    </w:p>
    <w:p w14:paraId="50DBEBDE">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72"/>
    <w:bookmarkEnd w:id="773"/>
    <w:p w14:paraId="636FBAE3">
      <w:pPr>
        <w:ind w:firstLine="0" w:firstLineChars="0"/>
        <w:rPr>
          <w:rFonts w:ascii="Times New Roman" w:hAnsi="Times New Roman" w:cs="Times New Roman"/>
          <w:color w:val="FF0000"/>
          <w:szCs w:val="21"/>
        </w:rPr>
      </w:pPr>
    </w:p>
    <w:p w14:paraId="3AFC166E">
      <w:pPr>
        <w:ind w:firstLine="0" w:firstLineChars="0"/>
        <w:rPr>
          <w:rFonts w:ascii="Times New Roman" w:hAnsi="Times New Roman" w:cs="Times New Roman"/>
          <w:color w:val="FF0000"/>
          <w:szCs w:val="21"/>
        </w:rPr>
      </w:pPr>
    </w:p>
    <w:p w14:paraId="07B2E266">
      <w:pPr>
        <w:ind w:firstLine="0" w:firstLineChars="0"/>
        <w:rPr>
          <w:rFonts w:ascii="Times New Roman" w:hAnsi="Times New Roman" w:eastAsia="黑体" w:cs="Times New Roman"/>
          <w:color w:val="FF0000"/>
          <w:sz w:val="30"/>
          <w:szCs w:val="30"/>
        </w:rPr>
      </w:pPr>
      <w:bookmarkStart w:id="775" w:name="_Toc26783980"/>
      <w:bookmarkStart w:id="776" w:name="_Toc49935380"/>
    </w:p>
    <w:p w14:paraId="6D9BF41A">
      <w:pPr>
        <w:ind w:firstLine="0" w:firstLineChars="0"/>
        <w:rPr>
          <w:rFonts w:ascii="Times New Roman" w:hAnsi="Times New Roman" w:eastAsia="黑体" w:cs="Times New Roman"/>
          <w:color w:val="FF0000"/>
          <w:sz w:val="30"/>
          <w:szCs w:val="30"/>
        </w:rPr>
      </w:pPr>
    </w:p>
    <w:bookmarkEnd w:id="767"/>
    <w:bookmarkEnd w:id="775"/>
    <w:bookmarkEnd w:id="776"/>
    <w:p w14:paraId="6035452B">
      <w:pPr>
        <w:ind w:firstLine="420"/>
        <w:rPr>
          <w:rFonts w:ascii="Times New Roman" w:hAnsi="Times New Roman" w:cs="Times New Roman"/>
        </w:rPr>
      </w:pPr>
      <w:r>
        <w:rPr>
          <w:rFonts w:ascii="Times New Roman" w:hAnsi="Times New Roman" w:cs="Times New Roman"/>
        </w:rPr>
        <w:br w:type="page"/>
      </w:r>
    </w:p>
    <w:bookmarkEnd w:id="751"/>
    <w:bookmarkEnd w:id="752"/>
    <w:bookmarkEnd w:id="753"/>
    <w:bookmarkEnd w:id="754"/>
    <w:bookmarkEnd w:id="755"/>
    <w:bookmarkEnd w:id="756"/>
    <w:bookmarkEnd w:id="757"/>
    <w:bookmarkEnd w:id="758"/>
    <w:p w14:paraId="4ADCA2EF">
      <w:pPr>
        <w:ind w:firstLine="0" w:firstLineChars="0"/>
        <w:rPr>
          <w:rFonts w:hint="eastAsia" w:hAnsi="宋体"/>
          <w:b/>
          <w:sz w:val="28"/>
          <w:szCs w:val="28"/>
        </w:rPr>
      </w:pPr>
      <w:bookmarkStart w:id="777" w:name="_Toc24923"/>
      <w:bookmarkStart w:id="778" w:name="_Toc49935374"/>
      <w:bookmarkStart w:id="779" w:name="_Toc68090095"/>
      <w:bookmarkStart w:id="780" w:name="_Toc26783973"/>
      <w:bookmarkStart w:id="781" w:name="OLE_LINK150"/>
      <w:bookmarkStart w:id="782" w:name="_Toc26783963"/>
      <w:bookmarkStart w:id="783" w:name="_Toc49935364"/>
      <w:bookmarkStart w:id="784" w:name="_Toc12956"/>
      <w:bookmarkStart w:id="785" w:name="_Toc68090085"/>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2</w:t>
      </w:r>
      <w:r>
        <w:rPr>
          <w:rFonts w:hint="eastAsia" w:hAnsi="宋体"/>
          <w:b/>
          <w:sz w:val="28"/>
          <w:szCs w:val="28"/>
        </w:rPr>
        <w:t>：</w:t>
      </w:r>
    </w:p>
    <w:p w14:paraId="1AF57A7A">
      <w:pPr>
        <w:ind w:firstLine="0" w:firstLineChars="0"/>
        <w:jc w:val="center"/>
        <w:rPr>
          <w:rFonts w:hint="eastAsia" w:ascii="宋体" w:hAnsi="宋体" w:eastAsia="宋体" w:cs="宋体"/>
          <w:b/>
          <w:bCs/>
          <w:sz w:val="32"/>
          <w:szCs w:val="32"/>
          <w:lang w:eastAsia="zh-CN"/>
        </w:rPr>
      </w:pPr>
      <w:r>
        <w:rPr>
          <w:rFonts w:hint="eastAsia" w:ascii="宋体" w:hAnsi="宋体" w:cs="宋体"/>
          <w:b/>
          <w:bCs/>
          <w:sz w:val="32"/>
          <w:szCs w:val="32"/>
          <w:lang w:eastAsia="zh-CN"/>
        </w:rPr>
        <w:t>运营维护服务方案</w:t>
      </w:r>
    </w:p>
    <w:p w14:paraId="2DD8DC7D">
      <w:pPr>
        <w:tabs>
          <w:tab w:val="center" w:pos="4575"/>
          <w:tab w:val="right" w:pos="9070"/>
        </w:tabs>
        <w:ind w:firstLine="0" w:firstLineChars="0"/>
        <w:jc w:val="left"/>
        <w:rPr>
          <w:rFonts w:ascii="Times New Roman" w:hAnsi="Times New Roman" w:cs="Times New Roman"/>
          <w:color w:val="FF0000"/>
          <w:szCs w:val="21"/>
        </w:rPr>
      </w:pPr>
      <w:r>
        <w:rPr>
          <w:rFonts w:hint="eastAsia" w:ascii="宋体" w:hAnsi="宋体" w:cs="宋体"/>
          <w:sz w:val="22"/>
          <w:lang w:eastAsia="zh-CN"/>
        </w:rPr>
        <w:tab/>
      </w:r>
      <w:r>
        <w:rPr>
          <w:rFonts w:hint="eastAsia" w:ascii="宋体" w:hAnsi="宋体" w:cs="宋体"/>
          <w:sz w:val="22"/>
        </w:rPr>
        <w:t>（由投标人按第五章“采购需求”及第七章“评标方法”中相应要求自行编写）</w:t>
      </w:r>
      <w:r>
        <w:rPr>
          <w:rFonts w:hint="eastAsia" w:ascii="宋体" w:hAnsi="宋体" w:cs="宋体"/>
          <w:sz w:val="22"/>
          <w:lang w:eastAsia="zh-CN"/>
        </w:rPr>
        <w:tab/>
      </w:r>
    </w:p>
    <w:p w14:paraId="51F5FDC4">
      <w:pPr>
        <w:ind w:firstLine="0" w:firstLineChars="0"/>
        <w:rPr>
          <w:rFonts w:ascii="Times New Roman" w:hAnsi="Times New Roman" w:cs="Times New Roman"/>
          <w:color w:val="FF0000"/>
          <w:szCs w:val="21"/>
        </w:rPr>
      </w:pPr>
    </w:p>
    <w:p w14:paraId="156EE5CB">
      <w:pPr>
        <w:ind w:firstLine="0" w:firstLineChars="0"/>
        <w:rPr>
          <w:rFonts w:ascii="Times New Roman" w:hAnsi="Times New Roman" w:eastAsia="黑体" w:cs="Times New Roman"/>
          <w:color w:val="FF0000"/>
          <w:sz w:val="30"/>
          <w:szCs w:val="30"/>
        </w:rPr>
      </w:pPr>
    </w:p>
    <w:p w14:paraId="6C0736D9">
      <w:pPr>
        <w:ind w:firstLine="0" w:firstLineChars="0"/>
        <w:rPr>
          <w:rFonts w:ascii="Times New Roman" w:hAnsi="Times New Roman" w:eastAsia="黑体" w:cs="Times New Roman"/>
          <w:color w:val="FF0000"/>
          <w:sz w:val="30"/>
          <w:szCs w:val="30"/>
        </w:rPr>
      </w:pPr>
    </w:p>
    <w:p w14:paraId="1CA7D60B">
      <w:pPr>
        <w:ind w:firstLine="562"/>
        <w:jc w:val="left"/>
        <w:rPr>
          <w:rFonts w:ascii="Times New Roman" w:hAnsi="Times New Roman" w:cs="Times New Roman"/>
          <w:szCs w:val="21"/>
        </w:rPr>
      </w:pPr>
      <w:r>
        <w:rPr>
          <w:rFonts w:ascii="Times New Roman" w:hAnsi="Times New Roman" w:cs="Times New Roman"/>
        </w:rPr>
        <w:br w:type="page"/>
      </w:r>
    </w:p>
    <w:p w14:paraId="6F03042A">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3</w:t>
      </w:r>
      <w:r>
        <w:rPr>
          <w:rFonts w:hint="eastAsia" w:hAnsi="宋体"/>
          <w:b/>
          <w:sz w:val="28"/>
          <w:szCs w:val="28"/>
        </w:rPr>
        <w:t>：</w:t>
      </w:r>
    </w:p>
    <w:p w14:paraId="7DBB097F">
      <w:pPr>
        <w:ind w:firstLine="0" w:firstLineChars="0"/>
        <w:jc w:val="center"/>
        <w:rPr>
          <w:rFonts w:hint="eastAsia" w:ascii="宋体" w:hAnsi="宋体" w:eastAsia="宋体" w:cs="宋体"/>
          <w:b/>
          <w:bCs/>
          <w:sz w:val="32"/>
          <w:szCs w:val="32"/>
          <w:lang w:eastAsia="zh-CN"/>
        </w:rPr>
      </w:pPr>
      <w:r>
        <w:rPr>
          <w:rFonts w:hint="eastAsia" w:ascii="宋体" w:hAnsi="宋体" w:cs="宋体"/>
          <w:b/>
          <w:bCs/>
          <w:sz w:val="32"/>
          <w:szCs w:val="32"/>
          <w:lang w:eastAsia="zh-CN"/>
        </w:rPr>
        <w:t>保密承诺及措施</w:t>
      </w:r>
    </w:p>
    <w:p w14:paraId="260E1AEE">
      <w:pPr>
        <w:tabs>
          <w:tab w:val="center" w:pos="4575"/>
          <w:tab w:val="right" w:pos="9070"/>
        </w:tabs>
        <w:ind w:firstLine="0" w:firstLineChars="0"/>
        <w:jc w:val="left"/>
        <w:rPr>
          <w:rFonts w:ascii="Times New Roman" w:hAnsi="Times New Roman" w:cs="Times New Roman"/>
          <w:color w:val="FF0000"/>
          <w:szCs w:val="21"/>
        </w:rPr>
      </w:pPr>
      <w:r>
        <w:rPr>
          <w:rFonts w:hint="eastAsia" w:ascii="宋体" w:hAnsi="宋体" w:cs="宋体"/>
          <w:sz w:val="22"/>
          <w:lang w:eastAsia="zh-CN"/>
        </w:rPr>
        <w:tab/>
      </w:r>
      <w:r>
        <w:rPr>
          <w:rFonts w:hint="eastAsia" w:ascii="宋体" w:hAnsi="宋体" w:cs="宋体"/>
          <w:sz w:val="22"/>
        </w:rPr>
        <w:t>（由投标人按第五章“采购需求”及第七章“评标方法”中相应要求自行编写）</w:t>
      </w:r>
      <w:r>
        <w:rPr>
          <w:rFonts w:hint="eastAsia" w:ascii="宋体" w:hAnsi="宋体" w:cs="宋体"/>
          <w:sz w:val="22"/>
          <w:lang w:eastAsia="zh-CN"/>
        </w:rPr>
        <w:tab/>
      </w:r>
    </w:p>
    <w:p w14:paraId="1319D72F">
      <w:pPr>
        <w:ind w:firstLine="0" w:firstLineChars="0"/>
        <w:rPr>
          <w:rFonts w:ascii="Times New Roman" w:hAnsi="Times New Roman" w:cs="Times New Roman"/>
          <w:color w:val="FF0000"/>
          <w:szCs w:val="21"/>
        </w:rPr>
      </w:pPr>
    </w:p>
    <w:p w14:paraId="7966A7DE">
      <w:pPr>
        <w:ind w:firstLine="0" w:firstLineChars="0"/>
        <w:rPr>
          <w:rFonts w:ascii="Times New Roman" w:hAnsi="Times New Roman" w:eastAsia="黑体" w:cs="Times New Roman"/>
          <w:color w:val="FF0000"/>
          <w:sz w:val="30"/>
          <w:szCs w:val="30"/>
        </w:rPr>
      </w:pPr>
    </w:p>
    <w:p w14:paraId="2BEDCDB5">
      <w:pPr>
        <w:ind w:firstLine="0" w:firstLineChars="0"/>
        <w:rPr>
          <w:rFonts w:ascii="Times New Roman" w:hAnsi="Times New Roman" w:eastAsia="黑体" w:cs="Times New Roman"/>
          <w:color w:val="FF0000"/>
          <w:sz w:val="30"/>
          <w:szCs w:val="30"/>
        </w:rPr>
      </w:pPr>
    </w:p>
    <w:p w14:paraId="3C7A5030">
      <w:pPr>
        <w:ind w:firstLine="562"/>
        <w:jc w:val="left"/>
        <w:rPr>
          <w:rFonts w:ascii="Times New Roman" w:hAnsi="Times New Roman" w:cs="Times New Roman"/>
          <w:szCs w:val="21"/>
        </w:rPr>
      </w:pPr>
      <w:r>
        <w:rPr>
          <w:rFonts w:ascii="Times New Roman" w:hAnsi="Times New Roman" w:cs="Times New Roman"/>
        </w:rPr>
        <w:br w:type="page"/>
      </w:r>
    </w:p>
    <w:p w14:paraId="1BFB438C">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4</w:t>
      </w:r>
      <w:r>
        <w:rPr>
          <w:rFonts w:hint="eastAsia" w:hAnsi="宋体"/>
          <w:b/>
          <w:sz w:val="28"/>
          <w:szCs w:val="28"/>
        </w:rPr>
        <w:t>：</w:t>
      </w:r>
    </w:p>
    <w:p w14:paraId="5A61CEA9">
      <w:pPr>
        <w:ind w:firstLine="0" w:firstLineChars="0"/>
        <w:jc w:val="center"/>
        <w:rPr>
          <w:rFonts w:hint="eastAsia" w:ascii="宋体" w:hAnsi="宋体" w:eastAsia="宋体" w:cs="宋体"/>
          <w:b/>
          <w:bCs/>
          <w:sz w:val="32"/>
          <w:szCs w:val="32"/>
          <w:lang w:eastAsia="zh-CN"/>
        </w:rPr>
      </w:pPr>
      <w:r>
        <w:rPr>
          <w:rFonts w:hint="eastAsia" w:ascii="宋体" w:hAnsi="宋体" w:cs="宋体"/>
          <w:b/>
          <w:bCs/>
          <w:sz w:val="32"/>
          <w:szCs w:val="32"/>
          <w:lang w:eastAsia="zh-CN"/>
        </w:rPr>
        <w:t>项目时间进度计划及保证措施</w:t>
      </w:r>
    </w:p>
    <w:p w14:paraId="50AAD555">
      <w:pPr>
        <w:ind w:firstLine="0" w:firstLineChars="0"/>
        <w:rPr>
          <w:rFonts w:ascii="Times New Roman" w:hAnsi="Times New Roman" w:cs="Times New Roman"/>
          <w:b/>
          <w:bCs/>
          <w:sz w:val="32"/>
          <w:szCs w:val="32"/>
        </w:rPr>
      </w:pPr>
      <w:r>
        <w:rPr>
          <w:rFonts w:hint="eastAsia" w:ascii="宋体" w:hAnsi="宋体" w:cs="宋体"/>
          <w:sz w:val="22"/>
          <w:lang w:eastAsia="zh-CN"/>
        </w:rPr>
        <w:tab/>
      </w:r>
      <w:r>
        <w:rPr>
          <w:rFonts w:hint="eastAsia" w:ascii="宋体" w:hAnsi="宋体" w:cs="宋体"/>
          <w:sz w:val="22"/>
        </w:rPr>
        <w:t>（由投标人按第五章“采购需求”及第七章“评标方法”中相应要求自行编写）</w:t>
      </w:r>
      <w:r>
        <w:rPr>
          <w:rFonts w:hint="eastAsia" w:ascii="Times New Roman" w:hAnsi="Times New Roman" w:cs="Times New Roman"/>
          <w:b/>
          <w:bCs/>
          <w:sz w:val="32"/>
          <w:szCs w:val="32"/>
        </w:rPr>
        <w:br w:type="page"/>
      </w:r>
    </w:p>
    <w:p w14:paraId="2731D17D">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2</w:t>
      </w:r>
      <w:r>
        <w:rPr>
          <w:rFonts w:hint="eastAsia" w:hAnsi="宋体"/>
          <w:b/>
          <w:sz w:val="28"/>
          <w:szCs w:val="28"/>
        </w:rPr>
        <w:t>-</w:t>
      </w:r>
      <w:r>
        <w:rPr>
          <w:rFonts w:hint="eastAsia" w:hAnsi="宋体"/>
          <w:b/>
          <w:sz w:val="28"/>
          <w:szCs w:val="28"/>
          <w:lang w:val="en-US" w:eastAsia="zh-CN"/>
        </w:rPr>
        <w:t>5</w:t>
      </w:r>
      <w:r>
        <w:rPr>
          <w:rFonts w:hint="eastAsia" w:hAnsi="宋体"/>
          <w:b/>
          <w:sz w:val="28"/>
          <w:szCs w:val="28"/>
        </w:rPr>
        <w:t>：</w:t>
      </w:r>
    </w:p>
    <w:p w14:paraId="6CBEEA7E">
      <w:pPr>
        <w:ind w:firstLine="0" w:firstLineChars="0"/>
        <w:jc w:val="center"/>
        <w:rPr>
          <w:rFonts w:hint="eastAsia" w:ascii="宋体" w:hAnsi="宋体" w:cs="宋体"/>
          <w:b/>
          <w:bCs/>
          <w:sz w:val="30"/>
          <w:szCs w:val="30"/>
        </w:rPr>
      </w:pPr>
      <w:r>
        <w:rPr>
          <w:rFonts w:hint="eastAsia" w:ascii="宋体" w:hAnsi="宋体" w:cs="宋体"/>
          <w:b/>
          <w:bCs/>
          <w:sz w:val="30"/>
          <w:szCs w:val="30"/>
        </w:rPr>
        <w:t>招标文件要求及投标人认为有必要提供的其它技术资料。</w:t>
      </w:r>
    </w:p>
    <w:p w14:paraId="091404C8">
      <w:pPr>
        <w:ind w:firstLine="0" w:firstLineChars="0"/>
        <w:rPr>
          <w:rFonts w:ascii="Times New Roman" w:hAnsi="Times New Roman" w:cs="Times New Roman"/>
          <w:color w:val="FF0000"/>
          <w:szCs w:val="21"/>
        </w:rPr>
      </w:pPr>
    </w:p>
    <w:p w14:paraId="3E70AA97">
      <w:pPr>
        <w:ind w:firstLine="0" w:firstLineChars="0"/>
        <w:rPr>
          <w:rFonts w:ascii="Times New Roman" w:hAnsi="Times New Roman" w:eastAsia="黑体" w:cs="Times New Roman"/>
          <w:color w:val="FF0000"/>
          <w:sz w:val="30"/>
          <w:szCs w:val="30"/>
        </w:rPr>
      </w:pPr>
    </w:p>
    <w:p w14:paraId="4571D4A9">
      <w:pPr>
        <w:ind w:firstLine="0" w:firstLineChars="0"/>
        <w:rPr>
          <w:rFonts w:ascii="Times New Roman" w:hAnsi="Times New Roman" w:eastAsia="黑体" w:cs="Times New Roman"/>
          <w:color w:val="FF0000"/>
          <w:sz w:val="30"/>
          <w:szCs w:val="30"/>
        </w:rPr>
      </w:pPr>
    </w:p>
    <w:p w14:paraId="621EDEFC">
      <w:pPr>
        <w:ind w:firstLine="420"/>
        <w:rPr>
          <w:rFonts w:ascii="Times New Roman" w:hAnsi="Times New Roman" w:cs="Times New Roman"/>
        </w:rPr>
      </w:pPr>
      <w:r>
        <w:rPr>
          <w:rFonts w:ascii="Times New Roman" w:hAnsi="Times New Roman" w:cs="Times New Roman"/>
        </w:rPr>
        <w:br w:type="page"/>
      </w:r>
    </w:p>
    <w:p w14:paraId="37A10A28">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3</w:t>
      </w:r>
      <w:r>
        <w:rPr>
          <w:rFonts w:hint="eastAsia" w:hAnsi="宋体"/>
          <w:b/>
          <w:sz w:val="28"/>
          <w:szCs w:val="28"/>
        </w:rPr>
        <w:t>：</w:t>
      </w:r>
    </w:p>
    <w:p w14:paraId="73054CEC">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77"/>
      <w:bookmarkEnd w:id="778"/>
      <w:bookmarkEnd w:id="779"/>
      <w:bookmarkEnd w:id="780"/>
    </w:p>
    <w:p w14:paraId="187D8F88">
      <w:pPr>
        <w:ind w:firstLine="420"/>
        <w:rPr>
          <w:rFonts w:hint="eastAsia" w:ascii="宋体" w:hAnsi="宋体" w:cs="宋体"/>
          <w:szCs w:val="21"/>
        </w:rPr>
      </w:pPr>
      <w:bookmarkStart w:id="786" w:name="OLE_LINK37"/>
      <w:r>
        <w:rPr>
          <w:rFonts w:hint="eastAsia" w:ascii="宋体" w:hAnsi="宋体" w:cs="宋体"/>
          <w:szCs w:val="21"/>
        </w:rPr>
        <w:t>投标人应逐条对应招标文件第五章《采购需求》中</w:t>
      </w:r>
      <w:r>
        <w:rPr>
          <w:rFonts w:hint="eastAsia" w:ascii="宋体" w:hAnsi="宋体" w:cs="宋体"/>
          <w:szCs w:val="21"/>
          <w:lang w:eastAsia="zh-CN"/>
        </w:rPr>
        <w:t>三、商务要求</w:t>
      </w:r>
      <w:r>
        <w:rPr>
          <w:rFonts w:hint="eastAsia" w:ascii="宋体" w:hAnsi="宋体" w:cs="宋体"/>
          <w:szCs w:val="21"/>
        </w:rPr>
        <w:t>，包括</w:t>
      </w:r>
      <w:r>
        <w:rPr>
          <w:rFonts w:hint="eastAsia" w:ascii="宋体" w:hAnsi="宋体" w:cs="宋体"/>
          <w:szCs w:val="21"/>
          <w:lang w:eastAsia="zh-CN"/>
        </w:rPr>
        <w:t>合同履行期限（服务期限）</w:t>
      </w:r>
      <w:r>
        <w:rPr>
          <w:rFonts w:hint="eastAsia" w:ascii="宋体" w:hAnsi="宋体" w:cs="宋体"/>
          <w:szCs w:val="21"/>
        </w:rPr>
        <w:t>、交付（或实施）地点、付款方式、人员要求</w:t>
      </w:r>
      <w:r>
        <w:rPr>
          <w:rFonts w:hint="eastAsia" w:ascii="宋体" w:hAnsi="宋体" w:cs="宋体"/>
          <w:szCs w:val="21"/>
          <w:lang w:eastAsia="zh-CN"/>
        </w:rPr>
        <w:t>、验收及验收标准、</w:t>
      </w:r>
      <w:r>
        <w:rPr>
          <w:rFonts w:hint="eastAsia" w:ascii="宋体" w:hAnsi="宋体" w:cs="宋体"/>
          <w:szCs w:val="21"/>
        </w:rPr>
        <w:t>违约责任等内容，并根据实际响应情况如实填写本表格。</w:t>
      </w:r>
    </w:p>
    <w:p w14:paraId="2E9FC43A">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5EAA212D">
      <w:pPr>
        <w:pStyle w:val="11"/>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650B9A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06DF3329">
            <w:pPr>
              <w:spacing w:line="600" w:lineRule="exact"/>
              <w:ind w:firstLine="0" w:firstLineChars="0"/>
              <w:jc w:val="center"/>
              <w:rPr>
                <w:rFonts w:hint="eastAsia" w:ascii="宋体" w:hAnsi="宋体" w:eastAsia="宋体" w:cs="宋体"/>
                <w:b/>
                <w:sz w:val="21"/>
                <w:szCs w:val="21"/>
              </w:rPr>
            </w:pPr>
            <w:bookmarkStart w:id="787" w:name="OLE_LINK196"/>
            <w:r>
              <w:rPr>
                <w:rFonts w:hint="eastAsia" w:ascii="宋体" w:hAnsi="宋体" w:eastAsia="宋体" w:cs="宋体"/>
                <w:b/>
                <w:sz w:val="21"/>
                <w:szCs w:val="21"/>
              </w:rPr>
              <w:t>序号</w:t>
            </w:r>
          </w:p>
        </w:tc>
        <w:tc>
          <w:tcPr>
            <w:tcW w:w="1856" w:type="dxa"/>
            <w:vAlign w:val="center"/>
          </w:tcPr>
          <w:p w14:paraId="731CBC80">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招标文件条目号</w:t>
            </w:r>
          </w:p>
        </w:tc>
        <w:tc>
          <w:tcPr>
            <w:tcW w:w="2400" w:type="dxa"/>
            <w:vAlign w:val="center"/>
          </w:tcPr>
          <w:p w14:paraId="4B9B6DDD">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招标文件的商务条款</w:t>
            </w:r>
          </w:p>
        </w:tc>
        <w:tc>
          <w:tcPr>
            <w:tcW w:w="2288" w:type="dxa"/>
            <w:vAlign w:val="center"/>
          </w:tcPr>
          <w:p w14:paraId="00ADBB45">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投标文件的商务条款</w:t>
            </w:r>
          </w:p>
        </w:tc>
        <w:tc>
          <w:tcPr>
            <w:tcW w:w="1642" w:type="dxa"/>
            <w:vAlign w:val="center"/>
          </w:tcPr>
          <w:p w14:paraId="21F1EA18">
            <w:pPr>
              <w:spacing w:line="600" w:lineRule="exact"/>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偏离说明</w:t>
            </w:r>
          </w:p>
        </w:tc>
      </w:tr>
      <w:tr w14:paraId="3DD3D6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7793BC7">
            <w:pPr>
              <w:spacing w:line="600" w:lineRule="exact"/>
              <w:ind w:firstLine="0" w:firstLineChars="0"/>
              <w:rPr>
                <w:rFonts w:hint="eastAsia" w:ascii="宋体" w:hAnsi="宋体" w:eastAsia="宋体" w:cs="宋体"/>
                <w:sz w:val="21"/>
                <w:szCs w:val="21"/>
              </w:rPr>
            </w:pPr>
          </w:p>
        </w:tc>
        <w:tc>
          <w:tcPr>
            <w:tcW w:w="1856" w:type="dxa"/>
          </w:tcPr>
          <w:p w14:paraId="69401EF0">
            <w:pPr>
              <w:spacing w:line="600" w:lineRule="exact"/>
              <w:ind w:firstLine="0" w:firstLineChars="0"/>
              <w:rPr>
                <w:rFonts w:hint="eastAsia" w:ascii="宋体" w:hAnsi="宋体" w:eastAsia="宋体" w:cs="宋体"/>
                <w:sz w:val="21"/>
                <w:szCs w:val="21"/>
              </w:rPr>
            </w:pPr>
          </w:p>
        </w:tc>
        <w:tc>
          <w:tcPr>
            <w:tcW w:w="2400" w:type="dxa"/>
          </w:tcPr>
          <w:p w14:paraId="44A6C5B6">
            <w:pPr>
              <w:spacing w:line="600" w:lineRule="exact"/>
              <w:ind w:firstLine="0" w:firstLineChars="0"/>
              <w:rPr>
                <w:rFonts w:hint="eastAsia" w:ascii="宋体" w:hAnsi="宋体" w:eastAsia="宋体" w:cs="宋体"/>
                <w:sz w:val="21"/>
                <w:szCs w:val="21"/>
              </w:rPr>
            </w:pPr>
          </w:p>
        </w:tc>
        <w:tc>
          <w:tcPr>
            <w:tcW w:w="2288" w:type="dxa"/>
          </w:tcPr>
          <w:p w14:paraId="37CBB096">
            <w:pPr>
              <w:spacing w:line="600" w:lineRule="exact"/>
              <w:ind w:firstLine="0" w:firstLineChars="0"/>
              <w:rPr>
                <w:rFonts w:hint="eastAsia" w:ascii="宋体" w:hAnsi="宋体" w:eastAsia="宋体" w:cs="宋体"/>
                <w:sz w:val="21"/>
                <w:szCs w:val="21"/>
              </w:rPr>
            </w:pPr>
          </w:p>
        </w:tc>
        <w:tc>
          <w:tcPr>
            <w:tcW w:w="1642" w:type="dxa"/>
          </w:tcPr>
          <w:p w14:paraId="6CE1F1A7">
            <w:pPr>
              <w:spacing w:line="600" w:lineRule="exact"/>
              <w:ind w:firstLine="0" w:firstLineChars="0"/>
              <w:rPr>
                <w:rFonts w:hint="eastAsia" w:ascii="宋体" w:hAnsi="宋体" w:eastAsia="宋体" w:cs="宋体"/>
                <w:sz w:val="21"/>
                <w:szCs w:val="21"/>
              </w:rPr>
            </w:pPr>
          </w:p>
        </w:tc>
      </w:tr>
      <w:tr w14:paraId="6944C1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C922AF0">
            <w:pPr>
              <w:spacing w:line="600" w:lineRule="exact"/>
              <w:ind w:firstLine="0" w:firstLineChars="0"/>
              <w:rPr>
                <w:rFonts w:hint="eastAsia" w:ascii="宋体" w:hAnsi="宋体" w:eastAsia="宋体" w:cs="宋体"/>
                <w:sz w:val="21"/>
                <w:szCs w:val="21"/>
              </w:rPr>
            </w:pPr>
          </w:p>
        </w:tc>
        <w:tc>
          <w:tcPr>
            <w:tcW w:w="1856" w:type="dxa"/>
          </w:tcPr>
          <w:p w14:paraId="13C5EBD5">
            <w:pPr>
              <w:spacing w:line="600" w:lineRule="exact"/>
              <w:ind w:firstLine="0" w:firstLineChars="0"/>
              <w:rPr>
                <w:rFonts w:hint="eastAsia" w:ascii="宋体" w:hAnsi="宋体" w:eastAsia="宋体" w:cs="宋体"/>
                <w:sz w:val="21"/>
                <w:szCs w:val="21"/>
              </w:rPr>
            </w:pPr>
          </w:p>
        </w:tc>
        <w:tc>
          <w:tcPr>
            <w:tcW w:w="2400" w:type="dxa"/>
          </w:tcPr>
          <w:p w14:paraId="797612B1">
            <w:pPr>
              <w:spacing w:line="600" w:lineRule="exact"/>
              <w:ind w:firstLine="0" w:firstLineChars="0"/>
              <w:rPr>
                <w:rFonts w:hint="eastAsia" w:ascii="宋体" w:hAnsi="宋体" w:eastAsia="宋体" w:cs="宋体"/>
                <w:sz w:val="21"/>
                <w:szCs w:val="21"/>
              </w:rPr>
            </w:pPr>
          </w:p>
        </w:tc>
        <w:tc>
          <w:tcPr>
            <w:tcW w:w="2288" w:type="dxa"/>
          </w:tcPr>
          <w:p w14:paraId="3A203AB2">
            <w:pPr>
              <w:spacing w:line="600" w:lineRule="exact"/>
              <w:ind w:firstLine="0" w:firstLineChars="0"/>
              <w:rPr>
                <w:rFonts w:hint="eastAsia" w:ascii="宋体" w:hAnsi="宋体" w:eastAsia="宋体" w:cs="宋体"/>
                <w:sz w:val="21"/>
                <w:szCs w:val="21"/>
              </w:rPr>
            </w:pPr>
          </w:p>
        </w:tc>
        <w:tc>
          <w:tcPr>
            <w:tcW w:w="1642" w:type="dxa"/>
          </w:tcPr>
          <w:p w14:paraId="34CB1FBC">
            <w:pPr>
              <w:spacing w:line="600" w:lineRule="exact"/>
              <w:ind w:firstLine="0" w:firstLineChars="0"/>
              <w:rPr>
                <w:rFonts w:hint="eastAsia" w:ascii="宋体" w:hAnsi="宋体" w:eastAsia="宋体" w:cs="宋体"/>
                <w:sz w:val="21"/>
                <w:szCs w:val="21"/>
              </w:rPr>
            </w:pPr>
          </w:p>
        </w:tc>
      </w:tr>
      <w:tr w14:paraId="3492C6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5C441C5A">
            <w:pPr>
              <w:spacing w:line="600" w:lineRule="exact"/>
              <w:ind w:firstLine="0" w:firstLineChars="0"/>
              <w:rPr>
                <w:rFonts w:hint="eastAsia" w:ascii="宋体" w:hAnsi="宋体" w:eastAsia="宋体" w:cs="宋体"/>
                <w:sz w:val="21"/>
                <w:szCs w:val="21"/>
              </w:rPr>
            </w:pPr>
          </w:p>
        </w:tc>
        <w:tc>
          <w:tcPr>
            <w:tcW w:w="1856" w:type="dxa"/>
          </w:tcPr>
          <w:p w14:paraId="63B6AAD5">
            <w:pPr>
              <w:spacing w:line="600" w:lineRule="exact"/>
              <w:ind w:firstLine="0" w:firstLineChars="0"/>
              <w:rPr>
                <w:rFonts w:hint="eastAsia" w:ascii="宋体" w:hAnsi="宋体" w:eastAsia="宋体" w:cs="宋体"/>
                <w:sz w:val="21"/>
                <w:szCs w:val="21"/>
              </w:rPr>
            </w:pPr>
          </w:p>
        </w:tc>
        <w:tc>
          <w:tcPr>
            <w:tcW w:w="2400" w:type="dxa"/>
          </w:tcPr>
          <w:p w14:paraId="0376D221">
            <w:pPr>
              <w:spacing w:line="600" w:lineRule="exact"/>
              <w:ind w:firstLine="0" w:firstLineChars="0"/>
              <w:rPr>
                <w:rFonts w:hint="eastAsia" w:ascii="宋体" w:hAnsi="宋体" w:eastAsia="宋体" w:cs="宋体"/>
                <w:sz w:val="21"/>
                <w:szCs w:val="21"/>
              </w:rPr>
            </w:pPr>
          </w:p>
        </w:tc>
        <w:tc>
          <w:tcPr>
            <w:tcW w:w="2288" w:type="dxa"/>
          </w:tcPr>
          <w:p w14:paraId="344B304E">
            <w:pPr>
              <w:spacing w:line="600" w:lineRule="exact"/>
              <w:ind w:firstLine="0" w:firstLineChars="0"/>
              <w:rPr>
                <w:rFonts w:hint="eastAsia" w:ascii="宋体" w:hAnsi="宋体" w:eastAsia="宋体" w:cs="宋体"/>
                <w:sz w:val="21"/>
                <w:szCs w:val="21"/>
              </w:rPr>
            </w:pPr>
          </w:p>
        </w:tc>
        <w:tc>
          <w:tcPr>
            <w:tcW w:w="1642" w:type="dxa"/>
          </w:tcPr>
          <w:p w14:paraId="65545162">
            <w:pPr>
              <w:spacing w:line="600" w:lineRule="exact"/>
              <w:ind w:firstLine="0" w:firstLineChars="0"/>
              <w:rPr>
                <w:rFonts w:hint="eastAsia" w:ascii="宋体" w:hAnsi="宋体" w:eastAsia="宋体" w:cs="宋体"/>
                <w:sz w:val="21"/>
                <w:szCs w:val="21"/>
              </w:rPr>
            </w:pPr>
          </w:p>
        </w:tc>
      </w:tr>
      <w:tr w14:paraId="523958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4101745">
            <w:pPr>
              <w:spacing w:line="600" w:lineRule="exact"/>
              <w:ind w:firstLine="0" w:firstLineChars="0"/>
              <w:rPr>
                <w:rFonts w:hint="eastAsia" w:ascii="宋体" w:hAnsi="宋体" w:eastAsia="宋体" w:cs="宋体"/>
                <w:sz w:val="21"/>
                <w:szCs w:val="21"/>
              </w:rPr>
            </w:pPr>
          </w:p>
        </w:tc>
        <w:tc>
          <w:tcPr>
            <w:tcW w:w="1856" w:type="dxa"/>
          </w:tcPr>
          <w:p w14:paraId="42B86F23">
            <w:pPr>
              <w:spacing w:line="600" w:lineRule="exact"/>
              <w:ind w:firstLine="0" w:firstLineChars="0"/>
              <w:rPr>
                <w:rFonts w:hint="eastAsia" w:ascii="宋体" w:hAnsi="宋体" w:eastAsia="宋体" w:cs="宋体"/>
                <w:sz w:val="21"/>
                <w:szCs w:val="21"/>
              </w:rPr>
            </w:pPr>
          </w:p>
        </w:tc>
        <w:tc>
          <w:tcPr>
            <w:tcW w:w="2400" w:type="dxa"/>
          </w:tcPr>
          <w:p w14:paraId="0639B008">
            <w:pPr>
              <w:spacing w:line="600" w:lineRule="exact"/>
              <w:ind w:firstLine="0" w:firstLineChars="0"/>
              <w:rPr>
                <w:rFonts w:hint="eastAsia" w:ascii="宋体" w:hAnsi="宋体" w:eastAsia="宋体" w:cs="宋体"/>
                <w:sz w:val="21"/>
                <w:szCs w:val="21"/>
              </w:rPr>
            </w:pPr>
          </w:p>
        </w:tc>
        <w:tc>
          <w:tcPr>
            <w:tcW w:w="2288" w:type="dxa"/>
          </w:tcPr>
          <w:p w14:paraId="477A912E">
            <w:pPr>
              <w:spacing w:line="600" w:lineRule="exact"/>
              <w:ind w:firstLine="0" w:firstLineChars="0"/>
              <w:rPr>
                <w:rFonts w:hint="eastAsia" w:ascii="宋体" w:hAnsi="宋体" w:eastAsia="宋体" w:cs="宋体"/>
                <w:sz w:val="21"/>
                <w:szCs w:val="21"/>
              </w:rPr>
            </w:pPr>
          </w:p>
        </w:tc>
        <w:tc>
          <w:tcPr>
            <w:tcW w:w="1642" w:type="dxa"/>
          </w:tcPr>
          <w:p w14:paraId="4F3E95EB">
            <w:pPr>
              <w:spacing w:line="600" w:lineRule="exact"/>
              <w:ind w:firstLine="0" w:firstLineChars="0"/>
              <w:rPr>
                <w:rFonts w:hint="eastAsia" w:ascii="宋体" w:hAnsi="宋体" w:eastAsia="宋体" w:cs="宋体"/>
                <w:sz w:val="21"/>
                <w:szCs w:val="21"/>
              </w:rPr>
            </w:pPr>
          </w:p>
        </w:tc>
      </w:tr>
      <w:tr w14:paraId="4EA68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0F126B2">
            <w:pPr>
              <w:spacing w:line="600" w:lineRule="exact"/>
              <w:ind w:firstLine="0" w:firstLineChars="0"/>
              <w:rPr>
                <w:rFonts w:hint="eastAsia" w:ascii="宋体" w:hAnsi="宋体" w:eastAsia="宋体" w:cs="宋体"/>
                <w:sz w:val="21"/>
                <w:szCs w:val="21"/>
              </w:rPr>
            </w:pPr>
          </w:p>
        </w:tc>
        <w:tc>
          <w:tcPr>
            <w:tcW w:w="1856" w:type="dxa"/>
          </w:tcPr>
          <w:p w14:paraId="5A0F4ECF">
            <w:pPr>
              <w:spacing w:line="600" w:lineRule="exact"/>
              <w:ind w:firstLine="0" w:firstLineChars="0"/>
              <w:rPr>
                <w:rFonts w:hint="eastAsia" w:ascii="宋体" w:hAnsi="宋体" w:eastAsia="宋体" w:cs="宋体"/>
                <w:sz w:val="21"/>
                <w:szCs w:val="21"/>
              </w:rPr>
            </w:pPr>
          </w:p>
        </w:tc>
        <w:tc>
          <w:tcPr>
            <w:tcW w:w="2400" w:type="dxa"/>
          </w:tcPr>
          <w:p w14:paraId="1272B282">
            <w:pPr>
              <w:spacing w:line="600" w:lineRule="exact"/>
              <w:ind w:firstLine="0" w:firstLineChars="0"/>
              <w:rPr>
                <w:rFonts w:hint="eastAsia" w:ascii="宋体" w:hAnsi="宋体" w:eastAsia="宋体" w:cs="宋体"/>
                <w:sz w:val="21"/>
                <w:szCs w:val="21"/>
              </w:rPr>
            </w:pPr>
          </w:p>
        </w:tc>
        <w:tc>
          <w:tcPr>
            <w:tcW w:w="2288" w:type="dxa"/>
          </w:tcPr>
          <w:p w14:paraId="1B888190">
            <w:pPr>
              <w:spacing w:line="600" w:lineRule="exact"/>
              <w:ind w:firstLine="0" w:firstLineChars="0"/>
              <w:rPr>
                <w:rFonts w:hint="eastAsia" w:ascii="宋体" w:hAnsi="宋体" w:eastAsia="宋体" w:cs="宋体"/>
                <w:sz w:val="21"/>
                <w:szCs w:val="21"/>
              </w:rPr>
            </w:pPr>
          </w:p>
        </w:tc>
        <w:tc>
          <w:tcPr>
            <w:tcW w:w="1642" w:type="dxa"/>
          </w:tcPr>
          <w:p w14:paraId="61804E3F">
            <w:pPr>
              <w:spacing w:line="600" w:lineRule="exact"/>
              <w:ind w:firstLine="0" w:firstLineChars="0"/>
              <w:rPr>
                <w:rFonts w:hint="eastAsia" w:ascii="宋体" w:hAnsi="宋体" w:eastAsia="宋体" w:cs="宋体"/>
                <w:sz w:val="21"/>
                <w:szCs w:val="21"/>
              </w:rPr>
            </w:pPr>
          </w:p>
        </w:tc>
      </w:tr>
      <w:tr w14:paraId="637338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90082AD">
            <w:pPr>
              <w:spacing w:line="600" w:lineRule="exact"/>
              <w:ind w:firstLine="0" w:firstLineChars="0"/>
              <w:rPr>
                <w:rFonts w:hint="eastAsia" w:ascii="宋体" w:hAnsi="宋体" w:eastAsia="宋体" w:cs="宋体"/>
                <w:sz w:val="21"/>
                <w:szCs w:val="21"/>
              </w:rPr>
            </w:pPr>
          </w:p>
        </w:tc>
        <w:tc>
          <w:tcPr>
            <w:tcW w:w="1856" w:type="dxa"/>
          </w:tcPr>
          <w:p w14:paraId="15466F06">
            <w:pPr>
              <w:spacing w:line="600" w:lineRule="exact"/>
              <w:ind w:firstLine="0" w:firstLineChars="0"/>
              <w:rPr>
                <w:rFonts w:hint="eastAsia" w:ascii="宋体" w:hAnsi="宋体" w:eastAsia="宋体" w:cs="宋体"/>
                <w:sz w:val="21"/>
                <w:szCs w:val="21"/>
              </w:rPr>
            </w:pPr>
          </w:p>
        </w:tc>
        <w:tc>
          <w:tcPr>
            <w:tcW w:w="2400" w:type="dxa"/>
          </w:tcPr>
          <w:p w14:paraId="7118FF77">
            <w:pPr>
              <w:spacing w:line="600" w:lineRule="exact"/>
              <w:ind w:firstLine="0" w:firstLineChars="0"/>
              <w:rPr>
                <w:rFonts w:hint="eastAsia" w:ascii="宋体" w:hAnsi="宋体" w:eastAsia="宋体" w:cs="宋体"/>
                <w:sz w:val="21"/>
                <w:szCs w:val="21"/>
              </w:rPr>
            </w:pPr>
          </w:p>
        </w:tc>
        <w:tc>
          <w:tcPr>
            <w:tcW w:w="2288" w:type="dxa"/>
          </w:tcPr>
          <w:p w14:paraId="1ED00113">
            <w:pPr>
              <w:spacing w:line="600" w:lineRule="exact"/>
              <w:ind w:firstLine="0" w:firstLineChars="0"/>
              <w:rPr>
                <w:rFonts w:hint="eastAsia" w:ascii="宋体" w:hAnsi="宋体" w:eastAsia="宋体" w:cs="宋体"/>
                <w:sz w:val="21"/>
                <w:szCs w:val="21"/>
              </w:rPr>
            </w:pPr>
          </w:p>
        </w:tc>
        <w:tc>
          <w:tcPr>
            <w:tcW w:w="1642" w:type="dxa"/>
          </w:tcPr>
          <w:p w14:paraId="7BC7AF09">
            <w:pPr>
              <w:spacing w:line="600" w:lineRule="exact"/>
              <w:ind w:firstLine="0" w:firstLineChars="0"/>
              <w:rPr>
                <w:rFonts w:hint="eastAsia" w:ascii="宋体" w:hAnsi="宋体" w:eastAsia="宋体" w:cs="宋体"/>
                <w:sz w:val="21"/>
                <w:szCs w:val="21"/>
              </w:rPr>
            </w:pPr>
          </w:p>
        </w:tc>
      </w:tr>
      <w:tr w14:paraId="190925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2B39667">
            <w:pPr>
              <w:spacing w:line="600" w:lineRule="exact"/>
              <w:ind w:firstLine="0" w:firstLineChars="0"/>
              <w:rPr>
                <w:rFonts w:hint="eastAsia" w:ascii="宋体" w:hAnsi="宋体" w:eastAsia="宋体" w:cs="宋体"/>
                <w:sz w:val="21"/>
                <w:szCs w:val="21"/>
              </w:rPr>
            </w:pPr>
          </w:p>
        </w:tc>
        <w:tc>
          <w:tcPr>
            <w:tcW w:w="1856" w:type="dxa"/>
          </w:tcPr>
          <w:p w14:paraId="13A2E58C">
            <w:pPr>
              <w:spacing w:line="600" w:lineRule="exact"/>
              <w:ind w:firstLine="0" w:firstLineChars="0"/>
              <w:rPr>
                <w:rFonts w:hint="eastAsia" w:ascii="宋体" w:hAnsi="宋体" w:eastAsia="宋体" w:cs="宋体"/>
                <w:sz w:val="21"/>
                <w:szCs w:val="21"/>
              </w:rPr>
            </w:pPr>
          </w:p>
        </w:tc>
        <w:tc>
          <w:tcPr>
            <w:tcW w:w="2400" w:type="dxa"/>
          </w:tcPr>
          <w:p w14:paraId="377C59ED">
            <w:pPr>
              <w:spacing w:line="600" w:lineRule="exact"/>
              <w:ind w:firstLine="0" w:firstLineChars="0"/>
              <w:rPr>
                <w:rFonts w:hint="eastAsia" w:ascii="宋体" w:hAnsi="宋体" w:eastAsia="宋体" w:cs="宋体"/>
                <w:sz w:val="21"/>
                <w:szCs w:val="21"/>
              </w:rPr>
            </w:pPr>
          </w:p>
        </w:tc>
        <w:tc>
          <w:tcPr>
            <w:tcW w:w="2288" w:type="dxa"/>
          </w:tcPr>
          <w:p w14:paraId="3ED4C81D">
            <w:pPr>
              <w:spacing w:line="600" w:lineRule="exact"/>
              <w:ind w:firstLine="0" w:firstLineChars="0"/>
              <w:rPr>
                <w:rFonts w:hint="eastAsia" w:ascii="宋体" w:hAnsi="宋体" w:eastAsia="宋体" w:cs="宋体"/>
                <w:sz w:val="21"/>
                <w:szCs w:val="21"/>
              </w:rPr>
            </w:pPr>
          </w:p>
        </w:tc>
        <w:tc>
          <w:tcPr>
            <w:tcW w:w="1642" w:type="dxa"/>
          </w:tcPr>
          <w:p w14:paraId="21F334FB">
            <w:pPr>
              <w:spacing w:line="600" w:lineRule="exact"/>
              <w:ind w:firstLine="0" w:firstLineChars="0"/>
              <w:rPr>
                <w:rFonts w:hint="eastAsia" w:ascii="宋体" w:hAnsi="宋体" w:eastAsia="宋体" w:cs="宋体"/>
                <w:sz w:val="21"/>
                <w:szCs w:val="21"/>
              </w:rPr>
            </w:pPr>
          </w:p>
        </w:tc>
      </w:tr>
      <w:tr w14:paraId="7D4DDB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2D704D65">
            <w:pPr>
              <w:spacing w:line="600" w:lineRule="exact"/>
              <w:ind w:firstLine="0" w:firstLineChars="0"/>
              <w:rPr>
                <w:rFonts w:hint="eastAsia" w:ascii="宋体" w:hAnsi="宋体" w:eastAsia="宋体" w:cs="宋体"/>
                <w:sz w:val="21"/>
                <w:szCs w:val="21"/>
              </w:rPr>
            </w:pPr>
          </w:p>
        </w:tc>
        <w:tc>
          <w:tcPr>
            <w:tcW w:w="1856" w:type="dxa"/>
          </w:tcPr>
          <w:p w14:paraId="7CC4591C">
            <w:pPr>
              <w:spacing w:line="600" w:lineRule="exact"/>
              <w:ind w:firstLine="0" w:firstLineChars="0"/>
              <w:rPr>
                <w:rFonts w:hint="eastAsia" w:ascii="宋体" w:hAnsi="宋体" w:eastAsia="宋体" w:cs="宋体"/>
                <w:sz w:val="21"/>
                <w:szCs w:val="21"/>
              </w:rPr>
            </w:pPr>
          </w:p>
        </w:tc>
        <w:tc>
          <w:tcPr>
            <w:tcW w:w="2400" w:type="dxa"/>
          </w:tcPr>
          <w:p w14:paraId="1DBF95D0">
            <w:pPr>
              <w:spacing w:line="600" w:lineRule="exact"/>
              <w:ind w:firstLine="0" w:firstLineChars="0"/>
              <w:rPr>
                <w:rFonts w:hint="eastAsia" w:ascii="宋体" w:hAnsi="宋体" w:eastAsia="宋体" w:cs="宋体"/>
                <w:sz w:val="21"/>
                <w:szCs w:val="21"/>
              </w:rPr>
            </w:pPr>
          </w:p>
        </w:tc>
        <w:tc>
          <w:tcPr>
            <w:tcW w:w="2288" w:type="dxa"/>
          </w:tcPr>
          <w:p w14:paraId="2E731C71">
            <w:pPr>
              <w:spacing w:line="600" w:lineRule="exact"/>
              <w:ind w:firstLine="0" w:firstLineChars="0"/>
              <w:rPr>
                <w:rFonts w:hint="eastAsia" w:ascii="宋体" w:hAnsi="宋体" w:eastAsia="宋体" w:cs="宋体"/>
                <w:sz w:val="21"/>
                <w:szCs w:val="21"/>
              </w:rPr>
            </w:pPr>
          </w:p>
        </w:tc>
        <w:tc>
          <w:tcPr>
            <w:tcW w:w="1642" w:type="dxa"/>
          </w:tcPr>
          <w:p w14:paraId="2654B3B8">
            <w:pPr>
              <w:spacing w:line="600" w:lineRule="exact"/>
              <w:ind w:firstLine="0" w:firstLineChars="0"/>
              <w:rPr>
                <w:rFonts w:hint="eastAsia" w:ascii="宋体" w:hAnsi="宋体" w:eastAsia="宋体" w:cs="宋体"/>
                <w:sz w:val="21"/>
                <w:szCs w:val="21"/>
              </w:rPr>
            </w:pPr>
          </w:p>
        </w:tc>
      </w:tr>
    </w:tbl>
    <w:p w14:paraId="63241E2B">
      <w:pPr>
        <w:ind w:firstLine="0" w:firstLineChars="0"/>
        <w:rPr>
          <w:rFonts w:hint="eastAsia" w:ascii="宋体" w:hAnsi="宋体" w:cs="宋体"/>
          <w:b/>
          <w:color w:val="000000"/>
          <w:szCs w:val="21"/>
        </w:rPr>
      </w:pPr>
      <w:r>
        <w:rPr>
          <w:rFonts w:hint="eastAsia" w:ascii="宋体" w:hAnsi="宋体" w:cs="宋体"/>
          <w:b/>
          <w:color w:val="000000"/>
          <w:szCs w:val="21"/>
        </w:rPr>
        <w:t>表格填写说明：</w:t>
      </w:r>
    </w:p>
    <w:p w14:paraId="60E36045">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31548D01">
      <w:pPr>
        <w:ind w:firstLine="420"/>
        <w:rPr>
          <w:rFonts w:hint="eastAsia" w:ascii="宋体" w:hAnsi="宋体" w:cs="宋体"/>
          <w:szCs w:val="21"/>
        </w:rPr>
      </w:pPr>
      <w:r>
        <w:rPr>
          <w:rFonts w:hint="eastAsia" w:ascii="宋体" w:hAnsi="宋体" w:cs="宋体"/>
          <w:szCs w:val="21"/>
        </w:rPr>
        <w:t>2、“偏离”系指“正偏离”、“负偏离”或“无偏离”。</w:t>
      </w:r>
    </w:p>
    <w:p w14:paraId="2137C8C6">
      <w:pPr>
        <w:pStyle w:val="11"/>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86"/>
    <w:bookmarkEnd w:id="787"/>
    <w:p w14:paraId="2F6322CA">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711AC373">
      <w:pPr>
        <w:ind w:firstLine="0" w:firstLineChars="0"/>
        <w:rPr>
          <w:rFonts w:hint="eastAsia" w:hAnsi="宋体"/>
          <w:b/>
          <w:sz w:val="28"/>
          <w:szCs w:val="28"/>
        </w:rPr>
      </w:pPr>
      <w:bookmarkStart w:id="788" w:name="_Toc26783975"/>
      <w:bookmarkStart w:id="789" w:name="_Toc10"/>
      <w:bookmarkStart w:id="790" w:name="_Toc49935376"/>
      <w:bookmarkStart w:id="791" w:name="_Toc68090096"/>
      <w:bookmarkStart w:id="792" w:name="OLE_LINK155"/>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p>
    <w:p w14:paraId="570818F6">
      <w:pPr>
        <w:spacing w:line="24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88"/>
      <w:bookmarkEnd w:id="789"/>
      <w:bookmarkEnd w:id="790"/>
      <w:bookmarkEnd w:id="791"/>
    </w:p>
    <w:p w14:paraId="693D8C6C">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4BC68654">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53E48E2A">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1</w:t>
      </w:r>
      <w:r>
        <w:rPr>
          <w:rFonts w:hint="eastAsia" w:hAnsi="宋体"/>
          <w:b/>
          <w:sz w:val="28"/>
          <w:szCs w:val="28"/>
        </w:rPr>
        <w:t>：</w:t>
      </w:r>
    </w:p>
    <w:p w14:paraId="47184BAF">
      <w:pPr>
        <w:pStyle w:val="11"/>
        <w:ind w:firstLine="0" w:firstLineChars="0"/>
        <w:jc w:val="center"/>
        <w:rPr>
          <w:rFonts w:hint="eastAsia" w:ascii="宋体"/>
          <w:b/>
          <w:bCs/>
          <w:sz w:val="32"/>
          <w:szCs w:val="32"/>
          <w:lang w:val="en-US" w:eastAsia="zh-CN"/>
        </w:rPr>
      </w:pPr>
      <w:r>
        <w:rPr>
          <w:rFonts w:hint="eastAsia" w:ascii="宋体"/>
          <w:b/>
          <w:bCs/>
          <w:sz w:val="32"/>
          <w:szCs w:val="32"/>
          <w:lang w:val="en-US" w:eastAsia="zh-CN"/>
        </w:rPr>
        <w:t>项目团队</w:t>
      </w:r>
    </w:p>
    <w:p w14:paraId="4AB3E6CC">
      <w:pPr>
        <w:pStyle w:val="11"/>
        <w:ind w:firstLine="0"/>
      </w:pPr>
      <w:r>
        <w:rPr>
          <w:rFonts w:hint="eastAsia"/>
        </w:rPr>
        <w:t xml:space="preserve">表1 </w:t>
      </w:r>
      <w:r>
        <w:rPr>
          <w:rFonts w:hint="eastAsia" w:ascii="宋体" w:hAnsi="宋体" w:cs="宋体"/>
          <w:szCs w:val="21"/>
        </w:rPr>
        <w:t>项目负责人信息表</w:t>
      </w:r>
    </w:p>
    <w:tbl>
      <w:tblPr>
        <w:tblStyle w:val="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91"/>
        <w:gridCol w:w="763"/>
        <w:gridCol w:w="319"/>
        <w:gridCol w:w="456"/>
        <w:gridCol w:w="655"/>
        <w:gridCol w:w="94"/>
        <w:gridCol w:w="674"/>
        <w:gridCol w:w="531"/>
        <w:gridCol w:w="225"/>
        <w:gridCol w:w="980"/>
        <w:gridCol w:w="220"/>
        <w:gridCol w:w="985"/>
        <w:gridCol w:w="128"/>
        <w:gridCol w:w="1081"/>
      </w:tblGrid>
      <w:tr w14:paraId="3DB8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28" w:type="dxa"/>
            <w:gridSpan w:val="2"/>
            <w:vAlign w:val="center"/>
          </w:tcPr>
          <w:p w14:paraId="45A31AE8">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负责人姓名</w:t>
            </w:r>
          </w:p>
        </w:tc>
        <w:tc>
          <w:tcPr>
            <w:tcW w:w="763" w:type="dxa"/>
            <w:vAlign w:val="center"/>
          </w:tcPr>
          <w:p w14:paraId="4B348322">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性别</w:t>
            </w:r>
          </w:p>
        </w:tc>
        <w:tc>
          <w:tcPr>
            <w:tcW w:w="775" w:type="dxa"/>
            <w:gridSpan w:val="2"/>
            <w:vAlign w:val="center"/>
          </w:tcPr>
          <w:p w14:paraId="6F98B045">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出生日期</w:t>
            </w:r>
          </w:p>
        </w:tc>
        <w:tc>
          <w:tcPr>
            <w:tcW w:w="655" w:type="dxa"/>
            <w:vAlign w:val="center"/>
          </w:tcPr>
          <w:p w14:paraId="3C4C0615">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学历</w:t>
            </w:r>
          </w:p>
        </w:tc>
        <w:tc>
          <w:tcPr>
            <w:tcW w:w="768" w:type="dxa"/>
            <w:gridSpan w:val="2"/>
            <w:vAlign w:val="center"/>
          </w:tcPr>
          <w:p w14:paraId="2FB67BF4">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专业</w:t>
            </w:r>
          </w:p>
        </w:tc>
        <w:tc>
          <w:tcPr>
            <w:tcW w:w="756" w:type="dxa"/>
            <w:gridSpan w:val="2"/>
            <w:vAlign w:val="center"/>
          </w:tcPr>
          <w:p w14:paraId="4082D0DC">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相关证书</w:t>
            </w:r>
          </w:p>
        </w:tc>
        <w:tc>
          <w:tcPr>
            <w:tcW w:w="1200" w:type="dxa"/>
            <w:gridSpan w:val="2"/>
            <w:vAlign w:val="center"/>
          </w:tcPr>
          <w:p w14:paraId="75A6FCFB">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相关荣誉</w:t>
            </w:r>
          </w:p>
        </w:tc>
        <w:tc>
          <w:tcPr>
            <w:tcW w:w="1113" w:type="dxa"/>
            <w:gridSpan w:val="2"/>
            <w:vAlign w:val="center"/>
          </w:tcPr>
          <w:p w14:paraId="67532E8A">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工作年限</w:t>
            </w:r>
          </w:p>
        </w:tc>
        <w:tc>
          <w:tcPr>
            <w:tcW w:w="1081" w:type="dxa"/>
            <w:vAlign w:val="center"/>
          </w:tcPr>
          <w:p w14:paraId="0986589C">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在本项目拟任职务</w:t>
            </w:r>
          </w:p>
        </w:tc>
      </w:tr>
      <w:tr w14:paraId="5394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328" w:type="dxa"/>
            <w:gridSpan w:val="2"/>
            <w:vAlign w:val="center"/>
          </w:tcPr>
          <w:p w14:paraId="73585B01">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63" w:type="dxa"/>
            <w:vAlign w:val="center"/>
          </w:tcPr>
          <w:p w14:paraId="02EECB53">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75" w:type="dxa"/>
            <w:gridSpan w:val="2"/>
            <w:vAlign w:val="center"/>
          </w:tcPr>
          <w:p w14:paraId="43F05264">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655" w:type="dxa"/>
            <w:vAlign w:val="center"/>
          </w:tcPr>
          <w:p w14:paraId="1C9A7A3E">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68" w:type="dxa"/>
            <w:gridSpan w:val="2"/>
            <w:vAlign w:val="center"/>
          </w:tcPr>
          <w:p w14:paraId="522C6D18">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56" w:type="dxa"/>
            <w:gridSpan w:val="2"/>
            <w:vAlign w:val="center"/>
          </w:tcPr>
          <w:p w14:paraId="7F9BB09B">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00" w:type="dxa"/>
            <w:gridSpan w:val="2"/>
            <w:vAlign w:val="center"/>
          </w:tcPr>
          <w:p w14:paraId="00FBD119">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113" w:type="dxa"/>
            <w:gridSpan w:val="2"/>
            <w:vAlign w:val="center"/>
          </w:tcPr>
          <w:p w14:paraId="66805B58">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081" w:type="dxa"/>
            <w:vAlign w:val="center"/>
          </w:tcPr>
          <w:p w14:paraId="0CD7BA50">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r>
      <w:tr w14:paraId="5DF66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8439" w:type="dxa"/>
            <w:gridSpan w:val="15"/>
          </w:tcPr>
          <w:p w14:paraId="778054CE">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Ansi="宋体"/>
                <w:szCs w:val="21"/>
              </w:rPr>
            </w:pPr>
            <w:r>
              <w:rPr>
                <w:rFonts w:hint="eastAsia" w:ascii="宋体" w:hAnsi="宋体"/>
                <w:szCs w:val="21"/>
              </w:rPr>
              <w:t>个人简历：</w:t>
            </w:r>
          </w:p>
        </w:tc>
      </w:tr>
      <w:tr w14:paraId="4BA08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8439" w:type="dxa"/>
            <w:gridSpan w:val="15"/>
          </w:tcPr>
          <w:p w14:paraId="45A5706D">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宋体" w:hAnsi="宋体"/>
                <w:szCs w:val="21"/>
              </w:rPr>
            </w:pPr>
            <w:r>
              <w:rPr>
                <w:rFonts w:hint="eastAsia" w:hAnsi="宋体"/>
                <w:szCs w:val="21"/>
              </w:rPr>
              <w:t>类似项目经验：</w:t>
            </w:r>
          </w:p>
        </w:tc>
      </w:tr>
      <w:tr w14:paraId="69085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4A2E977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序号</w:t>
            </w:r>
          </w:p>
        </w:tc>
        <w:tc>
          <w:tcPr>
            <w:tcW w:w="1673" w:type="dxa"/>
            <w:gridSpan w:val="3"/>
          </w:tcPr>
          <w:p w14:paraId="5DC9E0B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业绩名称</w:t>
            </w:r>
          </w:p>
        </w:tc>
        <w:tc>
          <w:tcPr>
            <w:tcW w:w="1205" w:type="dxa"/>
            <w:gridSpan w:val="3"/>
          </w:tcPr>
          <w:p w14:paraId="4F5F46F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委托人</w:t>
            </w:r>
          </w:p>
        </w:tc>
        <w:tc>
          <w:tcPr>
            <w:tcW w:w="1205" w:type="dxa"/>
            <w:gridSpan w:val="2"/>
          </w:tcPr>
          <w:p w14:paraId="3EE5DAA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联系电话</w:t>
            </w:r>
          </w:p>
        </w:tc>
        <w:tc>
          <w:tcPr>
            <w:tcW w:w="1205" w:type="dxa"/>
            <w:gridSpan w:val="2"/>
          </w:tcPr>
          <w:p w14:paraId="77CD026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项目金额</w:t>
            </w:r>
          </w:p>
        </w:tc>
        <w:tc>
          <w:tcPr>
            <w:tcW w:w="1205" w:type="dxa"/>
            <w:gridSpan w:val="2"/>
          </w:tcPr>
          <w:p w14:paraId="0664792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项目时间</w:t>
            </w:r>
          </w:p>
        </w:tc>
        <w:tc>
          <w:tcPr>
            <w:tcW w:w="1209" w:type="dxa"/>
            <w:gridSpan w:val="2"/>
          </w:tcPr>
          <w:p w14:paraId="5A0B515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评价意见</w:t>
            </w:r>
          </w:p>
        </w:tc>
      </w:tr>
      <w:tr w14:paraId="42B5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7209F1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1</w:t>
            </w:r>
          </w:p>
        </w:tc>
        <w:tc>
          <w:tcPr>
            <w:tcW w:w="1673" w:type="dxa"/>
            <w:gridSpan w:val="3"/>
          </w:tcPr>
          <w:p w14:paraId="2FD39DA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3"/>
          </w:tcPr>
          <w:p w14:paraId="40D3876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2C4CB47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41119F0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6AD8B1D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9" w:type="dxa"/>
            <w:gridSpan w:val="2"/>
          </w:tcPr>
          <w:p w14:paraId="7EF41A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r>
      <w:tr w14:paraId="4B26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4AEE09A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2</w:t>
            </w:r>
          </w:p>
        </w:tc>
        <w:tc>
          <w:tcPr>
            <w:tcW w:w="1673" w:type="dxa"/>
            <w:gridSpan w:val="3"/>
          </w:tcPr>
          <w:p w14:paraId="5C1AF1E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3"/>
          </w:tcPr>
          <w:p w14:paraId="5F3579A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7B75F9B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66D0192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288B7C3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9" w:type="dxa"/>
            <w:gridSpan w:val="2"/>
          </w:tcPr>
          <w:p w14:paraId="3E61933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r>
      <w:tr w14:paraId="0460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66E4EDA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3</w:t>
            </w:r>
          </w:p>
        </w:tc>
        <w:tc>
          <w:tcPr>
            <w:tcW w:w="1673" w:type="dxa"/>
            <w:gridSpan w:val="3"/>
          </w:tcPr>
          <w:p w14:paraId="0ACED1B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3"/>
          </w:tcPr>
          <w:p w14:paraId="0A4EEED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242D8CF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6D88511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3EF087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9" w:type="dxa"/>
            <w:gridSpan w:val="2"/>
          </w:tcPr>
          <w:p w14:paraId="65EBA66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r>
      <w:tr w14:paraId="0AF5F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7F78135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r>
              <w:rPr>
                <w:rFonts w:hint="eastAsia" w:hAnsi="宋体"/>
                <w:szCs w:val="21"/>
              </w:rPr>
              <w:t>......</w:t>
            </w:r>
          </w:p>
        </w:tc>
        <w:tc>
          <w:tcPr>
            <w:tcW w:w="1673" w:type="dxa"/>
            <w:gridSpan w:val="3"/>
          </w:tcPr>
          <w:p w14:paraId="629558A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3"/>
          </w:tcPr>
          <w:p w14:paraId="4CAE377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00289B8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0042FFA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5" w:type="dxa"/>
            <w:gridSpan w:val="2"/>
          </w:tcPr>
          <w:p w14:paraId="5D27AFC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c>
          <w:tcPr>
            <w:tcW w:w="1209" w:type="dxa"/>
            <w:gridSpan w:val="2"/>
          </w:tcPr>
          <w:p w14:paraId="4B6EA34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Ansi="宋体"/>
                <w:szCs w:val="21"/>
              </w:rPr>
            </w:pPr>
          </w:p>
        </w:tc>
      </w:tr>
      <w:tr w14:paraId="03F0B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8439" w:type="dxa"/>
            <w:gridSpan w:val="15"/>
            <w:vAlign w:val="center"/>
          </w:tcPr>
          <w:p w14:paraId="285074FF">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r>
              <w:rPr>
                <w:rFonts w:hint="eastAsia" w:hAnsi="宋体"/>
                <w:szCs w:val="21"/>
              </w:rPr>
              <w:t>注：</w:t>
            </w:r>
          </w:p>
          <w:p w14:paraId="43FF5401">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r>
              <w:rPr>
                <w:rFonts w:hint="eastAsia" w:hAnsi="宋体"/>
                <w:szCs w:val="21"/>
              </w:rPr>
              <w:t>1.本表后请附相对应人员资料扫描件，</w:t>
            </w:r>
            <w:r>
              <w:rPr>
                <w:rFonts w:hint="eastAsia" w:ascii="宋体" w:hAnsi="宋体" w:cs="宋体"/>
                <w:szCs w:val="21"/>
              </w:rPr>
              <w:t>人员资料包括身份证、劳动合同或社保证明、学历证书（若有）、相关证书（若有）、相关荣誉证明材料（若有）、类似项目经验证明材料（若有）。无人员资料或资料不明确、无法体现对应内容的，不予认可。</w:t>
            </w:r>
          </w:p>
          <w:p w14:paraId="10881F03">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hAnsi="宋体" w:eastAsia="宋体"/>
                <w:szCs w:val="21"/>
                <w:lang w:val="en-US" w:eastAsia="zh-CN"/>
              </w:rPr>
            </w:pPr>
            <w:r>
              <w:rPr>
                <w:rFonts w:hint="eastAsia" w:hAnsi="宋体"/>
                <w:szCs w:val="21"/>
              </w:rPr>
              <w:t>2.投标人可根据人员配备情况拓展本表。</w:t>
            </w:r>
          </w:p>
        </w:tc>
      </w:tr>
    </w:tbl>
    <w:p w14:paraId="39D244BD">
      <w:pPr>
        <w:rPr>
          <w:rFonts w:hint="eastAsia" w:ascii="Times New Roman" w:hAnsi="Times New Roman" w:cs="Times New Roman"/>
          <w:b/>
          <w:bCs/>
          <w:sz w:val="32"/>
          <w:szCs w:val="32"/>
        </w:rPr>
      </w:pPr>
      <w:r>
        <w:rPr>
          <w:rFonts w:hint="eastAsia" w:ascii="Times New Roman" w:hAnsi="Times New Roman" w:cs="Times New Roman"/>
          <w:b/>
          <w:bCs/>
          <w:sz w:val="32"/>
          <w:szCs w:val="32"/>
        </w:rPr>
        <w:br w:type="page"/>
      </w:r>
    </w:p>
    <w:p w14:paraId="6592BE9E">
      <w:r>
        <w:rPr>
          <w:rFonts w:hint="eastAsia"/>
        </w:rPr>
        <w:t>表2 项目团队人员信息表</w:t>
      </w:r>
    </w:p>
    <w:tbl>
      <w:tblPr>
        <w:tblStyle w:val="32"/>
        <w:tblW w:w="91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224"/>
        <w:gridCol w:w="701"/>
        <w:gridCol w:w="822"/>
        <w:gridCol w:w="742"/>
        <w:gridCol w:w="768"/>
        <w:gridCol w:w="756"/>
        <w:gridCol w:w="1200"/>
        <w:gridCol w:w="1113"/>
        <w:gridCol w:w="1081"/>
      </w:tblGrid>
      <w:tr w14:paraId="2C969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83" w:type="dxa"/>
            <w:vAlign w:val="center"/>
          </w:tcPr>
          <w:p w14:paraId="406ABC3C">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序号</w:t>
            </w:r>
          </w:p>
        </w:tc>
        <w:tc>
          <w:tcPr>
            <w:tcW w:w="1224" w:type="dxa"/>
            <w:vAlign w:val="center"/>
          </w:tcPr>
          <w:p w14:paraId="40E8A523">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项目管理团队人员姓名</w:t>
            </w:r>
          </w:p>
        </w:tc>
        <w:tc>
          <w:tcPr>
            <w:tcW w:w="701" w:type="dxa"/>
            <w:vAlign w:val="center"/>
          </w:tcPr>
          <w:p w14:paraId="232CF957">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性别</w:t>
            </w:r>
          </w:p>
        </w:tc>
        <w:tc>
          <w:tcPr>
            <w:tcW w:w="822" w:type="dxa"/>
            <w:vAlign w:val="center"/>
          </w:tcPr>
          <w:p w14:paraId="5F1CB83F">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出生日期</w:t>
            </w:r>
          </w:p>
        </w:tc>
        <w:tc>
          <w:tcPr>
            <w:tcW w:w="742" w:type="dxa"/>
            <w:vAlign w:val="center"/>
          </w:tcPr>
          <w:p w14:paraId="492B5CAD">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学历</w:t>
            </w:r>
          </w:p>
        </w:tc>
        <w:tc>
          <w:tcPr>
            <w:tcW w:w="768" w:type="dxa"/>
            <w:vAlign w:val="center"/>
          </w:tcPr>
          <w:p w14:paraId="202FC2B6">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专业</w:t>
            </w:r>
          </w:p>
        </w:tc>
        <w:tc>
          <w:tcPr>
            <w:tcW w:w="756" w:type="dxa"/>
            <w:vAlign w:val="center"/>
          </w:tcPr>
          <w:p w14:paraId="63841EA0">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相关证书</w:t>
            </w:r>
          </w:p>
        </w:tc>
        <w:tc>
          <w:tcPr>
            <w:tcW w:w="1200" w:type="dxa"/>
            <w:vAlign w:val="center"/>
          </w:tcPr>
          <w:p w14:paraId="20A3493C">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相关荣誉</w:t>
            </w:r>
          </w:p>
        </w:tc>
        <w:tc>
          <w:tcPr>
            <w:tcW w:w="1113" w:type="dxa"/>
            <w:vAlign w:val="center"/>
          </w:tcPr>
          <w:p w14:paraId="34868930">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工作年限</w:t>
            </w:r>
          </w:p>
        </w:tc>
        <w:tc>
          <w:tcPr>
            <w:tcW w:w="1081" w:type="dxa"/>
            <w:vAlign w:val="center"/>
          </w:tcPr>
          <w:p w14:paraId="4F2AEC42">
            <w:pPr>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hAnsi="宋体"/>
                <w:szCs w:val="21"/>
              </w:rPr>
            </w:pPr>
            <w:r>
              <w:rPr>
                <w:rFonts w:hint="eastAsia" w:hAnsi="宋体"/>
                <w:szCs w:val="21"/>
              </w:rPr>
              <w:t>在本项目拟任职务</w:t>
            </w:r>
          </w:p>
        </w:tc>
      </w:tr>
      <w:tr w14:paraId="3B7D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83" w:type="dxa"/>
            <w:vAlign w:val="center"/>
          </w:tcPr>
          <w:p w14:paraId="0BF30DDB">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24" w:type="dxa"/>
            <w:vAlign w:val="center"/>
          </w:tcPr>
          <w:p w14:paraId="6777B844">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01" w:type="dxa"/>
            <w:vAlign w:val="center"/>
          </w:tcPr>
          <w:p w14:paraId="78006792">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822" w:type="dxa"/>
            <w:vAlign w:val="center"/>
          </w:tcPr>
          <w:p w14:paraId="2126444A">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42" w:type="dxa"/>
            <w:vAlign w:val="center"/>
          </w:tcPr>
          <w:p w14:paraId="2715431F">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68" w:type="dxa"/>
            <w:vAlign w:val="center"/>
          </w:tcPr>
          <w:p w14:paraId="201CA312">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56" w:type="dxa"/>
            <w:vAlign w:val="center"/>
          </w:tcPr>
          <w:p w14:paraId="6F43027D">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00" w:type="dxa"/>
            <w:vAlign w:val="center"/>
          </w:tcPr>
          <w:p w14:paraId="5DC2518B">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113" w:type="dxa"/>
            <w:vAlign w:val="center"/>
          </w:tcPr>
          <w:p w14:paraId="23F54DD9">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081" w:type="dxa"/>
            <w:vAlign w:val="center"/>
          </w:tcPr>
          <w:p w14:paraId="77F3A373">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r>
      <w:tr w14:paraId="1858E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83" w:type="dxa"/>
            <w:vAlign w:val="center"/>
          </w:tcPr>
          <w:p w14:paraId="787211AD">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24" w:type="dxa"/>
            <w:vAlign w:val="center"/>
          </w:tcPr>
          <w:p w14:paraId="10EF353A">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01" w:type="dxa"/>
            <w:vAlign w:val="center"/>
          </w:tcPr>
          <w:p w14:paraId="380795A5">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822" w:type="dxa"/>
            <w:vAlign w:val="center"/>
          </w:tcPr>
          <w:p w14:paraId="149DA3F6">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42" w:type="dxa"/>
            <w:vAlign w:val="center"/>
          </w:tcPr>
          <w:p w14:paraId="5F053CC9">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68" w:type="dxa"/>
            <w:vAlign w:val="center"/>
          </w:tcPr>
          <w:p w14:paraId="39603FBC">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56" w:type="dxa"/>
            <w:vAlign w:val="center"/>
          </w:tcPr>
          <w:p w14:paraId="79A9425A">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00" w:type="dxa"/>
            <w:vAlign w:val="center"/>
          </w:tcPr>
          <w:p w14:paraId="68C79BD0">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113" w:type="dxa"/>
            <w:vAlign w:val="center"/>
          </w:tcPr>
          <w:p w14:paraId="7F7D9234">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081" w:type="dxa"/>
            <w:vAlign w:val="center"/>
          </w:tcPr>
          <w:p w14:paraId="07C5CB52">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r>
      <w:tr w14:paraId="321B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5839524C">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24" w:type="dxa"/>
            <w:vAlign w:val="center"/>
          </w:tcPr>
          <w:p w14:paraId="1FF50F92">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01" w:type="dxa"/>
            <w:vAlign w:val="center"/>
          </w:tcPr>
          <w:p w14:paraId="47C30DA0">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822" w:type="dxa"/>
            <w:vAlign w:val="center"/>
          </w:tcPr>
          <w:p w14:paraId="02F21E1B">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42" w:type="dxa"/>
            <w:vAlign w:val="center"/>
          </w:tcPr>
          <w:p w14:paraId="20FCEC8A">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68" w:type="dxa"/>
            <w:vAlign w:val="center"/>
          </w:tcPr>
          <w:p w14:paraId="0B2D7619">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56" w:type="dxa"/>
            <w:vAlign w:val="center"/>
          </w:tcPr>
          <w:p w14:paraId="46CDE8C7">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00" w:type="dxa"/>
            <w:vAlign w:val="center"/>
          </w:tcPr>
          <w:p w14:paraId="78EAD83A">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113" w:type="dxa"/>
            <w:vAlign w:val="center"/>
          </w:tcPr>
          <w:p w14:paraId="5787AD3C">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081" w:type="dxa"/>
            <w:vAlign w:val="center"/>
          </w:tcPr>
          <w:p w14:paraId="0C13312A">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r>
      <w:tr w14:paraId="728D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22E4A58D">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24" w:type="dxa"/>
            <w:vAlign w:val="center"/>
          </w:tcPr>
          <w:p w14:paraId="5A903227">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01" w:type="dxa"/>
            <w:vAlign w:val="center"/>
          </w:tcPr>
          <w:p w14:paraId="177D982D">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822" w:type="dxa"/>
            <w:vAlign w:val="center"/>
          </w:tcPr>
          <w:p w14:paraId="5D2BE482">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42" w:type="dxa"/>
            <w:vAlign w:val="center"/>
          </w:tcPr>
          <w:p w14:paraId="6588A987">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68" w:type="dxa"/>
            <w:vAlign w:val="center"/>
          </w:tcPr>
          <w:p w14:paraId="6D7CBE44">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56" w:type="dxa"/>
            <w:vAlign w:val="center"/>
          </w:tcPr>
          <w:p w14:paraId="39B69D8B">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00" w:type="dxa"/>
            <w:vAlign w:val="center"/>
          </w:tcPr>
          <w:p w14:paraId="172E4F47">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113" w:type="dxa"/>
            <w:vAlign w:val="center"/>
          </w:tcPr>
          <w:p w14:paraId="48CA8B69">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081" w:type="dxa"/>
            <w:vAlign w:val="center"/>
          </w:tcPr>
          <w:p w14:paraId="72446A55">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r>
      <w:tr w14:paraId="4F656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7A5CEAA4">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24" w:type="dxa"/>
            <w:vAlign w:val="center"/>
          </w:tcPr>
          <w:p w14:paraId="431B6A0D">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01" w:type="dxa"/>
            <w:vAlign w:val="center"/>
          </w:tcPr>
          <w:p w14:paraId="0695C5B0">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822" w:type="dxa"/>
            <w:vAlign w:val="center"/>
          </w:tcPr>
          <w:p w14:paraId="7B6B6278">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42" w:type="dxa"/>
            <w:vAlign w:val="center"/>
          </w:tcPr>
          <w:p w14:paraId="68E41C76">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68" w:type="dxa"/>
            <w:vAlign w:val="center"/>
          </w:tcPr>
          <w:p w14:paraId="2A65066D">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756" w:type="dxa"/>
            <w:vAlign w:val="center"/>
          </w:tcPr>
          <w:p w14:paraId="12F8EB0A">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200" w:type="dxa"/>
            <w:vAlign w:val="center"/>
          </w:tcPr>
          <w:p w14:paraId="448619DF">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113" w:type="dxa"/>
            <w:vAlign w:val="center"/>
          </w:tcPr>
          <w:p w14:paraId="24649A6F">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c>
          <w:tcPr>
            <w:tcW w:w="1081" w:type="dxa"/>
            <w:vAlign w:val="center"/>
          </w:tcPr>
          <w:p w14:paraId="073D566F">
            <w:pPr>
              <w:keepNext w:val="0"/>
              <w:keepLines w:val="0"/>
              <w:pageBreakBefore w:val="0"/>
              <w:widowControl w:val="0"/>
              <w:kinsoku/>
              <w:wordWrap/>
              <w:overflowPunct/>
              <w:topLinePunct w:val="0"/>
              <w:autoSpaceDE/>
              <w:autoSpaceDN/>
              <w:bidi w:val="0"/>
              <w:adjustRightInd/>
              <w:snapToGrid/>
              <w:ind w:firstLine="0" w:firstLineChars="0"/>
              <w:textAlignment w:val="auto"/>
              <w:rPr>
                <w:rFonts w:hAnsi="宋体"/>
                <w:szCs w:val="21"/>
              </w:rPr>
            </w:pPr>
          </w:p>
        </w:tc>
      </w:tr>
      <w:tr w14:paraId="7DEBD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783" w:type="dxa"/>
            <w:vAlign w:val="center"/>
          </w:tcPr>
          <w:p w14:paraId="363E069E">
            <w:pPr>
              <w:keepNext w:val="0"/>
              <w:keepLines w:val="0"/>
              <w:pageBreakBefore w:val="0"/>
              <w:widowControl w:val="0"/>
              <w:kinsoku/>
              <w:wordWrap/>
              <w:overflowPunct/>
              <w:topLinePunct w:val="0"/>
              <w:autoSpaceDE/>
              <w:autoSpaceDN/>
              <w:bidi w:val="0"/>
              <w:adjustRightInd/>
              <w:snapToGrid/>
              <w:ind w:firstLine="0" w:firstLineChars="0"/>
              <w:textAlignment w:val="auto"/>
              <w:rPr>
                <w:rFonts w:ascii="宋体" w:hAnsi="宋体" w:cs="宋体"/>
                <w:szCs w:val="21"/>
              </w:rPr>
            </w:pPr>
            <w:r>
              <w:rPr>
                <w:rFonts w:hint="eastAsia" w:ascii="宋体" w:hAnsi="宋体" w:cs="宋体"/>
                <w:szCs w:val="21"/>
              </w:rPr>
              <w:t>注：</w:t>
            </w:r>
          </w:p>
        </w:tc>
        <w:tc>
          <w:tcPr>
            <w:tcW w:w="8407" w:type="dxa"/>
            <w:gridSpan w:val="9"/>
            <w:vAlign w:val="center"/>
          </w:tcPr>
          <w:p w14:paraId="7EDF2161">
            <w:pPr>
              <w:keepNext w:val="0"/>
              <w:keepLines w:val="0"/>
              <w:pageBreakBefore w:val="0"/>
              <w:widowControl w:val="0"/>
              <w:numPr>
                <w:ilvl w:val="0"/>
                <w:numId w:val="0"/>
              </w:numPr>
              <w:kinsoku/>
              <w:wordWrap/>
              <w:overflowPunct/>
              <w:topLinePunct w:val="0"/>
              <w:autoSpaceDE/>
              <w:autoSpaceDN/>
              <w:bidi w:val="0"/>
              <w:adjustRightInd/>
              <w:snapToGrid/>
              <w:ind w:firstLine="0" w:firstLineChars="0"/>
              <w:textAlignment w:val="auto"/>
              <w:rPr>
                <w:rFonts w:hint="eastAsia" w:ascii="宋体" w:hAnsi="宋体" w:cs="宋体"/>
                <w:szCs w:val="21"/>
              </w:rPr>
            </w:pPr>
            <w:r>
              <w:rPr>
                <w:rFonts w:hint="eastAsia" w:ascii="宋体" w:hAnsi="宋体" w:eastAsia="宋体" w:cs="宋体"/>
                <w:kern w:val="2"/>
                <w:sz w:val="21"/>
                <w:szCs w:val="21"/>
                <w:lang w:val="en-US" w:eastAsia="zh-CN" w:bidi="ar-SA"/>
              </w:rPr>
              <w:t>1.</w:t>
            </w:r>
            <w:r>
              <w:rPr>
                <w:rFonts w:hint="eastAsia" w:ascii="宋体" w:hAnsi="宋体" w:cs="宋体"/>
                <w:szCs w:val="21"/>
              </w:rPr>
              <w:t>本表后请附相对应人员资料扫描件，资料包括身份证、劳动合同或社保证明、学历证书（若有）、相关证书（若有）、相关荣誉证明材料（若有）、类似项目经验证明材料（若有）。无人员资料或资料不明确、无法体现对应内容的，不予认可。</w:t>
            </w:r>
          </w:p>
          <w:p w14:paraId="367FC627">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cs="宋体"/>
                <w:szCs w:val="21"/>
              </w:rPr>
            </w:pPr>
            <w:r>
              <w:rPr>
                <w:rFonts w:hint="eastAsia" w:hAnsi="宋体"/>
                <w:szCs w:val="21"/>
              </w:rPr>
              <w:t>2.投标人可根据人员配备情况拓展本表。</w:t>
            </w:r>
          </w:p>
        </w:tc>
      </w:tr>
    </w:tbl>
    <w:p w14:paraId="480BCEDF">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18894C62">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2</w:t>
      </w:r>
      <w:r>
        <w:rPr>
          <w:rFonts w:hint="eastAsia" w:hAnsi="宋体"/>
          <w:b/>
          <w:sz w:val="28"/>
          <w:szCs w:val="28"/>
        </w:rPr>
        <w:t>：</w:t>
      </w:r>
    </w:p>
    <w:p w14:paraId="28E911C3">
      <w:pPr>
        <w:ind w:firstLine="0" w:firstLineChars="0"/>
        <w:jc w:val="center"/>
        <w:rPr>
          <w:rFonts w:hint="eastAsia"/>
          <w:sz w:val="22"/>
        </w:rPr>
      </w:pPr>
      <w:r>
        <w:rPr>
          <w:rFonts w:hint="eastAsia" w:ascii="宋体"/>
          <w:b/>
          <w:bCs/>
          <w:color w:val="auto"/>
          <w:sz w:val="32"/>
          <w:szCs w:val="32"/>
        </w:rPr>
        <w:t>服务承诺及保证措施</w:t>
      </w:r>
    </w:p>
    <w:p w14:paraId="08A7182F">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53D4AEC6">
      <w:pPr>
        <w:ind w:firstLine="0" w:firstLineChars="0"/>
        <w:rPr>
          <w:rFonts w:hint="eastAsia"/>
        </w:rPr>
      </w:pPr>
    </w:p>
    <w:p w14:paraId="1C8ECCC2">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0F1D0937">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3</w:t>
      </w:r>
      <w:r>
        <w:rPr>
          <w:rFonts w:hint="eastAsia" w:hAnsi="宋体"/>
          <w:b/>
          <w:sz w:val="28"/>
          <w:szCs w:val="28"/>
        </w:rPr>
        <w:t>：</w:t>
      </w:r>
    </w:p>
    <w:p w14:paraId="5840DA36">
      <w:pPr>
        <w:spacing w:line="360" w:lineRule="auto"/>
        <w:ind w:firstLine="0" w:firstLineChars="0"/>
        <w:jc w:val="center"/>
        <w:rPr>
          <w:rFonts w:ascii="宋体"/>
          <w:b/>
          <w:bCs/>
          <w:sz w:val="32"/>
          <w:szCs w:val="32"/>
        </w:rPr>
      </w:pPr>
      <w:r>
        <w:rPr>
          <w:rFonts w:hint="eastAsia" w:ascii="宋体"/>
          <w:b/>
          <w:bCs/>
          <w:sz w:val="32"/>
          <w:szCs w:val="32"/>
        </w:rPr>
        <w:t>投标人类似案例</w:t>
      </w:r>
    </w:p>
    <w:p w14:paraId="36AC8BBB">
      <w:pPr>
        <w:ind w:firstLine="0" w:firstLineChars="0"/>
        <w:rPr>
          <w:rFonts w:ascii="宋体" w:hAnsi="宋体"/>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7D29B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vAlign w:val="center"/>
          </w:tcPr>
          <w:p w14:paraId="78493BD3">
            <w:pPr>
              <w:spacing w:line="360" w:lineRule="auto"/>
              <w:ind w:firstLine="0" w:firstLineChars="0"/>
              <w:jc w:val="center"/>
              <w:rPr>
                <w:rFonts w:ascii="宋体" w:hAnsi="宋体"/>
                <w:szCs w:val="21"/>
              </w:rPr>
            </w:pPr>
            <w:r>
              <w:rPr>
                <w:rFonts w:ascii="宋体" w:hAnsi="宋体"/>
                <w:szCs w:val="21"/>
              </w:rPr>
              <w:t>序号</w:t>
            </w:r>
          </w:p>
        </w:tc>
        <w:tc>
          <w:tcPr>
            <w:tcW w:w="1233" w:type="dxa"/>
            <w:vAlign w:val="center"/>
          </w:tcPr>
          <w:p w14:paraId="4A20399D">
            <w:pPr>
              <w:spacing w:line="360" w:lineRule="auto"/>
              <w:ind w:firstLine="0" w:firstLineChars="0"/>
              <w:jc w:val="center"/>
              <w:rPr>
                <w:rFonts w:ascii="宋体" w:hAnsi="宋体"/>
                <w:szCs w:val="21"/>
              </w:rPr>
            </w:pPr>
            <w:r>
              <w:rPr>
                <w:rFonts w:hint="eastAsia" w:ascii="宋体" w:hAnsi="宋体"/>
                <w:szCs w:val="21"/>
              </w:rPr>
              <w:t>项目名称</w:t>
            </w:r>
          </w:p>
        </w:tc>
        <w:tc>
          <w:tcPr>
            <w:tcW w:w="1322" w:type="dxa"/>
          </w:tcPr>
          <w:p w14:paraId="500531A4">
            <w:pPr>
              <w:keepNext/>
              <w:keepLines/>
              <w:spacing w:before="120" w:after="120" w:line="360" w:lineRule="auto"/>
              <w:ind w:firstLine="0" w:firstLineChars="0"/>
              <w:jc w:val="center"/>
              <w:outlineLvl w:val="1"/>
              <w:rPr>
                <w:rFonts w:ascii="宋体" w:hAnsi="宋体"/>
                <w:szCs w:val="21"/>
              </w:rPr>
            </w:pPr>
            <w:bookmarkStart w:id="793" w:name="_Toc2560"/>
            <w:bookmarkStart w:id="794" w:name="_Toc1309"/>
            <w:bookmarkStart w:id="795" w:name="_Toc23969"/>
            <w:r>
              <w:rPr>
                <w:rFonts w:hint="eastAsia" w:ascii="Arial" w:hAnsi="Arial"/>
                <w:szCs w:val="21"/>
              </w:rPr>
              <w:t>委托人</w:t>
            </w:r>
            <w:bookmarkEnd w:id="793"/>
            <w:bookmarkEnd w:id="794"/>
            <w:bookmarkEnd w:id="795"/>
          </w:p>
        </w:tc>
        <w:tc>
          <w:tcPr>
            <w:tcW w:w="1179" w:type="dxa"/>
          </w:tcPr>
          <w:p w14:paraId="6FAB5E22">
            <w:pPr>
              <w:keepNext/>
              <w:keepLines/>
              <w:spacing w:before="120" w:after="120" w:line="360" w:lineRule="auto"/>
              <w:ind w:firstLine="0" w:firstLineChars="0"/>
              <w:jc w:val="center"/>
              <w:outlineLvl w:val="1"/>
              <w:rPr>
                <w:rFonts w:ascii="宋体" w:hAnsi="宋体"/>
                <w:szCs w:val="21"/>
              </w:rPr>
            </w:pPr>
            <w:bookmarkStart w:id="796" w:name="_Toc5369"/>
            <w:bookmarkStart w:id="797" w:name="_Toc14748"/>
            <w:bookmarkStart w:id="798" w:name="_Toc25555"/>
            <w:r>
              <w:rPr>
                <w:rFonts w:hint="eastAsia" w:ascii="Arial" w:hAnsi="Arial"/>
                <w:szCs w:val="21"/>
              </w:rPr>
              <w:t>联系电话</w:t>
            </w:r>
            <w:bookmarkEnd w:id="796"/>
            <w:bookmarkEnd w:id="797"/>
            <w:bookmarkEnd w:id="798"/>
          </w:p>
        </w:tc>
        <w:tc>
          <w:tcPr>
            <w:tcW w:w="1255" w:type="dxa"/>
          </w:tcPr>
          <w:p w14:paraId="1B5332E9">
            <w:pPr>
              <w:keepNext/>
              <w:keepLines/>
              <w:spacing w:before="120" w:after="120" w:line="360" w:lineRule="auto"/>
              <w:ind w:firstLine="0" w:firstLineChars="0"/>
              <w:jc w:val="center"/>
              <w:outlineLvl w:val="1"/>
              <w:rPr>
                <w:rFonts w:ascii="宋体" w:hAnsi="宋体"/>
                <w:szCs w:val="21"/>
              </w:rPr>
            </w:pPr>
            <w:bookmarkStart w:id="799" w:name="_Toc4576"/>
            <w:bookmarkStart w:id="800" w:name="_Toc21035"/>
            <w:bookmarkStart w:id="801" w:name="_Toc3078"/>
            <w:r>
              <w:rPr>
                <w:rFonts w:hint="eastAsia" w:ascii="Arial" w:hAnsi="Arial"/>
                <w:szCs w:val="21"/>
              </w:rPr>
              <w:t>项目金额</w:t>
            </w:r>
            <w:bookmarkEnd w:id="799"/>
            <w:bookmarkEnd w:id="800"/>
            <w:bookmarkEnd w:id="801"/>
          </w:p>
        </w:tc>
        <w:tc>
          <w:tcPr>
            <w:tcW w:w="1114" w:type="dxa"/>
          </w:tcPr>
          <w:p w14:paraId="711760C2">
            <w:pPr>
              <w:keepNext/>
              <w:keepLines/>
              <w:spacing w:before="120" w:after="120" w:line="360" w:lineRule="auto"/>
              <w:ind w:firstLine="0" w:firstLineChars="0"/>
              <w:jc w:val="center"/>
              <w:outlineLvl w:val="1"/>
              <w:rPr>
                <w:rFonts w:ascii="宋体" w:hAnsi="宋体"/>
                <w:szCs w:val="21"/>
              </w:rPr>
            </w:pPr>
            <w:bookmarkStart w:id="802" w:name="_Toc17012"/>
            <w:bookmarkStart w:id="803" w:name="_Toc4583"/>
            <w:bookmarkStart w:id="804" w:name="_Toc9439"/>
            <w:r>
              <w:rPr>
                <w:rFonts w:hint="eastAsia" w:ascii="Arial" w:hAnsi="Arial"/>
                <w:szCs w:val="21"/>
              </w:rPr>
              <w:t>项目时间</w:t>
            </w:r>
            <w:bookmarkEnd w:id="802"/>
            <w:bookmarkEnd w:id="803"/>
            <w:bookmarkEnd w:id="804"/>
          </w:p>
        </w:tc>
        <w:tc>
          <w:tcPr>
            <w:tcW w:w="1115" w:type="dxa"/>
          </w:tcPr>
          <w:p w14:paraId="4A026F71">
            <w:pPr>
              <w:keepNext/>
              <w:keepLines/>
              <w:spacing w:before="120" w:after="120" w:line="360" w:lineRule="auto"/>
              <w:ind w:firstLine="0" w:firstLineChars="0"/>
              <w:jc w:val="center"/>
              <w:outlineLvl w:val="1"/>
              <w:rPr>
                <w:rFonts w:ascii="宋体" w:hAnsi="宋体"/>
                <w:szCs w:val="21"/>
              </w:rPr>
            </w:pPr>
            <w:bookmarkStart w:id="805" w:name="_Toc20236"/>
            <w:bookmarkStart w:id="806" w:name="_Toc28525"/>
            <w:bookmarkStart w:id="807" w:name="_Toc20139"/>
            <w:r>
              <w:rPr>
                <w:rFonts w:hint="eastAsia" w:ascii="Arial" w:hAnsi="Arial"/>
                <w:szCs w:val="21"/>
              </w:rPr>
              <w:t>评价意见</w:t>
            </w:r>
            <w:bookmarkEnd w:id="805"/>
            <w:bookmarkEnd w:id="806"/>
            <w:bookmarkEnd w:id="807"/>
          </w:p>
        </w:tc>
        <w:tc>
          <w:tcPr>
            <w:tcW w:w="598" w:type="dxa"/>
            <w:vAlign w:val="center"/>
          </w:tcPr>
          <w:p w14:paraId="0A1A1067">
            <w:pPr>
              <w:spacing w:line="360" w:lineRule="auto"/>
              <w:ind w:firstLine="0" w:firstLineChars="0"/>
              <w:jc w:val="center"/>
              <w:rPr>
                <w:rFonts w:ascii="宋体" w:hAnsi="宋体"/>
                <w:szCs w:val="21"/>
              </w:rPr>
            </w:pPr>
            <w:r>
              <w:rPr>
                <w:rFonts w:ascii="宋体" w:hAnsi="宋体"/>
                <w:szCs w:val="21"/>
              </w:rPr>
              <w:t>备注</w:t>
            </w:r>
          </w:p>
        </w:tc>
      </w:tr>
      <w:tr w14:paraId="1EA98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1B680D56">
            <w:pPr>
              <w:spacing w:line="360" w:lineRule="auto"/>
              <w:ind w:firstLine="0" w:firstLineChars="0"/>
              <w:rPr>
                <w:rFonts w:ascii="宋体" w:hAnsi="宋体"/>
                <w:szCs w:val="21"/>
              </w:rPr>
            </w:pPr>
          </w:p>
        </w:tc>
        <w:tc>
          <w:tcPr>
            <w:tcW w:w="1233" w:type="dxa"/>
          </w:tcPr>
          <w:p w14:paraId="3C24DCA3">
            <w:pPr>
              <w:spacing w:line="360" w:lineRule="auto"/>
              <w:ind w:firstLine="0" w:firstLineChars="0"/>
              <w:rPr>
                <w:rFonts w:ascii="宋体" w:hAnsi="宋体"/>
                <w:szCs w:val="21"/>
              </w:rPr>
            </w:pPr>
          </w:p>
        </w:tc>
        <w:tc>
          <w:tcPr>
            <w:tcW w:w="1322" w:type="dxa"/>
          </w:tcPr>
          <w:p w14:paraId="3D04863C">
            <w:pPr>
              <w:spacing w:line="360" w:lineRule="auto"/>
              <w:ind w:firstLine="0" w:firstLineChars="0"/>
              <w:rPr>
                <w:rFonts w:ascii="宋体" w:hAnsi="宋体"/>
                <w:szCs w:val="21"/>
              </w:rPr>
            </w:pPr>
          </w:p>
        </w:tc>
        <w:tc>
          <w:tcPr>
            <w:tcW w:w="1179" w:type="dxa"/>
          </w:tcPr>
          <w:p w14:paraId="216115C9">
            <w:pPr>
              <w:spacing w:line="360" w:lineRule="auto"/>
              <w:ind w:firstLine="0" w:firstLineChars="0"/>
              <w:rPr>
                <w:rFonts w:ascii="宋体" w:hAnsi="宋体"/>
                <w:szCs w:val="21"/>
              </w:rPr>
            </w:pPr>
          </w:p>
        </w:tc>
        <w:tc>
          <w:tcPr>
            <w:tcW w:w="1255" w:type="dxa"/>
          </w:tcPr>
          <w:p w14:paraId="527EACA5">
            <w:pPr>
              <w:spacing w:line="360" w:lineRule="auto"/>
              <w:ind w:firstLine="0" w:firstLineChars="0"/>
              <w:rPr>
                <w:rFonts w:ascii="宋体" w:hAnsi="宋体"/>
                <w:szCs w:val="21"/>
              </w:rPr>
            </w:pPr>
          </w:p>
        </w:tc>
        <w:tc>
          <w:tcPr>
            <w:tcW w:w="1114" w:type="dxa"/>
          </w:tcPr>
          <w:p w14:paraId="5FCDD01C">
            <w:pPr>
              <w:spacing w:line="360" w:lineRule="auto"/>
              <w:ind w:firstLine="0" w:firstLineChars="0"/>
              <w:rPr>
                <w:rFonts w:ascii="宋体" w:hAnsi="宋体"/>
                <w:szCs w:val="21"/>
              </w:rPr>
            </w:pPr>
          </w:p>
        </w:tc>
        <w:tc>
          <w:tcPr>
            <w:tcW w:w="1115" w:type="dxa"/>
          </w:tcPr>
          <w:p w14:paraId="7DBA2BE8">
            <w:pPr>
              <w:spacing w:line="360" w:lineRule="auto"/>
              <w:ind w:firstLine="0" w:firstLineChars="0"/>
              <w:rPr>
                <w:rFonts w:ascii="宋体" w:hAnsi="宋体"/>
                <w:szCs w:val="21"/>
              </w:rPr>
            </w:pPr>
          </w:p>
        </w:tc>
        <w:tc>
          <w:tcPr>
            <w:tcW w:w="598" w:type="dxa"/>
          </w:tcPr>
          <w:p w14:paraId="6C53AA39">
            <w:pPr>
              <w:spacing w:line="360" w:lineRule="auto"/>
              <w:ind w:firstLine="0" w:firstLineChars="0"/>
              <w:rPr>
                <w:rFonts w:ascii="宋体" w:hAnsi="宋体"/>
                <w:szCs w:val="21"/>
              </w:rPr>
            </w:pPr>
          </w:p>
        </w:tc>
      </w:tr>
      <w:tr w14:paraId="66A0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79F4C7A7">
            <w:pPr>
              <w:spacing w:line="360" w:lineRule="auto"/>
              <w:ind w:firstLine="0" w:firstLineChars="0"/>
              <w:rPr>
                <w:rFonts w:ascii="宋体" w:hAnsi="宋体"/>
                <w:szCs w:val="21"/>
              </w:rPr>
            </w:pPr>
          </w:p>
        </w:tc>
        <w:tc>
          <w:tcPr>
            <w:tcW w:w="1233" w:type="dxa"/>
          </w:tcPr>
          <w:p w14:paraId="579C3267">
            <w:pPr>
              <w:spacing w:line="360" w:lineRule="auto"/>
              <w:ind w:firstLine="0" w:firstLineChars="0"/>
              <w:rPr>
                <w:rFonts w:ascii="宋体" w:hAnsi="宋体"/>
                <w:szCs w:val="21"/>
              </w:rPr>
            </w:pPr>
          </w:p>
        </w:tc>
        <w:tc>
          <w:tcPr>
            <w:tcW w:w="1322" w:type="dxa"/>
          </w:tcPr>
          <w:p w14:paraId="0BF8C992">
            <w:pPr>
              <w:spacing w:line="360" w:lineRule="auto"/>
              <w:ind w:firstLine="0" w:firstLineChars="0"/>
              <w:rPr>
                <w:rFonts w:ascii="宋体" w:hAnsi="宋体"/>
                <w:szCs w:val="21"/>
              </w:rPr>
            </w:pPr>
          </w:p>
        </w:tc>
        <w:tc>
          <w:tcPr>
            <w:tcW w:w="1179" w:type="dxa"/>
          </w:tcPr>
          <w:p w14:paraId="6802EAD9">
            <w:pPr>
              <w:spacing w:line="360" w:lineRule="auto"/>
              <w:ind w:firstLine="0" w:firstLineChars="0"/>
              <w:rPr>
                <w:rFonts w:ascii="宋体" w:hAnsi="宋体"/>
                <w:szCs w:val="21"/>
              </w:rPr>
            </w:pPr>
          </w:p>
        </w:tc>
        <w:tc>
          <w:tcPr>
            <w:tcW w:w="1255" w:type="dxa"/>
          </w:tcPr>
          <w:p w14:paraId="6D39AEB1">
            <w:pPr>
              <w:spacing w:line="360" w:lineRule="auto"/>
              <w:ind w:firstLine="0" w:firstLineChars="0"/>
              <w:rPr>
                <w:rFonts w:ascii="宋体" w:hAnsi="宋体"/>
                <w:szCs w:val="21"/>
              </w:rPr>
            </w:pPr>
          </w:p>
        </w:tc>
        <w:tc>
          <w:tcPr>
            <w:tcW w:w="1114" w:type="dxa"/>
          </w:tcPr>
          <w:p w14:paraId="3F417E30">
            <w:pPr>
              <w:spacing w:line="360" w:lineRule="auto"/>
              <w:ind w:firstLine="0" w:firstLineChars="0"/>
              <w:rPr>
                <w:rFonts w:ascii="宋体" w:hAnsi="宋体"/>
                <w:szCs w:val="21"/>
              </w:rPr>
            </w:pPr>
          </w:p>
        </w:tc>
        <w:tc>
          <w:tcPr>
            <w:tcW w:w="1115" w:type="dxa"/>
          </w:tcPr>
          <w:p w14:paraId="1CFFFD0F">
            <w:pPr>
              <w:spacing w:line="360" w:lineRule="auto"/>
              <w:ind w:firstLine="0" w:firstLineChars="0"/>
              <w:rPr>
                <w:rFonts w:ascii="宋体" w:hAnsi="宋体"/>
                <w:szCs w:val="21"/>
              </w:rPr>
            </w:pPr>
          </w:p>
        </w:tc>
        <w:tc>
          <w:tcPr>
            <w:tcW w:w="598" w:type="dxa"/>
          </w:tcPr>
          <w:p w14:paraId="11CB9F2B">
            <w:pPr>
              <w:spacing w:line="360" w:lineRule="auto"/>
              <w:ind w:firstLine="0" w:firstLineChars="0"/>
              <w:rPr>
                <w:rFonts w:ascii="宋体" w:hAnsi="宋体"/>
                <w:szCs w:val="21"/>
              </w:rPr>
            </w:pPr>
          </w:p>
        </w:tc>
      </w:tr>
      <w:tr w14:paraId="2AC09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70F0BC21">
            <w:pPr>
              <w:spacing w:line="360" w:lineRule="auto"/>
              <w:ind w:firstLine="0" w:firstLineChars="0"/>
              <w:rPr>
                <w:rFonts w:ascii="宋体" w:hAnsi="宋体"/>
                <w:szCs w:val="21"/>
              </w:rPr>
            </w:pPr>
          </w:p>
        </w:tc>
        <w:tc>
          <w:tcPr>
            <w:tcW w:w="1233" w:type="dxa"/>
          </w:tcPr>
          <w:p w14:paraId="60DF5CC7">
            <w:pPr>
              <w:spacing w:line="360" w:lineRule="auto"/>
              <w:ind w:firstLine="0" w:firstLineChars="0"/>
              <w:rPr>
                <w:rFonts w:ascii="宋体" w:hAnsi="宋体"/>
                <w:szCs w:val="21"/>
              </w:rPr>
            </w:pPr>
          </w:p>
        </w:tc>
        <w:tc>
          <w:tcPr>
            <w:tcW w:w="1322" w:type="dxa"/>
          </w:tcPr>
          <w:p w14:paraId="1315D918">
            <w:pPr>
              <w:spacing w:line="360" w:lineRule="auto"/>
              <w:ind w:firstLine="0" w:firstLineChars="0"/>
              <w:rPr>
                <w:rFonts w:ascii="宋体" w:hAnsi="宋体"/>
                <w:szCs w:val="21"/>
              </w:rPr>
            </w:pPr>
          </w:p>
        </w:tc>
        <w:tc>
          <w:tcPr>
            <w:tcW w:w="1179" w:type="dxa"/>
          </w:tcPr>
          <w:p w14:paraId="025DA4C5">
            <w:pPr>
              <w:spacing w:line="360" w:lineRule="auto"/>
              <w:ind w:firstLine="0" w:firstLineChars="0"/>
              <w:rPr>
                <w:rFonts w:ascii="宋体" w:hAnsi="宋体"/>
                <w:szCs w:val="21"/>
              </w:rPr>
            </w:pPr>
          </w:p>
        </w:tc>
        <w:tc>
          <w:tcPr>
            <w:tcW w:w="1255" w:type="dxa"/>
          </w:tcPr>
          <w:p w14:paraId="1D97C8DB">
            <w:pPr>
              <w:spacing w:line="360" w:lineRule="auto"/>
              <w:ind w:firstLine="0" w:firstLineChars="0"/>
              <w:rPr>
                <w:rFonts w:ascii="宋体" w:hAnsi="宋体"/>
                <w:szCs w:val="21"/>
              </w:rPr>
            </w:pPr>
          </w:p>
        </w:tc>
        <w:tc>
          <w:tcPr>
            <w:tcW w:w="1114" w:type="dxa"/>
          </w:tcPr>
          <w:p w14:paraId="596E2F42">
            <w:pPr>
              <w:spacing w:line="360" w:lineRule="auto"/>
              <w:ind w:firstLine="0" w:firstLineChars="0"/>
              <w:rPr>
                <w:rFonts w:ascii="宋体" w:hAnsi="宋体"/>
                <w:szCs w:val="21"/>
              </w:rPr>
            </w:pPr>
          </w:p>
        </w:tc>
        <w:tc>
          <w:tcPr>
            <w:tcW w:w="1115" w:type="dxa"/>
          </w:tcPr>
          <w:p w14:paraId="1B9F7E54">
            <w:pPr>
              <w:spacing w:line="360" w:lineRule="auto"/>
              <w:ind w:firstLine="0" w:firstLineChars="0"/>
              <w:rPr>
                <w:rFonts w:ascii="宋体" w:hAnsi="宋体"/>
                <w:szCs w:val="21"/>
              </w:rPr>
            </w:pPr>
          </w:p>
        </w:tc>
        <w:tc>
          <w:tcPr>
            <w:tcW w:w="598" w:type="dxa"/>
          </w:tcPr>
          <w:p w14:paraId="40F42EB8">
            <w:pPr>
              <w:spacing w:line="360" w:lineRule="auto"/>
              <w:ind w:firstLine="0" w:firstLineChars="0"/>
              <w:rPr>
                <w:rFonts w:ascii="宋体" w:hAnsi="宋体"/>
                <w:szCs w:val="21"/>
              </w:rPr>
            </w:pPr>
          </w:p>
        </w:tc>
      </w:tr>
    </w:tbl>
    <w:p w14:paraId="5A81F213">
      <w:pPr>
        <w:ind w:firstLine="0" w:firstLineChars="0"/>
        <w:rPr>
          <w:rFonts w:hAnsi="宋体"/>
          <w:szCs w:val="21"/>
        </w:rPr>
      </w:pPr>
    </w:p>
    <w:p w14:paraId="5C7ECA8B">
      <w:pPr>
        <w:spacing w:line="360" w:lineRule="auto"/>
        <w:ind w:firstLine="0" w:firstLineChars="0"/>
        <w:rPr>
          <w:rFonts w:ascii="宋体" w:hAnsi="宋体"/>
          <w:szCs w:val="21"/>
        </w:rPr>
      </w:pPr>
      <w:r>
        <w:rPr>
          <w:rFonts w:ascii="宋体" w:hAnsi="宋体"/>
          <w:szCs w:val="21"/>
        </w:rPr>
        <w:t>注：</w:t>
      </w:r>
    </w:p>
    <w:p w14:paraId="5DB57A2C">
      <w:pPr>
        <w:spacing w:line="360" w:lineRule="auto"/>
        <w:ind w:firstLine="0" w:firstLineChars="0"/>
        <w:rPr>
          <w:rFonts w:ascii="宋体" w:hAnsi="宋体"/>
          <w:bCs/>
          <w:color w:val="auto"/>
          <w:szCs w:val="21"/>
        </w:rPr>
      </w:pPr>
      <w:r>
        <w:rPr>
          <w:rFonts w:ascii="宋体" w:hAnsi="宋体"/>
          <w:color w:val="auto"/>
          <w:szCs w:val="21"/>
        </w:rPr>
        <w:t>1</w:t>
      </w:r>
      <w:r>
        <w:rPr>
          <w:rFonts w:hint="eastAsia" w:ascii="宋体" w:hAnsi="宋体"/>
          <w:color w:val="auto"/>
          <w:szCs w:val="21"/>
        </w:rPr>
        <w:t>.</w:t>
      </w:r>
      <w:r>
        <w:rPr>
          <w:rFonts w:hint="eastAsia" w:ascii="宋体" w:hAnsi="宋体" w:eastAsia="宋体" w:cs="宋体"/>
          <w:color w:val="auto"/>
          <w:szCs w:val="21"/>
        </w:rPr>
        <w:t>投标人须提供类似案例的合同或中标/成交通知书复印件/扫描件等证明材料，无证明材料或未按要求提供证明材料或证明材料无法体现内容的，不予认可。日期以合同签订日期或中标/成交通知书日期为准。</w:t>
      </w:r>
    </w:p>
    <w:p w14:paraId="457E18D8">
      <w:pPr>
        <w:spacing w:line="360" w:lineRule="auto"/>
        <w:ind w:firstLine="0" w:firstLineChars="0"/>
        <w:rPr>
          <w:rFonts w:ascii="宋体" w:hAnsi="宋体"/>
          <w:szCs w:val="21"/>
        </w:rPr>
      </w:pPr>
      <w:r>
        <w:rPr>
          <w:rFonts w:hint="eastAsia" w:ascii="宋体" w:hAnsi="宋体"/>
          <w:bCs/>
          <w:szCs w:val="21"/>
        </w:rPr>
        <w:t>2.投标人可根据实际情况拓展本表。</w:t>
      </w:r>
    </w:p>
    <w:p w14:paraId="42B6D62F">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50DD56E2">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4</w:t>
      </w:r>
      <w:r>
        <w:rPr>
          <w:rFonts w:hint="eastAsia" w:hAnsi="宋体"/>
          <w:b/>
          <w:sz w:val="28"/>
          <w:szCs w:val="28"/>
        </w:rPr>
        <w:t>-</w:t>
      </w:r>
      <w:r>
        <w:rPr>
          <w:rFonts w:hint="eastAsia" w:hAnsi="宋体"/>
          <w:b/>
          <w:sz w:val="28"/>
          <w:szCs w:val="28"/>
          <w:lang w:val="en-US" w:eastAsia="zh-CN"/>
        </w:rPr>
        <w:t>4</w:t>
      </w:r>
      <w:r>
        <w:rPr>
          <w:rFonts w:hint="eastAsia" w:hAnsi="宋体"/>
          <w:b/>
          <w:sz w:val="28"/>
          <w:szCs w:val="28"/>
        </w:rPr>
        <w:t>：</w:t>
      </w:r>
    </w:p>
    <w:p w14:paraId="0647ACFD">
      <w:pPr>
        <w:ind w:firstLine="562"/>
        <w:jc w:val="center"/>
        <w:rPr>
          <w:rFonts w:ascii="Times New Roman" w:hAnsi="Times New Roman" w:eastAsia="黑体" w:cs="Times New Roman"/>
          <w:sz w:val="28"/>
          <w:szCs w:val="28"/>
        </w:rPr>
      </w:pPr>
      <w:r>
        <w:rPr>
          <w:rFonts w:ascii="Times New Roman" w:hAnsi="Times New Roman" w:cs="Times New Roman"/>
          <w:b/>
          <w:bCs/>
          <w:sz w:val="28"/>
          <w:szCs w:val="28"/>
        </w:rPr>
        <w:t>招标文件要求及投标人认为有必要提供的其它</w:t>
      </w:r>
      <w:r>
        <w:rPr>
          <w:rFonts w:hint="eastAsia" w:ascii="Times New Roman" w:hAnsi="Times New Roman" w:cs="Times New Roman"/>
          <w:b/>
          <w:bCs/>
          <w:sz w:val="28"/>
          <w:szCs w:val="28"/>
        </w:rPr>
        <w:t>商务</w:t>
      </w:r>
      <w:r>
        <w:rPr>
          <w:rFonts w:ascii="Times New Roman" w:hAnsi="Times New Roman" w:cs="Times New Roman"/>
          <w:b/>
          <w:bCs/>
          <w:sz w:val="28"/>
          <w:szCs w:val="28"/>
        </w:rPr>
        <w:t>资料</w:t>
      </w:r>
      <w:bookmarkEnd w:id="781"/>
      <w:bookmarkEnd w:id="782"/>
      <w:bookmarkEnd w:id="783"/>
      <w:bookmarkEnd w:id="784"/>
      <w:bookmarkEnd w:id="785"/>
      <w:bookmarkEnd w:id="792"/>
      <w:bookmarkStart w:id="808" w:name="_Toc469035632"/>
      <w:bookmarkStart w:id="809" w:name="OLE_LINK127"/>
      <w:bookmarkStart w:id="810" w:name="_Toc928"/>
      <w:bookmarkStart w:id="811" w:name="_Toc68090089"/>
      <w:bookmarkStart w:id="812" w:name="_Toc26783967"/>
      <w:bookmarkStart w:id="813" w:name="_Toc49935368"/>
      <w:r>
        <w:rPr>
          <w:rFonts w:ascii="Times New Roman" w:hAnsi="Times New Roman" w:eastAsia="黑体" w:cs="Times New Roman"/>
          <w:sz w:val="28"/>
          <w:szCs w:val="28"/>
        </w:rPr>
        <w:br w:type="page"/>
      </w:r>
    </w:p>
    <w:p w14:paraId="2C741ADA">
      <w:pPr>
        <w:ind w:firstLine="0" w:firstLineChars="0"/>
        <w:rPr>
          <w:rFonts w:hint="eastAsia" w:hAnsi="宋体"/>
          <w:b/>
          <w:sz w:val="28"/>
          <w:szCs w:val="28"/>
        </w:rPr>
      </w:pPr>
      <w:bookmarkStart w:id="814" w:name="OLE_LINK381"/>
      <w:r>
        <w:rPr>
          <w:rFonts w:hint="eastAsia" w:hAnsi="宋体"/>
          <w:b/>
          <w:sz w:val="28"/>
          <w:szCs w:val="28"/>
        </w:rPr>
        <w:t>格式</w:t>
      </w:r>
      <w:r>
        <w:rPr>
          <w:rFonts w:hint="eastAsia" w:hAnsi="宋体"/>
          <w:b/>
          <w:sz w:val="28"/>
          <w:szCs w:val="28"/>
          <w:lang w:val="en-US" w:eastAsia="zh-CN"/>
        </w:rPr>
        <w:t>5</w:t>
      </w:r>
      <w:r>
        <w:rPr>
          <w:rFonts w:hint="eastAsia" w:hAnsi="宋体"/>
          <w:b/>
          <w:sz w:val="28"/>
          <w:szCs w:val="28"/>
        </w:rPr>
        <w:t>：</w:t>
      </w:r>
    </w:p>
    <w:p w14:paraId="4702B652">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2A9D6E57">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szCs w:val="21"/>
        </w:rPr>
        <w:t>质保期结束之后对所提供的服务支持费用（该费用不计入投标总价）；</w:t>
      </w:r>
    </w:p>
    <w:p w14:paraId="46AE3D63">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6CD52AD3">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477407C4">
      <w:pPr>
        <w:spacing w:line="240" w:lineRule="auto"/>
        <w:ind w:firstLine="0" w:firstLineChars="0"/>
        <w:rPr>
          <w:rFonts w:ascii="Times New Roman" w:hAnsi="Times New Roman" w:cs="Times New Roman"/>
          <w:b/>
          <w:szCs w:val="21"/>
        </w:rPr>
      </w:pPr>
    </w:p>
    <w:p w14:paraId="077DC2DD">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808"/>
    <w:bookmarkEnd w:id="809"/>
    <w:bookmarkEnd w:id="810"/>
    <w:bookmarkEnd w:id="811"/>
    <w:bookmarkEnd w:id="812"/>
    <w:bookmarkEnd w:id="813"/>
    <w:bookmarkEnd w:id="814"/>
    <w:p w14:paraId="3B52195F">
      <w:pPr>
        <w:ind w:firstLine="0" w:firstLineChars="0"/>
        <w:rPr>
          <w:rFonts w:hint="eastAsia" w:hAnsi="宋体"/>
          <w:b/>
          <w:sz w:val="28"/>
          <w:szCs w:val="28"/>
        </w:rPr>
      </w:pPr>
      <w:bookmarkStart w:id="815" w:name="OLE_LINK148"/>
      <w:bookmarkStart w:id="816" w:name="_Toc68090084"/>
      <w:bookmarkStart w:id="817" w:name="_Toc6581"/>
      <w:bookmarkStart w:id="818" w:name="_Toc49935363"/>
      <w:bookmarkStart w:id="819" w:name="OLE_LINK147"/>
      <w:bookmarkStart w:id="820" w:name="_Toc26783962"/>
      <w:bookmarkStart w:id="821" w:name="_Toc5364"/>
      <w:bookmarkStart w:id="822" w:name="OLE_LINK124"/>
      <w:r>
        <w:rPr>
          <w:rFonts w:hint="eastAsia" w:hAnsi="宋体"/>
          <w:b/>
          <w:sz w:val="28"/>
          <w:szCs w:val="28"/>
        </w:rPr>
        <w:t>格式</w:t>
      </w:r>
      <w:r>
        <w:rPr>
          <w:rFonts w:hint="eastAsia" w:hAnsi="宋体"/>
          <w:b/>
          <w:sz w:val="28"/>
          <w:szCs w:val="28"/>
          <w:lang w:val="en-US" w:eastAsia="zh-CN"/>
        </w:rPr>
        <w:t>6</w:t>
      </w:r>
      <w:r>
        <w:rPr>
          <w:rFonts w:hint="eastAsia" w:hAnsi="宋体"/>
          <w:b/>
          <w:sz w:val="28"/>
          <w:szCs w:val="28"/>
        </w:rPr>
        <w:t>：</w:t>
      </w:r>
    </w:p>
    <w:p w14:paraId="1C4BF9E6">
      <w:pPr>
        <w:spacing w:line="600" w:lineRule="exact"/>
        <w:ind w:firstLine="0" w:firstLineChars="0"/>
        <w:jc w:val="center"/>
        <w:outlineLvl w:val="2"/>
        <w:rPr>
          <w:rFonts w:ascii="Times New Roman" w:hAnsi="Times New Roman" w:eastAsia="黑体" w:cs="Times New Roman"/>
          <w:sz w:val="30"/>
          <w:szCs w:val="30"/>
        </w:rPr>
      </w:pPr>
      <w:r>
        <w:rPr>
          <w:rFonts w:hint="eastAsia" w:ascii="Times New Roman" w:hAnsi="Times New Roman" w:eastAsia="黑体" w:cs="Times New Roman"/>
          <w:sz w:val="28"/>
          <w:szCs w:val="28"/>
        </w:rPr>
        <w:t>▲</w:t>
      </w:r>
      <w:bookmarkEnd w:id="815"/>
      <w:r>
        <w:rPr>
          <w:rFonts w:ascii="Times New Roman" w:hAnsi="Times New Roman" w:eastAsia="黑体" w:cs="Times New Roman"/>
          <w:sz w:val="28"/>
          <w:szCs w:val="28"/>
        </w:rPr>
        <w:t>投标函</w:t>
      </w:r>
      <w:bookmarkEnd w:id="816"/>
      <w:bookmarkEnd w:id="817"/>
      <w:bookmarkEnd w:id="818"/>
      <w:bookmarkEnd w:id="819"/>
      <w:bookmarkEnd w:id="820"/>
    </w:p>
    <w:p w14:paraId="1688BA6A">
      <w:pPr>
        <w:ind w:firstLine="0" w:firstLineChars="0"/>
        <w:rPr>
          <w:rFonts w:ascii="Times New Roman" w:hAnsi="Times New Roman" w:cs="Times New Roman"/>
          <w:szCs w:val="21"/>
        </w:rPr>
      </w:pPr>
      <w:r>
        <w:rPr>
          <w:rFonts w:ascii="Times New Roman" w:hAnsi="Times New Roman" w:cs="Times New Roman"/>
          <w:szCs w:val="21"/>
        </w:rPr>
        <w:t>致：</w:t>
      </w:r>
      <w:r>
        <w:rPr>
          <w:rFonts w:hint="eastAsia" w:ascii="Times New Roman" w:hAnsi="Times New Roman" w:cs="Times New Roman"/>
          <w:szCs w:val="21"/>
          <w:u w:val="single"/>
        </w:rPr>
        <w:t>（采购人）</w:t>
      </w:r>
    </w:p>
    <w:p w14:paraId="4C1C3F12">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w:t>
      </w:r>
      <w:bookmarkStart w:id="823" w:name="OLE_LINK108"/>
      <w:r>
        <w:rPr>
          <w:rFonts w:hint="eastAsia" w:hAnsi="宋体" w:cs="宋体"/>
          <w:szCs w:val="21"/>
          <w:u w:val="single"/>
        </w:rPr>
        <w:t>采购</w:t>
      </w:r>
      <w:bookmarkEnd w:id="823"/>
      <w:r>
        <w:rPr>
          <w:rFonts w:hint="eastAsia" w:hAnsi="宋体" w:cs="宋体"/>
          <w:szCs w:val="21"/>
          <w:u w:val="single"/>
        </w:rPr>
        <w:t>项目名称）</w:t>
      </w:r>
      <w:r>
        <w:rPr>
          <w:rFonts w:hint="eastAsia" w:hAnsi="宋体" w:cs="宋体"/>
          <w:szCs w:val="21"/>
        </w:rPr>
        <w:t>（项目编号/包号：）项目招标文件的全部内容</w:t>
      </w:r>
      <w:r>
        <w:rPr>
          <w:rFonts w:ascii="Times New Roman" w:hAnsi="Times New Roman" w:cs="Times New Roman"/>
          <w:szCs w:val="21"/>
        </w:rPr>
        <w:t>，正式授权</w:t>
      </w:r>
      <w:r>
        <w:rPr>
          <w:rFonts w:ascii="Times New Roman" w:hAnsi="Times New Roman" w:cs="Times New Roman"/>
          <w:szCs w:val="21"/>
          <w:u w:val="single"/>
        </w:rPr>
        <w:t>（姓名和职务）</w:t>
      </w:r>
      <w:r>
        <w:rPr>
          <w:rFonts w:ascii="Times New Roman" w:hAnsi="Times New Roman" w:cs="Times New Roman"/>
          <w:szCs w:val="21"/>
        </w:rPr>
        <w:t>全权代表投标人</w:t>
      </w:r>
      <w:r>
        <w:rPr>
          <w:rFonts w:ascii="Times New Roman" w:hAnsi="Times New Roman" w:cs="Times New Roman"/>
          <w:szCs w:val="21"/>
          <w:u w:val="single"/>
        </w:rPr>
        <w:t>（投标人全称）</w:t>
      </w:r>
      <w:r>
        <w:rPr>
          <w:rFonts w:ascii="Times New Roman" w:hAnsi="Times New Roman" w:cs="Times New Roman"/>
          <w:szCs w:val="21"/>
        </w:rPr>
        <w:t>参加投标，并提交投标文件。</w:t>
      </w:r>
    </w:p>
    <w:p w14:paraId="4B6B8618">
      <w:pPr>
        <w:ind w:firstLine="420"/>
        <w:rPr>
          <w:rFonts w:hint="eastAsia" w:ascii="宋体" w:hAnsi="宋体" w:cs="宋体"/>
          <w:szCs w:val="21"/>
        </w:rPr>
      </w:pPr>
      <w:bookmarkStart w:id="824" w:name="OLE_LINK153"/>
      <w:r>
        <w:rPr>
          <w:rFonts w:hint="eastAsia" w:ascii="宋体" w:hAnsi="宋体" w:cs="宋体"/>
          <w:szCs w:val="21"/>
        </w:rPr>
        <w:t>据此函，我方兹宣布同意如下：</w:t>
      </w:r>
    </w:p>
    <w:p w14:paraId="5156984E">
      <w:pPr>
        <w:ind w:firstLine="420"/>
        <w:rPr>
          <w:rFonts w:hint="eastAsia" w:ascii="宋体" w:hAnsi="宋体" w:cs="宋体"/>
          <w:szCs w:val="21"/>
        </w:rPr>
      </w:pPr>
      <w:r>
        <w:rPr>
          <w:rFonts w:hint="eastAsia" w:ascii="宋体" w:hAnsi="宋体" w:cs="宋体"/>
          <w:szCs w:val="21"/>
        </w:rPr>
        <w:t>1、按招</w:t>
      </w:r>
      <w:bookmarkStart w:id="825" w:name="OLE_LINK294"/>
      <w:r>
        <w:rPr>
          <w:rFonts w:hint="eastAsia" w:ascii="宋体" w:hAnsi="宋体" w:cs="宋体"/>
          <w:szCs w:val="21"/>
        </w:rPr>
        <w:t>标文件要</w:t>
      </w:r>
      <w:bookmarkStart w:id="826" w:name="OLE_LINK109"/>
      <w:r>
        <w:rPr>
          <w:rFonts w:hint="eastAsia" w:ascii="宋体" w:hAnsi="宋体" w:cs="宋体"/>
          <w:szCs w:val="21"/>
        </w:rPr>
        <w:t>求</w:t>
      </w:r>
      <w:bookmarkStart w:id="827" w:name="OLE_LINK369"/>
      <w:r>
        <w:rPr>
          <w:rFonts w:hint="eastAsia" w:ascii="宋体" w:hAnsi="宋体" w:cs="宋体"/>
          <w:szCs w:val="21"/>
        </w:rPr>
        <w:t>，</w:t>
      </w:r>
      <w:bookmarkEnd w:id="827"/>
      <w:bookmarkStart w:id="828" w:name="OLE_LINK241"/>
      <w:bookmarkStart w:id="829" w:name="OLE_LINK293"/>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26"/>
      <w:bookmarkEnd w:id="828"/>
      <w:bookmarkEnd w:id="829"/>
    </w:p>
    <w:bookmarkEnd w:id="825"/>
    <w:p w14:paraId="335DE740">
      <w:pPr>
        <w:ind w:firstLine="420"/>
        <w:rPr>
          <w:rFonts w:hint="eastAsia" w:ascii="宋体" w:hAnsi="宋体" w:cs="宋体"/>
          <w:szCs w:val="21"/>
        </w:rPr>
      </w:pPr>
      <w:bookmarkStart w:id="830"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30"/>
    <w:p w14:paraId="7C1BEC2B">
      <w:pPr>
        <w:ind w:firstLine="420"/>
        <w:rPr>
          <w:rFonts w:hint="eastAsia" w:ascii="宋体" w:hAnsi="宋体" w:cs="宋体"/>
          <w:szCs w:val="21"/>
        </w:rPr>
      </w:pPr>
      <w:bookmarkStart w:id="831" w:name="OLE_LINK110"/>
      <w:r>
        <w:rPr>
          <w:rFonts w:hint="eastAsia" w:ascii="宋体" w:hAnsi="宋体" w:cs="宋体"/>
          <w:szCs w:val="21"/>
        </w:rPr>
        <w:t>3、我方承诺已经具备《中华人民共和国政府采购法》中规定的参加政府采购活动的投标人应当具备的条件。</w:t>
      </w:r>
    </w:p>
    <w:p w14:paraId="5E33A617">
      <w:pPr>
        <w:ind w:firstLine="420"/>
        <w:rPr>
          <w:rFonts w:hint="eastAsia" w:ascii="宋体" w:hAnsi="宋体" w:cs="宋体"/>
          <w:szCs w:val="21"/>
        </w:rPr>
      </w:pPr>
      <w:r>
        <w:rPr>
          <w:rFonts w:hint="eastAsia" w:ascii="宋体" w:hAnsi="宋体" w:cs="宋体"/>
          <w:szCs w:val="21"/>
        </w:rPr>
        <w:t>4、如我方投标被接受，将保证忠实地执行买卖双方所</w:t>
      </w:r>
      <w:bookmarkStart w:id="832" w:name="OLE_LINK32"/>
      <w:r>
        <w:rPr>
          <w:rFonts w:hint="eastAsia" w:ascii="宋体" w:hAnsi="宋体" w:cs="宋体"/>
          <w:szCs w:val="21"/>
        </w:rPr>
        <w:t>签</w:t>
      </w:r>
      <w:r>
        <w:rPr>
          <w:rFonts w:hint="eastAsia" w:ascii="宋体" w:hAnsi="宋体" w:cs="宋体"/>
        </w:rPr>
        <w:t>政府采购合同</w:t>
      </w:r>
      <w:bookmarkEnd w:id="832"/>
      <w:r>
        <w:rPr>
          <w:rFonts w:hint="eastAsia" w:ascii="宋体" w:hAnsi="宋体" w:cs="宋体"/>
          <w:szCs w:val="21"/>
        </w:rPr>
        <w:t>，在承诺的期限内完成交货或服务，并承担合同规定的责任义务。</w:t>
      </w:r>
    </w:p>
    <w:p w14:paraId="01B70E3E">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7B0AD2FF">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73793884">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0FC50B8E">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3D066BAD">
      <w:pPr>
        <w:ind w:firstLine="420"/>
        <w:rPr>
          <w:rFonts w:hint="eastAsia" w:ascii="宋体" w:hAnsi="宋体" w:cs="宋体"/>
          <w:szCs w:val="21"/>
        </w:rPr>
      </w:pPr>
      <w:r>
        <w:rPr>
          <w:rFonts w:hint="eastAsia" w:ascii="宋体" w:hAnsi="宋体" w:cs="宋体"/>
          <w:szCs w:val="21"/>
        </w:rPr>
        <w:t>与本投标有关的正式通讯地址为：</w:t>
      </w:r>
      <w:bookmarkEnd w:id="831"/>
    </w:p>
    <w:bookmarkEnd w:id="824"/>
    <w:p w14:paraId="4608192C">
      <w:pPr>
        <w:ind w:firstLine="420"/>
        <w:rPr>
          <w:rFonts w:ascii="Times New Roman" w:hAnsi="Times New Roman" w:cs="Times New Roman"/>
          <w:szCs w:val="21"/>
        </w:rPr>
      </w:pPr>
      <w:bookmarkStart w:id="833" w:name="OLE_LINK112"/>
      <w:r>
        <w:rPr>
          <w:rFonts w:ascii="Times New Roman" w:hAnsi="Times New Roman" w:cs="Times New Roman"/>
          <w:szCs w:val="21"/>
        </w:rPr>
        <w:t>地址：邮政编码：</w:t>
      </w:r>
    </w:p>
    <w:p w14:paraId="4A6E8355">
      <w:pPr>
        <w:ind w:firstLine="420"/>
        <w:rPr>
          <w:rFonts w:ascii="Times New Roman" w:hAnsi="Times New Roman" w:cs="Times New Roman"/>
          <w:szCs w:val="21"/>
          <w:u w:val="single"/>
        </w:rPr>
      </w:pPr>
      <w:r>
        <w:rPr>
          <w:rFonts w:ascii="Times New Roman" w:hAnsi="Times New Roman" w:cs="Times New Roman"/>
          <w:szCs w:val="21"/>
        </w:rPr>
        <w:t>电话：传真：</w:t>
      </w:r>
      <w:r>
        <w:rPr>
          <w:rFonts w:ascii="Times New Roman" w:hAnsi="Times New Roman" w:cs="Times New Roman"/>
          <w:szCs w:val="21"/>
          <w:u w:val="single"/>
        </w:rPr>
        <w:t>　　　　　　　　　</w:t>
      </w:r>
    </w:p>
    <w:p w14:paraId="6A484995">
      <w:pPr>
        <w:ind w:firstLine="420"/>
        <w:rPr>
          <w:rFonts w:ascii="Times New Roman" w:hAnsi="Times New Roman" w:cs="Times New Roman"/>
          <w:szCs w:val="21"/>
          <w:u w:val="single"/>
        </w:rPr>
      </w:pPr>
      <w:r>
        <w:rPr>
          <w:rFonts w:ascii="Times New Roman" w:hAnsi="Times New Roman" w:cs="Times New Roman"/>
          <w:szCs w:val="21"/>
        </w:rPr>
        <w:t>开户名称：开户银行：</w:t>
      </w:r>
    </w:p>
    <w:p w14:paraId="76E72147">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号：</w:t>
      </w:r>
    </w:p>
    <w:p w14:paraId="6ECB30FE">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0509853B">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834"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834"/>
      <w:r>
        <w:rPr>
          <w:rFonts w:ascii="Times New Roman" w:hAnsi="Times New Roman" w:cs="Times New Roman"/>
          <w:b/>
          <w:bCs/>
          <w:szCs w:val="21"/>
        </w:rPr>
        <w:t>）</w:t>
      </w:r>
    </w:p>
    <w:p w14:paraId="6396B5F7">
      <w:pPr>
        <w:ind w:firstLine="422"/>
        <w:rPr>
          <w:rFonts w:ascii="Times New Roman" w:hAnsi="Times New Roman" w:cs="Times New Roman"/>
          <w:b/>
          <w:bCs/>
          <w:sz w:val="24"/>
          <w:szCs w:val="24"/>
          <w:u w:val="single"/>
        </w:rPr>
        <w:sectPr>
          <w:footerReference r:id="rId16" w:type="first"/>
          <w:headerReference r:id="rId14" w:type="default"/>
          <w:footerReference r:id="rId15" w:type="default"/>
          <w:pgSz w:w="11906" w:h="16838"/>
          <w:pgMar w:top="1418" w:right="1418" w:bottom="1417" w:left="1418" w:header="850" w:footer="964" w:gutter="0"/>
          <w:pgNumType w:start="1"/>
          <w:cols w:space="720" w:num="1"/>
          <w:docGrid w:type="linesAndChars" w:linePitch="331" w:charSpace="0"/>
        </w:sectPr>
      </w:pPr>
      <w:r>
        <w:rPr>
          <w:rFonts w:ascii="Times New Roman" w:hAnsi="Times New Roman" w:cs="Times New Roman"/>
          <w:b/>
          <w:bCs/>
          <w:szCs w:val="21"/>
        </w:rPr>
        <w:t>日期：</w:t>
      </w:r>
      <w:r>
        <w:rPr>
          <w:rFonts w:hint="eastAsia" w:ascii="Times New Roman" w:hAnsi="Times New Roman" w:cs="Times New Roman"/>
          <w:b/>
          <w:bCs/>
          <w:szCs w:val="21"/>
        </w:rPr>
        <w:t>年月</w:t>
      </w:r>
      <w:bookmarkEnd w:id="833"/>
      <w:bookmarkStart w:id="835" w:name="OLE_LINK111"/>
      <w:r>
        <w:rPr>
          <w:rFonts w:hint="eastAsia" w:ascii="Times New Roman" w:hAnsi="Times New Roman" w:cs="Times New Roman"/>
          <w:b/>
          <w:bCs/>
          <w:szCs w:val="21"/>
        </w:rPr>
        <w:t>日</w:t>
      </w:r>
      <w:bookmarkEnd w:id="835"/>
    </w:p>
    <w:p w14:paraId="0AC38C0C">
      <w:pPr>
        <w:ind w:firstLine="0" w:firstLineChars="0"/>
        <w:rPr>
          <w:rFonts w:ascii="Times New Roman" w:hAnsi="Times New Roman" w:eastAsia="黑体" w:cs="Times New Roman"/>
          <w:sz w:val="28"/>
          <w:szCs w:val="28"/>
        </w:rPr>
      </w:pPr>
      <w:bookmarkStart w:id="836" w:name="OLE_LINK125"/>
      <w:r>
        <w:rPr>
          <w:rFonts w:hint="eastAsia" w:hAnsi="宋体"/>
          <w:b/>
          <w:sz w:val="28"/>
          <w:szCs w:val="28"/>
        </w:rPr>
        <w:t>格式7：</w:t>
      </w:r>
    </w:p>
    <w:p w14:paraId="66E9B6A8">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37" w:name="OLE_LINK384"/>
      <w:r>
        <w:rPr>
          <w:rFonts w:ascii="Times New Roman" w:hAnsi="Times New Roman" w:eastAsia="黑体" w:cs="Times New Roman"/>
          <w:sz w:val="28"/>
          <w:szCs w:val="28"/>
        </w:rPr>
        <w:t>小企业</w:t>
      </w:r>
      <w:bookmarkStart w:id="838" w:name="OLE_LINK28"/>
      <w:r>
        <w:rPr>
          <w:rFonts w:ascii="Times New Roman" w:hAnsi="Times New Roman" w:eastAsia="黑体" w:cs="Times New Roman"/>
          <w:sz w:val="28"/>
          <w:szCs w:val="28"/>
        </w:rPr>
        <w:t>声明函</w:t>
      </w:r>
      <w:bookmarkEnd w:id="838"/>
      <w:r>
        <w:rPr>
          <w:rFonts w:hint="eastAsia" w:ascii="Times New Roman" w:hAnsi="Times New Roman" w:eastAsia="黑体" w:cs="Times New Roman"/>
          <w:sz w:val="28"/>
          <w:szCs w:val="28"/>
        </w:rPr>
        <w:t>（服务）</w:t>
      </w:r>
    </w:p>
    <w:bookmarkEnd w:id="837"/>
    <w:p w14:paraId="7A940D58">
      <w:pPr>
        <w:ind w:right="415" w:firstLine="0" w:firstLineChars="0"/>
        <w:jc w:val="center"/>
        <w:rPr>
          <w:rFonts w:ascii="Times New Roman" w:hAnsi="Times New Roman" w:cs="Times New Roman"/>
          <w:color w:val="FF0000"/>
          <w:spacing w:val="-2"/>
          <w:sz w:val="18"/>
          <w:szCs w:val="18"/>
        </w:rPr>
      </w:pPr>
      <w:bookmarkStart w:id="839"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39"/>
    <w:p w14:paraId="468A02E8">
      <w:pPr>
        <w:keepNext w:val="0"/>
        <w:keepLines w:val="0"/>
        <w:widowControl/>
        <w:suppressLineNumbers w:val="0"/>
        <w:jc w:val="left"/>
        <w:rPr>
          <w:rFonts w:hint="eastAsia" w:ascii="宋体" w:hAnsi="宋体" w:eastAsia="宋体" w:cs="宋体"/>
          <w:szCs w:val="21"/>
        </w:rPr>
      </w:pPr>
      <w:bookmarkStart w:id="840" w:name="OLE_LINK34"/>
      <w:bookmarkStart w:id="841" w:name="_Hlk478972813"/>
      <w:r>
        <w:rPr>
          <w:rFonts w:hint="eastAsia" w:ascii="宋体" w:hAnsi="宋体" w:eastAsia="宋体" w:cs="宋体"/>
          <w:color w:val="000000"/>
          <w:kern w:val="0"/>
          <w:sz w:val="21"/>
          <w:szCs w:val="21"/>
          <w:lang w:val="en-US" w:eastAsia="zh-CN" w:bidi="ar"/>
        </w:rPr>
        <w:t>本公司（联合体）郑重声明，根据《政府采购促进中小企业发展管理办法》（财库﹝2020﹞46 号）的规定，本公司（联合体）参加</w:t>
      </w:r>
      <w:r>
        <w:rPr>
          <w:rFonts w:hint="eastAsia" w:ascii="Times New Roman" w:hAnsi="Times New Roman" w:cs="Times New Roman"/>
          <w:b/>
          <w:spacing w:val="-2"/>
          <w:szCs w:val="21"/>
          <w:u w:val="single"/>
          <w:lang w:val="en-US" w:eastAsia="zh-CN"/>
        </w:rPr>
        <w:t>（单位名称）</w:t>
      </w:r>
      <w:r>
        <w:rPr>
          <w:rFonts w:hint="eastAsia" w:ascii="宋体" w:hAnsi="宋体" w:eastAsia="宋体" w:cs="宋体"/>
          <w:color w:val="000000"/>
          <w:kern w:val="0"/>
          <w:sz w:val="21"/>
          <w:szCs w:val="21"/>
          <w:lang w:val="en-US" w:eastAsia="zh-CN" w:bidi="ar"/>
        </w:rPr>
        <w:t>的</w:t>
      </w:r>
      <w:r>
        <w:rPr>
          <w:rFonts w:hint="eastAsia" w:ascii="Times New Roman" w:hAnsi="Times New Roman" w:cs="Times New Roman"/>
          <w:b/>
          <w:spacing w:val="-2"/>
          <w:szCs w:val="21"/>
          <w:u w:val="single"/>
          <w:lang w:val="en-US" w:eastAsia="zh-CN"/>
        </w:rPr>
        <w:t>（项目名称）</w:t>
      </w:r>
      <w:r>
        <w:rPr>
          <w:rFonts w:hint="eastAsia" w:ascii="宋体" w:hAnsi="宋体" w:eastAsia="宋体" w:cs="宋体"/>
          <w:color w:val="000000"/>
          <w:kern w:val="0"/>
          <w:sz w:val="21"/>
          <w:szCs w:val="21"/>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0A4D8AF">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u w:val="single"/>
          <w:lang w:val="en-US" w:eastAsia="zh-CN" w:bidi="ar"/>
        </w:rPr>
        <w:t xml:space="preserve"> </w:t>
      </w:r>
      <w:r>
        <w:rPr>
          <w:rFonts w:hint="eastAsia" w:ascii="Times New Roman" w:hAnsi="Times New Roman" w:cs="Times New Roman"/>
          <w:b/>
          <w:spacing w:val="-2"/>
          <w:szCs w:val="21"/>
          <w:u w:val="single"/>
          <w:lang w:val="en-US" w:eastAsia="zh-CN"/>
        </w:rPr>
        <w:t>（标的名称）</w:t>
      </w:r>
      <w:r>
        <w:rPr>
          <w:rFonts w:hint="eastAsia" w:ascii="宋体" w:hAnsi="宋体" w:eastAsia="宋体" w:cs="宋体"/>
          <w:i/>
          <w:iCs/>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，属于</w:t>
      </w:r>
      <w:r>
        <w:rPr>
          <w:rFonts w:hint="eastAsia" w:ascii="Times New Roman" w:hAnsi="Times New Roman" w:cs="Times New Roman"/>
          <w:b/>
          <w:spacing w:val="-2"/>
          <w:szCs w:val="21"/>
          <w:u w:val="single"/>
          <w:lang w:val="en-US" w:eastAsia="zh-CN"/>
        </w:rPr>
        <w:t>（采购文件中明确的所属行业）；</w:t>
      </w:r>
      <w:r>
        <w:rPr>
          <w:rFonts w:hint="eastAsia" w:ascii="宋体" w:hAnsi="宋体" w:eastAsia="宋体" w:cs="宋体"/>
          <w:color w:val="000000"/>
          <w:kern w:val="0"/>
          <w:sz w:val="21"/>
          <w:szCs w:val="21"/>
          <w:lang w:val="en-US" w:eastAsia="zh-CN" w:bidi="ar"/>
        </w:rPr>
        <w:t>承建（承接）企业为</w:t>
      </w:r>
      <w:r>
        <w:rPr>
          <w:rFonts w:hint="eastAsia" w:ascii="Times New Roman" w:hAnsi="Times New Roman" w:cs="Times New Roman"/>
          <w:b/>
          <w:spacing w:val="-2"/>
          <w:szCs w:val="21"/>
          <w:u w:val="single"/>
          <w:lang w:val="en-US" w:eastAsia="zh-CN"/>
        </w:rPr>
        <w:t>（企业名称）</w:t>
      </w:r>
      <w:r>
        <w:rPr>
          <w:rFonts w:hint="eastAsia" w:ascii="宋体" w:hAnsi="宋体" w:eastAsia="宋体" w:cs="宋体"/>
          <w:color w:val="000000"/>
          <w:kern w:val="0"/>
          <w:sz w:val="21"/>
          <w:szCs w:val="21"/>
          <w:lang w:val="en-US" w:eastAsia="zh-CN" w:bidi="ar"/>
        </w:rPr>
        <w:t>，从业人员</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人，营业收入为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万元，资产总额为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万元 ，属于</w:t>
      </w:r>
      <w:r>
        <w:rPr>
          <w:rFonts w:hint="eastAsia" w:ascii="Times New Roman" w:hAnsi="Times New Roman" w:cs="Times New Roman"/>
          <w:b/>
          <w:spacing w:val="-2"/>
          <w:szCs w:val="21"/>
          <w:u w:val="single"/>
          <w:lang w:val="en-US" w:eastAsia="zh-CN"/>
        </w:rPr>
        <w:t>（中型企业、 小型企业、微型企业）</w:t>
      </w:r>
      <w:r>
        <w:rPr>
          <w:rFonts w:hint="eastAsia" w:ascii="宋体" w:hAnsi="宋体" w:eastAsia="宋体" w:cs="宋体"/>
          <w:color w:val="000000"/>
          <w:kern w:val="0"/>
          <w:sz w:val="21"/>
          <w:szCs w:val="21"/>
          <w:lang w:val="en-US" w:eastAsia="zh-CN" w:bidi="ar"/>
        </w:rPr>
        <w:t xml:space="preserve">； </w:t>
      </w:r>
    </w:p>
    <w:p w14:paraId="123D6FE8">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 xml:space="preserve">2. </w:t>
      </w:r>
      <w:r>
        <w:rPr>
          <w:rFonts w:hint="eastAsia" w:ascii="Times New Roman" w:hAnsi="Times New Roman" w:cs="Times New Roman"/>
          <w:b/>
          <w:spacing w:val="-2"/>
          <w:szCs w:val="21"/>
          <w:u w:val="single"/>
          <w:lang w:val="en-US" w:eastAsia="zh-CN"/>
        </w:rPr>
        <w:t xml:space="preserve">（标的名称） </w:t>
      </w:r>
      <w:r>
        <w:rPr>
          <w:rFonts w:hint="eastAsia" w:ascii="宋体" w:hAnsi="宋体" w:eastAsia="宋体" w:cs="宋体"/>
          <w:color w:val="000000"/>
          <w:kern w:val="0"/>
          <w:sz w:val="21"/>
          <w:szCs w:val="21"/>
          <w:lang w:val="en-US" w:eastAsia="zh-CN" w:bidi="ar"/>
        </w:rPr>
        <w:t>，属于</w:t>
      </w:r>
      <w:r>
        <w:rPr>
          <w:rFonts w:hint="eastAsia" w:ascii="Times New Roman" w:hAnsi="Times New Roman" w:cs="Times New Roman"/>
          <w:b/>
          <w:spacing w:val="-2"/>
          <w:szCs w:val="21"/>
          <w:u w:val="single"/>
          <w:lang w:val="en-US" w:eastAsia="zh-CN"/>
        </w:rPr>
        <w:t>（采购文件中明确的所属行业）；</w:t>
      </w:r>
      <w:r>
        <w:rPr>
          <w:rFonts w:hint="eastAsia" w:ascii="宋体" w:hAnsi="宋体" w:eastAsia="宋体" w:cs="宋体"/>
          <w:color w:val="000000"/>
          <w:kern w:val="0"/>
          <w:sz w:val="21"/>
          <w:szCs w:val="21"/>
          <w:lang w:val="en-US" w:eastAsia="zh-CN" w:bidi="ar"/>
        </w:rPr>
        <w:t>承建（承接）企业为</w:t>
      </w:r>
      <w:r>
        <w:rPr>
          <w:rFonts w:hint="eastAsia" w:ascii="Times New Roman" w:hAnsi="Times New Roman" w:cs="Times New Roman"/>
          <w:b/>
          <w:spacing w:val="-2"/>
          <w:szCs w:val="21"/>
          <w:u w:val="single"/>
          <w:lang w:val="en-US" w:eastAsia="zh-CN"/>
        </w:rPr>
        <w:t>（企业名称）</w:t>
      </w:r>
      <w:r>
        <w:rPr>
          <w:rFonts w:hint="eastAsia" w:ascii="宋体" w:hAnsi="宋体" w:eastAsia="宋体" w:cs="宋体"/>
          <w:color w:val="000000"/>
          <w:kern w:val="0"/>
          <w:sz w:val="21"/>
          <w:szCs w:val="21"/>
          <w:lang w:val="en-US" w:eastAsia="zh-CN" w:bidi="ar"/>
        </w:rPr>
        <w:t>，从业人员</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人，营业收入为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万元，资产总额为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万元，属于</w:t>
      </w:r>
      <w:r>
        <w:rPr>
          <w:rFonts w:hint="eastAsia" w:ascii="宋体" w:hAnsi="宋体" w:eastAsia="宋体" w:cs="宋体"/>
          <w:i/>
          <w:iCs/>
          <w:color w:val="000000"/>
          <w:kern w:val="0"/>
          <w:sz w:val="21"/>
          <w:szCs w:val="21"/>
          <w:u w:val="single"/>
          <w:lang w:val="en-US" w:eastAsia="zh-CN" w:bidi="ar"/>
        </w:rPr>
        <w:t>（</w:t>
      </w:r>
      <w:r>
        <w:rPr>
          <w:rFonts w:hint="eastAsia" w:ascii="Times New Roman" w:hAnsi="Times New Roman" w:cs="Times New Roman"/>
          <w:b/>
          <w:spacing w:val="-2"/>
          <w:szCs w:val="21"/>
          <w:u w:val="single"/>
          <w:lang w:val="en-US" w:eastAsia="zh-CN"/>
        </w:rPr>
        <w:t>中型企业、小型企业、微型企业）</w:t>
      </w:r>
      <w:r>
        <w:rPr>
          <w:rFonts w:hint="eastAsia" w:ascii="宋体" w:hAnsi="宋体" w:eastAsia="宋体" w:cs="宋体"/>
          <w:color w:val="000000"/>
          <w:kern w:val="0"/>
          <w:sz w:val="21"/>
          <w:szCs w:val="21"/>
          <w:lang w:val="en-US" w:eastAsia="zh-CN" w:bidi="ar"/>
        </w:rPr>
        <w:t xml:space="preserve">； </w:t>
      </w:r>
    </w:p>
    <w:p w14:paraId="3BE0046C">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 xml:space="preserve">…… </w:t>
      </w:r>
    </w:p>
    <w:p w14:paraId="48BAB2C9">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 xml:space="preserve">以上企业，不属于大企业的分支机构，不存在控股股东为大企业的情形，也不存在与大企业的负责人为同一人的情形。 </w:t>
      </w:r>
    </w:p>
    <w:p w14:paraId="653705A1">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 xml:space="preserve">本企业对上述声明内容的真实性负责。如有虚假，将依法承担相应责任。 </w:t>
      </w:r>
    </w:p>
    <w:p w14:paraId="57E9373D">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14:paraId="1E4C0483">
      <w:pPr>
        <w:keepNext w:val="0"/>
        <w:keepLines w:val="0"/>
        <w:widowControl/>
        <w:suppressLineNumbers w:val="0"/>
        <w:jc w:val="left"/>
        <w:rPr>
          <w:rFonts w:hint="eastAsia" w:ascii="宋体" w:hAnsi="宋体" w:eastAsia="宋体" w:cs="宋体"/>
          <w:b/>
          <w:bCs/>
          <w:szCs w:val="21"/>
        </w:rPr>
      </w:pPr>
      <w:r>
        <w:rPr>
          <w:rFonts w:hint="eastAsia" w:ascii="宋体" w:hAnsi="宋体" w:eastAsia="宋体" w:cs="宋体"/>
          <w:b/>
          <w:bCs/>
          <w:color w:val="000000"/>
          <w:kern w:val="0"/>
          <w:sz w:val="21"/>
          <w:szCs w:val="21"/>
          <w:lang w:val="en-US" w:eastAsia="zh-CN" w:bidi="ar"/>
        </w:rPr>
        <w:t xml:space="preserve">企业名称（盖章）： </w:t>
      </w:r>
    </w:p>
    <w:p w14:paraId="01C20A7E">
      <w:pPr>
        <w:keepNext w:val="0"/>
        <w:keepLines w:val="0"/>
        <w:widowControl/>
        <w:suppressLineNumbers w:val="0"/>
        <w:jc w:val="left"/>
        <w:rPr>
          <w:rFonts w:hint="eastAsia" w:ascii="宋体" w:hAnsi="宋体" w:eastAsia="宋体" w:cs="宋体"/>
          <w:b/>
          <w:bCs/>
          <w:szCs w:val="21"/>
        </w:rPr>
      </w:pPr>
      <w:r>
        <w:rPr>
          <w:rFonts w:hint="eastAsia" w:ascii="宋体" w:hAnsi="宋体" w:eastAsia="宋体" w:cs="宋体"/>
          <w:b/>
          <w:bCs/>
          <w:color w:val="000000"/>
          <w:kern w:val="0"/>
          <w:sz w:val="21"/>
          <w:szCs w:val="21"/>
          <w:lang w:val="en-US" w:eastAsia="zh-CN" w:bidi="ar"/>
        </w:rPr>
        <w:t>日 期：</w:t>
      </w:r>
    </w:p>
    <w:p w14:paraId="103F8F46">
      <w:pPr>
        <w:ind w:firstLine="402"/>
        <w:rPr>
          <w:rFonts w:ascii="Times New Roman" w:hAnsi="Times New Roman" w:cs="Times New Roman"/>
          <w:b/>
          <w:sz w:val="20"/>
          <w:szCs w:val="20"/>
        </w:rPr>
      </w:pPr>
    </w:p>
    <w:p w14:paraId="7E13FCF1">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40"/>
    <w:p w14:paraId="5BAB04CA">
      <w:pPr>
        <w:ind w:firstLine="402"/>
        <w:rPr>
          <w:rFonts w:hint="eastAsia" w:ascii="宋体" w:hAnsi="宋体" w:cs="宋体"/>
          <w:b/>
          <w:sz w:val="20"/>
          <w:szCs w:val="20"/>
        </w:rPr>
      </w:pPr>
      <w:bookmarkStart w:id="842" w:name="OLE_LINK41"/>
      <w:bookmarkStart w:id="843" w:name="OLE_LINK55"/>
      <w:bookmarkStart w:id="844" w:name="OLE_LINK56"/>
      <w:r>
        <w:rPr>
          <w:rFonts w:hint="eastAsia" w:ascii="宋体" w:hAnsi="宋体" w:cs="宋体"/>
          <w:b/>
          <w:sz w:val="20"/>
          <w:szCs w:val="20"/>
        </w:rPr>
        <w:t>①</w:t>
      </w:r>
      <w:bookmarkStart w:id="845" w:name="OLE_LINK60"/>
      <w:r>
        <w:rPr>
          <w:rFonts w:hint="eastAsia" w:ascii="Times New Roman" w:hAnsi="Times New Roman" w:cs="Times New Roman"/>
          <w:b/>
          <w:sz w:val="20"/>
          <w:szCs w:val="20"/>
        </w:rPr>
        <w:t>从业人员、营业收入、资产总</w:t>
      </w:r>
      <w:bookmarkStart w:id="846" w:name="OLE_LINK383"/>
      <w:r>
        <w:rPr>
          <w:rFonts w:hint="eastAsia" w:ascii="Times New Roman" w:hAnsi="Times New Roman" w:cs="Times New Roman"/>
          <w:b/>
          <w:sz w:val="20"/>
          <w:szCs w:val="20"/>
        </w:rPr>
        <w:t>额填报上合同签订之日起1年度数据</w:t>
      </w:r>
      <w:bookmarkEnd w:id="846"/>
      <w:r>
        <w:rPr>
          <w:rFonts w:hint="eastAsia" w:ascii="Times New Roman" w:hAnsi="Times New Roman" w:cs="Times New Roman"/>
          <w:b/>
          <w:sz w:val="20"/>
          <w:szCs w:val="20"/>
        </w:rPr>
        <w:t>，无上合同签订之日起1年度数据的新成立企业可不填报</w:t>
      </w:r>
      <w:bookmarkEnd w:id="845"/>
      <w:r>
        <w:rPr>
          <w:rFonts w:hint="eastAsia" w:ascii="Times New Roman" w:hAnsi="Times New Roman" w:cs="Times New Roman"/>
          <w:b/>
          <w:sz w:val="20"/>
          <w:szCs w:val="20"/>
        </w:rPr>
        <w:t>；</w:t>
      </w:r>
      <w:bookmarkEnd w:id="842"/>
    </w:p>
    <w:p w14:paraId="40438520">
      <w:pPr>
        <w:ind w:firstLine="402"/>
        <w:rPr>
          <w:rFonts w:ascii="Times New Roman" w:hAnsi="Times New Roman" w:cs="Times New Roman"/>
          <w:b/>
          <w:sz w:val="20"/>
          <w:szCs w:val="20"/>
        </w:rPr>
      </w:pPr>
      <w:bookmarkStart w:id="847"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47"/>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41"/>
      <w:bookmarkEnd w:id="843"/>
      <w:bookmarkStart w:id="848" w:name="_Toc66970810"/>
      <w:bookmarkStart w:id="849" w:name="_Toc34335344"/>
      <w:bookmarkStart w:id="850" w:name="_Toc502909064"/>
      <w:r>
        <w:rPr>
          <w:rFonts w:hint="eastAsia" w:ascii="Times New Roman" w:hAnsi="Times New Roman" w:cs="Times New Roman"/>
          <w:b/>
          <w:sz w:val="20"/>
          <w:szCs w:val="20"/>
        </w:rPr>
        <w:t xml:space="preserve"> </w:t>
      </w:r>
      <w:bookmarkEnd w:id="844"/>
    </w:p>
    <w:p w14:paraId="550BDF39">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315EDFF3">
      <w:pPr>
        <w:widowControl/>
        <w:ind w:firstLine="402"/>
        <w:jc w:val="left"/>
        <w:rPr>
          <w:rFonts w:ascii="Times New Roman" w:hAnsi="Times New Roman" w:cs="Times New Roman"/>
          <w:b/>
          <w:szCs w:val="21"/>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r>
        <w:rPr>
          <w:rFonts w:hint="eastAsia" w:ascii="Times New Roman" w:hAnsi="Times New Roman" w:cs="Times New Roman"/>
          <w:b/>
          <w:szCs w:val="21"/>
          <w:lang w:bidi="ar"/>
        </w:rPr>
        <w:br w:type="page"/>
      </w:r>
    </w:p>
    <w:bookmarkEnd w:id="848"/>
    <w:bookmarkEnd w:id="849"/>
    <w:bookmarkEnd w:id="850"/>
    <w:p w14:paraId="686D1AB8">
      <w:pPr>
        <w:ind w:firstLine="0" w:firstLineChars="0"/>
        <w:rPr>
          <w:rFonts w:hint="eastAsia" w:hAnsi="宋体"/>
          <w:b/>
          <w:sz w:val="28"/>
          <w:szCs w:val="28"/>
        </w:rPr>
      </w:pPr>
      <w:bookmarkStart w:id="851" w:name="OLE_LINK348"/>
      <w:bookmarkStart w:id="852" w:name="_Toc1857"/>
      <w:bookmarkStart w:id="853" w:name="_Toc49935369"/>
      <w:bookmarkStart w:id="854" w:name="_Toc26783968"/>
      <w:bookmarkStart w:id="855" w:name="_Toc68090090"/>
      <w:r>
        <w:rPr>
          <w:rFonts w:hint="eastAsia" w:hAnsi="宋体"/>
          <w:b/>
          <w:sz w:val="28"/>
          <w:szCs w:val="28"/>
        </w:rPr>
        <w:t>格式8：</w:t>
      </w:r>
    </w:p>
    <w:p w14:paraId="3651E0B7">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监狱企业证明文件</w:t>
      </w:r>
    </w:p>
    <w:p w14:paraId="35CB129F">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1F835983">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2809AE">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437BCE88">
      <w:pPr>
        <w:tabs>
          <w:tab w:val="left" w:pos="4860"/>
        </w:tabs>
        <w:ind w:right="1560" w:firstLine="420"/>
        <w:jc w:val="left"/>
        <w:rPr>
          <w:rFonts w:ascii="Times New Roman" w:hAnsi="Times New Roman" w:cs="Times New Roman"/>
          <w:szCs w:val="20"/>
        </w:rPr>
      </w:pPr>
    </w:p>
    <w:p w14:paraId="2DED1EF9">
      <w:pPr>
        <w:ind w:firstLine="0" w:firstLineChars="0"/>
        <w:rPr>
          <w:rFonts w:ascii="Times New Roman" w:hAnsi="Times New Roman" w:cs="Times New Roman"/>
          <w:sz w:val="24"/>
          <w:szCs w:val="24"/>
        </w:rPr>
      </w:pPr>
    </w:p>
    <w:p w14:paraId="1A3944B0">
      <w:pPr>
        <w:ind w:firstLine="420"/>
        <w:rPr>
          <w:rFonts w:ascii="Times New Roman" w:hAnsi="Times New Roman" w:cs="Times New Roman"/>
          <w:szCs w:val="21"/>
          <w:u w:val="single"/>
        </w:rPr>
      </w:pPr>
    </w:p>
    <w:p w14:paraId="7C1EC323">
      <w:pPr>
        <w:ind w:firstLine="361"/>
        <w:rPr>
          <w:rFonts w:ascii="Times New Roman" w:hAnsi="Times New Roman" w:eastAsia="等线" w:cs="Times New Roman"/>
          <w:sz w:val="18"/>
          <w:szCs w:val="18"/>
        </w:rPr>
      </w:pPr>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p w14:paraId="40A3858C">
      <w:pPr>
        <w:ind w:firstLine="0" w:firstLineChars="0"/>
        <w:rPr>
          <w:rFonts w:ascii="Times New Roman" w:hAnsi="Times New Roman" w:cs="Times New Roman"/>
          <w:szCs w:val="21"/>
        </w:rPr>
      </w:pPr>
      <w:r>
        <w:rPr>
          <w:rFonts w:ascii="Times New Roman" w:hAnsi="Times New Roman" w:cs="Times New Roman"/>
          <w:szCs w:val="21"/>
        </w:rPr>
        <w:br w:type="page"/>
      </w:r>
    </w:p>
    <w:p w14:paraId="07FCD2DA">
      <w:pPr>
        <w:ind w:firstLine="0" w:firstLineChars="0"/>
        <w:rPr>
          <w:rFonts w:hint="eastAsia" w:hAnsi="宋体"/>
          <w:b/>
          <w:sz w:val="28"/>
          <w:szCs w:val="28"/>
        </w:rPr>
      </w:pPr>
      <w:r>
        <w:rPr>
          <w:rFonts w:hint="eastAsia" w:hAnsi="宋体"/>
          <w:b/>
          <w:sz w:val="28"/>
          <w:szCs w:val="28"/>
        </w:rPr>
        <w:t>格式9：</w:t>
      </w:r>
    </w:p>
    <w:p w14:paraId="4FA7698D">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残疾人福利性单位声明函</w:t>
      </w:r>
    </w:p>
    <w:p w14:paraId="6422F520">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r>
        <w:rPr>
          <w:rFonts w:ascii="Times New Roman" w:hAnsi="Times New Roman" w:cs="Times New Roman"/>
          <w:color w:val="FF0000"/>
          <w:sz w:val="18"/>
          <w:szCs w:val="18"/>
        </w:rPr>
        <w:t>）</w:t>
      </w:r>
    </w:p>
    <w:p w14:paraId="2F5EF0DC">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CD5B2B6">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74817496">
      <w:pPr>
        <w:ind w:firstLine="444"/>
        <w:rPr>
          <w:rFonts w:ascii="Times New Roman" w:hAnsi="Times New Roman" w:cs="Times New Roman"/>
          <w:spacing w:val="6"/>
          <w:szCs w:val="21"/>
        </w:rPr>
      </w:pPr>
    </w:p>
    <w:p w14:paraId="2BE62B70">
      <w:pPr>
        <w:tabs>
          <w:tab w:val="left" w:pos="4860"/>
        </w:tabs>
        <w:ind w:right="1560" w:firstLine="422"/>
        <w:jc w:val="left"/>
        <w:rPr>
          <w:rFonts w:ascii="Times New Roman" w:hAnsi="Times New Roman" w:cs="Times New Roman"/>
          <w:b/>
          <w:bCs/>
          <w:szCs w:val="20"/>
        </w:rPr>
      </w:pPr>
      <w:r>
        <w:rPr>
          <w:rFonts w:hint="eastAsia" w:ascii="Times New Roman" w:hAnsi="Times New Roman" w:cs="Times New Roman"/>
          <w:b/>
          <w:bCs/>
          <w:szCs w:val="20"/>
        </w:rPr>
        <w:t>单位名称</w:t>
      </w:r>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678B7866">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p w14:paraId="4C344314">
      <w:pPr>
        <w:tabs>
          <w:tab w:val="left" w:pos="4860"/>
        </w:tabs>
        <w:ind w:right="1560" w:firstLine="444"/>
        <w:jc w:val="left"/>
        <w:rPr>
          <w:rFonts w:ascii="Times New Roman" w:hAnsi="Times New Roman" w:cs="Times New Roman"/>
          <w:spacing w:val="6"/>
          <w:szCs w:val="21"/>
        </w:rPr>
      </w:pPr>
    </w:p>
    <w:p w14:paraId="3FD6ACB3">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bookmarkEnd w:id="851"/>
    <w:bookmarkEnd w:id="852"/>
    <w:bookmarkEnd w:id="853"/>
    <w:bookmarkEnd w:id="854"/>
    <w:bookmarkEnd w:id="855"/>
    <w:p w14:paraId="08D87B65">
      <w:pPr>
        <w:ind w:firstLine="0" w:firstLineChars="0"/>
        <w:rPr>
          <w:rFonts w:hint="eastAsia" w:hAnsi="宋体"/>
          <w:b/>
          <w:sz w:val="28"/>
          <w:szCs w:val="28"/>
        </w:rPr>
        <w:sectPr>
          <w:footerReference r:id="rId17" w:type="default"/>
          <w:pgSz w:w="11906" w:h="16838"/>
          <w:pgMar w:top="1417" w:right="1417" w:bottom="1418" w:left="1417" w:header="851" w:footer="964" w:gutter="0"/>
          <w:pgNumType w:fmt="decimal"/>
          <w:cols w:space="425" w:num="1"/>
          <w:docGrid w:type="lines" w:linePitch="312" w:charSpace="0"/>
        </w:sectPr>
      </w:pPr>
    </w:p>
    <w:p w14:paraId="7B99EE2C">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10</w:t>
      </w:r>
      <w:r>
        <w:rPr>
          <w:rFonts w:hint="eastAsia" w:hAnsi="宋体"/>
          <w:b/>
          <w:sz w:val="28"/>
          <w:szCs w:val="28"/>
        </w:rPr>
        <w:t>：</w:t>
      </w:r>
    </w:p>
    <w:p w14:paraId="2021719D">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0D6CBB2C">
      <w:pPr>
        <w:ind w:firstLine="0" w:firstLineChars="0"/>
        <w:rPr>
          <w:rFonts w:ascii="Times New Roman" w:hAnsi="Times New Roman" w:cs="Times New Roman"/>
          <w:szCs w:val="21"/>
        </w:rPr>
      </w:pPr>
    </w:p>
    <w:p w14:paraId="0FC1B4EA">
      <w:pPr>
        <w:ind w:firstLine="0" w:firstLineChars="0"/>
        <w:rPr>
          <w:rFonts w:ascii="Times New Roman" w:hAnsi="Times New Roman" w:cs="Times New Roman"/>
          <w:szCs w:val="21"/>
        </w:rPr>
      </w:pPr>
      <w:r>
        <w:rPr>
          <w:rFonts w:ascii="Times New Roman" w:hAnsi="Times New Roman" w:cs="Times New Roman"/>
          <w:szCs w:val="21"/>
        </w:rPr>
        <w:t>投标人名称：</w:t>
      </w:r>
    </w:p>
    <w:p w14:paraId="49BD84F7">
      <w:pPr>
        <w:ind w:firstLine="0" w:firstLineChars="0"/>
        <w:rPr>
          <w:rFonts w:ascii="Times New Roman" w:hAnsi="Times New Roman" w:cs="Times New Roman"/>
          <w:szCs w:val="21"/>
        </w:rPr>
      </w:pPr>
      <w:r>
        <w:rPr>
          <w:rFonts w:ascii="Times New Roman" w:hAnsi="Times New Roman" w:cs="Times New Roman"/>
          <w:szCs w:val="21"/>
        </w:rPr>
        <w:t>单位性质：</w:t>
      </w:r>
    </w:p>
    <w:p w14:paraId="3D95AFEB">
      <w:pPr>
        <w:ind w:firstLine="0" w:firstLineChars="0"/>
        <w:rPr>
          <w:rFonts w:ascii="Times New Roman" w:hAnsi="Times New Roman" w:cs="Times New Roman"/>
          <w:szCs w:val="21"/>
        </w:rPr>
      </w:pPr>
      <w:r>
        <w:rPr>
          <w:rFonts w:ascii="Times New Roman" w:hAnsi="Times New Roman" w:cs="Times New Roman"/>
          <w:szCs w:val="21"/>
        </w:rPr>
        <w:t>成立时间：年月日</w:t>
      </w:r>
    </w:p>
    <w:p w14:paraId="61CF4249">
      <w:pPr>
        <w:ind w:firstLine="0" w:firstLineChars="0"/>
        <w:rPr>
          <w:rFonts w:ascii="Times New Roman" w:hAnsi="Times New Roman" w:cs="Times New Roman"/>
          <w:szCs w:val="21"/>
        </w:rPr>
      </w:pPr>
      <w:r>
        <w:rPr>
          <w:rFonts w:ascii="Times New Roman" w:hAnsi="Times New Roman" w:cs="Times New Roman"/>
          <w:szCs w:val="21"/>
        </w:rPr>
        <w:t>经营期限：</w:t>
      </w:r>
    </w:p>
    <w:p w14:paraId="1B5B06FA">
      <w:pPr>
        <w:ind w:firstLine="0" w:firstLineChars="0"/>
        <w:rPr>
          <w:rFonts w:ascii="Times New Roman" w:hAnsi="Times New Roman" w:cs="Times New Roman"/>
          <w:szCs w:val="21"/>
        </w:rPr>
      </w:pPr>
      <w:r>
        <w:rPr>
          <w:rFonts w:ascii="Times New Roman" w:hAnsi="Times New Roman" w:cs="Times New Roman"/>
          <w:szCs w:val="21"/>
        </w:rPr>
        <w:t>姓名：性别：年龄：职务：</w:t>
      </w:r>
    </w:p>
    <w:p w14:paraId="567B200B">
      <w:pPr>
        <w:ind w:firstLine="0" w:firstLineChars="0"/>
        <w:rPr>
          <w:rFonts w:ascii="Times New Roman" w:hAnsi="Times New Roman" w:cs="Times New Roman"/>
          <w:szCs w:val="21"/>
        </w:rPr>
      </w:pPr>
      <w:r>
        <w:rPr>
          <w:rFonts w:ascii="Times New Roman" w:hAnsi="Times New Roman" w:cs="Times New Roman"/>
          <w:szCs w:val="21"/>
        </w:rPr>
        <w:t>系</w:t>
      </w:r>
      <w:r>
        <w:rPr>
          <w:rFonts w:hint="eastAsia" w:ascii="宋体" w:hAnsi="宋体" w:cs="宋体"/>
          <w:szCs w:val="21"/>
        </w:rPr>
        <w:t>（投标人名称）的法定代表人（单位负责人）</w:t>
      </w:r>
      <w:r>
        <w:rPr>
          <w:rFonts w:ascii="Times New Roman" w:hAnsi="Times New Roman" w:cs="Times New Roman"/>
          <w:szCs w:val="21"/>
        </w:rPr>
        <w:t>。</w:t>
      </w:r>
    </w:p>
    <w:p w14:paraId="69E9754F">
      <w:pPr>
        <w:ind w:firstLine="0" w:firstLineChars="0"/>
        <w:rPr>
          <w:rFonts w:ascii="Times New Roman" w:hAnsi="Times New Roman" w:cs="Times New Roman"/>
          <w:szCs w:val="21"/>
        </w:rPr>
      </w:pPr>
    </w:p>
    <w:p w14:paraId="2B3F5232">
      <w:pPr>
        <w:ind w:firstLine="420"/>
        <w:rPr>
          <w:rFonts w:ascii="Times New Roman" w:hAnsi="Times New Roman" w:cs="Times New Roman"/>
          <w:szCs w:val="21"/>
        </w:rPr>
      </w:pPr>
    </w:p>
    <w:p w14:paraId="5ABACC46">
      <w:pPr>
        <w:ind w:firstLine="420"/>
        <w:rPr>
          <w:rFonts w:ascii="Times New Roman" w:hAnsi="Times New Roman" w:cs="Times New Roman"/>
          <w:szCs w:val="21"/>
        </w:rPr>
      </w:pPr>
      <w:r>
        <w:rPr>
          <w:rFonts w:ascii="Times New Roman" w:hAnsi="Times New Roman" w:cs="Times New Roman"/>
          <w:szCs w:val="21"/>
        </w:rPr>
        <w:t>特此证明。</w:t>
      </w:r>
    </w:p>
    <w:p w14:paraId="424CB057">
      <w:pPr>
        <w:ind w:firstLine="0" w:firstLineChars="0"/>
        <w:rPr>
          <w:rFonts w:ascii="Times New Roman" w:hAnsi="Times New Roman" w:cs="Times New Roman"/>
          <w:szCs w:val="21"/>
        </w:rPr>
      </w:pPr>
    </w:p>
    <w:p w14:paraId="062D2415">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0BBF89FD">
      <w:pPr>
        <w:ind w:firstLine="0" w:firstLineChars="0"/>
        <w:rPr>
          <w:rFonts w:ascii="Times New Roman" w:hAnsi="Times New Roman" w:cs="Times New Roman"/>
          <w:szCs w:val="21"/>
        </w:rPr>
      </w:pPr>
    </w:p>
    <w:p w14:paraId="44409010">
      <w:pPr>
        <w:ind w:firstLine="0" w:firstLineChars="0"/>
        <w:rPr>
          <w:rFonts w:ascii="Times New Roman" w:hAnsi="Times New Roman" w:cs="Times New Roman"/>
          <w:szCs w:val="21"/>
        </w:rPr>
      </w:pPr>
    </w:p>
    <w:p w14:paraId="76AE3F6D">
      <w:pPr>
        <w:ind w:firstLine="0" w:firstLineChars="0"/>
        <w:rPr>
          <w:rFonts w:ascii="Times New Roman" w:hAnsi="Times New Roman" w:cs="Times New Roman"/>
          <w:szCs w:val="21"/>
        </w:rPr>
      </w:pPr>
    </w:p>
    <w:p w14:paraId="713E2BF4">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041F6486">
      <w:pPr>
        <w:ind w:left="5397" w:leftChars="2570" w:firstLine="0" w:firstLineChars="0"/>
        <w:rPr>
          <w:rFonts w:ascii="Times New Roman" w:hAnsi="Times New Roman" w:cs="Times New Roman"/>
          <w:b/>
          <w:bCs/>
          <w:szCs w:val="21"/>
        </w:rPr>
      </w:pPr>
    </w:p>
    <w:p w14:paraId="14BE35AB">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rPr>
        <w:t>年月日</w:t>
      </w:r>
    </w:p>
    <w:p w14:paraId="758F3852">
      <w:pPr>
        <w:ind w:firstLine="0" w:firstLineChars="0"/>
        <w:rPr>
          <w:rFonts w:ascii="Times New Roman" w:hAnsi="Times New Roman" w:cs="Times New Roman"/>
          <w:szCs w:val="21"/>
        </w:rPr>
      </w:pPr>
    </w:p>
    <w:p w14:paraId="65954FB6">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05DF32BB">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11</w:t>
      </w:r>
      <w:r>
        <w:rPr>
          <w:rFonts w:hint="eastAsia" w:hAnsi="宋体"/>
          <w:b/>
          <w:sz w:val="28"/>
          <w:szCs w:val="28"/>
        </w:rPr>
        <w:t>：</w:t>
      </w:r>
    </w:p>
    <w:p w14:paraId="1FA53507">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785558A0">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（投标人全称）</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编号：）的投标，以本单位名义处理一切与之有关的事务。</w:t>
      </w:r>
    </w:p>
    <w:p w14:paraId="57F4AF19">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0BE905B2">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21BE2527">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23148870">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24629B38">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日期：年月日</w:t>
      </w:r>
    </w:p>
    <w:p w14:paraId="51FBDE74">
      <w:pPr>
        <w:spacing w:line="500" w:lineRule="exact"/>
        <w:ind w:firstLine="0" w:firstLineChars="0"/>
        <w:rPr>
          <w:rFonts w:ascii="Times New Roman" w:hAnsi="Times New Roman" w:cs="Times New Roman"/>
          <w:szCs w:val="21"/>
        </w:rPr>
      </w:pPr>
    </w:p>
    <w:p w14:paraId="0ABF0C4C">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p>
    <w:p w14:paraId="54D386C4">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p>
    <w:p w14:paraId="0659FB6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p>
    <w:p w14:paraId="45ECEDE4">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p>
    <w:p w14:paraId="20BE473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p>
    <w:p w14:paraId="7094CC2C">
      <w:pPr>
        <w:spacing w:line="500" w:lineRule="exact"/>
        <w:ind w:firstLine="0" w:firstLineChars="0"/>
        <w:rPr>
          <w:rFonts w:ascii="Times New Roman" w:hAnsi="Times New Roman" w:cs="Times New Roman"/>
          <w:b/>
          <w:bCs/>
          <w:szCs w:val="21"/>
        </w:rPr>
      </w:pPr>
    </w:p>
    <w:p w14:paraId="10F43E15">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7D616595">
      <w:pPr>
        <w:widowControl/>
        <w:ind w:firstLine="0" w:firstLineChars="0"/>
        <w:jc w:val="left"/>
        <w:rPr>
          <w:rFonts w:ascii="Times New Roman" w:hAnsi="Times New Roman" w:cs="Times New Roman"/>
          <w:b/>
          <w:bCs/>
          <w:szCs w:val="21"/>
        </w:rPr>
      </w:pPr>
    </w:p>
    <w:p w14:paraId="32C923B5">
      <w:pPr>
        <w:widowControl/>
        <w:ind w:firstLine="0" w:firstLineChars="0"/>
        <w:jc w:val="left"/>
        <w:rPr>
          <w:rFonts w:ascii="Times New Roman" w:hAnsi="Times New Roman" w:cs="Times New Roman"/>
          <w:b/>
          <w:bCs/>
          <w:szCs w:val="21"/>
        </w:rPr>
      </w:pPr>
    </w:p>
    <w:p w14:paraId="72378BD9">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注:</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856" w:name="OLE_LINK359"/>
      <w:r>
        <w:rPr>
          <w:rFonts w:ascii="Times New Roman" w:hAnsi="Times New Roman" w:cs="Times New Roman"/>
          <w:b/>
          <w:bCs/>
          <w:szCs w:val="21"/>
          <w:lang w:bidi="ar"/>
        </w:rPr>
        <w:t>签署人</w:t>
      </w:r>
      <w:bookmarkEnd w:id="856"/>
      <w:r>
        <w:rPr>
          <w:rFonts w:ascii="Times New Roman" w:hAnsi="Times New Roman" w:cs="Times New Roman"/>
          <w:b/>
          <w:bCs/>
          <w:szCs w:val="21"/>
          <w:lang w:bidi="ar"/>
        </w:rPr>
        <w:t>可为单位负责人。</w:t>
      </w:r>
    </w:p>
    <w:p w14:paraId="447A7B01">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6EAD1210">
      <w:pPr>
        <w:ind w:firstLine="0" w:firstLineChars="0"/>
        <w:rPr>
          <w:rFonts w:hint="eastAsia" w:hAnsi="宋体"/>
          <w:b/>
          <w:sz w:val="28"/>
          <w:szCs w:val="28"/>
        </w:rPr>
      </w:pPr>
      <w:r>
        <w:rPr>
          <w:rFonts w:hint="eastAsia" w:hAnsi="宋体"/>
          <w:b/>
          <w:sz w:val="28"/>
          <w:szCs w:val="28"/>
        </w:rPr>
        <w:t>格式</w:t>
      </w:r>
      <w:r>
        <w:rPr>
          <w:rFonts w:hint="eastAsia" w:hAnsi="宋体"/>
          <w:b/>
          <w:sz w:val="28"/>
          <w:szCs w:val="28"/>
          <w:lang w:val="en-US" w:eastAsia="zh-CN"/>
        </w:rPr>
        <w:t>12</w:t>
      </w:r>
      <w:r>
        <w:rPr>
          <w:rFonts w:hint="eastAsia" w:hAnsi="宋体"/>
          <w:b/>
          <w:sz w:val="28"/>
          <w:szCs w:val="28"/>
        </w:rPr>
        <w:t>：</w:t>
      </w:r>
    </w:p>
    <w:p w14:paraId="58D6CEE2">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38D8BE2D">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0834666D">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系自然人，现授权委托</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t>的投标活动，并代表本人全权办理针对上述项目的投</w:t>
      </w:r>
      <w:r>
        <w:rPr>
          <w:rFonts w:hint="eastAsia"/>
        </w:rPr>
        <w:t>标、签约等具体事务和签署相关文件。</w:t>
      </w:r>
    </w:p>
    <w:p w14:paraId="03001CBF">
      <w:pPr>
        <w:spacing w:line="480" w:lineRule="auto"/>
        <w:ind w:firstLine="420"/>
        <w:rPr>
          <w:rFonts w:hint="eastAsia"/>
        </w:rPr>
      </w:pPr>
      <w:r>
        <w:rPr>
          <w:rFonts w:hint="eastAsia"/>
        </w:rPr>
        <w:t>本人对被授权人的签字事项负全部责任。</w:t>
      </w:r>
    </w:p>
    <w:p w14:paraId="052005BD">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207A60DE">
      <w:pPr>
        <w:spacing w:line="480" w:lineRule="auto"/>
        <w:ind w:firstLine="420"/>
        <w:rPr>
          <w:rFonts w:hint="eastAsia"/>
        </w:rPr>
      </w:pPr>
      <w:r>
        <w:rPr>
          <w:rFonts w:hint="eastAsia" w:ascii="Times New Roman" w:hAnsi="Times New Roman" w:cs="Times New Roman"/>
          <w:szCs w:val="21"/>
        </w:rPr>
        <w:t>代理人无转委托权。</w:t>
      </w:r>
    </w:p>
    <w:p w14:paraId="152C3B3E">
      <w:pPr>
        <w:ind w:firstLine="420"/>
        <w:rPr>
          <w:rFonts w:hint="eastAsia"/>
        </w:rPr>
      </w:pPr>
    </w:p>
    <w:p w14:paraId="427F6A9A">
      <w:pPr>
        <w:spacing w:line="480" w:lineRule="auto"/>
        <w:ind w:firstLine="422"/>
        <w:jc w:val="center"/>
        <w:rPr>
          <w:rFonts w:hint="eastAsia"/>
          <w:b/>
          <w:bCs/>
        </w:rPr>
      </w:pPr>
      <w:r>
        <w:rPr>
          <w:rFonts w:hint="eastAsia"/>
          <w:b/>
          <w:bCs/>
        </w:rPr>
        <w:t>投标人：</w:t>
      </w:r>
      <w:r>
        <w:rPr>
          <w:rFonts w:ascii="Times New Roman" w:hAnsi="Times New Roman" w:cs="Times New Roman"/>
          <w:b/>
          <w:bCs/>
          <w:szCs w:val="21"/>
        </w:rPr>
        <w:t>（签名或签章）</w:t>
      </w:r>
      <w:r>
        <w:rPr>
          <w:rFonts w:hint="eastAsia"/>
          <w:b/>
          <w:bCs/>
        </w:rPr>
        <w:t>　　　　</w:t>
      </w:r>
    </w:p>
    <w:p w14:paraId="4F131066">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日期：年月日</w:t>
      </w:r>
    </w:p>
    <w:p w14:paraId="0E7C800F">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7419D0B9">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103F8D6D">
      <w:pPr>
        <w:pStyle w:val="20"/>
        <w:spacing w:line="480" w:lineRule="auto"/>
        <w:ind w:firstLine="480" w:firstLineChars="200"/>
        <w:rPr>
          <w:rFonts w:hint="eastAsia" w:hAnsi="宋体"/>
          <w:sz w:val="24"/>
          <w:szCs w:val="24"/>
        </w:rPr>
      </w:pPr>
    </w:p>
    <w:p w14:paraId="569F8931">
      <w:pPr>
        <w:topLinePunct/>
        <w:autoSpaceDE w:val="0"/>
        <w:autoSpaceDN w:val="0"/>
        <w:adjustRightInd w:val="0"/>
        <w:snapToGrid w:val="0"/>
        <w:spacing w:line="480" w:lineRule="auto"/>
        <w:ind w:firstLine="420"/>
        <w:jc w:val="left"/>
        <w:rPr>
          <w:rFonts w:hint="eastAsia" w:ascii="宋体" w:hAnsi="宋体" w:cs="宋体"/>
        </w:rPr>
      </w:pPr>
    </w:p>
    <w:p w14:paraId="76EC9970">
      <w:pPr>
        <w:spacing w:line="240" w:lineRule="auto"/>
        <w:ind w:firstLine="0" w:firstLineChars="0"/>
        <w:rPr>
          <w:rFonts w:ascii="Times New Roman" w:hAnsi="Times New Roman" w:cs="Times New Roman"/>
          <w:b/>
          <w:bCs/>
          <w:szCs w:val="21"/>
        </w:rPr>
      </w:pPr>
    </w:p>
    <w:p w14:paraId="1CB015D3">
      <w:pPr>
        <w:ind w:firstLine="422"/>
        <w:rPr>
          <w:rFonts w:ascii="Times New Roman" w:hAnsi="Times New Roman" w:cs="Times New Roman"/>
          <w:b/>
          <w:bCs/>
          <w:szCs w:val="21"/>
        </w:rPr>
      </w:pPr>
      <w:r>
        <w:rPr>
          <w:rFonts w:ascii="Times New Roman" w:hAnsi="Times New Roman" w:cs="Times New Roman"/>
          <w:b/>
          <w:bCs/>
          <w:szCs w:val="21"/>
        </w:rPr>
        <w:br w:type="page"/>
      </w:r>
    </w:p>
    <w:p w14:paraId="596CB36F">
      <w:pPr>
        <w:ind w:firstLine="0" w:firstLineChars="0"/>
        <w:rPr>
          <w:rFonts w:ascii="Times New Roman" w:hAnsi="Times New Roman" w:eastAsia="黑体" w:cs="Times New Roman"/>
          <w:sz w:val="28"/>
          <w:szCs w:val="28"/>
        </w:rPr>
      </w:pPr>
      <w:r>
        <w:rPr>
          <w:rFonts w:hint="eastAsia" w:hAnsi="宋体"/>
          <w:b/>
          <w:sz w:val="28"/>
          <w:szCs w:val="28"/>
        </w:rPr>
        <w:t>格式</w:t>
      </w:r>
      <w:r>
        <w:rPr>
          <w:rFonts w:hint="eastAsia" w:hAnsi="宋体"/>
          <w:b/>
          <w:sz w:val="28"/>
          <w:szCs w:val="28"/>
          <w:lang w:val="en-US" w:eastAsia="zh-CN"/>
        </w:rPr>
        <w:t>13</w:t>
      </w:r>
      <w:r>
        <w:rPr>
          <w:rFonts w:hint="eastAsia" w:hAnsi="宋体"/>
          <w:b/>
          <w:sz w:val="28"/>
          <w:szCs w:val="28"/>
        </w:rPr>
        <w:t>：</w:t>
      </w:r>
    </w:p>
    <w:p w14:paraId="05771857">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1CCF74FD">
      <w:pPr>
        <w:ind w:firstLine="420"/>
        <w:rPr>
          <w:rFonts w:hint="eastAsia"/>
        </w:rPr>
      </w:pPr>
      <w:r>
        <w:rPr>
          <w:rFonts w:hint="eastAsia"/>
        </w:rPr>
        <w:t>注：</w:t>
      </w:r>
    </w:p>
    <w:p w14:paraId="53BC04A7">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0BAE79A6">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17A026AB">
      <w:pPr>
        <w:ind w:firstLine="562"/>
        <w:rPr>
          <w:rFonts w:hint="eastAsia" w:ascii="黑体" w:hAnsi="黑体" w:eastAsia="黑体" w:cs="黑体"/>
          <w:b/>
          <w:sz w:val="28"/>
        </w:rPr>
      </w:pPr>
      <w:r>
        <w:rPr>
          <w:rFonts w:hint="eastAsia" w:ascii="黑体" w:hAnsi="黑体" w:eastAsia="黑体" w:cs="黑体"/>
          <w:b/>
          <w:sz w:val="28"/>
        </w:rPr>
        <w:br w:type="page"/>
      </w:r>
    </w:p>
    <w:p w14:paraId="653D20E9">
      <w:pPr>
        <w:pStyle w:val="3"/>
        <w:spacing w:before="156"/>
        <w:rPr>
          <w:rFonts w:hint="eastAsia" w:hAnsi="宋体"/>
          <w:szCs w:val="28"/>
        </w:rPr>
      </w:pPr>
      <w:r>
        <w:rPr>
          <w:rFonts w:hint="eastAsia" w:hAnsi="宋体"/>
          <w:szCs w:val="28"/>
        </w:rPr>
        <w:t>格式</w:t>
      </w:r>
      <w:r>
        <w:rPr>
          <w:rFonts w:hint="eastAsia" w:hAnsi="宋体"/>
          <w:szCs w:val="28"/>
          <w:lang w:val="en-US" w:eastAsia="zh-CN"/>
        </w:rPr>
        <w:t>14</w:t>
      </w:r>
      <w:r>
        <w:rPr>
          <w:rFonts w:hint="eastAsia" w:hAnsi="宋体"/>
          <w:szCs w:val="28"/>
        </w:rPr>
        <w:t>：</w:t>
      </w:r>
      <w:bookmarkStart w:id="857" w:name="_Toc6556"/>
      <w:bookmarkStart w:id="858" w:name="_Toc11649"/>
    </w:p>
    <w:p w14:paraId="5492BDFD">
      <w:pPr>
        <w:pStyle w:val="3"/>
        <w:spacing w:before="156"/>
        <w:jc w:val="center"/>
        <w:rPr>
          <w:rFonts w:ascii="Times New Roman" w:hAnsi="Times New Roman"/>
          <w:bCs w:val="0"/>
        </w:rPr>
      </w:pPr>
      <w:r>
        <w:rPr>
          <w:rFonts w:hint="eastAsia" w:ascii="Times New Roman" w:hAnsi="Times New Roman"/>
          <w:bCs w:val="0"/>
        </w:rPr>
        <w:t>构成投标文件的其他资料</w:t>
      </w:r>
      <w:bookmarkEnd w:id="857"/>
      <w:bookmarkEnd w:id="858"/>
    </w:p>
    <w:p w14:paraId="2086F357">
      <w:pPr>
        <w:ind w:firstLine="420"/>
        <w:jc w:val="center"/>
        <w:rPr>
          <w:rFonts w:hint="eastAsia" w:ascii="宋体" w:hAnsi="宋体"/>
          <w:szCs w:val="21"/>
        </w:rPr>
      </w:pPr>
      <w:r>
        <w:rPr>
          <w:rFonts w:hint="eastAsia" w:ascii="宋体" w:hAnsi="宋体"/>
          <w:szCs w:val="21"/>
        </w:rPr>
        <w:t>（</w:t>
      </w:r>
      <w:r>
        <w:rPr>
          <w:rFonts w:ascii="宋体" w:hAnsi="宋体"/>
          <w:szCs w:val="21"/>
        </w:rPr>
        <w:t>自拟格式</w:t>
      </w:r>
      <w:r>
        <w:rPr>
          <w:rFonts w:hint="eastAsia" w:ascii="宋体" w:hAnsi="宋体"/>
          <w:szCs w:val="21"/>
        </w:rPr>
        <w:t>)</w:t>
      </w:r>
    </w:p>
    <w:p w14:paraId="42508ED8">
      <w:pPr>
        <w:widowControl/>
        <w:spacing w:line="440" w:lineRule="exact"/>
        <w:ind w:firstLine="420"/>
        <w:jc w:val="left"/>
        <w:rPr>
          <w:rFonts w:hint="eastAsia" w:ascii="宋体" w:hAnsi="宋体" w:cs="宋体"/>
          <w:szCs w:val="21"/>
        </w:rPr>
      </w:pPr>
      <w:r>
        <w:rPr>
          <w:rFonts w:hint="eastAsia" w:ascii="宋体" w:hAnsi="宋体" w:cs="宋体"/>
          <w:szCs w:val="21"/>
        </w:rPr>
        <w:t>1.投标保证金缴纳凭证；</w:t>
      </w:r>
    </w:p>
    <w:p w14:paraId="691CE029">
      <w:pPr>
        <w:widowControl/>
        <w:spacing w:line="440" w:lineRule="exact"/>
        <w:ind w:firstLine="420"/>
        <w:jc w:val="left"/>
        <w:rPr>
          <w:rFonts w:hint="eastAsia" w:ascii="宋体" w:hAnsi="宋体" w:cs="宋体"/>
          <w:szCs w:val="21"/>
        </w:rPr>
      </w:pPr>
      <w:r>
        <w:rPr>
          <w:rFonts w:hint="eastAsia" w:ascii="宋体" w:hAnsi="宋体" w:cs="宋体"/>
          <w:szCs w:val="21"/>
        </w:rPr>
        <w:t>2.第五章《采购需求》中要求提供的其他资料；</w:t>
      </w:r>
    </w:p>
    <w:p w14:paraId="61CE860E">
      <w:pPr>
        <w:widowControl/>
        <w:spacing w:line="440" w:lineRule="exact"/>
        <w:ind w:firstLine="420"/>
        <w:jc w:val="left"/>
        <w:rPr>
          <w:rFonts w:hint="eastAsia" w:ascii="宋体" w:hAnsi="宋体" w:cs="宋体"/>
          <w:szCs w:val="21"/>
        </w:rPr>
      </w:pPr>
      <w:r>
        <w:rPr>
          <w:rFonts w:hint="eastAsia" w:ascii="宋体" w:hAnsi="宋体" w:cs="宋体"/>
          <w:szCs w:val="21"/>
        </w:rPr>
        <w:t>3.投标文件中所涉及到的相关资料及证明文件或投标人认为必须提供的其他相关资料。</w:t>
      </w:r>
    </w:p>
    <w:p w14:paraId="18730BF2">
      <w:pPr>
        <w:spacing w:line="400" w:lineRule="exact"/>
        <w:ind w:firstLine="420"/>
        <w:rPr>
          <w:rFonts w:hint="eastAsia" w:ascii="宋体" w:hAnsi="宋体" w:cs="宋体"/>
          <w:szCs w:val="21"/>
        </w:rPr>
      </w:pPr>
      <w:r>
        <w:rPr>
          <w:rFonts w:hint="eastAsia" w:ascii="宋体" w:hAnsi="宋体" w:cs="宋体"/>
          <w:szCs w:val="21"/>
        </w:rPr>
        <w:t>4.中标通知书送达确认的承诺。</w:t>
      </w:r>
    </w:p>
    <w:p w14:paraId="6F010A21">
      <w:pPr>
        <w:ind w:firstLine="0" w:firstLineChars="0"/>
        <w:rPr>
          <w:rFonts w:hint="eastAsia" w:hAnsi="宋体"/>
          <w:b/>
          <w:sz w:val="28"/>
          <w:szCs w:val="28"/>
        </w:rPr>
      </w:pPr>
    </w:p>
    <w:p w14:paraId="25D8CEEA">
      <w:pPr>
        <w:ind w:firstLine="562"/>
        <w:rPr>
          <w:rFonts w:hint="eastAsia" w:ascii="宋体" w:hAnsi="宋体" w:cs="宋体"/>
          <w:b/>
          <w:sz w:val="28"/>
        </w:rPr>
      </w:pPr>
      <w:r>
        <w:rPr>
          <w:rFonts w:hint="eastAsia" w:ascii="宋体" w:hAnsi="宋体" w:cs="宋体"/>
          <w:b/>
          <w:sz w:val="28"/>
        </w:rPr>
        <w:br w:type="page"/>
      </w:r>
    </w:p>
    <w:p w14:paraId="1860FB3D">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28832497">
      <w:pPr>
        <w:ind w:firstLine="562"/>
        <w:rPr>
          <w:rFonts w:hint="eastAsia" w:ascii="宋体" w:hAnsi="宋体" w:cs="宋体"/>
          <w:b/>
          <w:sz w:val="28"/>
        </w:rPr>
      </w:pPr>
      <w:r>
        <w:rPr>
          <w:rFonts w:hint="eastAsia" w:ascii="宋体" w:hAnsi="宋体" w:cs="宋体"/>
          <w:b/>
          <w:sz w:val="28"/>
        </w:rPr>
        <w:br w:type="page"/>
      </w:r>
    </w:p>
    <w:p w14:paraId="7E142460">
      <w:pPr>
        <w:tabs>
          <w:tab w:val="left" w:pos="5580"/>
        </w:tabs>
        <w:ind w:firstLine="562"/>
        <w:jc w:val="center"/>
        <w:rPr>
          <w:rFonts w:hint="eastAsia" w:ascii="宋体" w:hAnsi="宋体" w:cs="宋体"/>
          <w:b/>
          <w:sz w:val="28"/>
        </w:rPr>
      </w:pPr>
      <w:r>
        <w:rPr>
          <w:rFonts w:hint="eastAsia" w:ascii="宋体" w:hAnsi="宋体" w:cs="宋体"/>
          <w:b/>
          <w:sz w:val="28"/>
        </w:rPr>
        <w:t>▲中标通知书送达确认的承诺</w:t>
      </w:r>
    </w:p>
    <w:p w14:paraId="4E2FDA14">
      <w:pPr>
        <w:ind w:firstLine="420"/>
        <w:rPr>
          <w:rFonts w:hint="eastAsia"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12C66128">
      <w:pPr>
        <w:ind w:firstLine="420"/>
        <w:rPr>
          <w:rFonts w:hint="eastAsia"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（项目名称）</w:t>
      </w:r>
      <w:r>
        <w:rPr>
          <w:rFonts w:hint="eastAsia" w:ascii="宋体" w:hAnsi="宋体" w:cs="宋体"/>
          <w:szCs w:val="21"/>
          <w:shd w:val="clear" w:color="auto" w:fill="FFFFFF"/>
        </w:rPr>
        <w:t>项目，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5396F8FC">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收件人姓名：</w:t>
      </w:r>
    </w:p>
    <w:p w14:paraId="30F55070">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收件人电话号码：</w:t>
      </w:r>
    </w:p>
    <w:p w14:paraId="3070EAD6">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收件人电子邮箱：</w:t>
      </w:r>
    </w:p>
    <w:p w14:paraId="02AE2F51">
      <w:pPr>
        <w:ind w:firstLine="420"/>
        <w:rPr>
          <w:rFonts w:hint="eastAsia"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836"/>
    <w:p w14:paraId="45C9D9AB">
      <w:pPr>
        <w:ind w:firstLine="560"/>
        <w:rPr>
          <w:rFonts w:ascii="Times New Roman" w:hAnsi="Times New Roman" w:eastAsia="黑体" w:cs="Times New Roman"/>
          <w:sz w:val="28"/>
          <w:szCs w:val="28"/>
        </w:rPr>
      </w:pPr>
      <w:bookmarkStart w:id="859" w:name="OLE_LINK18"/>
      <w:bookmarkStart w:id="860" w:name="_Toc205017032"/>
      <w:bookmarkStart w:id="861" w:name="_Toc8604"/>
      <w:bookmarkStart w:id="862" w:name="_Toc272421896"/>
      <w:bookmarkStart w:id="863" w:name="OLE_LINK123"/>
      <w:r>
        <w:rPr>
          <w:rFonts w:hint="eastAsia" w:ascii="Times New Roman" w:hAnsi="Times New Roman" w:eastAsia="黑体" w:cs="Times New Roman"/>
          <w:sz w:val="28"/>
          <w:szCs w:val="28"/>
        </w:rPr>
        <w:br w:type="page"/>
      </w:r>
    </w:p>
    <w:bookmarkEnd w:id="740"/>
    <w:bookmarkEnd w:id="821"/>
    <w:bookmarkEnd w:id="822"/>
    <w:bookmarkEnd w:id="859"/>
    <w:bookmarkEnd w:id="860"/>
    <w:bookmarkEnd w:id="861"/>
    <w:bookmarkEnd w:id="862"/>
    <w:bookmarkEnd w:id="863"/>
    <w:p w14:paraId="1185C664">
      <w:pPr>
        <w:pStyle w:val="2"/>
        <w:spacing w:before="156"/>
        <w:rPr>
          <w:rFonts w:ascii="Times New Roman" w:hAnsi="Times New Roman" w:cs="Times New Roman"/>
        </w:rPr>
      </w:pPr>
      <w:bookmarkStart w:id="864" w:name="_Toc16410"/>
      <w:bookmarkStart w:id="865" w:name="_Toc38338338"/>
      <w:bookmarkStart w:id="866" w:name="_Toc489145771"/>
      <w:r>
        <w:rPr>
          <w:rFonts w:ascii="Times New Roman" w:hAnsi="Times New Roman" w:cs="Times New Roman"/>
        </w:rPr>
        <w:t>第五章</w:t>
      </w:r>
      <w:r>
        <w:rPr>
          <w:rFonts w:hint="eastAsia" w:ascii="Times New Roman" w:hAnsi="Times New Roman" w:cs="Times New Roman"/>
        </w:rPr>
        <w:t xml:space="preserve"> </w:t>
      </w:r>
      <w:r>
        <w:rPr>
          <w:rFonts w:ascii="Times New Roman" w:hAnsi="Times New Roman" w:cs="Times New Roman"/>
        </w:rPr>
        <w:t>采购需求</w:t>
      </w:r>
      <w:bookmarkEnd w:id="864"/>
      <w:bookmarkEnd w:id="865"/>
      <w:bookmarkEnd w:id="866"/>
    </w:p>
    <w:p w14:paraId="28EA6B83">
      <w:pPr>
        <w:ind w:firstLine="422"/>
        <w:rPr>
          <w:rFonts w:hint="eastAsia" w:ascii="宋体" w:hAnsi="宋体" w:cs="宋体"/>
          <w:b/>
          <w:bCs/>
          <w:szCs w:val="21"/>
        </w:rPr>
      </w:pPr>
      <w:bookmarkStart w:id="867" w:name="OLE_LINK158"/>
      <w:r>
        <w:rPr>
          <w:rFonts w:hint="eastAsia" w:ascii="宋体" w:hAnsi="宋体" w:cs="宋体"/>
          <w:b/>
          <w:bCs/>
          <w:szCs w:val="21"/>
        </w:rPr>
        <w:t>说明：</w:t>
      </w:r>
    </w:p>
    <w:p w14:paraId="273C7094">
      <w:pPr>
        <w:ind w:firstLine="420"/>
        <w:rPr>
          <w:rFonts w:hint="eastAsia"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5075E16D">
      <w:pPr>
        <w:ind w:firstLine="420"/>
        <w:rPr>
          <w:rFonts w:hint="eastAsia"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486067D2">
      <w:pPr>
        <w:ind w:firstLine="420"/>
        <w:rPr>
          <w:rFonts w:hint="eastAsia"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868" w:name="_Toc491307332"/>
      <w:bookmarkStart w:id="869" w:name="_Toc491307394"/>
    </w:p>
    <w:p w14:paraId="78008828">
      <w:pPr>
        <w:ind w:firstLine="420"/>
        <w:rPr>
          <w:rFonts w:hint="eastAsia"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868"/>
      <w:bookmarkEnd w:id="869"/>
    </w:p>
    <w:p w14:paraId="042882A9">
      <w:pPr>
        <w:adjustRightInd w:val="0"/>
        <w:ind w:firstLine="420"/>
        <w:rPr>
          <w:rFonts w:hint="eastAsia" w:ascii="宋体" w:hAnsi="宋体" w:cs="宋体"/>
        </w:rPr>
      </w:pPr>
      <w:r>
        <w:rPr>
          <w:rFonts w:hint="eastAsia" w:ascii="宋体" w:hAnsi="宋体" w:cs="宋体"/>
          <w:szCs w:val="21"/>
        </w:rPr>
        <w:t>5.非单一产品采购项目，采购人应当根据采购项目技术构成、产品价格比重等合理确定核心产品，并在招标文件中载明。</w:t>
      </w:r>
    </w:p>
    <w:p w14:paraId="596C7237">
      <w:pPr>
        <w:ind w:firstLine="420"/>
        <w:rPr>
          <w:rFonts w:hint="eastAsia" w:ascii="宋体" w:hAnsi="宋体" w:cs="宋体"/>
          <w:szCs w:val="21"/>
        </w:rPr>
      </w:pPr>
      <w:r>
        <w:rPr>
          <w:rFonts w:hint="eastAsia" w:ascii="宋体" w:hAnsi="宋体" w:cs="宋体"/>
          <w:szCs w:val="21"/>
        </w:rPr>
        <w:t>6.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5CBABF50">
      <w:pPr>
        <w:ind w:firstLine="420"/>
        <w:rPr>
          <w:rFonts w:hint="eastAsia" w:ascii="宋体" w:hAnsi="宋体" w:cs="宋体"/>
          <w:szCs w:val="21"/>
        </w:rPr>
      </w:pPr>
      <w:r>
        <w:rPr>
          <w:rFonts w:hint="eastAsia" w:ascii="宋体" w:hAnsi="宋体" w:cs="宋体"/>
          <w:szCs w:val="21"/>
        </w:rPr>
        <w:t>7.本文件的解释权属于采购人、采购代理机构。</w:t>
      </w:r>
    </w:p>
    <w:p w14:paraId="341ED59C">
      <w:pPr>
        <w:ind w:firstLine="420"/>
        <w:rPr>
          <w:rFonts w:hint="eastAsia" w:ascii="宋体" w:hAnsi="宋体" w:cs="宋体"/>
          <w:szCs w:val="21"/>
        </w:rPr>
      </w:pPr>
      <w:r>
        <w:rPr>
          <w:rFonts w:hint="eastAsia" w:ascii="宋体" w:hAnsi="宋体" w:cs="宋体"/>
          <w:szCs w:val="21"/>
        </w:rPr>
        <w:br w:type="page"/>
      </w:r>
    </w:p>
    <w:bookmarkEnd w:id="867"/>
    <w:p w14:paraId="6F210EFD">
      <w:pPr>
        <w:ind w:left="0" w:leftChars="0" w:firstLine="0" w:firstLineChars="0"/>
        <w:jc w:val="center"/>
        <w:rPr>
          <w:rFonts w:hint="eastAsia" w:eastAsia="黑体" w:asciiTheme="majorHAnsi" w:hAnsiTheme="majorHAnsi" w:cstheme="majorBidi"/>
          <w:b/>
          <w:bCs/>
          <w:sz w:val="28"/>
          <w:szCs w:val="32"/>
        </w:rPr>
      </w:pPr>
      <w:bookmarkStart w:id="870" w:name="_Toc439335030"/>
      <w:bookmarkStart w:id="871" w:name="_Toc489197876"/>
      <w:bookmarkStart w:id="872" w:name="_Toc488633637"/>
      <w:bookmarkStart w:id="873" w:name="_Toc489145772"/>
      <w:bookmarkStart w:id="874" w:name="OLE_LINK159"/>
      <w:r>
        <w:rPr>
          <w:rFonts w:hint="eastAsia" w:eastAsia="黑体" w:asciiTheme="majorHAnsi" w:hAnsiTheme="majorHAnsi" w:cstheme="majorBidi"/>
          <w:b/>
          <w:bCs/>
          <w:sz w:val="28"/>
          <w:szCs w:val="32"/>
        </w:rPr>
        <w:t>采购需求</w:t>
      </w:r>
    </w:p>
    <w:p w14:paraId="0993A563">
      <w:pPr>
        <w:numPr>
          <w:ilvl w:val="0"/>
          <w:numId w:val="0"/>
        </w:numPr>
        <w:spacing w:line="360" w:lineRule="auto"/>
        <w:ind w:firstLine="482" w:firstLineChars="200"/>
        <w:jc w:val="both"/>
        <w:outlineLvl w:val="1"/>
        <w:rPr>
          <w:rFonts w:hint="eastAsia" w:ascii="宋体" w:hAnsi="宋体" w:eastAsia="宋体" w:cs="宋体"/>
          <w:b/>
          <w:bCs/>
          <w:color w:val="auto"/>
          <w:kern w:val="2"/>
          <w:sz w:val="24"/>
          <w:szCs w:val="24"/>
          <w:lang w:val="en-US" w:eastAsia="zh-CN" w:bidi="ar-SA"/>
        </w:rPr>
      </w:pPr>
      <w:bookmarkStart w:id="875" w:name="_Toc29379757"/>
      <w:bookmarkStart w:id="876" w:name="_Toc18287452"/>
      <w:bookmarkStart w:id="877" w:name="_Toc489145773"/>
      <w:r>
        <w:rPr>
          <w:rFonts w:hint="eastAsia" w:ascii="宋体" w:hAnsi="宋体" w:eastAsia="宋体" w:cs="宋体"/>
          <w:b/>
          <w:bCs/>
          <w:color w:val="auto"/>
          <w:kern w:val="2"/>
          <w:sz w:val="24"/>
          <w:szCs w:val="24"/>
          <w:lang w:val="en-US" w:eastAsia="zh-CN" w:bidi="ar-SA"/>
        </w:rPr>
        <w:t>一、采购目的</w:t>
      </w:r>
    </w:p>
    <w:p w14:paraId="187225A5">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采购人以“建设负责任、可信赖、健康持续发展的国家公益彩票”这一目标为指引，把销售渠道安全建设视为工作的重中之重。随着我省体育彩票销售规模逐年增长，销售安全挑战显著加大，“网络票”、“空白票”、“非法接入设备”和未成年人购彩等引发的社会问题，严重影响了体育彩票的社会公信力。传统的市场监管手段已显现出效能不足、效果不佳的问题，市场安全监管和销售业务依法合规运行面临全新的挑战。</w:t>
      </w:r>
    </w:p>
    <w:p w14:paraId="45E09696">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1.2024年数字可视化系统运行情况及效果：</w:t>
      </w:r>
    </w:p>
    <w:p w14:paraId="05B0BABE">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识别门店高销量预警共计17879个；针对实体渠道系统创建的巡检任务共计118次；实时监控全省10653个网点的开机情况、地理位置以及乐透、竞彩、即开游戏的销量及走势情况。通过与体彩数据中台、实体渠道管理系统对接，提供智慧互通，集中管理综合利用、多系统统一指挥和协同工作的数据服务。</w:t>
      </w:r>
    </w:p>
    <w:p w14:paraId="27335051">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2.在原有服务基础上，2025年新增四项服务内容：</w:t>
      </w:r>
    </w:p>
    <w:p w14:paraId="4A9DD889">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（1）销售管理部数字可视化系统服务：包含19个销售管理部数字可视化屏，覆盖合规监管、巡检管理、数据分析、业务促销，专管员管理服务，发挥数字化手段对地市业务的赋能作用。</w:t>
      </w:r>
    </w:p>
    <w:p w14:paraId="5571B96E">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（2）竞猜专题服务：针对于竞猜游戏，实现竞彩足球、竞彩篮球实时销量和门店贡献一屏总览，帮助业务部门挖掘竞猜游戏的市场潜力。</w:t>
      </w:r>
    </w:p>
    <w:p w14:paraId="29D9EFE8">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（3）即开专题服务：展示全省即开票库存总量、即开销量、库存周数、各地市的库存情况汇总，为采购人提供即开业务的各维度监控。</w:t>
      </w:r>
    </w:p>
    <w:p w14:paraId="285538E4">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（4）公益金专题服务：满足采购人对于公益金的筹集成果和使用效益的呈现，提升云南体育彩票公信力。</w:t>
      </w:r>
    </w:p>
    <w:p w14:paraId="626FD147">
      <w:pPr>
        <w:numPr>
          <w:ilvl w:val="-1"/>
          <w:numId w:val="0"/>
        </w:numPr>
        <w:spacing w:line="360" w:lineRule="auto"/>
        <w:ind w:firstLine="420" w:firstLineChars="200"/>
        <w:jc w:val="left"/>
        <w:outlineLvl w:val="9"/>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据此，采购人通过与</w:t>
      </w:r>
      <w:r>
        <w:rPr>
          <w:rFonts w:hint="eastAsia" w:ascii="宋体" w:hAnsi="宋体" w:cs="宋体"/>
          <w:szCs w:val="21"/>
          <w:highlight w:val="none"/>
          <w:lang w:val="en-US" w:eastAsia="zh-CN"/>
        </w:rPr>
        <w:t>投标人</w:t>
      </w:r>
      <w:r>
        <w:rPr>
          <w:rFonts w:hint="eastAsia" w:ascii="宋体" w:hAnsi="宋体" w:eastAsia="宋体" w:cs="宋体"/>
          <w:szCs w:val="21"/>
          <w:highlight w:val="none"/>
          <w:lang w:val="en-US" w:eastAsia="zh-CN"/>
        </w:rPr>
        <w:t>合作，利用体育彩票销售系统中长期积累的丰富数据，通过对业务场景的建模，进行数据分析、挖掘，实现跨平台数据共享和信息综合利用，并通过数据可视化技术，将分析结果进行图形化呈现。针对性地解决了市场管理和业务活动中的监管问题，使体育彩票运营管理由“事后查处”向“事前有预警、事中有处置、事后有查处”的创新监管机制转变。通过对数据分析增效、提升业务数据价值，让数据分析更好的赋能云南体育彩票发展。</w:t>
      </w:r>
    </w:p>
    <w:p w14:paraId="09AC2648">
      <w:pPr>
        <w:numPr>
          <w:ilvl w:val="0"/>
          <w:numId w:val="0"/>
        </w:numPr>
        <w:spacing w:line="360" w:lineRule="auto"/>
        <w:ind w:firstLine="482" w:firstLineChars="200"/>
        <w:jc w:val="both"/>
        <w:outlineLvl w:val="1"/>
        <w:rPr>
          <w:rFonts w:hint="eastAsia" w:ascii="宋体" w:hAnsi="宋体" w:cs="宋体"/>
          <w:b/>
          <w:bCs/>
          <w:color w:val="auto"/>
          <w:sz w:val="24"/>
          <w:szCs w:val="24"/>
          <w:lang w:val="en-US" w:eastAsia="zh-CN"/>
        </w:rPr>
      </w:pPr>
      <w:r>
        <w:rPr>
          <w:rFonts w:hint="eastAsia" w:ascii="宋体" w:hAnsi="宋体" w:cs="宋体"/>
          <w:b/>
          <w:bCs/>
          <w:color w:val="auto"/>
          <w:kern w:val="2"/>
          <w:sz w:val="24"/>
          <w:szCs w:val="24"/>
          <w:lang w:val="en-US" w:eastAsia="zh-CN" w:bidi="ar-SA"/>
        </w:rPr>
        <w:t>二、技术要求</w:t>
      </w:r>
    </w:p>
    <w:p w14:paraId="2B6C65EC">
      <w:pPr>
        <w:pStyle w:val="13"/>
        <w:rPr>
          <w:rFonts w:hint="eastAsia" w:ascii="宋体" w:hAnsi="宋体" w:eastAsia="宋体" w:cs="宋体"/>
          <w:b/>
          <w:bCs/>
          <w:kern w:val="2"/>
          <w:sz w:val="21"/>
          <w:szCs w:val="21"/>
          <w:highlight w:val="none"/>
          <w:lang w:val="en-US" w:eastAsia="zh-CN" w:bidi="ar-SA"/>
        </w:rPr>
      </w:pPr>
      <w:r>
        <w:rPr>
          <w:rFonts w:hint="eastAsia" w:ascii="宋体" w:hAnsi="宋体" w:cs="宋体"/>
          <w:b/>
          <w:bCs/>
          <w:kern w:val="2"/>
          <w:sz w:val="21"/>
          <w:szCs w:val="21"/>
          <w:highlight w:val="none"/>
          <w:lang w:val="en-US" w:eastAsia="zh-CN" w:bidi="ar-SA"/>
        </w:rPr>
        <w:t>（一）项目绩效目标</w:t>
      </w:r>
    </w:p>
    <w:p w14:paraId="3FE77644">
      <w:pPr>
        <w:numPr>
          <w:ilvl w:val="-1"/>
          <w:numId w:val="0"/>
        </w:numPr>
        <w:spacing w:line="360" w:lineRule="auto"/>
        <w:ind w:firstLine="420" w:firstLineChars="200"/>
        <w:jc w:val="left"/>
        <w:outlineLvl w:val="9"/>
        <w:rPr>
          <w:rFonts w:hint="default"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1.</w:t>
      </w:r>
      <w:r>
        <w:rPr>
          <w:rFonts w:hint="default" w:ascii="宋体" w:hAnsi="宋体" w:cs="宋体"/>
          <w:b w:val="0"/>
          <w:bCs w:val="0"/>
          <w:kern w:val="2"/>
          <w:sz w:val="21"/>
          <w:szCs w:val="21"/>
          <w:highlight w:val="none"/>
          <w:lang w:val="en-US" w:eastAsia="zh-CN" w:bidi="ar-SA"/>
        </w:rPr>
        <w:t>运营月报份数≥12份。</w:t>
      </w:r>
    </w:p>
    <w:p w14:paraId="1827720C">
      <w:pPr>
        <w:numPr>
          <w:ilvl w:val="-1"/>
          <w:numId w:val="0"/>
        </w:numPr>
        <w:spacing w:line="360" w:lineRule="auto"/>
        <w:ind w:firstLine="420" w:firstLineChars="200"/>
        <w:jc w:val="left"/>
        <w:outlineLvl w:val="9"/>
        <w:rPr>
          <w:rFonts w:hint="default"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2.</w:t>
      </w:r>
      <w:r>
        <w:rPr>
          <w:rFonts w:hint="default" w:ascii="宋体" w:hAnsi="宋体" w:cs="宋体"/>
          <w:b w:val="0"/>
          <w:bCs w:val="0"/>
          <w:kern w:val="2"/>
          <w:sz w:val="21"/>
          <w:szCs w:val="21"/>
          <w:highlight w:val="none"/>
          <w:lang w:val="en-US" w:eastAsia="zh-CN" w:bidi="ar-SA"/>
        </w:rPr>
        <w:t>运营年报份数1份。</w:t>
      </w:r>
    </w:p>
    <w:p w14:paraId="13B75D87">
      <w:pPr>
        <w:numPr>
          <w:ilvl w:val="-1"/>
          <w:numId w:val="0"/>
        </w:numPr>
        <w:spacing w:line="360" w:lineRule="auto"/>
        <w:ind w:firstLine="420" w:firstLineChars="200"/>
        <w:jc w:val="left"/>
        <w:outlineLvl w:val="9"/>
        <w:rPr>
          <w:rFonts w:hint="default"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3.</w:t>
      </w:r>
      <w:r>
        <w:rPr>
          <w:rFonts w:hint="default" w:ascii="宋体" w:hAnsi="宋体" w:cs="宋体"/>
          <w:b w:val="0"/>
          <w:bCs w:val="0"/>
          <w:kern w:val="2"/>
          <w:sz w:val="21"/>
          <w:szCs w:val="21"/>
          <w:highlight w:val="none"/>
          <w:lang w:val="en-US" w:eastAsia="zh-CN" w:bidi="ar-SA"/>
        </w:rPr>
        <w:t>故障解决率达到100%。</w:t>
      </w:r>
    </w:p>
    <w:p w14:paraId="439B38CE">
      <w:pPr>
        <w:numPr>
          <w:ilvl w:val="-1"/>
          <w:numId w:val="0"/>
        </w:numPr>
        <w:spacing w:line="360" w:lineRule="auto"/>
        <w:ind w:firstLine="420" w:firstLineChars="200"/>
        <w:jc w:val="left"/>
        <w:outlineLvl w:val="9"/>
        <w:rPr>
          <w:rFonts w:hint="default"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4.</w:t>
      </w:r>
      <w:r>
        <w:rPr>
          <w:rFonts w:hint="default" w:ascii="宋体" w:hAnsi="宋体" w:cs="宋体"/>
          <w:b w:val="0"/>
          <w:bCs w:val="0"/>
          <w:kern w:val="2"/>
          <w:sz w:val="21"/>
          <w:szCs w:val="21"/>
          <w:highlight w:val="none"/>
          <w:lang w:val="en-US" w:eastAsia="zh-CN" w:bidi="ar-SA"/>
        </w:rPr>
        <w:t>数据准确率≥99.9%。</w:t>
      </w:r>
    </w:p>
    <w:p w14:paraId="78BB1248">
      <w:pPr>
        <w:numPr>
          <w:ilvl w:val="-1"/>
          <w:numId w:val="0"/>
        </w:numPr>
        <w:spacing w:line="360" w:lineRule="auto"/>
        <w:ind w:firstLine="420" w:firstLineChars="200"/>
        <w:jc w:val="left"/>
        <w:outlineLvl w:val="9"/>
        <w:rPr>
          <w:rFonts w:hint="default"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5.</w:t>
      </w:r>
      <w:r>
        <w:rPr>
          <w:rFonts w:hint="default" w:ascii="宋体" w:hAnsi="宋体" w:cs="宋体"/>
          <w:b w:val="0"/>
          <w:bCs w:val="0"/>
          <w:kern w:val="2"/>
          <w:sz w:val="21"/>
          <w:szCs w:val="21"/>
          <w:highlight w:val="none"/>
          <w:lang w:val="en-US" w:eastAsia="zh-CN" w:bidi="ar-SA"/>
        </w:rPr>
        <w:t>异常门店识别率≥95%。</w:t>
      </w:r>
    </w:p>
    <w:p w14:paraId="4ECEE780">
      <w:pPr>
        <w:numPr>
          <w:ilvl w:val="-1"/>
          <w:numId w:val="0"/>
        </w:numPr>
        <w:spacing w:line="360" w:lineRule="auto"/>
        <w:ind w:firstLine="420" w:firstLineChars="200"/>
        <w:jc w:val="left"/>
        <w:outlineLvl w:val="9"/>
        <w:rPr>
          <w:rFonts w:hint="default"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6.</w:t>
      </w:r>
      <w:r>
        <w:rPr>
          <w:rFonts w:hint="default" w:ascii="宋体" w:hAnsi="宋体" w:cs="宋体"/>
          <w:b w:val="0"/>
          <w:bCs w:val="0"/>
          <w:kern w:val="2"/>
          <w:sz w:val="21"/>
          <w:szCs w:val="21"/>
          <w:highlight w:val="none"/>
          <w:lang w:val="en-US" w:eastAsia="zh-CN" w:bidi="ar-SA"/>
        </w:rPr>
        <w:t>故障处理及时率≥99%。</w:t>
      </w:r>
    </w:p>
    <w:p w14:paraId="7A203F05">
      <w:pPr>
        <w:numPr>
          <w:ilvl w:val="-1"/>
          <w:numId w:val="0"/>
        </w:numPr>
        <w:spacing w:line="360" w:lineRule="auto"/>
        <w:ind w:firstLine="420" w:firstLineChars="200"/>
        <w:jc w:val="left"/>
        <w:outlineLvl w:val="9"/>
        <w:rPr>
          <w:rFonts w:hint="default"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7.</w:t>
      </w:r>
      <w:r>
        <w:rPr>
          <w:rFonts w:hint="default" w:ascii="宋体" w:hAnsi="宋体" w:cs="宋体"/>
          <w:b w:val="0"/>
          <w:bCs w:val="0"/>
          <w:kern w:val="2"/>
          <w:sz w:val="21"/>
          <w:szCs w:val="21"/>
          <w:highlight w:val="none"/>
          <w:lang w:val="en-US" w:eastAsia="zh-CN" w:bidi="ar-SA"/>
        </w:rPr>
        <w:t>销量热力图更新频率≤10分钟。</w:t>
      </w:r>
    </w:p>
    <w:p w14:paraId="4D93CFD4">
      <w:pPr>
        <w:numPr>
          <w:ilvl w:val="-1"/>
          <w:numId w:val="0"/>
        </w:numPr>
        <w:spacing w:line="360" w:lineRule="auto"/>
        <w:ind w:firstLine="420" w:firstLineChars="200"/>
        <w:jc w:val="left"/>
        <w:outlineLvl w:val="9"/>
        <w:rPr>
          <w:rFonts w:hint="default"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8.</w:t>
      </w:r>
      <w:r>
        <w:rPr>
          <w:rFonts w:hint="default" w:ascii="宋体" w:hAnsi="宋体" w:cs="宋体"/>
          <w:b w:val="0"/>
          <w:bCs w:val="0"/>
          <w:kern w:val="2"/>
          <w:sz w:val="21"/>
          <w:szCs w:val="21"/>
          <w:highlight w:val="none"/>
          <w:lang w:val="en-US" w:eastAsia="zh-CN" w:bidi="ar-SA"/>
        </w:rPr>
        <w:t>系统正常使用率≥99%。</w:t>
      </w:r>
    </w:p>
    <w:p w14:paraId="2FEAC6DF">
      <w:pPr>
        <w:pStyle w:val="13"/>
        <w:rPr>
          <w:rFonts w:hint="eastAsia" w:ascii="宋体" w:hAnsi="宋体" w:eastAsia="宋体" w:cs="宋体"/>
          <w:b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9.</w:t>
      </w:r>
      <w:r>
        <w:rPr>
          <w:rFonts w:hint="default" w:ascii="宋体" w:hAnsi="宋体" w:cs="宋体"/>
          <w:b w:val="0"/>
          <w:bCs w:val="0"/>
          <w:kern w:val="2"/>
          <w:sz w:val="21"/>
          <w:szCs w:val="21"/>
          <w:highlight w:val="none"/>
          <w:lang w:val="en-US" w:eastAsia="zh-CN" w:bidi="ar-SA"/>
        </w:rPr>
        <w:t>用户满意度≥90%。</w:t>
      </w:r>
    </w:p>
    <w:p w14:paraId="7D4A0A7F">
      <w:pPr>
        <w:pStyle w:val="13"/>
        <w:rPr>
          <w:rFonts w:hint="eastAsia" w:ascii="宋体" w:hAnsi="宋体" w:cs="宋体"/>
          <w:b/>
          <w:bCs/>
          <w:kern w:val="2"/>
          <w:sz w:val="21"/>
          <w:szCs w:val="21"/>
          <w:highlight w:val="none"/>
          <w:lang w:val="en-US" w:eastAsia="zh-CN" w:bidi="ar-SA"/>
        </w:rPr>
      </w:pPr>
      <w:r>
        <w:rPr>
          <w:rFonts w:hint="eastAsia" w:ascii="宋体" w:hAnsi="宋体" w:cs="宋体"/>
          <w:b/>
          <w:bCs/>
          <w:kern w:val="2"/>
          <w:sz w:val="21"/>
          <w:szCs w:val="21"/>
          <w:highlight w:val="none"/>
          <w:lang w:val="en-US" w:eastAsia="zh-CN" w:bidi="ar-SA"/>
        </w:rPr>
        <w:t>（二）服务内容</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145"/>
        <w:gridCol w:w="7406"/>
      </w:tblGrid>
      <w:tr w14:paraId="15ED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Align w:val="center"/>
          </w:tcPr>
          <w:p w14:paraId="0FE26BE2">
            <w:pPr>
              <w:spacing w:line="560" w:lineRule="exact"/>
              <w:ind w:firstLine="0" w:firstLineChars="0"/>
              <w:jc w:val="center"/>
              <w:rPr>
                <w:rFonts w:hint="eastAsia" w:ascii="宋体" w:hAnsi="宋体" w:eastAsia="宋体" w:cs="宋体"/>
                <w:kern w:val="0"/>
                <w:sz w:val="21"/>
                <w:szCs w:val="21"/>
              </w:rPr>
            </w:pPr>
            <w:bookmarkStart w:id="878" w:name="_Hlk209016961"/>
            <w:r>
              <w:rPr>
                <w:rFonts w:hint="eastAsia" w:ascii="宋体" w:hAnsi="宋体" w:eastAsia="宋体" w:cs="宋体"/>
                <w:kern w:val="0"/>
                <w:sz w:val="21"/>
                <w:szCs w:val="21"/>
              </w:rPr>
              <w:t>序号</w:t>
            </w:r>
          </w:p>
        </w:tc>
        <w:tc>
          <w:tcPr>
            <w:tcW w:w="616" w:type="pct"/>
            <w:vAlign w:val="center"/>
          </w:tcPr>
          <w:p w14:paraId="21FA88AA">
            <w:pPr>
              <w:spacing w:line="560" w:lineRule="exact"/>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服务内容</w:t>
            </w:r>
          </w:p>
        </w:tc>
        <w:tc>
          <w:tcPr>
            <w:tcW w:w="3985" w:type="pct"/>
            <w:vAlign w:val="center"/>
          </w:tcPr>
          <w:p w14:paraId="0B00BDAC">
            <w:pPr>
              <w:spacing w:line="560" w:lineRule="exact"/>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具体说明</w:t>
            </w:r>
          </w:p>
        </w:tc>
      </w:tr>
      <w:tr w14:paraId="427E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restart"/>
            <w:vAlign w:val="center"/>
          </w:tcPr>
          <w:p w14:paraId="3EC4AF61">
            <w:pPr>
              <w:pStyle w:val="11"/>
              <w:spacing w:line="560" w:lineRule="exact"/>
              <w:ind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616" w:type="pct"/>
            <w:vMerge w:val="restart"/>
            <w:vAlign w:val="center"/>
          </w:tcPr>
          <w:p w14:paraId="24EB2BF4">
            <w:pPr>
              <w:spacing w:line="560" w:lineRule="exact"/>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省中心数字可视化系统服务</w:t>
            </w:r>
          </w:p>
        </w:tc>
        <w:tc>
          <w:tcPr>
            <w:tcW w:w="3985" w:type="pct"/>
          </w:tcPr>
          <w:p w14:paraId="0A25BB30">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1.合规监管主屏</w:t>
            </w:r>
          </w:p>
          <w:p w14:paraId="51A9C45D">
            <w:pPr>
              <w:pStyle w:val="11"/>
              <w:spacing w:line="560" w:lineRule="exact"/>
              <w:ind w:firstLine="0" w:firstLineChars="0"/>
              <w:rPr>
                <w:rFonts w:hint="eastAsia" w:ascii="宋体" w:hAnsi="宋体" w:eastAsia="宋体" w:cs="宋体"/>
                <w:sz w:val="21"/>
                <w:szCs w:val="21"/>
              </w:rPr>
            </w:pPr>
            <w:r>
              <w:rPr>
                <w:rFonts w:hint="eastAsia" w:ascii="宋体" w:hAnsi="宋体" w:eastAsia="宋体" w:cs="宋体"/>
                <w:sz w:val="21"/>
                <w:szCs w:val="21"/>
              </w:rPr>
              <w:t>省中心管理人员可以通过合规监管主屏快速掌握全省和各地市的彩票合规情况，及时发现各类异常以及潜在的风险，做到及时处理，及时自查，及时规避。</w:t>
            </w:r>
          </w:p>
          <w:p w14:paraId="026FD96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终端机实时监管：</w:t>
            </w:r>
            <w:r>
              <w:rPr>
                <w:rFonts w:hint="eastAsia" w:ascii="宋体" w:hAnsi="宋体" w:eastAsia="宋体" w:cs="宋体"/>
                <w:kern w:val="0"/>
                <w:sz w:val="21"/>
                <w:szCs w:val="21"/>
              </w:rPr>
              <w:t>对于全省的在售终端数和在线终端数和开机率进行实时监控。</w:t>
            </w:r>
          </w:p>
          <w:p w14:paraId="3B1C7F1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全省门店开机趋势：</w:t>
            </w:r>
            <w:r>
              <w:rPr>
                <w:rFonts w:hint="eastAsia" w:ascii="宋体" w:hAnsi="宋体" w:eastAsia="宋体" w:cs="宋体"/>
                <w:kern w:val="0"/>
                <w:sz w:val="21"/>
                <w:szCs w:val="21"/>
              </w:rPr>
              <w:t>10min更新一次数据。</w:t>
            </w:r>
          </w:p>
          <w:p w14:paraId="2A6E6D90">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各类风险占比：</w:t>
            </w:r>
            <w:r>
              <w:rPr>
                <w:rFonts w:hint="eastAsia" w:ascii="宋体" w:hAnsi="宋体" w:eastAsia="宋体" w:cs="宋体"/>
                <w:kern w:val="0"/>
                <w:sz w:val="21"/>
                <w:szCs w:val="21"/>
              </w:rPr>
              <w:t>门店监控告警、门店销量告警、标准异常告警、异常线下类告警的占比情况。</w:t>
            </w:r>
          </w:p>
          <w:p w14:paraId="2CC3B25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全省开关机、摄像头分布、异常情况地图化展示：</w:t>
            </w:r>
            <w:r>
              <w:rPr>
                <w:rFonts w:hint="eastAsia" w:ascii="宋体" w:hAnsi="宋体" w:eastAsia="宋体" w:cs="宋体"/>
                <w:kern w:val="0"/>
                <w:sz w:val="21"/>
                <w:szCs w:val="21"/>
              </w:rPr>
              <w:t>用不同图标进行区分显示，也可以通过复选框选择需要在地图上展示的内容。鼠标悬浮图标，会显示该门店的基本情况，包括门店编号、地址、业主姓名电话、专管员姓名电话、异常情况。点击图标，会进入合规监管子屏。</w:t>
            </w:r>
          </w:p>
          <w:p w14:paraId="3D40AD8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隐藏的“门店搜索框”：</w:t>
            </w:r>
            <w:r>
              <w:rPr>
                <w:rFonts w:hint="eastAsia" w:ascii="宋体" w:hAnsi="宋体" w:eastAsia="宋体" w:cs="宋体"/>
                <w:kern w:val="0"/>
                <w:sz w:val="21"/>
                <w:szCs w:val="21"/>
              </w:rPr>
              <w:t>地图左下角鼠标悬浮，即可出现门店搜索框，输入门店编号，回车，即可快速定位查找的门店。</w:t>
            </w:r>
          </w:p>
          <w:p w14:paraId="4EF74C6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全省各类门店数量统计：</w:t>
            </w:r>
            <w:r>
              <w:rPr>
                <w:rFonts w:hint="eastAsia" w:ascii="宋体" w:hAnsi="宋体" w:eastAsia="宋体" w:cs="宋体"/>
                <w:kern w:val="0"/>
                <w:sz w:val="21"/>
                <w:szCs w:val="21"/>
              </w:rPr>
              <w:t>包括门店总数、单门店、多机店数量。</w:t>
            </w:r>
          </w:p>
          <w:p w14:paraId="755BD46C">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风险告警播报：</w:t>
            </w:r>
            <w:r>
              <w:rPr>
                <w:rFonts w:hint="eastAsia" w:ascii="宋体" w:hAnsi="宋体" w:eastAsia="宋体" w:cs="宋体"/>
                <w:kern w:val="0"/>
                <w:sz w:val="21"/>
                <w:szCs w:val="21"/>
              </w:rPr>
              <w:t>实时播报全省的各类风险告警，并可通过门店编号直接下钻到门店。</w:t>
            </w:r>
          </w:p>
        </w:tc>
      </w:tr>
      <w:tr w14:paraId="7DDA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vAlign w:val="center"/>
          </w:tcPr>
          <w:p w14:paraId="1C77E729">
            <w:pPr>
              <w:spacing w:line="560" w:lineRule="exact"/>
              <w:ind w:firstLine="0" w:firstLineChars="0"/>
              <w:jc w:val="center"/>
              <w:rPr>
                <w:rFonts w:hint="eastAsia" w:ascii="宋体" w:hAnsi="宋体" w:eastAsia="宋体" w:cs="宋体"/>
                <w:kern w:val="0"/>
                <w:sz w:val="21"/>
                <w:szCs w:val="21"/>
              </w:rPr>
            </w:pPr>
          </w:p>
        </w:tc>
        <w:tc>
          <w:tcPr>
            <w:tcW w:w="616" w:type="pct"/>
            <w:vMerge w:val="continue"/>
            <w:vAlign w:val="center"/>
          </w:tcPr>
          <w:p w14:paraId="0F25BAAA">
            <w:pPr>
              <w:spacing w:line="560" w:lineRule="exact"/>
              <w:ind w:firstLine="0" w:firstLineChars="0"/>
              <w:jc w:val="center"/>
              <w:rPr>
                <w:rFonts w:hint="eastAsia" w:ascii="宋体" w:hAnsi="宋体" w:eastAsia="宋体" w:cs="宋体"/>
                <w:kern w:val="0"/>
                <w:sz w:val="21"/>
                <w:szCs w:val="21"/>
              </w:rPr>
            </w:pPr>
          </w:p>
        </w:tc>
        <w:tc>
          <w:tcPr>
            <w:tcW w:w="3985" w:type="pct"/>
          </w:tcPr>
          <w:p w14:paraId="3BE84007">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2.合规监管子屏</w:t>
            </w:r>
          </w:p>
          <w:p w14:paraId="1ED3222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省中心管理人员可以通过合规监管主屏的地图下钻到合规监管子屏，工作人员可通过合规监管子屏查看异常门店的详细信息。</w:t>
            </w:r>
          </w:p>
          <w:p w14:paraId="462AFC6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门店基本信息：</w:t>
            </w:r>
            <w:r>
              <w:rPr>
                <w:rFonts w:hint="eastAsia" w:ascii="宋体" w:hAnsi="宋体" w:eastAsia="宋体" w:cs="宋体"/>
                <w:kern w:val="0"/>
                <w:sz w:val="21"/>
                <w:szCs w:val="21"/>
              </w:rPr>
              <w:t>展示门店业主、专管员的姓名和手机号，省中心发现异常能够及时联系到责任人。</w:t>
            </w:r>
          </w:p>
          <w:p w14:paraId="43CF786B">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门店销量监控：</w:t>
            </w:r>
            <w:r>
              <w:rPr>
                <w:rFonts w:hint="eastAsia" w:ascii="宋体" w:hAnsi="宋体" w:eastAsia="宋体" w:cs="宋体"/>
                <w:kern w:val="0"/>
                <w:sz w:val="21"/>
                <w:szCs w:val="21"/>
              </w:rPr>
              <w:t>展示门店当日销量和票数情况，横坐标为00:00-24:00。</w:t>
            </w:r>
          </w:p>
          <w:p w14:paraId="666F102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门店各游戏销量占比：</w:t>
            </w:r>
            <w:r>
              <w:rPr>
                <w:rFonts w:hint="eastAsia" w:ascii="宋体" w:hAnsi="宋体" w:eastAsia="宋体" w:cs="宋体"/>
                <w:kern w:val="0"/>
                <w:sz w:val="21"/>
                <w:szCs w:val="21"/>
              </w:rPr>
              <w:t>展示当日该门店各类游戏的销量组成。</w:t>
            </w:r>
          </w:p>
          <w:p w14:paraId="4EBB66FC">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门店实时监控：</w:t>
            </w:r>
            <w:r>
              <w:rPr>
                <w:rFonts w:hint="eastAsia" w:ascii="宋体" w:hAnsi="宋体" w:eastAsia="宋体" w:cs="宋体"/>
                <w:kern w:val="0"/>
                <w:sz w:val="21"/>
                <w:szCs w:val="21"/>
              </w:rPr>
              <w:t>与第三方摄像头对接。可以进行语音，云台控制等操作来监控门店的物料摆放是否符合要求、销售员的操作是否合规等。</w:t>
            </w:r>
          </w:p>
          <w:p w14:paraId="00CC1A5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门店风险情况：</w:t>
            </w:r>
            <w:r>
              <w:rPr>
                <w:rFonts w:hint="eastAsia" w:ascii="宋体" w:hAnsi="宋体" w:eastAsia="宋体" w:cs="宋体"/>
                <w:kern w:val="0"/>
                <w:sz w:val="21"/>
                <w:szCs w:val="21"/>
              </w:rPr>
              <w:t>展示该门店的风险历史，包含已处理、未处理、处理中三类状态的风险。</w:t>
            </w:r>
          </w:p>
          <w:p w14:paraId="009D79F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门店下属终端：</w:t>
            </w:r>
            <w:r>
              <w:rPr>
                <w:rFonts w:hint="eastAsia" w:ascii="宋体" w:hAnsi="宋体" w:eastAsia="宋体" w:cs="宋体"/>
                <w:kern w:val="0"/>
                <w:sz w:val="21"/>
                <w:szCs w:val="21"/>
              </w:rPr>
              <w:t>分两个部分。表格门店下属终端的基本情况，包含销售终端编号、投注渠道类型、业务状态、控制状态。时间轴展示各终端的操作记录，操作包含开机、停机、暂停、恢复、撤销。</w:t>
            </w:r>
          </w:p>
          <w:p w14:paraId="47BD47F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门店位置以及终端偏移情况：</w:t>
            </w:r>
            <w:r>
              <w:rPr>
                <w:rFonts w:hint="eastAsia" w:ascii="宋体" w:hAnsi="宋体" w:eastAsia="宋体" w:cs="宋体"/>
                <w:kern w:val="0"/>
                <w:sz w:val="21"/>
                <w:szCs w:val="21"/>
              </w:rPr>
              <w:t>门店位置和门店下终端位置地图化展示，直观展示终端是否存在偏移情况。</w:t>
            </w:r>
          </w:p>
        </w:tc>
      </w:tr>
      <w:tr w14:paraId="56795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vAlign w:val="center"/>
          </w:tcPr>
          <w:p w14:paraId="5C8F5098">
            <w:pPr>
              <w:spacing w:line="560" w:lineRule="exact"/>
              <w:ind w:firstLine="0" w:firstLineChars="0"/>
              <w:jc w:val="center"/>
              <w:rPr>
                <w:rFonts w:hint="eastAsia" w:ascii="宋体" w:hAnsi="宋体" w:eastAsia="宋体" w:cs="宋体"/>
                <w:kern w:val="0"/>
                <w:sz w:val="21"/>
                <w:szCs w:val="21"/>
              </w:rPr>
            </w:pPr>
          </w:p>
        </w:tc>
        <w:tc>
          <w:tcPr>
            <w:tcW w:w="616" w:type="pct"/>
            <w:vMerge w:val="continue"/>
            <w:vAlign w:val="center"/>
          </w:tcPr>
          <w:p w14:paraId="30E58B70">
            <w:pPr>
              <w:spacing w:line="560" w:lineRule="exact"/>
              <w:ind w:firstLine="0" w:firstLineChars="0"/>
              <w:jc w:val="center"/>
              <w:rPr>
                <w:rFonts w:hint="eastAsia" w:ascii="宋体" w:hAnsi="宋体" w:eastAsia="宋体" w:cs="宋体"/>
                <w:kern w:val="0"/>
                <w:sz w:val="21"/>
                <w:szCs w:val="21"/>
              </w:rPr>
            </w:pPr>
          </w:p>
        </w:tc>
        <w:tc>
          <w:tcPr>
            <w:tcW w:w="3985" w:type="pct"/>
          </w:tcPr>
          <w:p w14:paraId="7D7EBA0E">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3.数据分析</w:t>
            </w:r>
          </w:p>
          <w:p w14:paraId="736344CE">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数据分析屏通过可视化分析，把省中心的综合数据清晰地呈现出来，可以提升沟通效率，避免枯燥数据报表对决策效率影响，也可用于对外展示，使来访者对于省中心的彩票销售情况有更加直观的感受。</w:t>
            </w:r>
          </w:p>
          <w:p w14:paraId="0465F3E4">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本年度累计销量和公益金：</w:t>
            </w:r>
            <w:r>
              <w:rPr>
                <w:rFonts w:hint="eastAsia" w:ascii="宋体" w:hAnsi="宋体" w:eastAsia="宋体" w:cs="宋体"/>
                <w:kern w:val="0"/>
                <w:sz w:val="21"/>
                <w:szCs w:val="21"/>
              </w:rPr>
              <w:t>展示本省本年度截止到当前的累积销量和计提公益金。</w:t>
            </w:r>
          </w:p>
          <w:p w14:paraId="51F7C4D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本年度任务完成情况：</w:t>
            </w:r>
            <w:r>
              <w:rPr>
                <w:rFonts w:hint="eastAsia" w:ascii="宋体" w:hAnsi="宋体" w:eastAsia="宋体" w:cs="宋体"/>
                <w:kern w:val="0"/>
                <w:sz w:val="21"/>
                <w:szCs w:val="21"/>
              </w:rPr>
              <w:t>省中心可以通过管理端设置本年度的销售目标，大屏会根据当前销量计算出任务完成百分比。从根据实际销量进度和自然月表盘，可判断任务是超前完成还是有延期风险。</w:t>
            </w:r>
          </w:p>
          <w:p w14:paraId="7D5ACE75">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任务达成彩蛋：</w:t>
            </w:r>
            <w:r>
              <w:rPr>
                <w:rFonts w:hint="eastAsia" w:ascii="宋体" w:hAnsi="宋体" w:eastAsia="宋体" w:cs="宋体"/>
                <w:kern w:val="0"/>
                <w:sz w:val="21"/>
                <w:szCs w:val="21"/>
              </w:rPr>
              <w:t>年度任务达成会触发“彩蛋”弹框。包含任务达成时刻以及总目标。</w:t>
            </w:r>
          </w:p>
          <w:p w14:paraId="11BDF72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银行缴款交易量排行：</w:t>
            </w:r>
            <w:r>
              <w:rPr>
                <w:rFonts w:hint="eastAsia" w:ascii="宋体" w:hAnsi="宋体" w:eastAsia="宋体" w:cs="宋体"/>
                <w:kern w:val="0"/>
                <w:sz w:val="21"/>
                <w:szCs w:val="21"/>
              </w:rPr>
              <w:t>展示今日缴款金额排名前五的银行以及各银行当前的缴款金额和缴款笔数，15分钟更新一次。</w:t>
            </w:r>
          </w:p>
          <w:p w14:paraId="6AE03E63">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今日销售额：</w:t>
            </w:r>
            <w:r>
              <w:rPr>
                <w:rFonts w:hint="eastAsia" w:ascii="宋体" w:hAnsi="宋体" w:eastAsia="宋体" w:cs="宋体"/>
                <w:kern w:val="0"/>
                <w:sz w:val="21"/>
                <w:szCs w:val="21"/>
              </w:rPr>
              <w:t>以秒级速度实时更新今日销售额。将日均销售额展示在今日销售额下方，作为参照。</w:t>
            </w:r>
          </w:p>
          <w:p w14:paraId="629A27B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昨日销售额：</w:t>
            </w:r>
            <w:r>
              <w:rPr>
                <w:rFonts w:hint="eastAsia" w:ascii="宋体" w:hAnsi="宋体" w:eastAsia="宋体" w:cs="宋体"/>
                <w:kern w:val="0"/>
                <w:sz w:val="21"/>
                <w:szCs w:val="21"/>
              </w:rPr>
              <w:t>鼠标悬浮，显示昨日各类游戏的销售额。</w:t>
            </w:r>
          </w:p>
          <w:p w14:paraId="21C3DE0E">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今日销售票数：</w:t>
            </w:r>
            <w:r>
              <w:rPr>
                <w:rFonts w:hint="eastAsia" w:ascii="宋体" w:hAnsi="宋体" w:eastAsia="宋体" w:cs="宋体"/>
                <w:kern w:val="0"/>
                <w:sz w:val="21"/>
                <w:szCs w:val="21"/>
              </w:rPr>
              <w:t>以秒级速度实时更新今日销售票数，有一定的视觉冲击力。将单票平均金额展示在今日销售票数下方，作为参照。</w:t>
            </w:r>
          </w:p>
          <w:p w14:paraId="5C31D00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昨日销售票数：</w:t>
            </w:r>
            <w:r>
              <w:rPr>
                <w:rFonts w:hint="eastAsia" w:ascii="宋体" w:hAnsi="宋体" w:eastAsia="宋体" w:cs="宋体"/>
                <w:kern w:val="0"/>
                <w:sz w:val="21"/>
                <w:szCs w:val="21"/>
              </w:rPr>
              <w:t>鼠标悬浮，显示昨日各类游戏的销售票数。</w:t>
            </w:r>
          </w:p>
          <w:p w14:paraId="4E7C0055">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各类游戏当日累计销量和票数：</w:t>
            </w:r>
            <w:r>
              <w:rPr>
                <w:rFonts w:hint="eastAsia" w:ascii="宋体" w:hAnsi="宋体" w:eastAsia="宋体" w:cs="宋体"/>
                <w:kern w:val="0"/>
                <w:sz w:val="21"/>
                <w:szCs w:val="21"/>
              </w:rPr>
              <w:t>分别展示乐透、竞猜、即开的销量和票数，实时更新。</w:t>
            </w:r>
          </w:p>
          <w:p w14:paraId="4B115A8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各地市销售情况热力图：</w:t>
            </w:r>
            <w:r>
              <w:rPr>
                <w:rFonts w:hint="eastAsia" w:ascii="宋体" w:hAnsi="宋体" w:eastAsia="宋体" w:cs="宋体"/>
                <w:kern w:val="0"/>
                <w:sz w:val="21"/>
                <w:szCs w:val="21"/>
              </w:rPr>
              <w:t>包含各地市截止到当前的年度总销量、销售额占比、各地市各类游戏的销量。</w:t>
            </w:r>
          </w:p>
          <w:p w14:paraId="5E034E33">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今日销量、票数情况监控：</w:t>
            </w:r>
            <w:r>
              <w:rPr>
                <w:rFonts w:hint="eastAsia" w:ascii="宋体" w:hAnsi="宋体" w:eastAsia="宋体" w:cs="宋体"/>
                <w:kern w:val="0"/>
                <w:sz w:val="21"/>
                <w:szCs w:val="21"/>
              </w:rPr>
              <w:t>总销量、票数情况1min更新一次，乐透、竞猜、即开销量票数情况1min更新一次。鼠标悬浮，可看到各时间点的销售情况。</w:t>
            </w:r>
          </w:p>
          <w:p w14:paraId="0AA4267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各类游戏销售份额占比：</w:t>
            </w:r>
            <w:r>
              <w:rPr>
                <w:rFonts w:hint="eastAsia" w:ascii="宋体" w:hAnsi="宋体" w:eastAsia="宋体" w:cs="宋体"/>
                <w:kern w:val="0"/>
                <w:sz w:val="21"/>
                <w:szCs w:val="21"/>
              </w:rPr>
              <w:t>展示本省乐透、竞猜、即开游戏的销售额占比情况。</w:t>
            </w:r>
          </w:p>
        </w:tc>
      </w:tr>
      <w:tr w14:paraId="36EB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vAlign w:val="center"/>
          </w:tcPr>
          <w:p w14:paraId="11914BA1">
            <w:pPr>
              <w:spacing w:line="560" w:lineRule="exact"/>
              <w:ind w:firstLine="0" w:firstLineChars="0"/>
              <w:jc w:val="center"/>
              <w:rPr>
                <w:rFonts w:hint="eastAsia" w:ascii="宋体" w:hAnsi="宋体" w:eastAsia="宋体" w:cs="宋体"/>
                <w:kern w:val="0"/>
                <w:sz w:val="21"/>
                <w:szCs w:val="21"/>
              </w:rPr>
            </w:pPr>
          </w:p>
        </w:tc>
        <w:tc>
          <w:tcPr>
            <w:tcW w:w="616" w:type="pct"/>
            <w:vMerge w:val="continue"/>
            <w:vAlign w:val="center"/>
          </w:tcPr>
          <w:p w14:paraId="0D84C302">
            <w:pPr>
              <w:spacing w:line="560" w:lineRule="exact"/>
              <w:ind w:firstLine="0" w:firstLineChars="0"/>
              <w:jc w:val="center"/>
              <w:rPr>
                <w:rFonts w:hint="eastAsia" w:ascii="宋体" w:hAnsi="宋体" w:eastAsia="宋体" w:cs="宋体"/>
                <w:kern w:val="0"/>
                <w:sz w:val="21"/>
                <w:szCs w:val="21"/>
              </w:rPr>
            </w:pPr>
          </w:p>
        </w:tc>
        <w:tc>
          <w:tcPr>
            <w:tcW w:w="3985" w:type="pct"/>
          </w:tcPr>
          <w:p w14:paraId="457B5D0C">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4.网络监测</w:t>
            </w:r>
          </w:p>
          <w:p w14:paraId="181A37A6">
            <w:pPr>
              <w:spacing w:line="560" w:lineRule="exact"/>
              <w:ind w:firstLine="0" w:firstLineChars="0"/>
              <w:rPr>
                <w:rFonts w:hint="eastAsia" w:ascii="宋体" w:hAnsi="宋体" w:eastAsia="宋体" w:cs="宋体"/>
                <w:kern w:val="0"/>
                <w:sz w:val="21"/>
                <w:szCs w:val="21"/>
                <w:lang w:val="en-GB"/>
              </w:rPr>
            </w:pPr>
            <w:r>
              <w:rPr>
                <w:rFonts w:hint="eastAsia" w:ascii="宋体" w:hAnsi="宋体" w:eastAsia="宋体" w:cs="宋体"/>
                <w:kern w:val="0"/>
                <w:sz w:val="21"/>
                <w:szCs w:val="21"/>
              </w:rPr>
              <w:t>通过动态网络拓扑图、网络告警轮播、售票监控等能直观展示全省生产上的网络情况，让网络故障处理工作由传统的“事后查处”向“事前有预警、事中有处置、事后有查处”的创新监管机制转变，能更好的保障网络系统的稳定运行。</w:t>
            </w:r>
          </w:p>
          <w:p w14:paraId="7769B28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网络健康状况：</w:t>
            </w:r>
            <w:r>
              <w:rPr>
                <w:rFonts w:hint="eastAsia" w:ascii="宋体" w:hAnsi="宋体" w:eastAsia="宋体" w:cs="宋体"/>
                <w:kern w:val="0"/>
                <w:sz w:val="21"/>
                <w:szCs w:val="21"/>
              </w:rPr>
              <w:t>健康、良好、差。用户可以自定义各类状况的异常数量范围。</w:t>
            </w:r>
          </w:p>
          <w:p w14:paraId="3868D6B4">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网络告警轮播：</w:t>
            </w:r>
            <w:r>
              <w:rPr>
                <w:rFonts w:hint="eastAsia" w:ascii="宋体" w:hAnsi="宋体" w:eastAsia="宋体" w:cs="宋体"/>
                <w:kern w:val="0"/>
                <w:sz w:val="21"/>
                <w:szCs w:val="21"/>
              </w:rPr>
              <w:t>实时展示网络各类告警信息。</w:t>
            </w:r>
          </w:p>
          <w:p w14:paraId="10B1076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售票监控：</w:t>
            </w:r>
            <w:r>
              <w:rPr>
                <w:rFonts w:hint="eastAsia" w:ascii="宋体" w:hAnsi="宋体" w:eastAsia="宋体" w:cs="宋体"/>
                <w:kern w:val="0"/>
                <w:sz w:val="21"/>
                <w:szCs w:val="21"/>
              </w:rPr>
              <w:t>展示请求数/平均响应时间、售票响应时间、售票请求成功率、总体响应时间。</w:t>
            </w:r>
          </w:p>
          <w:p w14:paraId="78BD9980">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售票请求数：</w:t>
            </w:r>
            <w:r>
              <w:rPr>
                <w:rFonts w:hint="eastAsia" w:ascii="宋体" w:hAnsi="宋体" w:eastAsia="宋体" w:cs="宋体"/>
                <w:kern w:val="0"/>
                <w:sz w:val="21"/>
                <w:szCs w:val="21"/>
              </w:rPr>
              <w:t>展示每秒的售票请求数和历史售票请求峰值。</w:t>
            </w:r>
          </w:p>
          <w:p w14:paraId="61B7AB9E">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总体请求数：</w:t>
            </w:r>
            <w:r>
              <w:rPr>
                <w:rFonts w:hint="eastAsia" w:ascii="宋体" w:hAnsi="宋体" w:eastAsia="宋体" w:cs="宋体"/>
                <w:kern w:val="0"/>
                <w:sz w:val="21"/>
                <w:szCs w:val="21"/>
              </w:rPr>
              <w:t>展示总体请求数和历史请求峰值。</w:t>
            </w:r>
          </w:p>
          <w:p w14:paraId="43B5EB8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网络拓扑监控：</w:t>
            </w:r>
            <w:r>
              <w:rPr>
                <w:rFonts w:hint="eastAsia" w:ascii="宋体" w:hAnsi="宋体" w:eastAsia="宋体" w:cs="宋体"/>
                <w:kern w:val="0"/>
                <w:sz w:val="21"/>
                <w:szCs w:val="21"/>
              </w:rPr>
              <w:t>展示省中心与国家数据中心的网络连接情况，可以快速定位网络链路故障。</w:t>
            </w:r>
          </w:p>
          <w:p w14:paraId="6E3278E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各类游戏交易监控：</w:t>
            </w:r>
            <w:r>
              <w:rPr>
                <w:rFonts w:hint="eastAsia" w:ascii="宋体" w:hAnsi="宋体" w:eastAsia="宋体" w:cs="宋体"/>
                <w:kern w:val="0"/>
                <w:sz w:val="21"/>
                <w:szCs w:val="21"/>
              </w:rPr>
              <w:t>用堆叠图和折线图展示各类游戏的请求数、响应时间和超时请求情况。</w:t>
            </w:r>
          </w:p>
          <w:p w14:paraId="18C2013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销售类型数据监控：</w:t>
            </w:r>
            <w:r>
              <w:rPr>
                <w:rFonts w:hint="eastAsia" w:ascii="宋体" w:hAnsi="宋体" w:eastAsia="宋体" w:cs="宋体"/>
                <w:kern w:val="0"/>
                <w:sz w:val="21"/>
                <w:szCs w:val="21"/>
              </w:rPr>
              <w:t>5min更新一次销售额、售票数和吃票数的情况。</w:t>
            </w:r>
          </w:p>
          <w:p w14:paraId="2C34FE0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请求响应类型数据监控：</w:t>
            </w:r>
            <w:r>
              <w:rPr>
                <w:rFonts w:hint="eastAsia" w:ascii="宋体" w:hAnsi="宋体" w:eastAsia="宋体" w:cs="宋体"/>
                <w:kern w:val="0"/>
                <w:sz w:val="21"/>
                <w:szCs w:val="21"/>
              </w:rPr>
              <w:t>1min更新一次请求数、售票终端和响应时间的情况。</w:t>
            </w:r>
          </w:p>
        </w:tc>
      </w:tr>
      <w:tr w14:paraId="6BEB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vAlign w:val="center"/>
          </w:tcPr>
          <w:p w14:paraId="3F3F79F0">
            <w:pPr>
              <w:spacing w:line="560" w:lineRule="exact"/>
              <w:ind w:firstLine="0" w:firstLineChars="0"/>
              <w:jc w:val="center"/>
              <w:rPr>
                <w:rFonts w:hint="eastAsia" w:ascii="宋体" w:hAnsi="宋体" w:eastAsia="宋体" w:cs="宋体"/>
                <w:kern w:val="0"/>
                <w:sz w:val="21"/>
                <w:szCs w:val="21"/>
              </w:rPr>
            </w:pPr>
          </w:p>
        </w:tc>
        <w:tc>
          <w:tcPr>
            <w:tcW w:w="616" w:type="pct"/>
            <w:vMerge w:val="continue"/>
            <w:vAlign w:val="center"/>
          </w:tcPr>
          <w:p w14:paraId="5323A96C">
            <w:pPr>
              <w:spacing w:line="560" w:lineRule="exact"/>
              <w:ind w:firstLine="0" w:firstLineChars="0"/>
              <w:jc w:val="center"/>
              <w:rPr>
                <w:rFonts w:hint="eastAsia" w:ascii="宋体" w:hAnsi="宋体" w:eastAsia="宋体" w:cs="宋体"/>
                <w:kern w:val="0"/>
                <w:sz w:val="21"/>
                <w:szCs w:val="21"/>
              </w:rPr>
            </w:pPr>
          </w:p>
        </w:tc>
        <w:tc>
          <w:tcPr>
            <w:tcW w:w="3985" w:type="pct"/>
          </w:tcPr>
          <w:p w14:paraId="32C41400">
            <w:pPr>
              <w:tabs>
                <w:tab w:val="left" w:pos="690"/>
              </w:tabs>
              <w:spacing w:line="560" w:lineRule="exact"/>
              <w:ind w:right="-50" w:rightChars="-24"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5.巡检管理</w:t>
            </w:r>
          </w:p>
          <w:p w14:paraId="6E2D8FF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对接实体渠道系统巡检数据，可视化展示专管员和各地市巡检的执行情况，通过地图下钻可看到各门店的巡检情况，为决策和考核提供依据。</w:t>
            </w:r>
          </w:p>
          <w:p w14:paraId="3E018F3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全省年度累计巡检次数：</w:t>
            </w:r>
            <w:r>
              <w:rPr>
                <w:rFonts w:hint="eastAsia" w:ascii="宋体" w:hAnsi="宋体" w:eastAsia="宋体" w:cs="宋体"/>
                <w:kern w:val="0"/>
                <w:sz w:val="21"/>
                <w:szCs w:val="21"/>
              </w:rPr>
              <w:t>展示全省本年度组织巡检的次数。</w:t>
            </w:r>
          </w:p>
          <w:p w14:paraId="418491F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巡检时间、巡检任务可选：</w:t>
            </w:r>
            <w:r>
              <w:rPr>
                <w:rFonts w:hint="eastAsia" w:ascii="宋体" w:hAnsi="宋体" w:eastAsia="宋体" w:cs="宋体"/>
                <w:kern w:val="0"/>
                <w:sz w:val="21"/>
                <w:szCs w:val="21"/>
              </w:rPr>
              <w:t>通过选择巡检时间段、具体的巡检任务，可以查看各地市巡检任务的执行完成情况。</w:t>
            </w:r>
          </w:p>
          <w:p w14:paraId="12296CA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专管员排行：</w:t>
            </w:r>
            <w:r>
              <w:rPr>
                <w:rFonts w:hint="eastAsia" w:ascii="宋体" w:hAnsi="宋体" w:eastAsia="宋体" w:cs="宋体"/>
                <w:kern w:val="0"/>
                <w:sz w:val="21"/>
                <w:szCs w:val="21"/>
              </w:rPr>
              <w:t>根据任务完成度，对全省专管员进行排行，展示排名前五的专管员姓名、区域和任务完成度。</w:t>
            </w:r>
          </w:p>
          <w:p w14:paraId="6DEA6BE4">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地市巡检排行：</w:t>
            </w:r>
            <w:r>
              <w:rPr>
                <w:rFonts w:hint="eastAsia" w:ascii="宋体" w:hAnsi="宋体" w:eastAsia="宋体" w:cs="宋体"/>
                <w:kern w:val="0"/>
                <w:sz w:val="21"/>
                <w:szCs w:val="21"/>
              </w:rPr>
              <w:t>根据巡检完成率对各地市进行排名，展示排名前五的地市名称和组织巡检的次数。</w:t>
            </w:r>
          </w:p>
          <w:p w14:paraId="2C53E31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巡检督查：</w:t>
            </w:r>
            <w:r>
              <w:rPr>
                <w:rFonts w:hint="eastAsia" w:ascii="宋体" w:hAnsi="宋体" w:eastAsia="宋体" w:cs="宋体"/>
                <w:kern w:val="0"/>
                <w:sz w:val="21"/>
                <w:szCs w:val="21"/>
              </w:rPr>
              <w:t>可以查看不同地市的巡检任务完成情况。地图展示、已巡检门店和待巡检门店的分布，鼠标浮动地图图标，显示门店编号、地址、专管员姓名手机和巡检时间。指标展示门店数量、专管员人数。</w:t>
            </w:r>
          </w:p>
          <w:p w14:paraId="61B3E32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各地市巡检情况：</w:t>
            </w:r>
            <w:r>
              <w:rPr>
                <w:rFonts w:hint="eastAsia" w:ascii="宋体" w:hAnsi="宋体" w:eastAsia="宋体" w:cs="宋体"/>
                <w:kern w:val="0"/>
                <w:sz w:val="21"/>
                <w:szCs w:val="21"/>
              </w:rPr>
              <w:t>巡检状态包含已完成，进行中和未建单。用堆叠图展示各地市的巡检情况。</w:t>
            </w:r>
          </w:p>
          <w:p w14:paraId="3E17CC9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巡检进度统计：</w:t>
            </w:r>
            <w:r>
              <w:rPr>
                <w:rFonts w:hint="eastAsia" w:ascii="宋体" w:hAnsi="宋体" w:eastAsia="宋体" w:cs="宋体"/>
                <w:kern w:val="0"/>
                <w:sz w:val="21"/>
                <w:szCs w:val="21"/>
              </w:rPr>
              <w:t>巡检进度=已完成巡检/总巡检。展示全省的巡检完成进度。</w:t>
            </w:r>
          </w:p>
          <w:p w14:paraId="306DB24E">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巡检次数统计：</w:t>
            </w:r>
            <w:r>
              <w:rPr>
                <w:rFonts w:hint="eastAsia" w:ascii="宋体" w:hAnsi="宋体" w:eastAsia="宋体" w:cs="宋体"/>
                <w:kern w:val="0"/>
                <w:sz w:val="21"/>
                <w:szCs w:val="21"/>
              </w:rPr>
              <w:t>以时间维度展示本次巡检任务的执行次数的变化趋势。</w:t>
            </w:r>
          </w:p>
          <w:p w14:paraId="4BE8AB2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示范门店公示：</w:t>
            </w:r>
            <w:r>
              <w:rPr>
                <w:rFonts w:hint="eastAsia" w:ascii="宋体" w:hAnsi="宋体" w:eastAsia="宋体" w:cs="宋体"/>
                <w:kern w:val="0"/>
                <w:sz w:val="21"/>
                <w:szCs w:val="21"/>
              </w:rPr>
              <w:t>展示本省的示范性门店，包含门店编号、专管员和所属地市。</w:t>
            </w:r>
          </w:p>
        </w:tc>
      </w:tr>
      <w:tr w14:paraId="43443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tcPr>
          <w:p w14:paraId="1849D835">
            <w:pPr>
              <w:spacing w:line="560" w:lineRule="exact"/>
              <w:ind w:firstLine="0" w:firstLineChars="0"/>
              <w:jc w:val="center"/>
              <w:rPr>
                <w:rFonts w:hint="eastAsia" w:ascii="宋体" w:hAnsi="宋体" w:eastAsia="宋体" w:cs="宋体"/>
                <w:kern w:val="0"/>
                <w:sz w:val="21"/>
                <w:szCs w:val="21"/>
              </w:rPr>
            </w:pPr>
          </w:p>
        </w:tc>
        <w:tc>
          <w:tcPr>
            <w:tcW w:w="616" w:type="pct"/>
            <w:vMerge w:val="continue"/>
          </w:tcPr>
          <w:p w14:paraId="1A6571CB">
            <w:pPr>
              <w:spacing w:line="560" w:lineRule="exact"/>
              <w:ind w:firstLine="0" w:firstLineChars="0"/>
              <w:jc w:val="center"/>
              <w:rPr>
                <w:rFonts w:hint="eastAsia" w:ascii="宋体" w:hAnsi="宋体" w:eastAsia="宋体" w:cs="宋体"/>
                <w:kern w:val="0"/>
                <w:sz w:val="21"/>
                <w:szCs w:val="21"/>
              </w:rPr>
            </w:pPr>
          </w:p>
        </w:tc>
        <w:tc>
          <w:tcPr>
            <w:tcW w:w="3985" w:type="pct"/>
          </w:tcPr>
          <w:p w14:paraId="3372CEA2">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6.综合预警</w:t>
            </w:r>
          </w:p>
          <w:p w14:paraId="588F649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根据用户情况和需要定制预警内容和阈值，还可与省中心第三方系统对接，实现预警播报的推送、预警处理进度的跟踪、预警类型分析等，紧急问题可第一时间得到处理，提升解决问题效率。</w:t>
            </w:r>
          </w:p>
          <w:p w14:paraId="48FA3F1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对三大类预警（销量预警、取消票预警、机房预警，可根据用户需要定制预警类型）进行预警分析。</w:t>
            </w:r>
          </w:p>
          <w:p w14:paraId="73FB4015">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本月预警统计：</w:t>
            </w:r>
            <w:r>
              <w:rPr>
                <w:rFonts w:hint="eastAsia" w:ascii="宋体" w:hAnsi="宋体" w:eastAsia="宋体" w:cs="宋体"/>
                <w:kern w:val="0"/>
                <w:sz w:val="21"/>
                <w:szCs w:val="21"/>
              </w:rPr>
              <w:t>展示本月各类预警的总数、处理中的预警数、已解决的预警数。</w:t>
            </w:r>
          </w:p>
          <w:p w14:paraId="20E25D00">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预警类型：</w:t>
            </w:r>
            <w:r>
              <w:rPr>
                <w:rFonts w:hint="eastAsia" w:ascii="宋体" w:hAnsi="宋体" w:eastAsia="宋体" w:cs="宋体"/>
                <w:kern w:val="0"/>
                <w:sz w:val="21"/>
                <w:szCs w:val="21"/>
              </w:rPr>
              <w:t>各类型预警的占比情况分析。</w:t>
            </w:r>
          </w:p>
          <w:p w14:paraId="14202E5C">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预警日常：</w:t>
            </w:r>
            <w:r>
              <w:rPr>
                <w:rFonts w:hint="eastAsia" w:ascii="宋体" w:hAnsi="宋体" w:eastAsia="宋体" w:cs="宋体"/>
                <w:kern w:val="0"/>
                <w:sz w:val="21"/>
                <w:szCs w:val="21"/>
              </w:rPr>
              <w:t>展示今日新增预警数和今日预警处理数。</w:t>
            </w:r>
          </w:p>
          <w:p w14:paraId="7717133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发生最多的预警类型：</w:t>
            </w:r>
            <w:r>
              <w:rPr>
                <w:rFonts w:hint="eastAsia" w:ascii="宋体" w:hAnsi="宋体" w:eastAsia="宋体" w:cs="宋体"/>
                <w:kern w:val="0"/>
                <w:sz w:val="21"/>
                <w:szCs w:val="21"/>
              </w:rPr>
              <w:t>统计展示本月发生最多的预警类型。</w:t>
            </w:r>
          </w:p>
          <w:p w14:paraId="05C27E9D">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各地市预警统计：</w:t>
            </w:r>
            <w:r>
              <w:rPr>
                <w:rFonts w:hint="eastAsia" w:ascii="宋体" w:hAnsi="宋体" w:eastAsia="宋体" w:cs="宋体"/>
                <w:kern w:val="0"/>
                <w:sz w:val="21"/>
                <w:szCs w:val="21"/>
              </w:rPr>
              <w:t>展示各地市的本月预警累计数。</w:t>
            </w:r>
          </w:p>
          <w:p w14:paraId="0DC588A3">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预警走势：</w:t>
            </w:r>
            <w:r>
              <w:rPr>
                <w:rFonts w:hint="eastAsia" w:ascii="宋体" w:hAnsi="宋体" w:eastAsia="宋体" w:cs="宋体"/>
                <w:kern w:val="0"/>
                <w:sz w:val="21"/>
                <w:szCs w:val="21"/>
              </w:rPr>
              <w:t>以时间维度来展示本月的预警走势。</w:t>
            </w:r>
          </w:p>
          <w:p w14:paraId="3E021C4B">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预警处理进度：</w:t>
            </w:r>
            <w:r>
              <w:rPr>
                <w:rFonts w:hint="eastAsia" w:ascii="宋体" w:hAnsi="宋体" w:eastAsia="宋体" w:cs="宋体"/>
                <w:kern w:val="0"/>
                <w:sz w:val="21"/>
                <w:szCs w:val="21"/>
              </w:rPr>
              <w:t>根据本年度所有预警数以及已处理的预警数计算出预警处理率。</w:t>
            </w:r>
          </w:p>
          <w:p w14:paraId="37993D2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预警通报：</w:t>
            </w:r>
            <w:r>
              <w:rPr>
                <w:rFonts w:hint="eastAsia" w:ascii="宋体" w:hAnsi="宋体" w:eastAsia="宋体" w:cs="宋体"/>
                <w:kern w:val="0"/>
                <w:sz w:val="21"/>
                <w:szCs w:val="21"/>
              </w:rPr>
              <w:t>对于各类型的预警进行实时播报。</w:t>
            </w:r>
          </w:p>
        </w:tc>
      </w:tr>
      <w:tr w14:paraId="7F3D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tcPr>
          <w:p w14:paraId="61C7A0B4">
            <w:pPr>
              <w:spacing w:line="560" w:lineRule="exact"/>
              <w:ind w:firstLine="0" w:firstLineChars="0"/>
              <w:jc w:val="center"/>
              <w:rPr>
                <w:rFonts w:hint="eastAsia" w:ascii="宋体" w:hAnsi="宋体" w:eastAsia="宋体" w:cs="宋体"/>
                <w:b/>
                <w:bCs/>
                <w:kern w:val="0"/>
                <w:sz w:val="21"/>
                <w:szCs w:val="21"/>
              </w:rPr>
            </w:pPr>
          </w:p>
        </w:tc>
        <w:tc>
          <w:tcPr>
            <w:tcW w:w="616" w:type="pct"/>
            <w:vMerge w:val="continue"/>
          </w:tcPr>
          <w:p w14:paraId="4E532EB9">
            <w:pPr>
              <w:spacing w:line="560" w:lineRule="exact"/>
              <w:ind w:firstLine="0" w:firstLineChars="0"/>
              <w:jc w:val="center"/>
              <w:rPr>
                <w:rFonts w:hint="eastAsia" w:ascii="宋体" w:hAnsi="宋体" w:eastAsia="宋体" w:cs="宋体"/>
                <w:b/>
                <w:bCs/>
                <w:kern w:val="0"/>
                <w:sz w:val="21"/>
                <w:szCs w:val="21"/>
              </w:rPr>
            </w:pPr>
          </w:p>
        </w:tc>
        <w:tc>
          <w:tcPr>
            <w:tcW w:w="3985" w:type="pct"/>
            <w:vAlign w:val="center"/>
          </w:tcPr>
          <w:p w14:paraId="5A954015">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7.业务促销</w:t>
            </w:r>
          </w:p>
          <w:p w14:paraId="2250834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省中心可以通过业务促销屏实时监测促销活动效果以及各地市的参与情况，也可以借助该大屏对以往的促销活动进行分析，为用户提供洞见，响应地调整促销策略。主要内容包含对三大类促销（体验券促销、票面促销、安卓终端促销）进行监控分析。</w:t>
            </w:r>
          </w:p>
          <w:p w14:paraId="01C70913">
            <w:pPr>
              <w:spacing w:line="560" w:lineRule="exact"/>
              <w:ind w:firstLine="0" w:firstLineChars="0"/>
              <w:rPr>
                <w:rFonts w:hint="eastAsia" w:ascii="宋体" w:hAnsi="宋体" w:eastAsia="宋体" w:cs="宋体"/>
                <w:b/>
                <w:kern w:val="0"/>
                <w:sz w:val="21"/>
                <w:szCs w:val="21"/>
              </w:rPr>
            </w:pPr>
            <w:r>
              <w:rPr>
                <w:rFonts w:hint="eastAsia" w:ascii="宋体" w:hAnsi="宋体" w:eastAsia="宋体" w:cs="宋体"/>
                <w:b/>
                <w:kern w:val="0"/>
                <w:sz w:val="21"/>
                <w:szCs w:val="21"/>
              </w:rPr>
              <w:t>促销选择模块</w:t>
            </w:r>
          </w:p>
          <w:p w14:paraId="40D7470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①促销类型分为体验券促销、票面促销和安卓终端促销。通过切换不同类型的促销，可查看各类促销近期和历史的促销情况。</w:t>
            </w:r>
          </w:p>
          <w:p w14:paraId="33664C2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②促销活动的时间下拉框：包含本年度截止当前所有促销时间段。默认显示最近一次促销时间段。选择促销时间段后，促销方案的名称以及该促销方案的促销效果将会展示在大屏上。</w:t>
            </w:r>
          </w:p>
          <w:p w14:paraId="47D34AE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③活动覆盖率=全省参与门店/全省门店。</w:t>
            </w:r>
          </w:p>
          <w:p w14:paraId="2B052AC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④同比增长率=（促销期销量-同比非促销期销量）/同比非促销期销量</w:t>
            </w:r>
          </w:p>
          <w:p w14:paraId="494444D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⑤全省覆盖率排行二维表：根据各地市促销活动覆盖率进行排名，并显示各地市的销量同比。</w:t>
            </w:r>
          </w:p>
          <w:p w14:paraId="5C8B66E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⑥地市促销情况：用雷达图展示各地市的销量和覆盖率情况。</w:t>
            </w:r>
          </w:p>
          <w:p w14:paraId="7FDEDDDF">
            <w:pPr>
              <w:spacing w:line="560" w:lineRule="exact"/>
              <w:ind w:firstLine="0" w:firstLineChars="0"/>
              <w:rPr>
                <w:rFonts w:hint="eastAsia" w:ascii="宋体" w:hAnsi="宋体" w:eastAsia="宋体" w:cs="宋体"/>
                <w:b/>
                <w:kern w:val="0"/>
                <w:sz w:val="21"/>
                <w:szCs w:val="21"/>
              </w:rPr>
            </w:pPr>
            <w:r>
              <w:rPr>
                <w:rFonts w:hint="eastAsia" w:ascii="宋体" w:hAnsi="宋体" w:eastAsia="宋体" w:cs="宋体"/>
                <w:b/>
                <w:kern w:val="0"/>
                <w:sz w:val="21"/>
                <w:szCs w:val="21"/>
              </w:rPr>
              <w:t>地市维度的促销效果分析</w:t>
            </w:r>
          </w:p>
          <w:p w14:paraId="307286A0">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①选择地市，地图以及【促销分析】模块的所有指标都会切换成该地市的促销数据。</w:t>
            </w:r>
          </w:p>
          <w:p w14:paraId="4A40D51D">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②覆盖率=所选地市参与门店/所选地市实际门店</w:t>
            </w:r>
          </w:p>
          <w:p w14:paraId="65BAE95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③活动渗透率=促销期间门店销量/促销期间地市总销量，该模块展示促销期间销量前10名门店的渗透率。</w:t>
            </w:r>
          </w:p>
          <w:p w14:paraId="22B7F837">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④促销期间销量：该地市促销期间的销量、同比环比情况。</w:t>
            </w:r>
          </w:p>
          <w:p w14:paraId="3EDE9D9C">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⑤促销同比环比增长情况：非促销期指同比的非促销期。用柱状图展示促销和非促销的销量，线图展示促销期的同比、环比情况。</w:t>
            </w:r>
          </w:p>
          <w:p w14:paraId="09C266EB">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⑥单票金额：用气泡图展示促销期与环比非促销期的平均单票金额情况。</w:t>
            </w:r>
          </w:p>
        </w:tc>
      </w:tr>
      <w:tr w14:paraId="6F7D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tcPr>
          <w:p w14:paraId="129CCE8E">
            <w:pPr>
              <w:spacing w:line="560" w:lineRule="exact"/>
              <w:ind w:firstLine="0" w:firstLineChars="0"/>
              <w:jc w:val="center"/>
              <w:rPr>
                <w:rFonts w:hint="eastAsia" w:ascii="宋体" w:hAnsi="宋体" w:eastAsia="宋体" w:cs="宋体"/>
                <w:kern w:val="0"/>
                <w:sz w:val="21"/>
                <w:szCs w:val="21"/>
              </w:rPr>
            </w:pPr>
          </w:p>
        </w:tc>
        <w:tc>
          <w:tcPr>
            <w:tcW w:w="616" w:type="pct"/>
            <w:vMerge w:val="continue"/>
          </w:tcPr>
          <w:p w14:paraId="77124993">
            <w:pPr>
              <w:spacing w:line="560" w:lineRule="exact"/>
              <w:ind w:firstLine="0" w:firstLineChars="0"/>
              <w:jc w:val="center"/>
              <w:rPr>
                <w:rFonts w:hint="eastAsia" w:ascii="宋体" w:hAnsi="宋体" w:eastAsia="宋体" w:cs="宋体"/>
                <w:kern w:val="0"/>
                <w:sz w:val="21"/>
                <w:szCs w:val="21"/>
              </w:rPr>
            </w:pPr>
          </w:p>
        </w:tc>
        <w:tc>
          <w:tcPr>
            <w:tcW w:w="3985" w:type="pct"/>
          </w:tcPr>
          <w:p w14:paraId="06AFA0F0">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8.概率专题</w:t>
            </w:r>
          </w:p>
          <w:p w14:paraId="0F03163B">
            <w:pPr>
              <w:spacing w:line="560" w:lineRule="exact"/>
              <w:ind w:firstLine="0" w:firstLineChars="0"/>
              <w:rPr>
                <w:rFonts w:hint="eastAsia" w:ascii="宋体" w:hAnsi="宋体" w:eastAsia="宋体" w:cs="宋体"/>
                <w:bCs/>
                <w:kern w:val="0"/>
                <w:sz w:val="21"/>
                <w:szCs w:val="21"/>
              </w:rPr>
            </w:pPr>
            <w:r>
              <w:rPr>
                <w:rFonts w:hint="eastAsia" w:ascii="宋体" w:hAnsi="宋体" w:eastAsia="宋体" w:cs="宋体"/>
                <w:bCs/>
                <w:kern w:val="0"/>
                <w:sz w:val="21"/>
                <w:szCs w:val="21"/>
              </w:rPr>
              <w:t>响应总局概率处的指示，完成概率专题屏的建设与上线。聚焦概率型游戏，满足省中心对于概率游戏全业务工作场景的数据支撑,不仅可以实时查看概率游戏的相关数据。</w:t>
            </w:r>
          </w:p>
          <w:p w14:paraId="16648399">
            <w:pPr>
              <w:spacing w:line="560" w:lineRule="exact"/>
              <w:ind w:firstLine="0" w:firstLineChars="0"/>
              <w:rPr>
                <w:rFonts w:hint="eastAsia" w:ascii="宋体" w:hAnsi="宋体" w:eastAsia="宋体" w:cs="宋体"/>
                <w:bCs/>
                <w:kern w:val="0"/>
                <w:sz w:val="21"/>
                <w:szCs w:val="21"/>
              </w:rPr>
            </w:pPr>
            <w:r>
              <w:rPr>
                <w:rFonts w:hint="eastAsia" w:ascii="宋体" w:hAnsi="宋体" w:eastAsia="宋体" w:cs="宋体"/>
                <w:b/>
                <w:kern w:val="0"/>
                <w:sz w:val="21"/>
                <w:szCs w:val="21"/>
              </w:rPr>
              <w:t>各类型游戏销量：</w:t>
            </w:r>
            <w:r>
              <w:rPr>
                <w:rFonts w:hint="eastAsia" w:ascii="宋体" w:hAnsi="宋体" w:eastAsia="宋体" w:cs="宋体"/>
                <w:bCs/>
                <w:kern w:val="0"/>
                <w:sz w:val="21"/>
                <w:szCs w:val="21"/>
              </w:rPr>
              <w:t>展示全省该游戏今日销量和全年累计销量以及同比增长情况。</w:t>
            </w:r>
          </w:p>
          <w:p w14:paraId="2CB3D4F9">
            <w:pPr>
              <w:spacing w:line="560" w:lineRule="exact"/>
              <w:ind w:firstLine="0" w:firstLineChars="0"/>
              <w:rPr>
                <w:rFonts w:hint="eastAsia" w:ascii="宋体" w:hAnsi="宋体" w:eastAsia="宋体" w:cs="宋体"/>
                <w:b/>
                <w:kern w:val="0"/>
                <w:sz w:val="21"/>
                <w:szCs w:val="21"/>
              </w:rPr>
            </w:pPr>
            <w:r>
              <w:rPr>
                <w:rFonts w:hint="eastAsia" w:ascii="宋体" w:hAnsi="宋体" w:eastAsia="宋体" w:cs="宋体"/>
                <w:b/>
                <w:kern w:val="0"/>
                <w:sz w:val="21"/>
                <w:szCs w:val="21"/>
              </w:rPr>
              <w:t>各游戏终端情况统计展示：</w:t>
            </w:r>
            <w:r>
              <w:rPr>
                <w:rFonts w:hint="eastAsia" w:ascii="宋体" w:hAnsi="宋体" w:eastAsia="宋体" w:cs="宋体"/>
                <w:bCs/>
                <w:kern w:val="0"/>
                <w:sz w:val="21"/>
                <w:szCs w:val="21"/>
              </w:rPr>
              <w:t>展示全省该游戏终端情况，包括终端在售率展示，有销量终端、无销量终端、以及授权终端数量展示。</w:t>
            </w:r>
          </w:p>
          <w:p w14:paraId="4757DE71">
            <w:pPr>
              <w:spacing w:line="560" w:lineRule="exact"/>
              <w:ind w:firstLine="0" w:firstLineChars="0"/>
              <w:rPr>
                <w:rFonts w:hint="eastAsia" w:ascii="宋体" w:hAnsi="宋体" w:eastAsia="宋体" w:cs="宋体"/>
                <w:bCs/>
                <w:kern w:val="0"/>
                <w:sz w:val="21"/>
                <w:szCs w:val="21"/>
              </w:rPr>
            </w:pPr>
            <w:r>
              <w:rPr>
                <w:rFonts w:hint="eastAsia" w:ascii="宋体" w:hAnsi="宋体" w:eastAsia="宋体" w:cs="宋体"/>
                <w:b/>
                <w:kern w:val="0"/>
                <w:sz w:val="21"/>
                <w:szCs w:val="21"/>
              </w:rPr>
              <w:t>各地市游戏累计期均增长情况展示：</w:t>
            </w:r>
            <w:r>
              <w:rPr>
                <w:rFonts w:hint="eastAsia" w:ascii="宋体" w:hAnsi="宋体" w:eastAsia="宋体" w:cs="宋体"/>
                <w:bCs/>
                <w:kern w:val="0"/>
                <w:sz w:val="21"/>
                <w:szCs w:val="21"/>
              </w:rPr>
              <w:t>展示我省各地市该游戏累计期均增长情况展示。</w:t>
            </w:r>
          </w:p>
          <w:p w14:paraId="09F57AEF">
            <w:pPr>
              <w:spacing w:line="560" w:lineRule="exact"/>
              <w:ind w:firstLine="0" w:firstLineChars="0"/>
              <w:rPr>
                <w:rFonts w:hint="eastAsia" w:ascii="宋体" w:hAnsi="宋体" w:eastAsia="宋体" w:cs="宋体"/>
                <w:bCs/>
                <w:kern w:val="0"/>
                <w:sz w:val="21"/>
                <w:szCs w:val="21"/>
              </w:rPr>
            </w:pPr>
            <w:r>
              <w:rPr>
                <w:rFonts w:hint="eastAsia" w:ascii="宋体" w:hAnsi="宋体" w:eastAsia="宋体" w:cs="宋体"/>
                <w:b/>
                <w:kern w:val="0"/>
                <w:sz w:val="21"/>
                <w:szCs w:val="21"/>
              </w:rPr>
              <w:t>游戏切换区域：</w:t>
            </w:r>
            <w:r>
              <w:rPr>
                <w:rFonts w:hint="eastAsia" w:ascii="宋体" w:hAnsi="宋体" w:eastAsia="宋体" w:cs="宋体"/>
                <w:bCs/>
                <w:kern w:val="0"/>
                <w:sz w:val="21"/>
                <w:szCs w:val="21"/>
              </w:rPr>
              <w:t>可通过切换不同的游戏类型查看该游戏相关数据。</w:t>
            </w:r>
          </w:p>
          <w:p w14:paraId="15101A10">
            <w:pPr>
              <w:spacing w:line="560" w:lineRule="exact"/>
              <w:ind w:firstLine="0" w:firstLineChars="0"/>
              <w:rPr>
                <w:rFonts w:hint="eastAsia" w:ascii="宋体" w:hAnsi="宋体" w:eastAsia="宋体" w:cs="宋体"/>
                <w:bCs/>
                <w:kern w:val="0"/>
                <w:sz w:val="21"/>
                <w:szCs w:val="21"/>
              </w:rPr>
            </w:pPr>
            <w:r>
              <w:rPr>
                <w:rFonts w:hint="eastAsia" w:ascii="宋体" w:hAnsi="宋体" w:eastAsia="宋体" w:cs="宋体"/>
                <w:b/>
                <w:kern w:val="0"/>
                <w:sz w:val="21"/>
                <w:szCs w:val="21"/>
              </w:rPr>
              <w:t>各地市该游戏销售相关情况地图化展示：</w:t>
            </w:r>
            <w:r>
              <w:rPr>
                <w:rFonts w:hint="eastAsia" w:ascii="宋体" w:hAnsi="宋体" w:eastAsia="宋体" w:cs="宋体"/>
                <w:bCs/>
                <w:kern w:val="0"/>
                <w:sz w:val="21"/>
                <w:szCs w:val="21"/>
              </w:rPr>
              <w:t>展示我省各地市该游戏销量相关数据展示。</w:t>
            </w:r>
          </w:p>
          <w:p w14:paraId="063560F0">
            <w:pPr>
              <w:spacing w:line="560" w:lineRule="exact"/>
              <w:ind w:firstLine="0" w:firstLineChars="0"/>
              <w:rPr>
                <w:rFonts w:hint="eastAsia" w:ascii="宋体" w:hAnsi="宋体" w:eastAsia="宋体" w:cs="宋体"/>
                <w:bCs/>
                <w:kern w:val="0"/>
                <w:sz w:val="21"/>
                <w:szCs w:val="21"/>
              </w:rPr>
            </w:pPr>
            <w:r>
              <w:rPr>
                <w:rFonts w:hint="eastAsia" w:ascii="宋体" w:hAnsi="宋体" w:eastAsia="宋体" w:cs="宋体"/>
                <w:b/>
                <w:kern w:val="0"/>
                <w:sz w:val="21"/>
                <w:szCs w:val="21"/>
              </w:rPr>
              <w:t>全省新增网点该游戏贡献率：</w:t>
            </w:r>
            <w:r>
              <w:rPr>
                <w:rFonts w:hint="eastAsia" w:ascii="宋体" w:hAnsi="宋体" w:eastAsia="宋体" w:cs="宋体"/>
                <w:bCs/>
                <w:kern w:val="0"/>
                <w:sz w:val="21"/>
                <w:szCs w:val="21"/>
              </w:rPr>
              <w:t>展示全省该游戏新增网点贡献率。</w:t>
            </w:r>
          </w:p>
          <w:p w14:paraId="0BF9CF78">
            <w:pPr>
              <w:spacing w:line="560" w:lineRule="exact"/>
              <w:ind w:firstLine="0" w:firstLineChars="0"/>
              <w:rPr>
                <w:rFonts w:hint="eastAsia" w:ascii="宋体" w:hAnsi="宋体" w:eastAsia="宋体" w:cs="宋体"/>
                <w:bCs/>
                <w:kern w:val="0"/>
                <w:sz w:val="21"/>
                <w:szCs w:val="21"/>
              </w:rPr>
            </w:pPr>
            <w:r>
              <w:rPr>
                <w:rFonts w:hint="eastAsia" w:ascii="宋体" w:hAnsi="宋体" w:eastAsia="宋体" w:cs="宋体"/>
                <w:b/>
                <w:kern w:val="0"/>
                <w:sz w:val="21"/>
                <w:szCs w:val="21"/>
              </w:rPr>
              <w:t>各地市新增网点该游戏单期均销量：</w:t>
            </w:r>
            <w:r>
              <w:rPr>
                <w:rFonts w:hint="eastAsia" w:ascii="宋体" w:hAnsi="宋体" w:eastAsia="宋体" w:cs="宋体"/>
                <w:bCs/>
                <w:kern w:val="0"/>
                <w:sz w:val="21"/>
                <w:szCs w:val="21"/>
              </w:rPr>
              <w:t>展示全省及各地市新增网点该游戏单期均销量。</w:t>
            </w:r>
          </w:p>
          <w:p w14:paraId="2CD6A1C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各地市新增网点贡献率展示：</w:t>
            </w:r>
            <w:r>
              <w:rPr>
                <w:rFonts w:hint="eastAsia" w:ascii="宋体" w:hAnsi="宋体" w:eastAsia="宋体" w:cs="宋体"/>
                <w:bCs/>
                <w:kern w:val="0"/>
                <w:sz w:val="21"/>
                <w:szCs w:val="21"/>
              </w:rPr>
              <w:t>展示各地市新增网点该游戏贡献率。</w:t>
            </w:r>
          </w:p>
        </w:tc>
      </w:tr>
      <w:tr w14:paraId="19F1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tcPr>
          <w:p w14:paraId="3997D001">
            <w:pPr>
              <w:spacing w:line="560" w:lineRule="exact"/>
              <w:ind w:firstLine="0" w:firstLineChars="0"/>
              <w:jc w:val="center"/>
              <w:rPr>
                <w:rFonts w:hint="eastAsia" w:ascii="宋体" w:hAnsi="宋体" w:eastAsia="宋体" w:cs="宋体"/>
                <w:kern w:val="0"/>
                <w:sz w:val="21"/>
                <w:szCs w:val="21"/>
              </w:rPr>
            </w:pPr>
          </w:p>
        </w:tc>
        <w:tc>
          <w:tcPr>
            <w:tcW w:w="616" w:type="pct"/>
            <w:vMerge w:val="continue"/>
          </w:tcPr>
          <w:p w14:paraId="112A2B7D">
            <w:pPr>
              <w:spacing w:line="560" w:lineRule="exact"/>
              <w:ind w:firstLine="0" w:firstLineChars="0"/>
              <w:jc w:val="center"/>
              <w:rPr>
                <w:rFonts w:hint="eastAsia" w:ascii="宋体" w:hAnsi="宋体" w:eastAsia="宋体" w:cs="宋体"/>
                <w:b/>
                <w:bCs/>
                <w:kern w:val="0"/>
                <w:sz w:val="21"/>
                <w:szCs w:val="21"/>
              </w:rPr>
            </w:pPr>
          </w:p>
        </w:tc>
        <w:tc>
          <w:tcPr>
            <w:tcW w:w="3985" w:type="pct"/>
          </w:tcPr>
          <w:p w14:paraId="180978B7">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9.渠道专题</w:t>
            </w:r>
          </w:p>
          <w:p w14:paraId="66F1ABC0">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渠道专题屏满足省中心对于新渠道、传统渠道各类网点的精细化管理工作等场景，为省中心、区中心提供渠道管理方面的决策依据。</w:t>
            </w:r>
          </w:p>
          <w:p w14:paraId="16E19F2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阳光邀约计划可选：</w:t>
            </w:r>
            <w:r>
              <w:rPr>
                <w:rFonts w:hint="eastAsia" w:ascii="宋体" w:hAnsi="宋体" w:eastAsia="宋体" w:cs="宋体"/>
                <w:kern w:val="0"/>
                <w:sz w:val="21"/>
                <w:szCs w:val="21"/>
              </w:rPr>
              <w:t>通过选择阳光邀约计划，可以查看该计划的总况。包含申请书、受理率、成功书和成功率。同时可看到过程流转的数据，包含申请、受理、勘查、审批、邀约成功的数量。</w:t>
            </w:r>
          </w:p>
          <w:p w14:paraId="0BF3DC0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门店销量热力图：</w:t>
            </w:r>
            <w:r>
              <w:rPr>
                <w:rFonts w:hint="eastAsia" w:ascii="宋体" w:hAnsi="宋体" w:eastAsia="宋体" w:cs="宋体"/>
                <w:kern w:val="0"/>
                <w:sz w:val="21"/>
                <w:szCs w:val="21"/>
              </w:rPr>
              <w:t>展示全省门店当日销量情况，可通过选择销量查看不同销量区间的门店分布情况。选择地图上的“门店分布”和“销量热力分布”按钮，可随时切换门店数量的分布和门店销量热力渲染。</w:t>
            </w:r>
          </w:p>
          <w:p w14:paraId="0D7A01D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门店弹窗：</w:t>
            </w:r>
            <w:r>
              <w:rPr>
                <w:rFonts w:hint="eastAsia" w:ascii="宋体" w:hAnsi="宋体" w:eastAsia="宋体" w:cs="宋体"/>
                <w:kern w:val="0"/>
                <w:sz w:val="21"/>
                <w:szCs w:val="21"/>
              </w:rPr>
              <w:t>点击地图中左上角的门店搜索框，输入门店编号，可展示该门店按月度、玩法销量数据情况，及该门店周围的门店。</w:t>
            </w:r>
          </w:p>
          <w:p w14:paraId="02DA45D7">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全省网点增退总况：</w:t>
            </w:r>
            <w:r>
              <w:rPr>
                <w:rFonts w:hint="eastAsia" w:ascii="宋体" w:hAnsi="宋体" w:eastAsia="宋体" w:cs="宋体"/>
                <w:kern w:val="0"/>
                <w:sz w:val="21"/>
                <w:szCs w:val="21"/>
              </w:rPr>
              <w:t>展示全省以时间为维度的增退网点数量，可通过切换，查看周、月的情况。</w:t>
            </w:r>
          </w:p>
          <w:p w14:paraId="2AF38F0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各类型网点分类占比：</w:t>
            </w:r>
            <w:r>
              <w:rPr>
                <w:rFonts w:hint="eastAsia" w:ascii="宋体" w:hAnsi="宋体" w:eastAsia="宋体" w:cs="宋体"/>
                <w:kern w:val="0"/>
                <w:sz w:val="21"/>
                <w:szCs w:val="21"/>
              </w:rPr>
              <w:t>展示全省专营店、兼营店的数量及占比。</w:t>
            </w:r>
          </w:p>
          <w:p w14:paraId="4F282DB4">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各类型门店在售率：</w:t>
            </w:r>
            <w:r>
              <w:rPr>
                <w:rFonts w:hint="eastAsia" w:ascii="宋体" w:hAnsi="宋体" w:eastAsia="宋体" w:cs="宋体"/>
                <w:kern w:val="0"/>
                <w:sz w:val="21"/>
                <w:szCs w:val="21"/>
              </w:rPr>
              <w:t>展示全省截止到当前在售的大乐透及竞彩门店的数量及占比。</w:t>
            </w:r>
          </w:p>
          <w:p w14:paraId="6C5C2A53">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全省连续7天0销量的竞彩门店统计展示</w:t>
            </w:r>
            <w:r>
              <w:rPr>
                <w:rFonts w:hint="eastAsia" w:ascii="宋体" w:hAnsi="宋体" w:eastAsia="宋体" w:cs="宋体"/>
                <w:kern w:val="0"/>
                <w:sz w:val="21"/>
                <w:szCs w:val="21"/>
              </w:rPr>
              <w:t>：展示全省连续7天0销量的竞彩门店。</w:t>
            </w:r>
          </w:p>
        </w:tc>
      </w:tr>
      <w:tr w14:paraId="1A96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tcPr>
          <w:p w14:paraId="1FAEBA9E">
            <w:pPr>
              <w:spacing w:line="560" w:lineRule="exact"/>
              <w:ind w:firstLine="0" w:firstLineChars="0"/>
              <w:jc w:val="center"/>
              <w:rPr>
                <w:rFonts w:hint="eastAsia" w:ascii="宋体" w:hAnsi="宋体" w:eastAsia="宋体" w:cs="宋体"/>
                <w:kern w:val="0"/>
                <w:sz w:val="21"/>
                <w:szCs w:val="21"/>
              </w:rPr>
            </w:pPr>
          </w:p>
        </w:tc>
        <w:tc>
          <w:tcPr>
            <w:tcW w:w="616" w:type="pct"/>
            <w:vMerge w:val="continue"/>
          </w:tcPr>
          <w:p w14:paraId="5B3C69B8">
            <w:pPr>
              <w:spacing w:line="560" w:lineRule="exact"/>
              <w:ind w:firstLine="0" w:firstLineChars="0"/>
              <w:jc w:val="center"/>
              <w:rPr>
                <w:rFonts w:hint="eastAsia" w:ascii="宋体" w:hAnsi="宋体" w:eastAsia="宋体" w:cs="宋体"/>
                <w:kern w:val="0"/>
                <w:sz w:val="21"/>
                <w:szCs w:val="21"/>
              </w:rPr>
            </w:pPr>
          </w:p>
        </w:tc>
        <w:tc>
          <w:tcPr>
            <w:tcW w:w="3985" w:type="pct"/>
          </w:tcPr>
          <w:p w14:paraId="293908AD">
            <w:pPr>
              <w:spacing w:line="560" w:lineRule="exact"/>
              <w:ind w:right="-50" w:rightChars="-24"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10.发展历程专题</w:t>
            </w:r>
          </w:p>
          <w:p w14:paraId="69CB451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发展历程专题屏满足省中心在每年历史发展进程的精彩回顾、对应年份的历史销售情况，配有播报，对文字进行语音解读。</w:t>
            </w:r>
          </w:p>
          <w:p w14:paraId="488E413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年度全省累计销量：</w:t>
            </w:r>
            <w:r>
              <w:rPr>
                <w:rFonts w:hint="eastAsia" w:ascii="宋体" w:hAnsi="宋体" w:eastAsia="宋体" w:cs="宋体"/>
                <w:kern w:val="0"/>
                <w:sz w:val="21"/>
                <w:szCs w:val="21"/>
              </w:rPr>
              <w:t>展示全省年度累计各类游戏的总销量数据。</w:t>
            </w:r>
          </w:p>
          <w:p w14:paraId="54567C4C">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全省门店数量：</w:t>
            </w:r>
            <w:r>
              <w:rPr>
                <w:rFonts w:hint="eastAsia" w:ascii="宋体" w:hAnsi="宋体" w:eastAsia="宋体" w:cs="宋体"/>
                <w:kern w:val="0"/>
                <w:sz w:val="21"/>
                <w:szCs w:val="21"/>
              </w:rPr>
              <w:t>展示全省年度门店总数量数据。</w:t>
            </w:r>
          </w:p>
          <w:p w14:paraId="00302739">
            <w:pPr>
              <w:spacing w:line="560" w:lineRule="exact"/>
              <w:ind w:firstLine="0" w:firstLineChars="0"/>
              <w:rPr>
                <w:rFonts w:hint="eastAsia" w:ascii="宋体" w:hAnsi="宋体" w:eastAsia="宋体" w:cs="宋体"/>
                <w:b/>
                <w:bCs/>
                <w:kern w:val="0"/>
                <w:sz w:val="21"/>
                <w:szCs w:val="21"/>
              </w:rPr>
            </w:pPr>
            <w:r>
              <w:rPr>
                <w:rFonts w:hint="eastAsia" w:ascii="宋体" w:hAnsi="宋体" w:eastAsia="宋体" w:cs="宋体"/>
                <w:b/>
                <w:bCs/>
                <w:kern w:val="0"/>
                <w:sz w:val="21"/>
                <w:szCs w:val="21"/>
              </w:rPr>
              <w:t>体彩大事记：</w:t>
            </w:r>
            <w:r>
              <w:rPr>
                <w:rFonts w:hint="eastAsia" w:ascii="宋体" w:hAnsi="宋体" w:eastAsia="宋体" w:cs="宋体"/>
                <w:kern w:val="0"/>
                <w:sz w:val="21"/>
                <w:szCs w:val="21"/>
              </w:rPr>
              <w:t>选择有代表性的年度和事件，组成大事件的轮询回顾卡片。每个卡片可以对应年度摘要区域进行放大展示。</w:t>
            </w:r>
          </w:p>
          <w:p w14:paraId="514D4CCF">
            <w:pPr>
              <w:spacing w:line="560" w:lineRule="exact"/>
              <w:ind w:firstLine="0" w:firstLineChars="0"/>
              <w:rPr>
                <w:rFonts w:hint="eastAsia" w:ascii="宋体" w:hAnsi="宋体" w:eastAsia="宋体" w:cs="宋体"/>
                <w:bCs/>
                <w:kern w:val="0"/>
                <w:sz w:val="21"/>
                <w:szCs w:val="21"/>
              </w:rPr>
            </w:pPr>
            <w:r>
              <w:rPr>
                <w:rFonts w:hint="eastAsia" w:ascii="宋体" w:hAnsi="宋体" w:eastAsia="宋体" w:cs="宋体"/>
                <w:b/>
                <w:bCs/>
                <w:kern w:val="0"/>
                <w:sz w:val="21"/>
                <w:szCs w:val="21"/>
              </w:rPr>
              <w:t>年度摘要：</w:t>
            </w:r>
            <w:r>
              <w:rPr>
                <w:rFonts w:hint="eastAsia" w:ascii="宋体" w:hAnsi="宋体" w:eastAsia="宋体" w:cs="宋体"/>
                <w:kern w:val="0"/>
                <w:sz w:val="21"/>
                <w:szCs w:val="21"/>
              </w:rPr>
              <w:t>对应大事记的轮播卡片，展示年度摘要文字、重点新闻事件的图集，并可通过事件的选择查看多项精彩回顾。</w:t>
            </w:r>
          </w:p>
        </w:tc>
      </w:tr>
      <w:tr w14:paraId="1256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7" w:type="pct"/>
            <w:vMerge w:val="continue"/>
          </w:tcPr>
          <w:p w14:paraId="355C0B67">
            <w:pPr>
              <w:spacing w:line="560" w:lineRule="exact"/>
              <w:ind w:right="-50" w:rightChars="-24" w:firstLine="0" w:firstLineChars="0"/>
              <w:jc w:val="left"/>
              <w:rPr>
                <w:rFonts w:hint="eastAsia" w:ascii="宋体" w:hAnsi="宋体" w:eastAsia="宋体" w:cs="宋体"/>
                <w:b/>
                <w:kern w:val="0"/>
                <w:sz w:val="21"/>
                <w:szCs w:val="21"/>
              </w:rPr>
            </w:pPr>
          </w:p>
        </w:tc>
        <w:tc>
          <w:tcPr>
            <w:tcW w:w="616" w:type="pct"/>
            <w:vMerge w:val="continue"/>
          </w:tcPr>
          <w:p w14:paraId="6E44C412">
            <w:pPr>
              <w:spacing w:line="560" w:lineRule="exact"/>
              <w:ind w:right="-50" w:rightChars="-24" w:firstLine="0" w:firstLineChars="0"/>
              <w:jc w:val="left"/>
              <w:rPr>
                <w:rFonts w:hint="eastAsia" w:ascii="宋体" w:hAnsi="宋体" w:eastAsia="宋体" w:cs="宋体"/>
                <w:b/>
                <w:kern w:val="0"/>
                <w:sz w:val="21"/>
                <w:szCs w:val="21"/>
              </w:rPr>
            </w:pPr>
          </w:p>
        </w:tc>
        <w:tc>
          <w:tcPr>
            <w:tcW w:w="3985" w:type="pct"/>
          </w:tcPr>
          <w:p w14:paraId="79155B34">
            <w:pPr>
              <w:spacing w:line="560" w:lineRule="exact"/>
              <w:ind w:right="-50" w:rightChars="-24" w:firstLine="0" w:firstLineChars="0"/>
              <w:jc w:val="left"/>
              <w:rPr>
                <w:rFonts w:hint="eastAsia" w:ascii="宋体" w:hAnsi="宋体" w:eastAsia="宋体" w:cs="宋体"/>
                <w:b/>
                <w:kern w:val="0"/>
                <w:sz w:val="21"/>
                <w:szCs w:val="21"/>
              </w:rPr>
            </w:pPr>
            <w:r>
              <w:rPr>
                <w:rFonts w:hint="eastAsia" w:ascii="宋体" w:hAnsi="宋体" w:eastAsia="宋体" w:cs="宋体"/>
                <w:b/>
                <w:kern w:val="0"/>
                <w:sz w:val="21"/>
                <w:szCs w:val="21"/>
              </w:rPr>
              <w:t>11.公益金展示</w:t>
            </w:r>
          </w:p>
          <w:p w14:paraId="7A5457E0">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年度筹集公益金：</w:t>
            </w:r>
            <w:r>
              <w:rPr>
                <w:rFonts w:hint="eastAsia" w:ascii="宋体" w:hAnsi="宋体" w:eastAsia="宋体" w:cs="宋体"/>
                <w:kern w:val="0"/>
                <w:sz w:val="21"/>
                <w:szCs w:val="21"/>
              </w:rPr>
              <w:t>全省年度体彩筹集公益金合计金额。</w:t>
            </w:r>
          </w:p>
          <w:p w14:paraId="525D92A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年度计提公益金：</w:t>
            </w:r>
            <w:r>
              <w:rPr>
                <w:rFonts w:hint="eastAsia" w:ascii="宋体" w:hAnsi="宋体" w:eastAsia="宋体" w:cs="宋体"/>
                <w:kern w:val="0"/>
                <w:sz w:val="21"/>
                <w:szCs w:val="21"/>
              </w:rPr>
              <w:t>全省年度体彩计提公益金合计金额。</w:t>
            </w:r>
          </w:p>
          <w:p w14:paraId="4FF3088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年度省级安排公益金：</w:t>
            </w:r>
            <w:r>
              <w:rPr>
                <w:rFonts w:hint="eastAsia" w:ascii="宋体" w:hAnsi="宋体" w:eastAsia="宋体" w:cs="宋体"/>
                <w:kern w:val="0"/>
                <w:sz w:val="21"/>
                <w:szCs w:val="21"/>
              </w:rPr>
              <w:t>全省年度省级安排公益金合计金额。</w:t>
            </w:r>
          </w:p>
          <w:p w14:paraId="5EA1EA37">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体育部门使用公益金占比：</w:t>
            </w:r>
            <w:r>
              <w:rPr>
                <w:rFonts w:hint="eastAsia" w:ascii="宋体" w:hAnsi="宋体" w:eastAsia="宋体" w:cs="宋体"/>
                <w:kern w:val="0"/>
                <w:sz w:val="21"/>
                <w:szCs w:val="21"/>
              </w:rPr>
              <w:t>全省体育部门使用各项公益金支出金额占比统计。</w:t>
            </w:r>
          </w:p>
          <w:p w14:paraId="3F2C6619">
            <w:pPr>
              <w:spacing w:line="560" w:lineRule="exact"/>
              <w:ind w:firstLine="0" w:firstLineChars="0"/>
              <w:rPr>
                <w:rFonts w:hint="eastAsia" w:ascii="宋体" w:hAnsi="宋体" w:eastAsia="宋体" w:cs="宋体"/>
                <w:szCs w:val="21"/>
              </w:rPr>
            </w:pPr>
            <w:r>
              <w:rPr>
                <w:rFonts w:hint="eastAsia" w:ascii="宋体" w:hAnsi="宋体" w:eastAsia="宋体" w:cs="宋体"/>
                <w:b/>
                <w:bCs/>
                <w:kern w:val="0"/>
                <w:sz w:val="21"/>
                <w:szCs w:val="21"/>
              </w:rPr>
              <w:t>各地市公益金支出分布：</w:t>
            </w:r>
            <w:r>
              <w:rPr>
                <w:rFonts w:hint="eastAsia" w:ascii="宋体" w:hAnsi="宋体" w:eastAsia="宋体" w:cs="宋体"/>
                <w:kern w:val="0"/>
                <w:sz w:val="21"/>
                <w:szCs w:val="21"/>
              </w:rPr>
              <w:t>展示各地市公益金支出统计分布。</w:t>
            </w:r>
          </w:p>
          <w:p w14:paraId="38ADCA60">
            <w:pPr>
              <w:spacing w:line="560" w:lineRule="exact"/>
              <w:ind w:firstLine="0" w:firstLineChars="0"/>
              <w:rPr>
                <w:rFonts w:hint="eastAsia" w:ascii="宋体" w:hAnsi="宋体" w:eastAsia="宋体" w:cs="宋体"/>
                <w:b/>
                <w:kern w:val="0"/>
                <w:sz w:val="21"/>
                <w:szCs w:val="21"/>
              </w:rPr>
            </w:pPr>
            <w:r>
              <w:rPr>
                <w:rFonts w:hint="eastAsia" w:ascii="宋体" w:hAnsi="宋体" w:eastAsia="宋体" w:cs="宋体"/>
                <w:b/>
                <w:bCs/>
                <w:kern w:val="0"/>
                <w:sz w:val="21"/>
                <w:szCs w:val="21"/>
              </w:rPr>
              <w:t>公益金成效展示及捐赠情况：</w:t>
            </w:r>
            <w:r>
              <w:rPr>
                <w:rFonts w:hint="eastAsia" w:ascii="宋体" w:hAnsi="宋体" w:eastAsia="宋体" w:cs="宋体"/>
                <w:kern w:val="0"/>
                <w:sz w:val="21"/>
                <w:szCs w:val="21"/>
              </w:rPr>
              <w:t>展示省中心公益金的用途，以及历史捐赠情况和明细。</w:t>
            </w:r>
          </w:p>
        </w:tc>
      </w:tr>
      <w:tr w14:paraId="2E269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97" w:type="pct"/>
            <w:vMerge w:val="continue"/>
          </w:tcPr>
          <w:p w14:paraId="54BE7CC4">
            <w:pPr>
              <w:spacing w:line="560" w:lineRule="exact"/>
              <w:ind w:firstLine="0" w:firstLineChars="0"/>
              <w:jc w:val="center"/>
              <w:rPr>
                <w:rFonts w:hint="eastAsia" w:ascii="宋体" w:hAnsi="宋体" w:eastAsia="宋体" w:cs="宋体"/>
                <w:kern w:val="0"/>
                <w:sz w:val="21"/>
                <w:szCs w:val="21"/>
              </w:rPr>
            </w:pPr>
          </w:p>
        </w:tc>
        <w:tc>
          <w:tcPr>
            <w:tcW w:w="616" w:type="pct"/>
            <w:vMerge w:val="continue"/>
          </w:tcPr>
          <w:p w14:paraId="464F407D">
            <w:pPr>
              <w:spacing w:line="560" w:lineRule="exact"/>
              <w:ind w:firstLine="0" w:firstLineChars="0"/>
              <w:jc w:val="center"/>
              <w:rPr>
                <w:rFonts w:hint="eastAsia" w:ascii="宋体" w:hAnsi="宋体" w:eastAsia="宋体" w:cs="宋体"/>
                <w:kern w:val="0"/>
                <w:sz w:val="21"/>
                <w:szCs w:val="21"/>
              </w:rPr>
            </w:pPr>
          </w:p>
        </w:tc>
        <w:tc>
          <w:tcPr>
            <w:tcW w:w="3985" w:type="pct"/>
          </w:tcPr>
          <w:p w14:paraId="20327DB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12.竞猜专题</w:t>
            </w:r>
          </w:p>
          <w:p w14:paraId="3E490617">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针对于竞猜游戏实现一屏总览，帮助业务部门挖掘竞猜游戏的市场潜力。</w:t>
            </w:r>
          </w:p>
          <w:p w14:paraId="7C97FE7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竞彩游戏关次概览：</w:t>
            </w:r>
            <w:r>
              <w:rPr>
                <w:rFonts w:hint="eastAsia" w:ascii="宋体" w:hAnsi="宋体" w:eastAsia="宋体" w:cs="宋体"/>
                <w:kern w:val="0"/>
                <w:sz w:val="21"/>
                <w:szCs w:val="21"/>
              </w:rPr>
              <w:t>展示今日竞彩足球、竞彩篮球销量，及竞彩足球及篮球不同游戏及关次销量占比。</w:t>
            </w:r>
          </w:p>
          <w:p w14:paraId="267DDF14">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竞彩赛事总况：</w:t>
            </w:r>
            <w:r>
              <w:rPr>
                <w:rFonts w:hint="eastAsia" w:ascii="宋体" w:hAnsi="宋体" w:eastAsia="宋体" w:cs="宋体"/>
                <w:kern w:val="0"/>
                <w:sz w:val="21"/>
                <w:szCs w:val="21"/>
              </w:rPr>
              <w:t>展示今日竞彩足球、篮球受注赛事场数及日净销量最高比赛及销量、日单关销量最高比赛及销量，日过关销量最高比赛及销量。展示竞彩足球、篮球近7日受注赛事与销量趋势。</w:t>
            </w:r>
          </w:p>
          <w:p w14:paraId="45E22955">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竞猜游戏数据总览：</w:t>
            </w:r>
            <w:r>
              <w:rPr>
                <w:rFonts w:hint="eastAsia" w:ascii="宋体" w:hAnsi="宋体" w:eastAsia="宋体" w:cs="宋体"/>
                <w:kern w:val="0"/>
                <w:sz w:val="21"/>
                <w:szCs w:val="21"/>
              </w:rPr>
              <w:t>展示今日竞猜型游戏实时销量及竞彩、传足销量；展示今日竞猜销量贡献率及竞彩、传足游戏销量占比；展示全省竞猜今日销量全国排名及上周及上月排名。</w:t>
            </w:r>
          </w:p>
          <w:p w14:paraId="12BD95A5">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销量热力图</w:t>
            </w:r>
            <w:r>
              <w:rPr>
                <w:rFonts w:hint="eastAsia" w:ascii="宋体" w:hAnsi="宋体" w:eastAsia="宋体" w:cs="宋体"/>
                <w:kern w:val="0"/>
                <w:sz w:val="21"/>
                <w:szCs w:val="21"/>
              </w:rPr>
              <w:t>：展示全省门店竞猜型游戏销量热力分布图以及全省今日销量大于1万及小于1000的门店数量。</w:t>
            </w:r>
          </w:p>
          <w:p w14:paraId="6F0C409C">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全省授权竞彩门店数：</w:t>
            </w:r>
            <w:r>
              <w:rPr>
                <w:rFonts w:hint="eastAsia" w:ascii="宋体" w:hAnsi="宋体" w:eastAsia="宋体" w:cs="宋体"/>
                <w:kern w:val="0"/>
                <w:sz w:val="21"/>
                <w:szCs w:val="21"/>
              </w:rPr>
              <w:t>展示全省授权竞彩门店数。</w:t>
            </w:r>
          </w:p>
          <w:p w14:paraId="7F931D3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全省竞彩门店在售率：</w:t>
            </w:r>
            <w:r>
              <w:rPr>
                <w:rFonts w:hint="eastAsia" w:ascii="宋体" w:hAnsi="宋体" w:eastAsia="宋体" w:cs="宋体"/>
                <w:kern w:val="0"/>
                <w:sz w:val="21"/>
                <w:szCs w:val="21"/>
              </w:rPr>
              <w:t>展示今日全省竞彩门店在售率，即竞彩门店在售个数/全省授权竞彩门店数。</w:t>
            </w:r>
          </w:p>
          <w:p w14:paraId="314AF1F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今日各地市竞彩门店在售率排名</w:t>
            </w:r>
            <w:r>
              <w:rPr>
                <w:rFonts w:hint="eastAsia" w:ascii="宋体" w:hAnsi="宋体" w:eastAsia="宋体" w:cs="宋体"/>
                <w:kern w:val="0"/>
                <w:sz w:val="21"/>
                <w:szCs w:val="21"/>
              </w:rPr>
              <w:t>：展示展示今日各地市竞彩门店在售率排名。包含排名、在售门店个数、授权门店个数、在售率。</w:t>
            </w:r>
          </w:p>
          <w:p w14:paraId="7B41608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实时销量TOP10门店</w:t>
            </w:r>
            <w:r>
              <w:rPr>
                <w:rFonts w:hint="eastAsia" w:ascii="宋体" w:hAnsi="宋体" w:eastAsia="宋体" w:cs="宋体"/>
                <w:kern w:val="0"/>
                <w:sz w:val="21"/>
                <w:szCs w:val="21"/>
              </w:rPr>
              <w:t>：展示竞彩/传足实时销量TOP10门店，包含门店排名、门店编号、门店所属地市、销量、票数、单票金额。</w:t>
            </w:r>
          </w:p>
        </w:tc>
      </w:tr>
      <w:tr w14:paraId="04CC0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pct"/>
            <w:vMerge w:val="continue"/>
          </w:tcPr>
          <w:p w14:paraId="0CDD0043">
            <w:pPr>
              <w:spacing w:line="560" w:lineRule="exact"/>
              <w:ind w:firstLine="0" w:firstLineChars="0"/>
              <w:jc w:val="center"/>
              <w:rPr>
                <w:rFonts w:hint="eastAsia" w:ascii="宋体" w:hAnsi="宋体" w:eastAsia="宋体" w:cs="宋体"/>
                <w:kern w:val="0"/>
                <w:sz w:val="21"/>
                <w:szCs w:val="21"/>
              </w:rPr>
            </w:pPr>
          </w:p>
        </w:tc>
        <w:tc>
          <w:tcPr>
            <w:tcW w:w="616" w:type="pct"/>
            <w:vMerge w:val="continue"/>
          </w:tcPr>
          <w:p w14:paraId="64277112">
            <w:pPr>
              <w:spacing w:line="560" w:lineRule="exact"/>
              <w:ind w:firstLine="0" w:firstLineChars="0"/>
              <w:rPr>
                <w:rFonts w:hint="eastAsia" w:ascii="宋体" w:hAnsi="宋体" w:eastAsia="宋体" w:cs="宋体"/>
                <w:kern w:val="0"/>
                <w:sz w:val="21"/>
                <w:szCs w:val="21"/>
              </w:rPr>
            </w:pPr>
          </w:p>
        </w:tc>
        <w:tc>
          <w:tcPr>
            <w:tcW w:w="3985" w:type="pct"/>
          </w:tcPr>
          <w:p w14:paraId="6C1EAAAF">
            <w:pPr>
              <w:numPr>
                <w:ilvl w:val="0"/>
                <w:numId w:val="2"/>
              </w:numPr>
              <w:tabs>
                <w:tab w:val="left" w:pos="741"/>
              </w:tabs>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即开专题</w:t>
            </w:r>
          </w:p>
          <w:p w14:paraId="7091FA7D">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对接即开游戏数据，展示全省即开票库存总量、即开销量、库存周数、各地市的库存情况汇总，为省中心提供即开业务的各维度监控，便于对即开票的库存情况进行及时了解，提前准备。</w:t>
            </w:r>
          </w:p>
          <w:p w14:paraId="0A97195B">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b/>
                <w:bCs/>
                <w:kern w:val="0"/>
                <w:sz w:val="21"/>
                <w:szCs w:val="21"/>
              </w:rPr>
              <w:t>实际销量：</w:t>
            </w:r>
            <w:r>
              <w:rPr>
                <w:rFonts w:hint="eastAsia" w:ascii="宋体" w:hAnsi="宋体" w:eastAsia="宋体" w:cs="宋体"/>
                <w:kern w:val="0"/>
                <w:sz w:val="21"/>
                <w:szCs w:val="21"/>
              </w:rPr>
              <w:t>最近4个完整周的周均即开销量。</w:t>
            </w:r>
          </w:p>
          <w:p w14:paraId="09421D3E">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b/>
                <w:bCs/>
                <w:kern w:val="0"/>
                <w:sz w:val="21"/>
                <w:szCs w:val="21"/>
              </w:rPr>
              <w:t>库存周数：</w:t>
            </w:r>
            <w:r>
              <w:rPr>
                <w:rFonts w:hint="eastAsia" w:ascii="宋体" w:hAnsi="宋体" w:eastAsia="宋体" w:cs="宋体"/>
                <w:kern w:val="0"/>
                <w:sz w:val="21"/>
                <w:szCs w:val="21"/>
              </w:rPr>
              <w:t>库存周数=库存总量/实际销量。</w:t>
            </w:r>
          </w:p>
          <w:p w14:paraId="0A09539A">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b/>
                <w:bCs/>
                <w:kern w:val="0"/>
                <w:sz w:val="21"/>
                <w:szCs w:val="21"/>
              </w:rPr>
              <w:t>排名、销售代表姓名、库存周数：按不同类型销售代表的库存周数进行排名展示：</w:t>
            </w:r>
            <w:r>
              <w:rPr>
                <w:rFonts w:hint="eastAsia" w:ascii="宋体" w:hAnsi="宋体" w:eastAsia="宋体" w:cs="宋体"/>
                <w:kern w:val="0"/>
                <w:sz w:val="21"/>
                <w:szCs w:val="21"/>
              </w:rPr>
              <w:t>库存周数的计算公式与全省即开票库存周数的计算口径一致。</w:t>
            </w:r>
          </w:p>
          <w:p w14:paraId="4F9290EF">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b/>
                <w:bCs/>
                <w:kern w:val="0"/>
                <w:sz w:val="21"/>
                <w:szCs w:val="21"/>
              </w:rPr>
              <w:t>实体店库存、大客户库存、库存汇总、库存周转：</w:t>
            </w:r>
            <w:r>
              <w:rPr>
                <w:rFonts w:hint="eastAsia" w:ascii="宋体" w:hAnsi="宋体" w:eastAsia="宋体" w:cs="宋体"/>
                <w:kern w:val="0"/>
                <w:sz w:val="21"/>
                <w:szCs w:val="21"/>
              </w:rPr>
              <w:t>开始和结束日期选择过去的完整周，表格数据基于完整周的数据进行统计。</w:t>
            </w:r>
          </w:p>
          <w:p w14:paraId="25437483">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b/>
                <w:bCs/>
                <w:kern w:val="0"/>
                <w:sz w:val="21"/>
                <w:szCs w:val="21"/>
              </w:rPr>
              <w:t>库存周数、地市、实体店、销售代表：</w:t>
            </w:r>
            <w:r>
              <w:rPr>
                <w:rFonts w:hint="eastAsia" w:ascii="宋体" w:hAnsi="宋体" w:eastAsia="宋体" w:cs="宋体"/>
                <w:kern w:val="0"/>
                <w:sz w:val="21"/>
                <w:szCs w:val="21"/>
              </w:rPr>
              <w:t>展示每个地市的销售代表库存和实体店库存、库存周数，计算口径与省即开票库存及库存周数保持一致。</w:t>
            </w:r>
          </w:p>
          <w:p w14:paraId="26408AE5">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b/>
                <w:bCs/>
                <w:kern w:val="0"/>
                <w:sz w:val="21"/>
                <w:szCs w:val="21"/>
              </w:rPr>
              <w:t>各地市库存周数、库存汇总、实际销量：</w:t>
            </w:r>
            <w:r>
              <w:rPr>
                <w:rFonts w:hint="eastAsia" w:ascii="宋体" w:hAnsi="宋体" w:eastAsia="宋体" w:cs="宋体"/>
                <w:kern w:val="0"/>
                <w:sz w:val="21"/>
                <w:szCs w:val="21"/>
              </w:rPr>
              <w:t>展示每个地市的总库存、实际销量、库存周数。</w:t>
            </w:r>
          </w:p>
          <w:p w14:paraId="0494C4CD">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kern w:val="0"/>
                <w:sz w:val="21"/>
                <w:szCs w:val="21"/>
              </w:rPr>
              <w:t>排名、名称、面值、销量、库存：昨日销量TOP10的即开游戏排名、面值、日销量及昨日总库存。</w:t>
            </w:r>
          </w:p>
          <w:p w14:paraId="79271B65">
            <w:pPr>
              <w:snapToGrid w:val="0"/>
              <w:spacing w:line="560" w:lineRule="exact"/>
              <w:ind w:firstLine="0" w:firstLineChars="0"/>
              <w:rPr>
                <w:rFonts w:hint="eastAsia" w:ascii="宋体" w:hAnsi="宋体" w:eastAsia="宋体" w:cs="宋体"/>
                <w:snapToGrid w:val="0"/>
                <w:kern w:val="0"/>
                <w:sz w:val="21"/>
                <w:szCs w:val="21"/>
              </w:rPr>
            </w:pPr>
            <w:r>
              <w:rPr>
                <w:rFonts w:hint="eastAsia" w:ascii="宋体" w:hAnsi="宋体" w:eastAsia="宋体" w:cs="宋体"/>
                <w:b/>
                <w:bCs/>
                <w:kern w:val="0"/>
                <w:sz w:val="21"/>
                <w:szCs w:val="21"/>
              </w:rPr>
              <w:t>各地市库存汇总、地市库存、销售代表库存、实体店库存、库存周数</w:t>
            </w:r>
            <w:r>
              <w:rPr>
                <w:rFonts w:hint="eastAsia" w:ascii="宋体" w:hAnsi="宋体" w:eastAsia="宋体" w:cs="宋体"/>
                <w:kern w:val="0"/>
                <w:sz w:val="21"/>
                <w:szCs w:val="21"/>
              </w:rPr>
              <w:t>：展示每个地市的总库存、地市仓库库存、销售代表库存和实体店库存，库存总量及库存周数。</w:t>
            </w:r>
          </w:p>
        </w:tc>
      </w:tr>
      <w:tr w14:paraId="36E1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pct"/>
            <w:vMerge w:val="restart"/>
            <w:vAlign w:val="center"/>
          </w:tcPr>
          <w:p w14:paraId="772F8115">
            <w:pPr>
              <w:spacing w:line="560" w:lineRule="exact"/>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16" w:type="pct"/>
            <w:vMerge w:val="restart"/>
            <w:vAlign w:val="center"/>
          </w:tcPr>
          <w:p w14:paraId="7CF8A920">
            <w:pPr>
              <w:pStyle w:val="4"/>
              <w:spacing w:line="560" w:lineRule="exact"/>
              <w:ind w:firstLine="0" w:firstLineChars="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销售管理部数字可视化系统服务</w:t>
            </w:r>
          </w:p>
        </w:tc>
        <w:tc>
          <w:tcPr>
            <w:tcW w:w="3985" w:type="pct"/>
          </w:tcPr>
          <w:p w14:paraId="65757056">
            <w:pPr>
              <w:tabs>
                <w:tab w:val="left" w:pos="312"/>
              </w:tabs>
              <w:spacing w:line="560" w:lineRule="exact"/>
              <w:ind w:firstLine="0" w:firstLineChars="0"/>
              <w:rPr>
                <w:rFonts w:hint="eastAsia" w:ascii="宋体" w:hAnsi="宋体" w:eastAsia="宋体" w:cs="宋体"/>
                <w:kern w:val="0"/>
                <w:sz w:val="21"/>
                <w:szCs w:val="21"/>
              </w:rPr>
            </w:pPr>
            <w:r>
              <w:rPr>
                <w:rFonts w:hint="eastAsia" w:ascii="宋体" w:hAnsi="宋体" w:eastAsia="宋体" w:cs="宋体"/>
                <w:bCs/>
                <w:kern w:val="0"/>
                <w:sz w:val="21"/>
                <w:szCs w:val="21"/>
              </w:rPr>
              <w:t>1.合规监管主屏</w:t>
            </w:r>
          </w:p>
          <w:p w14:paraId="48116AE3">
            <w:pPr>
              <w:widowControl/>
              <w:spacing w:line="560" w:lineRule="exact"/>
              <w:ind w:firstLine="0" w:firstLineChars="0"/>
              <w:rPr>
                <w:rFonts w:hint="eastAsia" w:ascii="宋体" w:hAnsi="宋体" w:eastAsia="宋体" w:cs="宋体"/>
                <w:b/>
                <w:kern w:val="0"/>
                <w:sz w:val="21"/>
                <w:szCs w:val="21"/>
              </w:rPr>
            </w:pPr>
            <w:r>
              <w:rPr>
                <w:rFonts w:hint="eastAsia" w:ascii="宋体" w:hAnsi="宋体" w:eastAsia="宋体" w:cs="宋体"/>
                <w:kern w:val="0"/>
                <w:sz w:val="21"/>
                <w:szCs w:val="21"/>
              </w:rPr>
              <w:t>云南省地市中心管理人员可以通过合规监管主屏快速掌握全市和各地区的彩票合规情况，及时发现各类异常以及潜在的风险，做到及时处理，及时自查，及时规避。通过与体彩核心生产交易系统、实体渠道管理系统的数据交换和数据集成，可以实时获取门店分布、在售门店数、授权终端数等渠道相关数据。</w:t>
            </w:r>
          </w:p>
          <w:p w14:paraId="4EDB4402">
            <w:pPr>
              <w:widowControl/>
              <w:spacing w:line="560" w:lineRule="exact"/>
              <w:ind w:firstLine="0" w:firstLineChars="0"/>
              <w:rPr>
                <w:rFonts w:hint="eastAsia" w:ascii="宋体" w:hAnsi="宋体" w:eastAsia="宋体" w:cs="宋体"/>
                <w:b/>
                <w:kern w:val="0"/>
                <w:sz w:val="21"/>
                <w:szCs w:val="21"/>
              </w:rPr>
            </w:pPr>
            <w:r>
              <w:rPr>
                <w:rFonts w:hint="eastAsia" w:ascii="宋体" w:hAnsi="宋体" w:eastAsia="宋体" w:cs="宋体"/>
                <w:b/>
                <w:kern w:val="0"/>
                <w:sz w:val="21"/>
                <w:szCs w:val="21"/>
              </w:rPr>
              <w:t>终端机实时监管：</w:t>
            </w:r>
            <w:r>
              <w:rPr>
                <w:rFonts w:hint="eastAsia" w:ascii="宋体" w:hAnsi="宋体" w:eastAsia="宋体" w:cs="宋体"/>
                <w:kern w:val="0"/>
                <w:sz w:val="21"/>
                <w:szCs w:val="21"/>
              </w:rPr>
              <w:t>对于全市的在售终端数和在线终端数和开机率进行实时监控。</w:t>
            </w:r>
          </w:p>
          <w:p w14:paraId="440782AE">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全市</w:t>
            </w:r>
            <w:r>
              <w:rPr>
                <w:rFonts w:hint="eastAsia" w:ascii="宋体" w:hAnsi="宋体" w:eastAsia="宋体" w:cs="宋体"/>
                <w:b/>
                <w:kern w:val="0"/>
                <w:sz w:val="21"/>
                <w:szCs w:val="21"/>
              </w:rPr>
              <w:t>门店开机趋势：</w:t>
            </w:r>
            <w:r>
              <w:rPr>
                <w:rFonts w:hint="eastAsia" w:ascii="宋体" w:hAnsi="宋体" w:eastAsia="宋体" w:cs="宋体"/>
                <w:kern w:val="0"/>
                <w:sz w:val="21"/>
                <w:szCs w:val="21"/>
              </w:rPr>
              <w:t>10min更新一次数据。</w:t>
            </w:r>
          </w:p>
          <w:p w14:paraId="640ED130">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全市开关机、摄像头分布、异常情况地图化展示：</w:t>
            </w:r>
            <w:r>
              <w:rPr>
                <w:rFonts w:hint="eastAsia" w:ascii="宋体" w:hAnsi="宋体" w:eastAsia="宋体" w:cs="宋体"/>
                <w:kern w:val="0"/>
                <w:sz w:val="21"/>
                <w:szCs w:val="21"/>
              </w:rPr>
              <w:t>用不同图标进行区分显示，也可以通过复选框选择需要在地图上展示的内容。鼠标悬浮图标，会显示该门店的基本情况，包括门店编号、地址、业主姓名电话、专管员姓名电话、异常情况。点击图标，会进入合规监管子屏。</w:t>
            </w:r>
          </w:p>
          <w:p w14:paraId="0C9B064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隐藏的“门店搜索框”：</w:t>
            </w:r>
            <w:r>
              <w:rPr>
                <w:rFonts w:hint="eastAsia" w:ascii="宋体" w:hAnsi="宋体" w:eastAsia="宋体" w:cs="宋体"/>
                <w:kern w:val="0"/>
                <w:sz w:val="21"/>
                <w:szCs w:val="21"/>
              </w:rPr>
              <w:t>地图左下角鼠标悬浮，即可出现门店搜索框，输入门店编号，回车，即可快速定位查找的门店。</w:t>
            </w:r>
          </w:p>
          <w:p w14:paraId="6815AF17">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全市各类门店数量统计：</w:t>
            </w:r>
            <w:r>
              <w:rPr>
                <w:rFonts w:hint="eastAsia" w:ascii="宋体" w:hAnsi="宋体" w:eastAsia="宋体" w:cs="宋体"/>
                <w:kern w:val="0"/>
                <w:sz w:val="21"/>
                <w:szCs w:val="21"/>
              </w:rPr>
              <w:t>包括门店总数、单门店、多机店数量。</w:t>
            </w:r>
          </w:p>
          <w:p w14:paraId="64D2E6DC">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bCs/>
                <w:kern w:val="0"/>
                <w:sz w:val="21"/>
                <w:szCs w:val="21"/>
              </w:rPr>
              <w:t>风险告警播报</w:t>
            </w:r>
            <w:r>
              <w:rPr>
                <w:rFonts w:hint="eastAsia" w:ascii="宋体" w:hAnsi="宋体" w:eastAsia="宋体" w:cs="宋体"/>
                <w:kern w:val="0"/>
                <w:sz w:val="21"/>
                <w:szCs w:val="21"/>
              </w:rPr>
              <w:t>：实时播报全市的各类风险告警，并可通过门店编号直接下钻到门店。</w:t>
            </w:r>
          </w:p>
        </w:tc>
      </w:tr>
      <w:tr w14:paraId="1029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pct"/>
            <w:vMerge w:val="continue"/>
            <w:vAlign w:val="center"/>
          </w:tcPr>
          <w:p w14:paraId="0C91BE20">
            <w:pPr>
              <w:spacing w:line="560" w:lineRule="exact"/>
              <w:ind w:firstLine="0" w:firstLineChars="0"/>
              <w:jc w:val="center"/>
              <w:rPr>
                <w:rFonts w:hint="eastAsia" w:ascii="宋体" w:hAnsi="宋体" w:eastAsia="宋体" w:cs="宋体"/>
                <w:kern w:val="0"/>
                <w:sz w:val="21"/>
                <w:szCs w:val="21"/>
              </w:rPr>
            </w:pPr>
          </w:p>
        </w:tc>
        <w:tc>
          <w:tcPr>
            <w:tcW w:w="616" w:type="pct"/>
            <w:vMerge w:val="continue"/>
            <w:shd w:val="clear" w:color="auto" w:fill="auto"/>
            <w:vAlign w:val="center"/>
          </w:tcPr>
          <w:p w14:paraId="042D9E03">
            <w:pPr>
              <w:spacing w:line="560" w:lineRule="exact"/>
              <w:ind w:firstLine="0" w:firstLineChars="0"/>
              <w:jc w:val="center"/>
              <w:rPr>
                <w:rFonts w:hint="eastAsia" w:ascii="宋体" w:hAnsi="宋体" w:eastAsia="宋体" w:cs="宋体"/>
                <w:kern w:val="0"/>
                <w:sz w:val="21"/>
                <w:szCs w:val="21"/>
              </w:rPr>
            </w:pPr>
          </w:p>
        </w:tc>
        <w:tc>
          <w:tcPr>
            <w:tcW w:w="3985" w:type="pct"/>
            <w:shd w:val="clear" w:color="auto" w:fill="auto"/>
          </w:tcPr>
          <w:p w14:paraId="507B7680">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2.合规监管子屏</w:t>
            </w:r>
          </w:p>
          <w:p w14:paraId="4F13943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地市中心管理人员可以通过合规监管主屏的地图下钻到合规监管子屏，工作人员可通过合规监管子屏查看异常门店的详细信息。</w:t>
            </w:r>
          </w:p>
          <w:p w14:paraId="53AEDDEB">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门店基本信息：</w:t>
            </w:r>
            <w:r>
              <w:rPr>
                <w:rFonts w:hint="eastAsia" w:ascii="宋体" w:hAnsi="宋体" w:eastAsia="宋体" w:cs="宋体"/>
                <w:kern w:val="0"/>
                <w:sz w:val="21"/>
                <w:szCs w:val="21"/>
              </w:rPr>
              <w:t>展示门店业主、专管员的姓名和手机号，省中心发现异常能够及时联系到责任人。</w:t>
            </w:r>
          </w:p>
          <w:p w14:paraId="2346F12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门店销量监控：</w:t>
            </w:r>
            <w:r>
              <w:rPr>
                <w:rFonts w:hint="eastAsia" w:ascii="宋体" w:hAnsi="宋体" w:eastAsia="宋体" w:cs="宋体"/>
                <w:kern w:val="0"/>
                <w:sz w:val="21"/>
                <w:szCs w:val="21"/>
              </w:rPr>
              <w:t>展示门店当日销量和票数情况，横坐标为00:00-24:00。</w:t>
            </w:r>
          </w:p>
          <w:p w14:paraId="4FF8FCEE">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门店各游戏销量占比：</w:t>
            </w:r>
            <w:r>
              <w:rPr>
                <w:rFonts w:hint="eastAsia" w:ascii="宋体" w:hAnsi="宋体" w:eastAsia="宋体" w:cs="宋体"/>
                <w:kern w:val="0"/>
                <w:sz w:val="21"/>
                <w:szCs w:val="21"/>
              </w:rPr>
              <w:t>展示当日该门店各类游戏的销量组成。</w:t>
            </w:r>
          </w:p>
          <w:p w14:paraId="19188255">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门店实时监控：</w:t>
            </w:r>
            <w:r>
              <w:rPr>
                <w:rFonts w:hint="eastAsia" w:ascii="宋体" w:hAnsi="宋体" w:eastAsia="宋体" w:cs="宋体"/>
                <w:kern w:val="0"/>
                <w:sz w:val="21"/>
                <w:szCs w:val="21"/>
              </w:rPr>
              <w:t>与第三方摄像头对接。可以进行语音，云台控制等操作来监控门店的物料摆放是否符合要求、销售员的操作是否合规等。</w:t>
            </w:r>
          </w:p>
          <w:p w14:paraId="0311766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门店风险情况：</w:t>
            </w:r>
            <w:r>
              <w:rPr>
                <w:rFonts w:hint="eastAsia" w:ascii="宋体" w:hAnsi="宋体" w:eastAsia="宋体" w:cs="宋体"/>
                <w:kern w:val="0"/>
                <w:sz w:val="21"/>
                <w:szCs w:val="21"/>
              </w:rPr>
              <w:t>展示该门店的风险历史，包含已处理、未处理、处理中三类状态的风险。</w:t>
            </w:r>
          </w:p>
          <w:p w14:paraId="6BF174C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门店下属终端：</w:t>
            </w:r>
            <w:r>
              <w:rPr>
                <w:rFonts w:hint="eastAsia" w:ascii="宋体" w:hAnsi="宋体" w:eastAsia="宋体" w:cs="宋体"/>
                <w:kern w:val="0"/>
                <w:sz w:val="21"/>
                <w:szCs w:val="21"/>
              </w:rPr>
              <w:t>分两个部分。表格门店下属终端的基本情况，包含销售终端编号、投注渠道类型、业务状态、控制状态。时间轴展示各终端的操作记录，操作包含开机、停机、暂停、恢复、撤销。</w:t>
            </w:r>
          </w:p>
          <w:p w14:paraId="1C93461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门店位置以及终端偏移情况：</w:t>
            </w:r>
            <w:r>
              <w:rPr>
                <w:rFonts w:hint="eastAsia" w:ascii="宋体" w:hAnsi="宋体" w:eastAsia="宋体" w:cs="宋体"/>
                <w:kern w:val="0"/>
                <w:sz w:val="21"/>
                <w:szCs w:val="21"/>
              </w:rPr>
              <w:t>门店位置和门店下终端位置地图化展示，直观展示终端是否存在偏移情况。</w:t>
            </w:r>
          </w:p>
        </w:tc>
      </w:tr>
      <w:tr w14:paraId="4B54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pct"/>
            <w:vMerge w:val="continue"/>
            <w:vAlign w:val="center"/>
          </w:tcPr>
          <w:p w14:paraId="01525BA6">
            <w:pPr>
              <w:spacing w:line="560" w:lineRule="exact"/>
              <w:ind w:firstLine="0" w:firstLineChars="0"/>
              <w:jc w:val="center"/>
              <w:rPr>
                <w:rFonts w:hint="eastAsia" w:ascii="宋体" w:hAnsi="宋体" w:eastAsia="宋体" w:cs="宋体"/>
                <w:kern w:val="0"/>
                <w:sz w:val="21"/>
                <w:szCs w:val="21"/>
              </w:rPr>
            </w:pPr>
          </w:p>
        </w:tc>
        <w:tc>
          <w:tcPr>
            <w:tcW w:w="616" w:type="pct"/>
            <w:vMerge w:val="continue"/>
            <w:shd w:val="clear" w:color="auto" w:fill="auto"/>
            <w:vAlign w:val="center"/>
          </w:tcPr>
          <w:p w14:paraId="685D1B6B">
            <w:pPr>
              <w:spacing w:line="560" w:lineRule="exact"/>
              <w:ind w:firstLine="0" w:firstLineChars="0"/>
              <w:jc w:val="center"/>
              <w:rPr>
                <w:rFonts w:hint="eastAsia" w:ascii="宋体" w:hAnsi="宋体" w:eastAsia="宋体" w:cs="宋体"/>
                <w:kern w:val="0"/>
                <w:sz w:val="21"/>
                <w:szCs w:val="21"/>
              </w:rPr>
            </w:pPr>
          </w:p>
        </w:tc>
        <w:tc>
          <w:tcPr>
            <w:tcW w:w="3985" w:type="pct"/>
            <w:shd w:val="clear" w:color="auto" w:fill="auto"/>
          </w:tcPr>
          <w:p w14:paraId="3CC37DB8">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3.数据分析</w:t>
            </w:r>
          </w:p>
          <w:p w14:paraId="6A1F41D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数据分析屏通过可视化分析，把地市中心的综合数据清晰地呈现出来，可以提升沟通效率，避免枯燥数据报表对决策效率影响，也可用于对外展示，使来访者对于地市中心的彩票销售情况有更加直观的感受。</w:t>
            </w:r>
          </w:p>
          <w:p w14:paraId="132EAD14">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本年度累计销量和公益金：</w:t>
            </w:r>
            <w:r>
              <w:rPr>
                <w:rFonts w:hint="eastAsia" w:ascii="宋体" w:hAnsi="宋体" w:eastAsia="宋体" w:cs="宋体"/>
                <w:kern w:val="0"/>
                <w:sz w:val="21"/>
                <w:szCs w:val="21"/>
              </w:rPr>
              <w:t>展示本地市本年度截止到当前的累积销量和计提公益金。</w:t>
            </w:r>
          </w:p>
          <w:p w14:paraId="3D6B0245">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本年度任务完成情况：</w:t>
            </w:r>
            <w:r>
              <w:rPr>
                <w:rFonts w:hint="eastAsia" w:ascii="宋体" w:hAnsi="宋体" w:eastAsia="宋体" w:cs="宋体"/>
                <w:kern w:val="0"/>
                <w:sz w:val="21"/>
                <w:szCs w:val="21"/>
              </w:rPr>
              <w:t>省中心可以通过管理端设置本年度的销售目标，大屏会根据当前销量计算出任务完成百分比。从根据实际销量进度和自然月表盘，可判断任务是超前完成还是有延期风险。</w:t>
            </w:r>
          </w:p>
          <w:p w14:paraId="3074EF9C">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任务达成彩蛋：</w:t>
            </w:r>
            <w:r>
              <w:rPr>
                <w:rFonts w:hint="eastAsia" w:ascii="宋体" w:hAnsi="宋体" w:eastAsia="宋体" w:cs="宋体"/>
                <w:kern w:val="0"/>
                <w:sz w:val="21"/>
                <w:szCs w:val="21"/>
              </w:rPr>
              <w:t>年度任务达成会触发“彩蛋”弹框。包含任务达成时刻以及总目标。</w:t>
            </w:r>
          </w:p>
          <w:p w14:paraId="2B421230">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银行缴款交易量排行：</w:t>
            </w:r>
            <w:r>
              <w:rPr>
                <w:rFonts w:hint="eastAsia" w:ascii="宋体" w:hAnsi="宋体" w:eastAsia="宋体" w:cs="宋体"/>
                <w:kern w:val="0"/>
                <w:sz w:val="21"/>
                <w:szCs w:val="21"/>
              </w:rPr>
              <w:t>展示今日缴款金额排名前五的银行以及各银行当前的缴款金额和缴款笔数，15分钟更新一次。</w:t>
            </w:r>
          </w:p>
          <w:p w14:paraId="3DBADC0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今日销售额：</w:t>
            </w:r>
            <w:r>
              <w:rPr>
                <w:rFonts w:hint="eastAsia" w:ascii="宋体" w:hAnsi="宋体" w:eastAsia="宋体" w:cs="宋体"/>
                <w:kern w:val="0"/>
                <w:sz w:val="21"/>
                <w:szCs w:val="21"/>
              </w:rPr>
              <w:t>以秒级速度实时更新今日销售额。将日均销售额展示在今日销售额下方，作为参照。</w:t>
            </w:r>
          </w:p>
          <w:p w14:paraId="1E97E3A3">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昨日销售额：</w:t>
            </w:r>
            <w:r>
              <w:rPr>
                <w:rFonts w:hint="eastAsia" w:ascii="宋体" w:hAnsi="宋体" w:eastAsia="宋体" w:cs="宋体"/>
                <w:kern w:val="0"/>
                <w:sz w:val="21"/>
                <w:szCs w:val="21"/>
              </w:rPr>
              <w:t>鼠标悬浮，显示昨日各类游戏的销售额。</w:t>
            </w:r>
          </w:p>
          <w:p w14:paraId="091CE23E">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今日销售票数：</w:t>
            </w:r>
            <w:r>
              <w:rPr>
                <w:rFonts w:hint="eastAsia" w:ascii="宋体" w:hAnsi="宋体" w:eastAsia="宋体" w:cs="宋体"/>
                <w:kern w:val="0"/>
                <w:sz w:val="21"/>
                <w:szCs w:val="21"/>
              </w:rPr>
              <w:t>以秒级速度实时更新今日销售票数，有一定的视觉冲击力。将单票平均金额展示在今日销售票数下方，作为参照。</w:t>
            </w:r>
          </w:p>
          <w:p w14:paraId="04326FF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昨日销售票数：</w:t>
            </w:r>
            <w:r>
              <w:rPr>
                <w:rFonts w:hint="eastAsia" w:ascii="宋体" w:hAnsi="宋体" w:eastAsia="宋体" w:cs="宋体"/>
                <w:kern w:val="0"/>
                <w:sz w:val="21"/>
                <w:szCs w:val="21"/>
              </w:rPr>
              <w:t>鼠标悬浮，显示昨日各类游戏的销售票数。</w:t>
            </w:r>
          </w:p>
          <w:p w14:paraId="4668BDB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各类游戏当日累计销量和票数：</w:t>
            </w:r>
            <w:r>
              <w:rPr>
                <w:rFonts w:hint="eastAsia" w:ascii="宋体" w:hAnsi="宋体" w:eastAsia="宋体" w:cs="宋体"/>
                <w:kern w:val="0"/>
                <w:sz w:val="21"/>
                <w:szCs w:val="21"/>
              </w:rPr>
              <w:t>分别展示乐透、竞猜、即开的销量和票数，实时更新。</w:t>
            </w:r>
          </w:p>
          <w:p w14:paraId="7DD4E39D">
            <w:pPr>
              <w:spacing w:line="560" w:lineRule="exact"/>
              <w:ind w:firstLine="0" w:firstLineChars="0"/>
              <w:rPr>
                <w:rFonts w:hint="eastAsia" w:ascii="宋体" w:hAnsi="宋体" w:eastAsia="宋体" w:cs="宋体"/>
                <w:kern w:val="0"/>
                <w:sz w:val="21"/>
                <w:szCs w:val="21"/>
                <w:highlight w:val="yellow"/>
              </w:rPr>
            </w:pPr>
            <w:r>
              <w:rPr>
                <w:rFonts w:hint="eastAsia" w:ascii="宋体" w:hAnsi="宋体" w:eastAsia="宋体" w:cs="宋体"/>
                <w:b/>
                <w:kern w:val="0"/>
                <w:sz w:val="21"/>
                <w:szCs w:val="21"/>
              </w:rPr>
              <w:t>各地市销售情况热力图：</w:t>
            </w:r>
            <w:r>
              <w:rPr>
                <w:rFonts w:hint="eastAsia" w:ascii="宋体" w:hAnsi="宋体" w:eastAsia="宋体" w:cs="宋体"/>
                <w:kern w:val="0"/>
                <w:sz w:val="21"/>
                <w:szCs w:val="21"/>
              </w:rPr>
              <w:t>包含各地市截止到当前的年度总销量、销售额占比、各地市各类游戏的销量。可查看各地市销量和销量排名。</w:t>
            </w:r>
          </w:p>
          <w:p w14:paraId="5DCF596D">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今日销量、票数情况监控：</w:t>
            </w:r>
            <w:r>
              <w:rPr>
                <w:rFonts w:hint="eastAsia" w:ascii="宋体" w:hAnsi="宋体" w:eastAsia="宋体" w:cs="宋体"/>
                <w:kern w:val="0"/>
                <w:sz w:val="21"/>
                <w:szCs w:val="21"/>
              </w:rPr>
              <w:t>总销量、票数情况1min更新一次，乐透、竞猜、即开销量票数情况1min更新一次。鼠标悬浮，可看到各时间点的销售情况。</w:t>
            </w:r>
          </w:p>
          <w:p w14:paraId="735D7FE7">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各类游戏销售份额占比：</w:t>
            </w:r>
            <w:r>
              <w:rPr>
                <w:rFonts w:hint="eastAsia" w:ascii="宋体" w:hAnsi="宋体" w:eastAsia="宋体" w:cs="宋体"/>
                <w:kern w:val="0"/>
                <w:sz w:val="21"/>
                <w:szCs w:val="21"/>
              </w:rPr>
              <w:t>展示本省乐透、竞猜、即开游戏的销售额占比情况。</w:t>
            </w:r>
          </w:p>
          <w:p w14:paraId="6E04F6EF">
            <w:pPr>
              <w:pStyle w:val="4"/>
              <w:spacing w:line="560" w:lineRule="exact"/>
              <w:ind w:firstLine="0" w:firstLineChars="0"/>
              <w:rPr>
                <w:rFonts w:hint="eastAsia" w:ascii="宋体" w:hAnsi="宋体" w:eastAsia="宋体" w:cs="宋体"/>
                <w:sz w:val="21"/>
                <w:szCs w:val="21"/>
              </w:rPr>
            </w:pPr>
            <w:r>
              <w:rPr>
                <w:rFonts w:hint="eastAsia" w:ascii="宋体" w:hAnsi="宋体" w:eastAsia="宋体" w:cs="宋体"/>
                <w:sz w:val="21"/>
                <w:szCs w:val="21"/>
              </w:rPr>
              <w:t>地市门店销量走势：展示本地市当年总销量的变幅走势。</w:t>
            </w:r>
          </w:p>
        </w:tc>
      </w:tr>
      <w:tr w14:paraId="617BF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pct"/>
            <w:vMerge w:val="continue"/>
            <w:vAlign w:val="center"/>
          </w:tcPr>
          <w:p w14:paraId="44730476">
            <w:pPr>
              <w:spacing w:line="560" w:lineRule="exact"/>
              <w:ind w:firstLine="0" w:firstLineChars="0"/>
              <w:jc w:val="center"/>
              <w:rPr>
                <w:rFonts w:hint="eastAsia" w:ascii="宋体" w:hAnsi="宋体" w:eastAsia="宋体" w:cs="宋体"/>
                <w:kern w:val="0"/>
                <w:sz w:val="21"/>
                <w:szCs w:val="21"/>
              </w:rPr>
            </w:pPr>
          </w:p>
        </w:tc>
        <w:tc>
          <w:tcPr>
            <w:tcW w:w="616" w:type="pct"/>
            <w:vMerge w:val="continue"/>
            <w:shd w:val="clear" w:color="auto" w:fill="auto"/>
            <w:vAlign w:val="center"/>
          </w:tcPr>
          <w:p w14:paraId="0760E059">
            <w:pPr>
              <w:spacing w:line="560" w:lineRule="exact"/>
              <w:ind w:firstLine="0" w:firstLineChars="0"/>
              <w:jc w:val="center"/>
              <w:rPr>
                <w:rFonts w:hint="eastAsia" w:ascii="宋体" w:hAnsi="宋体" w:eastAsia="宋体" w:cs="宋体"/>
                <w:kern w:val="0"/>
                <w:sz w:val="21"/>
                <w:szCs w:val="21"/>
              </w:rPr>
            </w:pPr>
          </w:p>
        </w:tc>
        <w:tc>
          <w:tcPr>
            <w:tcW w:w="3985" w:type="pct"/>
            <w:shd w:val="clear" w:color="auto" w:fill="auto"/>
          </w:tcPr>
          <w:p w14:paraId="24E3A59D">
            <w:pPr>
              <w:tabs>
                <w:tab w:val="left" w:pos="690"/>
              </w:tabs>
              <w:spacing w:line="560" w:lineRule="exact"/>
              <w:ind w:right="-50" w:rightChars="-24"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4.巡检管理</w:t>
            </w:r>
          </w:p>
          <w:p w14:paraId="6CF179C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对接实体渠道系统巡检数据，可视化展示专管员和各地市巡检的执行情况，通过地图下钻可看到各门店的巡检情况，为决策和考核提供依据。</w:t>
            </w:r>
          </w:p>
          <w:p w14:paraId="306A9A9D">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全省年度累计巡检次数：</w:t>
            </w:r>
            <w:r>
              <w:rPr>
                <w:rFonts w:hint="eastAsia" w:ascii="宋体" w:hAnsi="宋体" w:eastAsia="宋体" w:cs="宋体"/>
                <w:kern w:val="0"/>
                <w:sz w:val="21"/>
                <w:szCs w:val="21"/>
              </w:rPr>
              <w:t>展示全省本年度组织巡检的次数。</w:t>
            </w:r>
          </w:p>
          <w:p w14:paraId="6B51F81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巡检时间、巡检任务可选：</w:t>
            </w:r>
            <w:r>
              <w:rPr>
                <w:rFonts w:hint="eastAsia" w:ascii="宋体" w:hAnsi="宋体" w:eastAsia="宋体" w:cs="宋体"/>
                <w:kern w:val="0"/>
                <w:sz w:val="21"/>
                <w:szCs w:val="21"/>
              </w:rPr>
              <w:t>通过选择巡检时间段、具体的巡检任务，可以查看各地市巡检任务的执行完成情况。</w:t>
            </w:r>
          </w:p>
          <w:p w14:paraId="6A891C5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专管员排行：</w:t>
            </w:r>
            <w:r>
              <w:rPr>
                <w:rFonts w:hint="eastAsia" w:ascii="宋体" w:hAnsi="宋体" w:eastAsia="宋体" w:cs="宋体"/>
                <w:kern w:val="0"/>
                <w:sz w:val="21"/>
                <w:szCs w:val="21"/>
              </w:rPr>
              <w:t>根据任务完成度，对全省专管员进行排行，展示排名前五的专管员姓名、区域和任务完成度。</w:t>
            </w:r>
          </w:p>
          <w:p w14:paraId="0EF20767">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地市巡检排行：</w:t>
            </w:r>
            <w:r>
              <w:rPr>
                <w:rFonts w:hint="eastAsia" w:ascii="宋体" w:hAnsi="宋体" w:eastAsia="宋体" w:cs="宋体"/>
                <w:kern w:val="0"/>
                <w:sz w:val="21"/>
                <w:szCs w:val="21"/>
              </w:rPr>
              <w:t>根据巡检完成率对各地市进行排名，展示排名前五的地市名称和组织巡检的次数。</w:t>
            </w:r>
          </w:p>
          <w:p w14:paraId="78B888E9">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巡检督查：</w:t>
            </w:r>
            <w:r>
              <w:rPr>
                <w:rFonts w:hint="eastAsia" w:ascii="宋体" w:hAnsi="宋体" w:eastAsia="宋体" w:cs="宋体"/>
                <w:kern w:val="0"/>
                <w:sz w:val="21"/>
                <w:szCs w:val="21"/>
              </w:rPr>
              <w:t>可以查看不同地市的巡检任务完成情况。地图展示、已巡检门店和待巡检门店的分布，鼠标浮动地图图标，显示门店编号、地址、专管员姓名手机和巡检时间。指标展示门店数量、专管员人数。</w:t>
            </w:r>
          </w:p>
          <w:p w14:paraId="74FEED7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各地市巡检情况：</w:t>
            </w:r>
            <w:r>
              <w:rPr>
                <w:rFonts w:hint="eastAsia" w:ascii="宋体" w:hAnsi="宋体" w:eastAsia="宋体" w:cs="宋体"/>
                <w:kern w:val="0"/>
                <w:sz w:val="21"/>
                <w:szCs w:val="21"/>
              </w:rPr>
              <w:t>巡检状态包含已完成，进行中和未建单。用堆叠图展示各地市的巡检情况。</w:t>
            </w:r>
          </w:p>
          <w:p w14:paraId="6DFC127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巡检进度统计：</w:t>
            </w:r>
            <w:r>
              <w:rPr>
                <w:rFonts w:hint="eastAsia" w:ascii="宋体" w:hAnsi="宋体" w:eastAsia="宋体" w:cs="宋体"/>
                <w:kern w:val="0"/>
                <w:sz w:val="21"/>
                <w:szCs w:val="21"/>
              </w:rPr>
              <w:t>巡检进度=已完成巡检/总巡检。展示全省的巡检完成进度。</w:t>
            </w:r>
          </w:p>
          <w:p w14:paraId="38F3963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巡检次数统计：</w:t>
            </w:r>
            <w:r>
              <w:rPr>
                <w:rFonts w:hint="eastAsia" w:ascii="宋体" w:hAnsi="宋体" w:eastAsia="宋体" w:cs="宋体"/>
                <w:kern w:val="0"/>
                <w:sz w:val="21"/>
                <w:szCs w:val="21"/>
              </w:rPr>
              <w:t>以时间维度展示本次巡检任务的执行次数的变化趋势。</w:t>
            </w:r>
          </w:p>
          <w:p w14:paraId="1AE685B7">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b/>
                <w:kern w:val="0"/>
                <w:sz w:val="21"/>
                <w:szCs w:val="21"/>
              </w:rPr>
              <w:t>示范门店公示：</w:t>
            </w:r>
            <w:r>
              <w:rPr>
                <w:rFonts w:hint="eastAsia" w:ascii="宋体" w:hAnsi="宋体" w:eastAsia="宋体" w:cs="宋体"/>
                <w:kern w:val="0"/>
                <w:sz w:val="21"/>
                <w:szCs w:val="21"/>
              </w:rPr>
              <w:t>展示本省的示范性门店，包含门店编号、专管员和所属地市。</w:t>
            </w:r>
          </w:p>
        </w:tc>
      </w:tr>
      <w:tr w14:paraId="5F2BE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pct"/>
            <w:vMerge w:val="continue"/>
            <w:vAlign w:val="center"/>
          </w:tcPr>
          <w:p w14:paraId="6E4A5AEA">
            <w:pPr>
              <w:spacing w:line="560" w:lineRule="exact"/>
              <w:ind w:firstLine="0" w:firstLineChars="0"/>
              <w:jc w:val="center"/>
              <w:rPr>
                <w:rFonts w:hint="eastAsia" w:ascii="宋体" w:hAnsi="宋体" w:eastAsia="宋体" w:cs="宋体"/>
                <w:kern w:val="0"/>
                <w:sz w:val="21"/>
                <w:szCs w:val="21"/>
              </w:rPr>
            </w:pPr>
          </w:p>
        </w:tc>
        <w:tc>
          <w:tcPr>
            <w:tcW w:w="616" w:type="pct"/>
            <w:vMerge w:val="continue"/>
            <w:vAlign w:val="center"/>
          </w:tcPr>
          <w:p w14:paraId="2D47EF87">
            <w:pPr>
              <w:spacing w:line="560" w:lineRule="exact"/>
              <w:ind w:firstLine="0" w:firstLineChars="0"/>
              <w:jc w:val="center"/>
              <w:rPr>
                <w:rFonts w:hint="eastAsia" w:ascii="宋体" w:hAnsi="宋体" w:eastAsia="宋体" w:cs="宋体"/>
                <w:kern w:val="0"/>
                <w:sz w:val="21"/>
                <w:szCs w:val="21"/>
              </w:rPr>
            </w:pPr>
          </w:p>
        </w:tc>
        <w:tc>
          <w:tcPr>
            <w:tcW w:w="3985" w:type="pct"/>
            <w:shd w:val="clear" w:color="auto" w:fill="auto"/>
          </w:tcPr>
          <w:p w14:paraId="2174C814">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5.业务促销</w:t>
            </w:r>
          </w:p>
          <w:p w14:paraId="14038F7D">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省中心可以通过业务促销屏实时监测促销活动效果以及各地市的参与情况，也可以借助该大屏对以往的促销活动进行分析，为用户提供洞见，响应地调整促销策略。主要内容包含对三大类促销（体验券促销、票面促销、安卓终端促销）进行监控分析。</w:t>
            </w:r>
          </w:p>
          <w:p w14:paraId="0469AF75">
            <w:pPr>
              <w:spacing w:line="560" w:lineRule="exact"/>
              <w:ind w:firstLine="0" w:firstLineChars="0"/>
              <w:rPr>
                <w:rFonts w:hint="eastAsia" w:ascii="宋体" w:hAnsi="宋体" w:eastAsia="宋体" w:cs="宋体"/>
                <w:b/>
                <w:kern w:val="0"/>
                <w:sz w:val="21"/>
                <w:szCs w:val="21"/>
              </w:rPr>
            </w:pPr>
            <w:r>
              <w:rPr>
                <w:rFonts w:hint="eastAsia" w:ascii="宋体" w:hAnsi="宋体" w:eastAsia="宋体" w:cs="宋体"/>
                <w:b/>
                <w:kern w:val="0"/>
                <w:sz w:val="21"/>
                <w:szCs w:val="21"/>
              </w:rPr>
              <w:t>促销选择模块</w:t>
            </w:r>
          </w:p>
          <w:p w14:paraId="66224F7D">
            <w:pPr>
              <w:spacing w:line="560" w:lineRule="exact"/>
              <w:ind w:firstLine="0" w:firstLineChars="0"/>
              <w:rPr>
                <w:rFonts w:hint="eastAsia" w:ascii="宋体" w:hAnsi="宋体" w:eastAsia="宋体" w:cs="宋体"/>
                <w:b/>
                <w:kern w:val="0"/>
                <w:sz w:val="21"/>
                <w:szCs w:val="21"/>
              </w:rPr>
            </w:pPr>
            <w:r>
              <w:rPr>
                <w:rFonts w:hint="eastAsia" w:ascii="宋体" w:hAnsi="宋体" w:eastAsia="宋体" w:cs="宋体"/>
                <w:kern w:val="0"/>
                <w:sz w:val="21"/>
                <w:szCs w:val="21"/>
              </w:rPr>
              <w:t>①促销类型分为体验券促销、票面促销和安卓终端促销。通过切换不同类型的促销，可查看各类促销近期和历史的促销情况。</w:t>
            </w:r>
          </w:p>
          <w:p w14:paraId="1A1D2CC3">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②促销活动的时间下拉框：包含本年度截止当前所有促销时间段。默认显示最近一次促销时间段。选择促销时间段后，促销方案的名称以及该促销方案的促销效果将会展示在大屏上。</w:t>
            </w:r>
          </w:p>
          <w:p w14:paraId="41112201">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③活动覆盖率=全省参与门店/全省门店。</w:t>
            </w:r>
          </w:p>
          <w:p w14:paraId="5410BCA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④同比增长率=（促销期销量-同比非促销期销量）/同比非促销期销量</w:t>
            </w:r>
          </w:p>
          <w:p w14:paraId="237A582D">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⑤全省覆盖率排行二维表：根据各地市促销活动覆盖率进行排名，并显示各地市的销量同比。</w:t>
            </w:r>
          </w:p>
          <w:p w14:paraId="37E536AE">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⑥地市促销情况：用雷达图展示各地市的销量和覆盖率情况。</w:t>
            </w:r>
          </w:p>
          <w:p w14:paraId="2B0E6206">
            <w:pPr>
              <w:spacing w:line="560" w:lineRule="exact"/>
              <w:ind w:firstLine="0" w:firstLineChars="0"/>
              <w:rPr>
                <w:rFonts w:hint="eastAsia" w:ascii="宋体" w:hAnsi="宋体" w:eastAsia="宋体" w:cs="宋体"/>
                <w:b/>
                <w:kern w:val="0"/>
                <w:sz w:val="21"/>
                <w:szCs w:val="21"/>
              </w:rPr>
            </w:pPr>
            <w:r>
              <w:rPr>
                <w:rFonts w:hint="eastAsia" w:ascii="宋体" w:hAnsi="宋体" w:eastAsia="宋体" w:cs="宋体"/>
                <w:b/>
                <w:kern w:val="0"/>
                <w:sz w:val="21"/>
                <w:szCs w:val="21"/>
              </w:rPr>
              <w:t>区县维度的促销效果分析</w:t>
            </w:r>
          </w:p>
          <w:p w14:paraId="262D713E">
            <w:pPr>
              <w:spacing w:line="560" w:lineRule="exact"/>
              <w:ind w:firstLine="0" w:firstLineChars="0"/>
              <w:rPr>
                <w:rFonts w:hint="eastAsia" w:ascii="宋体" w:hAnsi="宋体" w:eastAsia="宋体" w:cs="宋体"/>
                <w:kern w:val="0"/>
                <w:sz w:val="21"/>
                <w:szCs w:val="21"/>
              </w:rPr>
            </w:pPr>
            <w:bookmarkStart w:id="879" w:name="OLE_LINK1"/>
            <w:r>
              <w:rPr>
                <w:rFonts w:hint="eastAsia" w:ascii="宋体" w:hAnsi="宋体" w:eastAsia="宋体" w:cs="宋体"/>
                <w:kern w:val="0"/>
                <w:sz w:val="21"/>
                <w:szCs w:val="21"/>
              </w:rPr>
              <w:t>①</w:t>
            </w:r>
            <w:bookmarkEnd w:id="879"/>
            <w:r>
              <w:rPr>
                <w:rFonts w:hint="eastAsia" w:ascii="宋体" w:hAnsi="宋体" w:eastAsia="宋体" w:cs="宋体"/>
                <w:kern w:val="0"/>
                <w:sz w:val="21"/>
                <w:szCs w:val="21"/>
              </w:rPr>
              <w:t>选择地市，地图以及【促销分析】模块的所有指标都会切换成该地市的促销数据。</w:t>
            </w:r>
          </w:p>
          <w:p w14:paraId="61BE6462">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②覆盖率=所选地市参与门店/所选地市实际门店</w:t>
            </w:r>
          </w:p>
          <w:p w14:paraId="77CF04F8">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③活动渗透率=促销期间门店销量/促销期间地市总销量，该模块展示促销期间销量前10名门店的渗透率。</w:t>
            </w:r>
          </w:p>
          <w:p w14:paraId="718A3AAF">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④促销期间销量：该地市促销期间的销量、同比环比情况。</w:t>
            </w:r>
          </w:p>
          <w:p w14:paraId="430C253A">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⑤促销同比环比增长情况：非促销期指同比的非促销期。用柱状图展示促销和非促销的销量，线图展示促销期的同比、环比情况。</w:t>
            </w:r>
          </w:p>
          <w:p w14:paraId="6D671806">
            <w:pPr>
              <w:spacing w:line="560" w:lineRule="exact"/>
              <w:ind w:firstLine="0" w:firstLineChars="0"/>
              <w:rPr>
                <w:rFonts w:hint="eastAsia" w:ascii="宋体" w:hAnsi="宋体" w:eastAsia="宋体" w:cs="宋体"/>
                <w:kern w:val="0"/>
                <w:sz w:val="21"/>
                <w:szCs w:val="21"/>
              </w:rPr>
            </w:pPr>
            <w:r>
              <w:rPr>
                <w:rFonts w:hint="eastAsia" w:ascii="宋体" w:hAnsi="宋体" w:eastAsia="宋体" w:cs="宋体"/>
                <w:kern w:val="0"/>
                <w:sz w:val="21"/>
                <w:szCs w:val="21"/>
              </w:rPr>
              <w:t>⑥单票金额：用气泡图展示促销期与环比非促销期的平均单票金额情况。</w:t>
            </w:r>
          </w:p>
        </w:tc>
      </w:tr>
      <w:tr w14:paraId="3347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pct"/>
            <w:vMerge w:val="continue"/>
            <w:vAlign w:val="center"/>
          </w:tcPr>
          <w:p w14:paraId="1026E94A">
            <w:pPr>
              <w:spacing w:line="560" w:lineRule="exact"/>
              <w:ind w:firstLine="0" w:firstLineChars="0"/>
              <w:jc w:val="center"/>
              <w:rPr>
                <w:rFonts w:hint="eastAsia" w:ascii="宋体" w:hAnsi="宋体" w:eastAsia="宋体" w:cs="宋体"/>
                <w:kern w:val="0"/>
                <w:sz w:val="21"/>
                <w:szCs w:val="21"/>
              </w:rPr>
            </w:pPr>
          </w:p>
        </w:tc>
        <w:tc>
          <w:tcPr>
            <w:tcW w:w="616" w:type="pct"/>
            <w:vMerge w:val="continue"/>
            <w:vAlign w:val="center"/>
          </w:tcPr>
          <w:p w14:paraId="598147AE">
            <w:pPr>
              <w:spacing w:line="560" w:lineRule="exact"/>
              <w:ind w:firstLine="0" w:firstLineChars="0"/>
              <w:jc w:val="center"/>
              <w:rPr>
                <w:rFonts w:hint="eastAsia" w:ascii="宋体" w:hAnsi="宋体" w:eastAsia="宋体" w:cs="宋体"/>
                <w:kern w:val="0"/>
                <w:sz w:val="21"/>
                <w:szCs w:val="21"/>
              </w:rPr>
            </w:pPr>
          </w:p>
        </w:tc>
        <w:tc>
          <w:tcPr>
            <w:tcW w:w="3985" w:type="pct"/>
            <w:shd w:val="clear" w:color="auto" w:fill="auto"/>
          </w:tcPr>
          <w:p w14:paraId="2151B657">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6.专管员管理</w:t>
            </w:r>
          </w:p>
          <w:p w14:paraId="7D048001">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针对性展示不同管理区域的门店销量情况，按专管员所辖门店范围对应展示门店实时销量，并通过不同统计周期展示门店销量的环比和同比情况，便于地市中心管理人员为专管员做绩效打分，为省中心提供销售管理工作考评决策依据。</w:t>
            </w:r>
          </w:p>
          <w:p w14:paraId="5E7839CC">
            <w:pPr>
              <w:pStyle w:val="14"/>
              <w:spacing w:line="560" w:lineRule="exact"/>
              <w:ind w:firstLine="0" w:firstLineChars="0"/>
              <w:rPr>
                <w:rFonts w:hint="eastAsia" w:ascii="宋体" w:hAnsi="宋体" w:eastAsia="宋体" w:cs="宋体"/>
                <w:szCs w:val="21"/>
              </w:rPr>
            </w:pPr>
            <w:r>
              <w:rPr>
                <w:rFonts w:hint="eastAsia" w:ascii="宋体" w:hAnsi="宋体" w:eastAsia="宋体" w:cs="宋体"/>
                <w:szCs w:val="21"/>
              </w:rPr>
              <w:t>①专管员管辖区域筛选：根据专管员分配区域进行数据范围划分，可通过筛选查看不同专管员对应的门店数据。</w:t>
            </w:r>
          </w:p>
          <w:p w14:paraId="46534A57">
            <w:pPr>
              <w:pStyle w:val="14"/>
              <w:spacing w:line="560" w:lineRule="exact"/>
              <w:ind w:firstLine="0" w:firstLineChars="0"/>
              <w:rPr>
                <w:rFonts w:hint="eastAsia" w:ascii="宋体" w:hAnsi="宋体" w:eastAsia="宋体" w:cs="宋体"/>
                <w:szCs w:val="21"/>
              </w:rPr>
            </w:pPr>
            <w:r>
              <w:rPr>
                <w:rFonts w:hint="eastAsia" w:ascii="宋体" w:hAnsi="宋体" w:eastAsia="宋体" w:cs="宋体"/>
                <w:szCs w:val="21"/>
              </w:rPr>
              <w:t>②门店销量统计：所辖范围门店的年度总销量和今日实时销量的总计。</w:t>
            </w:r>
          </w:p>
          <w:p w14:paraId="667717D6">
            <w:pPr>
              <w:pStyle w:val="14"/>
              <w:spacing w:line="560" w:lineRule="exact"/>
              <w:ind w:firstLine="0" w:firstLineChars="0"/>
              <w:rPr>
                <w:rFonts w:hint="eastAsia" w:ascii="宋体" w:hAnsi="宋体" w:eastAsia="宋体" w:cs="宋体"/>
                <w:szCs w:val="21"/>
              </w:rPr>
            </w:pPr>
            <w:r>
              <w:rPr>
                <w:rFonts w:hint="eastAsia" w:ascii="宋体" w:hAnsi="宋体" w:eastAsia="宋体" w:cs="宋体"/>
                <w:szCs w:val="21"/>
              </w:rPr>
              <w:t>③时间维度筛选：可筛选不同时间周期，周、月、季、年进行查询。</w:t>
            </w:r>
          </w:p>
          <w:p w14:paraId="2D8B0BC9">
            <w:pPr>
              <w:pStyle w:val="14"/>
              <w:spacing w:line="560" w:lineRule="exact"/>
              <w:ind w:firstLine="0" w:firstLineChars="0"/>
              <w:rPr>
                <w:rFonts w:hint="eastAsia" w:ascii="宋体" w:hAnsi="宋体" w:eastAsia="宋体" w:cs="宋体"/>
                <w:szCs w:val="21"/>
              </w:rPr>
            </w:pPr>
            <w:r>
              <w:rPr>
                <w:rFonts w:hint="eastAsia" w:ascii="宋体" w:hAnsi="宋体" w:eastAsia="宋体" w:cs="宋体"/>
                <w:szCs w:val="21"/>
              </w:rPr>
              <w:t>④销量统计周期计算：专管员管辖门店销量同比、环比统计的变幅统计。</w:t>
            </w:r>
          </w:p>
        </w:tc>
      </w:tr>
      <w:tr w14:paraId="71E57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pct"/>
            <w:vAlign w:val="center"/>
          </w:tcPr>
          <w:p w14:paraId="3DE3FAD3">
            <w:pPr>
              <w:spacing w:line="560" w:lineRule="exact"/>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616" w:type="pct"/>
            <w:vAlign w:val="center"/>
          </w:tcPr>
          <w:p w14:paraId="2EAD0CCB">
            <w:pPr>
              <w:spacing w:line="560" w:lineRule="exact"/>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印制系统服务使用说明手册</w:t>
            </w:r>
          </w:p>
        </w:tc>
        <w:tc>
          <w:tcPr>
            <w:tcW w:w="3985" w:type="pct"/>
            <w:shd w:val="clear" w:color="auto" w:fill="auto"/>
          </w:tcPr>
          <w:p w14:paraId="52B948B5">
            <w:pPr>
              <w:spacing w:line="560" w:lineRule="exact"/>
              <w:ind w:firstLine="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印制250本A4册子成品尺寸为148mm×210mm（彩印竖版对折）。</w:t>
            </w:r>
          </w:p>
        </w:tc>
      </w:tr>
      <w:bookmarkEnd w:id="878"/>
    </w:tbl>
    <w:p w14:paraId="70897926">
      <w:pPr>
        <w:pStyle w:val="13"/>
        <w:numPr>
          <w:ilvl w:val="0"/>
          <w:numId w:val="0"/>
        </w:numPr>
        <w:ind w:firstLine="211" w:firstLineChars="100"/>
        <w:rPr>
          <w:rFonts w:hint="eastAsia" w:ascii="宋体" w:hAnsi="宋体" w:cs="宋体"/>
          <w:b/>
          <w:bCs/>
          <w:kern w:val="2"/>
          <w:sz w:val="21"/>
          <w:szCs w:val="21"/>
          <w:highlight w:val="none"/>
          <w:lang w:val="en-US" w:eastAsia="zh-CN" w:bidi="ar-SA"/>
        </w:rPr>
      </w:pPr>
      <w:r>
        <w:rPr>
          <w:rFonts w:hint="eastAsia" w:ascii="宋体" w:hAnsi="宋体" w:eastAsia="宋体" w:cs="宋体"/>
          <w:b/>
          <w:bCs/>
          <w:kern w:val="2"/>
          <w:sz w:val="21"/>
          <w:szCs w:val="21"/>
          <w:lang w:val="en-US" w:eastAsia="zh-CN" w:bidi="ar-SA"/>
        </w:rPr>
        <w:t>（</w:t>
      </w:r>
      <w:r>
        <w:rPr>
          <w:rFonts w:hint="eastAsia" w:ascii="宋体" w:hAnsi="宋体" w:cs="宋体"/>
          <w:b/>
          <w:bCs/>
          <w:kern w:val="2"/>
          <w:sz w:val="21"/>
          <w:szCs w:val="21"/>
          <w:lang w:val="en-US" w:eastAsia="zh-CN" w:bidi="ar-SA"/>
        </w:rPr>
        <w:t>三</w:t>
      </w:r>
      <w:r>
        <w:rPr>
          <w:rFonts w:hint="eastAsia" w:ascii="宋体" w:hAnsi="宋体" w:eastAsia="宋体" w:cs="宋体"/>
          <w:b/>
          <w:bCs/>
          <w:kern w:val="2"/>
          <w:sz w:val="21"/>
          <w:szCs w:val="21"/>
          <w:lang w:val="en-US" w:eastAsia="zh-CN" w:bidi="ar-SA"/>
        </w:rPr>
        <w:t>）</w:t>
      </w:r>
      <w:r>
        <w:rPr>
          <w:rFonts w:hint="eastAsia" w:ascii="宋体" w:hAnsi="宋体" w:cs="宋体"/>
          <w:b/>
          <w:bCs/>
          <w:kern w:val="2"/>
          <w:sz w:val="21"/>
          <w:szCs w:val="21"/>
          <w:highlight w:val="none"/>
          <w:lang w:val="en-US" w:eastAsia="zh-CN" w:bidi="ar-SA"/>
        </w:rPr>
        <w:t>技术和服务要求</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1218"/>
        <w:gridCol w:w="7514"/>
      </w:tblGrid>
      <w:tr w14:paraId="6CF4A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96" w:type="pct"/>
            <w:shd w:val="clear" w:color="auto" w:fill="auto"/>
            <w:vAlign w:val="center"/>
          </w:tcPr>
          <w:p w14:paraId="6EC12B8A">
            <w:pPr>
              <w:spacing w:line="560" w:lineRule="exact"/>
              <w:ind w:left="-57" w:leftChars="-27" w:right="-78" w:rightChars="-37" w:firstLine="0" w:firstLineChars="0"/>
              <w:jc w:val="center"/>
              <w:rPr>
                <w:rFonts w:hint="eastAsia" w:ascii="宋体" w:hAnsi="宋体" w:eastAsia="宋体" w:cs="宋体"/>
                <w:bCs/>
                <w:szCs w:val="21"/>
              </w:rPr>
            </w:pPr>
            <w:r>
              <w:rPr>
                <w:rFonts w:hint="eastAsia" w:ascii="宋体" w:hAnsi="宋体" w:eastAsia="宋体" w:cs="宋体"/>
                <w:bCs/>
                <w:szCs w:val="21"/>
              </w:rPr>
              <w:t>序号</w:t>
            </w:r>
          </w:p>
        </w:tc>
        <w:tc>
          <w:tcPr>
            <w:tcW w:w="656" w:type="pct"/>
            <w:shd w:val="clear" w:color="auto" w:fill="auto"/>
            <w:vAlign w:val="center"/>
          </w:tcPr>
          <w:p w14:paraId="2A8D6721">
            <w:pPr>
              <w:spacing w:line="560" w:lineRule="exact"/>
              <w:ind w:left="-57" w:leftChars="-27" w:right="-78" w:rightChars="-37" w:firstLine="0" w:firstLineChars="0"/>
              <w:jc w:val="center"/>
              <w:rPr>
                <w:rFonts w:hint="eastAsia" w:ascii="宋体" w:hAnsi="宋体" w:eastAsia="宋体" w:cs="宋体"/>
                <w:bCs/>
                <w:szCs w:val="21"/>
              </w:rPr>
            </w:pPr>
            <w:r>
              <w:rPr>
                <w:rFonts w:hint="eastAsia" w:ascii="宋体" w:hAnsi="宋体" w:eastAsia="宋体" w:cs="宋体"/>
                <w:bCs/>
                <w:szCs w:val="21"/>
              </w:rPr>
              <w:t>名称</w:t>
            </w:r>
          </w:p>
        </w:tc>
        <w:tc>
          <w:tcPr>
            <w:tcW w:w="4046" w:type="pct"/>
            <w:shd w:val="clear" w:color="auto" w:fill="auto"/>
            <w:vAlign w:val="center"/>
          </w:tcPr>
          <w:p w14:paraId="575B7FF1">
            <w:pPr>
              <w:spacing w:line="560" w:lineRule="exact"/>
              <w:ind w:left="-92" w:leftChars="-44" w:right="-78" w:rightChars="-37" w:firstLine="0" w:firstLineChars="0"/>
              <w:jc w:val="center"/>
              <w:rPr>
                <w:rFonts w:hint="eastAsia" w:ascii="宋体" w:hAnsi="宋体" w:eastAsia="宋体" w:cs="宋体"/>
                <w:bCs/>
                <w:szCs w:val="21"/>
              </w:rPr>
            </w:pPr>
            <w:r>
              <w:rPr>
                <w:rFonts w:hint="eastAsia" w:ascii="宋体" w:hAnsi="宋体" w:eastAsia="宋体" w:cs="宋体"/>
                <w:bCs/>
                <w:szCs w:val="21"/>
              </w:rPr>
              <w:t>技术和服务要求</w:t>
            </w:r>
          </w:p>
        </w:tc>
      </w:tr>
      <w:tr w14:paraId="00FA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6" w:type="pct"/>
            <w:vMerge w:val="restart"/>
            <w:shd w:val="clear" w:color="auto" w:fill="auto"/>
            <w:vAlign w:val="center"/>
          </w:tcPr>
          <w:p w14:paraId="7F4FE68C">
            <w:pPr>
              <w:numPr>
                <w:ilvl w:val="255"/>
                <w:numId w:val="0"/>
              </w:numPr>
              <w:tabs>
                <w:tab w:val="left" w:pos="72"/>
              </w:tabs>
              <w:spacing w:line="560" w:lineRule="exact"/>
              <w:ind w:firstLine="0" w:firstLineChars="0"/>
              <w:jc w:val="center"/>
              <w:rPr>
                <w:rFonts w:hint="eastAsia" w:ascii="宋体" w:hAnsi="宋体" w:eastAsia="宋体" w:cs="宋体"/>
                <w:szCs w:val="21"/>
              </w:rPr>
            </w:pPr>
            <w:r>
              <w:rPr>
                <w:rFonts w:hint="eastAsia" w:ascii="宋体" w:hAnsi="宋体" w:eastAsia="宋体" w:cs="宋体"/>
                <w:szCs w:val="21"/>
              </w:rPr>
              <w:t>1</w:t>
            </w:r>
          </w:p>
        </w:tc>
        <w:tc>
          <w:tcPr>
            <w:tcW w:w="656" w:type="pct"/>
            <w:vMerge w:val="restart"/>
            <w:shd w:val="clear" w:color="auto" w:fill="auto"/>
            <w:vAlign w:val="center"/>
          </w:tcPr>
          <w:p w14:paraId="21C8B27C">
            <w:pPr>
              <w:spacing w:line="560" w:lineRule="exact"/>
              <w:ind w:left="-57" w:leftChars="-27" w:right="-57" w:rightChars="-27" w:firstLine="0" w:firstLineChars="0"/>
              <w:jc w:val="center"/>
              <w:rPr>
                <w:rFonts w:hint="eastAsia" w:ascii="宋体" w:hAnsi="宋体" w:eastAsia="宋体" w:cs="宋体"/>
                <w:szCs w:val="21"/>
              </w:rPr>
            </w:pPr>
            <w:r>
              <w:rPr>
                <w:rFonts w:hint="eastAsia" w:ascii="宋体" w:hAnsi="宋体" w:eastAsia="宋体" w:cs="宋体"/>
                <w:szCs w:val="21"/>
              </w:rPr>
              <w:t>数据时效性与准确性</w:t>
            </w:r>
          </w:p>
        </w:tc>
        <w:tc>
          <w:tcPr>
            <w:tcW w:w="4046" w:type="pct"/>
            <w:shd w:val="clear" w:color="auto" w:fill="auto"/>
            <w:vAlign w:val="center"/>
          </w:tcPr>
          <w:p w14:paraId="3D43376B">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1.1数据提供及时，每天上午9点前导入所有体彩游戏的T+1离线数据，保证数据导入的准确性。</w:t>
            </w:r>
          </w:p>
        </w:tc>
      </w:tr>
      <w:tr w14:paraId="66EE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6" w:type="pct"/>
            <w:vMerge w:val="continue"/>
            <w:shd w:val="clear" w:color="auto" w:fill="auto"/>
            <w:vAlign w:val="center"/>
          </w:tcPr>
          <w:p w14:paraId="6AFA521B">
            <w:pPr>
              <w:numPr>
                <w:ilvl w:val="0"/>
                <w:numId w:val="3"/>
              </w:num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49F235BF">
            <w:pPr>
              <w:spacing w:line="560" w:lineRule="exact"/>
              <w:ind w:left="-57" w:leftChars="-27" w:right="-78" w:rightChars="-37" w:firstLine="0" w:firstLineChars="0"/>
              <w:jc w:val="center"/>
              <w:rPr>
                <w:rFonts w:hint="eastAsia" w:ascii="宋体" w:hAnsi="宋体" w:eastAsia="宋体" w:cs="宋体"/>
                <w:b/>
                <w:szCs w:val="21"/>
              </w:rPr>
            </w:pPr>
          </w:p>
        </w:tc>
        <w:tc>
          <w:tcPr>
            <w:tcW w:w="4046" w:type="pct"/>
            <w:shd w:val="clear" w:color="auto" w:fill="auto"/>
            <w:vAlign w:val="center"/>
          </w:tcPr>
          <w:p w14:paraId="66BF80E0">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1.2实时数据保证更新的及时性，区县游戏销量数据做到分钟级更新，门店游戏销量小时级更新。</w:t>
            </w:r>
          </w:p>
        </w:tc>
      </w:tr>
      <w:tr w14:paraId="03776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96" w:type="pct"/>
            <w:vMerge w:val="restart"/>
            <w:shd w:val="clear" w:color="auto" w:fill="auto"/>
            <w:vAlign w:val="center"/>
          </w:tcPr>
          <w:p w14:paraId="568D8608">
            <w:pPr>
              <w:tabs>
                <w:tab w:val="left" w:pos="72"/>
              </w:tabs>
              <w:spacing w:line="560" w:lineRule="exact"/>
              <w:ind w:firstLine="0" w:firstLineChars="0"/>
              <w:jc w:val="center"/>
              <w:rPr>
                <w:rFonts w:hint="eastAsia" w:ascii="宋体" w:hAnsi="宋体" w:eastAsia="宋体" w:cs="宋体"/>
                <w:szCs w:val="21"/>
              </w:rPr>
            </w:pPr>
            <w:r>
              <w:rPr>
                <w:rFonts w:hint="eastAsia" w:ascii="宋体" w:hAnsi="宋体" w:eastAsia="宋体" w:cs="宋体"/>
                <w:szCs w:val="21"/>
              </w:rPr>
              <w:t>2</w:t>
            </w:r>
          </w:p>
        </w:tc>
        <w:tc>
          <w:tcPr>
            <w:tcW w:w="656" w:type="pct"/>
            <w:vMerge w:val="restart"/>
            <w:shd w:val="clear" w:color="auto" w:fill="auto"/>
            <w:vAlign w:val="center"/>
          </w:tcPr>
          <w:p w14:paraId="6C297870">
            <w:pPr>
              <w:spacing w:line="560" w:lineRule="exact"/>
              <w:ind w:left="-57" w:leftChars="-27" w:right="-78" w:rightChars="-37" w:firstLine="0" w:firstLineChars="0"/>
              <w:jc w:val="center"/>
              <w:rPr>
                <w:rFonts w:hint="eastAsia" w:ascii="宋体" w:hAnsi="宋体" w:eastAsia="宋体" w:cs="宋体"/>
                <w:b/>
                <w:szCs w:val="21"/>
              </w:rPr>
            </w:pPr>
            <w:r>
              <w:rPr>
                <w:rFonts w:hint="eastAsia" w:ascii="宋体" w:hAnsi="宋体" w:eastAsia="宋体" w:cs="宋体"/>
                <w:szCs w:val="21"/>
              </w:rPr>
              <w:t>数据分析全面性与专业性</w:t>
            </w:r>
          </w:p>
        </w:tc>
        <w:tc>
          <w:tcPr>
            <w:tcW w:w="4046" w:type="pct"/>
            <w:shd w:val="clear" w:color="auto" w:fill="auto"/>
            <w:vAlign w:val="center"/>
          </w:tcPr>
          <w:p w14:paraId="77BE86B2">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2.1数据全面，需提供省、市、县、专管员、网点各层级的数据，能按日、周、月、年进行汇总，能够支持查询自定义时段的数据。销售数据按日历年口径提供，财务数据能按彩票年口径提供。</w:t>
            </w:r>
          </w:p>
        </w:tc>
      </w:tr>
      <w:tr w14:paraId="3A1C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96" w:type="pct"/>
            <w:vMerge w:val="continue"/>
            <w:shd w:val="clear" w:color="auto" w:fill="auto"/>
            <w:vAlign w:val="center"/>
          </w:tcPr>
          <w:p w14:paraId="0F7E719F">
            <w:pPr>
              <w:numPr>
                <w:ilvl w:val="0"/>
                <w:numId w:val="3"/>
              </w:num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7040FED1">
            <w:pPr>
              <w:spacing w:line="560" w:lineRule="exact"/>
              <w:ind w:left="-57" w:leftChars="-27" w:right="-78" w:rightChars="-37" w:firstLine="0" w:firstLineChars="0"/>
              <w:jc w:val="center"/>
              <w:rPr>
                <w:rFonts w:hint="eastAsia" w:ascii="宋体" w:hAnsi="宋体" w:eastAsia="宋体" w:cs="宋体"/>
                <w:b/>
                <w:szCs w:val="21"/>
              </w:rPr>
            </w:pPr>
          </w:p>
        </w:tc>
        <w:tc>
          <w:tcPr>
            <w:tcW w:w="4046" w:type="pct"/>
            <w:shd w:val="clear" w:color="auto" w:fill="auto"/>
            <w:vAlign w:val="center"/>
          </w:tcPr>
          <w:p w14:paraId="3DC20747">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2.2在常规网络环境下，在1080p分辨率的显示器上画面播放流畅，在主流配置的PC上，系统所占用的内存和CPU不超过30%。</w:t>
            </w:r>
          </w:p>
        </w:tc>
      </w:tr>
      <w:tr w14:paraId="0DE2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96" w:type="pct"/>
            <w:vMerge w:val="continue"/>
            <w:shd w:val="clear" w:color="auto" w:fill="auto"/>
            <w:vAlign w:val="center"/>
          </w:tcPr>
          <w:p w14:paraId="152FBE81">
            <w:pPr>
              <w:numPr>
                <w:ilvl w:val="0"/>
                <w:numId w:val="3"/>
              </w:num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7211DCF1">
            <w:pPr>
              <w:spacing w:line="560" w:lineRule="exact"/>
              <w:ind w:left="-57" w:leftChars="-27" w:right="-78" w:rightChars="-37" w:firstLine="0" w:firstLineChars="0"/>
              <w:jc w:val="center"/>
              <w:rPr>
                <w:rFonts w:hint="eastAsia" w:ascii="宋体" w:hAnsi="宋体" w:eastAsia="宋体" w:cs="宋体"/>
                <w:b/>
                <w:szCs w:val="21"/>
              </w:rPr>
            </w:pPr>
          </w:p>
        </w:tc>
        <w:tc>
          <w:tcPr>
            <w:tcW w:w="4046" w:type="pct"/>
            <w:shd w:val="clear" w:color="auto" w:fill="auto"/>
            <w:vAlign w:val="center"/>
          </w:tcPr>
          <w:p w14:paraId="54009D95">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2.3前台画面和后台数据服务器之间的通讯性能稳定，异常请求的发生率不超过1%，数据本地格式化正常，信息内容显示正常。</w:t>
            </w:r>
          </w:p>
        </w:tc>
      </w:tr>
      <w:tr w14:paraId="25C7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96" w:type="pct"/>
            <w:vMerge w:val="continue"/>
            <w:shd w:val="clear" w:color="auto" w:fill="auto"/>
            <w:vAlign w:val="center"/>
          </w:tcPr>
          <w:p w14:paraId="0F8A5534">
            <w:pPr>
              <w:numPr>
                <w:ilvl w:val="0"/>
                <w:numId w:val="3"/>
              </w:num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28A0FD08">
            <w:pPr>
              <w:spacing w:line="560" w:lineRule="exact"/>
              <w:ind w:left="-57" w:leftChars="-27" w:right="-78" w:rightChars="-37" w:firstLine="0" w:firstLineChars="0"/>
              <w:jc w:val="center"/>
              <w:rPr>
                <w:rFonts w:hint="eastAsia" w:ascii="宋体" w:hAnsi="宋体" w:eastAsia="宋体" w:cs="宋体"/>
                <w:b/>
                <w:szCs w:val="21"/>
              </w:rPr>
            </w:pPr>
          </w:p>
        </w:tc>
        <w:tc>
          <w:tcPr>
            <w:tcW w:w="4046" w:type="pct"/>
            <w:shd w:val="clear" w:color="auto" w:fill="auto"/>
            <w:vAlign w:val="center"/>
          </w:tcPr>
          <w:p w14:paraId="2EF135AC">
            <w:pPr>
              <w:tabs>
                <w:tab w:val="left" w:pos="351"/>
                <w:tab w:val="left" w:pos="816"/>
              </w:tabs>
              <w:spacing w:line="560" w:lineRule="exact"/>
              <w:ind w:left="0" w:right="-50" w:rightChars="-24" w:firstLine="0" w:firstLineChars="0"/>
              <w:jc w:val="left"/>
              <w:rPr>
                <w:rFonts w:hint="eastAsia" w:ascii="宋体" w:hAnsi="宋体" w:eastAsia="宋体" w:cs="宋体"/>
                <w:szCs w:val="21"/>
              </w:rPr>
            </w:pPr>
            <w:r>
              <w:rPr>
                <w:rFonts w:hint="eastAsia" w:ascii="宋体" w:hAnsi="宋体" w:eastAsia="宋体" w:cs="宋体"/>
                <w:szCs w:val="21"/>
              </w:rPr>
              <w:t>2.4普通页面的响应时间需小于2秒，响应超过15秒的模块需异步加载显示。</w:t>
            </w:r>
          </w:p>
        </w:tc>
      </w:tr>
      <w:tr w14:paraId="0C5F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6" w:type="pct"/>
            <w:vMerge w:val="restart"/>
            <w:shd w:val="clear" w:color="auto" w:fill="auto"/>
            <w:vAlign w:val="center"/>
          </w:tcPr>
          <w:p w14:paraId="324A4CDB">
            <w:pPr>
              <w:tabs>
                <w:tab w:val="left" w:pos="72"/>
              </w:tabs>
              <w:spacing w:line="560" w:lineRule="exact"/>
              <w:ind w:firstLine="0" w:firstLineChars="0"/>
              <w:jc w:val="center"/>
              <w:rPr>
                <w:rFonts w:hint="eastAsia" w:ascii="宋体" w:hAnsi="宋体" w:eastAsia="宋体" w:cs="宋体"/>
                <w:szCs w:val="21"/>
              </w:rPr>
            </w:pPr>
            <w:r>
              <w:rPr>
                <w:rFonts w:hint="eastAsia" w:ascii="宋体" w:hAnsi="宋体" w:eastAsia="宋体" w:cs="宋体"/>
                <w:szCs w:val="21"/>
              </w:rPr>
              <w:t>3</w:t>
            </w:r>
          </w:p>
        </w:tc>
        <w:tc>
          <w:tcPr>
            <w:tcW w:w="656" w:type="pct"/>
            <w:vMerge w:val="restart"/>
            <w:shd w:val="clear" w:color="auto" w:fill="auto"/>
            <w:vAlign w:val="center"/>
          </w:tcPr>
          <w:p w14:paraId="09DC027E">
            <w:pPr>
              <w:spacing w:line="560" w:lineRule="exact"/>
              <w:ind w:left="-57" w:leftChars="-27" w:right="-57" w:rightChars="-27" w:firstLine="0" w:firstLineChars="0"/>
              <w:jc w:val="center"/>
              <w:rPr>
                <w:rFonts w:hint="eastAsia" w:ascii="宋体" w:hAnsi="宋体" w:eastAsia="宋体" w:cs="宋体"/>
                <w:szCs w:val="21"/>
              </w:rPr>
            </w:pPr>
            <w:r>
              <w:rPr>
                <w:rFonts w:hint="eastAsia" w:ascii="宋体" w:hAnsi="宋体" w:eastAsia="宋体" w:cs="宋体"/>
                <w:szCs w:val="21"/>
              </w:rPr>
              <w:t>平台可用性与安全性</w:t>
            </w:r>
          </w:p>
        </w:tc>
        <w:tc>
          <w:tcPr>
            <w:tcW w:w="4046" w:type="pct"/>
            <w:shd w:val="clear" w:color="auto" w:fill="auto"/>
            <w:vAlign w:val="center"/>
          </w:tcPr>
          <w:p w14:paraId="617E5B78">
            <w:pPr>
              <w:tabs>
                <w:tab w:val="left" w:pos="351"/>
                <w:tab w:val="left" w:pos="816"/>
              </w:tabs>
              <w:spacing w:line="560" w:lineRule="exact"/>
              <w:ind w:left="0" w:right="-50" w:rightChars="-24" w:firstLine="0" w:firstLineChars="0"/>
              <w:jc w:val="left"/>
              <w:rPr>
                <w:rFonts w:hint="eastAsia" w:ascii="宋体" w:hAnsi="宋体" w:eastAsia="宋体" w:cs="宋体"/>
                <w:szCs w:val="21"/>
              </w:rPr>
            </w:pPr>
            <w:r>
              <w:rPr>
                <w:rFonts w:hint="eastAsia" w:ascii="宋体" w:hAnsi="宋体" w:eastAsia="宋体" w:cs="宋体"/>
                <w:szCs w:val="21"/>
              </w:rPr>
              <w:t>3.1系统7 x 24小时稳定运行，业务可用性需达到99.9%。</w:t>
            </w:r>
          </w:p>
        </w:tc>
      </w:tr>
      <w:tr w14:paraId="2A39D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6" w:type="pct"/>
            <w:vMerge w:val="continue"/>
            <w:shd w:val="clear" w:color="auto" w:fill="auto"/>
            <w:vAlign w:val="center"/>
          </w:tcPr>
          <w:p w14:paraId="7ABF5F35">
            <w:p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79C8C9E5">
            <w:pPr>
              <w:tabs>
                <w:tab w:val="left" w:pos="351"/>
                <w:tab w:val="left" w:pos="816"/>
              </w:tabs>
              <w:spacing w:line="560" w:lineRule="exact"/>
              <w:ind w:right="-50" w:rightChars="-24" w:firstLine="0" w:firstLineChars="0"/>
              <w:jc w:val="center"/>
              <w:rPr>
                <w:rFonts w:hint="eastAsia" w:ascii="宋体" w:hAnsi="宋体" w:eastAsia="宋体" w:cs="宋体"/>
                <w:b/>
                <w:szCs w:val="21"/>
              </w:rPr>
            </w:pPr>
          </w:p>
        </w:tc>
        <w:tc>
          <w:tcPr>
            <w:tcW w:w="4046" w:type="pct"/>
            <w:shd w:val="clear" w:color="auto" w:fill="auto"/>
            <w:vAlign w:val="center"/>
          </w:tcPr>
          <w:p w14:paraId="376176D8">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3.2在服务期内提供系统日常维护服务，高等级故障5分钟响应，1小时内解决。</w:t>
            </w:r>
          </w:p>
        </w:tc>
      </w:tr>
      <w:tr w14:paraId="2EBC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296" w:type="pct"/>
            <w:vMerge w:val="continue"/>
            <w:shd w:val="clear" w:color="auto" w:fill="auto"/>
            <w:vAlign w:val="center"/>
          </w:tcPr>
          <w:p w14:paraId="3D77905C">
            <w:p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74B75022">
            <w:pPr>
              <w:tabs>
                <w:tab w:val="left" w:pos="351"/>
                <w:tab w:val="left" w:pos="816"/>
              </w:tabs>
              <w:spacing w:line="560" w:lineRule="exact"/>
              <w:ind w:right="-50" w:rightChars="-24" w:firstLine="0" w:firstLineChars="0"/>
              <w:jc w:val="center"/>
              <w:rPr>
                <w:rFonts w:hint="eastAsia" w:ascii="宋体" w:hAnsi="宋体" w:eastAsia="宋体" w:cs="宋体"/>
                <w:b/>
                <w:szCs w:val="21"/>
              </w:rPr>
            </w:pPr>
          </w:p>
        </w:tc>
        <w:tc>
          <w:tcPr>
            <w:tcW w:w="4046" w:type="pct"/>
            <w:shd w:val="clear" w:color="auto" w:fill="auto"/>
            <w:vAlign w:val="center"/>
          </w:tcPr>
          <w:p w14:paraId="64E60AE8">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3.3关键业务处理过程及系统异常时须有详细、完备的日志记录，日志应能分级、分类记录和查询，日志保留时间不少于60天。</w:t>
            </w:r>
          </w:p>
        </w:tc>
      </w:tr>
      <w:tr w14:paraId="248C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296" w:type="pct"/>
            <w:vMerge w:val="continue"/>
            <w:shd w:val="clear" w:color="auto" w:fill="auto"/>
            <w:vAlign w:val="center"/>
          </w:tcPr>
          <w:p w14:paraId="3B828C86">
            <w:p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039E84B9">
            <w:pPr>
              <w:tabs>
                <w:tab w:val="left" w:pos="351"/>
                <w:tab w:val="left" w:pos="816"/>
              </w:tabs>
              <w:spacing w:line="560" w:lineRule="exact"/>
              <w:ind w:right="-50" w:rightChars="-24" w:firstLine="0" w:firstLineChars="0"/>
              <w:jc w:val="center"/>
              <w:rPr>
                <w:rFonts w:hint="eastAsia" w:ascii="宋体" w:hAnsi="宋体" w:eastAsia="宋体" w:cs="宋体"/>
                <w:b/>
                <w:szCs w:val="21"/>
              </w:rPr>
            </w:pPr>
          </w:p>
        </w:tc>
        <w:tc>
          <w:tcPr>
            <w:tcW w:w="4046" w:type="pct"/>
            <w:shd w:val="clear" w:color="auto" w:fill="auto"/>
            <w:vAlign w:val="center"/>
          </w:tcPr>
          <w:p w14:paraId="1D8D8AFE">
            <w:pPr>
              <w:tabs>
                <w:tab w:val="left" w:pos="351"/>
                <w:tab w:val="left" w:pos="816"/>
              </w:tabs>
              <w:spacing w:line="560" w:lineRule="exact"/>
              <w:ind w:left="0" w:right="-50" w:rightChars="-24" w:firstLine="0" w:firstLineChars="0"/>
              <w:jc w:val="left"/>
              <w:rPr>
                <w:rFonts w:hint="eastAsia" w:ascii="宋体" w:hAnsi="宋体" w:eastAsia="宋体" w:cs="宋体"/>
                <w:szCs w:val="21"/>
              </w:rPr>
            </w:pPr>
            <w:r>
              <w:rPr>
                <w:rFonts w:hint="eastAsia" w:ascii="宋体" w:hAnsi="宋体" w:eastAsia="宋体" w:cs="宋体"/>
                <w:szCs w:val="21"/>
              </w:rPr>
              <w:t>3.4性能要求，页面级响应在3秒内完成，报表级响应在10秒内完成。</w:t>
            </w:r>
          </w:p>
        </w:tc>
      </w:tr>
      <w:tr w14:paraId="18C64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296" w:type="pct"/>
            <w:vMerge w:val="continue"/>
            <w:shd w:val="clear" w:color="auto" w:fill="auto"/>
            <w:vAlign w:val="center"/>
          </w:tcPr>
          <w:p w14:paraId="1C4D9A8A">
            <w:p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0D8A9647">
            <w:pPr>
              <w:tabs>
                <w:tab w:val="left" w:pos="351"/>
                <w:tab w:val="left" w:pos="816"/>
              </w:tabs>
              <w:spacing w:line="560" w:lineRule="exact"/>
              <w:ind w:right="-50" w:rightChars="-24" w:firstLine="0" w:firstLineChars="0"/>
              <w:jc w:val="center"/>
              <w:rPr>
                <w:rFonts w:hint="eastAsia" w:ascii="宋体" w:hAnsi="宋体" w:eastAsia="宋体" w:cs="宋体"/>
                <w:b/>
                <w:szCs w:val="21"/>
              </w:rPr>
            </w:pPr>
          </w:p>
        </w:tc>
        <w:tc>
          <w:tcPr>
            <w:tcW w:w="4046" w:type="pct"/>
            <w:shd w:val="clear" w:color="auto" w:fill="auto"/>
            <w:vAlign w:val="center"/>
          </w:tcPr>
          <w:p w14:paraId="7AF86694">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3.5有完善的数据备份方案，数据库应每天备份，数据库备份至少保留30天，至少保存3年以上的非票据级数据。</w:t>
            </w:r>
          </w:p>
        </w:tc>
      </w:tr>
      <w:tr w14:paraId="665AF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296" w:type="pct"/>
            <w:vMerge w:val="continue"/>
            <w:shd w:val="clear" w:color="auto" w:fill="auto"/>
            <w:vAlign w:val="center"/>
          </w:tcPr>
          <w:p w14:paraId="0566678F">
            <w:p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6AF927E6">
            <w:pPr>
              <w:tabs>
                <w:tab w:val="left" w:pos="351"/>
                <w:tab w:val="left" w:pos="816"/>
              </w:tabs>
              <w:spacing w:line="560" w:lineRule="exact"/>
              <w:ind w:right="-50" w:rightChars="-24" w:firstLine="0" w:firstLineChars="0"/>
              <w:jc w:val="center"/>
              <w:rPr>
                <w:rFonts w:hint="eastAsia" w:ascii="宋体" w:hAnsi="宋体" w:eastAsia="宋体" w:cs="宋体"/>
                <w:b/>
                <w:szCs w:val="21"/>
              </w:rPr>
            </w:pPr>
          </w:p>
        </w:tc>
        <w:tc>
          <w:tcPr>
            <w:tcW w:w="4046" w:type="pct"/>
            <w:shd w:val="clear" w:color="auto" w:fill="auto"/>
            <w:vAlign w:val="center"/>
          </w:tcPr>
          <w:p w14:paraId="12A70C5B">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3.6系统具备快速问题定位能力，对系统自身原因造成的故障，能够进行快速定位、排查，高等级故障应在1小时内定位解决。</w:t>
            </w:r>
          </w:p>
        </w:tc>
      </w:tr>
      <w:tr w14:paraId="42C7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296" w:type="pct"/>
            <w:vMerge w:val="continue"/>
            <w:shd w:val="clear" w:color="auto" w:fill="auto"/>
            <w:vAlign w:val="center"/>
          </w:tcPr>
          <w:p w14:paraId="08657687">
            <w:pPr>
              <w:tabs>
                <w:tab w:val="left" w:pos="72"/>
              </w:tabs>
              <w:spacing w:line="560" w:lineRule="exact"/>
              <w:ind w:firstLine="0" w:firstLineChars="0"/>
              <w:jc w:val="center"/>
              <w:rPr>
                <w:rFonts w:hint="eastAsia" w:ascii="宋体" w:hAnsi="宋体" w:eastAsia="宋体" w:cs="宋体"/>
                <w:szCs w:val="21"/>
              </w:rPr>
            </w:pPr>
          </w:p>
        </w:tc>
        <w:tc>
          <w:tcPr>
            <w:tcW w:w="656" w:type="pct"/>
            <w:vMerge w:val="continue"/>
            <w:shd w:val="clear" w:color="auto" w:fill="auto"/>
            <w:vAlign w:val="center"/>
          </w:tcPr>
          <w:p w14:paraId="2254F9E6">
            <w:pPr>
              <w:tabs>
                <w:tab w:val="left" w:pos="351"/>
                <w:tab w:val="left" w:pos="816"/>
              </w:tabs>
              <w:spacing w:line="560" w:lineRule="exact"/>
              <w:ind w:right="-50" w:rightChars="-24" w:firstLine="0" w:firstLineChars="0"/>
              <w:jc w:val="center"/>
              <w:rPr>
                <w:rFonts w:hint="eastAsia" w:ascii="宋体" w:hAnsi="宋体" w:eastAsia="宋体" w:cs="宋体"/>
                <w:b/>
                <w:szCs w:val="21"/>
              </w:rPr>
            </w:pPr>
          </w:p>
        </w:tc>
        <w:tc>
          <w:tcPr>
            <w:tcW w:w="4046" w:type="pct"/>
            <w:shd w:val="clear" w:color="auto" w:fill="auto"/>
            <w:vAlign w:val="center"/>
          </w:tcPr>
          <w:p w14:paraId="2210A6B0">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3.7识别系统中涉及的个人信息，并进行相应的传输、显示、存储安全保护处理，满足《网络安全法》的要求。</w:t>
            </w:r>
          </w:p>
        </w:tc>
      </w:tr>
      <w:tr w14:paraId="6448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296" w:type="pct"/>
            <w:vMerge w:val="restart"/>
            <w:shd w:val="clear" w:color="auto" w:fill="auto"/>
            <w:vAlign w:val="center"/>
          </w:tcPr>
          <w:p w14:paraId="63C8D658">
            <w:pPr>
              <w:spacing w:line="560" w:lineRule="exact"/>
              <w:ind w:firstLine="0" w:firstLineChars="0"/>
              <w:jc w:val="center"/>
              <w:rPr>
                <w:rFonts w:hint="eastAsia" w:ascii="宋体" w:hAnsi="宋体" w:eastAsia="宋体" w:cs="宋体"/>
                <w:szCs w:val="21"/>
              </w:rPr>
            </w:pPr>
            <w:r>
              <w:rPr>
                <w:rFonts w:hint="eastAsia" w:ascii="宋体" w:hAnsi="宋体" w:eastAsia="宋体" w:cs="宋体"/>
                <w:szCs w:val="21"/>
              </w:rPr>
              <w:t>4</w:t>
            </w:r>
          </w:p>
        </w:tc>
        <w:tc>
          <w:tcPr>
            <w:tcW w:w="656" w:type="pct"/>
            <w:vMerge w:val="restart"/>
            <w:shd w:val="clear" w:color="auto" w:fill="auto"/>
            <w:vAlign w:val="center"/>
          </w:tcPr>
          <w:p w14:paraId="7EB26241">
            <w:pPr>
              <w:tabs>
                <w:tab w:val="left" w:pos="690"/>
              </w:tabs>
              <w:spacing w:line="560" w:lineRule="exact"/>
              <w:ind w:right="-50" w:rightChars="-24" w:firstLine="0" w:firstLineChars="0"/>
              <w:jc w:val="center"/>
              <w:rPr>
                <w:rFonts w:hint="eastAsia" w:ascii="宋体" w:hAnsi="宋体" w:eastAsia="宋体" w:cs="宋体"/>
                <w:szCs w:val="21"/>
              </w:rPr>
            </w:pPr>
            <w:r>
              <w:rPr>
                <w:rFonts w:hint="eastAsia" w:ascii="宋体" w:hAnsi="宋体" w:eastAsia="宋体" w:cs="宋体"/>
                <w:szCs w:val="21"/>
              </w:rPr>
              <w:t>平台成熟度与可靠性</w:t>
            </w:r>
          </w:p>
        </w:tc>
        <w:tc>
          <w:tcPr>
            <w:tcW w:w="4046" w:type="pct"/>
            <w:shd w:val="clear" w:color="auto" w:fill="auto"/>
            <w:vAlign w:val="center"/>
          </w:tcPr>
          <w:p w14:paraId="750C8DBE">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4.1平台在整体设计、开发平台、数据库平台的选择以及应用程序的开发上，应采用成熟、稳定、标准、通用的技术，比如使用成熟开源的软件以及使用稳定版本，遵循相关技术规范，采用包括但不限于数据加密、身份认证、异常处理机制、负载均衡等技术能够使系统安全、稳定、可靠的运行，确保系统的高成熟度。</w:t>
            </w:r>
          </w:p>
        </w:tc>
      </w:tr>
      <w:tr w14:paraId="642B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296" w:type="pct"/>
            <w:vMerge w:val="continue"/>
            <w:shd w:val="clear" w:color="auto" w:fill="auto"/>
            <w:vAlign w:val="center"/>
          </w:tcPr>
          <w:p w14:paraId="68122DA9">
            <w:pPr>
              <w:widowControl/>
              <w:tabs>
                <w:tab w:val="left" w:pos="33"/>
              </w:tabs>
              <w:spacing w:after="200" w:line="560" w:lineRule="exact"/>
              <w:ind w:right="-48" w:rightChars="-23" w:firstLine="0" w:firstLineChars="0"/>
              <w:rPr>
                <w:rFonts w:hint="eastAsia" w:ascii="宋体" w:hAnsi="宋体" w:eastAsia="宋体" w:cs="宋体"/>
                <w:szCs w:val="21"/>
              </w:rPr>
            </w:pPr>
          </w:p>
        </w:tc>
        <w:tc>
          <w:tcPr>
            <w:tcW w:w="656" w:type="pct"/>
            <w:vMerge w:val="continue"/>
            <w:shd w:val="clear" w:color="auto" w:fill="auto"/>
            <w:vAlign w:val="center"/>
          </w:tcPr>
          <w:p w14:paraId="6019C514">
            <w:pPr>
              <w:pStyle w:val="14"/>
              <w:spacing w:line="560" w:lineRule="exact"/>
              <w:ind w:firstLine="0" w:firstLineChars="0"/>
              <w:rPr>
                <w:rFonts w:hint="eastAsia" w:ascii="宋体" w:hAnsi="宋体" w:eastAsia="宋体" w:cs="宋体"/>
                <w:szCs w:val="21"/>
              </w:rPr>
            </w:pPr>
          </w:p>
        </w:tc>
        <w:tc>
          <w:tcPr>
            <w:tcW w:w="4046" w:type="pct"/>
            <w:shd w:val="clear" w:color="auto" w:fill="auto"/>
            <w:vAlign w:val="center"/>
          </w:tcPr>
          <w:p w14:paraId="53FCD613">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4.2系统需具备手机短信验证登录功能，具备支持第三方数据接口的能力，便于对接第三方数据库，获得数据信息。</w:t>
            </w:r>
          </w:p>
        </w:tc>
      </w:tr>
      <w:tr w14:paraId="6F214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96" w:type="pct"/>
            <w:vMerge w:val="continue"/>
            <w:shd w:val="clear" w:color="auto" w:fill="auto"/>
            <w:vAlign w:val="center"/>
          </w:tcPr>
          <w:p w14:paraId="124528FD">
            <w:pPr>
              <w:widowControl/>
              <w:tabs>
                <w:tab w:val="left" w:pos="33"/>
              </w:tabs>
              <w:spacing w:after="200" w:line="560" w:lineRule="exact"/>
              <w:ind w:right="-48" w:rightChars="-23" w:firstLine="0" w:firstLineChars="0"/>
              <w:rPr>
                <w:rFonts w:hint="eastAsia" w:ascii="宋体" w:hAnsi="宋体" w:eastAsia="宋体" w:cs="宋体"/>
                <w:szCs w:val="21"/>
              </w:rPr>
            </w:pPr>
          </w:p>
        </w:tc>
        <w:tc>
          <w:tcPr>
            <w:tcW w:w="656" w:type="pct"/>
            <w:vMerge w:val="continue"/>
            <w:shd w:val="clear" w:color="auto" w:fill="auto"/>
            <w:vAlign w:val="center"/>
          </w:tcPr>
          <w:p w14:paraId="41EAFDE3">
            <w:pPr>
              <w:pStyle w:val="14"/>
              <w:spacing w:line="560" w:lineRule="exact"/>
              <w:ind w:firstLine="0" w:firstLineChars="0"/>
              <w:rPr>
                <w:rFonts w:hint="eastAsia" w:ascii="宋体" w:hAnsi="宋体" w:eastAsia="宋体" w:cs="宋体"/>
                <w:szCs w:val="21"/>
              </w:rPr>
            </w:pPr>
          </w:p>
        </w:tc>
        <w:tc>
          <w:tcPr>
            <w:tcW w:w="4046" w:type="pct"/>
            <w:shd w:val="clear" w:color="auto" w:fill="auto"/>
            <w:vAlign w:val="center"/>
          </w:tcPr>
          <w:p w14:paraId="6C083F70">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4.3操作界面风格友好，有良好的人机互动，包括但不限于清晰的导航、直观的布局和易于理解的图表等。</w:t>
            </w:r>
          </w:p>
        </w:tc>
      </w:tr>
      <w:tr w14:paraId="00E1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96" w:type="pct"/>
            <w:shd w:val="clear" w:color="auto" w:fill="auto"/>
            <w:vAlign w:val="center"/>
          </w:tcPr>
          <w:p w14:paraId="7BBD7C8E">
            <w:pPr>
              <w:widowControl/>
              <w:tabs>
                <w:tab w:val="left" w:pos="33"/>
              </w:tabs>
              <w:spacing w:after="200" w:line="560" w:lineRule="exact"/>
              <w:ind w:right="-48" w:rightChars="-23" w:firstLine="0" w:firstLineChars="0"/>
              <w:rPr>
                <w:rFonts w:hint="eastAsia" w:ascii="宋体" w:hAnsi="宋体" w:eastAsia="宋体" w:cs="宋体"/>
                <w:szCs w:val="21"/>
              </w:rPr>
            </w:pPr>
            <w:r>
              <w:rPr>
                <w:rFonts w:hint="eastAsia" w:ascii="宋体" w:hAnsi="宋体" w:eastAsia="宋体" w:cs="宋体"/>
                <w:szCs w:val="21"/>
              </w:rPr>
              <w:t>5</w:t>
            </w:r>
          </w:p>
        </w:tc>
        <w:tc>
          <w:tcPr>
            <w:tcW w:w="656" w:type="pct"/>
            <w:shd w:val="clear" w:color="auto" w:fill="auto"/>
            <w:vAlign w:val="center"/>
          </w:tcPr>
          <w:p w14:paraId="70FF439D">
            <w:pPr>
              <w:pStyle w:val="14"/>
              <w:spacing w:line="560" w:lineRule="exact"/>
              <w:ind w:firstLine="0" w:firstLineChars="0"/>
              <w:rPr>
                <w:rFonts w:hint="eastAsia" w:ascii="宋体" w:hAnsi="宋体" w:eastAsia="宋体" w:cs="宋体"/>
                <w:szCs w:val="21"/>
              </w:rPr>
            </w:pPr>
            <w:r>
              <w:rPr>
                <w:rFonts w:hint="eastAsia" w:ascii="宋体" w:hAnsi="宋体" w:eastAsia="宋体" w:cs="宋体"/>
                <w:szCs w:val="21"/>
              </w:rPr>
              <w:t>保密要求</w:t>
            </w:r>
          </w:p>
        </w:tc>
        <w:tc>
          <w:tcPr>
            <w:tcW w:w="4046" w:type="pct"/>
            <w:shd w:val="clear" w:color="auto" w:fill="auto"/>
            <w:vAlign w:val="center"/>
          </w:tcPr>
          <w:p w14:paraId="7BA1F0FC">
            <w:pPr>
              <w:tabs>
                <w:tab w:val="left" w:pos="351"/>
                <w:tab w:val="left" w:pos="816"/>
              </w:tabs>
              <w:spacing w:line="560" w:lineRule="exact"/>
              <w:ind w:right="-50" w:rightChars="-24" w:firstLine="0" w:firstLineChars="0"/>
              <w:jc w:val="left"/>
              <w:rPr>
                <w:rFonts w:hint="eastAsia" w:ascii="宋体" w:hAnsi="宋体" w:eastAsia="宋体" w:cs="宋体"/>
                <w:szCs w:val="21"/>
              </w:rPr>
            </w:pPr>
            <w:r>
              <w:rPr>
                <w:rFonts w:hint="eastAsia" w:ascii="宋体" w:hAnsi="宋体" w:eastAsia="宋体" w:cs="宋体"/>
                <w:szCs w:val="21"/>
              </w:rPr>
              <w:t>5.1 系统用户信息、用户录入数据等信息应严格保密，不得向任何第三方披露，且仅可为履行本合同的目的使用。</w:t>
            </w:r>
          </w:p>
        </w:tc>
      </w:tr>
    </w:tbl>
    <w:p w14:paraId="5D260CA0">
      <w:pPr>
        <w:pStyle w:val="13"/>
        <w:rPr>
          <w:rFonts w:hint="eastAsia" w:ascii="宋体" w:hAnsi="宋体" w:cs="宋体"/>
          <w:b/>
          <w:bCs/>
          <w:kern w:val="2"/>
          <w:sz w:val="21"/>
          <w:szCs w:val="21"/>
          <w:highlight w:val="none"/>
          <w:lang w:val="en-US" w:eastAsia="zh-CN" w:bidi="ar-SA"/>
        </w:rPr>
      </w:pPr>
      <w:r>
        <w:rPr>
          <w:rFonts w:hint="eastAsia" w:ascii="宋体" w:hAnsi="宋体" w:cs="宋体"/>
          <w:b/>
          <w:bCs/>
          <w:kern w:val="2"/>
          <w:sz w:val="21"/>
          <w:szCs w:val="21"/>
          <w:highlight w:val="none"/>
          <w:lang w:val="en-US" w:eastAsia="zh-CN" w:bidi="ar-SA"/>
        </w:rPr>
        <w:t>（四）其它要求</w:t>
      </w:r>
    </w:p>
    <w:p w14:paraId="587DD894">
      <w:pPr>
        <w:pStyle w:val="13"/>
        <w:numPr>
          <w:ilvl w:val="-1"/>
          <w:numId w:val="0"/>
        </w:numPr>
        <w:ind w:firstLine="420" w:firstLineChars="200"/>
        <w:rPr>
          <w:rFonts w:hint="eastAsia"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1.未经采购人批准，不得以任何形式向任何单位或个人披露项目以及数据的有关信息。</w:t>
      </w:r>
    </w:p>
    <w:p w14:paraId="60EC8EA4">
      <w:pPr>
        <w:pStyle w:val="13"/>
        <w:numPr>
          <w:ilvl w:val="-1"/>
          <w:numId w:val="0"/>
        </w:numPr>
        <w:ind w:firstLine="420" w:firstLineChars="200"/>
        <w:rPr>
          <w:rFonts w:hint="eastAsia"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2.投标人有责任对采购人提供的技术情报、资料数据及商业秘密等保密信息进行保密，在未征得采购人对方书面同意的情况下，在项目中接触到的需要保密的信息和资料均不得向第三方泄漏。</w:t>
      </w:r>
    </w:p>
    <w:p w14:paraId="5F6E1064">
      <w:pPr>
        <w:pStyle w:val="13"/>
        <w:numPr>
          <w:ilvl w:val="-1"/>
          <w:numId w:val="0"/>
        </w:numPr>
        <w:ind w:firstLine="420" w:firstLineChars="200"/>
        <w:rPr>
          <w:rFonts w:hint="eastAsia"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3.投标人不得违规记录、存储、复制项目中涉及的国家秘密、数据信息资源和相关工作信息，不违规留存任何形式的文本资料和信息存储介质。</w:t>
      </w:r>
    </w:p>
    <w:p w14:paraId="1B258F88">
      <w:pPr>
        <w:pStyle w:val="13"/>
        <w:numPr>
          <w:ilvl w:val="-1"/>
          <w:numId w:val="0"/>
        </w:numPr>
        <w:ind w:firstLine="420" w:firstLineChars="200"/>
        <w:rPr>
          <w:rFonts w:hint="eastAsia" w:ascii="宋体" w:hAnsi="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4.任何一方未征得对方书面同意，不得为任何其他目的而自行使用或允许他人使用从对方获得的信息（信息指报告、摘录、纪要、文件、计划、报表、复印件等）。</w:t>
      </w:r>
    </w:p>
    <w:p w14:paraId="02EEA92A">
      <w:pPr>
        <w:pStyle w:val="13"/>
        <w:numPr>
          <w:ilvl w:val="-1"/>
          <w:numId w:val="0"/>
        </w:numPr>
        <w:ind w:firstLine="420" w:firstLineChars="200"/>
        <w:rPr>
          <w:rFonts w:hint="eastAsia" w:ascii="宋体" w:hAnsi="宋体" w:cs="宋体"/>
          <w:b/>
          <w:bCs/>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5.未经采购人同意，投标人不得擅自留存、使用、泄漏或向他人提供个人数据；未经采购人书面同意，投标人不得擅自留存、使用、泄漏或向他人提供相关数据。</w:t>
      </w:r>
    </w:p>
    <w:bookmarkEnd w:id="875"/>
    <w:bookmarkEnd w:id="876"/>
    <w:bookmarkEnd w:id="877"/>
    <w:p w14:paraId="60529CC4">
      <w:pPr>
        <w:spacing w:line="360" w:lineRule="auto"/>
        <w:jc w:val="both"/>
        <w:outlineLvl w:val="1"/>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三、商务要求</w:t>
      </w:r>
    </w:p>
    <w:p w14:paraId="5DEC8162">
      <w:pPr>
        <w:widowControl/>
        <w:tabs>
          <w:tab w:val="left" w:pos="5810"/>
        </w:tabs>
        <w:spacing w:line="460" w:lineRule="exact"/>
        <w:jc w:val="left"/>
        <w:rPr>
          <w:rFonts w:hint="eastAsia" w:ascii="宋体" w:hAnsi="宋体" w:eastAsia="宋体" w:cs="宋体"/>
          <w:b/>
          <w:szCs w:val="21"/>
          <w:lang w:eastAsia="zh-CN"/>
        </w:rPr>
      </w:pPr>
      <w:r>
        <w:rPr>
          <w:rFonts w:hint="eastAsia" w:ascii="宋体" w:hAnsi="宋体" w:cs="宋体"/>
          <w:b/>
          <w:szCs w:val="21"/>
          <w:lang w:eastAsia="zh-CN"/>
        </w:rPr>
        <w:t>（</w:t>
      </w:r>
      <w:r>
        <w:rPr>
          <w:rFonts w:hint="eastAsia" w:ascii="宋体" w:hAnsi="宋体" w:cs="宋体"/>
          <w:b/>
          <w:szCs w:val="21"/>
          <w:lang w:val="en-US" w:eastAsia="zh-CN"/>
        </w:rPr>
        <w:t>一</w:t>
      </w:r>
      <w:r>
        <w:rPr>
          <w:rFonts w:hint="eastAsia" w:ascii="宋体" w:hAnsi="宋体" w:cs="宋体"/>
          <w:b/>
          <w:szCs w:val="21"/>
          <w:lang w:eastAsia="zh-CN"/>
        </w:rPr>
        <w:t>）</w:t>
      </w:r>
      <w:r>
        <w:rPr>
          <w:rFonts w:hint="eastAsia" w:ascii="宋体" w:hAnsi="宋体" w:cs="宋体"/>
          <w:b/>
          <w:bCs/>
          <w:szCs w:val="21"/>
          <w:lang w:eastAsia="zh-CN"/>
        </w:rPr>
        <w:t>合同履行期限（服务期限）</w:t>
      </w:r>
      <w:r>
        <w:rPr>
          <w:rFonts w:hint="eastAsia" w:ascii="宋体" w:hAnsi="宋体" w:cs="宋体"/>
          <w:b/>
          <w:bCs/>
          <w:szCs w:val="21"/>
        </w:rPr>
        <w:t>：</w:t>
      </w:r>
      <w:r>
        <w:rPr>
          <w:rFonts w:hint="eastAsia" w:ascii="宋体" w:hAnsi="宋体" w:cs="宋体"/>
          <w:b w:val="0"/>
          <w:bCs w:val="0"/>
          <w:szCs w:val="21"/>
          <w:lang w:eastAsia="zh-CN"/>
        </w:rPr>
        <w:t>1年。</w:t>
      </w:r>
    </w:p>
    <w:p w14:paraId="5671077F">
      <w:pPr>
        <w:widowControl/>
        <w:tabs>
          <w:tab w:val="left" w:pos="5810"/>
        </w:tabs>
        <w:spacing w:line="460" w:lineRule="exact"/>
        <w:jc w:val="left"/>
        <w:rPr>
          <w:rFonts w:ascii="宋体" w:hAnsi="宋体" w:cs="宋体"/>
          <w:bCs/>
          <w:color w:val="000000"/>
          <w:szCs w:val="21"/>
        </w:rPr>
      </w:pPr>
      <w:r>
        <w:rPr>
          <w:rFonts w:hint="eastAsia" w:ascii="宋体" w:hAnsi="宋体" w:cs="宋体"/>
          <w:b/>
          <w:szCs w:val="21"/>
          <w:lang w:eastAsia="zh-CN"/>
        </w:rPr>
        <w:t>（</w:t>
      </w:r>
      <w:r>
        <w:rPr>
          <w:rFonts w:hint="eastAsia" w:ascii="宋体" w:hAnsi="宋体" w:cs="宋体"/>
          <w:b/>
          <w:szCs w:val="21"/>
          <w:lang w:val="en-US" w:eastAsia="zh-CN"/>
        </w:rPr>
        <w:t>二</w:t>
      </w:r>
      <w:r>
        <w:rPr>
          <w:rFonts w:hint="eastAsia" w:ascii="宋体" w:hAnsi="宋体" w:cs="宋体"/>
          <w:b/>
          <w:szCs w:val="21"/>
          <w:lang w:eastAsia="zh-CN"/>
        </w:rPr>
        <w:t>）</w:t>
      </w:r>
      <w:r>
        <w:rPr>
          <w:rFonts w:hint="eastAsia" w:ascii="宋体" w:hAnsi="宋体" w:cs="宋体"/>
          <w:b/>
          <w:bCs/>
          <w:szCs w:val="21"/>
          <w:lang w:eastAsia="zh-CN"/>
        </w:rPr>
        <w:t>交付（或实施）地点</w:t>
      </w:r>
      <w:r>
        <w:rPr>
          <w:rFonts w:hint="eastAsia" w:ascii="宋体" w:hAnsi="宋体" w:cs="宋体"/>
          <w:b/>
          <w:bCs/>
          <w:szCs w:val="21"/>
        </w:rPr>
        <w:t>：</w:t>
      </w:r>
      <w:r>
        <w:rPr>
          <w:rFonts w:hint="eastAsia" w:ascii="宋体" w:hAnsi="宋体" w:cs="宋体"/>
          <w:b w:val="0"/>
          <w:bCs w:val="0"/>
          <w:szCs w:val="21"/>
          <w:lang w:eastAsia="zh-CN"/>
        </w:rPr>
        <w:t>甲方指定地点。</w:t>
      </w:r>
    </w:p>
    <w:p w14:paraId="5BEF77F9">
      <w:pPr>
        <w:spacing w:line="460" w:lineRule="atLeast"/>
        <w:rPr>
          <w:rFonts w:hint="eastAsia" w:ascii="宋体" w:hAnsi="宋体" w:cs="宋体"/>
          <w:b w:val="0"/>
          <w:bCs/>
          <w:szCs w:val="21"/>
        </w:rPr>
      </w:pPr>
      <w:r>
        <w:rPr>
          <w:rFonts w:hint="eastAsia" w:ascii="宋体" w:hAnsi="宋体" w:cs="宋体"/>
          <w:b/>
          <w:szCs w:val="21"/>
          <w:lang w:eastAsia="zh-CN"/>
        </w:rPr>
        <w:t>（</w:t>
      </w:r>
      <w:r>
        <w:rPr>
          <w:rFonts w:hint="eastAsia" w:ascii="宋体" w:hAnsi="宋体" w:cs="宋体"/>
          <w:b/>
          <w:szCs w:val="21"/>
          <w:lang w:val="en-US" w:eastAsia="zh-CN"/>
        </w:rPr>
        <w:t>三</w:t>
      </w:r>
      <w:r>
        <w:rPr>
          <w:rFonts w:hint="eastAsia" w:ascii="宋体" w:hAnsi="宋体" w:cs="宋体"/>
          <w:b/>
          <w:szCs w:val="21"/>
          <w:lang w:eastAsia="zh-CN"/>
        </w:rPr>
        <w:t>）</w:t>
      </w:r>
      <w:r>
        <w:rPr>
          <w:rFonts w:hint="eastAsia" w:ascii="宋体" w:hAnsi="宋体" w:cs="宋体"/>
          <w:b/>
          <w:szCs w:val="21"/>
        </w:rPr>
        <w:t>付款方式：</w:t>
      </w:r>
      <w:r>
        <w:rPr>
          <w:rFonts w:hint="eastAsia" w:ascii="宋体" w:hAnsi="宋体" w:cs="宋体"/>
          <w:b w:val="0"/>
          <w:bCs/>
          <w:szCs w:val="21"/>
        </w:rPr>
        <w:t>合同签订后，甲方收到乙方开具的等额有效发票后，甲方于10日内向乙方支付合同总价50%的首付款，乙方于7日内按照合同总价的50%，由合同中明确的乙方收款银行出具银行保函正本原件，保函有效期为12个月，甲方在收到乙方提供的有效银行保函（合同总价的50%）和乙方开具的等额有效发票后，甲方于10日内向乙方支付合同总价50%的尾款。如12个月保函到期，项目未履行完毕，乙方需要更换新的银行保函，待项目总体验收合格后且乙方无违约行为，甲方于10日内向乙方退还银行保函正本原件。如合同期限届满乙方都未能提供保函，剩余合同尾款的支付前提应以对乙方履行合同内容验收合格且无违约情形为前提（未尽事宜以合同签订时商定为准）。</w:t>
      </w:r>
    </w:p>
    <w:p w14:paraId="224F8D69">
      <w:pPr>
        <w:spacing w:line="360" w:lineRule="auto"/>
        <w:ind w:firstLine="422" w:firstLineChars="200"/>
        <w:jc w:val="left"/>
        <w:rPr>
          <w:rFonts w:hint="eastAsia" w:ascii="宋体" w:hAnsi="宋体" w:cs="宋体"/>
          <w:b/>
          <w:szCs w:val="21"/>
          <w:lang w:val="en-US" w:eastAsia="zh-CN"/>
        </w:rPr>
      </w:pPr>
      <w:r>
        <w:rPr>
          <w:rFonts w:hint="eastAsia" w:ascii="宋体" w:hAnsi="宋体" w:cs="宋体"/>
          <w:b/>
          <w:szCs w:val="21"/>
          <w:lang w:val="en-US" w:eastAsia="zh-CN"/>
        </w:rPr>
        <w:t>（四）人员要求</w:t>
      </w:r>
    </w:p>
    <w:p w14:paraId="14E027CD">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szCs w:val="21"/>
          <w:lang w:val="en-US" w:eastAsia="zh-CN"/>
        </w:rPr>
        <w:t>乙方应根据项目采购需求合理配置项目经理、开发</w:t>
      </w:r>
      <w:r>
        <w:rPr>
          <w:rFonts w:hint="eastAsia" w:ascii="宋体" w:hAnsi="宋体" w:cs="宋体"/>
          <w:b w:val="0"/>
          <w:bCs/>
          <w:color w:val="auto"/>
          <w:szCs w:val="21"/>
          <w:lang w:val="en-US" w:eastAsia="zh-CN"/>
        </w:rPr>
        <w:t>人员及运维人员不少于11人，具体要求如下：</w:t>
      </w:r>
    </w:p>
    <w:p w14:paraId="0EA098E1">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color w:val="auto"/>
          <w:szCs w:val="21"/>
          <w:lang w:val="en-US" w:eastAsia="zh-CN"/>
        </w:rPr>
        <w:t>1.至少1名具有1年以上与本项目相关类似管理经验的项目经理。</w:t>
      </w:r>
    </w:p>
    <w:p w14:paraId="33F7ECE9">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color w:val="auto"/>
          <w:szCs w:val="21"/>
          <w:lang w:val="en-US" w:eastAsia="zh-CN"/>
        </w:rPr>
        <w:t>2.具备至少1名具有1年以上与本项目相关系统类服务经验的架构师。</w:t>
      </w:r>
    </w:p>
    <w:p w14:paraId="5D53DFED">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color w:val="auto"/>
          <w:szCs w:val="21"/>
          <w:lang w:val="en-US" w:eastAsia="zh-CN"/>
        </w:rPr>
        <w:t>3.具备至少2名具有1年以上参与过与本项目相关系统类服务经验的数据开发工程师。</w:t>
      </w:r>
    </w:p>
    <w:p w14:paraId="2236375D">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color w:val="auto"/>
          <w:szCs w:val="21"/>
          <w:lang w:val="en-US" w:eastAsia="zh-CN"/>
        </w:rPr>
        <w:t>4.具备至少2名具有1年以上参与过与本项目相关系统类服务经验的前端开发工程师。</w:t>
      </w:r>
    </w:p>
    <w:p w14:paraId="41015B74">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color w:val="auto"/>
          <w:szCs w:val="21"/>
          <w:lang w:val="en-US" w:eastAsia="zh-CN"/>
        </w:rPr>
        <w:t>5.具备至少2名具有1年以上参与过与本项目相关系统类服务经验的后端开发工程师。</w:t>
      </w:r>
    </w:p>
    <w:p w14:paraId="6F407093">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color w:val="auto"/>
          <w:szCs w:val="21"/>
          <w:lang w:val="en-US" w:eastAsia="zh-CN"/>
        </w:rPr>
        <w:t>6.具备至少1名具有1年以上参与过与本项目相关系统类服务经验的测试工程师。</w:t>
      </w:r>
    </w:p>
    <w:p w14:paraId="16E1CC44">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color w:val="auto"/>
          <w:szCs w:val="21"/>
          <w:lang w:val="en-US" w:eastAsia="zh-CN"/>
        </w:rPr>
        <w:t>7.具备至少2名具有1年以上参与过与本项目相关系统类服务经验的运维实施工程师。</w:t>
      </w:r>
    </w:p>
    <w:p w14:paraId="153DA1AA">
      <w:pPr>
        <w:spacing w:line="360" w:lineRule="auto"/>
        <w:ind w:firstLine="420" w:firstLineChars="200"/>
        <w:jc w:val="left"/>
        <w:rPr>
          <w:rFonts w:hint="eastAsia" w:ascii="宋体" w:hAnsi="宋体" w:cs="宋体"/>
          <w:b w:val="0"/>
          <w:bCs/>
          <w:color w:val="auto"/>
          <w:szCs w:val="21"/>
          <w:lang w:val="en-US" w:eastAsia="zh-CN"/>
        </w:rPr>
      </w:pPr>
      <w:r>
        <w:rPr>
          <w:rFonts w:hint="eastAsia" w:ascii="宋体" w:hAnsi="宋体" w:cs="宋体"/>
          <w:b w:val="0"/>
          <w:bCs/>
          <w:color w:val="auto"/>
          <w:szCs w:val="21"/>
          <w:lang w:val="en-US" w:eastAsia="zh-CN"/>
        </w:rPr>
        <w:t>注：以上岗位人员不可兼职，不可一人多职。</w:t>
      </w:r>
    </w:p>
    <w:p w14:paraId="175D4B05">
      <w:pPr>
        <w:spacing w:line="360" w:lineRule="auto"/>
        <w:jc w:val="left"/>
        <w:rPr>
          <w:rFonts w:hint="eastAsia" w:ascii="宋体" w:hAnsi="宋体" w:cs="宋体"/>
          <w:b/>
          <w:szCs w:val="21"/>
          <w:lang w:val="en-US" w:eastAsia="zh-CN"/>
        </w:rPr>
      </w:pPr>
      <w:r>
        <w:rPr>
          <w:rFonts w:hint="eastAsia" w:ascii="宋体" w:hAnsi="宋体" w:cs="宋体"/>
          <w:b/>
          <w:szCs w:val="21"/>
          <w:lang w:val="en-US" w:eastAsia="zh-CN"/>
        </w:rPr>
        <w:t>（五）验收及验收标准</w:t>
      </w:r>
    </w:p>
    <w:p w14:paraId="79D9DC9D">
      <w:pPr>
        <w:spacing w:line="360" w:lineRule="auto"/>
        <w:ind w:firstLine="420" w:firstLineChars="200"/>
        <w:jc w:val="left"/>
        <w:rPr>
          <w:rFonts w:hint="eastAsia" w:ascii="宋体" w:hAnsi="宋体"/>
          <w:bCs/>
          <w:szCs w:val="21"/>
        </w:rPr>
      </w:pPr>
      <w:r>
        <w:rPr>
          <w:rFonts w:hint="eastAsia" w:ascii="宋体" w:hAnsi="宋体"/>
          <w:bCs/>
          <w:szCs w:val="21"/>
          <w:lang w:val="en-US" w:eastAsia="zh-CN"/>
        </w:rPr>
        <w:t>1.</w:t>
      </w:r>
      <w:r>
        <w:rPr>
          <w:rFonts w:hint="eastAsia" w:ascii="宋体" w:hAnsi="宋体"/>
          <w:bCs/>
          <w:szCs w:val="21"/>
        </w:rPr>
        <w:t>甲方根据乙方提供的相关服务、合同约定内容及最终成果文件按照招标文件要求进行验收。</w:t>
      </w:r>
    </w:p>
    <w:p w14:paraId="5A9FCDF8">
      <w:pPr>
        <w:spacing w:line="360" w:lineRule="auto"/>
        <w:ind w:firstLine="420" w:firstLineChars="200"/>
        <w:jc w:val="left"/>
        <w:rPr>
          <w:rFonts w:hint="eastAsia" w:ascii="宋体" w:hAnsi="宋体"/>
          <w:bCs/>
          <w:szCs w:val="21"/>
        </w:rPr>
      </w:pPr>
      <w:r>
        <w:rPr>
          <w:rFonts w:hint="eastAsia" w:ascii="宋体" w:hAnsi="宋体"/>
          <w:bCs/>
          <w:szCs w:val="21"/>
          <w:lang w:val="en-US" w:eastAsia="zh-CN"/>
        </w:rPr>
        <w:t>2.</w:t>
      </w:r>
      <w:r>
        <w:rPr>
          <w:rFonts w:hint="eastAsia" w:ascii="宋体" w:hAnsi="宋体"/>
          <w:bCs/>
          <w:szCs w:val="21"/>
        </w:rPr>
        <w:t>所有数字可视化屏必须按照招标文件及合同的要求实现，功能通过测试，所有数字可视化屏均可正常显示。</w:t>
      </w:r>
    </w:p>
    <w:p w14:paraId="75D8163D">
      <w:pPr>
        <w:spacing w:line="360" w:lineRule="auto"/>
        <w:ind w:firstLine="420" w:firstLineChars="200"/>
        <w:jc w:val="left"/>
        <w:rPr>
          <w:rFonts w:hint="eastAsia" w:ascii="宋体" w:hAnsi="宋体"/>
          <w:bCs/>
          <w:szCs w:val="21"/>
        </w:rPr>
      </w:pPr>
      <w:r>
        <w:rPr>
          <w:rFonts w:hint="eastAsia" w:ascii="宋体" w:hAnsi="宋体"/>
          <w:bCs/>
          <w:szCs w:val="21"/>
          <w:lang w:val="en-US" w:eastAsia="zh-CN"/>
        </w:rPr>
        <w:t>3.</w:t>
      </w:r>
      <w:r>
        <w:rPr>
          <w:rFonts w:hint="eastAsia" w:ascii="宋体" w:hAnsi="宋体"/>
          <w:bCs/>
          <w:szCs w:val="21"/>
        </w:rPr>
        <w:t>乙方向甲方提供相应的技术文档。</w:t>
      </w:r>
    </w:p>
    <w:p w14:paraId="4CCF3B97">
      <w:pPr>
        <w:spacing w:line="360" w:lineRule="auto"/>
        <w:ind w:firstLine="420" w:firstLineChars="200"/>
        <w:jc w:val="left"/>
        <w:rPr>
          <w:rFonts w:ascii="宋体" w:hAnsi="宋体"/>
          <w:bCs/>
          <w:szCs w:val="21"/>
        </w:rPr>
      </w:pPr>
      <w:r>
        <w:rPr>
          <w:rFonts w:hint="eastAsia" w:ascii="宋体" w:hAnsi="宋体"/>
          <w:bCs/>
          <w:szCs w:val="21"/>
          <w:lang w:val="en-US" w:eastAsia="zh-CN"/>
        </w:rPr>
        <w:t>4.</w:t>
      </w:r>
      <w:r>
        <w:rPr>
          <w:rFonts w:hint="eastAsia" w:ascii="宋体" w:hAnsi="宋体"/>
          <w:bCs/>
          <w:szCs w:val="21"/>
        </w:rPr>
        <w:t>乙方向甲方提供必要的用户培训，确保甲方能够熟练使用软件。</w:t>
      </w:r>
    </w:p>
    <w:p w14:paraId="7C648F22">
      <w:pPr>
        <w:spacing w:line="360" w:lineRule="auto"/>
        <w:ind w:firstLine="420"/>
        <w:rPr>
          <w:rFonts w:ascii="宋体" w:hAnsi="宋体" w:cs="宋体"/>
          <w:b/>
          <w:szCs w:val="21"/>
        </w:rPr>
      </w:pPr>
      <w:r>
        <w:rPr>
          <w:rFonts w:hint="eastAsia" w:ascii="宋体" w:hAnsi="宋体" w:cs="宋体"/>
          <w:b/>
          <w:szCs w:val="21"/>
          <w:lang w:val="en-US" w:eastAsia="zh-CN"/>
        </w:rPr>
        <w:t>（六）违约责任</w:t>
      </w:r>
    </w:p>
    <w:p w14:paraId="4C7C74AC">
      <w:pPr>
        <w:spacing w:line="460" w:lineRule="atLeast"/>
        <w:ind w:firstLine="420" w:firstLineChars="200"/>
        <w:rPr>
          <w:rFonts w:hint="eastAsia" w:ascii="宋体" w:hAnsi="宋体" w:cs="宋体"/>
          <w:bCs/>
          <w:szCs w:val="21"/>
        </w:rPr>
      </w:pPr>
      <w:r>
        <w:rPr>
          <w:rFonts w:hint="eastAsia" w:ascii="宋体" w:hAnsi="宋体" w:cs="宋体"/>
          <w:bCs/>
          <w:szCs w:val="21"/>
          <w:lang w:val="en-US" w:eastAsia="zh-CN"/>
        </w:rPr>
        <w:t>1.</w:t>
      </w:r>
      <w:r>
        <w:rPr>
          <w:rFonts w:hint="eastAsia" w:ascii="宋体" w:hAnsi="宋体" w:cs="宋体"/>
          <w:bCs/>
          <w:szCs w:val="21"/>
        </w:rPr>
        <w:t>因乙方原因导致合同项目内容未能按期完成的，每延迟一天，乙方应向甲方支付合同总价1‰的违约金。逾期达到或超过15天的，甲方有权解除本合同，乙方应向甲方退还全部已收报酬和甲方已经支付的全部经费，按照上述约定支付违约金并赔偿甲方因此而受到的全部经济损失。</w:t>
      </w:r>
    </w:p>
    <w:p w14:paraId="388FB9B1">
      <w:pPr>
        <w:spacing w:line="460" w:lineRule="atLeast"/>
        <w:ind w:firstLine="420" w:firstLineChars="200"/>
        <w:rPr>
          <w:rFonts w:hint="eastAsia" w:ascii="宋体" w:hAnsi="宋体" w:cs="宋体"/>
          <w:bCs/>
          <w:szCs w:val="21"/>
        </w:rPr>
      </w:pPr>
      <w:r>
        <w:rPr>
          <w:rFonts w:hint="eastAsia" w:ascii="宋体" w:hAnsi="宋体" w:cs="宋体"/>
          <w:bCs/>
          <w:szCs w:val="21"/>
          <w:lang w:val="en-US" w:eastAsia="zh-CN"/>
        </w:rPr>
        <w:t>2.</w:t>
      </w:r>
      <w:r>
        <w:rPr>
          <w:rFonts w:hint="eastAsia" w:ascii="宋体" w:hAnsi="宋体" w:cs="宋体"/>
          <w:bCs/>
          <w:szCs w:val="21"/>
        </w:rPr>
        <w:t>乙方逾期提供保修服务或者延误故障修复时限的，每逾期或延误一天，每天处罚违约金为合同总价的1‰，但该笔违约金额不得超过合同总价的5%。</w:t>
      </w:r>
    </w:p>
    <w:p w14:paraId="6D3F9B89">
      <w:pPr>
        <w:spacing w:line="460" w:lineRule="atLeast"/>
        <w:ind w:firstLine="420" w:firstLineChars="200"/>
        <w:rPr>
          <w:rFonts w:hint="eastAsia" w:ascii="宋体" w:hAnsi="宋体" w:cs="宋体"/>
          <w:bCs/>
          <w:szCs w:val="21"/>
        </w:rPr>
      </w:pPr>
      <w:r>
        <w:rPr>
          <w:rFonts w:hint="eastAsia" w:ascii="宋体" w:hAnsi="宋体" w:cs="宋体"/>
          <w:bCs/>
          <w:szCs w:val="21"/>
          <w:lang w:val="en-US" w:eastAsia="zh-CN"/>
        </w:rPr>
        <w:t>3.</w:t>
      </w:r>
      <w:r>
        <w:rPr>
          <w:rFonts w:hint="eastAsia" w:ascii="宋体" w:hAnsi="宋体" w:cs="宋体"/>
          <w:bCs/>
          <w:szCs w:val="21"/>
        </w:rPr>
        <w:t>如乙方未按照合同约定履行其相关义务及职责，存在违约情形或致使甲方遭受损失的，甲方有权采取补救措施并扣除违约金及损失。如乙方在提供保函前进行违约，甲方有权自应付款项中对违约金及赔偿金进行扣除。如在提供保函后违约或给甲方造成损失，甲方有权依据合同及保函约定进行索赔如根据乙方提供保函无法获得赔付或赔付金额不足以覆盖甲方损失的，乙方应当继续对甲方承担违约及赔偿责任。</w:t>
      </w:r>
    </w:p>
    <w:p w14:paraId="13A9077B">
      <w:pPr>
        <w:spacing w:line="460" w:lineRule="atLeast"/>
        <w:ind w:firstLine="420" w:firstLineChars="200"/>
        <w:rPr>
          <w:rFonts w:hint="eastAsia" w:ascii="宋体" w:hAnsi="宋体" w:cs="宋体"/>
          <w:bCs/>
          <w:szCs w:val="21"/>
        </w:rPr>
      </w:pPr>
      <w:r>
        <w:rPr>
          <w:rFonts w:hint="eastAsia" w:ascii="宋体" w:hAnsi="宋体" w:cs="宋体"/>
          <w:bCs/>
          <w:szCs w:val="21"/>
          <w:lang w:val="en-US" w:eastAsia="zh-CN"/>
        </w:rPr>
        <w:t>4.</w:t>
      </w:r>
      <w:r>
        <w:rPr>
          <w:rFonts w:hint="eastAsia" w:ascii="宋体" w:hAnsi="宋体" w:cs="宋体"/>
          <w:bCs/>
          <w:szCs w:val="21"/>
        </w:rPr>
        <w:t>乙方所提供的服务不符合合同要求或者现场检验不符合要求，致使不能实现合同目的，甲方有权单方解除合同并要求乙方偿付合同总价5%的违约金。</w:t>
      </w:r>
    </w:p>
    <w:p w14:paraId="254FB681">
      <w:pPr>
        <w:spacing w:line="460" w:lineRule="atLeast"/>
        <w:ind w:firstLine="420" w:firstLineChars="200"/>
        <w:rPr>
          <w:rFonts w:hint="eastAsia"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 xml:space="preserve">如在服务期间因乙方过失造成甲方出现重大安全事故，甲方有权要求乙方进行赔偿。 </w:t>
      </w:r>
    </w:p>
    <w:p w14:paraId="6685C545">
      <w:pPr>
        <w:spacing w:line="460" w:lineRule="atLeast"/>
        <w:ind w:firstLine="420" w:firstLineChars="200"/>
        <w:rPr>
          <w:rFonts w:hint="eastAsia" w:ascii="宋体" w:hAnsi="宋体" w:cs="宋体"/>
          <w:bCs/>
          <w:szCs w:val="21"/>
        </w:rPr>
      </w:pPr>
      <w:r>
        <w:rPr>
          <w:rFonts w:hint="eastAsia" w:ascii="宋体" w:hAnsi="宋体" w:cs="宋体"/>
          <w:bCs/>
          <w:szCs w:val="21"/>
          <w:lang w:val="en-US" w:eastAsia="zh-CN"/>
        </w:rPr>
        <w:t>6.</w:t>
      </w:r>
      <w:r>
        <w:rPr>
          <w:rFonts w:hint="eastAsia" w:ascii="宋体" w:hAnsi="宋体" w:cs="宋体"/>
          <w:bCs/>
          <w:szCs w:val="21"/>
        </w:rPr>
        <w:t>甲方无正当理由延迟支付服务费，每延迟一日，支付延迟金额的0.1‰的违约金。超过30日未支付的，乙方有权解除合同。合同解除后，甲方应将已经发生的费用全部支付给乙方，并支付合同总价 5% 的违约金。</w:t>
      </w:r>
    </w:p>
    <w:p w14:paraId="4CBC5640">
      <w:pPr>
        <w:spacing w:line="460" w:lineRule="atLeast"/>
        <w:ind w:firstLine="420" w:firstLineChars="200"/>
        <w:rPr>
          <w:rFonts w:hint="eastAsia" w:ascii="宋体" w:hAnsi="宋体" w:cs="宋体"/>
          <w:bCs/>
          <w:szCs w:val="21"/>
        </w:rPr>
      </w:pPr>
      <w:r>
        <w:rPr>
          <w:rFonts w:hint="eastAsia" w:ascii="宋体" w:hAnsi="宋体" w:cs="宋体"/>
          <w:bCs/>
          <w:szCs w:val="21"/>
          <w:lang w:val="en-US" w:eastAsia="zh-CN"/>
        </w:rPr>
        <w:t>7.</w:t>
      </w:r>
      <w:r>
        <w:rPr>
          <w:rFonts w:hint="eastAsia" w:ascii="宋体" w:hAnsi="宋体" w:cs="宋体"/>
          <w:bCs/>
          <w:szCs w:val="21"/>
        </w:rPr>
        <w:t>如乙方出现合同中未列明的违约情形，则应向甲方支付合同总价5%作为违约金，违约金不足以弥补甲方损失的，还应赔偿损失。同时乙方违约的应承担甲方为维护自身合法权益而支出的必要费用，包括但不限于诉讼费、律师费、保全费、保全担保费等)。</w:t>
      </w:r>
    </w:p>
    <w:p w14:paraId="42B5B01C">
      <w:pPr>
        <w:spacing w:line="460" w:lineRule="atLeast"/>
        <w:ind w:firstLine="420" w:firstLineChars="200"/>
        <w:rPr>
          <w:rFonts w:ascii="宋体" w:hAnsi="宋体" w:cs="宋体"/>
          <w:bCs/>
          <w:szCs w:val="21"/>
        </w:rPr>
      </w:pPr>
      <w:r>
        <w:rPr>
          <w:rFonts w:hint="eastAsia" w:ascii="宋体" w:hAnsi="宋体" w:cs="宋体"/>
          <w:bCs/>
          <w:szCs w:val="21"/>
          <w:lang w:val="en-US" w:eastAsia="zh-CN"/>
        </w:rPr>
        <w:t>8.</w:t>
      </w:r>
      <w:r>
        <w:rPr>
          <w:rFonts w:hint="eastAsia" w:ascii="宋体" w:hAnsi="宋体" w:cs="宋体"/>
          <w:bCs/>
          <w:szCs w:val="21"/>
        </w:rPr>
        <w:t>未尽事宜，以最终签署合同内容为准。</w:t>
      </w:r>
    </w:p>
    <w:p w14:paraId="06DCE54A">
      <w:pPr>
        <w:spacing w:line="460" w:lineRule="atLeast"/>
        <w:ind w:firstLine="422" w:firstLineChars="200"/>
        <w:rPr>
          <w:rFonts w:ascii="宋体" w:hAnsi="宋体" w:cs="宋体"/>
          <w:b/>
          <w:szCs w:val="21"/>
        </w:rPr>
      </w:pPr>
      <w:r>
        <w:rPr>
          <w:rFonts w:hint="eastAsia" w:ascii="宋体" w:hAnsi="宋体" w:cs="宋体"/>
          <w:b/>
          <w:szCs w:val="21"/>
        </w:rPr>
        <w:t>附注：</w:t>
      </w:r>
    </w:p>
    <w:p w14:paraId="4230B4AD">
      <w:pPr>
        <w:spacing w:line="460" w:lineRule="atLeast"/>
        <w:rPr>
          <w:rFonts w:hint="eastAsia" w:ascii="宋体" w:hAnsi="宋体" w:cs="宋体"/>
          <w:bCs/>
          <w:szCs w:val="21"/>
        </w:rPr>
      </w:pPr>
      <w:r>
        <w:rPr>
          <w:rFonts w:hint="eastAsia" w:ascii="宋体" w:hAnsi="宋体" w:cs="宋体"/>
          <w:bCs/>
          <w:szCs w:val="21"/>
        </w:rPr>
        <w:t>1.根据《关于印发&lt;政府采购促进中小企业发展管理办法&gt;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8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0"/>
        <w:gridCol w:w="3397"/>
        <w:gridCol w:w="3256"/>
      </w:tblGrid>
      <w:tr w14:paraId="2051A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360" w:type="dxa"/>
            <w:shd w:val="clear" w:color="auto" w:fill="A5A5A5"/>
            <w:noWrap w:val="0"/>
            <w:vAlign w:val="center"/>
          </w:tcPr>
          <w:p w14:paraId="1B1B3A31">
            <w:pPr>
              <w:spacing w:line="360" w:lineRule="auto"/>
              <w:ind w:firstLine="0" w:firstLineChars="0"/>
              <w:jc w:val="center"/>
              <w:textAlignment w:val="center"/>
              <w:rPr>
                <w:rFonts w:ascii="宋体" w:hAnsi="宋体" w:cs="宋体"/>
                <w:b/>
                <w:szCs w:val="21"/>
              </w:rPr>
            </w:pPr>
            <w:r>
              <w:rPr>
                <w:rFonts w:hint="eastAsia" w:ascii="宋体" w:hAnsi="宋体" w:cs="宋体"/>
                <w:b/>
                <w:szCs w:val="21"/>
              </w:rPr>
              <w:t>序号</w:t>
            </w:r>
          </w:p>
        </w:tc>
        <w:tc>
          <w:tcPr>
            <w:tcW w:w="3397" w:type="dxa"/>
            <w:shd w:val="clear" w:color="auto" w:fill="A5A5A5"/>
            <w:noWrap w:val="0"/>
            <w:vAlign w:val="center"/>
          </w:tcPr>
          <w:p w14:paraId="1C2D2489">
            <w:pPr>
              <w:spacing w:line="360" w:lineRule="auto"/>
              <w:ind w:firstLine="0" w:firstLineChars="0"/>
              <w:jc w:val="center"/>
              <w:textAlignment w:val="center"/>
              <w:rPr>
                <w:rFonts w:ascii="宋体" w:hAnsi="宋体" w:cs="宋体"/>
                <w:b/>
                <w:szCs w:val="21"/>
              </w:rPr>
            </w:pPr>
            <w:r>
              <w:rPr>
                <w:rFonts w:hint="eastAsia" w:ascii="宋体" w:hAnsi="宋体" w:cs="宋体"/>
                <w:b/>
                <w:szCs w:val="21"/>
              </w:rPr>
              <w:t>标的名称</w:t>
            </w:r>
          </w:p>
        </w:tc>
        <w:tc>
          <w:tcPr>
            <w:tcW w:w="3256" w:type="dxa"/>
            <w:shd w:val="clear" w:color="auto" w:fill="A5A5A5"/>
            <w:noWrap w:val="0"/>
            <w:vAlign w:val="center"/>
          </w:tcPr>
          <w:p w14:paraId="5F1674CC">
            <w:pPr>
              <w:spacing w:line="360" w:lineRule="auto"/>
              <w:ind w:firstLine="0" w:firstLineChars="0"/>
              <w:jc w:val="center"/>
              <w:textAlignment w:val="center"/>
              <w:rPr>
                <w:rFonts w:ascii="宋体" w:hAnsi="宋体" w:cs="宋体"/>
                <w:b/>
                <w:szCs w:val="21"/>
              </w:rPr>
            </w:pPr>
            <w:r>
              <w:rPr>
                <w:rFonts w:hint="eastAsia" w:ascii="宋体" w:hAnsi="宋体" w:cs="宋体"/>
                <w:b/>
                <w:szCs w:val="21"/>
              </w:rPr>
              <w:t>所属行业</w:t>
            </w:r>
          </w:p>
        </w:tc>
      </w:tr>
      <w:tr w14:paraId="2829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0" w:type="dxa"/>
            <w:noWrap w:val="0"/>
            <w:vAlign w:val="center"/>
          </w:tcPr>
          <w:p w14:paraId="6ED5C98F">
            <w:pPr>
              <w:widowControl/>
              <w:spacing w:line="360" w:lineRule="auto"/>
              <w:ind w:firstLine="0" w:firstLineChars="0"/>
              <w:jc w:val="center"/>
              <w:rPr>
                <w:rFonts w:ascii="宋体" w:hAnsi="宋体" w:cs="宋体"/>
                <w:color w:val="FF0000"/>
                <w:szCs w:val="21"/>
              </w:rPr>
            </w:pPr>
            <w:r>
              <w:rPr>
                <w:rFonts w:hint="eastAsia" w:ascii="宋体" w:hAnsi="宋体" w:eastAsia="宋体" w:cs="宋体"/>
                <w:color w:val="000000"/>
                <w:kern w:val="0"/>
                <w:szCs w:val="21"/>
              </w:rPr>
              <w:t>1</w:t>
            </w:r>
          </w:p>
        </w:tc>
        <w:tc>
          <w:tcPr>
            <w:tcW w:w="3397" w:type="dxa"/>
            <w:noWrap w:val="0"/>
            <w:vAlign w:val="center"/>
          </w:tcPr>
          <w:p w14:paraId="598C5050">
            <w:pPr>
              <w:widowControl/>
              <w:spacing w:line="360" w:lineRule="auto"/>
              <w:ind w:firstLine="0" w:firstLineChars="0"/>
              <w:jc w:val="center"/>
              <w:rPr>
                <w:rFonts w:hint="eastAsia" w:ascii="宋体" w:hAnsi="宋体" w:eastAsia="宋体" w:cs="宋体"/>
                <w:color w:val="FF0000"/>
                <w:szCs w:val="21"/>
                <w:lang w:eastAsia="zh-CN"/>
              </w:rPr>
            </w:pPr>
            <w:r>
              <w:rPr>
                <w:rFonts w:hint="eastAsia" w:ascii="宋体" w:hAnsi="宋体" w:cs="宋体"/>
                <w:szCs w:val="21"/>
                <w:lang w:eastAsia="zh-CN"/>
              </w:rPr>
              <w:t>云南省体育彩票管理中心2025年数字可视化系统服务采购项目</w:t>
            </w:r>
          </w:p>
        </w:tc>
        <w:tc>
          <w:tcPr>
            <w:tcW w:w="3256" w:type="dxa"/>
            <w:noWrap w:val="0"/>
            <w:vAlign w:val="center"/>
          </w:tcPr>
          <w:p w14:paraId="09412A13">
            <w:pPr>
              <w:spacing w:line="360" w:lineRule="auto"/>
              <w:ind w:firstLine="0" w:firstLineChars="0"/>
              <w:jc w:val="center"/>
              <w:textAlignment w:val="center"/>
              <w:rPr>
                <w:rFonts w:hint="eastAsia" w:ascii="宋体" w:hAnsi="宋体" w:eastAsia="宋体" w:cs="宋体"/>
                <w:color w:val="FF0000"/>
                <w:szCs w:val="21"/>
                <w:lang w:eastAsia="zh-CN"/>
              </w:rPr>
            </w:pPr>
            <w:r>
              <w:rPr>
                <w:rFonts w:hint="eastAsia" w:ascii="宋体" w:hAnsi="宋体" w:cs="宋体"/>
                <w:szCs w:val="21"/>
              </w:rPr>
              <w:t>软件和信息技术服务业</w:t>
            </w:r>
          </w:p>
        </w:tc>
      </w:tr>
    </w:tbl>
    <w:p w14:paraId="5AF2FC38">
      <w:pPr>
        <w:ind w:firstLine="420"/>
        <w:rPr>
          <w:rFonts w:ascii="Times New Roman" w:hAnsi="Times New Roman" w:cs="Times New Roman"/>
        </w:rPr>
      </w:pPr>
      <w:r>
        <w:rPr>
          <w:rFonts w:hint="eastAsia" w:ascii="宋体" w:hAnsi="宋体"/>
          <w:bCs/>
          <w:szCs w:val="21"/>
        </w:rPr>
        <w:t>按照《工业和信息化部、国家统计局、国家发展和改革委员会、财政部关于印发中小企业划型标准规定的通知》（工信部联企业[2011]300号）的规定，软件和信息技术服务业的划型标准为：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870"/>
      <w:bookmarkEnd w:id="871"/>
      <w:bookmarkEnd w:id="872"/>
      <w:bookmarkEnd w:id="873"/>
      <w:bookmarkEnd w:id="874"/>
      <w:bookmarkStart w:id="880" w:name="_Toc27718"/>
      <w:bookmarkStart w:id="881" w:name="_Toc38338340"/>
    </w:p>
    <w:p w14:paraId="56600A18">
      <w:pPr>
        <w:ind w:firstLine="420"/>
        <w:rPr>
          <w:rFonts w:ascii="Times New Roman" w:hAnsi="Times New Roman" w:cs="Times New Roman"/>
        </w:rPr>
      </w:pPr>
      <w:r>
        <w:rPr>
          <w:rFonts w:ascii="Times New Roman" w:hAnsi="Times New Roman" w:cs="Times New Roman"/>
        </w:rPr>
        <w:br w:type="page"/>
      </w:r>
    </w:p>
    <w:p w14:paraId="695265C8">
      <w:pPr>
        <w:pStyle w:val="2"/>
        <w:spacing w:before="0" w:beforeLines="0"/>
        <w:rPr>
          <w:rFonts w:ascii="Times New Roman" w:hAnsi="Times New Roman" w:cs="Times New Roman"/>
        </w:rPr>
      </w:pPr>
      <w:r>
        <w:rPr>
          <w:rFonts w:ascii="Times New Roman" w:hAnsi="Times New Roman" w:cs="Times New Roman"/>
        </w:rPr>
        <w:t>第六章</w:t>
      </w:r>
      <w:r>
        <w:rPr>
          <w:rFonts w:hint="eastAsia" w:ascii="Times New Roman" w:hAnsi="Times New Roman" w:cs="Times New Roman"/>
        </w:rPr>
        <w:t xml:space="preserve"> </w:t>
      </w:r>
      <w:r>
        <w:rPr>
          <w:rFonts w:ascii="Times New Roman" w:hAnsi="Times New Roman" w:cs="Times New Roman"/>
        </w:rPr>
        <w:t>资格审查</w:t>
      </w:r>
      <w:bookmarkEnd w:id="880"/>
      <w:bookmarkEnd w:id="881"/>
    </w:p>
    <w:p w14:paraId="492D03ED">
      <w:pPr>
        <w:pStyle w:val="3"/>
        <w:spacing w:before="0" w:beforeLines="0"/>
        <w:jc w:val="center"/>
        <w:rPr>
          <w:rFonts w:ascii="Times New Roman" w:hAnsi="Times New Roman" w:cs="Times New Roman"/>
        </w:rPr>
      </w:pPr>
      <w:bookmarkStart w:id="882" w:name="_Toc9229"/>
      <w:r>
        <w:rPr>
          <w:rFonts w:ascii="Times New Roman" w:hAnsi="Times New Roman" w:cs="Times New Roman"/>
        </w:rPr>
        <w:t>资格审查前附表</w:t>
      </w:r>
      <w:bookmarkEnd w:id="882"/>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00C41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62896550">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3239A41E">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130CD5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680A3EF0">
            <w:pPr>
              <w:ind w:firstLine="0" w:firstLineChars="0"/>
              <w:jc w:val="center"/>
              <w:rPr>
                <w:rFonts w:hint="eastAsia" w:ascii="宋体" w:hAnsi="宋体" w:cs="宋体"/>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544" w:type="dxa"/>
            <w:vAlign w:val="center"/>
          </w:tcPr>
          <w:p w14:paraId="037EA027">
            <w:pPr>
              <w:ind w:firstLine="0" w:firstLineChars="0"/>
              <w:jc w:val="center"/>
              <w:rPr>
                <w:rFonts w:ascii="Times New Roman" w:hAnsi="Times New Roman" w:cs="Times New Roman"/>
                <w:szCs w:val="21"/>
              </w:rPr>
            </w:pPr>
            <w:r>
              <w:rPr>
                <w:rFonts w:hint="eastAsia" w:ascii="Times New Roman" w:hAnsi="Times New Roman" w:cs="Times New Roman"/>
                <w:szCs w:val="21"/>
              </w:rPr>
              <w:t>具有独立承担民事责任的能力</w:t>
            </w:r>
          </w:p>
        </w:tc>
        <w:tc>
          <w:tcPr>
            <w:tcW w:w="3877" w:type="dxa"/>
            <w:vMerge w:val="restart"/>
            <w:vAlign w:val="center"/>
          </w:tcPr>
          <w:p w14:paraId="6A25A0CE">
            <w:pPr>
              <w:ind w:firstLine="0" w:firstLineChars="0"/>
              <w:rPr>
                <w:rFonts w:hint="eastAsia"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883"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883"/>
            <w:r>
              <w:rPr>
                <w:rFonts w:ascii="Times New Roman" w:hAnsi="Times New Roman" w:cs="Times New Roman"/>
                <w:szCs w:val="21"/>
              </w:rPr>
              <w:t>。</w:t>
            </w:r>
          </w:p>
          <w:p w14:paraId="1C45D3BE">
            <w:pPr>
              <w:ind w:firstLine="0" w:firstLineChars="0"/>
              <w:rPr>
                <w:rFonts w:ascii="Times New Roman" w:hAnsi="Times New Roman" w:cs="Times New Roman"/>
                <w:color w:val="FF0000"/>
                <w:szCs w:val="21"/>
              </w:rPr>
            </w:pPr>
          </w:p>
        </w:tc>
      </w:tr>
      <w:tr w14:paraId="3F36A5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23B7584A">
            <w:pPr>
              <w:ind w:firstLine="0" w:firstLineChars="0"/>
              <w:rPr>
                <w:rFonts w:ascii="Times New Roman" w:hAnsi="Times New Roman" w:cs="Times New Roman"/>
                <w:szCs w:val="21"/>
              </w:rPr>
            </w:pPr>
          </w:p>
        </w:tc>
        <w:tc>
          <w:tcPr>
            <w:tcW w:w="3544" w:type="dxa"/>
            <w:vAlign w:val="center"/>
          </w:tcPr>
          <w:p w14:paraId="1E6D83D9">
            <w:pPr>
              <w:ind w:firstLine="0" w:firstLineChars="0"/>
              <w:jc w:val="center"/>
              <w:rPr>
                <w:rFonts w:ascii="Times New Roman" w:hAnsi="Times New Roman" w:cs="Times New Roman"/>
                <w:szCs w:val="21"/>
              </w:rPr>
            </w:pPr>
            <w:r>
              <w:rPr>
                <w:rFonts w:hint="eastAsia" w:ascii="Times New Roman" w:hAnsi="Times New Roman" w:cs="Times New Roman"/>
                <w:szCs w:val="21"/>
              </w:rPr>
              <w:t>具有良好的商业信誉和健全的财务会计制度</w:t>
            </w:r>
          </w:p>
        </w:tc>
        <w:tc>
          <w:tcPr>
            <w:tcW w:w="3877" w:type="dxa"/>
            <w:vMerge w:val="continue"/>
            <w:vAlign w:val="center"/>
          </w:tcPr>
          <w:p w14:paraId="73FEDC9E">
            <w:pPr>
              <w:ind w:firstLine="0" w:firstLineChars="0"/>
              <w:rPr>
                <w:rFonts w:ascii="Times New Roman" w:hAnsi="Times New Roman" w:cs="Times New Roman"/>
                <w:color w:val="FF0000"/>
                <w:szCs w:val="21"/>
              </w:rPr>
            </w:pPr>
          </w:p>
        </w:tc>
      </w:tr>
      <w:tr w14:paraId="6A667A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1D48079D">
            <w:pPr>
              <w:ind w:firstLine="0" w:firstLineChars="0"/>
              <w:rPr>
                <w:rFonts w:ascii="Times New Roman" w:hAnsi="Times New Roman" w:cs="Times New Roman"/>
                <w:szCs w:val="21"/>
              </w:rPr>
            </w:pPr>
          </w:p>
        </w:tc>
        <w:tc>
          <w:tcPr>
            <w:tcW w:w="3544" w:type="dxa"/>
            <w:vAlign w:val="center"/>
          </w:tcPr>
          <w:p w14:paraId="68AF5307">
            <w:pPr>
              <w:ind w:firstLine="0" w:firstLineChars="0"/>
              <w:jc w:val="center"/>
              <w:rPr>
                <w:rFonts w:ascii="Times New Roman" w:hAnsi="Times New Roman" w:cs="Times New Roman"/>
                <w:szCs w:val="21"/>
              </w:rPr>
            </w:pPr>
            <w:r>
              <w:rPr>
                <w:rFonts w:hint="eastAsia" w:ascii="Times New Roman" w:hAnsi="Times New Roman" w:cs="Times New Roman"/>
                <w:szCs w:val="21"/>
              </w:rPr>
              <w:t>具有履行合同所必需的设备和专业技术能力</w:t>
            </w:r>
          </w:p>
        </w:tc>
        <w:tc>
          <w:tcPr>
            <w:tcW w:w="3877" w:type="dxa"/>
            <w:vMerge w:val="continue"/>
            <w:vAlign w:val="center"/>
          </w:tcPr>
          <w:p w14:paraId="2906D718">
            <w:pPr>
              <w:ind w:firstLine="0" w:firstLineChars="0"/>
              <w:rPr>
                <w:rFonts w:ascii="Times New Roman" w:hAnsi="Times New Roman" w:cs="Times New Roman"/>
                <w:color w:val="FF0000"/>
                <w:szCs w:val="21"/>
              </w:rPr>
            </w:pPr>
          </w:p>
        </w:tc>
      </w:tr>
      <w:tr w14:paraId="023627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13B8AC6E">
            <w:pPr>
              <w:ind w:firstLine="0" w:firstLineChars="0"/>
              <w:rPr>
                <w:rFonts w:ascii="Times New Roman" w:hAnsi="Times New Roman" w:cs="Times New Roman"/>
                <w:szCs w:val="21"/>
              </w:rPr>
            </w:pPr>
          </w:p>
        </w:tc>
        <w:tc>
          <w:tcPr>
            <w:tcW w:w="3544" w:type="dxa"/>
            <w:vAlign w:val="center"/>
          </w:tcPr>
          <w:p w14:paraId="6B107401">
            <w:pPr>
              <w:ind w:firstLine="0" w:firstLineChars="0"/>
              <w:jc w:val="center"/>
              <w:rPr>
                <w:rFonts w:ascii="Times New Roman" w:hAnsi="Times New Roman" w:cs="Times New Roman"/>
                <w:szCs w:val="21"/>
              </w:rPr>
            </w:pPr>
            <w:r>
              <w:rPr>
                <w:rFonts w:hint="eastAsia" w:ascii="Times New Roman" w:hAnsi="Times New Roman" w:cs="Times New Roman"/>
                <w:szCs w:val="21"/>
              </w:rPr>
              <w:t>具有依法缴纳税收和社会保障资金的良好记录</w:t>
            </w:r>
          </w:p>
        </w:tc>
        <w:tc>
          <w:tcPr>
            <w:tcW w:w="3877" w:type="dxa"/>
            <w:vMerge w:val="continue"/>
            <w:vAlign w:val="center"/>
          </w:tcPr>
          <w:p w14:paraId="5BA1AA51">
            <w:pPr>
              <w:ind w:firstLine="0" w:firstLineChars="0"/>
              <w:rPr>
                <w:rFonts w:ascii="Times New Roman" w:hAnsi="Times New Roman" w:cs="Times New Roman"/>
                <w:color w:val="FF0000"/>
                <w:szCs w:val="21"/>
              </w:rPr>
            </w:pPr>
          </w:p>
        </w:tc>
      </w:tr>
      <w:tr w14:paraId="20A37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062776F4">
            <w:pPr>
              <w:ind w:firstLine="0" w:firstLineChars="0"/>
              <w:rPr>
                <w:rFonts w:ascii="Times New Roman" w:hAnsi="Times New Roman" w:cs="Times New Roman"/>
                <w:szCs w:val="21"/>
              </w:rPr>
            </w:pPr>
          </w:p>
        </w:tc>
        <w:tc>
          <w:tcPr>
            <w:tcW w:w="3544" w:type="dxa"/>
            <w:vAlign w:val="center"/>
          </w:tcPr>
          <w:p w14:paraId="167236CE">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3DF33838">
            <w:pPr>
              <w:ind w:firstLine="0" w:firstLineChars="0"/>
              <w:rPr>
                <w:rFonts w:ascii="Times New Roman" w:hAnsi="Times New Roman" w:cs="Times New Roman"/>
                <w:color w:val="FF0000"/>
                <w:szCs w:val="21"/>
              </w:rPr>
            </w:pPr>
          </w:p>
        </w:tc>
      </w:tr>
      <w:tr w14:paraId="1044E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44A1D940">
            <w:pPr>
              <w:ind w:firstLine="0" w:firstLineChars="0"/>
              <w:rPr>
                <w:rFonts w:ascii="Times New Roman" w:hAnsi="Times New Roman" w:cs="Times New Roman"/>
                <w:szCs w:val="21"/>
              </w:rPr>
            </w:pPr>
          </w:p>
        </w:tc>
        <w:tc>
          <w:tcPr>
            <w:tcW w:w="3544" w:type="dxa"/>
            <w:vAlign w:val="center"/>
          </w:tcPr>
          <w:p w14:paraId="3463246B">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3877" w:type="dxa"/>
            <w:vMerge w:val="continue"/>
            <w:tcBorders>
              <w:bottom w:val="single" w:color="auto" w:sz="4" w:space="0"/>
            </w:tcBorders>
            <w:vAlign w:val="center"/>
          </w:tcPr>
          <w:p w14:paraId="793EC81C">
            <w:pPr>
              <w:ind w:firstLine="0" w:firstLineChars="0"/>
              <w:rPr>
                <w:rFonts w:ascii="Times New Roman" w:hAnsi="Times New Roman" w:cs="Times New Roman"/>
                <w:color w:val="FF0000"/>
                <w:szCs w:val="21"/>
              </w:rPr>
            </w:pPr>
          </w:p>
        </w:tc>
      </w:tr>
    </w:tbl>
    <w:p w14:paraId="7261B17A">
      <w:pPr>
        <w:pStyle w:val="3"/>
        <w:spacing w:before="0" w:beforeLines="0"/>
        <w:rPr>
          <w:rFonts w:ascii="Times New Roman" w:hAnsi="Times New Roman" w:cs="Times New Roman"/>
        </w:rPr>
      </w:pPr>
      <w:bookmarkStart w:id="884" w:name="_Toc7171"/>
      <w:bookmarkStart w:id="885" w:name="_Toc24810"/>
      <w:bookmarkStart w:id="886" w:name="_Toc38338342"/>
      <w:bookmarkStart w:id="887" w:name="_Toc18287454"/>
      <w:bookmarkStart w:id="888" w:name="_Toc15460"/>
      <w:bookmarkStart w:id="889" w:name="_Toc37716422"/>
      <w:bookmarkStart w:id="890" w:name="_Toc13257"/>
      <w:bookmarkStart w:id="891" w:name="_Toc17604"/>
      <w:r>
        <w:rPr>
          <w:rFonts w:ascii="Times New Roman" w:hAnsi="Times New Roman" w:cs="Times New Roman"/>
        </w:rPr>
        <w:t>一、资格</w:t>
      </w:r>
      <w:r>
        <w:rPr>
          <w:rFonts w:ascii="Times New Roman" w:hAnsi="Times New Roman" w:cs="Times New Roman"/>
          <w:szCs w:val="24"/>
        </w:rPr>
        <w:t>审查</w:t>
      </w:r>
      <w:bookmarkEnd w:id="884"/>
      <w:bookmarkEnd w:id="885"/>
      <w:bookmarkEnd w:id="886"/>
      <w:bookmarkEnd w:id="887"/>
      <w:bookmarkEnd w:id="888"/>
      <w:bookmarkEnd w:id="889"/>
      <w:bookmarkEnd w:id="890"/>
      <w:bookmarkEnd w:id="891"/>
    </w:p>
    <w:p w14:paraId="62CCA929">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6CE727FC">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4D02616B">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5609A19E">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29671631">
      <w:pPr>
        <w:ind w:firstLine="0" w:firstLineChars="0"/>
        <w:outlineLvl w:val="1"/>
        <w:rPr>
          <w:rFonts w:ascii="Times New Roman" w:hAnsi="Times New Roman" w:cs="Times New Roman"/>
        </w:rPr>
      </w:pPr>
      <w:bookmarkStart w:id="892" w:name="_Toc23441"/>
      <w:r>
        <w:rPr>
          <w:rFonts w:ascii="Times New Roman" w:hAnsi="Times New Roman" w:eastAsia="黑体" w:cs="Times New Roman"/>
          <w:b/>
          <w:bCs/>
          <w:sz w:val="28"/>
          <w:szCs w:val="32"/>
        </w:rPr>
        <w:t>二、资格审查报告</w:t>
      </w:r>
      <w:bookmarkEnd w:id="892"/>
    </w:p>
    <w:p w14:paraId="68448383">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12B56D1A">
      <w:pPr>
        <w:pStyle w:val="2"/>
        <w:spacing w:before="0" w:beforeLines="0"/>
        <w:rPr>
          <w:rFonts w:ascii="Times New Roman" w:hAnsi="Times New Roman" w:cs="Times New Roman"/>
        </w:rPr>
      </w:pPr>
      <w:bookmarkStart w:id="893" w:name="_Toc38338343"/>
      <w:bookmarkStart w:id="894" w:name="_Toc10932"/>
      <w:bookmarkStart w:id="895" w:name="OLE_LINK242"/>
      <w:r>
        <w:rPr>
          <w:rFonts w:ascii="Times New Roman" w:hAnsi="Times New Roman" w:cs="Times New Roman"/>
        </w:rPr>
        <w:t>第七章</w:t>
      </w:r>
      <w:r>
        <w:rPr>
          <w:rFonts w:hint="eastAsia" w:ascii="Times New Roman" w:hAnsi="Times New Roman" w:cs="Times New Roman"/>
        </w:rPr>
        <w:t xml:space="preserve"> </w:t>
      </w:r>
      <w:r>
        <w:rPr>
          <w:rFonts w:ascii="Times New Roman" w:hAnsi="Times New Roman" w:cs="Times New Roman"/>
        </w:rPr>
        <w:t>评标方法</w:t>
      </w:r>
      <w:bookmarkEnd w:id="893"/>
      <w:bookmarkEnd w:id="894"/>
      <w:bookmarkStart w:id="896" w:name="_Toc481694866"/>
      <w:bookmarkStart w:id="897" w:name="_Toc979"/>
      <w:bookmarkStart w:id="898" w:name="_Toc480817655"/>
    </w:p>
    <w:p w14:paraId="35559908">
      <w:pPr>
        <w:pStyle w:val="3"/>
        <w:spacing w:before="0" w:beforeLines="0"/>
        <w:jc w:val="center"/>
        <w:rPr>
          <w:rFonts w:ascii="Times New Roman" w:hAnsi="Times New Roman" w:cs="Times New Roman"/>
        </w:rPr>
      </w:pPr>
      <w:bookmarkStart w:id="899" w:name="_Toc489145774"/>
      <w:bookmarkStart w:id="900" w:name="_Toc38338344"/>
      <w:bookmarkStart w:id="901" w:name="_Toc488633639"/>
      <w:bookmarkStart w:id="902" w:name="_Toc37716424"/>
      <w:bookmarkStart w:id="903" w:name="_Toc18312"/>
      <w:r>
        <w:rPr>
          <w:rFonts w:ascii="Times New Roman" w:hAnsi="Times New Roman" w:cs="Times New Roman"/>
        </w:rPr>
        <w:t>评标方法前附</w:t>
      </w:r>
      <w:bookmarkEnd w:id="895"/>
      <w:r>
        <w:rPr>
          <w:rFonts w:ascii="Times New Roman" w:hAnsi="Times New Roman" w:cs="Times New Roman"/>
        </w:rPr>
        <w:t>表</w:t>
      </w:r>
      <w:bookmarkEnd w:id="896"/>
      <w:bookmarkEnd w:id="899"/>
      <w:bookmarkEnd w:id="900"/>
      <w:bookmarkEnd w:id="901"/>
      <w:bookmarkEnd w:id="902"/>
      <w:bookmarkEnd w:id="903"/>
    </w:p>
    <w:bookmarkEnd w:id="897"/>
    <w:bookmarkEnd w:id="898"/>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898"/>
        <w:gridCol w:w="1886"/>
        <w:gridCol w:w="6183"/>
      </w:tblGrid>
      <w:tr w14:paraId="4581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656" w:type="pct"/>
            <w:gridSpan w:val="2"/>
            <w:vAlign w:val="center"/>
          </w:tcPr>
          <w:p w14:paraId="55B6EB83">
            <w:pPr>
              <w:spacing w:before="100" w:beforeAutospacing="1" w:after="100" w:afterAutospacing="1"/>
              <w:ind w:firstLine="0" w:firstLineChars="0"/>
              <w:jc w:val="center"/>
              <w:rPr>
                <w:rFonts w:ascii="Times New Roman" w:hAnsi="Times New Roman" w:cs="Times New Roman"/>
                <w:b/>
                <w:szCs w:val="21"/>
              </w:rPr>
            </w:pPr>
            <w:bookmarkStart w:id="904" w:name="_Toc49935348"/>
            <w:bookmarkStart w:id="905" w:name="_Toc26783937"/>
            <w:bookmarkStart w:id="906" w:name="_Toc68090068"/>
            <w:bookmarkStart w:id="907" w:name="_Toc326218111"/>
            <w:r>
              <w:rPr>
                <w:rFonts w:ascii="Times New Roman" w:hAnsi="Times New Roman" w:cs="Times New Roman"/>
                <w:b/>
                <w:szCs w:val="21"/>
              </w:rPr>
              <w:t>条款号</w:t>
            </w:r>
          </w:p>
        </w:tc>
        <w:tc>
          <w:tcPr>
            <w:tcW w:w="1015" w:type="pct"/>
            <w:vAlign w:val="center"/>
          </w:tcPr>
          <w:p w14:paraId="5C677D08">
            <w:pPr>
              <w:ind w:firstLine="0" w:firstLineChars="0"/>
              <w:jc w:val="center"/>
              <w:rPr>
                <w:rFonts w:ascii="Times New Roman" w:hAnsi="Times New Roman" w:cs="Times New Roman"/>
                <w:b/>
                <w:szCs w:val="21"/>
              </w:rPr>
            </w:pPr>
            <w:r>
              <w:rPr>
                <w:rFonts w:ascii="Times New Roman" w:hAnsi="Times New Roman" w:cs="Times New Roman"/>
                <w:b/>
                <w:szCs w:val="21"/>
              </w:rPr>
              <w:t>评审内容</w:t>
            </w:r>
          </w:p>
        </w:tc>
        <w:tc>
          <w:tcPr>
            <w:tcW w:w="3328" w:type="pct"/>
            <w:vAlign w:val="center"/>
          </w:tcPr>
          <w:p w14:paraId="0A5E3185">
            <w:pPr>
              <w:ind w:firstLine="422"/>
              <w:jc w:val="center"/>
              <w:rPr>
                <w:rFonts w:ascii="Times New Roman" w:hAnsi="Times New Roman" w:cs="Times New Roman"/>
                <w:b/>
                <w:szCs w:val="21"/>
              </w:rPr>
            </w:pPr>
            <w:r>
              <w:rPr>
                <w:rFonts w:ascii="Times New Roman" w:hAnsi="Times New Roman" w:cs="Times New Roman"/>
                <w:b/>
                <w:szCs w:val="21"/>
              </w:rPr>
              <w:t>评审标准</w:t>
            </w:r>
          </w:p>
        </w:tc>
      </w:tr>
      <w:tr w14:paraId="7813C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09D9BFB0">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483" w:type="pct"/>
            <w:vMerge w:val="restart"/>
            <w:vAlign w:val="center"/>
          </w:tcPr>
          <w:p w14:paraId="5647EBEE">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w:t>
            </w:r>
            <w:r>
              <w:rPr>
                <w:rFonts w:hint="eastAsia" w:ascii="Times New Roman" w:hAnsi="Times New Roman" w:cs="Times New Roman"/>
                <w:szCs w:val="21"/>
              </w:rPr>
              <w:t>标准</w:t>
            </w:r>
          </w:p>
        </w:tc>
        <w:tc>
          <w:tcPr>
            <w:tcW w:w="1015" w:type="pct"/>
            <w:vAlign w:val="center"/>
          </w:tcPr>
          <w:p w14:paraId="65D4D6D4">
            <w:pPr>
              <w:spacing w:before="100" w:beforeAutospacing="1" w:after="100" w:afterAutospacing="1"/>
              <w:ind w:firstLine="0" w:firstLineChars="0"/>
              <w:jc w:val="center"/>
              <w:rPr>
                <w:rFonts w:hint="eastAsia" w:ascii="宋体" w:hAnsi="宋体" w:cs="宋体"/>
                <w:szCs w:val="21"/>
              </w:rPr>
            </w:pPr>
            <w:r>
              <w:rPr>
                <w:rFonts w:hint="eastAsia"/>
              </w:rPr>
              <w:t>投标报价</w:t>
            </w:r>
          </w:p>
        </w:tc>
        <w:tc>
          <w:tcPr>
            <w:tcW w:w="3328" w:type="pct"/>
            <w:vAlign w:val="center"/>
          </w:tcPr>
          <w:p w14:paraId="5E085069">
            <w:pPr>
              <w:spacing w:before="0" w:beforeAutospacing="0" w:after="0" w:afterAutospacing="0" w:line="360" w:lineRule="auto"/>
              <w:ind w:firstLine="0" w:firstLineChars="0"/>
              <w:jc w:val="both"/>
              <w:rPr>
                <w:rFonts w:hint="eastAsia" w:eastAsia="宋体"/>
                <w:lang w:val="en-US" w:eastAsia="zh-CN"/>
              </w:rPr>
            </w:pPr>
            <w:r>
              <w:rPr>
                <w:rFonts w:hint="eastAsia" w:ascii="宋体" w:hAnsi="宋体" w:cs="宋体"/>
                <w:color w:val="000000" w:themeColor="text1"/>
                <w:szCs w:val="21"/>
                <w14:textFill>
                  <w14:solidFill>
                    <w14:schemeClr w14:val="tx1"/>
                  </w14:solidFill>
                </w14:textFill>
              </w:rPr>
              <w:t>投标报价未超过采购预算，未出现缺项、漏项或无报价情况，对所投标段内所有内容作出完整唯一的投标报价。</w:t>
            </w:r>
          </w:p>
        </w:tc>
      </w:tr>
      <w:tr w14:paraId="05D1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5EFA23E9">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2E1E8A84">
            <w:pPr>
              <w:spacing w:before="100" w:beforeAutospacing="1" w:after="100" w:afterAutospacing="1"/>
              <w:ind w:firstLine="0" w:firstLineChars="0"/>
              <w:jc w:val="center"/>
              <w:rPr>
                <w:rFonts w:ascii="Times New Roman" w:hAnsi="Times New Roman" w:cs="Times New Roman"/>
                <w:szCs w:val="21"/>
              </w:rPr>
            </w:pPr>
          </w:p>
        </w:tc>
        <w:tc>
          <w:tcPr>
            <w:tcW w:w="1015" w:type="pct"/>
            <w:vAlign w:val="center"/>
          </w:tcPr>
          <w:p w14:paraId="27F6088C">
            <w:pPr>
              <w:ind w:firstLine="0" w:firstLineChars="0"/>
              <w:jc w:val="center"/>
              <w:rPr>
                <w:rFonts w:hint="eastAsia" w:ascii="宋体" w:hAnsi="宋体" w:cs="宋体"/>
                <w:szCs w:val="21"/>
              </w:rPr>
            </w:pPr>
            <w:r>
              <w:rPr>
                <w:rFonts w:ascii="Times New Roman" w:hAnsi="Times New Roman" w:cs="Times New Roman"/>
                <w:szCs w:val="21"/>
              </w:rPr>
              <w:t>投标有效期</w:t>
            </w:r>
          </w:p>
        </w:tc>
        <w:tc>
          <w:tcPr>
            <w:tcW w:w="3328" w:type="pct"/>
            <w:vAlign w:val="center"/>
          </w:tcPr>
          <w:p w14:paraId="403FDC48">
            <w:pPr>
              <w:spacing w:before="100" w:beforeAutospacing="1" w:after="100" w:afterAutospacing="1"/>
              <w:ind w:firstLine="0" w:firstLineChars="0"/>
              <w:jc w:val="left"/>
              <w:rPr>
                <w:rFonts w:hint="eastAsia" w:ascii="宋体" w:hAnsi="宋体" w:cs="宋体"/>
                <w:szCs w:val="21"/>
                <w:highlight w:val="yellow"/>
              </w:rPr>
            </w:pPr>
            <w:r>
              <w:rPr>
                <w:rFonts w:ascii="Times New Roman" w:hAnsi="Times New Roman" w:cs="Times New Roman"/>
                <w:szCs w:val="21"/>
              </w:rPr>
              <w:t>符合第二章《投标人须知》第</w:t>
            </w:r>
            <w:r>
              <w:rPr>
                <w:rFonts w:hint="eastAsia" w:ascii="Times New Roman" w:hAnsi="Times New Roman" w:cs="Times New Roman"/>
                <w:szCs w:val="21"/>
              </w:rPr>
              <w:t>17.1</w:t>
            </w:r>
            <w:r>
              <w:rPr>
                <w:rFonts w:ascii="Times New Roman" w:hAnsi="Times New Roman" w:cs="Times New Roman"/>
                <w:szCs w:val="21"/>
              </w:rPr>
              <w:t>项规定；</w:t>
            </w:r>
          </w:p>
        </w:tc>
      </w:tr>
      <w:tr w14:paraId="51619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521912FE">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134EBFE1">
            <w:pPr>
              <w:spacing w:before="100" w:beforeAutospacing="1" w:after="100" w:afterAutospacing="1"/>
              <w:ind w:firstLine="0" w:firstLineChars="0"/>
              <w:jc w:val="center"/>
              <w:rPr>
                <w:rFonts w:ascii="Times New Roman" w:hAnsi="Times New Roman" w:cs="Times New Roman"/>
                <w:szCs w:val="21"/>
              </w:rPr>
            </w:pPr>
          </w:p>
        </w:tc>
        <w:tc>
          <w:tcPr>
            <w:tcW w:w="1015" w:type="pct"/>
            <w:vAlign w:val="center"/>
          </w:tcPr>
          <w:p w14:paraId="6004DB61">
            <w:pPr>
              <w:spacing w:before="100" w:beforeAutospacing="1" w:after="100" w:afterAutospacing="1"/>
              <w:ind w:firstLine="0" w:firstLineChars="0"/>
              <w:jc w:val="center"/>
              <w:rPr>
                <w:rFonts w:hint="eastAsia" w:ascii="宋体" w:hAnsi="宋体" w:cs="宋体"/>
                <w:szCs w:val="21"/>
              </w:rPr>
            </w:pPr>
            <w:r>
              <w:rPr>
                <w:rFonts w:ascii="Times New Roman" w:hAnsi="Times New Roman" w:cs="Times New Roman"/>
                <w:szCs w:val="21"/>
              </w:rPr>
              <w:t>投标保证金</w:t>
            </w:r>
          </w:p>
        </w:tc>
        <w:tc>
          <w:tcPr>
            <w:tcW w:w="3328" w:type="pct"/>
            <w:vAlign w:val="center"/>
          </w:tcPr>
          <w:p w14:paraId="14D403F9">
            <w:pPr>
              <w:ind w:firstLine="0" w:firstLineChars="0"/>
              <w:jc w:val="left"/>
              <w:rPr>
                <w:rFonts w:hint="eastAsia" w:ascii="宋体" w:hAnsi="宋体" w:cs="宋体"/>
                <w:szCs w:val="21"/>
              </w:rPr>
            </w:pPr>
            <w:r>
              <w:rPr>
                <w:rFonts w:ascii="Times New Roman" w:hAnsi="Times New Roman" w:cs="Times New Roman"/>
                <w:szCs w:val="21"/>
              </w:rPr>
              <w:t>符合第二章《投标人须知》第</w:t>
            </w:r>
            <w:r>
              <w:rPr>
                <w:rFonts w:hint="eastAsia" w:ascii="Times New Roman" w:hAnsi="Times New Roman" w:cs="Times New Roman"/>
                <w:szCs w:val="21"/>
              </w:rPr>
              <w:t>18.1</w:t>
            </w:r>
            <w:r>
              <w:rPr>
                <w:rFonts w:ascii="Times New Roman" w:hAnsi="Times New Roman" w:cs="Times New Roman"/>
                <w:szCs w:val="21"/>
              </w:rPr>
              <w:t>项规定；</w:t>
            </w:r>
          </w:p>
        </w:tc>
      </w:tr>
      <w:tr w14:paraId="10CCC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2C56217B">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12D375E9">
            <w:pPr>
              <w:spacing w:before="100" w:beforeAutospacing="1" w:after="100" w:afterAutospacing="1"/>
              <w:ind w:firstLine="0" w:firstLineChars="0"/>
              <w:jc w:val="center"/>
              <w:rPr>
                <w:rFonts w:ascii="Times New Roman" w:hAnsi="Times New Roman" w:cs="Times New Roman"/>
                <w:szCs w:val="21"/>
              </w:rPr>
            </w:pPr>
          </w:p>
        </w:tc>
        <w:tc>
          <w:tcPr>
            <w:tcW w:w="1015" w:type="pct"/>
            <w:vAlign w:val="center"/>
          </w:tcPr>
          <w:p w14:paraId="51F1BE95">
            <w:pPr>
              <w:spacing w:before="100" w:beforeAutospacing="1" w:after="100" w:afterAutospacing="1"/>
              <w:ind w:firstLine="0" w:firstLineChars="0"/>
              <w:jc w:val="center"/>
              <w:rPr>
                <w:rFonts w:hint="eastAsia" w:ascii="宋体" w:hAnsi="宋体" w:cs="宋体"/>
                <w:szCs w:val="21"/>
              </w:rPr>
            </w:pPr>
            <w:r>
              <w:t>招标文件中要求</w:t>
            </w:r>
            <w:r>
              <w:rPr>
                <w:rFonts w:hint="eastAsia"/>
              </w:rPr>
              <w:t>盖章、</w:t>
            </w:r>
            <w:r>
              <w:rPr>
                <w:rFonts w:hint="eastAsia" w:ascii="宋体" w:hAnsi="宋体" w:cs="宋体"/>
                <w:szCs w:val="21"/>
              </w:rPr>
              <w:t>签名或签章</w:t>
            </w:r>
            <w:r>
              <w:rPr>
                <w:rFonts w:hint="eastAsia"/>
              </w:rPr>
              <w:t>的</w:t>
            </w:r>
            <w:r>
              <w:t>地方</w:t>
            </w:r>
          </w:p>
        </w:tc>
        <w:tc>
          <w:tcPr>
            <w:tcW w:w="3328" w:type="pct"/>
            <w:vAlign w:val="center"/>
          </w:tcPr>
          <w:p w14:paraId="0B75C646">
            <w:pPr>
              <w:spacing w:before="100" w:beforeAutospacing="1" w:after="100" w:afterAutospacing="1"/>
              <w:ind w:firstLine="0" w:firstLineChars="0"/>
              <w:jc w:val="left"/>
              <w:rPr>
                <w:rFonts w:hint="eastAsia" w:ascii="宋体" w:hAnsi="宋体" w:cs="宋体"/>
                <w:b/>
                <w:bCs/>
                <w:szCs w:val="21"/>
              </w:rPr>
            </w:pPr>
            <w:r>
              <w:rPr>
                <w:rFonts w:hint="eastAsia"/>
              </w:rPr>
              <w:t>按招标文件要求盖章、签名或</w:t>
            </w:r>
            <w:r>
              <w:rPr>
                <w:rFonts w:hint="eastAsia" w:ascii="宋体" w:hAnsi="宋体" w:cs="宋体"/>
                <w:szCs w:val="21"/>
              </w:rPr>
              <w:t>签章</w:t>
            </w:r>
            <w:r>
              <w:rPr>
                <w:rFonts w:hint="eastAsia"/>
              </w:rPr>
              <w:t>；</w:t>
            </w:r>
          </w:p>
        </w:tc>
      </w:tr>
      <w:tr w14:paraId="70D20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494855D7">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2DA7E8A0">
            <w:pPr>
              <w:spacing w:before="100" w:beforeAutospacing="1" w:after="100" w:afterAutospacing="1"/>
              <w:ind w:firstLine="0" w:firstLineChars="0"/>
              <w:jc w:val="center"/>
              <w:rPr>
                <w:rFonts w:ascii="Times New Roman" w:hAnsi="Times New Roman" w:cs="Times New Roman"/>
                <w:szCs w:val="21"/>
              </w:rPr>
            </w:pPr>
          </w:p>
        </w:tc>
        <w:tc>
          <w:tcPr>
            <w:tcW w:w="1015" w:type="pct"/>
            <w:vAlign w:val="center"/>
          </w:tcPr>
          <w:p w14:paraId="247085FA">
            <w:pPr>
              <w:spacing w:before="100" w:beforeAutospacing="1" w:after="100" w:afterAutospacing="1"/>
              <w:ind w:firstLine="0" w:firstLineChars="0"/>
              <w:jc w:val="center"/>
              <w:rPr>
                <w:rFonts w:hint="eastAsia" w:ascii="宋体" w:hAnsi="宋体" w:cs="宋体"/>
                <w:szCs w:val="21"/>
              </w:rPr>
            </w:pPr>
            <w:r>
              <w:rPr>
                <w:rFonts w:ascii="Times New Roman" w:hAnsi="Times New Roman" w:cs="Times New Roman"/>
                <w:szCs w:val="21"/>
              </w:rPr>
              <w:t>其它实质性要求</w:t>
            </w:r>
          </w:p>
        </w:tc>
        <w:tc>
          <w:tcPr>
            <w:tcW w:w="3328" w:type="pct"/>
            <w:vAlign w:val="center"/>
          </w:tcPr>
          <w:p w14:paraId="4D61DA95">
            <w:pPr>
              <w:ind w:firstLine="0" w:firstLineChars="0"/>
              <w:rPr>
                <w:rFonts w:hint="eastAsia" w:ascii="宋体" w:hAnsi="宋体" w:cs="宋体"/>
              </w:rPr>
            </w:pPr>
            <w:r>
              <w:rPr>
                <w:rFonts w:hint="eastAsia" w:ascii="宋体" w:hAnsi="宋体" w:cs="宋体"/>
              </w:rPr>
              <w:t>1）</w:t>
            </w:r>
            <w:r>
              <w:rPr>
                <w:rFonts w:hint="eastAsia" w:ascii="等线" w:hAnsi="等线" w:cs="Times New Roman"/>
                <w:lang w:bidi="ar"/>
              </w:rPr>
              <w:t>招标文件中</w:t>
            </w:r>
            <w:r>
              <w:rPr>
                <w:rFonts w:hint="eastAsia"/>
              </w:rPr>
              <w:t>投标文件格式部分标注</w:t>
            </w:r>
            <w:r>
              <w:rPr>
                <w:rFonts w:hint="eastAsia" w:ascii="宋体" w:hAnsi="宋体" w:cs="宋体"/>
                <w:szCs w:val="21"/>
              </w:rPr>
              <w:t>▲</w:t>
            </w:r>
            <w:r>
              <w:rPr>
                <w:rFonts w:hint="eastAsia"/>
              </w:rPr>
              <w:t>号的，投标人必须</w:t>
            </w:r>
            <w:r>
              <w:rPr>
                <w:color w:val="000000"/>
              </w:rPr>
              <w:t>按</w:t>
            </w:r>
            <w:r>
              <w:rPr>
                <w:rFonts w:hint="eastAsia"/>
                <w:color w:val="000000"/>
              </w:rPr>
              <w:t>招标文件</w:t>
            </w:r>
            <w:r>
              <w:rPr>
                <w:color w:val="000000"/>
              </w:rPr>
              <w:t>要求填写，</w:t>
            </w:r>
            <w:r>
              <w:rPr>
                <w:rFonts w:hint="eastAsia" w:ascii="等线" w:hAnsi="等线" w:cs="Times New Roman"/>
                <w:lang w:bidi="ar"/>
              </w:rPr>
              <w:t>否则其投标文件按无效投标处理</w:t>
            </w:r>
            <w:r>
              <w:rPr>
                <w:rFonts w:hint="eastAsia" w:ascii="宋体" w:hAnsi="宋体" w:cs="宋体"/>
              </w:rPr>
              <w:t>；</w:t>
            </w:r>
          </w:p>
          <w:p w14:paraId="7AF1EC32">
            <w:pPr>
              <w:ind w:firstLine="0" w:firstLineChars="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2）投标文件未出现其他不满足招标文件标注▲条款内容；</w:t>
            </w:r>
          </w:p>
          <w:p w14:paraId="6C988D26">
            <w:pPr>
              <w:ind w:firstLine="0" w:firstLineChars="0"/>
              <w:rPr>
                <w:rFonts w:hint="eastAsia" w:ascii="宋体" w:hAnsi="宋体" w:cs="宋体"/>
                <w:szCs w:val="21"/>
              </w:rPr>
            </w:pPr>
            <w:r>
              <w:rPr>
                <w:rFonts w:hint="eastAsia" w:ascii="宋体" w:hAnsi="宋体" w:cs="宋体"/>
                <w:szCs w:val="21"/>
              </w:rPr>
              <w:t>3）</w:t>
            </w:r>
            <w:r>
              <w:rPr>
                <w:rFonts w:hint="eastAsia" w:ascii="宋体" w:hAnsi="宋体" w:cs="宋体"/>
              </w:rPr>
              <w:t>法律、法规和招标文件明确规定的其他投标无效情形</w:t>
            </w:r>
            <w:r>
              <w:rPr>
                <w:rFonts w:hint="eastAsia" w:ascii="宋体" w:hAnsi="宋体" w:cs="宋体"/>
                <w:szCs w:val="21"/>
              </w:rPr>
              <w:t>。</w:t>
            </w:r>
          </w:p>
        </w:tc>
      </w:tr>
      <w:tr w14:paraId="3A3D9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0D188DEB">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483" w:type="pct"/>
            <w:vMerge w:val="restart"/>
            <w:vAlign w:val="center"/>
          </w:tcPr>
          <w:p w14:paraId="5806FEF5">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15" w:type="pct"/>
            <w:vAlign w:val="center"/>
          </w:tcPr>
          <w:p w14:paraId="40224EBF">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328" w:type="pct"/>
            <w:vAlign w:val="center"/>
          </w:tcPr>
          <w:p w14:paraId="5816C394">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0EFD25D3">
            <w:pPr>
              <w:ind w:firstLine="0" w:firstLineChars="0"/>
              <w:rPr>
                <w:rFonts w:ascii="Times New Roman" w:hAnsi="Times New Roman" w:cs="Times New Roman"/>
                <w:szCs w:val="21"/>
              </w:rPr>
            </w:pPr>
            <w:r>
              <w:rPr>
                <w:rFonts w:ascii="Times New Roman" w:hAnsi="Times New Roman" w:cs="Times New Roman"/>
                <w:szCs w:val="21"/>
              </w:rPr>
              <w:t>其中：</w:t>
            </w:r>
          </w:p>
          <w:p w14:paraId="6E7D1CFA">
            <w:pPr>
              <w:ind w:firstLine="0" w:firstLineChars="0"/>
              <w:rPr>
                <w:rFonts w:ascii="Times New Roman" w:hAnsi="Times New Roman" w:cs="Times New Roman"/>
                <w:szCs w:val="21"/>
              </w:rPr>
            </w:pPr>
            <w:r>
              <w:rPr>
                <w:rFonts w:ascii="Times New Roman" w:hAnsi="Times New Roman" w:cs="Times New Roman"/>
                <w:szCs w:val="21"/>
              </w:rPr>
              <w:t>F1、F2、F3分别为</w:t>
            </w:r>
            <w:r>
              <w:rPr>
                <w:rFonts w:hint="eastAsia" w:ascii="Times New Roman" w:hAnsi="Times New Roman" w:cs="Times New Roman"/>
                <w:szCs w:val="21"/>
              </w:rPr>
              <w:t>投</w:t>
            </w:r>
            <w:r>
              <w:rPr>
                <w:rFonts w:ascii="Times New Roman" w:hAnsi="Times New Roman" w:cs="Times New Roman"/>
                <w:szCs w:val="21"/>
              </w:rPr>
              <w:t>标报价、技术部分、商务部分3项评分因素的汇总得分；</w:t>
            </w:r>
          </w:p>
        </w:tc>
      </w:tr>
      <w:tr w14:paraId="7FE3D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30A3C0A8">
            <w:pPr>
              <w:ind w:firstLine="0" w:firstLineChars="0"/>
              <w:rPr>
                <w:rFonts w:ascii="Times New Roman" w:hAnsi="Times New Roman" w:cs="Times New Roman"/>
                <w:szCs w:val="21"/>
              </w:rPr>
            </w:pPr>
          </w:p>
        </w:tc>
        <w:tc>
          <w:tcPr>
            <w:tcW w:w="483" w:type="pct"/>
            <w:vMerge w:val="continue"/>
            <w:vAlign w:val="center"/>
          </w:tcPr>
          <w:p w14:paraId="2E41E3E8">
            <w:pPr>
              <w:ind w:firstLine="0" w:firstLineChars="0"/>
              <w:rPr>
                <w:rFonts w:ascii="Times New Roman" w:hAnsi="Times New Roman" w:cs="Times New Roman"/>
                <w:szCs w:val="21"/>
              </w:rPr>
            </w:pPr>
          </w:p>
        </w:tc>
        <w:tc>
          <w:tcPr>
            <w:tcW w:w="1015" w:type="pct"/>
            <w:vAlign w:val="center"/>
          </w:tcPr>
          <w:p w14:paraId="4DAD3F49">
            <w:pPr>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2）评分因素权重</w:t>
            </w:r>
          </w:p>
        </w:tc>
        <w:tc>
          <w:tcPr>
            <w:tcW w:w="3328" w:type="pct"/>
            <w:vAlign w:val="center"/>
          </w:tcPr>
          <w:p w14:paraId="3F21D63C">
            <w:pPr>
              <w:ind w:firstLine="0" w:firstLineChars="0"/>
              <w:rPr>
                <w:rFonts w:hint="eastAsia" w:ascii="宋体" w:hAnsi="宋体" w:eastAsia="宋体" w:cs="宋体"/>
                <w:color w:val="auto"/>
                <w:szCs w:val="21"/>
              </w:rPr>
            </w:pPr>
            <w:r>
              <w:rPr>
                <w:rFonts w:hint="eastAsia" w:ascii="宋体" w:hAnsi="宋体" w:eastAsia="宋体" w:cs="宋体"/>
                <w:color w:val="auto"/>
                <w:szCs w:val="21"/>
              </w:rPr>
              <w:t>投标报价F1：</w:t>
            </w:r>
            <w:r>
              <w:rPr>
                <w:rFonts w:hint="eastAsia" w:ascii="宋体" w:hAnsi="宋体" w:eastAsia="宋体" w:cs="宋体"/>
                <w:color w:val="auto"/>
                <w:szCs w:val="21"/>
                <w:u w:val="single"/>
                <w:lang w:val="en-US" w:eastAsia="zh-CN"/>
              </w:rPr>
              <w:t>10</w:t>
            </w:r>
            <w:r>
              <w:rPr>
                <w:rFonts w:hint="eastAsia" w:ascii="宋体" w:hAnsi="宋体" w:eastAsia="宋体" w:cs="宋体"/>
                <w:color w:val="auto"/>
                <w:szCs w:val="21"/>
              </w:rPr>
              <w:t>分。</w:t>
            </w:r>
          </w:p>
          <w:p w14:paraId="3AC14267">
            <w:pPr>
              <w:ind w:firstLine="0" w:firstLineChars="0"/>
              <w:rPr>
                <w:rFonts w:hint="eastAsia" w:ascii="宋体" w:hAnsi="宋体" w:eastAsia="宋体" w:cs="宋体"/>
                <w:color w:val="auto"/>
                <w:szCs w:val="21"/>
              </w:rPr>
            </w:pPr>
            <w:r>
              <w:rPr>
                <w:rFonts w:hint="eastAsia" w:ascii="宋体" w:hAnsi="宋体" w:eastAsia="宋体" w:cs="宋体"/>
                <w:color w:val="auto"/>
                <w:szCs w:val="21"/>
              </w:rPr>
              <w:t>技术部分F2：</w:t>
            </w:r>
            <w:r>
              <w:rPr>
                <w:rFonts w:hint="eastAsia" w:ascii="宋体" w:hAnsi="宋体" w:cs="宋体"/>
                <w:color w:val="auto"/>
                <w:szCs w:val="21"/>
                <w:u w:val="single"/>
                <w:lang w:val="en-US" w:eastAsia="zh-CN"/>
              </w:rPr>
              <w:t>65</w:t>
            </w:r>
            <w:r>
              <w:rPr>
                <w:rFonts w:hint="eastAsia" w:ascii="宋体" w:hAnsi="宋体" w:eastAsia="宋体" w:cs="宋体"/>
                <w:color w:val="auto"/>
                <w:szCs w:val="21"/>
              </w:rPr>
              <w:t>分。</w:t>
            </w:r>
          </w:p>
          <w:p w14:paraId="76E200D1">
            <w:pPr>
              <w:ind w:firstLine="0" w:firstLineChars="0"/>
              <w:rPr>
                <w:rFonts w:hint="eastAsia" w:ascii="宋体" w:hAnsi="宋体" w:eastAsia="宋体" w:cs="宋体"/>
                <w:color w:val="auto"/>
                <w:szCs w:val="21"/>
              </w:rPr>
            </w:pPr>
            <w:r>
              <w:rPr>
                <w:rFonts w:hint="eastAsia" w:ascii="宋体" w:hAnsi="宋体" w:eastAsia="宋体" w:cs="宋体"/>
                <w:color w:val="auto"/>
                <w:szCs w:val="21"/>
              </w:rPr>
              <w:t>商务部分F3：</w:t>
            </w:r>
            <w:r>
              <w:rPr>
                <w:rFonts w:hint="eastAsia" w:ascii="宋体" w:hAnsi="宋体" w:cs="宋体"/>
                <w:color w:val="auto"/>
                <w:szCs w:val="21"/>
                <w:u w:val="single"/>
                <w:lang w:val="en-US" w:eastAsia="zh-CN"/>
              </w:rPr>
              <w:t>25</w:t>
            </w:r>
            <w:r>
              <w:rPr>
                <w:rFonts w:hint="eastAsia" w:ascii="宋体" w:hAnsi="宋体" w:eastAsia="宋体" w:cs="宋体"/>
                <w:color w:val="auto"/>
                <w:szCs w:val="21"/>
              </w:rPr>
              <w:t>分。</w:t>
            </w:r>
          </w:p>
        </w:tc>
      </w:tr>
      <w:tr w14:paraId="52D7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60B95FD9">
            <w:pPr>
              <w:ind w:firstLine="0" w:firstLineChars="0"/>
              <w:rPr>
                <w:rFonts w:ascii="Times New Roman" w:hAnsi="Times New Roman" w:cs="Times New Roman"/>
                <w:szCs w:val="21"/>
              </w:rPr>
            </w:pPr>
          </w:p>
        </w:tc>
        <w:tc>
          <w:tcPr>
            <w:tcW w:w="483" w:type="pct"/>
            <w:vMerge w:val="continue"/>
            <w:vAlign w:val="center"/>
          </w:tcPr>
          <w:p w14:paraId="21AB1601">
            <w:pPr>
              <w:ind w:firstLine="0" w:firstLineChars="0"/>
              <w:rPr>
                <w:rFonts w:ascii="Times New Roman" w:hAnsi="Times New Roman" w:cs="Times New Roman"/>
                <w:szCs w:val="21"/>
              </w:rPr>
            </w:pPr>
          </w:p>
        </w:tc>
        <w:tc>
          <w:tcPr>
            <w:tcW w:w="1015" w:type="pct"/>
            <w:vAlign w:val="center"/>
          </w:tcPr>
          <w:p w14:paraId="1FC2AD89">
            <w:pPr>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3）投标报价得分F1（满分</w:t>
            </w:r>
            <w:r>
              <w:rPr>
                <w:rFonts w:hint="eastAsia" w:ascii="宋体" w:hAnsi="宋体" w:eastAsia="宋体" w:cs="宋体"/>
                <w:color w:val="auto"/>
                <w:szCs w:val="21"/>
                <w:lang w:val="en-US" w:eastAsia="zh-CN"/>
              </w:rPr>
              <w:t>10</w:t>
            </w:r>
            <w:r>
              <w:rPr>
                <w:rFonts w:hint="eastAsia" w:ascii="宋体" w:hAnsi="宋体" w:eastAsia="宋体" w:cs="宋体"/>
                <w:color w:val="auto"/>
                <w:szCs w:val="21"/>
              </w:rPr>
              <w:t>分）</w:t>
            </w:r>
          </w:p>
        </w:tc>
        <w:tc>
          <w:tcPr>
            <w:tcW w:w="3328" w:type="pct"/>
            <w:vAlign w:val="center"/>
          </w:tcPr>
          <w:p w14:paraId="39FBD898">
            <w:pPr>
              <w:keepNext w:val="0"/>
              <w:keepLines w:val="0"/>
              <w:suppressLineNumbers w:val="0"/>
              <w:adjustRightInd/>
              <w:spacing w:before="0" w:beforeAutospacing="0" w:after="0" w:afterAutospacing="0" w:line="360" w:lineRule="auto"/>
              <w:ind w:left="0" w:right="0" w:firstLine="0" w:firstLineChars="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投标报价计算公式= (评标基准价/投标报价)×10</w:t>
            </w:r>
          </w:p>
          <w:p w14:paraId="40EE45AE">
            <w:pPr>
              <w:keepNext w:val="0"/>
              <w:keepLines w:val="0"/>
              <w:suppressLineNumbers w:val="0"/>
              <w:adjustRightInd/>
              <w:spacing w:before="0" w:beforeAutospacing="0" w:after="0" w:afterAutospacing="0" w:line="360" w:lineRule="auto"/>
              <w:ind w:left="0" w:right="0" w:firstLine="0" w:firstLineChars="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即：F1=[C/（B1，B2，…，Bn）]×10</w:t>
            </w:r>
          </w:p>
          <w:p w14:paraId="58D834B0">
            <w:pPr>
              <w:keepNext w:val="0"/>
              <w:keepLines w:val="0"/>
              <w:suppressLineNumbers w:val="0"/>
              <w:adjustRightInd/>
              <w:spacing w:before="0" w:beforeAutospacing="0" w:after="0" w:afterAutospacing="0" w:line="360" w:lineRule="auto"/>
              <w:ind w:left="0" w:right="0" w:firstLine="0" w:firstLineChars="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注：C为评标基准价，即实质性要求审查合格且投标价格最低的有效投标报价；</w:t>
            </w:r>
          </w:p>
          <w:p w14:paraId="20107F72">
            <w:pPr>
              <w:ind w:left="0" w:leftChars="0" w:firstLine="0" w:firstLineChars="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B1，B2，…，Bn为第n个经初步审查合格的有效投标报价。</w:t>
            </w:r>
          </w:p>
          <w:p w14:paraId="755A4B57">
            <w:pPr>
              <w:ind w:firstLine="0" w:firstLineChars="0"/>
              <w:jc w:val="left"/>
              <w:rPr>
                <w:rFonts w:hint="eastAsia" w:ascii="宋体" w:hAnsi="宋体" w:cs="宋体"/>
                <w:b/>
                <w:bCs/>
                <w:color w:val="auto"/>
                <w:szCs w:val="21"/>
              </w:rPr>
            </w:pPr>
            <w:r>
              <w:rPr>
                <w:rFonts w:hint="eastAsia" w:ascii="宋体" w:hAnsi="宋体" w:cs="宋体"/>
                <w:b/>
                <w:bCs/>
                <w:color w:val="auto"/>
                <w:szCs w:val="21"/>
              </w:rPr>
              <w:t>注：</w:t>
            </w:r>
          </w:p>
          <w:p w14:paraId="1C8EDBA9">
            <w:pPr>
              <w:ind w:firstLine="0" w:firstLineChars="0"/>
              <w:jc w:val="left"/>
              <w:rPr>
                <w:rFonts w:hint="eastAsia" w:ascii="宋体" w:hAnsi="宋体" w:cs="宋体"/>
                <w:b/>
                <w:bCs/>
                <w:color w:val="auto"/>
                <w:szCs w:val="21"/>
              </w:rPr>
            </w:pPr>
            <w:r>
              <w:rPr>
                <w:rFonts w:hint="eastAsia" w:ascii="宋体" w:hAnsi="宋体" w:cs="宋体"/>
                <w:b/>
                <w:bCs/>
                <w:color w:val="auto"/>
                <w:szCs w:val="21"/>
              </w:rPr>
              <w:t>1）应落实政府采购政策进行价格调整的，以调整后的价格计算基准价；</w:t>
            </w:r>
          </w:p>
          <w:p w14:paraId="730F9629">
            <w:pPr>
              <w:ind w:firstLine="0" w:firstLineChars="0"/>
              <w:jc w:val="left"/>
              <w:rPr>
                <w:rFonts w:hint="eastAsia" w:ascii="宋体" w:hAnsi="宋体" w:cs="宋体"/>
                <w:b/>
                <w:bCs/>
                <w:color w:val="auto"/>
                <w:szCs w:val="21"/>
              </w:rPr>
            </w:pPr>
            <w:r>
              <w:rPr>
                <w:rFonts w:hint="eastAsia" w:ascii="宋体" w:hAnsi="宋体" w:cs="宋体"/>
                <w:b/>
                <w:bCs/>
                <w:color w:val="auto"/>
                <w:szCs w:val="21"/>
              </w:rPr>
              <w:t>2）对于非专门面向中小企业的项目，若本次采购范围内所有标的物均由小微型企业（残疾人福利性单位、监狱企业）提供，在计算投标报价得分时，则对提供的所有标的物均为小微型企业产品（服务）的报价给予10%的扣除，用扣除后的报价参与评审；投标人应按第四章投标文件格式规定提供并填写“中小企业声明函”，否则不考虑价格扣除；</w:t>
            </w:r>
          </w:p>
          <w:p w14:paraId="5D2B4DCA">
            <w:pPr>
              <w:pStyle w:val="11"/>
              <w:ind w:firstLine="0" w:firstLineChars="0"/>
              <w:rPr>
                <w:rFonts w:hint="eastAsia"/>
                <w:color w:val="auto"/>
              </w:rPr>
            </w:pPr>
            <w:r>
              <w:rPr>
                <w:rFonts w:hint="eastAsia" w:ascii="宋体" w:hAnsi="宋体" w:cs="宋体"/>
                <w:b/>
                <w:bCs/>
                <w:color w:val="auto"/>
                <w:szCs w:val="21"/>
              </w:rPr>
              <w:t>3）残疾人福利性单位（或监狱企业）产品视同小型、微型企业，享受同等价格扣除；针对小微企业价格扣除政策，投标人仅能获得一种政策的价格扣除，不重复享受；</w:t>
            </w:r>
          </w:p>
        </w:tc>
      </w:tr>
      <w:tr w14:paraId="2E55C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72" w:type="pct"/>
            <w:vMerge w:val="continue"/>
            <w:vAlign w:val="center"/>
          </w:tcPr>
          <w:p w14:paraId="050324E4">
            <w:pPr>
              <w:ind w:firstLine="0" w:firstLineChars="0"/>
              <w:rPr>
                <w:rFonts w:ascii="Times New Roman" w:hAnsi="Times New Roman" w:cs="Times New Roman"/>
                <w:szCs w:val="21"/>
              </w:rPr>
            </w:pPr>
          </w:p>
        </w:tc>
        <w:tc>
          <w:tcPr>
            <w:tcW w:w="483" w:type="pct"/>
            <w:vMerge w:val="continue"/>
            <w:vAlign w:val="center"/>
          </w:tcPr>
          <w:p w14:paraId="12259443">
            <w:pPr>
              <w:ind w:firstLine="0" w:firstLineChars="0"/>
              <w:rPr>
                <w:rFonts w:ascii="Times New Roman" w:hAnsi="Times New Roman" w:cs="Times New Roman"/>
                <w:szCs w:val="21"/>
              </w:rPr>
            </w:pPr>
          </w:p>
        </w:tc>
        <w:tc>
          <w:tcPr>
            <w:tcW w:w="1015" w:type="pct"/>
            <w:vMerge w:val="restart"/>
            <w:vAlign w:val="center"/>
          </w:tcPr>
          <w:p w14:paraId="476965B1">
            <w:pPr>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4）技术部分得分F2（满分</w:t>
            </w:r>
            <w:r>
              <w:rPr>
                <w:rFonts w:hint="eastAsia" w:ascii="宋体" w:hAnsi="宋体" w:cs="宋体"/>
                <w:color w:val="auto"/>
                <w:szCs w:val="21"/>
                <w:lang w:val="en-US" w:eastAsia="zh-CN"/>
              </w:rPr>
              <w:t>65</w:t>
            </w:r>
            <w:r>
              <w:rPr>
                <w:rFonts w:hint="eastAsia" w:ascii="宋体" w:hAnsi="宋体" w:eastAsia="宋体" w:cs="宋体"/>
                <w:color w:val="auto"/>
                <w:szCs w:val="21"/>
              </w:rPr>
              <w:t>分）</w:t>
            </w:r>
          </w:p>
        </w:tc>
        <w:tc>
          <w:tcPr>
            <w:tcW w:w="3328" w:type="pct"/>
            <w:vAlign w:val="center"/>
          </w:tcPr>
          <w:p w14:paraId="6257D361">
            <w:pPr>
              <w:widowControl/>
              <w:numPr>
                <w:ilvl w:val="0"/>
                <w:numId w:val="0"/>
              </w:numPr>
              <w:spacing w:line="360" w:lineRule="auto"/>
              <w:ind w:firstLine="0" w:firstLineChars="0"/>
              <w:jc w:val="left"/>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（1）</w:t>
            </w:r>
            <w:r>
              <w:rPr>
                <w:rFonts w:hint="eastAsia" w:ascii="宋体" w:hAnsi="宋体" w:cs="宋体"/>
                <w:b/>
                <w:bCs/>
                <w:color w:val="auto"/>
                <w:szCs w:val="21"/>
                <w:lang w:eastAsia="zh-CN" w:bidi="ar"/>
              </w:rPr>
              <w:t>数字可视化系统服务预案</w:t>
            </w:r>
            <w:r>
              <w:rPr>
                <w:rFonts w:hint="eastAsia" w:ascii="宋体" w:hAnsi="宋体" w:eastAsia="宋体" w:cs="宋体"/>
                <w:b/>
                <w:bCs/>
                <w:color w:val="auto"/>
                <w:szCs w:val="21"/>
                <w:lang w:bidi="ar"/>
              </w:rPr>
              <w:t>评审评分（满分</w:t>
            </w:r>
            <w:r>
              <w:rPr>
                <w:rFonts w:hint="eastAsia" w:ascii="宋体" w:hAnsi="宋体" w:cs="宋体"/>
                <w:b/>
                <w:bCs/>
                <w:color w:val="auto"/>
                <w:szCs w:val="21"/>
                <w:lang w:val="en-US" w:eastAsia="zh-CN" w:bidi="ar"/>
              </w:rPr>
              <w:t>28</w:t>
            </w:r>
            <w:r>
              <w:rPr>
                <w:rFonts w:hint="eastAsia" w:ascii="宋体" w:hAnsi="宋体" w:eastAsia="宋体" w:cs="宋体"/>
                <w:b/>
                <w:bCs/>
                <w:color w:val="auto"/>
                <w:szCs w:val="21"/>
                <w:lang w:bidi="ar"/>
              </w:rPr>
              <w:t>分）</w:t>
            </w:r>
          </w:p>
          <w:p w14:paraId="3B770F5B">
            <w:pPr>
              <w:widowControl/>
              <w:numPr>
                <w:ilvl w:val="0"/>
                <w:numId w:val="0"/>
              </w:numPr>
              <w:spacing w:line="360" w:lineRule="auto"/>
              <w:ind w:firstLine="0" w:firstLineChars="0"/>
              <w:jc w:val="left"/>
              <w:rPr>
                <w:rFonts w:hint="eastAsia" w:ascii="Times New Roman" w:hAnsi="Times New Roman" w:eastAsia="宋体" w:cs="Times New Roman"/>
                <w:bCs/>
                <w:color w:val="auto"/>
                <w:szCs w:val="20"/>
                <w:lang w:val="en-US"/>
              </w:rPr>
            </w:pPr>
            <w:r>
              <w:rPr>
                <w:rFonts w:hint="eastAsia" w:ascii="Times New Roman" w:hAnsi="Times New Roman" w:eastAsia="宋体" w:cs="Times New Roman"/>
                <w:b w:val="0"/>
                <w:bCs/>
                <w:color w:val="auto"/>
                <w:kern w:val="2"/>
                <w:sz w:val="21"/>
                <w:szCs w:val="20"/>
                <w:lang w:val="en-US" w:eastAsia="zh-CN" w:bidi="ar-SA"/>
              </w:rPr>
              <w:t>根据投标人提供的</w:t>
            </w:r>
            <w:r>
              <w:rPr>
                <w:rFonts w:hint="eastAsia" w:ascii="Times New Roman" w:hAnsi="Times New Roman" w:cs="Times New Roman"/>
                <w:b w:val="0"/>
                <w:bCs/>
                <w:color w:val="auto"/>
                <w:kern w:val="2"/>
                <w:sz w:val="21"/>
                <w:szCs w:val="20"/>
                <w:lang w:val="en-US" w:eastAsia="zh-CN" w:bidi="ar-SA"/>
              </w:rPr>
              <w:t>数字可视化系统服务预案</w:t>
            </w:r>
            <w:r>
              <w:rPr>
                <w:rFonts w:hint="eastAsia" w:ascii="Times New Roman" w:hAnsi="Times New Roman" w:eastAsia="宋体" w:cs="Times New Roman"/>
                <w:b w:val="0"/>
                <w:bCs/>
                <w:color w:val="auto"/>
                <w:kern w:val="2"/>
                <w:sz w:val="21"/>
                <w:szCs w:val="20"/>
                <w:lang w:val="en-US" w:eastAsia="zh-CN" w:bidi="ar-SA"/>
              </w:rPr>
              <w:t>进行评审，内容包括但不限于：①</w:t>
            </w:r>
            <w:r>
              <w:rPr>
                <w:rFonts w:hint="eastAsia" w:ascii="Times New Roman" w:hAnsi="Times New Roman" w:cs="Times New Roman"/>
                <w:b w:val="0"/>
                <w:bCs/>
                <w:color w:val="auto"/>
                <w:kern w:val="2"/>
                <w:sz w:val="21"/>
                <w:szCs w:val="20"/>
                <w:lang w:val="en-US" w:eastAsia="zh-CN" w:bidi="ar-SA"/>
              </w:rPr>
              <w:t>省中心和销售管理部</w:t>
            </w:r>
            <w:r>
              <w:rPr>
                <w:rFonts w:hint="eastAsia" w:ascii="Times New Roman" w:hAnsi="Times New Roman" w:eastAsia="宋体" w:cs="Times New Roman"/>
                <w:b w:val="0"/>
                <w:bCs/>
                <w:color w:val="auto"/>
                <w:kern w:val="2"/>
                <w:sz w:val="21"/>
                <w:szCs w:val="20"/>
                <w:lang w:val="en-US" w:eastAsia="zh-CN" w:bidi="ar-SA"/>
              </w:rPr>
              <w:t>合规监管主屏；②</w:t>
            </w:r>
            <w:r>
              <w:rPr>
                <w:rFonts w:hint="eastAsia" w:ascii="Times New Roman" w:hAnsi="Times New Roman" w:cs="Times New Roman"/>
                <w:b w:val="0"/>
                <w:bCs/>
                <w:color w:val="auto"/>
                <w:kern w:val="2"/>
                <w:sz w:val="21"/>
                <w:szCs w:val="20"/>
                <w:lang w:val="en-US" w:eastAsia="zh-CN" w:bidi="ar-SA"/>
              </w:rPr>
              <w:t>省中心和销售管理部</w:t>
            </w:r>
            <w:r>
              <w:rPr>
                <w:rFonts w:hint="eastAsia" w:ascii="Times New Roman" w:hAnsi="Times New Roman" w:eastAsia="宋体" w:cs="Times New Roman"/>
                <w:b w:val="0"/>
                <w:bCs/>
                <w:color w:val="auto"/>
                <w:kern w:val="2"/>
                <w:sz w:val="21"/>
                <w:szCs w:val="20"/>
                <w:lang w:val="en-US" w:eastAsia="zh-CN" w:bidi="ar-SA"/>
              </w:rPr>
              <w:t>合规监管子屏</w:t>
            </w:r>
            <w:r>
              <w:rPr>
                <w:rFonts w:hint="eastAsia" w:ascii="宋体" w:hAnsi="宋体" w:eastAsia="宋体" w:cs="宋体"/>
                <w:b w:val="0"/>
                <w:bCs w:val="0"/>
                <w:color w:val="auto"/>
                <w:szCs w:val="21"/>
                <w:lang w:val="en-US" w:eastAsia="zh-CN"/>
              </w:rPr>
              <w:t>；</w:t>
            </w:r>
            <w:r>
              <w:rPr>
                <w:rFonts w:hint="eastAsia" w:ascii="Times New Roman" w:hAnsi="Times New Roman" w:eastAsia="宋体" w:cs="Times New Roman"/>
                <w:b w:val="0"/>
                <w:bCs/>
                <w:color w:val="auto"/>
                <w:kern w:val="2"/>
                <w:sz w:val="21"/>
                <w:szCs w:val="20"/>
                <w:lang w:val="en-US" w:eastAsia="zh-CN" w:bidi="ar-SA"/>
              </w:rPr>
              <w:t>③</w:t>
            </w:r>
            <w:r>
              <w:rPr>
                <w:rFonts w:hint="eastAsia" w:ascii="Times New Roman" w:hAnsi="Times New Roman" w:cs="Times New Roman"/>
                <w:b w:val="0"/>
                <w:bCs/>
                <w:color w:val="auto"/>
                <w:kern w:val="2"/>
                <w:sz w:val="21"/>
                <w:szCs w:val="20"/>
                <w:lang w:val="en-US" w:eastAsia="zh-CN" w:bidi="ar-SA"/>
              </w:rPr>
              <w:t>省中心和销售管理部</w:t>
            </w:r>
            <w:r>
              <w:rPr>
                <w:rFonts w:hint="eastAsia" w:ascii="Times New Roman" w:hAnsi="Times New Roman" w:eastAsia="宋体" w:cs="Times New Roman"/>
                <w:b w:val="0"/>
                <w:bCs/>
                <w:color w:val="auto"/>
                <w:kern w:val="2"/>
                <w:sz w:val="21"/>
                <w:szCs w:val="20"/>
                <w:lang w:val="en-US" w:eastAsia="zh-CN" w:bidi="ar-SA"/>
              </w:rPr>
              <w:t>数据分析</w:t>
            </w:r>
            <w:r>
              <w:rPr>
                <w:rFonts w:hint="eastAsia" w:ascii="宋体" w:hAnsi="宋体" w:cs="宋体"/>
                <w:b w:val="0"/>
                <w:bCs w:val="0"/>
                <w:color w:val="auto"/>
                <w:szCs w:val="21"/>
                <w:lang w:val="en-US" w:eastAsia="zh-CN"/>
              </w:rPr>
              <w:t>；</w:t>
            </w:r>
            <w:r>
              <w:rPr>
                <w:rFonts w:hint="eastAsia" w:ascii="宋体" w:hAnsi="宋体" w:eastAsia="宋体" w:cs="宋体"/>
                <w:b w:val="0"/>
                <w:bCs w:val="0"/>
                <w:color w:val="auto"/>
                <w:szCs w:val="21"/>
                <w:lang w:val="en-US" w:eastAsia="zh-CN"/>
              </w:rPr>
              <w:t>④</w:t>
            </w:r>
            <w:r>
              <w:rPr>
                <w:rFonts w:hint="eastAsia" w:ascii="Times New Roman" w:hAnsi="Times New Roman" w:cs="Times New Roman"/>
                <w:b w:val="0"/>
                <w:bCs/>
                <w:color w:val="auto"/>
                <w:kern w:val="2"/>
                <w:sz w:val="21"/>
                <w:szCs w:val="20"/>
                <w:lang w:val="en-US" w:eastAsia="zh-CN" w:bidi="ar-SA"/>
              </w:rPr>
              <w:t>省中心</w:t>
            </w:r>
            <w:r>
              <w:rPr>
                <w:rFonts w:hint="eastAsia" w:ascii="宋体" w:hAnsi="宋体" w:eastAsia="宋体" w:cs="宋体"/>
                <w:b w:val="0"/>
                <w:bCs w:val="0"/>
                <w:color w:val="auto"/>
                <w:szCs w:val="21"/>
                <w:lang w:val="en-US" w:eastAsia="zh-CN"/>
              </w:rPr>
              <w:t>网络监测；⑤</w:t>
            </w:r>
            <w:r>
              <w:rPr>
                <w:rFonts w:hint="eastAsia" w:ascii="Times New Roman" w:hAnsi="Times New Roman" w:cs="Times New Roman"/>
                <w:b w:val="0"/>
                <w:bCs/>
                <w:color w:val="auto"/>
                <w:kern w:val="2"/>
                <w:sz w:val="21"/>
                <w:szCs w:val="20"/>
                <w:lang w:val="en-US" w:eastAsia="zh-CN" w:bidi="ar-SA"/>
              </w:rPr>
              <w:t>省中心和销售管理部</w:t>
            </w:r>
            <w:r>
              <w:rPr>
                <w:rFonts w:hint="eastAsia" w:ascii="宋体" w:hAnsi="宋体" w:eastAsia="宋体" w:cs="宋体"/>
                <w:b w:val="0"/>
                <w:bCs w:val="0"/>
                <w:color w:val="auto"/>
                <w:szCs w:val="21"/>
                <w:lang w:val="en-US" w:eastAsia="zh-CN"/>
              </w:rPr>
              <w:t>巡检管理；</w:t>
            </w:r>
            <w:r>
              <w:rPr>
                <w:rFonts w:hint="eastAsia" w:ascii="Times New Roman" w:hAnsi="Times New Roman" w:eastAsia="宋体" w:cs="Times New Roman"/>
                <w:b w:val="0"/>
                <w:bCs/>
                <w:color w:val="auto"/>
                <w:szCs w:val="20"/>
                <w:lang w:val="en-US" w:eastAsia="zh-CN"/>
              </w:rPr>
              <w:t>⑥</w:t>
            </w:r>
            <w:r>
              <w:rPr>
                <w:rFonts w:hint="eastAsia" w:ascii="Times New Roman" w:hAnsi="Times New Roman" w:cs="Times New Roman"/>
                <w:b w:val="0"/>
                <w:bCs/>
                <w:color w:val="auto"/>
                <w:kern w:val="2"/>
                <w:sz w:val="21"/>
                <w:szCs w:val="20"/>
                <w:lang w:val="en-US" w:eastAsia="zh-CN" w:bidi="ar-SA"/>
              </w:rPr>
              <w:t>省中心</w:t>
            </w:r>
            <w:r>
              <w:rPr>
                <w:rFonts w:hint="eastAsia" w:ascii="Times New Roman" w:hAnsi="Times New Roman" w:eastAsia="宋体" w:cs="Times New Roman"/>
                <w:b w:val="0"/>
                <w:bCs/>
                <w:color w:val="auto"/>
                <w:szCs w:val="20"/>
                <w:lang w:val="en-US" w:eastAsia="zh-CN"/>
              </w:rPr>
              <w:t>综合预警；⑦</w:t>
            </w:r>
            <w:r>
              <w:rPr>
                <w:rFonts w:hint="eastAsia" w:ascii="Times New Roman" w:hAnsi="Times New Roman" w:cs="Times New Roman"/>
                <w:b w:val="0"/>
                <w:bCs/>
                <w:color w:val="auto"/>
                <w:kern w:val="2"/>
                <w:sz w:val="21"/>
                <w:szCs w:val="20"/>
                <w:lang w:val="en-US" w:eastAsia="zh-CN" w:bidi="ar-SA"/>
              </w:rPr>
              <w:t>省中心和销售管理部</w:t>
            </w:r>
            <w:r>
              <w:rPr>
                <w:rFonts w:hint="eastAsia" w:ascii="Times New Roman" w:hAnsi="Times New Roman" w:eastAsia="宋体" w:cs="Times New Roman"/>
                <w:b w:val="0"/>
                <w:bCs/>
                <w:color w:val="auto"/>
                <w:szCs w:val="20"/>
                <w:lang w:val="en-US" w:eastAsia="zh-CN"/>
              </w:rPr>
              <w:t>业务促销</w:t>
            </w:r>
            <w:r>
              <w:rPr>
                <w:rFonts w:hint="eastAsia" w:ascii="Times New Roman" w:hAnsi="Times New Roman" w:cs="Times New Roman"/>
                <w:b w:val="0"/>
                <w:bCs/>
                <w:color w:val="auto"/>
                <w:szCs w:val="20"/>
                <w:lang w:val="en-US" w:eastAsia="zh-CN"/>
              </w:rPr>
              <w:t>；</w:t>
            </w:r>
            <w:r>
              <w:rPr>
                <w:rFonts w:hint="eastAsia" w:ascii="Times New Roman" w:hAnsi="Times New Roman" w:eastAsia="宋体" w:cs="Times New Roman"/>
                <w:b w:val="0"/>
                <w:bCs/>
                <w:color w:val="auto"/>
                <w:szCs w:val="20"/>
                <w:lang w:val="en-US" w:eastAsia="zh-CN"/>
              </w:rPr>
              <w:t>⑧</w:t>
            </w:r>
            <w:r>
              <w:rPr>
                <w:rFonts w:hint="eastAsia" w:ascii="Times New Roman" w:hAnsi="Times New Roman" w:cs="Times New Roman"/>
                <w:b w:val="0"/>
                <w:bCs/>
                <w:color w:val="auto"/>
                <w:kern w:val="2"/>
                <w:sz w:val="21"/>
                <w:szCs w:val="20"/>
                <w:lang w:val="en-US" w:eastAsia="zh-CN" w:bidi="ar-SA"/>
              </w:rPr>
              <w:t>省中心</w:t>
            </w:r>
            <w:r>
              <w:rPr>
                <w:rFonts w:hint="eastAsia" w:ascii="Times New Roman" w:hAnsi="Times New Roman" w:cs="Times New Roman"/>
                <w:b w:val="0"/>
                <w:bCs/>
                <w:color w:val="auto"/>
                <w:szCs w:val="20"/>
                <w:lang w:val="en-US" w:eastAsia="zh-CN"/>
              </w:rPr>
              <w:t>概率专题；</w:t>
            </w:r>
            <w:r>
              <w:rPr>
                <w:rFonts w:hint="eastAsia" w:ascii="Times New Roman" w:hAnsi="Times New Roman" w:eastAsia="宋体" w:cs="Times New Roman"/>
                <w:b w:val="0"/>
                <w:bCs/>
                <w:color w:val="auto"/>
                <w:szCs w:val="20"/>
                <w:lang w:val="en-US" w:eastAsia="zh-CN"/>
              </w:rPr>
              <w:t>⑨</w:t>
            </w:r>
            <w:r>
              <w:rPr>
                <w:rFonts w:hint="eastAsia" w:ascii="Times New Roman" w:hAnsi="Times New Roman" w:cs="Times New Roman"/>
                <w:b w:val="0"/>
                <w:bCs/>
                <w:color w:val="auto"/>
                <w:kern w:val="2"/>
                <w:sz w:val="21"/>
                <w:szCs w:val="20"/>
                <w:lang w:val="en-US" w:eastAsia="zh-CN" w:bidi="ar-SA"/>
              </w:rPr>
              <w:t>省中心</w:t>
            </w:r>
            <w:r>
              <w:rPr>
                <w:rFonts w:hint="eastAsia" w:ascii="Times New Roman" w:hAnsi="Times New Roman" w:cs="Times New Roman"/>
                <w:b w:val="0"/>
                <w:bCs/>
                <w:color w:val="auto"/>
                <w:szCs w:val="20"/>
                <w:lang w:val="en-US" w:eastAsia="zh-CN"/>
              </w:rPr>
              <w:t>渠道专题；</w:t>
            </w:r>
            <w:r>
              <w:rPr>
                <w:rFonts w:hint="eastAsia" w:ascii="Times New Roman" w:hAnsi="Times New Roman" w:eastAsia="宋体" w:cs="Times New Roman"/>
                <w:b w:val="0"/>
                <w:bCs/>
                <w:color w:val="auto"/>
                <w:szCs w:val="20"/>
                <w:lang w:val="en-US" w:eastAsia="zh-CN"/>
              </w:rPr>
              <w:t>⑩</w:t>
            </w:r>
            <w:r>
              <w:rPr>
                <w:rFonts w:hint="eastAsia" w:ascii="Times New Roman" w:hAnsi="Times New Roman" w:cs="Times New Roman"/>
                <w:b w:val="0"/>
                <w:bCs/>
                <w:color w:val="auto"/>
                <w:kern w:val="2"/>
                <w:sz w:val="21"/>
                <w:szCs w:val="20"/>
                <w:lang w:val="en-US" w:eastAsia="zh-CN" w:bidi="ar-SA"/>
              </w:rPr>
              <w:t>省中心</w:t>
            </w:r>
            <w:r>
              <w:rPr>
                <w:rFonts w:hint="eastAsia" w:ascii="Times New Roman" w:hAnsi="Times New Roman" w:cs="Times New Roman"/>
                <w:b w:val="0"/>
                <w:bCs/>
                <w:color w:val="auto"/>
                <w:szCs w:val="20"/>
                <w:lang w:val="en-US" w:eastAsia="zh-CN"/>
              </w:rPr>
              <w:t>发展历程专题；</w:t>
            </w:r>
            <w:r>
              <w:rPr>
                <w:rFonts w:hint="eastAsia" w:ascii="Times New Roman" w:hAnsi="Times New Roman" w:eastAsia="宋体" w:cs="Times New Roman"/>
                <w:b w:val="0"/>
                <w:bCs/>
                <w:color w:val="auto"/>
                <w:szCs w:val="20"/>
                <w:lang w:val="en-US" w:eastAsia="zh-CN"/>
              </w:rPr>
              <w:t>⑪</w:t>
            </w:r>
            <w:r>
              <w:rPr>
                <w:rFonts w:hint="eastAsia" w:ascii="Times New Roman" w:hAnsi="Times New Roman" w:cs="Times New Roman"/>
                <w:b w:val="0"/>
                <w:bCs/>
                <w:color w:val="auto"/>
                <w:kern w:val="2"/>
                <w:sz w:val="21"/>
                <w:szCs w:val="20"/>
                <w:lang w:val="en-US" w:eastAsia="zh-CN" w:bidi="ar-SA"/>
              </w:rPr>
              <w:t>省中心</w:t>
            </w:r>
            <w:r>
              <w:rPr>
                <w:rFonts w:hint="eastAsia" w:ascii="Times New Roman" w:hAnsi="Times New Roman" w:cs="Times New Roman"/>
                <w:b w:val="0"/>
                <w:bCs/>
                <w:color w:val="auto"/>
                <w:szCs w:val="20"/>
                <w:lang w:val="en-US" w:eastAsia="zh-CN"/>
              </w:rPr>
              <w:t>公益金展示；</w:t>
            </w:r>
            <w:r>
              <w:rPr>
                <w:rFonts w:hint="eastAsia" w:ascii="Times New Roman" w:hAnsi="Times New Roman" w:eastAsia="宋体" w:cs="Times New Roman"/>
                <w:b w:val="0"/>
                <w:bCs/>
                <w:color w:val="auto"/>
                <w:szCs w:val="20"/>
                <w:lang w:val="en-US" w:eastAsia="zh-CN"/>
              </w:rPr>
              <w:t>⑫</w:t>
            </w:r>
            <w:r>
              <w:rPr>
                <w:rFonts w:hint="eastAsia" w:ascii="Times New Roman" w:hAnsi="Times New Roman" w:cs="Times New Roman"/>
                <w:b w:val="0"/>
                <w:bCs/>
                <w:color w:val="auto"/>
                <w:kern w:val="2"/>
                <w:sz w:val="21"/>
                <w:szCs w:val="20"/>
                <w:lang w:val="en-US" w:eastAsia="zh-CN" w:bidi="ar-SA"/>
              </w:rPr>
              <w:t>省中心</w:t>
            </w:r>
            <w:r>
              <w:rPr>
                <w:rFonts w:hint="eastAsia" w:ascii="Times New Roman" w:hAnsi="Times New Roman" w:cs="Times New Roman"/>
                <w:b w:val="0"/>
                <w:bCs/>
                <w:color w:val="auto"/>
                <w:szCs w:val="20"/>
                <w:lang w:val="en-US" w:eastAsia="zh-CN"/>
              </w:rPr>
              <w:t>竞猜专题；</w:t>
            </w:r>
            <w:r>
              <w:rPr>
                <w:rFonts w:hint="eastAsia" w:ascii="Times New Roman" w:hAnsi="Times New Roman" w:eastAsia="宋体" w:cs="Times New Roman"/>
                <w:b w:val="0"/>
                <w:bCs/>
                <w:color w:val="auto"/>
                <w:szCs w:val="20"/>
                <w:lang w:val="en-US" w:eastAsia="zh-CN"/>
              </w:rPr>
              <w:t>⑬</w:t>
            </w:r>
            <w:r>
              <w:rPr>
                <w:rFonts w:hint="eastAsia" w:ascii="Times New Roman" w:hAnsi="Times New Roman" w:cs="Times New Roman"/>
                <w:b w:val="0"/>
                <w:bCs/>
                <w:color w:val="auto"/>
                <w:kern w:val="2"/>
                <w:sz w:val="21"/>
                <w:szCs w:val="20"/>
                <w:lang w:val="en-US" w:eastAsia="zh-CN" w:bidi="ar-SA"/>
              </w:rPr>
              <w:t>省中心</w:t>
            </w:r>
            <w:r>
              <w:rPr>
                <w:rFonts w:hint="eastAsia" w:ascii="Times New Roman" w:hAnsi="Times New Roman" w:cs="Times New Roman"/>
                <w:b w:val="0"/>
                <w:bCs/>
                <w:color w:val="auto"/>
                <w:szCs w:val="20"/>
                <w:lang w:val="en-US" w:eastAsia="zh-CN"/>
              </w:rPr>
              <w:t>即开专题；</w:t>
            </w:r>
            <w:r>
              <w:rPr>
                <w:rFonts w:hint="eastAsia" w:ascii="Times New Roman" w:hAnsi="Times New Roman" w:eastAsia="宋体" w:cs="Times New Roman"/>
                <w:b w:val="0"/>
                <w:bCs/>
                <w:color w:val="auto"/>
                <w:szCs w:val="20"/>
                <w:lang w:val="en-US" w:eastAsia="zh-CN"/>
              </w:rPr>
              <w:t>⑭</w:t>
            </w:r>
            <w:r>
              <w:rPr>
                <w:rFonts w:hint="eastAsia" w:ascii="Times New Roman" w:hAnsi="Times New Roman" w:cs="Times New Roman"/>
                <w:b w:val="0"/>
                <w:bCs/>
                <w:color w:val="auto"/>
                <w:kern w:val="2"/>
                <w:sz w:val="21"/>
                <w:szCs w:val="20"/>
                <w:lang w:val="en-US" w:eastAsia="zh-CN" w:bidi="ar-SA"/>
              </w:rPr>
              <w:t>销售管理部</w:t>
            </w:r>
            <w:r>
              <w:rPr>
                <w:rFonts w:hint="eastAsia" w:ascii="Times New Roman" w:hAnsi="Times New Roman" w:cs="Times New Roman"/>
                <w:b w:val="0"/>
                <w:bCs/>
                <w:color w:val="auto"/>
                <w:szCs w:val="20"/>
                <w:lang w:val="en-US" w:eastAsia="zh-CN"/>
              </w:rPr>
              <w:t>专</w:t>
            </w:r>
            <w:r>
              <w:rPr>
                <w:rFonts w:hint="eastAsia" w:ascii="宋体" w:hAnsi="宋体" w:cs="宋体"/>
                <w:b w:val="0"/>
                <w:bCs w:val="0"/>
                <w:color w:val="auto"/>
                <w:szCs w:val="21"/>
                <w:lang w:val="en-US" w:eastAsia="zh-CN"/>
              </w:rPr>
              <w:t>管员管理</w:t>
            </w:r>
            <w:r>
              <w:rPr>
                <w:rFonts w:hint="eastAsia" w:ascii="Times New Roman" w:hAnsi="Times New Roman" w:eastAsia="宋体" w:cs="Times New Roman"/>
                <w:b w:val="0"/>
                <w:bCs/>
                <w:color w:val="auto"/>
                <w:szCs w:val="20"/>
                <w:lang w:val="en-US" w:eastAsia="zh-CN"/>
              </w:rPr>
              <w:t>。</w:t>
            </w:r>
          </w:p>
          <w:p w14:paraId="395F5D16">
            <w:pPr>
              <w:widowControl/>
              <w:numPr>
                <w:ilvl w:val="0"/>
                <w:numId w:val="0"/>
              </w:numPr>
              <w:spacing w:line="360" w:lineRule="auto"/>
              <w:ind w:firstLine="0" w:firstLineChars="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根据投标人提交的上述内容进行综合评分，内容包括但不限于上述</w:t>
            </w:r>
            <w:r>
              <w:rPr>
                <w:rFonts w:hint="eastAsia" w:ascii="宋体" w:hAnsi="宋体" w:cs="宋体"/>
                <w:color w:val="auto"/>
                <w:szCs w:val="21"/>
                <w:lang w:val="en-US" w:eastAsia="zh-CN"/>
              </w:rPr>
              <w:t>14</w:t>
            </w:r>
            <w:r>
              <w:rPr>
                <w:rFonts w:hint="eastAsia" w:ascii="宋体" w:hAnsi="宋体" w:eastAsia="宋体" w:cs="宋体"/>
                <w:color w:val="auto"/>
                <w:szCs w:val="21"/>
                <w:lang w:val="en-US" w:eastAsia="zh-CN"/>
              </w:rPr>
              <w:t>项内容。投标人提交符合招标文件要求的上述内容的得</w:t>
            </w:r>
            <w:r>
              <w:rPr>
                <w:rFonts w:hint="eastAsia" w:ascii="宋体" w:hAnsi="宋体" w:cs="宋体"/>
                <w:color w:val="auto"/>
                <w:szCs w:val="21"/>
                <w:lang w:val="en-US" w:eastAsia="zh-CN"/>
              </w:rPr>
              <w:t>28</w:t>
            </w:r>
            <w:r>
              <w:rPr>
                <w:rFonts w:hint="eastAsia" w:ascii="宋体" w:hAnsi="宋体" w:eastAsia="宋体" w:cs="宋体"/>
                <w:color w:val="auto"/>
                <w:szCs w:val="21"/>
                <w:lang w:val="en-US" w:eastAsia="zh-CN"/>
              </w:rPr>
              <w:t>分；每缺少1项内容扣</w:t>
            </w:r>
            <w:r>
              <w:rPr>
                <w:rFonts w:hint="eastAsia" w:ascii="宋体" w:hAnsi="宋体" w:cs="宋体"/>
                <w:color w:val="auto"/>
                <w:szCs w:val="21"/>
                <w:lang w:val="en-US" w:eastAsia="zh-CN"/>
              </w:rPr>
              <w:t>2</w:t>
            </w:r>
            <w:r>
              <w:rPr>
                <w:rFonts w:hint="eastAsia" w:ascii="宋体" w:hAnsi="宋体" w:eastAsia="宋体" w:cs="宋体"/>
                <w:color w:val="auto"/>
                <w:szCs w:val="21"/>
                <w:lang w:val="en-US" w:eastAsia="zh-CN"/>
              </w:rPr>
              <w:t>分，每有1项内容存在1处缺陷扣</w:t>
            </w:r>
            <w:r>
              <w:rPr>
                <w:rFonts w:hint="eastAsia" w:ascii="宋体" w:hAnsi="宋体" w:cs="宋体"/>
                <w:color w:val="auto"/>
                <w:szCs w:val="21"/>
                <w:lang w:val="en-US" w:eastAsia="zh-CN"/>
              </w:rPr>
              <w:t>1</w:t>
            </w:r>
            <w:r>
              <w:rPr>
                <w:rFonts w:hint="eastAsia" w:ascii="宋体" w:hAnsi="宋体" w:eastAsia="宋体" w:cs="宋体"/>
                <w:color w:val="auto"/>
                <w:szCs w:val="21"/>
                <w:lang w:val="en-US" w:eastAsia="zh-CN"/>
              </w:rPr>
              <w:t>分。</w:t>
            </w:r>
          </w:p>
          <w:p w14:paraId="3A761314">
            <w:pPr>
              <w:widowControl/>
              <w:numPr>
                <w:ilvl w:val="0"/>
                <w:numId w:val="0"/>
              </w:numPr>
              <w:shd w:val="clear"/>
              <w:ind w:firstLineChars="0"/>
              <w:jc w:val="left"/>
              <w:rPr>
                <w:rFonts w:hint="eastAsia" w:ascii="宋体" w:hAnsi="宋体" w:eastAsia="宋体" w:cs="宋体"/>
                <w:color w:val="auto"/>
              </w:rPr>
            </w:pPr>
            <w:r>
              <w:rPr>
                <w:rFonts w:hint="eastAsia" w:ascii="宋体" w:hAnsi="宋体" w:eastAsia="宋体" w:cs="宋体"/>
                <w:color w:val="auto"/>
                <w:szCs w:val="21"/>
                <w:lang w:val="en-US" w:eastAsia="zh-CN"/>
              </w:rPr>
              <w:t>注：缺陷是指内容不符合项目实际要求、描述不详细、缺乏针对性、缺乏可操作性、不合理、内容前后相互矛盾、存在无法实现预期目标的风险等。</w:t>
            </w:r>
          </w:p>
        </w:tc>
      </w:tr>
      <w:tr w14:paraId="37D84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172" w:type="pct"/>
            <w:vMerge w:val="continue"/>
            <w:vAlign w:val="center"/>
          </w:tcPr>
          <w:p w14:paraId="47BC87AB">
            <w:pPr>
              <w:ind w:firstLine="0" w:firstLineChars="0"/>
              <w:rPr>
                <w:rFonts w:ascii="Times New Roman" w:hAnsi="Times New Roman" w:cs="Times New Roman"/>
                <w:szCs w:val="21"/>
              </w:rPr>
            </w:pPr>
          </w:p>
        </w:tc>
        <w:tc>
          <w:tcPr>
            <w:tcW w:w="483" w:type="pct"/>
            <w:vMerge w:val="continue"/>
            <w:vAlign w:val="center"/>
          </w:tcPr>
          <w:p w14:paraId="1AA2085D">
            <w:pPr>
              <w:ind w:firstLine="0" w:firstLineChars="0"/>
              <w:rPr>
                <w:rFonts w:ascii="Times New Roman" w:hAnsi="Times New Roman" w:cs="Times New Roman"/>
                <w:szCs w:val="21"/>
              </w:rPr>
            </w:pPr>
          </w:p>
        </w:tc>
        <w:tc>
          <w:tcPr>
            <w:tcW w:w="1015" w:type="pct"/>
            <w:vMerge w:val="continue"/>
            <w:vAlign w:val="center"/>
          </w:tcPr>
          <w:p w14:paraId="114F2791">
            <w:pPr>
              <w:ind w:firstLine="0" w:firstLineChars="0"/>
              <w:jc w:val="center"/>
              <w:rPr>
                <w:rFonts w:hint="eastAsia" w:ascii="宋体" w:hAnsi="宋体" w:eastAsia="宋体" w:cs="宋体"/>
                <w:color w:val="auto"/>
                <w:szCs w:val="21"/>
              </w:rPr>
            </w:pPr>
          </w:p>
        </w:tc>
        <w:tc>
          <w:tcPr>
            <w:tcW w:w="3328" w:type="pct"/>
            <w:vAlign w:val="center"/>
          </w:tcPr>
          <w:p w14:paraId="1E68E7DC">
            <w:pPr>
              <w:widowControl/>
              <w:numPr>
                <w:ilvl w:val="-1"/>
                <w:numId w:val="0"/>
              </w:numPr>
              <w:ind w:firstLine="0" w:firstLineChars="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w:t>
            </w:r>
            <w:r>
              <w:rPr>
                <w:rFonts w:hint="eastAsia" w:hAnsi="宋体" w:cs="宋体"/>
                <w:b/>
                <w:bCs/>
                <w:color w:val="auto"/>
                <w:sz w:val="21"/>
                <w:szCs w:val="21"/>
                <w:lang w:val="en-US" w:eastAsia="zh-CN"/>
              </w:rPr>
              <w:t>2</w:t>
            </w:r>
            <w:r>
              <w:rPr>
                <w:rFonts w:hint="eastAsia" w:ascii="宋体" w:hAnsi="宋体" w:eastAsia="宋体" w:cs="宋体"/>
                <w:b/>
                <w:bCs/>
                <w:color w:val="auto"/>
                <w:sz w:val="21"/>
                <w:szCs w:val="21"/>
              </w:rPr>
              <w:t>）</w:t>
            </w:r>
            <w:r>
              <w:rPr>
                <w:rFonts w:hint="eastAsia" w:ascii="宋体" w:hAnsi="宋体" w:cs="宋体"/>
                <w:b/>
                <w:bCs/>
                <w:color w:val="auto"/>
                <w:sz w:val="21"/>
                <w:szCs w:val="21"/>
                <w:lang w:eastAsia="zh-CN"/>
              </w:rPr>
              <w:t>运营维护服务方案</w:t>
            </w:r>
            <w:r>
              <w:rPr>
                <w:rFonts w:hint="eastAsia" w:ascii="宋体" w:hAnsi="宋体" w:eastAsia="宋体" w:cs="宋体"/>
                <w:b/>
                <w:bCs/>
                <w:color w:val="auto"/>
                <w:sz w:val="21"/>
                <w:szCs w:val="21"/>
              </w:rPr>
              <w:t>评审评分（满分</w:t>
            </w:r>
            <w:r>
              <w:rPr>
                <w:rFonts w:hint="eastAsia" w:ascii="宋体" w:hAnsi="宋体" w:cs="宋体"/>
                <w:b/>
                <w:bCs/>
                <w:color w:val="auto"/>
                <w:sz w:val="21"/>
                <w:szCs w:val="21"/>
                <w:lang w:val="en-US" w:eastAsia="zh-CN"/>
              </w:rPr>
              <w:t>26</w:t>
            </w:r>
            <w:r>
              <w:rPr>
                <w:rFonts w:hint="eastAsia" w:ascii="宋体" w:hAnsi="宋体" w:eastAsia="宋体" w:cs="宋体"/>
                <w:b/>
                <w:bCs/>
                <w:color w:val="auto"/>
                <w:sz w:val="21"/>
                <w:szCs w:val="21"/>
              </w:rPr>
              <w:t>分）</w:t>
            </w:r>
          </w:p>
          <w:p w14:paraId="27129D04">
            <w:pPr>
              <w:pStyle w:val="11"/>
              <w:numPr>
                <w:ilvl w:val="0"/>
                <w:numId w:val="0"/>
              </w:numPr>
              <w:spacing w:line="360" w:lineRule="auto"/>
              <w:ind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根据投标人提供的运营维护服务方案进行评审，内容包括但不限于：①数据时效性与准确性</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②数据分析全面性与专业性</w:t>
            </w:r>
            <w:r>
              <w:rPr>
                <w:rFonts w:hint="eastAsia" w:ascii="宋体" w:hAnsi="宋体" w:cs="宋体"/>
                <w:color w:val="auto"/>
                <w:sz w:val="21"/>
                <w:szCs w:val="21"/>
                <w:lang w:val="en-US" w:eastAsia="zh-CN"/>
              </w:rPr>
              <w:t>；</w:t>
            </w:r>
            <w:r>
              <w:rPr>
                <w:rFonts w:hint="eastAsia" w:ascii="Times New Roman" w:hAnsi="Times New Roman" w:eastAsia="宋体" w:cs="Times New Roman"/>
                <w:b w:val="0"/>
                <w:bCs/>
                <w:color w:val="auto"/>
                <w:kern w:val="2"/>
                <w:sz w:val="21"/>
                <w:szCs w:val="20"/>
                <w:lang w:val="en-US" w:eastAsia="zh-CN" w:bidi="ar-SA"/>
              </w:rPr>
              <w:t>③平台可用性与安全性</w:t>
            </w:r>
            <w:r>
              <w:rPr>
                <w:rFonts w:hint="eastAsia" w:ascii="宋体" w:hAnsi="宋体" w:cs="宋体"/>
                <w:color w:val="auto"/>
                <w:sz w:val="21"/>
                <w:szCs w:val="21"/>
                <w:lang w:val="en-US" w:eastAsia="zh-CN"/>
              </w:rPr>
              <w:t>；</w:t>
            </w:r>
            <w:r>
              <w:rPr>
                <w:rFonts w:hint="eastAsia" w:ascii="宋体" w:hAnsi="宋体" w:eastAsia="宋体" w:cs="宋体"/>
                <w:b w:val="0"/>
                <w:bCs w:val="0"/>
                <w:color w:val="auto"/>
                <w:szCs w:val="21"/>
                <w:lang w:val="en-US" w:eastAsia="zh-CN"/>
              </w:rPr>
              <w:t>④平台成熟度与可靠性</w:t>
            </w:r>
            <w:r>
              <w:rPr>
                <w:rFonts w:hint="eastAsia" w:ascii="宋体" w:hAnsi="宋体" w:eastAsia="宋体" w:cs="宋体"/>
                <w:color w:val="auto"/>
                <w:sz w:val="21"/>
                <w:szCs w:val="21"/>
                <w:lang w:eastAsia="zh-CN"/>
              </w:rPr>
              <w:t>。</w:t>
            </w:r>
          </w:p>
          <w:p w14:paraId="30FD7624">
            <w:pPr>
              <w:pStyle w:val="11"/>
              <w:numPr>
                <w:ilvl w:val="0"/>
                <w:numId w:val="0"/>
              </w:numPr>
              <w:spacing w:line="360" w:lineRule="auto"/>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根据投标人提交的上述内容进行综合评分，内容包括但不限于上述</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项内容。投标人提交符合招标文件要求的上述内容的得</w:t>
            </w:r>
            <w:r>
              <w:rPr>
                <w:rFonts w:hint="eastAsia" w:ascii="宋体" w:hAnsi="宋体" w:cs="宋体"/>
                <w:color w:val="auto"/>
                <w:sz w:val="21"/>
                <w:szCs w:val="21"/>
                <w:lang w:val="en-US" w:eastAsia="zh-CN"/>
              </w:rPr>
              <w:t>26</w:t>
            </w:r>
            <w:r>
              <w:rPr>
                <w:rFonts w:hint="eastAsia" w:ascii="宋体" w:hAnsi="宋体" w:eastAsia="宋体" w:cs="宋体"/>
                <w:color w:val="auto"/>
                <w:sz w:val="21"/>
                <w:szCs w:val="21"/>
                <w:lang w:val="en-US" w:eastAsia="zh-CN"/>
              </w:rPr>
              <w:t>分；每缺少1项内容扣</w:t>
            </w:r>
            <w:r>
              <w:rPr>
                <w:rFonts w:hint="eastAsia" w:ascii="宋体" w:hAnsi="宋体" w:cs="宋体"/>
                <w:color w:val="auto"/>
                <w:sz w:val="21"/>
                <w:szCs w:val="21"/>
                <w:lang w:val="en-US" w:eastAsia="zh-CN"/>
              </w:rPr>
              <w:t>6.5</w:t>
            </w:r>
            <w:r>
              <w:rPr>
                <w:rFonts w:hint="eastAsia" w:ascii="宋体" w:hAnsi="宋体" w:eastAsia="宋体" w:cs="宋体"/>
                <w:color w:val="auto"/>
                <w:sz w:val="21"/>
                <w:szCs w:val="21"/>
                <w:lang w:val="en-US" w:eastAsia="zh-CN"/>
              </w:rPr>
              <w:t>分，每有1项内容存在1处缺陷扣</w:t>
            </w:r>
            <w:r>
              <w:rPr>
                <w:rFonts w:hint="eastAsia" w:ascii="宋体" w:hAnsi="宋体" w:cs="宋体"/>
                <w:color w:val="auto"/>
                <w:sz w:val="21"/>
                <w:szCs w:val="21"/>
                <w:lang w:val="en-US" w:eastAsia="zh-CN"/>
              </w:rPr>
              <w:t>3.25</w:t>
            </w:r>
            <w:r>
              <w:rPr>
                <w:rFonts w:hint="eastAsia" w:ascii="宋体" w:hAnsi="宋体" w:eastAsia="宋体" w:cs="宋体"/>
                <w:color w:val="auto"/>
                <w:sz w:val="21"/>
                <w:szCs w:val="21"/>
                <w:lang w:val="en-US" w:eastAsia="zh-CN"/>
              </w:rPr>
              <w:t>分。</w:t>
            </w:r>
          </w:p>
          <w:p w14:paraId="2431DDDD">
            <w:pPr>
              <w:pStyle w:val="11"/>
              <w:numPr>
                <w:ilvl w:val="0"/>
                <w:numId w:val="0"/>
              </w:numPr>
              <w:ind w:firstLine="0" w:firstLineChars="0"/>
              <w:rPr>
                <w:rFonts w:hint="default" w:ascii="宋体" w:hAnsi="宋体" w:cs="宋体"/>
                <w:color w:val="auto"/>
                <w:sz w:val="21"/>
                <w:szCs w:val="21"/>
                <w:lang w:val="en-US" w:eastAsia="zh-CN"/>
              </w:rPr>
            </w:pPr>
            <w:r>
              <w:rPr>
                <w:rFonts w:hint="eastAsia" w:ascii="宋体" w:hAnsi="宋体" w:eastAsia="宋体" w:cs="宋体"/>
                <w:color w:val="auto"/>
                <w:sz w:val="21"/>
                <w:szCs w:val="21"/>
                <w:lang w:val="en-US" w:eastAsia="zh-CN"/>
              </w:rPr>
              <w:t>注：缺陷是指内容不符合项目实际要求、描述不详细、缺乏针对性、缺乏可操作性、不合理、内容前后相互矛盾、存在无法实现预期目标的风险等。</w:t>
            </w:r>
          </w:p>
        </w:tc>
      </w:tr>
      <w:tr w14:paraId="740F8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172" w:type="pct"/>
            <w:vMerge w:val="continue"/>
            <w:vAlign w:val="center"/>
          </w:tcPr>
          <w:p w14:paraId="248AE5F7">
            <w:pPr>
              <w:ind w:firstLine="0" w:firstLineChars="0"/>
              <w:rPr>
                <w:rFonts w:ascii="Times New Roman" w:hAnsi="Times New Roman" w:cs="Times New Roman"/>
                <w:szCs w:val="21"/>
              </w:rPr>
            </w:pPr>
          </w:p>
        </w:tc>
        <w:tc>
          <w:tcPr>
            <w:tcW w:w="483" w:type="pct"/>
            <w:vMerge w:val="continue"/>
            <w:vAlign w:val="center"/>
          </w:tcPr>
          <w:p w14:paraId="75F3D6D6">
            <w:pPr>
              <w:ind w:firstLine="0" w:firstLineChars="0"/>
              <w:rPr>
                <w:rFonts w:ascii="Times New Roman" w:hAnsi="Times New Roman" w:cs="Times New Roman"/>
                <w:szCs w:val="21"/>
              </w:rPr>
            </w:pPr>
          </w:p>
        </w:tc>
        <w:tc>
          <w:tcPr>
            <w:tcW w:w="1015" w:type="pct"/>
            <w:vMerge w:val="continue"/>
            <w:vAlign w:val="center"/>
          </w:tcPr>
          <w:p w14:paraId="4DA3391D">
            <w:pPr>
              <w:ind w:firstLine="0" w:firstLineChars="0"/>
              <w:jc w:val="center"/>
              <w:rPr>
                <w:rFonts w:hint="eastAsia" w:ascii="宋体" w:hAnsi="宋体" w:eastAsia="宋体" w:cs="宋体"/>
                <w:color w:val="auto"/>
                <w:szCs w:val="21"/>
              </w:rPr>
            </w:pPr>
          </w:p>
        </w:tc>
        <w:tc>
          <w:tcPr>
            <w:tcW w:w="3328" w:type="pct"/>
            <w:vAlign w:val="center"/>
          </w:tcPr>
          <w:p w14:paraId="4412A3F8">
            <w:pPr>
              <w:widowControl/>
              <w:numPr>
                <w:ilvl w:val="0"/>
                <w:numId w:val="0"/>
              </w:numPr>
              <w:ind w:firstLine="0" w:firstLineChars="0"/>
              <w:jc w:val="left"/>
              <w:rPr>
                <w:rFonts w:hint="eastAsia" w:ascii="宋体" w:hAnsi="宋体" w:eastAsia="宋体" w:cs="宋体"/>
                <w:b/>
                <w:bCs/>
                <w:color w:val="auto"/>
                <w:kern w:val="2"/>
                <w:szCs w:val="21"/>
              </w:rPr>
            </w:pPr>
            <w:r>
              <w:rPr>
                <w:rFonts w:hint="eastAsia" w:ascii="宋体" w:hAnsi="宋体" w:cs="宋体"/>
                <w:b/>
                <w:bCs/>
                <w:color w:val="auto"/>
                <w:kern w:val="2"/>
                <w:szCs w:val="21"/>
                <w:lang w:val="en-US" w:eastAsia="zh-CN"/>
              </w:rPr>
              <w:t>（3</w:t>
            </w:r>
            <w:r>
              <w:rPr>
                <w:rFonts w:hint="eastAsia" w:ascii="宋体" w:hAnsi="宋体" w:eastAsia="宋体" w:cs="宋体"/>
                <w:b/>
                <w:bCs/>
                <w:color w:val="auto"/>
                <w:kern w:val="2"/>
                <w:szCs w:val="21"/>
                <w:lang w:val="en-US" w:eastAsia="zh-CN"/>
              </w:rPr>
              <w:t>）</w:t>
            </w:r>
            <w:r>
              <w:rPr>
                <w:rFonts w:hint="eastAsia" w:ascii="宋体" w:hAnsi="宋体" w:cs="宋体"/>
                <w:b/>
                <w:bCs/>
                <w:color w:val="auto"/>
                <w:kern w:val="2"/>
                <w:szCs w:val="21"/>
                <w:lang w:val="en-US" w:eastAsia="zh-CN"/>
              </w:rPr>
              <w:t>保密承诺及措施</w:t>
            </w:r>
            <w:r>
              <w:rPr>
                <w:rFonts w:hint="eastAsia" w:ascii="宋体" w:hAnsi="宋体" w:eastAsia="宋体" w:cs="宋体"/>
                <w:b/>
                <w:bCs/>
                <w:color w:val="auto"/>
                <w:kern w:val="2"/>
                <w:szCs w:val="21"/>
              </w:rPr>
              <w:t>评审评分（满分</w:t>
            </w:r>
            <w:r>
              <w:rPr>
                <w:rFonts w:hint="eastAsia" w:ascii="宋体" w:hAnsi="宋体" w:cs="宋体"/>
                <w:b/>
                <w:bCs/>
                <w:color w:val="auto"/>
                <w:kern w:val="2"/>
                <w:szCs w:val="21"/>
                <w:lang w:val="en-US" w:eastAsia="zh-CN"/>
              </w:rPr>
              <w:t>6</w:t>
            </w:r>
            <w:r>
              <w:rPr>
                <w:rFonts w:hint="eastAsia" w:ascii="宋体" w:hAnsi="宋体" w:eastAsia="宋体" w:cs="宋体"/>
                <w:b/>
                <w:bCs/>
                <w:color w:val="auto"/>
                <w:kern w:val="2"/>
                <w:szCs w:val="21"/>
              </w:rPr>
              <w:t>分）</w:t>
            </w:r>
          </w:p>
          <w:p w14:paraId="22D2898E">
            <w:pPr>
              <w:widowControl/>
              <w:numPr>
                <w:ilvl w:val="0"/>
                <w:numId w:val="0"/>
              </w:numPr>
              <w:spacing w:line="360" w:lineRule="auto"/>
              <w:ind w:firstLine="0" w:firstLineChars="0"/>
              <w:jc w:val="left"/>
              <w:rPr>
                <w:rFonts w:hint="eastAsia" w:ascii="宋体" w:hAnsi="宋体" w:eastAsia="宋体" w:cs="宋体"/>
                <w:color w:val="auto"/>
                <w:szCs w:val="21"/>
              </w:rPr>
            </w:pPr>
            <w:r>
              <w:rPr>
                <w:rFonts w:hint="eastAsia" w:ascii="宋体" w:hAnsi="宋体" w:eastAsia="宋体" w:cs="宋体"/>
                <w:b w:val="0"/>
                <w:bCs w:val="0"/>
                <w:color w:val="auto"/>
                <w:kern w:val="2"/>
                <w:sz w:val="21"/>
                <w:szCs w:val="21"/>
                <w:lang w:val="en-US" w:eastAsia="zh-CN" w:bidi="ar-SA"/>
              </w:rPr>
              <w:t>根据投标人提供的</w:t>
            </w:r>
            <w:r>
              <w:rPr>
                <w:rFonts w:hint="eastAsia" w:ascii="宋体" w:hAnsi="宋体" w:cs="宋体"/>
                <w:b w:val="0"/>
                <w:bCs w:val="0"/>
                <w:color w:val="auto"/>
                <w:kern w:val="2"/>
                <w:sz w:val="21"/>
                <w:szCs w:val="21"/>
                <w:lang w:val="en-US" w:eastAsia="zh-CN" w:bidi="ar-SA"/>
              </w:rPr>
              <w:t>保密承诺及措施</w:t>
            </w:r>
            <w:r>
              <w:rPr>
                <w:rFonts w:hint="eastAsia" w:ascii="宋体" w:hAnsi="宋体" w:eastAsia="宋体" w:cs="宋体"/>
                <w:b w:val="0"/>
                <w:bCs w:val="0"/>
                <w:color w:val="auto"/>
                <w:kern w:val="2"/>
                <w:sz w:val="21"/>
                <w:szCs w:val="21"/>
                <w:lang w:val="en-US" w:eastAsia="zh-CN" w:bidi="ar-SA"/>
              </w:rPr>
              <w:t>进行评审，内容包括但不限于：①保密承诺；②</w:t>
            </w:r>
            <w:r>
              <w:rPr>
                <w:rFonts w:hint="eastAsia" w:ascii="宋体" w:hAnsi="宋体" w:cs="宋体"/>
                <w:color w:val="auto"/>
                <w:szCs w:val="21"/>
              </w:rPr>
              <w:t>保密措施</w:t>
            </w:r>
            <w:r>
              <w:rPr>
                <w:rFonts w:hint="eastAsia" w:ascii="宋体" w:hAnsi="宋体" w:eastAsia="宋体" w:cs="宋体"/>
                <w:b w:val="0"/>
                <w:bCs w:val="0"/>
                <w:color w:val="auto"/>
                <w:kern w:val="2"/>
                <w:sz w:val="21"/>
                <w:szCs w:val="21"/>
                <w:lang w:val="en-US" w:eastAsia="zh-CN" w:bidi="ar-SA"/>
              </w:rPr>
              <w:t>；</w:t>
            </w:r>
            <w:r>
              <w:rPr>
                <w:rFonts w:hint="eastAsia" w:ascii="宋体" w:hAnsi="宋体" w:eastAsia="宋体" w:cs="宋体"/>
                <w:b w:val="0"/>
                <w:bCs w:val="0"/>
                <w:color w:val="auto"/>
                <w:szCs w:val="21"/>
                <w:lang w:val="en-US" w:eastAsia="zh-CN"/>
              </w:rPr>
              <w:t>③</w:t>
            </w:r>
            <w:r>
              <w:rPr>
                <w:rFonts w:hint="eastAsia" w:ascii="宋体" w:hAnsi="宋体" w:cs="宋体"/>
                <w:color w:val="auto"/>
                <w:szCs w:val="21"/>
              </w:rPr>
              <w:t>违约处罚</w:t>
            </w:r>
            <w:r>
              <w:rPr>
                <w:rFonts w:hint="eastAsia" w:ascii="宋体" w:hAnsi="宋体" w:eastAsia="宋体" w:cs="宋体"/>
                <w:b w:val="0"/>
                <w:bCs w:val="0"/>
                <w:color w:val="auto"/>
                <w:szCs w:val="21"/>
                <w:lang w:eastAsia="zh-CN"/>
              </w:rPr>
              <w:t>。</w:t>
            </w:r>
          </w:p>
          <w:p w14:paraId="38FF1429">
            <w:pPr>
              <w:widowControl/>
              <w:numPr>
                <w:ilvl w:val="0"/>
                <w:numId w:val="0"/>
              </w:numPr>
              <w:spacing w:line="360" w:lineRule="auto"/>
              <w:ind w:firstLine="0" w:firstLineChars="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根据投标人提交的上述内容进行综合评分，内容包括但不限于上述</w:t>
            </w:r>
            <w:r>
              <w:rPr>
                <w:rFonts w:hint="eastAsia" w:ascii="宋体" w:hAnsi="宋体" w:cs="宋体"/>
                <w:color w:val="auto"/>
                <w:szCs w:val="21"/>
                <w:lang w:val="en-US" w:eastAsia="zh-CN"/>
              </w:rPr>
              <w:t>3</w:t>
            </w:r>
            <w:r>
              <w:rPr>
                <w:rFonts w:hint="eastAsia" w:ascii="宋体" w:hAnsi="宋体" w:eastAsia="宋体" w:cs="宋体"/>
                <w:color w:val="auto"/>
                <w:szCs w:val="21"/>
                <w:lang w:val="en-US" w:eastAsia="zh-CN"/>
              </w:rPr>
              <w:t>项内容。投标人提交符合招标文件要求的上述内容的得</w:t>
            </w:r>
            <w:r>
              <w:rPr>
                <w:rFonts w:hint="eastAsia" w:ascii="宋体" w:hAnsi="宋体" w:cs="宋体"/>
                <w:color w:val="auto"/>
                <w:szCs w:val="21"/>
                <w:lang w:val="en-US" w:eastAsia="zh-CN"/>
              </w:rPr>
              <w:t>6</w:t>
            </w:r>
            <w:r>
              <w:rPr>
                <w:rFonts w:hint="eastAsia" w:ascii="宋体" w:hAnsi="宋体" w:eastAsia="宋体" w:cs="宋体"/>
                <w:color w:val="auto"/>
                <w:szCs w:val="21"/>
                <w:lang w:val="en-US" w:eastAsia="zh-CN"/>
              </w:rPr>
              <w:t>分；每缺少1项内容扣</w:t>
            </w:r>
            <w:r>
              <w:rPr>
                <w:rFonts w:hint="eastAsia" w:ascii="宋体" w:hAnsi="宋体" w:cs="宋体"/>
                <w:color w:val="auto"/>
                <w:szCs w:val="21"/>
                <w:lang w:val="en-US" w:eastAsia="zh-CN"/>
              </w:rPr>
              <w:t>2</w:t>
            </w:r>
            <w:r>
              <w:rPr>
                <w:rFonts w:hint="eastAsia" w:ascii="宋体" w:hAnsi="宋体" w:eastAsia="宋体" w:cs="宋体"/>
                <w:color w:val="auto"/>
                <w:szCs w:val="21"/>
                <w:lang w:val="en-US" w:eastAsia="zh-CN"/>
              </w:rPr>
              <w:t>分，每有1项内容存在1处缺陷扣</w:t>
            </w:r>
            <w:r>
              <w:rPr>
                <w:rFonts w:hint="eastAsia" w:ascii="宋体" w:hAnsi="宋体" w:cs="宋体"/>
                <w:color w:val="auto"/>
                <w:szCs w:val="21"/>
                <w:lang w:val="en-US" w:eastAsia="zh-CN"/>
              </w:rPr>
              <w:t>1</w:t>
            </w:r>
            <w:r>
              <w:rPr>
                <w:rFonts w:hint="eastAsia" w:ascii="宋体" w:hAnsi="宋体" w:eastAsia="宋体" w:cs="宋体"/>
                <w:color w:val="auto"/>
                <w:szCs w:val="21"/>
                <w:lang w:val="en-US" w:eastAsia="zh-CN"/>
              </w:rPr>
              <w:t>分。</w:t>
            </w:r>
          </w:p>
          <w:p w14:paraId="7A9C3E3A">
            <w:pPr>
              <w:widowControl/>
              <w:numPr>
                <w:ilvl w:val="0"/>
                <w:numId w:val="0"/>
              </w:numPr>
              <w:jc w:val="left"/>
              <w:rPr>
                <w:rFonts w:hint="eastAsia" w:ascii="宋体" w:hAnsi="宋体" w:eastAsia="宋体" w:cs="宋体"/>
                <w:color w:val="auto"/>
                <w:sz w:val="21"/>
                <w:szCs w:val="21"/>
              </w:rPr>
            </w:pPr>
            <w:r>
              <w:rPr>
                <w:rFonts w:hint="eastAsia" w:ascii="宋体" w:hAnsi="宋体" w:eastAsia="宋体" w:cs="宋体"/>
                <w:color w:val="auto"/>
                <w:szCs w:val="21"/>
                <w:lang w:val="en-US" w:eastAsia="zh-CN"/>
              </w:rPr>
              <w:t>注：缺陷是指内容不符合项目实际要求、描述不详细、缺乏针对性、缺乏可操作性、不合理、内容前后相互矛盾、存在无法实现预期目标的风险等。</w:t>
            </w:r>
          </w:p>
        </w:tc>
      </w:tr>
      <w:tr w14:paraId="4E2C4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172" w:type="pct"/>
            <w:vMerge w:val="continue"/>
            <w:vAlign w:val="center"/>
          </w:tcPr>
          <w:p w14:paraId="51F475B2">
            <w:pPr>
              <w:ind w:firstLine="0" w:firstLineChars="0"/>
              <w:rPr>
                <w:rFonts w:ascii="Times New Roman" w:hAnsi="Times New Roman" w:cs="Times New Roman"/>
                <w:szCs w:val="21"/>
              </w:rPr>
            </w:pPr>
          </w:p>
        </w:tc>
        <w:tc>
          <w:tcPr>
            <w:tcW w:w="483" w:type="pct"/>
            <w:vMerge w:val="continue"/>
            <w:vAlign w:val="center"/>
          </w:tcPr>
          <w:p w14:paraId="18ED3018">
            <w:pPr>
              <w:ind w:firstLine="0" w:firstLineChars="0"/>
              <w:rPr>
                <w:rFonts w:ascii="Times New Roman" w:hAnsi="Times New Roman" w:cs="Times New Roman"/>
                <w:szCs w:val="21"/>
              </w:rPr>
            </w:pPr>
          </w:p>
        </w:tc>
        <w:tc>
          <w:tcPr>
            <w:tcW w:w="1015" w:type="pct"/>
            <w:vMerge w:val="continue"/>
            <w:vAlign w:val="center"/>
          </w:tcPr>
          <w:p w14:paraId="01419DB8">
            <w:pPr>
              <w:ind w:firstLine="0" w:firstLineChars="0"/>
              <w:jc w:val="center"/>
              <w:rPr>
                <w:rFonts w:hint="eastAsia" w:ascii="宋体" w:hAnsi="宋体" w:eastAsia="宋体" w:cs="宋体"/>
                <w:color w:val="auto"/>
                <w:szCs w:val="21"/>
              </w:rPr>
            </w:pPr>
          </w:p>
        </w:tc>
        <w:tc>
          <w:tcPr>
            <w:tcW w:w="3328" w:type="pct"/>
            <w:vAlign w:val="center"/>
          </w:tcPr>
          <w:p w14:paraId="11B28E6D">
            <w:pPr>
              <w:widowControl/>
              <w:numPr>
                <w:ilvl w:val="0"/>
                <w:numId w:val="0"/>
              </w:numPr>
              <w:ind w:firstLine="0" w:firstLineChars="0"/>
              <w:jc w:val="left"/>
              <w:rPr>
                <w:rFonts w:hint="eastAsia" w:ascii="宋体" w:hAnsi="宋体" w:eastAsia="宋体" w:cs="宋体"/>
                <w:b/>
                <w:bCs/>
                <w:color w:val="auto"/>
                <w:kern w:val="2"/>
                <w:szCs w:val="21"/>
              </w:rPr>
            </w:pPr>
            <w:r>
              <w:rPr>
                <w:rFonts w:hint="eastAsia" w:ascii="宋体" w:hAnsi="宋体" w:cs="宋体"/>
                <w:b/>
                <w:bCs/>
                <w:color w:val="auto"/>
                <w:kern w:val="2"/>
                <w:szCs w:val="21"/>
                <w:lang w:val="en-US" w:eastAsia="zh-CN"/>
              </w:rPr>
              <w:t>（4</w:t>
            </w:r>
            <w:r>
              <w:rPr>
                <w:rFonts w:hint="eastAsia" w:ascii="宋体" w:hAnsi="宋体" w:eastAsia="宋体" w:cs="宋体"/>
                <w:b/>
                <w:bCs/>
                <w:color w:val="auto"/>
                <w:kern w:val="2"/>
                <w:szCs w:val="21"/>
                <w:lang w:val="en-US" w:eastAsia="zh-CN"/>
              </w:rPr>
              <w:t>）项目时间进度计划及保证措施</w:t>
            </w:r>
            <w:r>
              <w:rPr>
                <w:rFonts w:hint="eastAsia" w:ascii="宋体" w:hAnsi="宋体" w:eastAsia="宋体" w:cs="宋体"/>
                <w:b/>
                <w:bCs/>
                <w:color w:val="auto"/>
                <w:kern w:val="2"/>
                <w:szCs w:val="21"/>
              </w:rPr>
              <w:t>评审评分（满分</w:t>
            </w:r>
            <w:r>
              <w:rPr>
                <w:rFonts w:hint="eastAsia" w:ascii="宋体" w:hAnsi="宋体" w:cs="宋体"/>
                <w:b/>
                <w:bCs/>
                <w:color w:val="auto"/>
                <w:kern w:val="2"/>
                <w:szCs w:val="21"/>
                <w:lang w:val="en-US" w:eastAsia="zh-CN"/>
              </w:rPr>
              <w:t>5</w:t>
            </w:r>
            <w:r>
              <w:rPr>
                <w:rFonts w:hint="eastAsia" w:ascii="宋体" w:hAnsi="宋体" w:eastAsia="宋体" w:cs="宋体"/>
                <w:b/>
                <w:bCs/>
                <w:color w:val="auto"/>
                <w:kern w:val="2"/>
                <w:szCs w:val="21"/>
              </w:rPr>
              <w:t>分）</w:t>
            </w:r>
          </w:p>
          <w:p w14:paraId="386A617F">
            <w:pPr>
              <w:widowControl/>
              <w:numPr>
                <w:ilvl w:val="0"/>
                <w:numId w:val="0"/>
              </w:numPr>
              <w:spacing w:line="360" w:lineRule="auto"/>
              <w:ind w:firstLine="0" w:firstLineChars="0"/>
              <w:jc w:val="left"/>
              <w:rPr>
                <w:rFonts w:hint="eastAsia" w:ascii="宋体" w:hAnsi="宋体" w:eastAsia="宋体" w:cs="宋体"/>
                <w:color w:val="auto"/>
                <w:szCs w:val="21"/>
              </w:rPr>
            </w:pPr>
            <w:r>
              <w:rPr>
                <w:rFonts w:hint="eastAsia" w:ascii="宋体" w:hAnsi="宋体" w:eastAsia="宋体" w:cs="宋体"/>
                <w:b w:val="0"/>
                <w:bCs w:val="0"/>
                <w:color w:val="auto"/>
                <w:kern w:val="2"/>
                <w:sz w:val="21"/>
                <w:szCs w:val="21"/>
                <w:lang w:val="en-US" w:eastAsia="zh-CN" w:bidi="ar-SA"/>
              </w:rPr>
              <w:t>根据投标人提供的项目时间进度计划及保证措施进行评审，内容包括但不限于：①</w:t>
            </w:r>
            <w:r>
              <w:rPr>
                <w:rFonts w:hint="eastAsia" w:ascii="宋体" w:hAnsi="宋体" w:cs="宋体"/>
                <w:color w:val="auto"/>
                <w:szCs w:val="21"/>
              </w:rPr>
              <w:t>各环节时间进度计划安排</w:t>
            </w:r>
            <w:r>
              <w:rPr>
                <w:rFonts w:hint="eastAsia" w:ascii="宋体" w:hAnsi="宋体" w:cs="宋体"/>
                <w:color w:val="auto"/>
                <w:szCs w:val="21"/>
                <w:lang w:val="en-US" w:eastAsia="zh-CN"/>
              </w:rPr>
              <w:t>及</w:t>
            </w:r>
            <w:r>
              <w:rPr>
                <w:rFonts w:hint="eastAsia" w:ascii="宋体" w:hAnsi="宋体" w:cs="宋体"/>
                <w:color w:val="auto"/>
                <w:szCs w:val="21"/>
              </w:rPr>
              <w:t>保障措施</w:t>
            </w:r>
            <w:r>
              <w:rPr>
                <w:rFonts w:hint="eastAsia" w:ascii="宋体" w:hAnsi="宋体" w:eastAsia="宋体" w:cs="宋体"/>
                <w:b w:val="0"/>
                <w:bCs w:val="0"/>
                <w:color w:val="auto"/>
                <w:kern w:val="2"/>
                <w:sz w:val="21"/>
                <w:szCs w:val="21"/>
                <w:lang w:val="en-US" w:eastAsia="zh-CN" w:bidi="ar-SA"/>
              </w:rPr>
              <w:t>；②</w:t>
            </w:r>
            <w:r>
              <w:rPr>
                <w:rFonts w:hint="eastAsia" w:ascii="宋体" w:hAnsi="宋体" w:cs="宋体"/>
                <w:color w:val="auto"/>
                <w:szCs w:val="21"/>
              </w:rPr>
              <w:t>服务时效性承诺</w:t>
            </w:r>
            <w:r>
              <w:rPr>
                <w:rFonts w:hint="eastAsia" w:ascii="宋体" w:hAnsi="宋体" w:cs="宋体"/>
                <w:color w:val="auto"/>
                <w:szCs w:val="21"/>
                <w:lang w:val="en-US" w:eastAsia="zh-CN"/>
              </w:rPr>
              <w:t>及</w:t>
            </w:r>
            <w:r>
              <w:rPr>
                <w:rFonts w:hint="eastAsia" w:ascii="宋体" w:hAnsi="宋体" w:cs="宋体"/>
                <w:color w:val="auto"/>
                <w:szCs w:val="21"/>
              </w:rPr>
              <w:t>保障措施</w:t>
            </w:r>
            <w:r>
              <w:rPr>
                <w:rFonts w:hint="eastAsia" w:ascii="宋体" w:hAnsi="宋体" w:eastAsia="宋体" w:cs="宋体"/>
                <w:b w:val="0"/>
                <w:bCs w:val="0"/>
                <w:color w:val="auto"/>
                <w:szCs w:val="21"/>
                <w:lang w:eastAsia="zh-CN"/>
              </w:rPr>
              <w:t>。</w:t>
            </w:r>
          </w:p>
          <w:p w14:paraId="20E96D58">
            <w:pPr>
              <w:widowControl/>
              <w:numPr>
                <w:ilvl w:val="0"/>
                <w:numId w:val="0"/>
              </w:numPr>
              <w:spacing w:line="360" w:lineRule="auto"/>
              <w:ind w:firstLine="0" w:firstLineChars="0"/>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根据投标人提交的上述内容进行综合评分，内容包括但不限于上述</w:t>
            </w:r>
            <w:r>
              <w:rPr>
                <w:rFonts w:hint="eastAsia" w:ascii="宋体" w:hAnsi="宋体" w:cs="宋体"/>
                <w:color w:val="auto"/>
                <w:szCs w:val="21"/>
                <w:lang w:val="en-US" w:eastAsia="zh-CN"/>
              </w:rPr>
              <w:t>2</w:t>
            </w:r>
            <w:r>
              <w:rPr>
                <w:rFonts w:hint="eastAsia" w:ascii="宋体" w:hAnsi="宋体" w:eastAsia="宋体" w:cs="宋体"/>
                <w:color w:val="auto"/>
                <w:szCs w:val="21"/>
                <w:lang w:val="en-US" w:eastAsia="zh-CN"/>
              </w:rPr>
              <w:t>项内容。投标人提交符合招标文件要求的上述内容的得</w:t>
            </w:r>
            <w:r>
              <w:rPr>
                <w:rFonts w:hint="eastAsia" w:ascii="宋体" w:hAnsi="宋体" w:cs="宋体"/>
                <w:color w:val="auto"/>
                <w:szCs w:val="21"/>
                <w:lang w:val="en-US" w:eastAsia="zh-CN"/>
              </w:rPr>
              <w:t>5</w:t>
            </w:r>
            <w:r>
              <w:rPr>
                <w:rFonts w:hint="eastAsia" w:ascii="宋体" w:hAnsi="宋体" w:eastAsia="宋体" w:cs="宋体"/>
                <w:color w:val="auto"/>
                <w:szCs w:val="21"/>
                <w:lang w:val="en-US" w:eastAsia="zh-CN"/>
              </w:rPr>
              <w:t>分；每缺少1项内容扣</w:t>
            </w:r>
            <w:r>
              <w:rPr>
                <w:rFonts w:hint="eastAsia" w:ascii="宋体" w:hAnsi="宋体" w:cs="宋体"/>
                <w:color w:val="auto"/>
                <w:szCs w:val="21"/>
                <w:lang w:val="en-US" w:eastAsia="zh-CN"/>
              </w:rPr>
              <w:t>2.5</w:t>
            </w:r>
            <w:r>
              <w:rPr>
                <w:rFonts w:hint="eastAsia" w:ascii="宋体" w:hAnsi="宋体" w:eastAsia="宋体" w:cs="宋体"/>
                <w:color w:val="auto"/>
                <w:szCs w:val="21"/>
                <w:lang w:val="en-US" w:eastAsia="zh-CN"/>
              </w:rPr>
              <w:t>分，每有1项内容存在1处缺陷扣</w:t>
            </w:r>
            <w:r>
              <w:rPr>
                <w:rFonts w:hint="eastAsia" w:ascii="宋体" w:hAnsi="宋体" w:cs="宋体"/>
                <w:color w:val="auto"/>
                <w:szCs w:val="21"/>
                <w:lang w:val="en-US" w:eastAsia="zh-CN"/>
              </w:rPr>
              <w:t>1.25</w:t>
            </w:r>
            <w:r>
              <w:rPr>
                <w:rFonts w:hint="eastAsia" w:ascii="宋体" w:hAnsi="宋体" w:eastAsia="宋体" w:cs="宋体"/>
                <w:color w:val="auto"/>
                <w:szCs w:val="21"/>
                <w:lang w:val="en-US" w:eastAsia="zh-CN"/>
              </w:rPr>
              <w:t>分。</w:t>
            </w:r>
          </w:p>
          <w:p w14:paraId="497083F6">
            <w:pPr>
              <w:widowControl/>
              <w:numPr>
                <w:ilvl w:val="0"/>
                <w:numId w:val="0"/>
              </w:numPr>
              <w:jc w:val="left"/>
              <w:rPr>
                <w:rFonts w:hint="eastAsia" w:ascii="宋体" w:hAnsi="宋体" w:cs="宋体"/>
                <w:color w:val="auto"/>
                <w:szCs w:val="21"/>
              </w:rPr>
            </w:pPr>
            <w:r>
              <w:rPr>
                <w:rFonts w:hint="eastAsia" w:ascii="宋体" w:hAnsi="宋体" w:eastAsia="宋体" w:cs="宋体"/>
                <w:color w:val="auto"/>
                <w:szCs w:val="21"/>
                <w:lang w:val="en-US" w:eastAsia="zh-CN"/>
              </w:rPr>
              <w:t>注：缺陷是指内容不符合项目实际要求、描述不详细、缺乏针对性、缺乏可操作性、不合理、内容前后相互矛盾、存在无法实现预期目标的风险等。</w:t>
            </w:r>
          </w:p>
        </w:tc>
      </w:tr>
      <w:tr w14:paraId="7426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45" w:hRule="atLeast"/>
          <w:jc w:val="center"/>
        </w:trPr>
        <w:tc>
          <w:tcPr>
            <w:tcW w:w="172" w:type="pct"/>
            <w:vMerge w:val="continue"/>
            <w:vAlign w:val="center"/>
          </w:tcPr>
          <w:p w14:paraId="245C24A5">
            <w:pPr>
              <w:ind w:firstLine="0" w:firstLineChars="0"/>
              <w:rPr>
                <w:rFonts w:ascii="Times New Roman" w:hAnsi="Times New Roman" w:cs="Times New Roman"/>
                <w:szCs w:val="21"/>
              </w:rPr>
            </w:pPr>
          </w:p>
        </w:tc>
        <w:tc>
          <w:tcPr>
            <w:tcW w:w="483" w:type="pct"/>
            <w:vMerge w:val="continue"/>
            <w:vAlign w:val="center"/>
          </w:tcPr>
          <w:p w14:paraId="34233D2A">
            <w:pPr>
              <w:ind w:firstLine="0" w:firstLineChars="0"/>
              <w:rPr>
                <w:rFonts w:ascii="Times New Roman" w:hAnsi="Times New Roman" w:cs="Times New Roman"/>
                <w:szCs w:val="21"/>
              </w:rPr>
            </w:pPr>
          </w:p>
        </w:tc>
        <w:tc>
          <w:tcPr>
            <w:tcW w:w="1015" w:type="pct"/>
            <w:vMerge w:val="restart"/>
            <w:vAlign w:val="center"/>
          </w:tcPr>
          <w:p w14:paraId="234BB3FD">
            <w:pPr>
              <w:ind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5）商务部分得分F3（满分</w:t>
            </w:r>
            <w:r>
              <w:rPr>
                <w:rFonts w:hint="eastAsia" w:ascii="宋体" w:hAnsi="宋体" w:cs="宋体"/>
                <w:color w:val="auto"/>
                <w:szCs w:val="21"/>
                <w:lang w:val="en-US" w:eastAsia="zh-CN"/>
              </w:rPr>
              <w:t>25</w:t>
            </w:r>
            <w:r>
              <w:rPr>
                <w:rFonts w:hint="eastAsia" w:ascii="宋体" w:hAnsi="宋体" w:eastAsia="宋体" w:cs="宋体"/>
                <w:color w:val="auto"/>
                <w:szCs w:val="21"/>
              </w:rPr>
              <w:t>分）</w:t>
            </w:r>
          </w:p>
        </w:tc>
        <w:tc>
          <w:tcPr>
            <w:tcW w:w="3328" w:type="pct"/>
            <w:vAlign w:val="center"/>
          </w:tcPr>
          <w:p w14:paraId="387603B8">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rPr>
              <w:t>（1）项目团队评审评分（满分</w:t>
            </w:r>
            <w:r>
              <w:rPr>
                <w:rFonts w:hint="eastAsia" w:ascii="宋体" w:hAnsi="宋体" w:cs="宋体"/>
                <w:b/>
                <w:bCs/>
                <w:color w:val="auto"/>
                <w:lang w:val="en-US" w:eastAsia="zh-CN"/>
              </w:rPr>
              <w:t>14</w:t>
            </w:r>
            <w:r>
              <w:rPr>
                <w:rFonts w:hint="eastAsia" w:ascii="宋体" w:hAnsi="宋体" w:eastAsia="宋体" w:cs="宋体"/>
                <w:b/>
                <w:bCs/>
                <w:color w:val="auto"/>
              </w:rPr>
              <w:t>分）</w:t>
            </w:r>
          </w:p>
          <w:p w14:paraId="5842AC4B">
            <w:pPr>
              <w:spacing w:line="360" w:lineRule="auto"/>
              <w:ind w:firstLine="0" w:firstLineChars="0"/>
              <w:rPr>
                <w:rFonts w:hint="eastAsia" w:ascii="宋体" w:hAnsi="宋体" w:eastAsia="宋体" w:cs="宋体"/>
                <w:color w:val="auto"/>
                <w:lang w:eastAsia="zh-CN"/>
              </w:rPr>
            </w:pPr>
            <w:r>
              <w:rPr>
                <w:rFonts w:hint="eastAsia" w:ascii="宋体" w:hAnsi="宋体" w:cs="宋体"/>
                <w:color w:val="auto"/>
                <w:lang w:val="en-US" w:eastAsia="zh-CN"/>
              </w:rPr>
              <w:t>注：</w:t>
            </w:r>
            <w:r>
              <w:rPr>
                <w:rFonts w:hint="eastAsia" w:ascii="宋体" w:hAnsi="宋体" w:eastAsia="宋体" w:cs="宋体"/>
                <w:b w:val="0"/>
                <w:bCs w:val="0"/>
                <w:color w:val="auto"/>
                <w:kern w:val="2"/>
                <w:sz w:val="21"/>
                <w:szCs w:val="21"/>
                <w:lang w:val="en-US" w:eastAsia="zh-CN" w:bidi="ar-SA"/>
              </w:rPr>
              <w:t>①</w:t>
            </w:r>
            <w:r>
              <w:rPr>
                <w:rFonts w:hint="eastAsia" w:ascii="宋体" w:hAnsi="宋体" w:eastAsia="宋体" w:cs="宋体"/>
                <w:color w:val="auto"/>
              </w:rPr>
              <w:t>投标文件中需提供《项目负责人信息表》和《项目团队人员信息表》，以及项目负责人和项目团队人员资料，证明资料包括身份证、劳动合同或社保证明、学历证书（若有）、相关证书（若有）、相关荣誉证明材料（若有）、类似项目经验证明材料（若有）。无人员资料或资料不明确、无法体现对应内容的，不予认可</w:t>
            </w:r>
            <w:r>
              <w:rPr>
                <w:rFonts w:hint="eastAsia" w:ascii="宋体" w:hAnsi="宋体" w:cs="宋体"/>
                <w:color w:val="auto"/>
                <w:lang w:eastAsia="zh-CN"/>
              </w:rPr>
              <w:t>。</w:t>
            </w:r>
          </w:p>
          <w:p w14:paraId="315989B0">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kern w:val="2"/>
                <w:sz w:val="21"/>
                <w:szCs w:val="21"/>
                <w:lang w:val="en-US" w:eastAsia="zh-CN" w:bidi="ar-SA"/>
              </w:rPr>
              <w:t>②</w:t>
            </w:r>
            <w:r>
              <w:rPr>
                <w:rFonts w:hint="eastAsia" w:ascii="宋体" w:hAnsi="宋体" w:eastAsia="宋体" w:cs="宋体"/>
                <w:b/>
                <w:bCs/>
                <w:color w:val="auto"/>
              </w:rPr>
              <w:t>以</w:t>
            </w:r>
            <w:r>
              <w:rPr>
                <w:rFonts w:hint="eastAsia" w:ascii="宋体" w:hAnsi="宋体" w:eastAsia="宋体" w:cs="宋体"/>
                <w:b/>
                <w:bCs/>
                <w:color w:val="auto"/>
                <w:lang w:val="en-US" w:eastAsia="zh-CN"/>
              </w:rPr>
              <w:t>下</w:t>
            </w:r>
            <w:r>
              <w:rPr>
                <w:rFonts w:hint="eastAsia" w:ascii="宋体" w:hAnsi="宋体" w:eastAsia="宋体" w:cs="宋体"/>
                <w:b/>
                <w:bCs/>
                <w:color w:val="auto"/>
              </w:rPr>
              <w:t>岗位人员不可兼职，不可一人多职。</w:t>
            </w:r>
          </w:p>
          <w:p w14:paraId="6B8A1F38">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lang w:val="en-US" w:eastAsia="zh-CN"/>
              </w:rPr>
              <w:t>1）</w:t>
            </w:r>
            <w:r>
              <w:rPr>
                <w:rFonts w:hint="eastAsia" w:ascii="宋体" w:hAnsi="宋体" w:cs="宋体"/>
                <w:b/>
                <w:bCs/>
                <w:color w:val="auto"/>
                <w:lang w:val="en-US" w:eastAsia="zh-CN"/>
              </w:rPr>
              <w:t>项目经理配备</w:t>
            </w:r>
            <w:r>
              <w:rPr>
                <w:rFonts w:hint="eastAsia" w:ascii="宋体" w:hAnsi="宋体" w:eastAsia="宋体" w:cs="宋体"/>
                <w:b/>
                <w:bCs/>
                <w:color w:val="auto"/>
              </w:rPr>
              <w:t>评审评分（满分</w:t>
            </w:r>
            <w:r>
              <w:rPr>
                <w:rFonts w:hint="eastAsia" w:ascii="宋体" w:hAnsi="宋体" w:cs="宋体"/>
                <w:b/>
                <w:bCs/>
                <w:color w:val="auto"/>
                <w:lang w:val="en-US" w:eastAsia="zh-CN"/>
              </w:rPr>
              <w:t>2</w:t>
            </w:r>
            <w:r>
              <w:rPr>
                <w:rFonts w:hint="eastAsia" w:ascii="宋体" w:hAnsi="宋体" w:eastAsia="宋体" w:cs="宋体"/>
                <w:b/>
                <w:bCs/>
                <w:color w:val="auto"/>
              </w:rPr>
              <w:t>分）</w:t>
            </w:r>
          </w:p>
          <w:p w14:paraId="45559A7A">
            <w:pPr>
              <w:spacing w:line="360" w:lineRule="auto"/>
              <w:ind w:firstLine="0" w:firstLineChars="0"/>
              <w:rPr>
                <w:rFonts w:hint="eastAsia" w:ascii="宋体" w:hAnsi="宋体" w:eastAsia="宋体"/>
                <w:bCs/>
                <w:color w:val="auto"/>
                <w:szCs w:val="21"/>
                <w:lang w:val="en-US" w:eastAsia="zh-CN"/>
              </w:rPr>
            </w:pPr>
            <w:r>
              <w:rPr>
                <w:rFonts w:hint="eastAsia" w:ascii="宋体" w:hAnsi="宋体" w:eastAsia="宋体" w:cstheme="minorBidi"/>
                <w:bCs/>
                <w:color w:val="auto"/>
                <w:szCs w:val="21"/>
                <w:lang w:val="en-US" w:eastAsia="zh-CN"/>
              </w:rPr>
              <w:t>投标人拟派往本项目的人员中，配备了1名项目经理，且项目经理具有1年以上与本项目相关类似管理经验，</w:t>
            </w:r>
            <w:r>
              <w:rPr>
                <w:rFonts w:hint="eastAsia" w:ascii="宋体" w:hAnsi="宋体" w:eastAsia="宋体"/>
                <w:bCs/>
                <w:color w:val="auto"/>
                <w:szCs w:val="21"/>
                <w:lang w:val="en-US" w:eastAsia="zh-CN"/>
              </w:rPr>
              <w:t>并提供了相关工作经验证明或说明的，得2分</w:t>
            </w:r>
            <w:r>
              <w:rPr>
                <w:rFonts w:hint="eastAsia" w:ascii="宋体" w:hAnsi="宋体"/>
                <w:bCs/>
                <w:color w:val="auto"/>
                <w:szCs w:val="21"/>
                <w:lang w:val="en-US" w:eastAsia="zh-CN"/>
              </w:rPr>
              <w:t>。</w:t>
            </w:r>
          </w:p>
          <w:p w14:paraId="20E59E1F">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lang w:val="en-US" w:eastAsia="zh-CN"/>
              </w:rPr>
              <w:t>2）架构师</w:t>
            </w:r>
            <w:r>
              <w:rPr>
                <w:rFonts w:hint="eastAsia" w:ascii="宋体" w:hAnsi="宋体" w:cs="宋体"/>
                <w:b/>
                <w:bCs/>
                <w:color w:val="auto"/>
                <w:lang w:val="en-US" w:eastAsia="zh-CN"/>
              </w:rPr>
              <w:t>配备</w:t>
            </w:r>
            <w:r>
              <w:rPr>
                <w:rFonts w:hint="eastAsia" w:ascii="宋体" w:hAnsi="宋体" w:eastAsia="宋体" w:cs="宋体"/>
                <w:b/>
                <w:bCs/>
                <w:color w:val="auto"/>
              </w:rPr>
              <w:t>评审评分（满分</w:t>
            </w:r>
            <w:r>
              <w:rPr>
                <w:rFonts w:hint="eastAsia" w:ascii="宋体" w:hAnsi="宋体" w:cs="宋体"/>
                <w:b/>
                <w:bCs/>
                <w:color w:val="auto"/>
                <w:lang w:val="en-US" w:eastAsia="zh-CN"/>
              </w:rPr>
              <w:t>2</w:t>
            </w:r>
            <w:r>
              <w:rPr>
                <w:rFonts w:hint="eastAsia" w:ascii="宋体" w:hAnsi="宋体" w:eastAsia="宋体" w:cs="宋体"/>
                <w:b/>
                <w:bCs/>
                <w:color w:val="auto"/>
              </w:rPr>
              <w:t>分）</w:t>
            </w:r>
          </w:p>
          <w:p w14:paraId="75F3A1FD">
            <w:pPr>
              <w:spacing w:line="360" w:lineRule="auto"/>
              <w:ind w:firstLine="0" w:firstLineChars="0"/>
              <w:rPr>
                <w:rFonts w:hint="default" w:ascii="宋体" w:hAnsi="宋体"/>
                <w:bCs/>
                <w:color w:val="auto"/>
                <w:szCs w:val="21"/>
                <w:lang w:val="en-US" w:eastAsia="zh-CN"/>
              </w:rPr>
            </w:pPr>
            <w:r>
              <w:rPr>
                <w:rFonts w:hint="eastAsia" w:ascii="宋体" w:hAnsi="宋体" w:eastAsia="宋体" w:cs="宋体"/>
                <w:b w:val="0"/>
                <w:bCs w:val="0"/>
                <w:color w:val="auto"/>
                <w:kern w:val="2"/>
                <w:sz w:val="21"/>
                <w:szCs w:val="21"/>
                <w:lang w:val="en-US" w:eastAsia="zh-CN" w:bidi="ar-SA"/>
              </w:rPr>
              <w:t>投标人拟派往本项目的架构师不低于1人，</w:t>
            </w:r>
            <w:r>
              <w:rPr>
                <w:rFonts w:hint="eastAsia" w:ascii="宋体" w:hAnsi="宋体" w:cs="宋体"/>
                <w:b w:val="0"/>
                <w:bCs/>
                <w:color w:val="auto"/>
                <w:szCs w:val="21"/>
                <w:lang w:val="en-US" w:eastAsia="zh-CN"/>
              </w:rPr>
              <w:t>具有1年以上与本项目相关系统类服务经验</w:t>
            </w:r>
            <w:r>
              <w:rPr>
                <w:rFonts w:hint="eastAsia" w:ascii="宋体" w:hAnsi="宋体" w:eastAsia="宋体" w:cs="宋体"/>
                <w:b w:val="0"/>
                <w:bCs w:val="0"/>
                <w:color w:val="auto"/>
                <w:kern w:val="2"/>
                <w:sz w:val="21"/>
                <w:szCs w:val="21"/>
                <w:lang w:val="en-US" w:eastAsia="zh-CN" w:bidi="ar-SA"/>
              </w:rPr>
              <w:t>，且提供了相关工作经验证明或说明的，得2分，满分2分。</w:t>
            </w:r>
          </w:p>
          <w:p w14:paraId="648E0E5F">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lang w:val="en-US" w:eastAsia="zh-CN"/>
              </w:rPr>
              <w:t>3）数据开发工程师</w:t>
            </w:r>
            <w:r>
              <w:rPr>
                <w:rFonts w:hint="eastAsia" w:ascii="宋体" w:hAnsi="宋体" w:cs="宋体"/>
                <w:b/>
                <w:bCs/>
                <w:color w:val="auto"/>
                <w:lang w:val="en-US" w:eastAsia="zh-CN"/>
              </w:rPr>
              <w:t>配备</w:t>
            </w:r>
            <w:r>
              <w:rPr>
                <w:rFonts w:hint="eastAsia" w:ascii="宋体" w:hAnsi="宋体" w:eastAsia="宋体" w:cs="宋体"/>
                <w:b/>
                <w:bCs/>
                <w:color w:val="auto"/>
              </w:rPr>
              <w:t>评审评分（满分</w:t>
            </w:r>
            <w:r>
              <w:rPr>
                <w:rFonts w:hint="eastAsia" w:ascii="宋体" w:hAnsi="宋体" w:cs="宋体"/>
                <w:b/>
                <w:bCs/>
                <w:color w:val="auto"/>
                <w:lang w:val="en-US" w:eastAsia="zh-CN"/>
              </w:rPr>
              <w:t>2</w:t>
            </w:r>
            <w:r>
              <w:rPr>
                <w:rFonts w:hint="eastAsia" w:ascii="宋体" w:hAnsi="宋体" w:eastAsia="宋体" w:cs="宋体"/>
                <w:b/>
                <w:bCs/>
                <w:color w:val="auto"/>
              </w:rPr>
              <w:t>分）</w:t>
            </w:r>
          </w:p>
          <w:p w14:paraId="4389B6A4">
            <w:pPr>
              <w:spacing w:line="360" w:lineRule="auto"/>
              <w:ind w:firstLine="0" w:firstLineChars="0"/>
              <w:rPr>
                <w:rFonts w:hint="eastAsia" w:ascii="宋体" w:hAnsi="宋体" w:eastAsia="宋体" w:cs="宋体"/>
                <w:color w:val="auto"/>
                <w:szCs w:val="21"/>
                <w:lang w:val="en-US" w:eastAsia="zh-CN"/>
              </w:rPr>
            </w:pPr>
            <w:r>
              <w:rPr>
                <w:rFonts w:hint="eastAsia" w:ascii="宋体" w:hAnsi="宋体" w:eastAsia="宋体" w:cs="宋体"/>
                <w:bCs w:val="0"/>
                <w:color w:val="auto"/>
                <w:szCs w:val="21"/>
                <w:lang w:val="en-US" w:eastAsia="zh-CN"/>
              </w:rPr>
              <w:t>投标人拟派往本项目的数据开发工程师不低于2人，每有1人具有1年以上参与过与本项目相关系统类服务经验，且提供了相关工作经验证明或说明的，得1分，满分2分。（注：数据开发工程师低于2人的本项不得分）</w:t>
            </w:r>
          </w:p>
          <w:p w14:paraId="3A8F4BEE">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lang w:val="en-US" w:eastAsia="zh-CN"/>
              </w:rPr>
              <w:t>4）前端开发工程师</w:t>
            </w:r>
            <w:r>
              <w:rPr>
                <w:rFonts w:hint="eastAsia" w:ascii="宋体" w:hAnsi="宋体" w:cs="宋体"/>
                <w:b/>
                <w:bCs/>
                <w:color w:val="auto"/>
                <w:lang w:val="en-US" w:eastAsia="zh-CN"/>
              </w:rPr>
              <w:t>配备</w:t>
            </w:r>
            <w:r>
              <w:rPr>
                <w:rFonts w:hint="eastAsia" w:ascii="宋体" w:hAnsi="宋体" w:eastAsia="宋体" w:cs="宋体"/>
                <w:b/>
                <w:bCs/>
                <w:color w:val="auto"/>
              </w:rPr>
              <w:t>评审评分（满分</w:t>
            </w:r>
            <w:r>
              <w:rPr>
                <w:rFonts w:hint="eastAsia" w:ascii="宋体" w:hAnsi="宋体" w:cs="宋体"/>
                <w:b/>
                <w:bCs/>
                <w:color w:val="auto"/>
                <w:lang w:val="en-US" w:eastAsia="zh-CN"/>
              </w:rPr>
              <w:t>2</w:t>
            </w:r>
            <w:r>
              <w:rPr>
                <w:rFonts w:hint="eastAsia" w:ascii="宋体" w:hAnsi="宋体" w:eastAsia="宋体" w:cs="宋体"/>
                <w:b/>
                <w:bCs/>
                <w:color w:val="auto"/>
              </w:rPr>
              <w:t>分）</w:t>
            </w:r>
          </w:p>
          <w:p w14:paraId="18361A11">
            <w:pPr>
              <w:spacing w:line="360" w:lineRule="auto"/>
              <w:ind w:firstLine="0" w:firstLineChars="0"/>
              <w:rPr>
                <w:rFonts w:hint="eastAsia" w:ascii="宋体" w:hAnsi="宋体" w:eastAsia="宋体" w:cs="宋体"/>
                <w:bCs w:val="0"/>
                <w:color w:val="auto"/>
                <w:szCs w:val="21"/>
                <w:lang w:val="en-US" w:eastAsia="zh-CN"/>
              </w:rPr>
            </w:pPr>
            <w:r>
              <w:rPr>
                <w:rFonts w:hint="eastAsia" w:ascii="宋体" w:hAnsi="宋体" w:eastAsia="宋体" w:cs="宋体"/>
                <w:bCs w:val="0"/>
                <w:color w:val="auto"/>
                <w:szCs w:val="21"/>
                <w:lang w:val="en-US" w:eastAsia="zh-CN"/>
              </w:rPr>
              <w:t>投标人拟派往本项目的前端开发工程师不低于2人，每有1人具有1年以上参与过与本项目相关系统类服务经验，且提供了相关工作经验证明或说明的，得1分，满分2分。（注：前端开发工程师低于2人的本项不得分）</w:t>
            </w:r>
          </w:p>
          <w:p w14:paraId="1738C7DD">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lang w:val="en-US" w:eastAsia="zh-CN"/>
              </w:rPr>
              <w:t>5）后端开发工程师</w:t>
            </w:r>
            <w:r>
              <w:rPr>
                <w:rFonts w:hint="eastAsia" w:ascii="宋体" w:hAnsi="宋体" w:cs="宋体"/>
                <w:b/>
                <w:bCs/>
                <w:color w:val="auto"/>
                <w:lang w:val="en-US" w:eastAsia="zh-CN"/>
              </w:rPr>
              <w:t>配备</w:t>
            </w:r>
            <w:r>
              <w:rPr>
                <w:rFonts w:hint="eastAsia" w:ascii="宋体" w:hAnsi="宋体" w:eastAsia="宋体" w:cs="宋体"/>
                <w:b/>
                <w:bCs/>
                <w:color w:val="auto"/>
              </w:rPr>
              <w:t>评审评分（满分</w:t>
            </w:r>
            <w:r>
              <w:rPr>
                <w:rFonts w:hint="eastAsia" w:ascii="宋体" w:hAnsi="宋体" w:cs="宋体"/>
                <w:b/>
                <w:bCs/>
                <w:color w:val="auto"/>
                <w:lang w:val="en-US" w:eastAsia="zh-CN"/>
              </w:rPr>
              <w:t>2</w:t>
            </w:r>
            <w:r>
              <w:rPr>
                <w:rFonts w:hint="eastAsia" w:ascii="宋体" w:hAnsi="宋体" w:eastAsia="宋体" w:cs="宋体"/>
                <w:b/>
                <w:bCs/>
                <w:color w:val="auto"/>
              </w:rPr>
              <w:t>分）</w:t>
            </w:r>
          </w:p>
          <w:p w14:paraId="602287F9">
            <w:pPr>
              <w:spacing w:line="360" w:lineRule="auto"/>
              <w:ind w:firstLine="0" w:firstLineChars="0"/>
              <w:rPr>
                <w:rFonts w:hint="eastAsia" w:ascii="宋体" w:hAnsi="宋体" w:eastAsia="宋体" w:cs="宋体"/>
                <w:bCs w:val="0"/>
                <w:color w:val="auto"/>
                <w:szCs w:val="21"/>
                <w:lang w:val="en-US" w:eastAsia="zh-CN"/>
              </w:rPr>
            </w:pPr>
            <w:r>
              <w:rPr>
                <w:rFonts w:hint="eastAsia" w:ascii="宋体" w:hAnsi="宋体" w:eastAsia="宋体" w:cs="宋体"/>
                <w:bCs w:val="0"/>
                <w:color w:val="auto"/>
                <w:szCs w:val="21"/>
                <w:lang w:val="en-US" w:eastAsia="zh-CN"/>
              </w:rPr>
              <w:t>投标人拟派往本项目的后端开发工程师不低于2人，每有1人具有1年以上参与过与本项目相关系统类服务经验，且提供了相关工作经验证明或说明的，得1分，满分2分。（注：后端开发工程师低于2人的本项不得分）</w:t>
            </w:r>
          </w:p>
          <w:p w14:paraId="08BBFFB1">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lang w:val="en-US" w:eastAsia="zh-CN"/>
              </w:rPr>
              <w:t>6）测试工程师</w:t>
            </w:r>
            <w:r>
              <w:rPr>
                <w:rFonts w:hint="eastAsia" w:ascii="宋体" w:hAnsi="宋体" w:cs="宋体"/>
                <w:b/>
                <w:bCs/>
                <w:color w:val="auto"/>
                <w:lang w:val="en-US" w:eastAsia="zh-CN"/>
              </w:rPr>
              <w:t>配备</w:t>
            </w:r>
            <w:r>
              <w:rPr>
                <w:rFonts w:hint="eastAsia" w:ascii="宋体" w:hAnsi="宋体" w:eastAsia="宋体" w:cs="宋体"/>
                <w:b/>
                <w:bCs/>
                <w:color w:val="auto"/>
              </w:rPr>
              <w:t>评审评分（满分</w:t>
            </w:r>
            <w:r>
              <w:rPr>
                <w:rFonts w:hint="eastAsia" w:ascii="宋体" w:hAnsi="宋体" w:cs="宋体"/>
                <w:b/>
                <w:bCs/>
                <w:color w:val="auto"/>
                <w:lang w:val="en-US" w:eastAsia="zh-CN"/>
              </w:rPr>
              <w:t>2</w:t>
            </w:r>
            <w:r>
              <w:rPr>
                <w:rFonts w:hint="eastAsia" w:ascii="宋体" w:hAnsi="宋体" w:eastAsia="宋体" w:cs="宋体"/>
                <w:b/>
                <w:bCs/>
                <w:color w:val="auto"/>
              </w:rPr>
              <w:t>分）</w:t>
            </w:r>
          </w:p>
          <w:p w14:paraId="69928DB8">
            <w:pPr>
              <w:spacing w:line="360" w:lineRule="auto"/>
              <w:ind w:firstLine="0" w:firstLineChars="0"/>
              <w:rPr>
                <w:rFonts w:hint="default" w:ascii="宋体" w:hAnsi="宋体"/>
                <w:bCs/>
                <w:color w:val="auto"/>
                <w:szCs w:val="21"/>
                <w:lang w:val="en-US" w:eastAsia="zh-CN"/>
              </w:rPr>
            </w:pPr>
            <w:r>
              <w:rPr>
                <w:rFonts w:hint="eastAsia" w:ascii="宋体" w:hAnsi="宋体" w:eastAsia="宋体" w:cs="宋体"/>
                <w:b w:val="0"/>
                <w:bCs w:val="0"/>
                <w:color w:val="auto"/>
                <w:kern w:val="2"/>
                <w:sz w:val="21"/>
                <w:szCs w:val="21"/>
                <w:lang w:val="en-US" w:eastAsia="zh-CN" w:bidi="ar-SA"/>
              </w:rPr>
              <w:t>投标人拟派往本项目的测试工程师不低于1人，具有1年以上参与过与本项目相关系统类服务经验，且提供了相关工作经验证明或说明的，得2分，满分2分。</w:t>
            </w:r>
          </w:p>
          <w:p w14:paraId="50A1A7FA">
            <w:pPr>
              <w:spacing w:line="360" w:lineRule="auto"/>
              <w:ind w:firstLine="0" w:firstLineChars="0"/>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7）运维实施工程师配备评审评分（满分2分）</w:t>
            </w:r>
          </w:p>
          <w:p w14:paraId="59C9161F">
            <w:pPr>
              <w:spacing w:line="440" w:lineRule="exact"/>
              <w:ind w:firstLine="0" w:firstLineChars="0"/>
              <w:rPr>
                <w:rFonts w:hint="eastAsia"/>
                <w:color w:val="auto"/>
              </w:rPr>
            </w:pPr>
            <w:r>
              <w:rPr>
                <w:rFonts w:hint="eastAsia" w:ascii="宋体" w:hAnsi="宋体" w:eastAsia="宋体" w:cs="宋体"/>
                <w:bCs w:val="0"/>
                <w:color w:val="auto"/>
                <w:szCs w:val="21"/>
                <w:lang w:val="en-US" w:eastAsia="zh-CN"/>
              </w:rPr>
              <w:t>投标人拟派往本项目的运维实施工程师不低于2人，每有1人具有1年以上参与过与本项目相关系统类服务经验，且提供了相关工作经验证明或说明的，得1分，满分2分。（注：运维实施工程师低于2人的本项不得分）</w:t>
            </w:r>
          </w:p>
        </w:tc>
      </w:tr>
      <w:tr w14:paraId="4885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5" w:hRule="atLeast"/>
          <w:jc w:val="center"/>
        </w:trPr>
        <w:tc>
          <w:tcPr>
            <w:tcW w:w="172" w:type="pct"/>
            <w:vMerge w:val="continue"/>
            <w:vAlign w:val="center"/>
          </w:tcPr>
          <w:p w14:paraId="13181F43">
            <w:pPr>
              <w:ind w:firstLine="0" w:firstLineChars="0"/>
              <w:rPr>
                <w:rFonts w:ascii="Times New Roman" w:hAnsi="Times New Roman" w:cs="Times New Roman"/>
                <w:szCs w:val="21"/>
              </w:rPr>
            </w:pPr>
          </w:p>
        </w:tc>
        <w:tc>
          <w:tcPr>
            <w:tcW w:w="483" w:type="pct"/>
            <w:vMerge w:val="continue"/>
            <w:vAlign w:val="center"/>
          </w:tcPr>
          <w:p w14:paraId="6ACA4213">
            <w:pPr>
              <w:ind w:firstLine="0" w:firstLineChars="0"/>
              <w:rPr>
                <w:rFonts w:ascii="Times New Roman" w:hAnsi="Times New Roman" w:cs="Times New Roman"/>
                <w:szCs w:val="21"/>
              </w:rPr>
            </w:pPr>
          </w:p>
        </w:tc>
        <w:tc>
          <w:tcPr>
            <w:tcW w:w="1015" w:type="pct"/>
            <w:vMerge w:val="continue"/>
            <w:vAlign w:val="center"/>
          </w:tcPr>
          <w:p w14:paraId="7A837DA0">
            <w:pPr>
              <w:ind w:firstLine="0" w:firstLineChars="0"/>
              <w:jc w:val="center"/>
              <w:rPr>
                <w:rFonts w:hint="eastAsia" w:ascii="宋体" w:hAnsi="宋体" w:eastAsia="宋体" w:cs="宋体"/>
                <w:color w:val="auto"/>
                <w:szCs w:val="21"/>
              </w:rPr>
            </w:pPr>
          </w:p>
        </w:tc>
        <w:tc>
          <w:tcPr>
            <w:tcW w:w="3328" w:type="pct"/>
            <w:vAlign w:val="center"/>
          </w:tcPr>
          <w:p w14:paraId="7F7597F8">
            <w:pPr>
              <w:spacing w:line="240" w:lineRule="auto"/>
              <w:ind w:firstLine="0" w:firstLineChars="0"/>
              <w:rPr>
                <w:rFonts w:hint="eastAsia" w:ascii="宋体" w:hAnsi="宋体" w:eastAsia="宋体" w:cs="宋体"/>
                <w:b/>
                <w:bCs/>
                <w:color w:val="auto"/>
              </w:rPr>
            </w:pPr>
            <w:r>
              <w:rPr>
                <w:rFonts w:hint="eastAsia" w:ascii="宋体" w:hAnsi="宋体" w:eastAsia="宋体" w:cs="宋体"/>
                <w:b/>
                <w:bCs/>
                <w:color w:val="auto"/>
                <w:szCs w:val="21"/>
                <w:lang w:val="en-US" w:eastAsia="zh-CN"/>
              </w:rPr>
              <w:t>（</w:t>
            </w:r>
            <w:r>
              <w:rPr>
                <w:rFonts w:hint="eastAsia" w:ascii="宋体" w:hAnsi="宋体" w:cs="宋体"/>
                <w:b/>
                <w:bCs/>
                <w:color w:val="auto"/>
                <w:szCs w:val="21"/>
                <w:lang w:val="en-US" w:eastAsia="zh-CN"/>
              </w:rPr>
              <w:t>2</w:t>
            </w:r>
            <w:r>
              <w:rPr>
                <w:rFonts w:hint="eastAsia" w:ascii="宋体" w:hAnsi="宋体" w:eastAsia="宋体" w:cs="宋体"/>
                <w:b/>
                <w:bCs/>
                <w:color w:val="auto"/>
                <w:szCs w:val="21"/>
              </w:rPr>
              <w:t>）</w:t>
            </w:r>
            <w:r>
              <w:rPr>
                <w:rFonts w:hint="eastAsia" w:ascii="宋体" w:hAnsi="宋体" w:eastAsia="宋体" w:cs="宋体"/>
                <w:b/>
                <w:bCs/>
                <w:color w:val="auto"/>
              </w:rPr>
              <w:t>服务</w:t>
            </w:r>
            <w:r>
              <w:rPr>
                <w:rFonts w:hint="eastAsia" w:ascii="宋体" w:hAnsi="宋体" w:cs="宋体"/>
                <w:b/>
                <w:bCs/>
                <w:color w:val="auto"/>
                <w:lang w:val="en-US" w:eastAsia="zh-CN"/>
              </w:rPr>
              <w:t>承诺</w:t>
            </w:r>
            <w:r>
              <w:rPr>
                <w:rFonts w:hint="eastAsia" w:ascii="宋体" w:hAnsi="宋体" w:eastAsia="宋体" w:cs="宋体"/>
                <w:b/>
                <w:bCs/>
                <w:color w:val="auto"/>
              </w:rPr>
              <w:t>及保证措施评审评分</w:t>
            </w:r>
            <w:r>
              <w:rPr>
                <w:rFonts w:hint="eastAsia" w:ascii="宋体" w:hAnsi="宋体" w:eastAsia="宋体" w:cs="宋体"/>
                <w:b/>
                <w:bCs/>
                <w:color w:val="auto"/>
                <w:lang w:eastAsia="zh-CN"/>
              </w:rPr>
              <w:t>（</w:t>
            </w:r>
            <w:r>
              <w:rPr>
                <w:rFonts w:hint="eastAsia" w:ascii="宋体" w:hAnsi="宋体" w:eastAsia="宋体" w:cs="宋体"/>
                <w:b/>
                <w:bCs/>
                <w:color w:val="auto"/>
              </w:rPr>
              <w:t>满分</w:t>
            </w:r>
            <w:r>
              <w:rPr>
                <w:rFonts w:hint="eastAsia" w:ascii="宋体" w:hAnsi="宋体" w:cs="宋体"/>
                <w:b/>
                <w:bCs/>
                <w:color w:val="auto"/>
                <w:lang w:val="en-US" w:eastAsia="zh-CN"/>
              </w:rPr>
              <w:t>6</w:t>
            </w:r>
            <w:r>
              <w:rPr>
                <w:rFonts w:hint="eastAsia" w:ascii="宋体" w:hAnsi="宋体" w:eastAsia="宋体" w:cs="宋体"/>
                <w:b/>
                <w:bCs/>
                <w:color w:val="auto"/>
              </w:rPr>
              <w:t>分）</w:t>
            </w:r>
          </w:p>
          <w:p w14:paraId="20E1752A">
            <w:pPr>
              <w:spacing w:line="360" w:lineRule="auto"/>
              <w:ind w:firstLine="0" w:firstLineChars="0"/>
              <w:rPr>
                <w:rFonts w:hint="eastAsia" w:ascii="宋体" w:hAnsi="宋体" w:eastAsia="宋体" w:cs="宋体"/>
                <w:color w:val="auto"/>
              </w:rPr>
            </w:pPr>
            <w:r>
              <w:rPr>
                <w:rFonts w:hint="eastAsia" w:ascii="宋体" w:hAnsi="宋体" w:eastAsia="宋体" w:cs="宋体"/>
                <w:color w:val="auto"/>
                <w:lang w:val="en-US" w:eastAsia="zh-CN"/>
              </w:rPr>
              <w:t>根据投标人提供的</w:t>
            </w:r>
            <w:r>
              <w:rPr>
                <w:rFonts w:hint="eastAsia" w:ascii="宋体" w:hAnsi="宋体" w:eastAsia="宋体" w:cs="宋体"/>
                <w:color w:val="auto"/>
              </w:rPr>
              <w:t>服务承诺及保证措施</w:t>
            </w:r>
            <w:r>
              <w:rPr>
                <w:rFonts w:hint="eastAsia" w:ascii="宋体" w:hAnsi="宋体" w:eastAsia="宋体" w:cs="宋体"/>
                <w:b w:val="0"/>
                <w:bCs w:val="0"/>
                <w:color w:val="auto"/>
                <w:kern w:val="2"/>
                <w:sz w:val="21"/>
                <w:szCs w:val="22"/>
                <w:lang w:val="en-US" w:eastAsia="zh-CN" w:bidi="ar-SA"/>
              </w:rPr>
              <w:t>进行评审，内容包括但不限于：①服务质量承诺；②服务质量保证措施；③服务质量违约责任承诺。</w:t>
            </w:r>
          </w:p>
          <w:p w14:paraId="615E6A79">
            <w:pPr>
              <w:spacing w:line="360" w:lineRule="auto"/>
              <w:ind w:firstLine="0" w:firstLineChars="0"/>
              <w:rPr>
                <w:rFonts w:hint="eastAsia" w:ascii="宋体" w:hAnsi="宋体" w:eastAsia="宋体" w:cs="宋体"/>
                <w:color w:val="auto"/>
              </w:rPr>
            </w:pPr>
            <w:r>
              <w:rPr>
                <w:rFonts w:hint="eastAsia" w:ascii="宋体" w:hAnsi="宋体" w:eastAsia="宋体" w:cs="宋体"/>
                <w:color w:val="auto"/>
              </w:rPr>
              <w:t>根据投标人提交的上述内容进行综合评分，内容包括但不限于上述</w:t>
            </w:r>
            <w:r>
              <w:rPr>
                <w:rFonts w:hint="eastAsia" w:ascii="宋体" w:hAnsi="宋体" w:cs="宋体"/>
                <w:color w:val="auto"/>
                <w:lang w:val="en-US" w:eastAsia="zh-CN"/>
              </w:rPr>
              <w:t>3</w:t>
            </w:r>
            <w:r>
              <w:rPr>
                <w:rFonts w:hint="eastAsia" w:ascii="宋体" w:hAnsi="宋体" w:eastAsia="宋体" w:cs="宋体"/>
                <w:color w:val="auto"/>
              </w:rPr>
              <w:t>项内容。投标人提交符合招标文件要求的上述内容的得</w:t>
            </w:r>
            <w:r>
              <w:rPr>
                <w:rFonts w:hint="eastAsia" w:ascii="宋体" w:hAnsi="宋体" w:cs="宋体"/>
                <w:color w:val="auto"/>
                <w:lang w:val="en-US" w:eastAsia="zh-CN"/>
              </w:rPr>
              <w:t>6</w:t>
            </w:r>
            <w:r>
              <w:rPr>
                <w:rFonts w:hint="eastAsia" w:ascii="宋体" w:hAnsi="宋体" w:eastAsia="宋体" w:cs="宋体"/>
                <w:color w:val="auto"/>
              </w:rPr>
              <w:t>分；每缺少1项内容扣</w:t>
            </w:r>
            <w:r>
              <w:rPr>
                <w:rFonts w:hint="eastAsia" w:ascii="宋体" w:hAnsi="宋体" w:cs="宋体"/>
                <w:color w:val="auto"/>
                <w:lang w:val="en-US" w:eastAsia="zh-CN"/>
              </w:rPr>
              <w:t>2</w:t>
            </w:r>
            <w:r>
              <w:rPr>
                <w:rFonts w:hint="eastAsia" w:ascii="宋体" w:hAnsi="宋体" w:eastAsia="宋体" w:cs="宋体"/>
                <w:color w:val="auto"/>
              </w:rPr>
              <w:t>分，每有1项内容存在1处缺陷扣</w:t>
            </w:r>
            <w:r>
              <w:rPr>
                <w:rFonts w:hint="eastAsia" w:ascii="宋体" w:hAnsi="宋体" w:cs="宋体"/>
                <w:color w:val="auto"/>
                <w:lang w:val="en-US" w:eastAsia="zh-CN"/>
              </w:rPr>
              <w:t>1</w:t>
            </w:r>
            <w:r>
              <w:rPr>
                <w:rFonts w:hint="eastAsia" w:ascii="宋体" w:hAnsi="宋体" w:eastAsia="宋体" w:cs="宋体"/>
                <w:color w:val="auto"/>
              </w:rPr>
              <w:t>分。</w:t>
            </w:r>
          </w:p>
          <w:p w14:paraId="031A0337">
            <w:pPr>
              <w:spacing w:line="440" w:lineRule="exact"/>
              <w:ind w:firstLine="0" w:firstLineChars="0"/>
              <w:rPr>
                <w:rFonts w:hint="eastAsia" w:ascii="宋体" w:hAnsi="宋体" w:eastAsia="宋体" w:cs="宋体"/>
                <w:color w:val="auto"/>
              </w:rPr>
            </w:pPr>
            <w:r>
              <w:rPr>
                <w:rFonts w:hint="eastAsia" w:ascii="宋体" w:hAnsi="宋体" w:eastAsia="宋体" w:cs="宋体"/>
                <w:color w:val="auto"/>
              </w:rPr>
              <w:t>注：缺陷是指内容不符合项目实际要求、描述不详细、缺乏针对性、缺乏可操作性、不合理、内容前后相互矛盾、存在无法实现预期目标的风险等。</w:t>
            </w:r>
          </w:p>
        </w:tc>
      </w:tr>
      <w:tr w14:paraId="64D04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172" w:type="pct"/>
            <w:vMerge w:val="continue"/>
            <w:vAlign w:val="center"/>
          </w:tcPr>
          <w:p w14:paraId="2153B054">
            <w:pPr>
              <w:ind w:firstLine="0" w:firstLineChars="0"/>
              <w:rPr>
                <w:rFonts w:ascii="Times New Roman" w:hAnsi="Times New Roman" w:cs="Times New Roman"/>
                <w:szCs w:val="21"/>
              </w:rPr>
            </w:pPr>
          </w:p>
        </w:tc>
        <w:tc>
          <w:tcPr>
            <w:tcW w:w="483" w:type="pct"/>
            <w:vMerge w:val="continue"/>
            <w:vAlign w:val="center"/>
          </w:tcPr>
          <w:p w14:paraId="602E5DDF">
            <w:pPr>
              <w:ind w:firstLine="0" w:firstLineChars="0"/>
              <w:rPr>
                <w:rFonts w:ascii="Times New Roman" w:hAnsi="Times New Roman" w:cs="Times New Roman"/>
                <w:szCs w:val="21"/>
              </w:rPr>
            </w:pPr>
          </w:p>
        </w:tc>
        <w:tc>
          <w:tcPr>
            <w:tcW w:w="1015" w:type="pct"/>
            <w:vMerge w:val="continue"/>
            <w:vAlign w:val="center"/>
          </w:tcPr>
          <w:p w14:paraId="6E7383B8">
            <w:pPr>
              <w:ind w:firstLine="0" w:firstLineChars="0"/>
              <w:jc w:val="center"/>
              <w:rPr>
                <w:rFonts w:hint="eastAsia" w:ascii="宋体" w:hAnsi="宋体" w:eastAsia="宋体" w:cs="宋体"/>
                <w:color w:val="auto"/>
                <w:szCs w:val="21"/>
              </w:rPr>
            </w:pPr>
          </w:p>
        </w:tc>
        <w:tc>
          <w:tcPr>
            <w:tcW w:w="3328" w:type="pct"/>
            <w:vAlign w:val="center"/>
          </w:tcPr>
          <w:p w14:paraId="68A8ABE1">
            <w:pPr>
              <w:spacing w:line="360" w:lineRule="auto"/>
              <w:ind w:firstLine="0" w:firstLineChars="0"/>
              <w:rPr>
                <w:rFonts w:hint="eastAsia" w:ascii="宋体" w:hAnsi="宋体" w:eastAsia="宋体" w:cs="宋体"/>
                <w:b/>
                <w:bCs/>
                <w:color w:val="auto"/>
              </w:rPr>
            </w:pPr>
            <w:r>
              <w:rPr>
                <w:rFonts w:hint="eastAsia" w:ascii="宋体" w:hAnsi="宋体" w:eastAsia="宋体" w:cs="宋体"/>
                <w:b/>
                <w:bCs/>
                <w:color w:val="auto"/>
              </w:rPr>
              <w:t>（</w:t>
            </w:r>
            <w:r>
              <w:rPr>
                <w:rFonts w:hint="eastAsia" w:ascii="宋体" w:hAnsi="宋体" w:cs="宋体"/>
                <w:b/>
                <w:bCs/>
                <w:color w:val="auto"/>
                <w:lang w:val="en-US" w:eastAsia="zh-CN"/>
              </w:rPr>
              <w:t>3</w:t>
            </w:r>
            <w:r>
              <w:rPr>
                <w:rFonts w:hint="eastAsia" w:ascii="宋体" w:hAnsi="宋体" w:eastAsia="宋体" w:cs="宋体"/>
                <w:b/>
                <w:bCs/>
                <w:color w:val="auto"/>
              </w:rPr>
              <w:t>）投标人类似案例评审评分（满分</w:t>
            </w:r>
            <w:r>
              <w:rPr>
                <w:rFonts w:hint="eastAsia" w:ascii="宋体" w:hAnsi="宋体" w:cs="宋体"/>
                <w:b/>
                <w:bCs/>
                <w:color w:val="auto"/>
                <w:lang w:val="en-US" w:eastAsia="zh-CN"/>
              </w:rPr>
              <w:t>5</w:t>
            </w:r>
            <w:r>
              <w:rPr>
                <w:rFonts w:hint="eastAsia" w:ascii="宋体" w:hAnsi="宋体" w:eastAsia="宋体" w:cs="宋体"/>
                <w:b/>
                <w:bCs/>
                <w:color w:val="auto"/>
              </w:rPr>
              <w:t>分）</w:t>
            </w:r>
          </w:p>
          <w:p w14:paraId="2FEBE8D3">
            <w:pPr>
              <w:adjustRightInd/>
              <w:snapToGrid/>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根据投标人</w:t>
            </w:r>
            <w:r>
              <w:rPr>
                <w:rFonts w:hint="eastAsia" w:ascii="宋体" w:hAnsi="宋体" w:cs="宋体"/>
                <w:color w:val="auto"/>
                <w:lang w:val="en-US" w:eastAsia="zh-CN"/>
              </w:rPr>
              <w:t>在2022年1月至</w:t>
            </w:r>
            <w:r>
              <w:rPr>
                <w:rFonts w:hint="eastAsia" w:ascii="宋体" w:hAnsi="宋体" w:eastAsia="宋体" w:cs="宋体"/>
                <w:color w:val="auto"/>
                <w:szCs w:val="21"/>
              </w:rPr>
              <w:t>本项目</w:t>
            </w:r>
            <w:r>
              <w:rPr>
                <w:rFonts w:hint="eastAsia" w:ascii="宋体" w:hAnsi="宋体" w:eastAsia="宋体" w:cs="宋体"/>
                <w:bCs/>
                <w:color w:val="auto"/>
                <w:szCs w:val="21"/>
              </w:rPr>
              <w:t>投标截止之日</w:t>
            </w:r>
            <w:r>
              <w:rPr>
                <w:rFonts w:hint="eastAsia" w:ascii="宋体" w:hAnsi="宋体" w:eastAsia="宋体" w:cs="宋体"/>
                <w:color w:val="auto"/>
                <w:szCs w:val="21"/>
              </w:rPr>
              <w:t>前已完成或正在实施过程中的类似案例进行评价打分，每提供一个类似案例得</w:t>
            </w:r>
            <w:r>
              <w:rPr>
                <w:rFonts w:hint="eastAsia" w:ascii="宋体" w:hAnsi="宋体" w:cs="宋体"/>
                <w:color w:val="auto"/>
                <w:szCs w:val="21"/>
                <w:lang w:val="en-US" w:eastAsia="zh-CN"/>
              </w:rPr>
              <w:t>1</w:t>
            </w:r>
            <w:r>
              <w:rPr>
                <w:rFonts w:hint="eastAsia" w:ascii="宋体" w:hAnsi="宋体" w:eastAsia="宋体" w:cs="宋体"/>
                <w:color w:val="auto"/>
                <w:szCs w:val="21"/>
              </w:rPr>
              <w:t>分，</w:t>
            </w:r>
            <w:r>
              <w:rPr>
                <w:rFonts w:hint="eastAsia" w:ascii="宋体" w:hAnsi="宋体" w:eastAsia="宋体" w:cs="宋体"/>
                <w:color w:val="auto"/>
                <w:szCs w:val="21"/>
                <w:lang w:val="en-US" w:eastAsia="zh-CN"/>
              </w:rPr>
              <w:t>满分</w:t>
            </w:r>
            <w:r>
              <w:rPr>
                <w:rFonts w:hint="eastAsia" w:ascii="宋体" w:hAnsi="宋体" w:cs="宋体"/>
                <w:color w:val="auto"/>
                <w:szCs w:val="21"/>
                <w:lang w:val="en-US" w:eastAsia="zh-CN"/>
              </w:rPr>
              <w:t>5</w:t>
            </w:r>
            <w:r>
              <w:rPr>
                <w:rFonts w:hint="eastAsia" w:ascii="宋体" w:hAnsi="宋体" w:eastAsia="宋体" w:cs="宋体"/>
                <w:color w:val="auto"/>
                <w:szCs w:val="21"/>
                <w:lang w:val="en-US" w:eastAsia="zh-CN"/>
              </w:rPr>
              <w:t>分</w:t>
            </w:r>
            <w:r>
              <w:rPr>
                <w:rFonts w:hint="eastAsia" w:ascii="宋体" w:hAnsi="宋体" w:eastAsia="宋体" w:cs="宋体"/>
                <w:color w:val="auto"/>
                <w:szCs w:val="21"/>
              </w:rPr>
              <w:t>。</w:t>
            </w:r>
          </w:p>
          <w:p w14:paraId="331C3F87">
            <w:pPr>
              <w:spacing w:line="360" w:lineRule="auto"/>
              <w:ind w:firstLine="0" w:firstLineChars="0"/>
              <w:rPr>
                <w:rFonts w:hint="eastAsia" w:ascii="宋体" w:hAnsi="宋体" w:eastAsia="宋体" w:cs="宋体"/>
                <w:color w:val="auto"/>
                <w:szCs w:val="21"/>
              </w:rPr>
            </w:pPr>
            <w:r>
              <w:rPr>
                <w:rFonts w:hint="eastAsia" w:ascii="宋体" w:hAnsi="宋体" w:eastAsia="宋体" w:cs="宋体"/>
                <w:color w:val="auto"/>
                <w:szCs w:val="21"/>
              </w:rPr>
              <w:t>注：投标人须提供类似案例的合同或中标/成交通知书复印件/扫描件等证明材料，无证明材料或未按要求提供证明材料或证明材料无法体现内容的，不予认可。日期以合同签订日期或中标/成交通知书日期为准。</w:t>
            </w:r>
          </w:p>
        </w:tc>
      </w:tr>
    </w:tbl>
    <w:p w14:paraId="49525071">
      <w:pPr>
        <w:pStyle w:val="3"/>
        <w:spacing w:before="0" w:beforeLines="0"/>
        <w:rPr>
          <w:rFonts w:ascii="Times New Roman" w:hAnsi="Times New Roman" w:cs="Times New Roman"/>
        </w:rPr>
      </w:pPr>
      <w:r>
        <w:rPr>
          <w:rFonts w:ascii="Times New Roman" w:hAnsi="Times New Roman" w:cs="Times New Roman"/>
          <w:sz w:val="24"/>
          <w:szCs w:val="20"/>
        </w:rPr>
        <w:br w:type="page"/>
      </w:r>
      <w:bookmarkStart w:id="908" w:name="_Toc31045"/>
      <w:bookmarkStart w:id="909" w:name="OLE_LINK250"/>
      <w:r>
        <w:rPr>
          <w:rFonts w:ascii="Times New Roman" w:hAnsi="Times New Roman" w:cs="Times New Roman"/>
          <w:sz w:val="24"/>
          <w:szCs w:val="20"/>
        </w:rPr>
        <w:t>一、</w:t>
      </w:r>
      <w:r>
        <w:rPr>
          <w:rFonts w:ascii="Times New Roman" w:hAnsi="Times New Roman" w:cs="Times New Roman"/>
        </w:rPr>
        <w:t>评标方法</w:t>
      </w:r>
      <w:bookmarkEnd w:id="904"/>
      <w:bookmarkEnd w:id="905"/>
      <w:bookmarkEnd w:id="906"/>
      <w:bookmarkEnd w:id="907"/>
      <w:bookmarkEnd w:id="908"/>
    </w:p>
    <w:p w14:paraId="3E01D941">
      <w:pPr>
        <w:ind w:firstLine="420"/>
        <w:rPr>
          <w:rFonts w:ascii="Times New Roman" w:hAnsi="Times New Roman" w:cs="Times New Roman"/>
          <w:szCs w:val="21"/>
        </w:rPr>
      </w:pPr>
      <w:bookmarkStart w:id="910" w:name="OLE_LINK132"/>
      <w:r>
        <w:rPr>
          <w:rFonts w:ascii="Times New Roman" w:hAnsi="Times New Roman" w:cs="Times New Roman"/>
        </w:rPr>
        <w:t>根据《中华人民共和国政府</w:t>
      </w:r>
      <w:bookmarkStart w:id="911"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11"/>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10"/>
    <w:p w14:paraId="1B306461">
      <w:pPr>
        <w:pStyle w:val="3"/>
        <w:spacing w:before="0" w:beforeLines="0"/>
        <w:rPr>
          <w:rFonts w:ascii="Times New Roman" w:hAnsi="Times New Roman" w:cs="Times New Roman"/>
        </w:rPr>
      </w:pPr>
      <w:bookmarkStart w:id="912" w:name="_Toc68090069"/>
      <w:bookmarkStart w:id="913" w:name="_Toc5777"/>
      <w:bookmarkStart w:id="914" w:name="_Toc49935349"/>
      <w:bookmarkStart w:id="915" w:name="_Toc314817934"/>
      <w:bookmarkStart w:id="916" w:name="_Toc326218112"/>
      <w:bookmarkStart w:id="917" w:name="_Toc26783938"/>
      <w:bookmarkStart w:id="918" w:name="OLE_LINK133"/>
      <w:r>
        <w:rPr>
          <w:rFonts w:ascii="Times New Roman" w:hAnsi="Times New Roman" w:cs="Times New Roman"/>
        </w:rPr>
        <w:t>二、评审标准</w:t>
      </w:r>
      <w:bookmarkEnd w:id="912"/>
      <w:bookmarkEnd w:id="913"/>
      <w:bookmarkEnd w:id="914"/>
      <w:bookmarkEnd w:id="915"/>
      <w:bookmarkEnd w:id="916"/>
      <w:bookmarkEnd w:id="917"/>
    </w:p>
    <w:bookmarkEnd w:id="918"/>
    <w:p w14:paraId="4E396335">
      <w:pPr>
        <w:pStyle w:val="4"/>
        <w:spacing w:before="0" w:beforeLines="0"/>
        <w:ind w:firstLine="482"/>
        <w:rPr>
          <w:rFonts w:ascii="Times New Roman" w:hAnsi="Times New Roman" w:eastAsia="宋体" w:cs="Times New Roman"/>
        </w:rPr>
      </w:pPr>
      <w:bookmarkStart w:id="919" w:name="_Toc326218113"/>
      <w:bookmarkStart w:id="920" w:name="_Toc1424"/>
      <w:bookmarkStart w:id="921" w:name="_Toc26783939"/>
      <w:bookmarkStart w:id="922" w:name="_Toc314817935"/>
      <w:r>
        <w:rPr>
          <w:rFonts w:ascii="Times New Roman" w:hAnsi="Times New Roman" w:cs="Times New Roman"/>
        </w:rPr>
        <w:t>1.符合性评审标准</w:t>
      </w:r>
      <w:bookmarkEnd w:id="919"/>
      <w:bookmarkEnd w:id="920"/>
      <w:bookmarkEnd w:id="921"/>
      <w:bookmarkEnd w:id="922"/>
    </w:p>
    <w:p w14:paraId="1BC18001">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69577D2E">
      <w:pPr>
        <w:pStyle w:val="4"/>
        <w:spacing w:before="0" w:beforeLines="0"/>
        <w:ind w:firstLine="482"/>
        <w:rPr>
          <w:rFonts w:ascii="Times New Roman" w:hAnsi="Times New Roman" w:cs="Times New Roman"/>
        </w:rPr>
      </w:pPr>
      <w:bookmarkStart w:id="923" w:name="_Toc2207"/>
      <w:bookmarkStart w:id="924" w:name="_Toc314817936"/>
      <w:bookmarkStart w:id="925" w:name="_Toc26783940"/>
      <w:bookmarkStart w:id="926" w:name="_Toc326218114"/>
      <w:r>
        <w:rPr>
          <w:rFonts w:ascii="Times New Roman" w:hAnsi="Times New Roman" w:cs="Times New Roman"/>
        </w:rPr>
        <w:t>2.分值构成与评分标准</w:t>
      </w:r>
      <w:bookmarkEnd w:id="923"/>
      <w:bookmarkEnd w:id="924"/>
      <w:bookmarkEnd w:id="925"/>
      <w:bookmarkEnd w:id="926"/>
    </w:p>
    <w:p w14:paraId="2884AD9E">
      <w:pPr>
        <w:ind w:firstLine="420"/>
        <w:rPr>
          <w:rFonts w:ascii="Times New Roman" w:hAnsi="Times New Roman" w:cs="Times New Roman"/>
          <w:szCs w:val="21"/>
        </w:rPr>
      </w:pPr>
      <w:r>
        <w:rPr>
          <w:rFonts w:ascii="Times New Roman" w:hAnsi="Times New Roman" w:cs="Times New Roman"/>
        </w:rPr>
        <w:t>2.1分值构成</w:t>
      </w:r>
    </w:p>
    <w:p w14:paraId="50C0D3CF">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396B2B1C">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27" w:name="OLE_LINK255"/>
      <w:r>
        <w:rPr>
          <w:rFonts w:hint="eastAsia" w:ascii="Times New Roman" w:hAnsi="Times New Roman" w:cs="Times New Roman"/>
        </w:rPr>
        <w:t>。</w:t>
      </w:r>
    </w:p>
    <w:p w14:paraId="6964B340">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28" w:name="OLE_LINK254"/>
      <w:r>
        <w:rPr>
          <w:rFonts w:ascii="Times New Roman" w:hAnsi="Times New Roman" w:cs="Times New Roman"/>
        </w:rPr>
        <w:t>。</w:t>
      </w:r>
      <w:bookmarkEnd w:id="928"/>
    </w:p>
    <w:bookmarkEnd w:id="927"/>
    <w:p w14:paraId="7A3A1689">
      <w:pPr>
        <w:ind w:firstLine="420"/>
        <w:rPr>
          <w:rFonts w:ascii="Times New Roman" w:hAnsi="Times New Roman" w:cs="Times New Roman"/>
        </w:rPr>
      </w:pPr>
      <w:r>
        <w:rPr>
          <w:rFonts w:ascii="Times New Roman" w:hAnsi="Times New Roman" w:cs="Times New Roman"/>
        </w:rPr>
        <w:t>2.2评标基准价计算方法：见评标方法前附表。</w:t>
      </w:r>
    </w:p>
    <w:p w14:paraId="3B73C4A6">
      <w:pPr>
        <w:ind w:firstLine="420"/>
        <w:rPr>
          <w:rFonts w:ascii="Times New Roman" w:hAnsi="Times New Roman" w:cs="Times New Roman"/>
        </w:rPr>
      </w:pPr>
      <w:r>
        <w:rPr>
          <w:rFonts w:ascii="Times New Roman" w:hAnsi="Times New Roman" w:cs="Times New Roman"/>
        </w:rPr>
        <w:t>2.3评分标准</w:t>
      </w:r>
    </w:p>
    <w:p w14:paraId="2CAA9964">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3EE376A0">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0566190D">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210D0056">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65015A38">
      <w:pPr>
        <w:pStyle w:val="3"/>
        <w:spacing w:before="0" w:beforeLines="0"/>
        <w:rPr>
          <w:rFonts w:ascii="Times New Roman" w:hAnsi="Times New Roman" w:cs="Times New Roman"/>
        </w:rPr>
      </w:pPr>
      <w:bookmarkStart w:id="929" w:name="_Toc26783941"/>
      <w:bookmarkStart w:id="930" w:name="_Toc68090070"/>
      <w:bookmarkStart w:id="931" w:name="_Toc326218115"/>
      <w:bookmarkStart w:id="932" w:name="_Toc24893"/>
      <w:bookmarkStart w:id="933" w:name="_Toc314817937"/>
      <w:bookmarkStart w:id="934" w:name="_Toc49935350"/>
      <w:bookmarkStart w:id="935" w:name="OLE_LINK251"/>
      <w:r>
        <w:rPr>
          <w:rFonts w:ascii="Times New Roman" w:hAnsi="Times New Roman" w:cs="Times New Roman"/>
        </w:rPr>
        <w:t>三、评标程序</w:t>
      </w:r>
      <w:bookmarkEnd w:id="929"/>
      <w:bookmarkEnd w:id="930"/>
      <w:bookmarkEnd w:id="931"/>
      <w:bookmarkEnd w:id="932"/>
      <w:bookmarkEnd w:id="933"/>
      <w:bookmarkEnd w:id="934"/>
    </w:p>
    <w:p w14:paraId="6BD512F6">
      <w:pPr>
        <w:pStyle w:val="4"/>
        <w:spacing w:before="0" w:beforeLines="0"/>
        <w:ind w:firstLine="482"/>
        <w:rPr>
          <w:rFonts w:ascii="Times New Roman" w:hAnsi="Times New Roman" w:eastAsia="宋体" w:cs="Times New Roman"/>
        </w:rPr>
      </w:pPr>
      <w:bookmarkStart w:id="936" w:name="_Toc26783942"/>
      <w:bookmarkStart w:id="937" w:name="_Toc31789"/>
      <w:bookmarkStart w:id="938" w:name="_Toc314817938"/>
      <w:bookmarkStart w:id="939" w:name="_Toc326218116"/>
      <w:r>
        <w:rPr>
          <w:rFonts w:ascii="Times New Roman" w:hAnsi="Times New Roman" w:cs="Times New Roman"/>
        </w:rPr>
        <w:t>1.符合性评审</w:t>
      </w:r>
      <w:bookmarkEnd w:id="936"/>
      <w:bookmarkEnd w:id="937"/>
      <w:bookmarkEnd w:id="938"/>
      <w:bookmarkEnd w:id="939"/>
    </w:p>
    <w:p w14:paraId="1277462A">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09"/>
      <w:r>
        <w:rPr>
          <w:rFonts w:ascii="Times New Roman" w:hAnsi="Times New Roman" w:cs="Times New Roman"/>
        </w:rPr>
        <w:t>无效投标处理。</w:t>
      </w:r>
    </w:p>
    <w:p w14:paraId="56F6B961">
      <w:pPr>
        <w:ind w:firstLine="420"/>
        <w:rPr>
          <w:rFonts w:ascii="Times New Roman" w:hAnsi="Times New Roman" w:cs="Times New Roman"/>
        </w:rPr>
      </w:pPr>
      <w:r>
        <w:rPr>
          <w:rFonts w:ascii="Times New Roman" w:hAnsi="Times New Roman" w:cs="Times New Roman"/>
        </w:rPr>
        <w:t>1.2投标人有以下情形之一的，其投标作无效投标处理：</w:t>
      </w:r>
    </w:p>
    <w:p w14:paraId="6AF3DB93">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091C97AB">
      <w:pPr>
        <w:ind w:firstLine="420"/>
        <w:rPr>
          <w:rFonts w:ascii="Times New Roman" w:hAnsi="Times New Roman" w:cs="Times New Roman"/>
        </w:rPr>
      </w:pPr>
      <w:r>
        <w:rPr>
          <w:rFonts w:ascii="Times New Roman" w:hAnsi="Times New Roman" w:cs="Times New Roman"/>
        </w:rPr>
        <w:t>（2）不按评标委员会要求澄清、说明或补正的。</w:t>
      </w:r>
    </w:p>
    <w:p w14:paraId="3A3D75A8">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38BEE9FF">
      <w:pPr>
        <w:pStyle w:val="4"/>
        <w:spacing w:before="0" w:beforeLines="0"/>
        <w:ind w:firstLine="482"/>
        <w:rPr>
          <w:rFonts w:ascii="Times New Roman" w:hAnsi="Times New Roman" w:cs="Times New Roman"/>
        </w:rPr>
      </w:pPr>
      <w:bookmarkStart w:id="940" w:name="_Toc26783943"/>
      <w:bookmarkStart w:id="941" w:name="_Toc7794"/>
      <w:bookmarkStart w:id="942" w:name="_Toc314817939"/>
      <w:bookmarkStart w:id="943" w:name="_Toc326218117"/>
      <w:r>
        <w:rPr>
          <w:rFonts w:ascii="Times New Roman" w:hAnsi="Times New Roman" w:cs="Times New Roman"/>
        </w:rPr>
        <w:t>2.详细评审</w:t>
      </w:r>
      <w:bookmarkEnd w:id="940"/>
      <w:bookmarkEnd w:id="941"/>
      <w:bookmarkEnd w:id="942"/>
      <w:bookmarkEnd w:id="943"/>
    </w:p>
    <w:p w14:paraId="08FFD842">
      <w:pPr>
        <w:ind w:firstLine="420"/>
        <w:rPr>
          <w:rFonts w:ascii="Times New Roman" w:hAnsi="Times New Roman" w:cs="Times New Roman"/>
          <w:szCs w:val="21"/>
        </w:rPr>
      </w:pPr>
      <w:r>
        <w:rPr>
          <w:rFonts w:ascii="Times New Roman" w:hAnsi="Times New Roman" w:cs="Times New Roman"/>
        </w:rPr>
        <w:t>2.1评标委员会按本章</w:t>
      </w:r>
      <w:bookmarkStart w:id="944"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44"/>
      <w:r>
        <w:rPr>
          <w:rFonts w:ascii="Times New Roman" w:hAnsi="Times New Roman" w:cs="Times New Roman"/>
        </w:rPr>
        <w:t>规定的量化因素和分值进行打分，并计算出投标人的评标总得分。</w:t>
      </w:r>
    </w:p>
    <w:p w14:paraId="7440B8E3">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491AD773">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6B0236C0">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7F9FFEF5">
      <w:pPr>
        <w:ind w:firstLine="420"/>
        <w:rPr>
          <w:rFonts w:ascii="Times New Roman" w:hAnsi="Times New Roman" w:cs="Times New Roman"/>
        </w:rPr>
      </w:pPr>
      <w:r>
        <w:rPr>
          <w:rFonts w:ascii="Times New Roman" w:hAnsi="Times New Roman" w:cs="Times New Roman"/>
        </w:rPr>
        <w:t>（4）汇总F1、F2、F3得分即为评标总得分。</w:t>
      </w:r>
    </w:p>
    <w:p w14:paraId="0269E8CA">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552E9284">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7F7C2213">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5E2D5057">
      <w:pPr>
        <w:pStyle w:val="4"/>
        <w:spacing w:before="0" w:beforeLines="0"/>
        <w:ind w:firstLine="482"/>
        <w:rPr>
          <w:rFonts w:ascii="Times New Roman" w:hAnsi="Times New Roman" w:cs="Times New Roman"/>
        </w:rPr>
      </w:pPr>
      <w:bookmarkStart w:id="945" w:name="_Toc26783945"/>
      <w:bookmarkStart w:id="946" w:name="_Toc314817941"/>
      <w:bookmarkStart w:id="947" w:name="_Toc31258"/>
      <w:bookmarkStart w:id="948" w:name="_Toc326218119"/>
      <w:r>
        <w:rPr>
          <w:rFonts w:hint="eastAsia" w:ascii="Times New Roman" w:hAnsi="Times New Roman" w:cs="Times New Roman"/>
        </w:rPr>
        <w:t>3</w:t>
      </w:r>
      <w:r>
        <w:rPr>
          <w:rFonts w:ascii="Times New Roman" w:hAnsi="Times New Roman" w:cs="Times New Roman"/>
        </w:rPr>
        <w:t>.评标结果</w:t>
      </w:r>
      <w:bookmarkEnd w:id="945"/>
      <w:bookmarkEnd w:id="946"/>
      <w:bookmarkEnd w:id="947"/>
      <w:bookmarkEnd w:id="948"/>
    </w:p>
    <w:p w14:paraId="27563B7E">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49" w:name="OLE_LINK252"/>
      <w:r>
        <w:rPr>
          <w:rFonts w:ascii="Times New Roman" w:hAnsi="Times New Roman" w:cs="Times New Roman"/>
        </w:rPr>
        <w:t>并列</w:t>
      </w:r>
      <w:bookmarkEnd w:id="949"/>
      <w:r>
        <w:rPr>
          <w:rFonts w:ascii="Times New Roman" w:hAnsi="Times New Roman" w:cs="Times New Roman"/>
        </w:rPr>
        <w:t>。投标文件满足招标文件全部实质性要求，且按照评审因素的量化指标评审得分最高的投标人为排名第一的中标候选人。</w:t>
      </w:r>
    </w:p>
    <w:p w14:paraId="5ED27F68">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29B0D958">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44DC3CE3">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360AE355">
      <w:pPr>
        <w:pStyle w:val="3"/>
        <w:spacing w:before="0" w:beforeLines="0"/>
        <w:rPr>
          <w:rFonts w:ascii="Times New Roman" w:hAnsi="Times New Roman" w:cs="Times New Roman"/>
        </w:rPr>
      </w:pPr>
      <w:bookmarkStart w:id="950" w:name="_Toc68090071"/>
      <w:bookmarkStart w:id="951" w:name="_Toc26783946"/>
      <w:bookmarkStart w:id="952" w:name="_Toc3246"/>
      <w:bookmarkStart w:id="953" w:name="_Toc49935351"/>
      <w:r>
        <w:rPr>
          <w:rFonts w:ascii="Times New Roman" w:hAnsi="Times New Roman" w:cs="Times New Roman"/>
        </w:rPr>
        <w:t>四、</w:t>
      </w:r>
      <w:bookmarkStart w:id="954" w:name="OLE_LINK128"/>
      <w:r>
        <w:rPr>
          <w:rFonts w:ascii="Times New Roman" w:hAnsi="Times New Roman" w:cs="Times New Roman"/>
        </w:rPr>
        <w:t>其它</w:t>
      </w:r>
      <w:bookmarkEnd w:id="950"/>
      <w:bookmarkEnd w:id="951"/>
      <w:bookmarkEnd w:id="952"/>
      <w:bookmarkEnd w:id="953"/>
      <w:bookmarkStart w:id="955" w:name="OLE_LINK256"/>
    </w:p>
    <w:p w14:paraId="71701F55">
      <w:pPr>
        <w:pStyle w:val="4"/>
        <w:spacing w:before="0" w:beforeLines="0"/>
        <w:ind w:firstLine="482"/>
        <w:rPr>
          <w:rFonts w:ascii="Times New Roman" w:hAnsi="Times New Roman" w:eastAsia="宋体" w:cs="Times New Roman"/>
        </w:rPr>
      </w:pPr>
      <w:bookmarkStart w:id="956" w:name="_Toc26783947"/>
      <w:bookmarkStart w:id="957" w:name="_Toc23931"/>
      <w:bookmarkStart w:id="958" w:name="OLE_LINK134"/>
      <w:r>
        <w:rPr>
          <w:rFonts w:ascii="Times New Roman" w:hAnsi="Times New Roman" w:cs="Times New Roman"/>
        </w:rPr>
        <w:t>1.关于中小企业</w:t>
      </w:r>
      <w:bookmarkEnd w:id="956"/>
      <w:bookmarkEnd w:id="957"/>
    </w:p>
    <w:p w14:paraId="7AE56EEE">
      <w:pPr>
        <w:ind w:firstLine="420"/>
        <w:rPr>
          <w:rFonts w:ascii="Times New Roman" w:hAnsi="Times New Roman" w:cs="Times New Roman"/>
          <w:szCs w:val="21"/>
        </w:rPr>
      </w:pPr>
      <w:r>
        <w:rPr>
          <w:rFonts w:ascii="Times New Roman" w:hAnsi="Times New Roman" w:cs="Times New Roman"/>
        </w:rPr>
        <w:t>1.1根据《关</w:t>
      </w:r>
      <w:bookmarkEnd w:id="954"/>
      <w:r>
        <w:rPr>
          <w:rFonts w:ascii="Times New Roman" w:hAnsi="Times New Roman" w:cs="Times New Roman"/>
        </w:rPr>
        <w:t>于印发&lt;政府采购促进中小企业发展管理办法&gt;的通知》（财库〔2020〕46号）的规定，中小企业（含中型、小型、微型企业，下同）应当同时符合以下条件：</w:t>
      </w:r>
    </w:p>
    <w:p w14:paraId="0526CE7B">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28A64902">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64483FDD">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1CCBDB4C">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35"/>
    <w:p w14:paraId="1C70F986">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44E6CEDF">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1A665EF5">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4EB711E1">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652A5D6E">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19CFF212">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2A821C75">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356932B3">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7FF82F51">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05EC2CFF">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29C3FB5A">
      <w:pPr>
        <w:pStyle w:val="4"/>
        <w:spacing w:before="0" w:beforeLines="0"/>
        <w:ind w:firstLine="482"/>
        <w:rPr>
          <w:rFonts w:ascii="Times New Roman" w:hAnsi="Times New Roman" w:cs="Times New Roman"/>
        </w:rPr>
      </w:pPr>
      <w:bookmarkStart w:id="959" w:name="_Toc9702"/>
      <w:r>
        <w:rPr>
          <w:rFonts w:hint="eastAsia" w:ascii="Times New Roman" w:hAnsi="Times New Roman" w:cs="Times New Roman"/>
        </w:rPr>
        <w:t>2</w:t>
      </w:r>
      <w:r>
        <w:rPr>
          <w:rFonts w:ascii="Times New Roman" w:hAnsi="Times New Roman" w:cs="Times New Roman"/>
        </w:rPr>
        <w:t>.关于</w:t>
      </w:r>
      <w:bookmarkStart w:id="960" w:name="OLE_LINK135"/>
      <w:r>
        <w:rPr>
          <w:rFonts w:ascii="Times New Roman" w:hAnsi="Times New Roman" w:cs="Times New Roman"/>
        </w:rPr>
        <w:t>监狱企业</w:t>
      </w:r>
      <w:bookmarkEnd w:id="959"/>
      <w:bookmarkEnd w:id="960"/>
    </w:p>
    <w:p w14:paraId="497D4DDF">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1D16B4">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1B31E480">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2EF1646A">
      <w:pPr>
        <w:pStyle w:val="4"/>
        <w:spacing w:before="0" w:beforeLines="0"/>
        <w:ind w:firstLine="482"/>
        <w:rPr>
          <w:rFonts w:ascii="Times New Roman" w:hAnsi="Times New Roman" w:cs="Times New Roman"/>
        </w:rPr>
      </w:pPr>
      <w:bookmarkStart w:id="961" w:name="_Toc24291"/>
      <w:r>
        <w:rPr>
          <w:rFonts w:hint="eastAsia" w:ascii="Times New Roman" w:hAnsi="Times New Roman" w:cs="Times New Roman"/>
        </w:rPr>
        <w:t>3</w:t>
      </w:r>
      <w:r>
        <w:rPr>
          <w:rFonts w:ascii="Times New Roman" w:hAnsi="Times New Roman" w:cs="Times New Roman"/>
        </w:rPr>
        <w:t>.关于残疾人福利性单位</w:t>
      </w:r>
      <w:bookmarkEnd w:id="961"/>
    </w:p>
    <w:p w14:paraId="3B965E5E">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962" w:name="OLE_LINK35"/>
      <w:r>
        <w:rPr>
          <w:rFonts w:ascii="Times New Roman" w:hAnsi="Times New Roman" w:cs="Times New Roman"/>
        </w:rPr>
        <w:t>三部门联合发布关于促进残疾人就业政府采购政策的通知</w:t>
      </w:r>
      <w:bookmarkEnd w:id="962"/>
      <w:r>
        <w:rPr>
          <w:rFonts w:ascii="Times New Roman" w:hAnsi="Times New Roman" w:cs="Times New Roman"/>
        </w:rPr>
        <w:t>》（财库〔2017〕141号）提供规定的《残疾人福利性单位声明函》，并对声明的真实性负责。</w:t>
      </w:r>
    </w:p>
    <w:p w14:paraId="11BD7415">
      <w:pPr>
        <w:ind w:firstLine="420"/>
        <w:rPr>
          <w:rFonts w:ascii="Times New Roman" w:hAnsi="Times New Roman" w:cs="Times New Roman"/>
        </w:rPr>
      </w:pPr>
      <w:bookmarkStart w:id="963"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963"/>
    <w:p w14:paraId="3C9DB9C3">
      <w:pPr>
        <w:pStyle w:val="4"/>
        <w:spacing w:before="0" w:beforeLines="0"/>
        <w:ind w:firstLine="482"/>
        <w:rPr>
          <w:rFonts w:ascii="Times New Roman" w:hAnsi="Times New Roman" w:cs="Times New Roman"/>
        </w:rPr>
      </w:pPr>
      <w:bookmarkStart w:id="964" w:name="_Toc26783948"/>
      <w:bookmarkStart w:id="965" w:name="_Toc29987"/>
      <w:r>
        <w:rPr>
          <w:rFonts w:hint="eastAsia" w:ascii="Times New Roman" w:hAnsi="Times New Roman" w:cs="Times New Roman"/>
        </w:rPr>
        <w:t>4</w:t>
      </w:r>
      <w:r>
        <w:rPr>
          <w:rFonts w:ascii="Times New Roman" w:hAnsi="Times New Roman" w:cs="Times New Roman"/>
        </w:rPr>
        <w:t>.关于节能产品及环境标志产品</w:t>
      </w:r>
      <w:bookmarkEnd w:id="964"/>
      <w:bookmarkEnd w:id="965"/>
    </w:p>
    <w:p w14:paraId="62380371">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.1根据《财政部发展改革委生态环境部市场监管总局关于调整优化节能产品、环境标志产品政府采购执行机制的通知》（财库〔2019〕9号），对政府采购节能产品、环境标志产品实施品目清单管理。</w:t>
      </w:r>
    </w:p>
    <w:bookmarkEnd w:id="955"/>
    <w:p w14:paraId="690E16D5">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76AEAE4D">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3172DF5F">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F05FC27">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958"/>
    </w:p>
    <w:p w14:paraId="6B6892E3">
      <w:pPr>
        <w:widowControl/>
        <w:ind w:firstLine="0" w:firstLineChars="0"/>
        <w:rPr>
          <w:rFonts w:hint="eastAsia"/>
        </w:rPr>
      </w:pPr>
    </w:p>
    <w:p w14:paraId="2AAF0FC9">
      <w:pPr>
        <w:ind w:firstLine="420"/>
        <w:rPr>
          <w:rFonts w:hint="eastAsia"/>
        </w:rPr>
      </w:pPr>
    </w:p>
    <w:p w14:paraId="67B60C42"/>
    <w:sectPr>
      <w:footerReference r:id="rId18" w:type="default"/>
      <w:pgSz w:w="11906" w:h="16838"/>
      <w:pgMar w:top="1417" w:right="1417" w:bottom="1418" w:left="1417"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ingFang SC Regular">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Kingsoft U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 w:name="PingFang SC">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15FB5972">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0D02E">
    <w:pPr>
      <w:pStyle w:val="24"/>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7B104">
    <w:pPr>
      <w:pStyle w:val="24"/>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88F9C">
    <w:pPr>
      <w:pStyle w:val="24"/>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E03F5">
    <w:pPr>
      <w:pStyle w:val="24"/>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160F0">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79A92">
                          <w:pPr>
                            <w:pStyle w:val="24"/>
                            <w:ind w:firstLine="360"/>
                            <w:rPr>
                              <w:rFonts w:hint="eastAsia"/>
                            </w:rPr>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8579A92">
                    <w:pPr>
                      <w:pStyle w:val="24"/>
                      <w:ind w:firstLine="360"/>
                      <w:rPr>
                        <w:rFonts w:hint="eastAsia"/>
                      </w:rPr>
                    </w:pPr>
                    <w:r>
                      <w:fldChar w:fldCharType="begin"/>
                    </w:r>
                    <w:r>
                      <w:instrText xml:space="preserve"> PAGE  \* MERGEFORMAT </w:instrText>
                    </w:r>
                    <w:r>
                      <w:fldChar w:fldCharType="separate"/>
                    </w:r>
                    <w:r>
                      <w:t>68</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howingPlcHdr/>
    </w:sdtPr>
    <w:sdtContent>
      <w:p w14:paraId="79100484">
        <w:pPr>
          <w:pStyle w:val="24"/>
          <w:ind w:firstLine="360"/>
          <w:jc w:val="right"/>
          <w:rPr>
            <w:rFonts w:hint="eastAsia"/>
          </w:rPr>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40DC2">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3B729A">
                          <w:pPr>
                            <w:pStyle w:val="24"/>
                          </w:pPr>
                          <w:r>
                            <w:fldChar w:fldCharType="begin"/>
                          </w:r>
                          <w:r>
                            <w:instrText xml:space="preserve"> PAGE  \* MERGEFORMAT </w:instrText>
                          </w:r>
                          <w:r>
                            <w:fldChar w:fldCharType="separate"/>
                          </w:r>
                          <w:r>
                            <w:t>LVII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B3B729A">
                    <w:pPr>
                      <w:pStyle w:val="24"/>
                    </w:pPr>
                    <w:r>
                      <w:fldChar w:fldCharType="begin"/>
                    </w:r>
                    <w:r>
                      <w:instrText xml:space="preserve"> PAGE  \* MERGEFORMAT </w:instrText>
                    </w:r>
                    <w:r>
                      <w:fldChar w:fldCharType="separate"/>
                    </w:r>
                    <w:r>
                      <w:t>LVII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708E7">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01315">
                          <w:pPr>
                            <w:pStyle w:val="24"/>
                            <w:ind w:firstLine="360"/>
                            <w:rPr>
                              <w:rFonts w:hint="eastAsia"/>
                            </w:rPr>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2B01315">
                    <w:pPr>
                      <w:pStyle w:val="24"/>
                      <w:ind w:firstLine="360"/>
                      <w:rPr>
                        <w:rFonts w:hint="eastAsia"/>
                      </w:rPr>
                    </w:pPr>
                    <w:r>
                      <w:fldChar w:fldCharType="begin"/>
                    </w:r>
                    <w:r>
                      <w:instrText xml:space="preserve"> PAGE  \* MERGEFORMAT </w:instrText>
                    </w:r>
                    <w:r>
                      <w:fldChar w:fldCharType="separate"/>
                    </w:r>
                    <w:r>
                      <w:t>101</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020">
    <w:pPr>
      <w:ind w:left="420" w:firstLine="0" w:firstLineChars="0"/>
      <w:rPr>
        <w:rFonts w:hint="eastAsia"/>
      </w:rPr>
    </w:pPr>
    <w:r>
      <w:rPr>
        <w:rFonts w:hint="eastAsia"/>
        <w:sz w:val="16"/>
        <w:szCs w:val="16"/>
        <w:lang w:eastAsia="zh-CN"/>
      </w:rPr>
      <w:t xml:space="preserve">云南省体育彩票管理中心2025年数字可视化系统服务采购项目                </w:t>
    </w:r>
    <w:r>
      <w:rPr>
        <w:rFonts w:hint="eastAsia"/>
        <w:sz w:val="16"/>
        <w:szCs w:val="16"/>
        <w:lang w:val="en-US" w:eastAsia="zh-CN"/>
      </w:rPr>
      <w:t xml:space="preserve">                   </w:t>
    </w:r>
    <w:r>
      <w:rPr>
        <w:rFonts w:hint="eastAsia"/>
        <w:sz w:val="16"/>
        <w:szCs w:val="16"/>
        <w:lang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7E8D6">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93AE7">
    <w:pPr>
      <w:ind w:left="420" w:firstLine="0" w:firstLineChars="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A3A11">
    <w:pPr>
      <w:ind w:left="420"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51959">
    <w:pPr>
      <w:pBdr>
        <w:bottom w:val="single" w:color="auto" w:sz="4" w:space="0"/>
      </w:pBdr>
      <w:spacing w:line="240" w:lineRule="auto"/>
      <w:ind w:firstLine="0" w:firstLineChars="0"/>
      <w:rPr>
        <w:rFonts w:hint="eastAsia"/>
        <w:sz w:val="16"/>
        <w:szCs w:val="16"/>
      </w:rPr>
    </w:pPr>
  </w:p>
  <w:p w14:paraId="630A27F4">
    <w:pPr>
      <w:pBdr>
        <w:bottom w:val="single" w:color="auto" w:sz="4" w:space="0"/>
      </w:pBdr>
      <w:spacing w:line="240" w:lineRule="auto"/>
      <w:ind w:firstLine="0" w:firstLineChars="0"/>
      <w:rPr>
        <w:rFonts w:hint="eastAsia"/>
        <w:sz w:val="16"/>
        <w:szCs w:val="16"/>
      </w:rPr>
    </w:pPr>
    <w:r>
      <w:rPr>
        <w:rFonts w:hint="eastAsia"/>
        <w:sz w:val="16"/>
        <w:szCs w:val="16"/>
        <w:lang w:eastAsia="zh-CN"/>
      </w:rPr>
      <w:t xml:space="preserve">云南省体育彩票管理中心2025年数字可视化系统服务采购项目                </w:t>
    </w:r>
    <w:r>
      <w:rPr>
        <w:rFonts w:hint="eastAsia"/>
        <w:sz w:val="16"/>
        <w:szCs w:val="16"/>
        <w:lang w:val="en-US" w:eastAsia="zh-CN"/>
      </w:rPr>
      <w:t xml:space="preserve">                   </w:t>
    </w:r>
    <w:r>
      <w:rPr>
        <w:rFonts w:hint="eastAsia"/>
        <w:sz w:val="16"/>
        <w:szCs w:val="16"/>
        <w:lang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F2360ACE"/>
    <w:multiLevelType w:val="singleLevel"/>
    <w:tmpl w:val="F2360ACE"/>
    <w:lvl w:ilvl="0" w:tentative="0">
      <w:start w:val="13"/>
      <w:numFmt w:val="decimal"/>
      <w:suff w:val="space"/>
      <w:lvlText w:val="%1."/>
      <w:lvlJc w:val="left"/>
    </w:lvl>
  </w:abstractNum>
  <w:abstractNum w:abstractNumId="2">
    <w:nsid w:val="2EEA7C99"/>
    <w:multiLevelType w:val="multilevel"/>
    <w:tmpl w:val="2EEA7C99"/>
    <w:lvl w:ilvl="0" w:tentative="0">
      <w:start w:val="1"/>
      <w:numFmt w:val="decimal"/>
      <w:lvlText w:val="%1"/>
      <w:lvlJc w:val="center"/>
      <w:pPr>
        <w:ind w:left="420" w:hanging="420"/>
      </w:pPr>
      <w:rPr>
        <w:rFonts w:hint="eastAsia" w:ascii="黑体" w:hAnsi="黑体" w:eastAsia="黑体"/>
        <w:b/>
        <w:i w:val="0"/>
        <w:color w:val="auto"/>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UzY2YzNzZkNTNmYzQwNDAyYjg3YzM4Zjk0N2UwN2MifQ=="/>
    <w:docVar w:name="KSO_WPS_MARK_KEY" w:val="ec46965f-5e9d-43eb-8ddf-7c3c90c3a6e9"/>
  </w:docVars>
  <w:rsids>
    <w:rsidRoot w:val="00CD2FA8"/>
    <w:rsid w:val="00001109"/>
    <w:rsid w:val="00003633"/>
    <w:rsid w:val="00004EEE"/>
    <w:rsid w:val="00011673"/>
    <w:rsid w:val="00015731"/>
    <w:rsid w:val="00016FDB"/>
    <w:rsid w:val="00032C83"/>
    <w:rsid w:val="00034F32"/>
    <w:rsid w:val="00034F4A"/>
    <w:rsid w:val="000366D1"/>
    <w:rsid w:val="00041ECA"/>
    <w:rsid w:val="00054409"/>
    <w:rsid w:val="00056F1B"/>
    <w:rsid w:val="000638D2"/>
    <w:rsid w:val="00064FE2"/>
    <w:rsid w:val="0007335C"/>
    <w:rsid w:val="00074109"/>
    <w:rsid w:val="000A07AD"/>
    <w:rsid w:val="000A170B"/>
    <w:rsid w:val="000A49AD"/>
    <w:rsid w:val="000A56C1"/>
    <w:rsid w:val="000A6469"/>
    <w:rsid w:val="000A6A6D"/>
    <w:rsid w:val="000B07D4"/>
    <w:rsid w:val="000B3229"/>
    <w:rsid w:val="000B3A8A"/>
    <w:rsid w:val="000B447D"/>
    <w:rsid w:val="000B5DEB"/>
    <w:rsid w:val="000B7225"/>
    <w:rsid w:val="000C344C"/>
    <w:rsid w:val="000C4FD0"/>
    <w:rsid w:val="000C51C4"/>
    <w:rsid w:val="000D1A83"/>
    <w:rsid w:val="000D1CEF"/>
    <w:rsid w:val="000D3927"/>
    <w:rsid w:val="000E5016"/>
    <w:rsid w:val="000F3A41"/>
    <w:rsid w:val="00101932"/>
    <w:rsid w:val="00103897"/>
    <w:rsid w:val="00104124"/>
    <w:rsid w:val="0011059C"/>
    <w:rsid w:val="00114D4E"/>
    <w:rsid w:val="001155D4"/>
    <w:rsid w:val="0011760F"/>
    <w:rsid w:val="00124AC8"/>
    <w:rsid w:val="00130FF4"/>
    <w:rsid w:val="00134D40"/>
    <w:rsid w:val="00135135"/>
    <w:rsid w:val="0013704C"/>
    <w:rsid w:val="00137A7F"/>
    <w:rsid w:val="00141A65"/>
    <w:rsid w:val="0016529F"/>
    <w:rsid w:val="00175573"/>
    <w:rsid w:val="00175EE4"/>
    <w:rsid w:val="00182A35"/>
    <w:rsid w:val="00183D22"/>
    <w:rsid w:val="00195906"/>
    <w:rsid w:val="001A112D"/>
    <w:rsid w:val="001A26EC"/>
    <w:rsid w:val="001A5452"/>
    <w:rsid w:val="001A5E32"/>
    <w:rsid w:val="001B4BB0"/>
    <w:rsid w:val="001B6A2D"/>
    <w:rsid w:val="001B733E"/>
    <w:rsid w:val="001D222D"/>
    <w:rsid w:val="001D6E7C"/>
    <w:rsid w:val="001E08F0"/>
    <w:rsid w:val="001E14C6"/>
    <w:rsid w:val="001E5A4E"/>
    <w:rsid w:val="001E5C84"/>
    <w:rsid w:val="001F2FCA"/>
    <w:rsid w:val="0020171F"/>
    <w:rsid w:val="00205B78"/>
    <w:rsid w:val="00205F82"/>
    <w:rsid w:val="00214B28"/>
    <w:rsid w:val="00215771"/>
    <w:rsid w:val="00217ED2"/>
    <w:rsid w:val="0022181C"/>
    <w:rsid w:val="0023575A"/>
    <w:rsid w:val="00242DF8"/>
    <w:rsid w:val="00250F5C"/>
    <w:rsid w:val="002576C8"/>
    <w:rsid w:val="002601EB"/>
    <w:rsid w:val="00261AFD"/>
    <w:rsid w:val="00264BD8"/>
    <w:rsid w:val="002858D6"/>
    <w:rsid w:val="00285FC8"/>
    <w:rsid w:val="00286A2C"/>
    <w:rsid w:val="0028758B"/>
    <w:rsid w:val="002A57B2"/>
    <w:rsid w:val="002A736B"/>
    <w:rsid w:val="002B1902"/>
    <w:rsid w:val="002B1EFB"/>
    <w:rsid w:val="002B3976"/>
    <w:rsid w:val="002B4A07"/>
    <w:rsid w:val="002B5202"/>
    <w:rsid w:val="002B5F62"/>
    <w:rsid w:val="002C0774"/>
    <w:rsid w:val="002C0E21"/>
    <w:rsid w:val="002C4449"/>
    <w:rsid w:val="002D41A6"/>
    <w:rsid w:val="002E70C1"/>
    <w:rsid w:val="002F1A29"/>
    <w:rsid w:val="002F2FE9"/>
    <w:rsid w:val="00303F39"/>
    <w:rsid w:val="0032762A"/>
    <w:rsid w:val="00327E13"/>
    <w:rsid w:val="003343BA"/>
    <w:rsid w:val="00336081"/>
    <w:rsid w:val="003452B1"/>
    <w:rsid w:val="003461CA"/>
    <w:rsid w:val="00350EB3"/>
    <w:rsid w:val="00352CA7"/>
    <w:rsid w:val="00360CC5"/>
    <w:rsid w:val="003619DA"/>
    <w:rsid w:val="0037126E"/>
    <w:rsid w:val="003737D6"/>
    <w:rsid w:val="003927D8"/>
    <w:rsid w:val="003A33AE"/>
    <w:rsid w:val="003A3D97"/>
    <w:rsid w:val="003B782C"/>
    <w:rsid w:val="003D017F"/>
    <w:rsid w:val="003D0D16"/>
    <w:rsid w:val="003D17C0"/>
    <w:rsid w:val="003D1B24"/>
    <w:rsid w:val="003D4BFD"/>
    <w:rsid w:val="003E387A"/>
    <w:rsid w:val="003E64B3"/>
    <w:rsid w:val="003F0524"/>
    <w:rsid w:val="003F0F6B"/>
    <w:rsid w:val="003F477F"/>
    <w:rsid w:val="003F4B34"/>
    <w:rsid w:val="004108ED"/>
    <w:rsid w:val="004128B0"/>
    <w:rsid w:val="004136AB"/>
    <w:rsid w:val="0042371A"/>
    <w:rsid w:val="00425EE3"/>
    <w:rsid w:val="00432A85"/>
    <w:rsid w:val="00444F9F"/>
    <w:rsid w:val="004531F0"/>
    <w:rsid w:val="00453C5E"/>
    <w:rsid w:val="00455B73"/>
    <w:rsid w:val="00457366"/>
    <w:rsid w:val="00457A5D"/>
    <w:rsid w:val="00461C71"/>
    <w:rsid w:val="00471AA1"/>
    <w:rsid w:val="00491E0D"/>
    <w:rsid w:val="004A0D58"/>
    <w:rsid w:val="004A1CCB"/>
    <w:rsid w:val="004C0B33"/>
    <w:rsid w:val="004C3A8C"/>
    <w:rsid w:val="004C4479"/>
    <w:rsid w:val="004D0125"/>
    <w:rsid w:val="004D3D3C"/>
    <w:rsid w:val="004D4748"/>
    <w:rsid w:val="004D4E4B"/>
    <w:rsid w:val="004E5878"/>
    <w:rsid w:val="004F02B1"/>
    <w:rsid w:val="00507398"/>
    <w:rsid w:val="00507F90"/>
    <w:rsid w:val="00526888"/>
    <w:rsid w:val="00535AB4"/>
    <w:rsid w:val="00535FB3"/>
    <w:rsid w:val="005434A3"/>
    <w:rsid w:val="00550D63"/>
    <w:rsid w:val="00552F9D"/>
    <w:rsid w:val="005548B0"/>
    <w:rsid w:val="005778EE"/>
    <w:rsid w:val="005842AF"/>
    <w:rsid w:val="00586FEC"/>
    <w:rsid w:val="005875A8"/>
    <w:rsid w:val="00590484"/>
    <w:rsid w:val="005A35A2"/>
    <w:rsid w:val="005A6658"/>
    <w:rsid w:val="005A775D"/>
    <w:rsid w:val="005B0346"/>
    <w:rsid w:val="005B31E5"/>
    <w:rsid w:val="005D4603"/>
    <w:rsid w:val="005D60D2"/>
    <w:rsid w:val="005D6F14"/>
    <w:rsid w:val="005E7BE8"/>
    <w:rsid w:val="0060374C"/>
    <w:rsid w:val="006149F2"/>
    <w:rsid w:val="00614F0C"/>
    <w:rsid w:val="00621C19"/>
    <w:rsid w:val="00636673"/>
    <w:rsid w:val="0064100A"/>
    <w:rsid w:val="00646AD2"/>
    <w:rsid w:val="0066254F"/>
    <w:rsid w:val="006646B5"/>
    <w:rsid w:val="00672786"/>
    <w:rsid w:val="006756D5"/>
    <w:rsid w:val="006959E2"/>
    <w:rsid w:val="006A083A"/>
    <w:rsid w:val="006A1F7A"/>
    <w:rsid w:val="006A7603"/>
    <w:rsid w:val="006A7782"/>
    <w:rsid w:val="006B4292"/>
    <w:rsid w:val="006C022A"/>
    <w:rsid w:val="006C1860"/>
    <w:rsid w:val="006C2601"/>
    <w:rsid w:val="006E5D09"/>
    <w:rsid w:val="006F0752"/>
    <w:rsid w:val="006F1095"/>
    <w:rsid w:val="006F6CED"/>
    <w:rsid w:val="006F6F8D"/>
    <w:rsid w:val="00703123"/>
    <w:rsid w:val="00711F23"/>
    <w:rsid w:val="00712B4B"/>
    <w:rsid w:val="0071405D"/>
    <w:rsid w:val="00717FE6"/>
    <w:rsid w:val="00722BE4"/>
    <w:rsid w:val="0072493D"/>
    <w:rsid w:val="007262A4"/>
    <w:rsid w:val="00734B4D"/>
    <w:rsid w:val="00736312"/>
    <w:rsid w:val="007365F1"/>
    <w:rsid w:val="00746000"/>
    <w:rsid w:val="0076110F"/>
    <w:rsid w:val="00792113"/>
    <w:rsid w:val="00793A24"/>
    <w:rsid w:val="007A04E6"/>
    <w:rsid w:val="007B2C13"/>
    <w:rsid w:val="007B48AB"/>
    <w:rsid w:val="007B71B5"/>
    <w:rsid w:val="007B7CC5"/>
    <w:rsid w:val="007C0F2D"/>
    <w:rsid w:val="007C548A"/>
    <w:rsid w:val="007D36DD"/>
    <w:rsid w:val="007D701B"/>
    <w:rsid w:val="007E2343"/>
    <w:rsid w:val="007F3A6B"/>
    <w:rsid w:val="007F7CFD"/>
    <w:rsid w:val="00800690"/>
    <w:rsid w:val="00800F00"/>
    <w:rsid w:val="00811F2F"/>
    <w:rsid w:val="0081289C"/>
    <w:rsid w:val="00816543"/>
    <w:rsid w:val="00821ADA"/>
    <w:rsid w:val="00840472"/>
    <w:rsid w:val="00840596"/>
    <w:rsid w:val="00840640"/>
    <w:rsid w:val="00844E48"/>
    <w:rsid w:val="00845314"/>
    <w:rsid w:val="008472E1"/>
    <w:rsid w:val="00851619"/>
    <w:rsid w:val="00857CDA"/>
    <w:rsid w:val="00864549"/>
    <w:rsid w:val="00876F8C"/>
    <w:rsid w:val="00891500"/>
    <w:rsid w:val="0089189B"/>
    <w:rsid w:val="0089448C"/>
    <w:rsid w:val="00896F37"/>
    <w:rsid w:val="008A23E8"/>
    <w:rsid w:val="008B5F78"/>
    <w:rsid w:val="008B6DF9"/>
    <w:rsid w:val="008C0CA3"/>
    <w:rsid w:val="008C6F54"/>
    <w:rsid w:val="008D4767"/>
    <w:rsid w:val="008D64DE"/>
    <w:rsid w:val="008E4028"/>
    <w:rsid w:val="008E5E0C"/>
    <w:rsid w:val="008F4AD8"/>
    <w:rsid w:val="00905512"/>
    <w:rsid w:val="0090649C"/>
    <w:rsid w:val="00907EEF"/>
    <w:rsid w:val="00921DC1"/>
    <w:rsid w:val="009277C0"/>
    <w:rsid w:val="00933998"/>
    <w:rsid w:val="00935EB6"/>
    <w:rsid w:val="0094226F"/>
    <w:rsid w:val="00942ECE"/>
    <w:rsid w:val="00946B8C"/>
    <w:rsid w:val="009502EA"/>
    <w:rsid w:val="0095072C"/>
    <w:rsid w:val="00963EF8"/>
    <w:rsid w:val="00966230"/>
    <w:rsid w:val="00971205"/>
    <w:rsid w:val="009775DD"/>
    <w:rsid w:val="00980A9B"/>
    <w:rsid w:val="009828A6"/>
    <w:rsid w:val="00987EB5"/>
    <w:rsid w:val="00990373"/>
    <w:rsid w:val="0099341E"/>
    <w:rsid w:val="009A32A5"/>
    <w:rsid w:val="009A4AD4"/>
    <w:rsid w:val="009B2184"/>
    <w:rsid w:val="009B46E3"/>
    <w:rsid w:val="009C0311"/>
    <w:rsid w:val="009D11BE"/>
    <w:rsid w:val="009D29F3"/>
    <w:rsid w:val="009E2FD2"/>
    <w:rsid w:val="009F4C1B"/>
    <w:rsid w:val="00A02F1D"/>
    <w:rsid w:val="00A03516"/>
    <w:rsid w:val="00A05F60"/>
    <w:rsid w:val="00A11936"/>
    <w:rsid w:val="00A12F54"/>
    <w:rsid w:val="00A15608"/>
    <w:rsid w:val="00A36597"/>
    <w:rsid w:val="00A42017"/>
    <w:rsid w:val="00A5334F"/>
    <w:rsid w:val="00A5455D"/>
    <w:rsid w:val="00A641FB"/>
    <w:rsid w:val="00A72560"/>
    <w:rsid w:val="00A75563"/>
    <w:rsid w:val="00A845F4"/>
    <w:rsid w:val="00A8483A"/>
    <w:rsid w:val="00A87A8D"/>
    <w:rsid w:val="00A90B02"/>
    <w:rsid w:val="00AA5440"/>
    <w:rsid w:val="00AA58EC"/>
    <w:rsid w:val="00AB53E6"/>
    <w:rsid w:val="00AB7BAD"/>
    <w:rsid w:val="00AC0896"/>
    <w:rsid w:val="00AD5F2D"/>
    <w:rsid w:val="00AD7048"/>
    <w:rsid w:val="00AF0D27"/>
    <w:rsid w:val="00AF285D"/>
    <w:rsid w:val="00B076DC"/>
    <w:rsid w:val="00B1548B"/>
    <w:rsid w:val="00B22DBF"/>
    <w:rsid w:val="00B24226"/>
    <w:rsid w:val="00B27E74"/>
    <w:rsid w:val="00B31FF9"/>
    <w:rsid w:val="00B52690"/>
    <w:rsid w:val="00B63DE5"/>
    <w:rsid w:val="00B66753"/>
    <w:rsid w:val="00B72EB4"/>
    <w:rsid w:val="00B909A4"/>
    <w:rsid w:val="00B91212"/>
    <w:rsid w:val="00BA1308"/>
    <w:rsid w:val="00BA1F98"/>
    <w:rsid w:val="00BA3748"/>
    <w:rsid w:val="00BB0938"/>
    <w:rsid w:val="00BB6E55"/>
    <w:rsid w:val="00BD02EE"/>
    <w:rsid w:val="00BD0902"/>
    <w:rsid w:val="00BD3D62"/>
    <w:rsid w:val="00BD6DEF"/>
    <w:rsid w:val="00BE3C6C"/>
    <w:rsid w:val="00BE79D0"/>
    <w:rsid w:val="00BE7F7C"/>
    <w:rsid w:val="00BF5745"/>
    <w:rsid w:val="00C01361"/>
    <w:rsid w:val="00C04173"/>
    <w:rsid w:val="00C11040"/>
    <w:rsid w:val="00C166CB"/>
    <w:rsid w:val="00C20124"/>
    <w:rsid w:val="00C3738F"/>
    <w:rsid w:val="00C376B3"/>
    <w:rsid w:val="00C51191"/>
    <w:rsid w:val="00C60212"/>
    <w:rsid w:val="00C77E0A"/>
    <w:rsid w:val="00C803CE"/>
    <w:rsid w:val="00C86761"/>
    <w:rsid w:val="00C86F4F"/>
    <w:rsid w:val="00C958DD"/>
    <w:rsid w:val="00CB1EB4"/>
    <w:rsid w:val="00CC1347"/>
    <w:rsid w:val="00CD2FA8"/>
    <w:rsid w:val="00CD3B67"/>
    <w:rsid w:val="00CD747C"/>
    <w:rsid w:val="00CF4EA7"/>
    <w:rsid w:val="00CF5F6B"/>
    <w:rsid w:val="00D10420"/>
    <w:rsid w:val="00D21054"/>
    <w:rsid w:val="00D27A8F"/>
    <w:rsid w:val="00D27DBA"/>
    <w:rsid w:val="00D3036A"/>
    <w:rsid w:val="00D3378A"/>
    <w:rsid w:val="00D356AC"/>
    <w:rsid w:val="00D42C84"/>
    <w:rsid w:val="00D4575B"/>
    <w:rsid w:val="00D46BA3"/>
    <w:rsid w:val="00D54915"/>
    <w:rsid w:val="00D55B22"/>
    <w:rsid w:val="00D65011"/>
    <w:rsid w:val="00D65345"/>
    <w:rsid w:val="00D751F4"/>
    <w:rsid w:val="00D95194"/>
    <w:rsid w:val="00DA2508"/>
    <w:rsid w:val="00DB16F4"/>
    <w:rsid w:val="00DE45E8"/>
    <w:rsid w:val="00DF5CF0"/>
    <w:rsid w:val="00DF71A7"/>
    <w:rsid w:val="00DF7C12"/>
    <w:rsid w:val="00E00185"/>
    <w:rsid w:val="00E01DF7"/>
    <w:rsid w:val="00E03B94"/>
    <w:rsid w:val="00E04464"/>
    <w:rsid w:val="00E117FB"/>
    <w:rsid w:val="00E259A7"/>
    <w:rsid w:val="00E32ACE"/>
    <w:rsid w:val="00E32D5A"/>
    <w:rsid w:val="00E378CB"/>
    <w:rsid w:val="00E4193D"/>
    <w:rsid w:val="00E447D0"/>
    <w:rsid w:val="00E57969"/>
    <w:rsid w:val="00E7638A"/>
    <w:rsid w:val="00E77CAB"/>
    <w:rsid w:val="00E831D7"/>
    <w:rsid w:val="00E84A63"/>
    <w:rsid w:val="00E962B4"/>
    <w:rsid w:val="00EA4748"/>
    <w:rsid w:val="00EB047F"/>
    <w:rsid w:val="00EB0E64"/>
    <w:rsid w:val="00EC28AB"/>
    <w:rsid w:val="00EC622C"/>
    <w:rsid w:val="00ED5986"/>
    <w:rsid w:val="00ED7103"/>
    <w:rsid w:val="00EE485B"/>
    <w:rsid w:val="00EE7D15"/>
    <w:rsid w:val="00F2012D"/>
    <w:rsid w:val="00F326A5"/>
    <w:rsid w:val="00F4272D"/>
    <w:rsid w:val="00F44298"/>
    <w:rsid w:val="00F443E8"/>
    <w:rsid w:val="00F46D15"/>
    <w:rsid w:val="00F477BA"/>
    <w:rsid w:val="00F50FEA"/>
    <w:rsid w:val="00F5237D"/>
    <w:rsid w:val="00F52858"/>
    <w:rsid w:val="00F7003D"/>
    <w:rsid w:val="00F7186C"/>
    <w:rsid w:val="00F730D1"/>
    <w:rsid w:val="00F8231B"/>
    <w:rsid w:val="00F864D4"/>
    <w:rsid w:val="00F87C65"/>
    <w:rsid w:val="00FA7E7C"/>
    <w:rsid w:val="00FB3D46"/>
    <w:rsid w:val="00FB68EC"/>
    <w:rsid w:val="00FC275F"/>
    <w:rsid w:val="00FC4918"/>
    <w:rsid w:val="00FD0C9D"/>
    <w:rsid w:val="00FD4C48"/>
    <w:rsid w:val="00FE1D12"/>
    <w:rsid w:val="01037E18"/>
    <w:rsid w:val="01176EA7"/>
    <w:rsid w:val="0140576A"/>
    <w:rsid w:val="014B08FF"/>
    <w:rsid w:val="014D28C9"/>
    <w:rsid w:val="01514167"/>
    <w:rsid w:val="01567567"/>
    <w:rsid w:val="016C7665"/>
    <w:rsid w:val="01794DA7"/>
    <w:rsid w:val="01795731"/>
    <w:rsid w:val="017C0D7B"/>
    <w:rsid w:val="01826A17"/>
    <w:rsid w:val="018C33F1"/>
    <w:rsid w:val="01A52705"/>
    <w:rsid w:val="01A71FD9"/>
    <w:rsid w:val="01BA61B0"/>
    <w:rsid w:val="01BB2394"/>
    <w:rsid w:val="01CC0163"/>
    <w:rsid w:val="01D17056"/>
    <w:rsid w:val="01DB6577"/>
    <w:rsid w:val="01E66FA5"/>
    <w:rsid w:val="01E75FCB"/>
    <w:rsid w:val="01E90E06"/>
    <w:rsid w:val="01E943A0"/>
    <w:rsid w:val="01EA5D5E"/>
    <w:rsid w:val="01EE19B6"/>
    <w:rsid w:val="02035B8A"/>
    <w:rsid w:val="02056D00"/>
    <w:rsid w:val="020D67F7"/>
    <w:rsid w:val="02100BC5"/>
    <w:rsid w:val="02117D9A"/>
    <w:rsid w:val="02191E9F"/>
    <w:rsid w:val="021F4265"/>
    <w:rsid w:val="02226E4D"/>
    <w:rsid w:val="02327E75"/>
    <w:rsid w:val="02331ABF"/>
    <w:rsid w:val="025838F2"/>
    <w:rsid w:val="025F49B5"/>
    <w:rsid w:val="026B1259"/>
    <w:rsid w:val="02897931"/>
    <w:rsid w:val="02963835"/>
    <w:rsid w:val="029A38EC"/>
    <w:rsid w:val="029F7154"/>
    <w:rsid w:val="02A40196"/>
    <w:rsid w:val="02A76663"/>
    <w:rsid w:val="02AA76D0"/>
    <w:rsid w:val="02AD1871"/>
    <w:rsid w:val="02C5017A"/>
    <w:rsid w:val="02D54924"/>
    <w:rsid w:val="02DE3EE6"/>
    <w:rsid w:val="02E62FD5"/>
    <w:rsid w:val="02EE59E6"/>
    <w:rsid w:val="02FE3E7B"/>
    <w:rsid w:val="03013A68"/>
    <w:rsid w:val="030A0A72"/>
    <w:rsid w:val="030B6598"/>
    <w:rsid w:val="0314369E"/>
    <w:rsid w:val="03157416"/>
    <w:rsid w:val="03215DBB"/>
    <w:rsid w:val="032627EC"/>
    <w:rsid w:val="03272D2E"/>
    <w:rsid w:val="0328539C"/>
    <w:rsid w:val="032D650E"/>
    <w:rsid w:val="03365E29"/>
    <w:rsid w:val="033B4C47"/>
    <w:rsid w:val="033C49A3"/>
    <w:rsid w:val="033E071B"/>
    <w:rsid w:val="033F6241"/>
    <w:rsid w:val="03465822"/>
    <w:rsid w:val="034F2928"/>
    <w:rsid w:val="0350044F"/>
    <w:rsid w:val="035166A0"/>
    <w:rsid w:val="0375224D"/>
    <w:rsid w:val="037A1426"/>
    <w:rsid w:val="037D56E7"/>
    <w:rsid w:val="03863E70"/>
    <w:rsid w:val="039262B2"/>
    <w:rsid w:val="03962305"/>
    <w:rsid w:val="03AE0BF2"/>
    <w:rsid w:val="03B81CBE"/>
    <w:rsid w:val="03B86720"/>
    <w:rsid w:val="03C52BEB"/>
    <w:rsid w:val="03C535CA"/>
    <w:rsid w:val="03CA1FAF"/>
    <w:rsid w:val="03D154A3"/>
    <w:rsid w:val="03DA48E8"/>
    <w:rsid w:val="03DD4B8B"/>
    <w:rsid w:val="03E66A74"/>
    <w:rsid w:val="03E94B2B"/>
    <w:rsid w:val="03EC4FE5"/>
    <w:rsid w:val="03F94141"/>
    <w:rsid w:val="03F96DFC"/>
    <w:rsid w:val="03FA2681"/>
    <w:rsid w:val="03FE7EAB"/>
    <w:rsid w:val="040E23F5"/>
    <w:rsid w:val="040F3E66"/>
    <w:rsid w:val="04154F04"/>
    <w:rsid w:val="041F5852"/>
    <w:rsid w:val="042747BE"/>
    <w:rsid w:val="04382651"/>
    <w:rsid w:val="04470EA6"/>
    <w:rsid w:val="044B5C73"/>
    <w:rsid w:val="044E2BE0"/>
    <w:rsid w:val="046E5C42"/>
    <w:rsid w:val="047563BF"/>
    <w:rsid w:val="048C7171"/>
    <w:rsid w:val="049D20AA"/>
    <w:rsid w:val="04AC5B58"/>
    <w:rsid w:val="04B30C95"/>
    <w:rsid w:val="04B97124"/>
    <w:rsid w:val="04BD0123"/>
    <w:rsid w:val="04C60968"/>
    <w:rsid w:val="04D31337"/>
    <w:rsid w:val="04E452F2"/>
    <w:rsid w:val="04EE7F1F"/>
    <w:rsid w:val="04F01EE9"/>
    <w:rsid w:val="04F26A8D"/>
    <w:rsid w:val="04F75026"/>
    <w:rsid w:val="04F847E8"/>
    <w:rsid w:val="05047743"/>
    <w:rsid w:val="05280385"/>
    <w:rsid w:val="052B764F"/>
    <w:rsid w:val="05367336"/>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C559F"/>
    <w:rsid w:val="066E1317"/>
    <w:rsid w:val="066E57BB"/>
    <w:rsid w:val="06A66D03"/>
    <w:rsid w:val="06BA630B"/>
    <w:rsid w:val="06C76316"/>
    <w:rsid w:val="06CC4290"/>
    <w:rsid w:val="06D870D9"/>
    <w:rsid w:val="06DD024B"/>
    <w:rsid w:val="06E24AE3"/>
    <w:rsid w:val="06E97873"/>
    <w:rsid w:val="06EB2968"/>
    <w:rsid w:val="06FF01C2"/>
    <w:rsid w:val="070120E7"/>
    <w:rsid w:val="07013F3A"/>
    <w:rsid w:val="07027CB2"/>
    <w:rsid w:val="07035F04"/>
    <w:rsid w:val="070C28DE"/>
    <w:rsid w:val="07123597"/>
    <w:rsid w:val="072B691C"/>
    <w:rsid w:val="0733430F"/>
    <w:rsid w:val="073F0499"/>
    <w:rsid w:val="074B78AB"/>
    <w:rsid w:val="07666493"/>
    <w:rsid w:val="077A1F3E"/>
    <w:rsid w:val="07874C83"/>
    <w:rsid w:val="07911761"/>
    <w:rsid w:val="079C5DDB"/>
    <w:rsid w:val="07A07BF6"/>
    <w:rsid w:val="07A1571D"/>
    <w:rsid w:val="07A34FF1"/>
    <w:rsid w:val="07A96CD1"/>
    <w:rsid w:val="07B76CEE"/>
    <w:rsid w:val="07BE74DF"/>
    <w:rsid w:val="07CE77CE"/>
    <w:rsid w:val="07D17DB0"/>
    <w:rsid w:val="07DD49A7"/>
    <w:rsid w:val="07EF46DA"/>
    <w:rsid w:val="07F341CA"/>
    <w:rsid w:val="07F817E1"/>
    <w:rsid w:val="080737D2"/>
    <w:rsid w:val="080E352C"/>
    <w:rsid w:val="084542FA"/>
    <w:rsid w:val="088968DD"/>
    <w:rsid w:val="088C017B"/>
    <w:rsid w:val="08AA23AF"/>
    <w:rsid w:val="08DB07BA"/>
    <w:rsid w:val="08F63846"/>
    <w:rsid w:val="08F6556D"/>
    <w:rsid w:val="08FD2E27"/>
    <w:rsid w:val="09067F2D"/>
    <w:rsid w:val="09107946"/>
    <w:rsid w:val="0911242E"/>
    <w:rsid w:val="0913089C"/>
    <w:rsid w:val="091361A6"/>
    <w:rsid w:val="091F2D9D"/>
    <w:rsid w:val="092B7994"/>
    <w:rsid w:val="093305F6"/>
    <w:rsid w:val="09436136"/>
    <w:rsid w:val="09476664"/>
    <w:rsid w:val="094F3109"/>
    <w:rsid w:val="09546EAB"/>
    <w:rsid w:val="09694018"/>
    <w:rsid w:val="096B4234"/>
    <w:rsid w:val="096B7D90"/>
    <w:rsid w:val="098470A4"/>
    <w:rsid w:val="09850717"/>
    <w:rsid w:val="098A290C"/>
    <w:rsid w:val="09AA1410"/>
    <w:rsid w:val="09C556F2"/>
    <w:rsid w:val="09C90590"/>
    <w:rsid w:val="09D34068"/>
    <w:rsid w:val="09D73678"/>
    <w:rsid w:val="09E84B68"/>
    <w:rsid w:val="09EE0600"/>
    <w:rsid w:val="09F064E7"/>
    <w:rsid w:val="09F65251"/>
    <w:rsid w:val="0A0655BF"/>
    <w:rsid w:val="0A0655F6"/>
    <w:rsid w:val="0A171CC6"/>
    <w:rsid w:val="0A2368BD"/>
    <w:rsid w:val="0A366846"/>
    <w:rsid w:val="0A375EC4"/>
    <w:rsid w:val="0A382873"/>
    <w:rsid w:val="0A4155D5"/>
    <w:rsid w:val="0A461E74"/>
    <w:rsid w:val="0A4B089E"/>
    <w:rsid w:val="0A595E3B"/>
    <w:rsid w:val="0A6C0360"/>
    <w:rsid w:val="0A6C3DC0"/>
    <w:rsid w:val="0A6D18E6"/>
    <w:rsid w:val="0A7E1D45"/>
    <w:rsid w:val="0A8F3F52"/>
    <w:rsid w:val="0A925B55"/>
    <w:rsid w:val="0A960E3D"/>
    <w:rsid w:val="0AC21C32"/>
    <w:rsid w:val="0AC534D0"/>
    <w:rsid w:val="0ACE49E2"/>
    <w:rsid w:val="0AD025A1"/>
    <w:rsid w:val="0AD65C88"/>
    <w:rsid w:val="0ADA51CD"/>
    <w:rsid w:val="0AE147AE"/>
    <w:rsid w:val="0AEE6ECB"/>
    <w:rsid w:val="0AF12517"/>
    <w:rsid w:val="0AF93F63"/>
    <w:rsid w:val="0AFF4C34"/>
    <w:rsid w:val="0B02674B"/>
    <w:rsid w:val="0B082D3B"/>
    <w:rsid w:val="0B1F404A"/>
    <w:rsid w:val="0B316DB7"/>
    <w:rsid w:val="0B381EF4"/>
    <w:rsid w:val="0B440899"/>
    <w:rsid w:val="0B445E0F"/>
    <w:rsid w:val="0B4A2883"/>
    <w:rsid w:val="0B4B60CB"/>
    <w:rsid w:val="0B78620E"/>
    <w:rsid w:val="0B7F3FC7"/>
    <w:rsid w:val="0B863FF1"/>
    <w:rsid w:val="0B8C3FEE"/>
    <w:rsid w:val="0B953A4F"/>
    <w:rsid w:val="0B9C6927"/>
    <w:rsid w:val="0BA15CEB"/>
    <w:rsid w:val="0BB46844"/>
    <w:rsid w:val="0BB73761"/>
    <w:rsid w:val="0BDC6970"/>
    <w:rsid w:val="0BDD4CFC"/>
    <w:rsid w:val="0BE34556"/>
    <w:rsid w:val="0BE36304"/>
    <w:rsid w:val="0BF24799"/>
    <w:rsid w:val="0BFC5617"/>
    <w:rsid w:val="0C151C47"/>
    <w:rsid w:val="0C2134FD"/>
    <w:rsid w:val="0C25063B"/>
    <w:rsid w:val="0C357D3E"/>
    <w:rsid w:val="0C562051"/>
    <w:rsid w:val="0C5745FC"/>
    <w:rsid w:val="0C5B0173"/>
    <w:rsid w:val="0C5C3D9B"/>
    <w:rsid w:val="0C63685A"/>
    <w:rsid w:val="0C774C9E"/>
    <w:rsid w:val="0CA42B00"/>
    <w:rsid w:val="0CB87A02"/>
    <w:rsid w:val="0CC872A8"/>
    <w:rsid w:val="0CCE11F4"/>
    <w:rsid w:val="0CD619C5"/>
    <w:rsid w:val="0CDD0FA5"/>
    <w:rsid w:val="0CF4571A"/>
    <w:rsid w:val="0CF8164D"/>
    <w:rsid w:val="0D002EE5"/>
    <w:rsid w:val="0D026C5D"/>
    <w:rsid w:val="0D0C7B8D"/>
    <w:rsid w:val="0D0D5B17"/>
    <w:rsid w:val="0D3136C4"/>
    <w:rsid w:val="0D3861DB"/>
    <w:rsid w:val="0D3D5EE8"/>
    <w:rsid w:val="0D3F756A"/>
    <w:rsid w:val="0D5C3C3D"/>
    <w:rsid w:val="0D645222"/>
    <w:rsid w:val="0D725B91"/>
    <w:rsid w:val="0D79298D"/>
    <w:rsid w:val="0D8C6527"/>
    <w:rsid w:val="0DA815B3"/>
    <w:rsid w:val="0DB86AAC"/>
    <w:rsid w:val="0DE95727"/>
    <w:rsid w:val="0DF77E44"/>
    <w:rsid w:val="0E097B78"/>
    <w:rsid w:val="0E0A2B96"/>
    <w:rsid w:val="0E1E7AC7"/>
    <w:rsid w:val="0E3F3599"/>
    <w:rsid w:val="0E42298A"/>
    <w:rsid w:val="0E440278"/>
    <w:rsid w:val="0E456E02"/>
    <w:rsid w:val="0E5434E9"/>
    <w:rsid w:val="0E576B35"/>
    <w:rsid w:val="0E5E4367"/>
    <w:rsid w:val="0E813BB2"/>
    <w:rsid w:val="0E91149D"/>
    <w:rsid w:val="0EAA0A18"/>
    <w:rsid w:val="0EB9159E"/>
    <w:rsid w:val="0EB977F0"/>
    <w:rsid w:val="0EC817E1"/>
    <w:rsid w:val="0ECA7307"/>
    <w:rsid w:val="0ED14B39"/>
    <w:rsid w:val="0ED939EE"/>
    <w:rsid w:val="0EE505E5"/>
    <w:rsid w:val="0EE7610B"/>
    <w:rsid w:val="0EEB6DB7"/>
    <w:rsid w:val="0EF44384"/>
    <w:rsid w:val="0F0A512B"/>
    <w:rsid w:val="0F225395"/>
    <w:rsid w:val="0F270315"/>
    <w:rsid w:val="0F3D21CF"/>
    <w:rsid w:val="0F3E38A4"/>
    <w:rsid w:val="0F452E31"/>
    <w:rsid w:val="0F5037E7"/>
    <w:rsid w:val="0F5C08A7"/>
    <w:rsid w:val="0F6E05DA"/>
    <w:rsid w:val="0F704352"/>
    <w:rsid w:val="0F841BAC"/>
    <w:rsid w:val="0F8B118C"/>
    <w:rsid w:val="0FAE09D7"/>
    <w:rsid w:val="0FB00BF3"/>
    <w:rsid w:val="0FBE3CE3"/>
    <w:rsid w:val="0FBF0E36"/>
    <w:rsid w:val="0FCE1079"/>
    <w:rsid w:val="0FDD306A"/>
    <w:rsid w:val="0FF84DA4"/>
    <w:rsid w:val="0FF94348"/>
    <w:rsid w:val="10042CED"/>
    <w:rsid w:val="10126DD2"/>
    <w:rsid w:val="10190546"/>
    <w:rsid w:val="101A42BE"/>
    <w:rsid w:val="10391F13"/>
    <w:rsid w:val="10500176"/>
    <w:rsid w:val="10593C25"/>
    <w:rsid w:val="106F2E3A"/>
    <w:rsid w:val="107E484D"/>
    <w:rsid w:val="109A1038"/>
    <w:rsid w:val="10AA3894"/>
    <w:rsid w:val="10AF2C58"/>
    <w:rsid w:val="10B93AD7"/>
    <w:rsid w:val="10BC1275"/>
    <w:rsid w:val="10C057F6"/>
    <w:rsid w:val="10C804E5"/>
    <w:rsid w:val="10D64689"/>
    <w:rsid w:val="10D94DC9"/>
    <w:rsid w:val="10EC5C5A"/>
    <w:rsid w:val="10F7015B"/>
    <w:rsid w:val="10F863AD"/>
    <w:rsid w:val="11186A50"/>
    <w:rsid w:val="111927C8"/>
    <w:rsid w:val="111E4C42"/>
    <w:rsid w:val="113D2012"/>
    <w:rsid w:val="115D4462"/>
    <w:rsid w:val="11627CCB"/>
    <w:rsid w:val="118916FB"/>
    <w:rsid w:val="11895257"/>
    <w:rsid w:val="118C6E30"/>
    <w:rsid w:val="11902A8A"/>
    <w:rsid w:val="119836EC"/>
    <w:rsid w:val="11AF2AB2"/>
    <w:rsid w:val="11B22984"/>
    <w:rsid w:val="11B61DC5"/>
    <w:rsid w:val="11D63A71"/>
    <w:rsid w:val="11DC5CCF"/>
    <w:rsid w:val="11E06E41"/>
    <w:rsid w:val="11E82478"/>
    <w:rsid w:val="12011292"/>
    <w:rsid w:val="12045226"/>
    <w:rsid w:val="121F796A"/>
    <w:rsid w:val="12303925"/>
    <w:rsid w:val="123F625E"/>
    <w:rsid w:val="124159E9"/>
    <w:rsid w:val="124318AA"/>
    <w:rsid w:val="12435D4E"/>
    <w:rsid w:val="12441B8A"/>
    <w:rsid w:val="12645DC7"/>
    <w:rsid w:val="126857B5"/>
    <w:rsid w:val="12744159"/>
    <w:rsid w:val="1287799A"/>
    <w:rsid w:val="128C26B2"/>
    <w:rsid w:val="12941E65"/>
    <w:rsid w:val="129E2F84"/>
    <w:rsid w:val="129E4D32"/>
    <w:rsid w:val="12A15665"/>
    <w:rsid w:val="12AF0CEE"/>
    <w:rsid w:val="12B747B4"/>
    <w:rsid w:val="12C56763"/>
    <w:rsid w:val="12C66D01"/>
    <w:rsid w:val="12F26E2C"/>
    <w:rsid w:val="13077ADE"/>
    <w:rsid w:val="13254FF8"/>
    <w:rsid w:val="13385187"/>
    <w:rsid w:val="1340403C"/>
    <w:rsid w:val="13434A03"/>
    <w:rsid w:val="13541895"/>
    <w:rsid w:val="135E44C2"/>
    <w:rsid w:val="136C6BDF"/>
    <w:rsid w:val="136F66CF"/>
    <w:rsid w:val="137273E8"/>
    <w:rsid w:val="13743CE5"/>
    <w:rsid w:val="137912FC"/>
    <w:rsid w:val="137B24CB"/>
    <w:rsid w:val="139F6FB4"/>
    <w:rsid w:val="13A02D2C"/>
    <w:rsid w:val="13B16CE7"/>
    <w:rsid w:val="13C609E5"/>
    <w:rsid w:val="13C801BE"/>
    <w:rsid w:val="13DA036F"/>
    <w:rsid w:val="13DD7ADC"/>
    <w:rsid w:val="13E1581F"/>
    <w:rsid w:val="13E175CD"/>
    <w:rsid w:val="14185F26"/>
    <w:rsid w:val="143C4803"/>
    <w:rsid w:val="14773A8D"/>
    <w:rsid w:val="14900BDD"/>
    <w:rsid w:val="14933FC5"/>
    <w:rsid w:val="149C7998"/>
    <w:rsid w:val="14BB6070"/>
    <w:rsid w:val="14BF71E2"/>
    <w:rsid w:val="14C33AB5"/>
    <w:rsid w:val="14C64A14"/>
    <w:rsid w:val="14C72840"/>
    <w:rsid w:val="14D013EF"/>
    <w:rsid w:val="14D137B6"/>
    <w:rsid w:val="1505553D"/>
    <w:rsid w:val="15170DCC"/>
    <w:rsid w:val="15233C15"/>
    <w:rsid w:val="15352E35"/>
    <w:rsid w:val="153E0A4F"/>
    <w:rsid w:val="15532C0C"/>
    <w:rsid w:val="156A35F2"/>
    <w:rsid w:val="157F5F94"/>
    <w:rsid w:val="15810331"/>
    <w:rsid w:val="158F4E06"/>
    <w:rsid w:val="15AE34DE"/>
    <w:rsid w:val="15C471A6"/>
    <w:rsid w:val="15D32F45"/>
    <w:rsid w:val="15D8055B"/>
    <w:rsid w:val="15E433A4"/>
    <w:rsid w:val="15EB7304"/>
    <w:rsid w:val="15F15AC1"/>
    <w:rsid w:val="15F31BF6"/>
    <w:rsid w:val="160550C9"/>
    <w:rsid w:val="162B0F06"/>
    <w:rsid w:val="162B768F"/>
    <w:rsid w:val="162C08A7"/>
    <w:rsid w:val="16302145"/>
    <w:rsid w:val="16406D7A"/>
    <w:rsid w:val="1646111B"/>
    <w:rsid w:val="164E6A70"/>
    <w:rsid w:val="166C5E2D"/>
    <w:rsid w:val="16861CBE"/>
    <w:rsid w:val="16873D30"/>
    <w:rsid w:val="169C5A2D"/>
    <w:rsid w:val="169E79F7"/>
    <w:rsid w:val="16AB2114"/>
    <w:rsid w:val="16AF0086"/>
    <w:rsid w:val="16B237C1"/>
    <w:rsid w:val="16BA5EB3"/>
    <w:rsid w:val="16C3353B"/>
    <w:rsid w:val="16C3745D"/>
    <w:rsid w:val="16D36F75"/>
    <w:rsid w:val="16E82A20"/>
    <w:rsid w:val="16ED0036"/>
    <w:rsid w:val="16ED44DA"/>
    <w:rsid w:val="16EF2001"/>
    <w:rsid w:val="16F5513D"/>
    <w:rsid w:val="16FE0496"/>
    <w:rsid w:val="17033CFE"/>
    <w:rsid w:val="17171557"/>
    <w:rsid w:val="171A4BA4"/>
    <w:rsid w:val="17263516"/>
    <w:rsid w:val="17303B71"/>
    <w:rsid w:val="173914CE"/>
    <w:rsid w:val="17591B70"/>
    <w:rsid w:val="1759391E"/>
    <w:rsid w:val="175A3EB4"/>
    <w:rsid w:val="176E13D4"/>
    <w:rsid w:val="177C7F07"/>
    <w:rsid w:val="17903C0D"/>
    <w:rsid w:val="179427AB"/>
    <w:rsid w:val="179E7583"/>
    <w:rsid w:val="179F2CA8"/>
    <w:rsid w:val="17A10E21"/>
    <w:rsid w:val="17A252C5"/>
    <w:rsid w:val="17BD1A73"/>
    <w:rsid w:val="17D043BA"/>
    <w:rsid w:val="17E551B2"/>
    <w:rsid w:val="17E574A7"/>
    <w:rsid w:val="17EC6540"/>
    <w:rsid w:val="17FD24FB"/>
    <w:rsid w:val="18045D9B"/>
    <w:rsid w:val="180513B0"/>
    <w:rsid w:val="1810017B"/>
    <w:rsid w:val="181109B7"/>
    <w:rsid w:val="182A1DB2"/>
    <w:rsid w:val="183028D1"/>
    <w:rsid w:val="183879D7"/>
    <w:rsid w:val="18493992"/>
    <w:rsid w:val="18673E19"/>
    <w:rsid w:val="189866C8"/>
    <w:rsid w:val="18A006B1"/>
    <w:rsid w:val="18AD51CA"/>
    <w:rsid w:val="18AD5888"/>
    <w:rsid w:val="18B232E6"/>
    <w:rsid w:val="18B352B0"/>
    <w:rsid w:val="18C35EEC"/>
    <w:rsid w:val="18C7014D"/>
    <w:rsid w:val="18DD4C34"/>
    <w:rsid w:val="18F25DD8"/>
    <w:rsid w:val="18F45FF4"/>
    <w:rsid w:val="18F67DE4"/>
    <w:rsid w:val="18F819FF"/>
    <w:rsid w:val="18FA6A3B"/>
    <w:rsid w:val="190B0C48"/>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A215AC"/>
    <w:rsid w:val="19A54BF8"/>
    <w:rsid w:val="19B47531"/>
    <w:rsid w:val="19C474E8"/>
    <w:rsid w:val="19C77265"/>
    <w:rsid w:val="19C808E7"/>
    <w:rsid w:val="19CE069F"/>
    <w:rsid w:val="19D40F4A"/>
    <w:rsid w:val="19F93196"/>
    <w:rsid w:val="19FB0CBC"/>
    <w:rsid w:val="1A0C36DE"/>
    <w:rsid w:val="1A2A3350"/>
    <w:rsid w:val="1A3A17E5"/>
    <w:rsid w:val="1A4A0E6B"/>
    <w:rsid w:val="1A4C005D"/>
    <w:rsid w:val="1A4E5290"/>
    <w:rsid w:val="1A5328A6"/>
    <w:rsid w:val="1A6909DC"/>
    <w:rsid w:val="1A78230D"/>
    <w:rsid w:val="1A862C7C"/>
    <w:rsid w:val="1A8654EF"/>
    <w:rsid w:val="1AA167C8"/>
    <w:rsid w:val="1AB05234"/>
    <w:rsid w:val="1AC217DA"/>
    <w:rsid w:val="1AC306D2"/>
    <w:rsid w:val="1AC83294"/>
    <w:rsid w:val="1AC90DBB"/>
    <w:rsid w:val="1AE31E7C"/>
    <w:rsid w:val="1B095C99"/>
    <w:rsid w:val="1B122762"/>
    <w:rsid w:val="1B2349D2"/>
    <w:rsid w:val="1B244243"/>
    <w:rsid w:val="1B340C21"/>
    <w:rsid w:val="1B3B240D"/>
    <w:rsid w:val="1B404962"/>
    <w:rsid w:val="1B4D19EC"/>
    <w:rsid w:val="1B5C1C2F"/>
    <w:rsid w:val="1B60171F"/>
    <w:rsid w:val="1B7C704E"/>
    <w:rsid w:val="1B86158A"/>
    <w:rsid w:val="1B8B6070"/>
    <w:rsid w:val="1B9B4505"/>
    <w:rsid w:val="1BAA299A"/>
    <w:rsid w:val="1BAD248A"/>
    <w:rsid w:val="1BBA43FE"/>
    <w:rsid w:val="1BCF2401"/>
    <w:rsid w:val="1BDE7B7E"/>
    <w:rsid w:val="1BEC6B0F"/>
    <w:rsid w:val="1BEF4851"/>
    <w:rsid w:val="1BF400B9"/>
    <w:rsid w:val="1BF87D6F"/>
    <w:rsid w:val="1C055E22"/>
    <w:rsid w:val="1C1358B7"/>
    <w:rsid w:val="1C2A295D"/>
    <w:rsid w:val="1C2E6A49"/>
    <w:rsid w:val="1C2F5159"/>
    <w:rsid w:val="1C301F72"/>
    <w:rsid w:val="1C3109C5"/>
    <w:rsid w:val="1C314E69"/>
    <w:rsid w:val="1C3B6EE0"/>
    <w:rsid w:val="1C511068"/>
    <w:rsid w:val="1C6963B1"/>
    <w:rsid w:val="1C6F7740"/>
    <w:rsid w:val="1C715266"/>
    <w:rsid w:val="1C827473"/>
    <w:rsid w:val="1C8A6328"/>
    <w:rsid w:val="1C9378D2"/>
    <w:rsid w:val="1C9D30EF"/>
    <w:rsid w:val="1CB6536F"/>
    <w:rsid w:val="1CC57360"/>
    <w:rsid w:val="1CD001DE"/>
    <w:rsid w:val="1CD53267"/>
    <w:rsid w:val="1CDD0B4D"/>
    <w:rsid w:val="1CF564F9"/>
    <w:rsid w:val="1CF57C45"/>
    <w:rsid w:val="1CF91D0A"/>
    <w:rsid w:val="1D047E88"/>
    <w:rsid w:val="1D100F23"/>
    <w:rsid w:val="1D1D4875"/>
    <w:rsid w:val="1D214EDE"/>
    <w:rsid w:val="1D37200B"/>
    <w:rsid w:val="1D430F6E"/>
    <w:rsid w:val="1D4D7A81"/>
    <w:rsid w:val="1D5030CD"/>
    <w:rsid w:val="1D525097"/>
    <w:rsid w:val="1D56709A"/>
    <w:rsid w:val="1D666D95"/>
    <w:rsid w:val="1D7C3EC2"/>
    <w:rsid w:val="1D813BCE"/>
    <w:rsid w:val="1D8D41A7"/>
    <w:rsid w:val="1D994A74"/>
    <w:rsid w:val="1D9A71E0"/>
    <w:rsid w:val="1D9E208B"/>
    <w:rsid w:val="1DA5166B"/>
    <w:rsid w:val="1DBB7FE9"/>
    <w:rsid w:val="1DC2017A"/>
    <w:rsid w:val="1DC755CC"/>
    <w:rsid w:val="1DCE421B"/>
    <w:rsid w:val="1DD0420E"/>
    <w:rsid w:val="1DD737EE"/>
    <w:rsid w:val="1DE13F29"/>
    <w:rsid w:val="1E122A78"/>
    <w:rsid w:val="1E276524"/>
    <w:rsid w:val="1E312DB1"/>
    <w:rsid w:val="1E3336C6"/>
    <w:rsid w:val="1E3429EF"/>
    <w:rsid w:val="1E3A4205"/>
    <w:rsid w:val="1E3B1FCF"/>
    <w:rsid w:val="1E5C0E5D"/>
    <w:rsid w:val="1E5E7A6C"/>
    <w:rsid w:val="1E62755C"/>
    <w:rsid w:val="1E6908EA"/>
    <w:rsid w:val="1E6E5F01"/>
    <w:rsid w:val="1E764DB5"/>
    <w:rsid w:val="1E786D7F"/>
    <w:rsid w:val="1E7F010E"/>
    <w:rsid w:val="1EA47B74"/>
    <w:rsid w:val="1EB853CE"/>
    <w:rsid w:val="1EBD39EB"/>
    <w:rsid w:val="1EC11B21"/>
    <w:rsid w:val="1EC56ACD"/>
    <w:rsid w:val="1ECB3C7A"/>
    <w:rsid w:val="1EDD3086"/>
    <w:rsid w:val="1EF36406"/>
    <w:rsid w:val="1EF80669"/>
    <w:rsid w:val="1EFE2908"/>
    <w:rsid w:val="1F0B4ACE"/>
    <w:rsid w:val="1F0E01A6"/>
    <w:rsid w:val="1F13481E"/>
    <w:rsid w:val="1F2760B0"/>
    <w:rsid w:val="1F2F54C1"/>
    <w:rsid w:val="1F3C0A74"/>
    <w:rsid w:val="1F46066B"/>
    <w:rsid w:val="1F4D55DB"/>
    <w:rsid w:val="1F4E188E"/>
    <w:rsid w:val="1F506CFF"/>
    <w:rsid w:val="1F59542C"/>
    <w:rsid w:val="1F5A46D7"/>
    <w:rsid w:val="1F5C21FD"/>
    <w:rsid w:val="1F66307C"/>
    <w:rsid w:val="1F66781B"/>
    <w:rsid w:val="1F680BA2"/>
    <w:rsid w:val="1F6A2B6C"/>
    <w:rsid w:val="1F7A2683"/>
    <w:rsid w:val="1F8C28BE"/>
    <w:rsid w:val="1FA92F69"/>
    <w:rsid w:val="1FB97650"/>
    <w:rsid w:val="1FBC2C9C"/>
    <w:rsid w:val="1FED10A7"/>
    <w:rsid w:val="1FFC578E"/>
    <w:rsid w:val="1FFF68FF"/>
    <w:rsid w:val="2003323B"/>
    <w:rsid w:val="200860AF"/>
    <w:rsid w:val="200F7270"/>
    <w:rsid w:val="2010196E"/>
    <w:rsid w:val="20196340"/>
    <w:rsid w:val="203142F4"/>
    <w:rsid w:val="203C0EE2"/>
    <w:rsid w:val="20466285"/>
    <w:rsid w:val="204C2272"/>
    <w:rsid w:val="20530A28"/>
    <w:rsid w:val="205B4263"/>
    <w:rsid w:val="205E3437"/>
    <w:rsid w:val="20632FA3"/>
    <w:rsid w:val="20831A0C"/>
    <w:rsid w:val="2085038F"/>
    <w:rsid w:val="20880DD0"/>
    <w:rsid w:val="20B04293"/>
    <w:rsid w:val="20D14525"/>
    <w:rsid w:val="20EC135F"/>
    <w:rsid w:val="20F408E0"/>
    <w:rsid w:val="210112AE"/>
    <w:rsid w:val="210E5779"/>
    <w:rsid w:val="21115269"/>
    <w:rsid w:val="21170674"/>
    <w:rsid w:val="21207D2E"/>
    <w:rsid w:val="214178FD"/>
    <w:rsid w:val="21584C46"/>
    <w:rsid w:val="21674E89"/>
    <w:rsid w:val="217942C3"/>
    <w:rsid w:val="21822B7A"/>
    <w:rsid w:val="21867A05"/>
    <w:rsid w:val="21894E00"/>
    <w:rsid w:val="218C669E"/>
    <w:rsid w:val="219150B2"/>
    <w:rsid w:val="21935C7E"/>
    <w:rsid w:val="2197751D"/>
    <w:rsid w:val="21986530"/>
    <w:rsid w:val="219A0DBB"/>
    <w:rsid w:val="21A44AD3"/>
    <w:rsid w:val="21BA3216"/>
    <w:rsid w:val="21CB1FFB"/>
    <w:rsid w:val="22130488"/>
    <w:rsid w:val="22177A9F"/>
    <w:rsid w:val="222F59A7"/>
    <w:rsid w:val="223B0C36"/>
    <w:rsid w:val="224376A4"/>
    <w:rsid w:val="22477195"/>
    <w:rsid w:val="2250591D"/>
    <w:rsid w:val="225E628C"/>
    <w:rsid w:val="226C6BFB"/>
    <w:rsid w:val="22794E74"/>
    <w:rsid w:val="22853819"/>
    <w:rsid w:val="228D26CE"/>
    <w:rsid w:val="22A85759"/>
    <w:rsid w:val="22B27B49"/>
    <w:rsid w:val="22C560ED"/>
    <w:rsid w:val="22E20C6B"/>
    <w:rsid w:val="22F32E79"/>
    <w:rsid w:val="231128A5"/>
    <w:rsid w:val="231352C9"/>
    <w:rsid w:val="231D6147"/>
    <w:rsid w:val="23333275"/>
    <w:rsid w:val="234E6301"/>
    <w:rsid w:val="23623B5A"/>
    <w:rsid w:val="23694EE9"/>
    <w:rsid w:val="23696C97"/>
    <w:rsid w:val="237044C9"/>
    <w:rsid w:val="23871813"/>
    <w:rsid w:val="23902475"/>
    <w:rsid w:val="23A221A9"/>
    <w:rsid w:val="23AD1279"/>
    <w:rsid w:val="23D74548"/>
    <w:rsid w:val="23D762F6"/>
    <w:rsid w:val="2432177F"/>
    <w:rsid w:val="2432352D"/>
    <w:rsid w:val="2439646A"/>
    <w:rsid w:val="243E330B"/>
    <w:rsid w:val="24422C3A"/>
    <w:rsid w:val="244A13AB"/>
    <w:rsid w:val="245416F5"/>
    <w:rsid w:val="24561911"/>
    <w:rsid w:val="24661428"/>
    <w:rsid w:val="246D0A09"/>
    <w:rsid w:val="24724271"/>
    <w:rsid w:val="24765B0F"/>
    <w:rsid w:val="247753E3"/>
    <w:rsid w:val="24801C84"/>
    <w:rsid w:val="248F3D60"/>
    <w:rsid w:val="249D51E5"/>
    <w:rsid w:val="24BB1774"/>
    <w:rsid w:val="24C50845"/>
    <w:rsid w:val="24C85C3F"/>
    <w:rsid w:val="24CF0530"/>
    <w:rsid w:val="24EC1549"/>
    <w:rsid w:val="24F17F58"/>
    <w:rsid w:val="253B0B07"/>
    <w:rsid w:val="253B28B5"/>
    <w:rsid w:val="25512086"/>
    <w:rsid w:val="255B2F57"/>
    <w:rsid w:val="2564005E"/>
    <w:rsid w:val="25714529"/>
    <w:rsid w:val="2572277A"/>
    <w:rsid w:val="258129BE"/>
    <w:rsid w:val="25835256"/>
    <w:rsid w:val="25891872"/>
    <w:rsid w:val="259E127D"/>
    <w:rsid w:val="259F2E44"/>
    <w:rsid w:val="25A35FA5"/>
    <w:rsid w:val="25B508B9"/>
    <w:rsid w:val="25BC1C48"/>
    <w:rsid w:val="25DD571A"/>
    <w:rsid w:val="25EB6089"/>
    <w:rsid w:val="25F62022"/>
    <w:rsid w:val="25F671DC"/>
    <w:rsid w:val="25FA62CC"/>
    <w:rsid w:val="260929B3"/>
    <w:rsid w:val="261A3EE1"/>
    <w:rsid w:val="264439EB"/>
    <w:rsid w:val="26476CD5"/>
    <w:rsid w:val="264A1001"/>
    <w:rsid w:val="264D6D44"/>
    <w:rsid w:val="2653066B"/>
    <w:rsid w:val="268B33C8"/>
    <w:rsid w:val="26914E82"/>
    <w:rsid w:val="269B7AAF"/>
    <w:rsid w:val="26AD1590"/>
    <w:rsid w:val="26BA1575"/>
    <w:rsid w:val="26C358C3"/>
    <w:rsid w:val="26D6250A"/>
    <w:rsid w:val="26F87F8E"/>
    <w:rsid w:val="26FE1DEC"/>
    <w:rsid w:val="270A5869"/>
    <w:rsid w:val="2712379B"/>
    <w:rsid w:val="272C379E"/>
    <w:rsid w:val="27337CE7"/>
    <w:rsid w:val="2735087C"/>
    <w:rsid w:val="273D0B66"/>
    <w:rsid w:val="273D765A"/>
    <w:rsid w:val="274719E5"/>
    <w:rsid w:val="275E288B"/>
    <w:rsid w:val="27653C19"/>
    <w:rsid w:val="276C71ED"/>
    <w:rsid w:val="277D71B5"/>
    <w:rsid w:val="278A3680"/>
    <w:rsid w:val="279D4F06"/>
    <w:rsid w:val="27AC1848"/>
    <w:rsid w:val="27B2542E"/>
    <w:rsid w:val="27B84691"/>
    <w:rsid w:val="27BF157B"/>
    <w:rsid w:val="28361E6C"/>
    <w:rsid w:val="283A32F8"/>
    <w:rsid w:val="283C2BCC"/>
    <w:rsid w:val="28441A80"/>
    <w:rsid w:val="28463A4A"/>
    <w:rsid w:val="284B3726"/>
    <w:rsid w:val="28665E9B"/>
    <w:rsid w:val="286839C1"/>
    <w:rsid w:val="28924EE2"/>
    <w:rsid w:val="28D56B7C"/>
    <w:rsid w:val="28DB23E5"/>
    <w:rsid w:val="28EF5E90"/>
    <w:rsid w:val="28F17E5A"/>
    <w:rsid w:val="28F90ABD"/>
    <w:rsid w:val="29003BF9"/>
    <w:rsid w:val="290336EA"/>
    <w:rsid w:val="29080D00"/>
    <w:rsid w:val="292D1F55"/>
    <w:rsid w:val="29387837"/>
    <w:rsid w:val="29477A7A"/>
    <w:rsid w:val="29534671"/>
    <w:rsid w:val="29656152"/>
    <w:rsid w:val="296D5007"/>
    <w:rsid w:val="297A7E50"/>
    <w:rsid w:val="297C17AB"/>
    <w:rsid w:val="298011DE"/>
    <w:rsid w:val="29852351"/>
    <w:rsid w:val="29916F47"/>
    <w:rsid w:val="299B172F"/>
    <w:rsid w:val="299C2202"/>
    <w:rsid w:val="29A177CC"/>
    <w:rsid w:val="29B82726"/>
    <w:rsid w:val="29C33744"/>
    <w:rsid w:val="29E277A3"/>
    <w:rsid w:val="29E96D83"/>
    <w:rsid w:val="29EB2D14"/>
    <w:rsid w:val="29FA4AED"/>
    <w:rsid w:val="29FD7721"/>
    <w:rsid w:val="2A111DBB"/>
    <w:rsid w:val="2A225DF1"/>
    <w:rsid w:val="2A53244F"/>
    <w:rsid w:val="2A58320D"/>
    <w:rsid w:val="2A636B36"/>
    <w:rsid w:val="2A785209"/>
    <w:rsid w:val="2A7C19A5"/>
    <w:rsid w:val="2A7D13C9"/>
    <w:rsid w:val="2A88034A"/>
    <w:rsid w:val="2AA1765E"/>
    <w:rsid w:val="2AAC0C0E"/>
    <w:rsid w:val="2AD03A9F"/>
    <w:rsid w:val="2AD43590"/>
    <w:rsid w:val="2AD76BDC"/>
    <w:rsid w:val="2AD92954"/>
    <w:rsid w:val="2AE123E8"/>
    <w:rsid w:val="2AEC7016"/>
    <w:rsid w:val="2AF20181"/>
    <w:rsid w:val="2AF776B2"/>
    <w:rsid w:val="2AFE685E"/>
    <w:rsid w:val="2B013C59"/>
    <w:rsid w:val="2B1B2F6C"/>
    <w:rsid w:val="2B391645"/>
    <w:rsid w:val="2B3D7EF2"/>
    <w:rsid w:val="2B54022C"/>
    <w:rsid w:val="2B6D12EE"/>
    <w:rsid w:val="2B6F6391"/>
    <w:rsid w:val="2B774262"/>
    <w:rsid w:val="2B7E174D"/>
    <w:rsid w:val="2B7E3983"/>
    <w:rsid w:val="2B966A97"/>
    <w:rsid w:val="2BAE0884"/>
    <w:rsid w:val="2BB313F7"/>
    <w:rsid w:val="2BC518AD"/>
    <w:rsid w:val="2BDA2E28"/>
    <w:rsid w:val="2C02412C"/>
    <w:rsid w:val="2C032748"/>
    <w:rsid w:val="2C09185D"/>
    <w:rsid w:val="2C1C5A4D"/>
    <w:rsid w:val="2C2422F5"/>
    <w:rsid w:val="2C35005E"/>
    <w:rsid w:val="2C351E0C"/>
    <w:rsid w:val="2C381083"/>
    <w:rsid w:val="2C4612D5"/>
    <w:rsid w:val="2C4F74C9"/>
    <w:rsid w:val="2C5D5807"/>
    <w:rsid w:val="2C6D5A4A"/>
    <w:rsid w:val="2C78619D"/>
    <w:rsid w:val="2CB5119F"/>
    <w:rsid w:val="2CBC42DB"/>
    <w:rsid w:val="2CD258AD"/>
    <w:rsid w:val="2CDE24A4"/>
    <w:rsid w:val="2CDF446E"/>
    <w:rsid w:val="2CFE66A2"/>
    <w:rsid w:val="2D031F0A"/>
    <w:rsid w:val="2D045C82"/>
    <w:rsid w:val="2D197980"/>
    <w:rsid w:val="2D887787"/>
    <w:rsid w:val="2D9E60D7"/>
    <w:rsid w:val="2D9F1707"/>
    <w:rsid w:val="2DAA22C4"/>
    <w:rsid w:val="2DBC73B3"/>
    <w:rsid w:val="2DC237AF"/>
    <w:rsid w:val="2DF80DBC"/>
    <w:rsid w:val="2E0028ED"/>
    <w:rsid w:val="2E266D45"/>
    <w:rsid w:val="2E2760CC"/>
    <w:rsid w:val="2E291E44"/>
    <w:rsid w:val="2E2B2D7C"/>
    <w:rsid w:val="2E304F81"/>
    <w:rsid w:val="2E3A195C"/>
    <w:rsid w:val="2E3D3C0A"/>
    <w:rsid w:val="2E4C3B6A"/>
    <w:rsid w:val="2E5207C1"/>
    <w:rsid w:val="2E6C3ADF"/>
    <w:rsid w:val="2E6E5AA9"/>
    <w:rsid w:val="2E7E540D"/>
    <w:rsid w:val="2E90020C"/>
    <w:rsid w:val="2E9C7DAC"/>
    <w:rsid w:val="2EA27501"/>
    <w:rsid w:val="2ECF1968"/>
    <w:rsid w:val="2EDB63A3"/>
    <w:rsid w:val="2EE31FF3"/>
    <w:rsid w:val="2F0401BB"/>
    <w:rsid w:val="2F041F69"/>
    <w:rsid w:val="2F1C5505"/>
    <w:rsid w:val="2F1D2EBA"/>
    <w:rsid w:val="2F25085E"/>
    <w:rsid w:val="2F305458"/>
    <w:rsid w:val="2F4F58DB"/>
    <w:rsid w:val="2F55425D"/>
    <w:rsid w:val="2F5750B7"/>
    <w:rsid w:val="2F5E7DFB"/>
    <w:rsid w:val="2F6446E6"/>
    <w:rsid w:val="2F6B1FE9"/>
    <w:rsid w:val="2F6F3887"/>
    <w:rsid w:val="2F740E9D"/>
    <w:rsid w:val="2F7B4FA2"/>
    <w:rsid w:val="2F7B66D0"/>
    <w:rsid w:val="2F7C064C"/>
    <w:rsid w:val="2F7E76B2"/>
    <w:rsid w:val="2F884949"/>
    <w:rsid w:val="2FA06136"/>
    <w:rsid w:val="2FA8323D"/>
    <w:rsid w:val="2FA84FEB"/>
    <w:rsid w:val="2FAA48BF"/>
    <w:rsid w:val="2FB90FA6"/>
    <w:rsid w:val="2FC04E57"/>
    <w:rsid w:val="2FC1006F"/>
    <w:rsid w:val="2FC242FE"/>
    <w:rsid w:val="2FC8743B"/>
    <w:rsid w:val="2FCF2577"/>
    <w:rsid w:val="2FD2037E"/>
    <w:rsid w:val="2FD858D0"/>
    <w:rsid w:val="2FDD1384"/>
    <w:rsid w:val="2FE05D46"/>
    <w:rsid w:val="2FE222AB"/>
    <w:rsid w:val="2FE9188B"/>
    <w:rsid w:val="303F594F"/>
    <w:rsid w:val="305B205D"/>
    <w:rsid w:val="3071362F"/>
    <w:rsid w:val="307B64EC"/>
    <w:rsid w:val="308218EA"/>
    <w:rsid w:val="308E5F8F"/>
    <w:rsid w:val="30A6152A"/>
    <w:rsid w:val="30B04157"/>
    <w:rsid w:val="30BA659C"/>
    <w:rsid w:val="30C14010"/>
    <w:rsid w:val="30F229C1"/>
    <w:rsid w:val="30F32296"/>
    <w:rsid w:val="311169BA"/>
    <w:rsid w:val="31175F84"/>
    <w:rsid w:val="312924E0"/>
    <w:rsid w:val="312A215B"/>
    <w:rsid w:val="314B2BD6"/>
    <w:rsid w:val="31520297"/>
    <w:rsid w:val="31523460"/>
    <w:rsid w:val="315A0567"/>
    <w:rsid w:val="31644F41"/>
    <w:rsid w:val="316912A6"/>
    <w:rsid w:val="31843ACD"/>
    <w:rsid w:val="31994EC2"/>
    <w:rsid w:val="319A5B50"/>
    <w:rsid w:val="31A45908"/>
    <w:rsid w:val="31C003CA"/>
    <w:rsid w:val="31CD6F8B"/>
    <w:rsid w:val="31D420C7"/>
    <w:rsid w:val="31DE673B"/>
    <w:rsid w:val="31EB11BF"/>
    <w:rsid w:val="31F369F1"/>
    <w:rsid w:val="31F462C5"/>
    <w:rsid w:val="31F64B2B"/>
    <w:rsid w:val="3200110E"/>
    <w:rsid w:val="32222E32"/>
    <w:rsid w:val="322841C1"/>
    <w:rsid w:val="32384404"/>
    <w:rsid w:val="32584AA6"/>
    <w:rsid w:val="3273368E"/>
    <w:rsid w:val="328C4750"/>
    <w:rsid w:val="32957AA8"/>
    <w:rsid w:val="329A1673"/>
    <w:rsid w:val="32A2106D"/>
    <w:rsid w:val="32AF043E"/>
    <w:rsid w:val="32B141B6"/>
    <w:rsid w:val="32BA306B"/>
    <w:rsid w:val="32C75788"/>
    <w:rsid w:val="32CB0035"/>
    <w:rsid w:val="32FA790B"/>
    <w:rsid w:val="33004F00"/>
    <w:rsid w:val="3305467B"/>
    <w:rsid w:val="331F7372"/>
    <w:rsid w:val="334A1673"/>
    <w:rsid w:val="334A3AF7"/>
    <w:rsid w:val="334B0167"/>
    <w:rsid w:val="336254B1"/>
    <w:rsid w:val="33685BB3"/>
    <w:rsid w:val="336A2CE3"/>
    <w:rsid w:val="337025E6"/>
    <w:rsid w:val="33727DEA"/>
    <w:rsid w:val="33784CD4"/>
    <w:rsid w:val="33AD7074"/>
    <w:rsid w:val="33BD597B"/>
    <w:rsid w:val="33E12879"/>
    <w:rsid w:val="34000F51"/>
    <w:rsid w:val="34076784"/>
    <w:rsid w:val="340C3D9A"/>
    <w:rsid w:val="340D7B12"/>
    <w:rsid w:val="34232E92"/>
    <w:rsid w:val="34321327"/>
    <w:rsid w:val="3434509F"/>
    <w:rsid w:val="34354802"/>
    <w:rsid w:val="34386355"/>
    <w:rsid w:val="343B642D"/>
    <w:rsid w:val="3442156A"/>
    <w:rsid w:val="345F56FB"/>
    <w:rsid w:val="34633CE2"/>
    <w:rsid w:val="34647EEB"/>
    <w:rsid w:val="34735BC7"/>
    <w:rsid w:val="347A1330"/>
    <w:rsid w:val="3482187C"/>
    <w:rsid w:val="348778C5"/>
    <w:rsid w:val="348A1163"/>
    <w:rsid w:val="349B3370"/>
    <w:rsid w:val="349E2664"/>
    <w:rsid w:val="34A43FD3"/>
    <w:rsid w:val="34A5249B"/>
    <w:rsid w:val="34BD4BD3"/>
    <w:rsid w:val="34DE1BBE"/>
    <w:rsid w:val="34EA39B0"/>
    <w:rsid w:val="34EF0FC6"/>
    <w:rsid w:val="34F211E2"/>
    <w:rsid w:val="34FC44E6"/>
    <w:rsid w:val="35076310"/>
    <w:rsid w:val="351153E0"/>
    <w:rsid w:val="352B0250"/>
    <w:rsid w:val="35537FAE"/>
    <w:rsid w:val="356063A9"/>
    <w:rsid w:val="356F2FC9"/>
    <w:rsid w:val="357065AB"/>
    <w:rsid w:val="35774BF2"/>
    <w:rsid w:val="359560D5"/>
    <w:rsid w:val="35A910DA"/>
    <w:rsid w:val="35AB75E3"/>
    <w:rsid w:val="35AF70D3"/>
    <w:rsid w:val="35B00755"/>
    <w:rsid w:val="35DE52C2"/>
    <w:rsid w:val="35EF74CF"/>
    <w:rsid w:val="35FF348B"/>
    <w:rsid w:val="36034D29"/>
    <w:rsid w:val="361909F0"/>
    <w:rsid w:val="36211653"/>
    <w:rsid w:val="3628478F"/>
    <w:rsid w:val="362A0508"/>
    <w:rsid w:val="36301896"/>
    <w:rsid w:val="36315D3A"/>
    <w:rsid w:val="36407D2B"/>
    <w:rsid w:val="36414693"/>
    <w:rsid w:val="36421C6A"/>
    <w:rsid w:val="3652180C"/>
    <w:rsid w:val="36585265"/>
    <w:rsid w:val="36657792"/>
    <w:rsid w:val="366C6D72"/>
    <w:rsid w:val="36714388"/>
    <w:rsid w:val="36783969"/>
    <w:rsid w:val="368B5940"/>
    <w:rsid w:val="369901FE"/>
    <w:rsid w:val="36A74218"/>
    <w:rsid w:val="36B462FA"/>
    <w:rsid w:val="36E678F9"/>
    <w:rsid w:val="36F6663C"/>
    <w:rsid w:val="36F80606"/>
    <w:rsid w:val="36FD3E6E"/>
    <w:rsid w:val="37034980"/>
    <w:rsid w:val="370831E2"/>
    <w:rsid w:val="371D3FAF"/>
    <w:rsid w:val="37272B60"/>
    <w:rsid w:val="375C6DE7"/>
    <w:rsid w:val="37695060"/>
    <w:rsid w:val="37734130"/>
    <w:rsid w:val="37751C56"/>
    <w:rsid w:val="378D6FA0"/>
    <w:rsid w:val="37A75B88"/>
    <w:rsid w:val="37D921E5"/>
    <w:rsid w:val="37EC7A29"/>
    <w:rsid w:val="37F039D3"/>
    <w:rsid w:val="37F94635"/>
    <w:rsid w:val="38123949"/>
    <w:rsid w:val="38163439"/>
    <w:rsid w:val="381A624A"/>
    <w:rsid w:val="381B2E02"/>
    <w:rsid w:val="38294F82"/>
    <w:rsid w:val="382D7EFD"/>
    <w:rsid w:val="382F44FB"/>
    <w:rsid w:val="38312021"/>
    <w:rsid w:val="383733B0"/>
    <w:rsid w:val="383C4522"/>
    <w:rsid w:val="38412005"/>
    <w:rsid w:val="384818B0"/>
    <w:rsid w:val="3852235B"/>
    <w:rsid w:val="38543F62"/>
    <w:rsid w:val="386046B4"/>
    <w:rsid w:val="38606463"/>
    <w:rsid w:val="38612443"/>
    <w:rsid w:val="38793273"/>
    <w:rsid w:val="388A1731"/>
    <w:rsid w:val="38912AC0"/>
    <w:rsid w:val="389834E9"/>
    <w:rsid w:val="389B4C19"/>
    <w:rsid w:val="38B61821"/>
    <w:rsid w:val="38D87F87"/>
    <w:rsid w:val="38E962DF"/>
    <w:rsid w:val="38F92EA0"/>
    <w:rsid w:val="38FE5FF5"/>
    <w:rsid w:val="39007C46"/>
    <w:rsid w:val="39050DB8"/>
    <w:rsid w:val="390908A8"/>
    <w:rsid w:val="390B0AC4"/>
    <w:rsid w:val="391A0D07"/>
    <w:rsid w:val="39203E44"/>
    <w:rsid w:val="392133B0"/>
    <w:rsid w:val="39225E0E"/>
    <w:rsid w:val="396C7089"/>
    <w:rsid w:val="397228F1"/>
    <w:rsid w:val="39736E5A"/>
    <w:rsid w:val="39785A2E"/>
    <w:rsid w:val="399C796E"/>
    <w:rsid w:val="39A405D1"/>
    <w:rsid w:val="39A75F28"/>
    <w:rsid w:val="39AB195F"/>
    <w:rsid w:val="39AE382C"/>
    <w:rsid w:val="39D569DC"/>
    <w:rsid w:val="39D80976"/>
    <w:rsid w:val="39E3734B"/>
    <w:rsid w:val="39E8733B"/>
    <w:rsid w:val="39ED01CA"/>
    <w:rsid w:val="39F945C1"/>
    <w:rsid w:val="3A002ECD"/>
    <w:rsid w:val="3A127C30"/>
    <w:rsid w:val="3A183E5C"/>
    <w:rsid w:val="3A296D28"/>
    <w:rsid w:val="3A2B484E"/>
    <w:rsid w:val="3A4D0C68"/>
    <w:rsid w:val="3A6164C2"/>
    <w:rsid w:val="3A6E2866"/>
    <w:rsid w:val="3A6F0BDF"/>
    <w:rsid w:val="3A704EFB"/>
    <w:rsid w:val="3A8521B0"/>
    <w:rsid w:val="3A9E7716"/>
    <w:rsid w:val="3AA52A13"/>
    <w:rsid w:val="3AB61099"/>
    <w:rsid w:val="3AB63C5C"/>
    <w:rsid w:val="3AC21333"/>
    <w:rsid w:val="3AC30B19"/>
    <w:rsid w:val="3AC64B87"/>
    <w:rsid w:val="3AD177DE"/>
    <w:rsid w:val="3AD62A0C"/>
    <w:rsid w:val="3ADD52CD"/>
    <w:rsid w:val="3B206B1B"/>
    <w:rsid w:val="3B244F08"/>
    <w:rsid w:val="3B345984"/>
    <w:rsid w:val="3B3D2A8B"/>
    <w:rsid w:val="3B5322AF"/>
    <w:rsid w:val="3B583126"/>
    <w:rsid w:val="3B7010B2"/>
    <w:rsid w:val="3B9D177C"/>
    <w:rsid w:val="3BAE1BDB"/>
    <w:rsid w:val="3BB07D95"/>
    <w:rsid w:val="3BC211E2"/>
    <w:rsid w:val="3BC44F5A"/>
    <w:rsid w:val="3BC96A15"/>
    <w:rsid w:val="3BC96E07"/>
    <w:rsid w:val="3BD64F66"/>
    <w:rsid w:val="3BE74400"/>
    <w:rsid w:val="3C172B5B"/>
    <w:rsid w:val="3C20265B"/>
    <w:rsid w:val="3C221C81"/>
    <w:rsid w:val="3C2E6878"/>
    <w:rsid w:val="3C5067EE"/>
    <w:rsid w:val="3C844287"/>
    <w:rsid w:val="3C8C1F1C"/>
    <w:rsid w:val="3C8E1947"/>
    <w:rsid w:val="3C974E98"/>
    <w:rsid w:val="3CA8487C"/>
    <w:rsid w:val="3CAC611A"/>
    <w:rsid w:val="3CCA034E"/>
    <w:rsid w:val="3CD236A7"/>
    <w:rsid w:val="3CE412B1"/>
    <w:rsid w:val="3CE84C78"/>
    <w:rsid w:val="3CF26025"/>
    <w:rsid w:val="3D274A9D"/>
    <w:rsid w:val="3D3A016E"/>
    <w:rsid w:val="3D460DA3"/>
    <w:rsid w:val="3D464014"/>
    <w:rsid w:val="3D4C5E97"/>
    <w:rsid w:val="3D6A7D83"/>
    <w:rsid w:val="3D734E8A"/>
    <w:rsid w:val="3D74650C"/>
    <w:rsid w:val="3D7F55DD"/>
    <w:rsid w:val="3D833E03"/>
    <w:rsid w:val="3D8B21D4"/>
    <w:rsid w:val="3D8E75CE"/>
    <w:rsid w:val="3D94768D"/>
    <w:rsid w:val="3DA6700D"/>
    <w:rsid w:val="3DA768E2"/>
    <w:rsid w:val="3DAE000B"/>
    <w:rsid w:val="3DBF00CF"/>
    <w:rsid w:val="3DC2371B"/>
    <w:rsid w:val="3DD5344F"/>
    <w:rsid w:val="3DEE4511"/>
    <w:rsid w:val="3DF43705"/>
    <w:rsid w:val="3DF57931"/>
    <w:rsid w:val="3E03620E"/>
    <w:rsid w:val="3E0B4275"/>
    <w:rsid w:val="3E0B50C2"/>
    <w:rsid w:val="3E0E1DF6"/>
    <w:rsid w:val="3E204BB6"/>
    <w:rsid w:val="3E2241BA"/>
    <w:rsid w:val="3E225171"/>
    <w:rsid w:val="3E2C334F"/>
    <w:rsid w:val="3E472F6C"/>
    <w:rsid w:val="3E4B14BE"/>
    <w:rsid w:val="3E4B3711"/>
    <w:rsid w:val="3E53115E"/>
    <w:rsid w:val="3E546A69"/>
    <w:rsid w:val="3E67734B"/>
    <w:rsid w:val="3E6D18D9"/>
    <w:rsid w:val="3E740EBA"/>
    <w:rsid w:val="3E7E5894"/>
    <w:rsid w:val="3E883D6C"/>
    <w:rsid w:val="3E886713"/>
    <w:rsid w:val="3EB2181B"/>
    <w:rsid w:val="3EBC460F"/>
    <w:rsid w:val="3ECF7E9E"/>
    <w:rsid w:val="3ED42E2B"/>
    <w:rsid w:val="3EF5367D"/>
    <w:rsid w:val="3EFC5866"/>
    <w:rsid w:val="3F0110D6"/>
    <w:rsid w:val="3F033FEC"/>
    <w:rsid w:val="3F116709"/>
    <w:rsid w:val="3F17731E"/>
    <w:rsid w:val="3F24318A"/>
    <w:rsid w:val="3F2B709E"/>
    <w:rsid w:val="3F3917BB"/>
    <w:rsid w:val="3F4D0895"/>
    <w:rsid w:val="3F6E5909"/>
    <w:rsid w:val="3F6F1681"/>
    <w:rsid w:val="3F724CCD"/>
    <w:rsid w:val="3F7B1DD4"/>
    <w:rsid w:val="3F7F52D0"/>
    <w:rsid w:val="3F80563C"/>
    <w:rsid w:val="3F8974D9"/>
    <w:rsid w:val="3F91108B"/>
    <w:rsid w:val="3F925A16"/>
    <w:rsid w:val="3FAC6431"/>
    <w:rsid w:val="3FBB0422"/>
    <w:rsid w:val="3FCC1489"/>
    <w:rsid w:val="3FE1257F"/>
    <w:rsid w:val="3FEF7DF3"/>
    <w:rsid w:val="400007BD"/>
    <w:rsid w:val="40073668"/>
    <w:rsid w:val="401B4C09"/>
    <w:rsid w:val="40273D0A"/>
    <w:rsid w:val="403411E4"/>
    <w:rsid w:val="40414DCB"/>
    <w:rsid w:val="404E573A"/>
    <w:rsid w:val="40532D51"/>
    <w:rsid w:val="40666A5A"/>
    <w:rsid w:val="407654D0"/>
    <w:rsid w:val="40824CA8"/>
    <w:rsid w:val="40923879"/>
    <w:rsid w:val="409969B6"/>
    <w:rsid w:val="40D73687"/>
    <w:rsid w:val="40DC2D46"/>
    <w:rsid w:val="40E9225B"/>
    <w:rsid w:val="40EA5463"/>
    <w:rsid w:val="40FD1807"/>
    <w:rsid w:val="41105B1C"/>
    <w:rsid w:val="41147AEA"/>
    <w:rsid w:val="41377F7D"/>
    <w:rsid w:val="41410C9A"/>
    <w:rsid w:val="41637E13"/>
    <w:rsid w:val="41723D8B"/>
    <w:rsid w:val="4173016F"/>
    <w:rsid w:val="41994793"/>
    <w:rsid w:val="41A24E66"/>
    <w:rsid w:val="41AC44C7"/>
    <w:rsid w:val="41B617E9"/>
    <w:rsid w:val="41BD0482"/>
    <w:rsid w:val="41D35EF7"/>
    <w:rsid w:val="41DA54D8"/>
    <w:rsid w:val="41DE6506"/>
    <w:rsid w:val="41DF2AEE"/>
    <w:rsid w:val="41EA64FA"/>
    <w:rsid w:val="41F73F74"/>
    <w:rsid w:val="41FA16D6"/>
    <w:rsid w:val="42073DF3"/>
    <w:rsid w:val="422229DB"/>
    <w:rsid w:val="422314A4"/>
    <w:rsid w:val="422624CB"/>
    <w:rsid w:val="423544BC"/>
    <w:rsid w:val="428B46B3"/>
    <w:rsid w:val="42A31D6D"/>
    <w:rsid w:val="42A5730E"/>
    <w:rsid w:val="42A70AE7"/>
    <w:rsid w:val="42A939FD"/>
    <w:rsid w:val="42B62C93"/>
    <w:rsid w:val="42C10446"/>
    <w:rsid w:val="42CC46BB"/>
    <w:rsid w:val="42CF65A9"/>
    <w:rsid w:val="42E67EAC"/>
    <w:rsid w:val="42ED63EC"/>
    <w:rsid w:val="42F04887"/>
    <w:rsid w:val="430420E0"/>
    <w:rsid w:val="430D1FC6"/>
    <w:rsid w:val="430F71C9"/>
    <w:rsid w:val="431467C7"/>
    <w:rsid w:val="43160594"/>
    <w:rsid w:val="431762B8"/>
    <w:rsid w:val="431B0B16"/>
    <w:rsid w:val="43291309"/>
    <w:rsid w:val="43302ED5"/>
    <w:rsid w:val="437234EE"/>
    <w:rsid w:val="43754D8C"/>
    <w:rsid w:val="437E2E26"/>
    <w:rsid w:val="43827BD5"/>
    <w:rsid w:val="438C1210"/>
    <w:rsid w:val="439116E1"/>
    <w:rsid w:val="43A37B4B"/>
    <w:rsid w:val="43A51B15"/>
    <w:rsid w:val="43B6162D"/>
    <w:rsid w:val="43C31F9B"/>
    <w:rsid w:val="43CD5224"/>
    <w:rsid w:val="43E546CD"/>
    <w:rsid w:val="440B209E"/>
    <w:rsid w:val="440C56F0"/>
    <w:rsid w:val="44112CF2"/>
    <w:rsid w:val="44142270"/>
    <w:rsid w:val="44150A49"/>
    <w:rsid w:val="44240C8C"/>
    <w:rsid w:val="442B3201"/>
    <w:rsid w:val="442C5D93"/>
    <w:rsid w:val="44366C11"/>
    <w:rsid w:val="443F7874"/>
    <w:rsid w:val="445826E4"/>
    <w:rsid w:val="44586B88"/>
    <w:rsid w:val="446B68BB"/>
    <w:rsid w:val="44753296"/>
    <w:rsid w:val="44804576"/>
    <w:rsid w:val="44A2436B"/>
    <w:rsid w:val="44AB4F09"/>
    <w:rsid w:val="44B07D93"/>
    <w:rsid w:val="44B32884"/>
    <w:rsid w:val="44D5342A"/>
    <w:rsid w:val="44D81A76"/>
    <w:rsid w:val="44E623E5"/>
    <w:rsid w:val="44FA19ED"/>
    <w:rsid w:val="44FA5F55"/>
    <w:rsid w:val="4506785B"/>
    <w:rsid w:val="451F76A5"/>
    <w:rsid w:val="45232CF2"/>
    <w:rsid w:val="45272CD2"/>
    <w:rsid w:val="453729B9"/>
    <w:rsid w:val="45404840"/>
    <w:rsid w:val="454669E0"/>
    <w:rsid w:val="456875A5"/>
    <w:rsid w:val="456C72B2"/>
    <w:rsid w:val="4575089E"/>
    <w:rsid w:val="45845EB1"/>
    <w:rsid w:val="458B0897"/>
    <w:rsid w:val="4597723C"/>
    <w:rsid w:val="45A71B75"/>
    <w:rsid w:val="45B1654F"/>
    <w:rsid w:val="45D352D1"/>
    <w:rsid w:val="45D71D2E"/>
    <w:rsid w:val="45DE4E6B"/>
    <w:rsid w:val="45F0744B"/>
    <w:rsid w:val="45FB77CB"/>
    <w:rsid w:val="460B72B5"/>
    <w:rsid w:val="46184820"/>
    <w:rsid w:val="461F4CBD"/>
    <w:rsid w:val="462E521F"/>
    <w:rsid w:val="46317690"/>
    <w:rsid w:val="464E45A8"/>
    <w:rsid w:val="46613E29"/>
    <w:rsid w:val="46623CEE"/>
    <w:rsid w:val="466B0DF4"/>
    <w:rsid w:val="467852BF"/>
    <w:rsid w:val="467856F9"/>
    <w:rsid w:val="468A344A"/>
    <w:rsid w:val="468B579C"/>
    <w:rsid w:val="46AE6F33"/>
    <w:rsid w:val="46C531FB"/>
    <w:rsid w:val="46C67DD9"/>
    <w:rsid w:val="46CC1167"/>
    <w:rsid w:val="46D149CF"/>
    <w:rsid w:val="46D369B8"/>
    <w:rsid w:val="46D87B0C"/>
    <w:rsid w:val="46DC1738"/>
    <w:rsid w:val="46DD3374"/>
    <w:rsid w:val="46E42955"/>
    <w:rsid w:val="46E82445"/>
    <w:rsid w:val="46F5318E"/>
    <w:rsid w:val="46FF153C"/>
    <w:rsid w:val="47305B9A"/>
    <w:rsid w:val="473236C0"/>
    <w:rsid w:val="4732546E"/>
    <w:rsid w:val="473854AE"/>
    <w:rsid w:val="4773076D"/>
    <w:rsid w:val="479009B8"/>
    <w:rsid w:val="47971775"/>
    <w:rsid w:val="479D5FA9"/>
    <w:rsid w:val="479E48B1"/>
    <w:rsid w:val="47BA5463"/>
    <w:rsid w:val="47BB230D"/>
    <w:rsid w:val="47C22C96"/>
    <w:rsid w:val="47C47B51"/>
    <w:rsid w:val="47D604EF"/>
    <w:rsid w:val="47F40975"/>
    <w:rsid w:val="48142DC6"/>
    <w:rsid w:val="48212BE3"/>
    <w:rsid w:val="482374AD"/>
    <w:rsid w:val="483F42E6"/>
    <w:rsid w:val="48455675"/>
    <w:rsid w:val="48512926"/>
    <w:rsid w:val="4851401A"/>
    <w:rsid w:val="48541A79"/>
    <w:rsid w:val="48633239"/>
    <w:rsid w:val="4867383D"/>
    <w:rsid w:val="486E0977"/>
    <w:rsid w:val="48735D3E"/>
    <w:rsid w:val="48757D08"/>
    <w:rsid w:val="48782762"/>
    <w:rsid w:val="488F069E"/>
    <w:rsid w:val="48A203D1"/>
    <w:rsid w:val="48AD0E0E"/>
    <w:rsid w:val="48BE6355"/>
    <w:rsid w:val="48C04CFB"/>
    <w:rsid w:val="48CC36A0"/>
    <w:rsid w:val="48D543F3"/>
    <w:rsid w:val="48F549A5"/>
    <w:rsid w:val="48FB5D34"/>
    <w:rsid w:val="48FD7CFE"/>
    <w:rsid w:val="490D6F79"/>
    <w:rsid w:val="49276B29"/>
    <w:rsid w:val="492E7AC5"/>
    <w:rsid w:val="493279A7"/>
    <w:rsid w:val="4961203A"/>
    <w:rsid w:val="496B110B"/>
    <w:rsid w:val="49700770"/>
    <w:rsid w:val="49750012"/>
    <w:rsid w:val="49A379C2"/>
    <w:rsid w:val="49A63EF1"/>
    <w:rsid w:val="49AE2DA6"/>
    <w:rsid w:val="49BA174B"/>
    <w:rsid w:val="49BA35D5"/>
    <w:rsid w:val="49BE123B"/>
    <w:rsid w:val="49C56A6D"/>
    <w:rsid w:val="49C6610C"/>
    <w:rsid w:val="49CB3958"/>
    <w:rsid w:val="49E05655"/>
    <w:rsid w:val="49E50EBD"/>
    <w:rsid w:val="49E54331"/>
    <w:rsid w:val="49F96717"/>
    <w:rsid w:val="4A1672C9"/>
    <w:rsid w:val="4A175E73"/>
    <w:rsid w:val="4A1946C3"/>
    <w:rsid w:val="4A282B58"/>
    <w:rsid w:val="4A2C20E0"/>
    <w:rsid w:val="4A712751"/>
    <w:rsid w:val="4A765E78"/>
    <w:rsid w:val="4A791933"/>
    <w:rsid w:val="4A8E0D19"/>
    <w:rsid w:val="4A934476"/>
    <w:rsid w:val="4A9401EE"/>
    <w:rsid w:val="4AAB78B4"/>
    <w:rsid w:val="4AB4263E"/>
    <w:rsid w:val="4AC5484B"/>
    <w:rsid w:val="4ACF1226"/>
    <w:rsid w:val="4B0F0283"/>
    <w:rsid w:val="4B1650A7"/>
    <w:rsid w:val="4B215F25"/>
    <w:rsid w:val="4B35552D"/>
    <w:rsid w:val="4B3A2B43"/>
    <w:rsid w:val="4B427C4A"/>
    <w:rsid w:val="4B647BC0"/>
    <w:rsid w:val="4B696EE6"/>
    <w:rsid w:val="4B7342A7"/>
    <w:rsid w:val="4B83098E"/>
    <w:rsid w:val="4B9D6784"/>
    <w:rsid w:val="4BA709B1"/>
    <w:rsid w:val="4BAB55D9"/>
    <w:rsid w:val="4BB46D99"/>
    <w:rsid w:val="4BBF7C5C"/>
    <w:rsid w:val="4BC30D8B"/>
    <w:rsid w:val="4BDA1FDE"/>
    <w:rsid w:val="4BDC1DB6"/>
    <w:rsid w:val="4BE31237"/>
    <w:rsid w:val="4BE64A79"/>
    <w:rsid w:val="4BF44D46"/>
    <w:rsid w:val="4C121D12"/>
    <w:rsid w:val="4C3B3017"/>
    <w:rsid w:val="4C423399"/>
    <w:rsid w:val="4C42560C"/>
    <w:rsid w:val="4C481290"/>
    <w:rsid w:val="4C583BC9"/>
    <w:rsid w:val="4C5916EF"/>
    <w:rsid w:val="4C59349D"/>
    <w:rsid w:val="4C5B5467"/>
    <w:rsid w:val="4C6E50DF"/>
    <w:rsid w:val="4C7142F0"/>
    <w:rsid w:val="4C723A27"/>
    <w:rsid w:val="4C72455F"/>
    <w:rsid w:val="4C760506"/>
    <w:rsid w:val="4C7622A1"/>
    <w:rsid w:val="4C7E73A7"/>
    <w:rsid w:val="4C8147A2"/>
    <w:rsid w:val="4C8A7AFA"/>
    <w:rsid w:val="4CB150B7"/>
    <w:rsid w:val="4CB42DC9"/>
    <w:rsid w:val="4CC254E6"/>
    <w:rsid w:val="4CD46FC7"/>
    <w:rsid w:val="4CD60F91"/>
    <w:rsid w:val="4CDF1FC0"/>
    <w:rsid w:val="4CFD19F7"/>
    <w:rsid w:val="4D0258E3"/>
    <w:rsid w:val="4D0347ED"/>
    <w:rsid w:val="4D2E3A64"/>
    <w:rsid w:val="4D4203D5"/>
    <w:rsid w:val="4D693BB4"/>
    <w:rsid w:val="4D714816"/>
    <w:rsid w:val="4D761E2D"/>
    <w:rsid w:val="4D7772BC"/>
    <w:rsid w:val="4D7C38E7"/>
    <w:rsid w:val="4D87403A"/>
    <w:rsid w:val="4D8E7176"/>
    <w:rsid w:val="4D901140"/>
    <w:rsid w:val="4DA70238"/>
    <w:rsid w:val="4DBC3CE3"/>
    <w:rsid w:val="4DCA162F"/>
    <w:rsid w:val="4DE11BE3"/>
    <w:rsid w:val="4DE30639"/>
    <w:rsid w:val="4DE44FE8"/>
    <w:rsid w:val="4DF0398D"/>
    <w:rsid w:val="4E0F1D97"/>
    <w:rsid w:val="4E10433B"/>
    <w:rsid w:val="4E173610"/>
    <w:rsid w:val="4E1B0685"/>
    <w:rsid w:val="4E345F70"/>
    <w:rsid w:val="4E3B3B03"/>
    <w:rsid w:val="4E3F7F96"/>
    <w:rsid w:val="4E402B66"/>
    <w:rsid w:val="4E4461D7"/>
    <w:rsid w:val="4E4A4FCE"/>
    <w:rsid w:val="4E5008D0"/>
    <w:rsid w:val="4E50267E"/>
    <w:rsid w:val="4E616639"/>
    <w:rsid w:val="4E6A7577"/>
    <w:rsid w:val="4E791BD4"/>
    <w:rsid w:val="4E7C16C5"/>
    <w:rsid w:val="4E7E12A9"/>
    <w:rsid w:val="4E807407"/>
    <w:rsid w:val="4E833086"/>
    <w:rsid w:val="4E8A5B90"/>
    <w:rsid w:val="4E920EE8"/>
    <w:rsid w:val="4E976C7C"/>
    <w:rsid w:val="4EAC01FC"/>
    <w:rsid w:val="4EB64BD7"/>
    <w:rsid w:val="4EBB043F"/>
    <w:rsid w:val="4EBC7D13"/>
    <w:rsid w:val="4EE53914"/>
    <w:rsid w:val="4EE71234"/>
    <w:rsid w:val="4EE72909"/>
    <w:rsid w:val="4EFA0BE3"/>
    <w:rsid w:val="4EFB7527"/>
    <w:rsid w:val="4F226658"/>
    <w:rsid w:val="4F275AD4"/>
    <w:rsid w:val="4F31785F"/>
    <w:rsid w:val="4F394994"/>
    <w:rsid w:val="4F3B4609"/>
    <w:rsid w:val="4F430E3F"/>
    <w:rsid w:val="4F447498"/>
    <w:rsid w:val="4F5B577E"/>
    <w:rsid w:val="4F602735"/>
    <w:rsid w:val="4F622668"/>
    <w:rsid w:val="4F6F7F81"/>
    <w:rsid w:val="4F787048"/>
    <w:rsid w:val="4F7C7D0C"/>
    <w:rsid w:val="4F8F7DF8"/>
    <w:rsid w:val="4FB33B52"/>
    <w:rsid w:val="4FB82BD0"/>
    <w:rsid w:val="4FB95338"/>
    <w:rsid w:val="4FC21589"/>
    <w:rsid w:val="4FC6709B"/>
    <w:rsid w:val="4FD23C92"/>
    <w:rsid w:val="4FD27D53"/>
    <w:rsid w:val="4FD86B92"/>
    <w:rsid w:val="4FF0751A"/>
    <w:rsid w:val="500C55DA"/>
    <w:rsid w:val="501778F7"/>
    <w:rsid w:val="501871CB"/>
    <w:rsid w:val="50254170"/>
    <w:rsid w:val="502D711A"/>
    <w:rsid w:val="50347903"/>
    <w:rsid w:val="503725FA"/>
    <w:rsid w:val="506040FC"/>
    <w:rsid w:val="506E70FB"/>
    <w:rsid w:val="508A631B"/>
    <w:rsid w:val="50917530"/>
    <w:rsid w:val="50A3118B"/>
    <w:rsid w:val="50A656F4"/>
    <w:rsid w:val="50B909AE"/>
    <w:rsid w:val="50BA56EF"/>
    <w:rsid w:val="50E208CC"/>
    <w:rsid w:val="50EE42EE"/>
    <w:rsid w:val="50F32112"/>
    <w:rsid w:val="50F47C38"/>
    <w:rsid w:val="50F814D6"/>
    <w:rsid w:val="50F934A0"/>
    <w:rsid w:val="5107796B"/>
    <w:rsid w:val="511107EA"/>
    <w:rsid w:val="51114346"/>
    <w:rsid w:val="512419E6"/>
    <w:rsid w:val="512D6CA6"/>
    <w:rsid w:val="5136659B"/>
    <w:rsid w:val="514F4E6E"/>
    <w:rsid w:val="51591306"/>
    <w:rsid w:val="51597A9B"/>
    <w:rsid w:val="516A7EFA"/>
    <w:rsid w:val="51786173"/>
    <w:rsid w:val="517A013D"/>
    <w:rsid w:val="51960CEF"/>
    <w:rsid w:val="51A01B92"/>
    <w:rsid w:val="51A27694"/>
    <w:rsid w:val="51A451BA"/>
    <w:rsid w:val="51A47E05"/>
    <w:rsid w:val="51A74CAA"/>
    <w:rsid w:val="51A76A58"/>
    <w:rsid w:val="51A91CFF"/>
    <w:rsid w:val="51AC28BD"/>
    <w:rsid w:val="51B80C66"/>
    <w:rsid w:val="51C21AAD"/>
    <w:rsid w:val="51D04201"/>
    <w:rsid w:val="51D04F5F"/>
    <w:rsid w:val="51DA6E2E"/>
    <w:rsid w:val="51DF61F2"/>
    <w:rsid w:val="51E43809"/>
    <w:rsid w:val="520505BA"/>
    <w:rsid w:val="52214A5D"/>
    <w:rsid w:val="52353D0E"/>
    <w:rsid w:val="52354064"/>
    <w:rsid w:val="52691F60"/>
    <w:rsid w:val="52994AFF"/>
    <w:rsid w:val="52A80CDA"/>
    <w:rsid w:val="52B96A43"/>
    <w:rsid w:val="52D7336D"/>
    <w:rsid w:val="52E53CDC"/>
    <w:rsid w:val="52F65EE9"/>
    <w:rsid w:val="530C3017"/>
    <w:rsid w:val="53166804"/>
    <w:rsid w:val="53312A7E"/>
    <w:rsid w:val="533E555E"/>
    <w:rsid w:val="534A0FD5"/>
    <w:rsid w:val="534F55FA"/>
    <w:rsid w:val="53607807"/>
    <w:rsid w:val="53672943"/>
    <w:rsid w:val="5378723D"/>
    <w:rsid w:val="53984975"/>
    <w:rsid w:val="53A45945"/>
    <w:rsid w:val="53C733E2"/>
    <w:rsid w:val="53CA4C80"/>
    <w:rsid w:val="53CD5259"/>
    <w:rsid w:val="53D43F85"/>
    <w:rsid w:val="53ED28CC"/>
    <w:rsid w:val="53F32429"/>
    <w:rsid w:val="541128AF"/>
    <w:rsid w:val="544155B7"/>
    <w:rsid w:val="544D49B5"/>
    <w:rsid w:val="545033D7"/>
    <w:rsid w:val="54532EC8"/>
    <w:rsid w:val="547C72FA"/>
    <w:rsid w:val="547E083F"/>
    <w:rsid w:val="54826567"/>
    <w:rsid w:val="549F7EBB"/>
    <w:rsid w:val="54B24092"/>
    <w:rsid w:val="54B5148C"/>
    <w:rsid w:val="54B63B19"/>
    <w:rsid w:val="54E0475B"/>
    <w:rsid w:val="54EA382C"/>
    <w:rsid w:val="550834FE"/>
    <w:rsid w:val="55117FBE"/>
    <w:rsid w:val="5516017D"/>
    <w:rsid w:val="55192603"/>
    <w:rsid w:val="551B1C37"/>
    <w:rsid w:val="55264138"/>
    <w:rsid w:val="55283EF1"/>
    <w:rsid w:val="55313209"/>
    <w:rsid w:val="553700F3"/>
    <w:rsid w:val="555B64D8"/>
    <w:rsid w:val="5563713A"/>
    <w:rsid w:val="55873987"/>
    <w:rsid w:val="558F3228"/>
    <w:rsid w:val="559D43FA"/>
    <w:rsid w:val="55B33C1E"/>
    <w:rsid w:val="55C054CE"/>
    <w:rsid w:val="55DB4F23"/>
    <w:rsid w:val="55FC3817"/>
    <w:rsid w:val="56024BA5"/>
    <w:rsid w:val="561C5C67"/>
    <w:rsid w:val="561D2EF6"/>
    <w:rsid w:val="56244B1C"/>
    <w:rsid w:val="56530F5D"/>
    <w:rsid w:val="56574EF1"/>
    <w:rsid w:val="567A298E"/>
    <w:rsid w:val="56811F6E"/>
    <w:rsid w:val="56847368"/>
    <w:rsid w:val="56856D59"/>
    <w:rsid w:val="56903F5F"/>
    <w:rsid w:val="569E48CE"/>
    <w:rsid w:val="56BA722E"/>
    <w:rsid w:val="56C9121F"/>
    <w:rsid w:val="56CA56C3"/>
    <w:rsid w:val="56E44D2C"/>
    <w:rsid w:val="57030BD5"/>
    <w:rsid w:val="57034B73"/>
    <w:rsid w:val="57121C29"/>
    <w:rsid w:val="57174680"/>
    <w:rsid w:val="571F7091"/>
    <w:rsid w:val="57256D9D"/>
    <w:rsid w:val="5748081E"/>
    <w:rsid w:val="57483E6B"/>
    <w:rsid w:val="57527466"/>
    <w:rsid w:val="575B631B"/>
    <w:rsid w:val="576378C6"/>
    <w:rsid w:val="57680A38"/>
    <w:rsid w:val="57763155"/>
    <w:rsid w:val="5789732C"/>
    <w:rsid w:val="578B7FEC"/>
    <w:rsid w:val="579730CB"/>
    <w:rsid w:val="579A3366"/>
    <w:rsid w:val="579E26AC"/>
    <w:rsid w:val="57B94DB7"/>
    <w:rsid w:val="57D8349D"/>
    <w:rsid w:val="57E63DAD"/>
    <w:rsid w:val="57EA769F"/>
    <w:rsid w:val="580C1D0B"/>
    <w:rsid w:val="581558C3"/>
    <w:rsid w:val="582232DD"/>
    <w:rsid w:val="58247055"/>
    <w:rsid w:val="58276B45"/>
    <w:rsid w:val="582A3F3F"/>
    <w:rsid w:val="58421289"/>
    <w:rsid w:val="58490869"/>
    <w:rsid w:val="584D65AC"/>
    <w:rsid w:val="585638D8"/>
    <w:rsid w:val="58586CFE"/>
    <w:rsid w:val="586D09FC"/>
    <w:rsid w:val="5875165E"/>
    <w:rsid w:val="58782EFD"/>
    <w:rsid w:val="587A5AF8"/>
    <w:rsid w:val="58884FE4"/>
    <w:rsid w:val="5889335C"/>
    <w:rsid w:val="589046EA"/>
    <w:rsid w:val="58B670DA"/>
    <w:rsid w:val="58C3162E"/>
    <w:rsid w:val="58C85C32"/>
    <w:rsid w:val="58CB36FC"/>
    <w:rsid w:val="58F307D5"/>
    <w:rsid w:val="58F9403E"/>
    <w:rsid w:val="590B5B1F"/>
    <w:rsid w:val="5919648E"/>
    <w:rsid w:val="591C7D2C"/>
    <w:rsid w:val="591E5852"/>
    <w:rsid w:val="59294555"/>
    <w:rsid w:val="592F3F03"/>
    <w:rsid w:val="594352B9"/>
    <w:rsid w:val="595224C9"/>
    <w:rsid w:val="5976568E"/>
    <w:rsid w:val="598B6C60"/>
    <w:rsid w:val="5996188C"/>
    <w:rsid w:val="59A26483"/>
    <w:rsid w:val="59AC5554"/>
    <w:rsid w:val="59AD6BD6"/>
    <w:rsid w:val="59B368E2"/>
    <w:rsid w:val="59BD150F"/>
    <w:rsid w:val="59BD32BD"/>
    <w:rsid w:val="59C77C98"/>
    <w:rsid w:val="59CA7788"/>
    <w:rsid w:val="59CC3500"/>
    <w:rsid w:val="59E25B39"/>
    <w:rsid w:val="59E85E60"/>
    <w:rsid w:val="59F40CA9"/>
    <w:rsid w:val="59F42A57"/>
    <w:rsid w:val="5A113609"/>
    <w:rsid w:val="5A160C1F"/>
    <w:rsid w:val="5A1D1FAE"/>
    <w:rsid w:val="5A225816"/>
    <w:rsid w:val="5A252C10"/>
    <w:rsid w:val="5A2E7D17"/>
    <w:rsid w:val="5A513A05"/>
    <w:rsid w:val="5A5C19EC"/>
    <w:rsid w:val="5A6C4322"/>
    <w:rsid w:val="5A7B0469"/>
    <w:rsid w:val="5A821E11"/>
    <w:rsid w:val="5A8E07B6"/>
    <w:rsid w:val="5A8E6A07"/>
    <w:rsid w:val="5A93303B"/>
    <w:rsid w:val="5AA93841"/>
    <w:rsid w:val="5AAC50E0"/>
    <w:rsid w:val="5AF0028A"/>
    <w:rsid w:val="5AF2343A"/>
    <w:rsid w:val="5AFA22EF"/>
    <w:rsid w:val="5AFC6067"/>
    <w:rsid w:val="5AFC7E15"/>
    <w:rsid w:val="5B1C4013"/>
    <w:rsid w:val="5B3C2907"/>
    <w:rsid w:val="5B556159"/>
    <w:rsid w:val="5B61411C"/>
    <w:rsid w:val="5B631C42"/>
    <w:rsid w:val="5B667984"/>
    <w:rsid w:val="5B7E4CCE"/>
    <w:rsid w:val="5B8147BE"/>
    <w:rsid w:val="5B8A71CF"/>
    <w:rsid w:val="5B995664"/>
    <w:rsid w:val="5B9C33A6"/>
    <w:rsid w:val="5BAC6905"/>
    <w:rsid w:val="5BB76B59"/>
    <w:rsid w:val="5BBB1A7E"/>
    <w:rsid w:val="5BBB382C"/>
    <w:rsid w:val="5BC07095"/>
    <w:rsid w:val="5BC326E1"/>
    <w:rsid w:val="5BCC287D"/>
    <w:rsid w:val="5BCF72D8"/>
    <w:rsid w:val="5BE03293"/>
    <w:rsid w:val="5BE9027A"/>
    <w:rsid w:val="5C084598"/>
    <w:rsid w:val="5C142F3C"/>
    <w:rsid w:val="5C1473E0"/>
    <w:rsid w:val="5C2048B3"/>
    <w:rsid w:val="5C292E8C"/>
    <w:rsid w:val="5C3A1484"/>
    <w:rsid w:val="5C4A0AE8"/>
    <w:rsid w:val="5C58107B"/>
    <w:rsid w:val="5C5F68AD"/>
    <w:rsid w:val="5C760DD3"/>
    <w:rsid w:val="5C814A76"/>
    <w:rsid w:val="5CA01956"/>
    <w:rsid w:val="5CAE3391"/>
    <w:rsid w:val="5CC2508E"/>
    <w:rsid w:val="5CD5091E"/>
    <w:rsid w:val="5CE809FE"/>
    <w:rsid w:val="5CF5611D"/>
    <w:rsid w:val="5CFB5EAA"/>
    <w:rsid w:val="5CFE60C6"/>
    <w:rsid w:val="5D016D97"/>
    <w:rsid w:val="5D027239"/>
    <w:rsid w:val="5D101956"/>
    <w:rsid w:val="5D1C02FB"/>
    <w:rsid w:val="5D335644"/>
    <w:rsid w:val="5D487342"/>
    <w:rsid w:val="5D525959"/>
    <w:rsid w:val="5D6865A8"/>
    <w:rsid w:val="5D6A375C"/>
    <w:rsid w:val="5D720862"/>
    <w:rsid w:val="5D766B62"/>
    <w:rsid w:val="5D814602"/>
    <w:rsid w:val="5DA622BA"/>
    <w:rsid w:val="5DAB1F64"/>
    <w:rsid w:val="5DAF5613"/>
    <w:rsid w:val="5DB431D5"/>
    <w:rsid w:val="5DB76275"/>
    <w:rsid w:val="5DCB2C8B"/>
    <w:rsid w:val="5DCC7F73"/>
    <w:rsid w:val="5DEB5F1F"/>
    <w:rsid w:val="5DF94AE0"/>
    <w:rsid w:val="5DFA4C08"/>
    <w:rsid w:val="5E224037"/>
    <w:rsid w:val="5E364898"/>
    <w:rsid w:val="5E451AD3"/>
    <w:rsid w:val="5E4C10B3"/>
    <w:rsid w:val="5E6957C1"/>
    <w:rsid w:val="5E6E48EE"/>
    <w:rsid w:val="5E7C1A86"/>
    <w:rsid w:val="5E7D126D"/>
    <w:rsid w:val="5E85254E"/>
    <w:rsid w:val="5E862EF1"/>
    <w:rsid w:val="5E887140"/>
    <w:rsid w:val="5EA42C9D"/>
    <w:rsid w:val="5EA70098"/>
    <w:rsid w:val="5EB36A3D"/>
    <w:rsid w:val="5EB629D1"/>
    <w:rsid w:val="5EC14154"/>
    <w:rsid w:val="5ECE7D1A"/>
    <w:rsid w:val="5EDA66BF"/>
    <w:rsid w:val="5EE87B65"/>
    <w:rsid w:val="5EEA4A34"/>
    <w:rsid w:val="5EEB1B28"/>
    <w:rsid w:val="5EF552A7"/>
    <w:rsid w:val="5EF66FDC"/>
    <w:rsid w:val="5EFC4888"/>
    <w:rsid w:val="5F096FA4"/>
    <w:rsid w:val="5F13572D"/>
    <w:rsid w:val="5F2A341F"/>
    <w:rsid w:val="5F3C4C84"/>
    <w:rsid w:val="5F4104EC"/>
    <w:rsid w:val="5F553F98"/>
    <w:rsid w:val="5F577D10"/>
    <w:rsid w:val="5F8E3006"/>
    <w:rsid w:val="5F93686E"/>
    <w:rsid w:val="5FAA5C20"/>
    <w:rsid w:val="5FB24F46"/>
    <w:rsid w:val="5FBC5DC5"/>
    <w:rsid w:val="5FC02A17"/>
    <w:rsid w:val="5FC37153"/>
    <w:rsid w:val="5FCE2169"/>
    <w:rsid w:val="5FD05DF0"/>
    <w:rsid w:val="5FD27396"/>
    <w:rsid w:val="5FDC1FC3"/>
    <w:rsid w:val="5FE86BBA"/>
    <w:rsid w:val="5FF1006B"/>
    <w:rsid w:val="5FF941C5"/>
    <w:rsid w:val="6008100A"/>
    <w:rsid w:val="6017124D"/>
    <w:rsid w:val="603315F8"/>
    <w:rsid w:val="60340051"/>
    <w:rsid w:val="604638E0"/>
    <w:rsid w:val="60483AFC"/>
    <w:rsid w:val="605B738C"/>
    <w:rsid w:val="60651FB9"/>
    <w:rsid w:val="60917251"/>
    <w:rsid w:val="60B44CEE"/>
    <w:rsid w:val="60BA0556"/>
    <w:rsid w:val="60BF3DBF"/>
    <w:rsid w:val="60C34F31"/>
    <w:rsid w:val="60D93563"/>
    <w:rsid w:val="60EC4488"/>
    <w:rsid w:val="60F4333C"/>
    <w:rsid w:val="610A1A6A"/>
    <w:rsid w:val="612C1631"/>
    <w:rsid w:val="613C71BD"/>
    <w:rsid w:val="6146373D"/>
    <w:rsid w:val="61502616"/>
    <w:rsid w:val="6151253D"/>
    <w:rsid w:val="61597718"/>
    <w:rsid w:val="6166293B"/>
    <w:rsid w:val="616B7AA3"/>
    <w:rsid w:val="617C1CB0"/>
    <w:rsid w:val="61930DA7"/>
    <w:rsid w:val="61A84853"/>
    <w:rsid w:val="61B2415B"/>
    <w:rsid w:val="61B5757C"/>
    <w:rsid w:val="61CC7E2C"/>
    <w:rsid w:val="61CF0031"/>
    <w:rsid w:val="61E93776"/>
    <w:rsid w:val="61ED6709"/>
    <w:rsid w:val="61F01D56"/>
    <w:rsid w:val="61FE0917"/>
    <w:rsid w:val="620A1069"/>
    <w:rsid w:val="620B4DE2"/>
    <w:rsid w:val="620E5989"/>
    <w:rsid w:val="620F042E"/>
    <w:rsid w:val="62157A0E"/>
    <w:rsid w:val="62255EA3"/>
    <w:rsid w:val="623139CC"/>
    <w:rsid w:val="624B6EF0"/>
    <w:rsid w:val="624F1172"/>
    <w:rsid w:val="62523FC2"/>
    <w:rsid w:val="626562A0"/>
    <w:rsid w:val="628C1A7E"/>
    <w:rsid w:val="628F156F"/>
    <w:rsid w:val="62922E0D"/>
    <w:rsid w:val="62982243"/>
    <w:rsid w:val="629E5C56"/>
    <w:rsid w:val="62B2525D"/>
    <w:rsid w:val="62B611F1"/>
    <w:rsid w:val="62B62F9F"/>
    <w:rsid w:val="62BD2580"/>
    <w:rsid w:val="62C00EA2"/>
    <w:rsid w:val="62DA4EE0"/>
    <w:rsid w:val="62DB0C58"/>
    <w:rsid w:val="62DD422B"/>
    <w:rsid w:val="62F5596F"/>
    <w:rsid w:val="632B5788"/>
    <w:rsid w:val="633A0929"/>
    <w:rsid w:val="634C7460"/>
    <w:rsid w:val="6354487F"/>
    <w:rsid w:val="63712925"/>
    <w:rsid w:val="638135AD"/>
    <w:rsid w:val="63844E4C"/>
    <w:rsid w:val="63936E3D"/>
    <w:rsid w:val="639F1C85"/>
    <w:rsid w:val="63A92B04"/>
    <w:rsid w:val="63AB23D8"/>
    <w:rsid w:val="63C94C1E"/>
    <w:rsid w:val="63CF467D"/>
    <w:rsid w:val="63E61662"/>
    <w:rsid w:val="63F0428F"/>
    <w:rsid w:val="63F547AE"/>
    <w:rsid w:val="63FB791D"/>
    <w:rsid w:val="63FD075A"/>
    <w:rsid w:val="640C1565"/>
    <w:rsid w:val="640D4088"/>
    <w:rsid w:val="64195594"/>
    <w:rsid w:val="641F4B74"/>
    <w:rsid w:val="642B3519"/>
    <w:rsid w:val="6451072E"/>
    <w:rsid w:val="645760BC"/>
    <w:rsid w:val="645A41B8"/>
    <w:rsid w:val="645E38EF"/>
    <w:rsid w:val="64695B2D"/>
    <w:rsid w:val="646D58E0"/>
    <w:rsid w:val="647E7AED"/>
    <w:rsid w:val="647F6E20"/>
    <w:rsid w:val="64807306"/>
    <w:rsid w:val="64CC2376"/>
    <w:rsid w:val="64CD637E"/>
    <w:rsid w:val="64E75692"/>
    <w:rsid w:val="64F31B30"/>
    <w:rsid w:val="64F93617"/>
    <w:rsid w:val="65071890"/>
    <w:rsid w:val="65110961"/>
    <w:rsid w:val="65240694"/>
    <w:rsid w:val="654F3237"/>
    <w:rsid w:val="657131AE"/>
    <w:rsid w:val="657C227E"/>
    <w:rsid w:val="659B647C"/>
    <w:rsid w:val="65B5782C"/>
    <w:rsid w:val="65B82E75"/>
    <w:rsid w:val="65C23A09"/>
    <w:rsid w:val="65CB6D62"/>
    <w:rsid w:val="65E41BD1"/>
    <w:rsid w:val="65E46075"/>
    <w:rsid w:val="65F30067"/>
    <w:rsid w:val="66011168"/>
    <w:rsid w:val="660404C6"/>
    <w:rsid w:val="66042274"/>
    <w:rsid w:val="66044022"/>
    <w:rsid w:val="66212E26"/>
    <w:rsid w:val="66263F98"/>
    <w:rsid w:val="664D7777"/>
    <w:rsid w:val="665E1984"/>
    <w:rsid w:val="666F3B91"/>
    <w:rsid w:val="66815672"/>
    <w:rsid w:val="66817B87"/>
    <w:rsid w:val="66847BEE"/>
    <w:rsid w:val="669A2A56"/>
    <w:rsid w:val="66A51361"/>
    <w:rsid w:val="66A55805"/>
    <w:rsid w:val="66BF24AF"/>
    <w:rsid w:val="66BF3AE2"/>
    <w:rsid w:val="66C8777F"/>
    <w:rsid w:val="66D23904"/>
    <w:rsid w:val="66E04AAC"/>
    <w:rsid w:val="66F777B3"/>
    <w:rsid w:val="66FC2F4B"/>
    <w:rsid w:val="67002A3B"/>
    <w:rsid w:val="67006EDF"/>
    <w:rsid w:val="670562A3"/>
    <w:rsid w:val="670818F0"/>
    <w:rsid w:val="670C13E0"/>
    <w:rsid w:val="671B0C97"/>
    <w:rsid w:val="6727621A"/>
    <w:rsid w:val="67401089"/>
    <w:rsid w:val="67452B44"/>
    <w:rsid w:val="674E7C4A"/>
    <w:rsid w:val="676F7BC1"/>
    <w:rsid w:val="6779088F"/>
    <w:rsid w:val="677A0A3F"/>
    <w:rsid w:val="67BA708E"/>
    <w:rsid w:val="67CA7C34"/>
    <w:rsid w:val="67D57A24"/>
    <w:rsid w:val="67DA14DE"/>
    <w:rsid w:val="67E96B51"/>
    <w:rsid w:val="67ED2C23"/>
    <w:rsid w:val="67F105D6"/>
    <w:rsid w:val="67F24A7A"/>
    <w:rsid w:val="68014CBD"/>
    <w:rsid w:val="682E5386"/>
    <w:rsid w:val="683055A2"/>
    <w:rsid w:val="68476ADF"/>
    <w:rsid w:val="684921C0"/>
    <w:rsid w:val="68725BBA"/>
    <w:rsid w:val="687436E1"/>
    <w:rsid w:val="68774F7F"/>
    <w:rsid w:val="687E455F"/>
    <w:rsid w:val="68804938"/>
    <w:rsid w:val="68866F70"/>
    <w:rsid w:val="688B0A2A"/>
    <w:rsid w:val="68914293"/>
    <w:rsid w:val="689B69C9"/>
    <w:rsid w:val="68AE4433"/>
    <w:rsid w:val="68BE2BAE"/>
    <w:rsid w:val="68C1444C"/>
    <w:rsid w:val="68C1535A"/>
    <w:rsid w:val="68C47A98"/>
    <w:rsid w:val="68DC0690"/>
    <w:rsid w:val="68E02B24"/>
    <w:rsid w:val="68EA30E9"/>
    <w:rsid w:val="68EF720B"/>
    <w:rsid w:val="68F37AE0"/>
    <w:rsid w:val="68F66048"/>
    <w:rsid w:val="6909068F"/>
    <w:rsid w:val="690A5DF3"/>
    <w:rsid w:val="691571CE"/>
    <w:rsid w:val="691B590A"/>
    <w:rsid w:val="6920122A"/>
    <w:rsid w:val="692C7B17"/>
    <w:rsid w:val="693C58B0"/>
    <w:rsid w:val="694C0F5E"/>
    <w:rsid w:val="6952502B"/>
    <w:rsid w:val="69531548"/>
    <w:rsid w:val="69653029"/>
    <w:rsid w:val="69747710"/>
    <w:rsid w:val="697D0373"/>
    <w:rsid w:val="698F0049"/>
    <w:rsid w:val="6994390F"/>
    <w:rsid w:val="69967687"/>
    <w:rsid w:val="699857E2"/>
    <w:rsid w:val="699E7743"/>
    <w:rsid w:val="69A37842"/>
    <w:rsid w:val="69A753F0"/>
    <w:rsid w:val="69C53AC8"/>
    <w:rsid w:val="69D361E5"/>
    <w:rsid w:val="69DA3A17"/>
    <w:rsid w:val="69DC778F"/>
    <w:rsid w:val="69F01538"/>
    <w:rsid w:val="69F947C4"/>
    <w:rsid w:val="6A0942FC"/>
    <w:rsid w:val="6A38073E"/>
    <w:rsid w:val="6A486BD3"/>
    <w:rsid w:val="6A51309E"/>
    <w:rsid w:val="6A5F3B13"/>
    <w:rsid w:val="6A6921D7"/>
    <w:rsid w:val="6A701C86"/>
    <w:rsid w:val="6A837C0B"/>
    <w:rsid w:val="6AB46016"/>
    <w:rsid w:val="6AC56475"/>
    <w:rsid w:val="6AEF52A0"/>
    <w:rsid w:val="6AF26B3F"/>
    <w:rsid w:val="6AFB70A7"/>
    <w:rsid w:val="6B375948"/>
    <w:rsid w:val="6B5E41D4"/>
    <w:rsid w:val="6B7D28AC"/>
    <w:rsid w:val="6B8005EE"/>
    <w:rsid w:val="6B8E4AB9"/>
    <w:rsid w:val="6BC71D79"/>
    <w:rsid w:val="6BD07CBB"/>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820D7B"/>
    <w:rsid w:val="6C9C075E"/>
    <w:rsid w:val="6CBC7404"/>
    <w:rsid w:val="6CCA0760"/>
    <w:rsid w:val="6CCB3AEB"/>
    <w:rsid w:val="6CDE55CC"/>
    <w:rsid w:val="6CE626D3"/>
    <w:rsid w:val="6CFC1EF7"/>
    <w:rsid w:val="6D06067F"/>
    <w:rsid w:val="6D1938A5"/>
    <w:rsid w:val="6D29653F"/>
    <w:rsid w:val="6D2A6A64"/>
    <w:rsid w:val="6D4F2026"/>
    <w:rsid w:val="6D652843"/>
    <w:rsid w:val="6D6A1F10"/>
    <w:rsid w:val="6D747CDF"/>
    <w:rsid w:val="6D757E51"/>
    <w:rsid w:val="6D9E6B0A"/>
    <w:rsid w:val="6DA700B4"/>
    <w:rsid w:val="6DBB2D57"/>
    <w:rsid w:val="6DC55174"/>
    <w:rsid w:val="6DEA1D4F"/>
    <w:rsid w:val="6DEE5CE3"/>
    <w:rsid w:val="6DF244FF"/>
    <w:rsid w:val="6DF50166"/>
    <w:rsid w:val="6DF66946"/>
    <w:rsid w:val="6E0472B5"/>
    <w:rsid w:val="6E1B015A"/>
    <w:rsid w:val="6E1F22D0"/>
    <w:rsid w:val="6E242F18"/>
    <w:rsid w:val="6E315758"/>
    <w:rsid w:val="6E49116B"/>
    <w:rsid w:val="6E49284E"/>
    <w:rsid w:val="6E4B4EE4"/>
    <w:rsid w:val="6E4C0C5C"/>
    <w:rsid w:val="6E5024FA"/>
    <w:rsid w:val="6E647D14"/>
    <w:rsid w:val="6E6821DA"/>
    <w:rsid w:val="6E755C1E"/>
    <w:rsid w:val="6E9E14B7"/>
    <w:rsid w:val="6EAE7221"/>
    <w:rsid w:val="6EB81C75"/>
    <w:rsid w:val="6EBA3E17"/>
    <w:rsid w:val="6EBA45BB"/>
    <w:rsid w:val="6EC151A6"/>
    <w:rsid w:val="6ECB1BA9"/>
    <w:rsid w:val="6EDD3662"/>
    <w:rsid w:val="6EEF1D13"/>
    <w:rsid w:val="6EF530A1"/>
    <w:rsid w:val="6EF8049C"/>
    <w:rsid w:val="6F0F4163"/>
    <w:rsid w:val="6F1A48B6"/>
    <w:rsid w:val="6F1D401E"/>
    <w:rsid w:val="6F5328E3"/>
    <w:rsid w:val="6F59718C"/>
    <w:rsid w:val="6F5B1156"/>
    <w:rsid w:val="6F6A3061"/>
    <w:rsid w:val="6F79782E"/>
    <w:rsid w:val="6F7E6BF3"/>
    <w:rsid w:val="6F800BBD"/>
    <w:rsid w:val="6F853250"/>
    <w:rsid w:val="6F865AA7"/>
    <w:rsid w:val="6F8F7052"/>
    <w:rsid w:val="6F926B42"/>
    <w:rsid w:val="6F9A3982"/>
    <w:rsid w:val="6FAE2100"/>
    <w:rsid w:val="6FBE3493"/>
    <w:rsid w:val="6FDC1B6B"/>
    <w:rsid w:val="6FE0776D"/>
    <w:rsid w:val="6FE729EA"/>
    <w:rsid w:val="6FF908A4"/>
    <w:rsid w:val="705B0CE2"/>
    <w:rsid w:val="706A7177"/>
    <w:rsid w:val="707324D0"/>
    <w:rsid w:val="707D5148"/>
    <w:rsid w:val="70910BA8"/>
    <w:rsid w:val="7091255F"/>
    <w:rsid w:val="709F32C5"/>
    <w:rsid w:val="70B76860"/>
    <w:rsid w:val="70BF3A49"/>
    <w:rsid w:val="70C150BF"/>
    <w:rsid w:val="70CD6084"/>
    <w:rsid w:val="70D0347E"/>
    <w:rsid w:val="70E46F2A"/>
    <w:rsid w:val="70EE5FFA"/>
    <w:rsid w:val="70F25AEA"/>
    <w:rsid w:val="710834A3"/>
    <w:rsid w:val="71144C29"/>
    <w:rsid w:val="712A0CA0"/>
    <w:rsid w:val="714A1482"/>
    <w:rsid w:val="714F6EF1"/>
    <w:rsid w:val="71566079"/>
    <w:rsid w:val="716342F2"/>
    <w:rsid w:val="71755DD4"/>
    <w:rsid w:val="71777D9E"/>
    <w:rsid w:val="71816E6E"/>
    <w:rsid w:val="718B3849"/>
    <w:rsid w:val="718F50E7"/>
    <w:rsid w:val="718F6E95"/>
    <w:rsid w:val="719D2378"/>
    <w:rsid w:val="71B756B4"/>
    <w:rsid w:val="71C76DE6"/>
    <w:rsid w:val="71C805F9"/>
    <w:rsid w:val="71E84124"/>
    <w:rsid w:val="71ED4DB5"/>
    <w:rsid w:val="71F118FE"/>
    <w:rsid w:val="72035AD5"/>
    <w:rsid w:val="72113D4E"/>
    <w:rsid w:val="72377C1B"/>
    <w:rsid w:val="723D0FE7"/>
    <w:rsid w:val="724E4FA2"/>
    <w:rsid w:val="7250492A"/>
    <w:rsid w:val="72800ED4"/>
    <w:rsid w:val="729055BB"/>
    <w:rsid w:val="729206A4"/>
    <w:rsid w:val="72AE5A41"/>
    <w:rsid w:val="72B1108D"/>
    <w:rsid w:val="72C74D55"/>
    <w:rsid w:val="72CB65F3"/>
    <w:rsid w:val="72DA4A88"/>
    <w:rsid w:val="72F76811"/>
    <w:rsid w:val="72FF2D63"/>
    <w:rsid w:val="73075151"/>
    <w:rsid w:val="73092C77"/>
    <w:rsid w:val="731E38AE"/>
    <w:rsid w:val="73441F01"/>
    <w:rsid w:val="739A7D73"/>
    <w:rsid w:val="73B40E35"/>
    <w:rsid w:val="73B9469D"/>
    <w:rsid w:val="73D47729"/>
    <w:rsid w:val="73DD443B"/>
    <w:rsid w:val="73F13E37"/>
    <w:rsid w:val="73F6144E"/>
    <w:rsid w:val="73F6747D"/>
    <w:rsid w:val="73F8540E"/>
    <w:rsid w:val="74171692"/>
    <w:rsid w:val="7419513C"/>
    <w:rsid w:val="741C69DA"/>
    <w:rsid w:val="742A10F7"/>
    <w:rsid w:val="746623CF"/>
    <w:rsid w:val="74716D26"/>
    <w:rsid w:val="747D56CB"/>
    <w:rsid w:val="74842EFD"/>
    <w:rsid w:val="748E60C0"/>
    <w:rsid w:val="74AA0C93"/>
    <w:rsid w:val="74AE06FF"/>
    <w:rsid w:val="74C37BC5"/>
    <w:rsid w:val="74C94DB4"/>
    <w:rsid w:val="74D3353D"/>
    <w:rsid w:val="74D81FD1"/>
    <w:rsid w:val="74DA5847"/>
    <w:rsid w:val="74FD067F"/>
    <w:rsid w:val="750A2CD7"/>
    <w:rsid w:val="7516167C"/>
    <w:rsid w:val="751D2A0A"/>
    <w:rsid w:val="75257746"/>
    <w:rsid w:val="752E2E69"/>
    <w:rsid w:val="753D2AC7"/>
    <w:rsid w:val="75427CCB"/>
    <w:rsid w:val="755A3C5E"/>
    <w:rsid w:val="755C0CA5"/>
    <w:rsid w:val="755D54FC"/>
    <w:rsid w:val="758D465D"/>
    <w:rsid w:val="75907680"/>
    <w:rsid w:val="75A629FF"/>
    <w:rsid w:val="75A849CA"/>
    <w:rsid w:val="75B570E6"/>
    <w:rsid w:val="75D457BF"/>
    <w:rsid w:val="75DE03EB"/>
    <w:rsid w:val="75FA676B"/>
    <w:rsid w:val="75FB0F9D"/>
    <w:rsid w:val="75FD2BD6"/>
    <w:rsid w:val="760F2C9B"/>
    <w:rsid w:val="761D3FCF"/>
    <w:rsid w:val="762C55FB"/>
    <w:rsid w:val="76441CA9"/>
    <w:rsid w:val="765379C9"/>
    <w:rsid w:val="765B7C8E"/>
    <w:rsid w:val="766E5C13"/>
    <w:rsid w:val="767E572A"/>
    <w:rsid w:val="76876CD5"/>
    <w:rsid w:val="76984A3E"/>
    <w:rsid w:val="769A6A08"/>
    <w:rsid w:val="76A32F1D"/>
    <w:rsid w:val="76A746E7"/>
    <w:rsid w:val="76B86E8E"/>
    <w:rsid w:val="76E73DD3"/>
    <w:rsid w:val="76F37EC6"/>
    <w:rsid w:val="77040325"/>
    <w:rsid w:val="770475FA"/>
    <w:rsid w:val="77104AE3"/>
    <w:rsid w:val="77253DF8"/>
    <w:rsid w:val="772C162A"/>
    <w:rsid w:val="77316C41"/>
    <w:rsid w:val="773A5FCF"/>
    <w:rsid w:val="773B1232"/>
    <w:rsid w:val="77400C32"/>
    <w:rsid w:val="774F20A4"/>
    <w:rsid w:val="778E4093"/>
    <w:rsid w:val="779416A9"/>
    <w:rsid w:val="779E35F4"/>
    <w:rsid w:val="779F004E"/>
    <w:rsid w:val="77AC58B8"/>
    <w:rsid w:val="77AF3397"/>
    <w:rsid w:val="77B27D8A"/>
    <w:rsid w:val="77B7409B"/>
    <w:rsid w:val="77BE04D4"/>
    <w:rsid w:val="77C16217"/>
    <w:rsid w:val="77C8536B"/>
    <w:rsid w:val="77CE623E"/>
    <w:rsid w:val="77D933D6"/>
    <w:rsid w:val="77DC4DFE"/>
    <w:rsid w:val="77DE2925"/>
    <w:rsid w:val="77E85551"/>
    <w:rsid w:val="77EF5EF4"/>
    <w:rsid w:val="77F77A99"/>
    <w:rsid w:val="78171A2A"/>
    <w:rsid w:val="781F620E"/>
    <w:rsid w:val="782C2A35"/>
    <w:rsid w:val="78314464"/>
    <w:rsid w:val="7836450F"/>
    <w:rsid w:val="785A653C"/>
    <w:rsid w:val="7860158C"/>
    <w:rsid w:val="786D5A56"/>
    <w:rsid w:val="78727980"/>
    <w:rsid w:val="78B02A3A"/>
    <w:rsid w:val="78B35B5F"/>
    <w:rsid w:val="78BE2756"/>
    <w:rsid w:val="78C87131"/>
    <w:rsid w:val="78D70645"/>
    <w:rsid w:val="78E8332F"/>
    <w:rsid w:val="78EC1071"/>
    <w:rsid w:val="79022643"/>
    <w:rsid w:val="79130304"/>
    <w:rsid w:val="792425B9"/>
    <w:rsid w:val="79532082"/>
    <w:rsid w:val="795B7FA5"/>
    <w:rsid w:val="7961380D"/>
    <w:rsid w:val="79615AF9"/>
    <w:rsid w:val="797352EE"/>
    <w:rsid w:val="79736408"/>
    <w:rsid w:val="798602F1"/>
    <w:rsid w:val="79907C4E"/>
    <w:rsid w:val="799830D5"/>
    <w:rsid w:val="79B17BC5"/>
    <w:rsid w:val="79C618C2"/>
    <w:rsid w:val="79C97604"/>
    <w:rsid w:val="79CD2C51"/>
    <w:rsid w:val="79D55FA9"/>
    <w:rsid w:val="79DA14EC"/>
    <w:rsid w:val="79DA35C0"/>
    <w:rsid w:val="79DC7338"/>
    <w:rsid w:val="79E85CDC"/>
    <w:rsid w:val="79F24465"/>
    <w:rsid w:val="79F91C98"/>
    <w:rsid w:val="79F933B7"/>
    <w:rsid w:val="79FA156C"/>
    <w:rsid w:val="7A1114F8"/>
    <w:rsid w:val="7A2043B6"/>
    <w:rsid w:val="7A2465E9"/>
    <w:rsid w:val="7A2C4364"/>
    <w:rsid w:val="7A4822D7"/>
    <w:rsid w:val="7A554A5D"/>
    <w:rsid w:val="7A5769BE"/>
    <w:rsid w:val="7A5B3D8A"/>
    <w:rsid w:val="7A5E3547"/>
    <w:rsid w:val="7A633442"/>
    <w:rsid w:val="7A637111"/>
    <w:rsid w:val="7A656E5D"/>
    <w:rsid w:val="7A6A04A0"/>
    <w:rsid w:val="7A6C06BC"/>
    <w:rsid w:val="7A8A0B42"/>
    <w:rsid w:val="7A9279F6"/>
    <w:rsid w:val="7A94551C"/>
    <w:rsid w:val="7A9B1D00"/>
    <w:rsid w:val="7AA13C8B"/>
    <w:rsid w:val="7AA8546C"/>
    <w:rsid w:val="7AAF2356"/>
    <w:rsid w:val="7AC027B5"/>
    <w:rsid w:val="7AC73B47"/>
    <w:rsid w:val="7ACC46D5"/>
    <w:rsid w:val="7AD15C45"/>
    <w:rsid w:val="7AD324E9"/>
    <w:rsid w:val="7AD87AFF"/>
    <w:rsid w:val="7ADB314B"/>
    <w:rsid w:val="7AE85868"/>
    <w:rsid w:val="7AF64429"/>
    <w:rsid w:val="7AFE6E3A"/>
    <w:rsid w:val="7B036B7D"/>
    <w:rsid w:val="7B085777"/>
    <w:rsid w:val="7B0C77A9"/>
    <w:rsid w:val="7B14377D"/>
    <w:rsid w:val="7B5F3D7C"/>
    <w:rsid w:val="7B607AF4"/>
    <w:rsid w:val="7B6B212D"/>
    <w:rsid w:val="7B7731FF"/>
    <w:rsid w:val="7B810197"/>
    <w:rsid w:val="7B99773A"/>
    <w:rsid w:val="7B9B28DB"/>
    <w:rsid w:val="7BB40ADC"/>
    <w:rsid w:val="7BB66BC0"/>
    <w:rsid w:val="7BCC0227"/>
    <w:rsid w:val="7BDF0A19"/>
    <w:rsid w:val="7BE97AEA"/>
    <w:rsid w:val="7BF30DFF"/>
    <w:rsid w:val="7C0B5CB2"/>
    <w:rsid w:val="7C23124E"/>
    <w:rsid w:val="7C3F3BAE"/>
    <w:rsid w:val="7C4A0798"/>
    <w:rsid w:val="7C6B04FF"/>
    <w:rsid w:val="7C6F2531"/>
    <w:rsid w:val="7C6F4493"/>
    <w:rsid w:val="7C705B15"/>
    <w:rsid w:val="7C767E66"/>
    <w:rsid w:val="7C7B2E69"/>
    <w:rsid w:val="7C907F65"/>
    <w:rsid w:val="7C9712F4"/>
    <w:rsid w:val="7CAB701E"/>
    <w:rsid w:val="7CB1695B"/>
    <w:rsid w:val="7CB43C54"/>
    <w:rsid w:val="7CB90025"/>
    <w:rsid w:val="7CC145C3"/>
    <w:rsid w:val="7CCF0A8E"/>
    <w:rsid w:val="7CDE2C67"/>
    <w:rsid w:val="7CE333B2"/>
    <w:rsid w:val="7D263448"/>
    <w:rsid w:val="7D283B94"/>
    <w:rsid w:val="7D2F59D0"/>
    <w:rsid w:val="7D450D50"/>
    <w:rsid w:val="7D480840"/>
    <w:rsid w:val="7D522C40"/>
    <w:rsid w:val="7D545437"/>
    <w:rsid w:val="7D5471E5"/>
    <w:rsid w:val="7D586CD5"/>
    <w:rsid w:val="7D5C1B64"/>
    <w:rsid w:val="7D685736"/>
    <w:rsid w:val="7D711B45"/>
    <w:rsid w:val="7D831878"/>
    <w:rsid w:val="7D845D1C"/>
    <w:rsid w:val="7D943A85"/>
    <w:rsid w:val="7D9A5540"/>
    <w:rsid w:val="7D9A72EE"/>
    <w:rsid w:val="7DA4016C"/>
    <w:rsid w:val="7DB52379"/>
    <w:rsid w:val="7DB61C4E"/>
    <w:rsid w:val="7DBE4F88"/>
    <w:rsid w:val="7DC75C09"/>
    <w:rsid w:val="7DD002AD"/>
    <w:rsid w:val="7DE02DFB"/>
    <w:rsid w:val="7DFD787D"/>
    <w:rsid w:val="7E043A00"/>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AA58CA"/>
    <w:rsid w:val="7EB0669D"/>
    <w:rsid w:val="7EB4618D"/>
    <w:rsid w:val="7EBA751C"/>
    <w:rsid w:val="7EBE525E"/>
    <w:rsid w:val="7ED3764A"/>
    <w:rsid w:val="7ED54355"/>
    <w:rsid w:val="7ED72EDB"/>
    <w:rsid w:val="7EDC4C8D"/>
    <w:rsid w:val="7EE50DE2"/>
    <w:rsid w:val="7EE66563"/>
    <w:rsid w:val="7EEA6053"/>
    <w:rsid w:val="7EEF18BB"/>
    <w:rsid w:val="7EEF5417"/>
    <w:rsid w:val="7EF667A6"/>
    <w:rsid w:val="7F1135E0"/>
    <w:rsid w:val="7F1F34DD"/>
    <w:rsid w:val="7F392B36"/>
    <w:rsid w:val="7F3948E4"/>
    <w:rsid w:val="7F3D2627"/>
    <w:rsid w:val="7F3D4B93"/>
    <w:rsid w:val="7F5F07EF"/>
    <w:rsid w:val="7F655172"/>
    <w:rsid w:val="7F727E99"/>
    <w:rsid w:val="7F791980"/>
    <w:rsid w:val="7F7B4EFD"/>
    <w:rsid w:val="7F7E49ED"/>
    <w:rsid w:val="7F8518D8"/>
    <w:rsid w:val="7F8E2E82"/>
    <w:rsid w:val="7F911521"/>
    <w:rsid w:val="7F9A1827"/>
    <w:rsid w:val="7FB00296"/>
    <w:rsid w:val="7FBD1D96"/>
    <w:rsid w:val="7FBF240C"/>
    <w:rsid w:val="7FCF5A65"/>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40"/>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2"/>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4"/>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5"/>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6"/>
    <w:semiHidden/>
    <w:unhideWhenUsed/>
    <w:qFormat/>
    <w:uiPriority w:val="99"/>
    <w:pPr>
      <w:shd w:val="clear" w:color="auto" w:fill="000080"/>
    </w:pPr>
  </w:style>
  <w:style w:type="paragraph" w:styleId="13">
    <w:name w:val="annotation text"/>
    <w:basedOn w:val="1"/>
    <w:link w:val="57"/>
    <w:unhideWhenUsed/>
    <w:qFormat/>
    <w:uiPriority w:val="99"/>
    <w:pPr>
      <w:jc w:val="left"/>
    </w:pPr>
  </w:style>
  <w:style w:type="paragraph" w:styleId="14">
    <w:name w:val="Body Text"/>
    <w:basedOn w:val="1"/>
    <w:next w:val="1"/>
    <w:link w:val="52"/>
    <w:qFormat/>
    <w:uiPriority w:val="0"/>
    <w:pPr>
      <w:spacing w:after="120"/>
    </w:pPr>
  </w:style>
  <w:style w:type="paragraph" w:styleId="15">
    <w:name w:val="Body Text Indent"/>
    <w:basedOn w:val="1"/>
    <w:next w:val="16"/>
    <w:link w:val="54"/>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Block Text"/>
    <w:basedOn w:val="1"/>
    <w:unhideWhenUsed/>
    <w:qFormat/>
    <w:uiPriority w:val="99"/>
    <w:pPr>
      <w:ind w:left="1440" w:leftChars="700" w:right="700" w:rightChars="700"/>
    </w:pPr>
    <w:rPr>
      <w:szCs w:val="24"/>
    </w:rPr>
  </w:style>
  <w:style w:type="paragraph" w:styleId="18">
    <w:name w:val="toc 5"/>
    <w:basedOn w:val="1"/>
    <w:next w:val="1"/>
    <w:unhideWhenUsed/>
    <w:qFormat/>
    <w:uiPriority w:val="39"/>
    <w:pPr>
      <w:spacing w:line="240" w:lineRule="auto"/>
      <w:ind w:left="1680" w:leftChars="800" w:firstLine="0" w:firstLineChars="0"/>
    </w:pPr>
    <w:rPr>
      <w:rFonts w:eastAsiaTheme="minorEastAsia"/>
    </w:rPr>
  </w:style>
  <w:style w:type="paragraph" w:styleId="19">
    <w:name w:val="toc 3"/>
    <w:basedOn w:val="1"/>
    <w:next w:val="1"/>
    <w:unhideWhenUsed/>
    <w:qFormat/>
    <w:uiPriority w:val="39"/>
    <w:pPr>
      <w:ind w:left="840" w:leftChars="400"/>
    </w:pPr>
  </w:style>
  <w:style w:type="paragraph" w:styleId="20">
    <w:name w:val="Plain Text"/>
    <w:basedOn w:val="1"/>
    <w:next w:val="1"/>
    <w:link w:val="53"/>
    <w:unhideWhenUsed/>
    <w:qFormat/>
    <w:uiPriority w:val="99"/>
    <w:pPr>
      <w:ind w:firstLine="0" w:firstLineChars="0"/>
    </w:pPr>
    <w:rPr>
      <w:rFonts w:ascii="宋体" w:hAnsi="Calibri" w:cs="Times New Roman"/>
      <w:szCs w:val="20"/>
    </w:rPr>
  </w:style>
  <w:style w:type="paragraph" w:styleId="21">
    <w:name w:val="toc 8"/>
    <w:basedOn w:val="1"/>
    <w:next w:val="1"/>
    <w:unhideWhenUsed/>
    <w:qFormat/>
    <w:uiPriority w:val="39"/>
    <w:pPr>
      <w:spacing w:line="240" w:lineRule="auto"/>
      <w:ind w:left="2940" w:leftChars="1400" w:firstLine="0" w:firstLineChars="0"/>
    </w:pPr>
    <w:rPr>
      <w:rFonts w:eastAsiaTheme="minorEastAsia"/>
    </w:rPr>
  </w:style>
  <w:style w:type="paragraph" w:styleId="22">
    <w:name w:val="Date"/>
    <w:basedOn w:val="1"/>
    <w:next w:val="1"/>
    <w:link w:val="59"/>
    <w:semiHidden/>
    <w:unhideWhenUsed/>
    <w:qFormat/>
    <w:uiPriority w:val="99"/>
    <w:pPr>
      <w:ind w:left="100" w:leftChars="2500"/>
    </w:pPr>
  </w:style>
  <w:style w:type="paragraph" w:styleId="23">
    <w:name w:val="Balloon Text"/>
    <w:basedOn w:val="1"/>
    <w:link w:val="47"/>
    <w:semiHidden/>
    <w:unhideWhenUsed/>
    <w:qFormat/>
    <w:uiPriority w:val="99"/>
    <w:pPr>
      <w:spacing w:line="240" w:lineRule="auto"/>
    </w:pPr>
    <w:rPr>
      <w:sz w:val="18"/>
      <w:szCs w:val="18"/>
    </w:rPr>
  </w:style>
  <w:style w:type="paragraph" w:styleId="24">
    <w:name w:val="footer"/>
    <w:basedOn w:val="1"/>
    <w:link w:val="48"/>
    <w:unhideWhenUsed/>
    <w:qFormat/>
    <w:uiPriority w:val="99"/>
    <w:pPr>
      <w:tabs>
        <w:tab w:val="center" w:pos="4153"/>
        <w:tab w:val="right" w:pos="8306"/>
      </w:tabs>
      <w:snapToGrid w:val="0"/>
      <w:jc w:val="left"/>
    </w:pPr>
    <w:rPr>
      <w:sz w:val="18"/>
      <w:szCs w:val="18"/>
    </w:rPr>
  </w:style>
  <w:style w:type="paragraph" w:styleId="25">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line="240" w:lineRule="auto"/>
      <w:ind w:left="1260" w:leftChars="600" w:firstLine="0" w:firstLineChars="0"/>
    </w:pPr>
    <w:rPr>
      <w:rFonts w:eastAsiaTheme="minorEastAsia"/>
    </w:rPr>
  </w:style>
  <w:style w:type="paragraph" w:styleId="28">
    <w:name w:val="toc 6"/>
    <w:basedOn w:val="1"/>
    <w:next w:val="1"/>
    <w:unhideWhenUsed/>
    <w:qFormat/>
    <w:uiPriority w:val="39"/>
    <w:pPr>
      <w:spacing w:line="240" w:lineRule="auto"/>
      <w:ind w:left="2100" w:leftChars="1000" w:firstLine="0" w:firstLineChars="0"/>
    </w:pPr>
    <w:rPr>
      <w:rFonts w:eastAsiaTheme="minorEastAsia"/>
    </w:rPr>
  </w:style>
  <w:style w:type="paragraph" w:styleId="29">
    <w:name w:val="toc 2"/>
    <w:basedOn w:val="1"/>
    <w:next w:val="1"/>
    <w:unhideWhenUsed/>
    <w:qFormat/>
    <w:uiPriority w:val="39"/>
    <w:pPr>
      <w:ind w:left="420" w:leftChars="200"/>
    </w:pPr>
  </w:style>
  <w:style w:type="paragraph" w:styleId="30">
    <w:name w:val="toc 9"/>
    <w:basedOn w:val="1"/>
    <w:next w:val="1"/>
    <w:unhideWhenUsed/>
    <w:qFormat/>
    <w:uiPriority w:val="39"/>
    <w:pPr>
      <w:spacing w:line="240" w:lineRule="auto"/>
      <w:ind w:left="3360" w:leftChars="1600" w:firstLine="0" w:firstLineChars="0"/>
    </w:pPr>
    <w:rPr>
      <w:rFonts w:eastAsiaTheme="minorEastAsia"/>
    </w:rPr>
  </w:style>
  <w:style w:type="paragraph" w:styleId="31">
    <w:name w:val="annotation subject"/>
    <w:basedOn w:val="13"/>
    <w:next w:val="13"/>
    <w:link w:val="58"/>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page number"/>
    <w:qFormat/>
    <w:uiPriority w:val="0"/>
  </w:style>
  <w:style w:type="character" w:styleId="37">
    <w:name w:val="Emphasis"/>
    <w:basedOn w:val="34"/>
    <w:qFormat/>
    <w:uiPriority w:val="20"/>
    <w:rPr>
      <w:i/>
      <w:iCs/>
    </w:rPr>
  </w:style>
  <w:style w:type="character" w:styleId="38">
    <w:name w:val="Hyperlink"/>
    <w:basedOn w:val="34"/>
    <w:unhideWhenUsed/>
    <w:qFormat/>
    <w:uiPriority w:val="99"/>
    <w:rPr>
      <w:color w:val="0563C1" w:themeColor="hyperlink"/>
      <w:u w:val="single"/>
      <w14:textFill>
        <w14:solidFill>
          <w14:schemeClr w14:val="hlink"/>
        </w14:solidFill>
      </w14:textFill>
    </w:rPr>
  </w:style>
  <w:style w:type="character" w:styleId="39">
    <w:name w:val="annotation reference"/>
    <w:basedOn w:val="34"/>
    <w:semiHidden/>
    <w:unhideWhenUsed/>
    <w:qFormat/>
    <w:uiPriority w:val="99"/>
    <w:rPr>
      <w:sz w:val="21"/>
      <w:szCs w:val="21"/>
    </w:rPr>
  </w:style>
  <w:style w:type="character" w:customStyle="1" w:styleId="40">
    <w:name w:val="标题 1 字符"/>
    <w:basedOn w:val="34"/>
    <w:link w:val="2"/>
    <w:qFormat/>
    <w:uiPriority w:val="0"/>
    <w:rPr>
      <w:rFonts w:eastAsia="黑体"/>
      <w:b/>
      <w:bCs/>
      <w:kern w:val="44"/>
      <w:sz w:val="32"/>
      <w:szCs w:val="44"/>
    </w:rPr>
  </w:style>
  <w:style w:type="character" w:customStyle="1" w:styleId="41">
    <w:name w:val="标题 2 字符"/>
    <w:basedOn w:val="34"/>
    <w:link w:val="3"/>
    <w:qFormat/>
    <w:uiPriority w:val="9"/>
    <w:rPr>
      <w:rFonts w:eastAsia="黑体" w:asciiTheme="majorHAnsi" w:hAnsiTheme="majorHAnsi" w:cstheme="majorBidi"/>
      <w:b/>
      <w:bCs/>
      <w:sz w:val="28"/>
      <w:szCs w:val="32"/>
    </w:rPr>
  </w:style>
  <w:style w:type="character" w:customStyle="1" w:styleId="42">
    <w:name w:val="标题 3 字符"/>
    <w:basedOn w:val="34"/>
    <w:link w:val="4"/>
    <w:qFormat/>
    <w:uiPriority w:val="9"/>
    <w:rPr>
      <w:rFonts w:eastAsia="黑体"/>
      <w:b/>
      <w:bCs/>
      <w:kern w:val="2"/>
      <w:sz w:val="24"/>
      <w:szCs w:val="32"/>
    </w:rPr>
  </w:style>
  <w:style w:type="character" w:customStyle="1" w:styleId="43">
    <w:name w:val="标题 4 字符"/>
    <w:basedOn w:val="34"/>
    <w:link w:val="5"/>
    <w:qFormat/>
    <w:uiPriority w:val="9"/>
    <w:rPr>
      <w:rFonts w:asciiTheme="majorHAnsi" w:hAnsiTheme="majorHAnsi" w:eastAsiaTheme="majorEastAsia" w:cstheme="majorBidi"/>
      <w:b/>
      <w:bCs/>
      <w:sz w:val="28"/>
      <w:szCs w:val="28"/>
    </w:rPr>
  </w:style>
  <w:style w:type="character" w:customStyle="1" w:styleId="44">
    <w:name w:val="标题 5 字符"/>
    <w:basedOn w:val="34"/>
    <w:link w:val="6"/>
    <w:qFormat/>
    <w:uiPriority w:val="9"/>
    <w:rPr>
      <w:b/>
      <w:bCs/>
      <w:sz w:val="28"/>
      <w:szCs w:val="28"/>
    </w:rPr>
  </w:style>
  <w:style w:type="character" w:customStyle="1" w:styleId="45">
    <w:name w:val="标题 9 字符"/>
    <w:basedOn w:val="34"/>
    <w:link w:val="9"/>
    <w:semiHidden/>
    <w:qFormat/>
    <w:uiPriority w:val="9"/>
    <w:rPr>
      <w:rFonts w:asciiTheme="majorHAnsi" w:hAnsiTheme="majorHAnsi" w:eastAsiaTheme="majorEastAsia" w:cstheme="majorBidi"/>
      <w:szCs w:val="21"/>
    </w:rPr>
  </w:style>
  <w:style w:type="character" w:customStyle="1" w:styleId="46">
    <w:name w:val="纯文本 字符"/>
    <w:basedOn w:val="34"/>
    <w:qFormat/>
    <w:uiPriority w:val="99"/>
    <w:rPr>
      <w:rFonts w:ascii="宋体" w:hAnsi="Calibri" w:eastAsia="宋体" w:cs="Times New Roman"/>
      <w:szCs w:val="20"/>
    </w:rPr>
  </w:style>
  <w:style w:type="character" w:customStyle="1" w:styleId="47">
    <w:name w:val="批注框文本 字符"/>
    <w:basedOn w:val="34"/>
    <w:link w:val="23"/>
    <w:semiHidden/>
    <w:qFormat/>
    <w:uiPriority w:val="99"/>
    <w:rPr>
      <w:rFonts w:eastAsia="宋体"/>
      <w:kern w:val="2"/>
      <w:sz w:val="18"/>
      <w:szCs w:val="18"/>
    </w:rPr>
  </w:style>
  <w:style w:type="character" w:customStyle="1" w:styleId="48">
    <w:name w:val="页脚 字符"/>
    <w:basedOn w:val="34"/>
    <w:link w:val="24"/>
    <w:qFormat/>
    <w:uiPriority w:val="99"/>
    <w:rPr>
      <w:sz w:val="18"/>
      <w:szCs w:val="18"/>
    </w:rPr>
  </w:style>
  <w:style w:type="character" w:customStyle="1" w:styleId="49">
    <w:name w:val="页眉 字符"/>
    <w:basedOn w:val="34"/>
    <w:link w:val="25"/>
    <w:qFormat/>
    <w:uiPriority w:val="99"/>
    <w:rPr>
      <w:sz w:val="18"/>
      <w:szCs w:val="18"/>
    </w:rPr>
  </w:style>
  <w:style w:type="character" w:customStyle="1" w:styleId="50">
    <w:name w:val="标题 9 Char"/>
    <w:qFormat/>
    <w:uiPriority w:val="9"/>
    <w:rPr>
      <w:rFonts w:ascii="Cambria" w:hAnsi="Cambria"/>
      <w:kern w:val="2"/>
      <w:sz w:val="21"/>
      <w:szCs w:val="21"/>
    </w:rPr>
  </w:style>
  <w:style w:type="character" w:customStyle="1" w:styleId="51">
    <w:name w:val="未处理的提及1"/>
    <w:basedOn w:val="34"/>
    <w:semiHidden/>
    <w:unhideWhenUsed/>
    <w:qFormat/>
    <w:uiPriority w:val="99"/>
    <w:rPr>
      <w:color w:val="605E5C"/>
      <w:shd w:val="clear" w:color="auto" w:fill="E1DFDD"/>
    </w:rPr>
  </w:style>
  <w:style w:type="character" w:customStyle="1" w:styleId="52">
    <w:name w:val="正文文本 字符"/>
    <w:basedOn w:val="34"/>
    <w:link w:val="14"/>
    <w:qFormat/>
    <w:uiPriority w:val="0"/>
    <w:rPr>
      <w:kern w:val="2"/>
      <w:sz w:val="21"/>
      <w:szCs w:val="24"/>
    </w:rPr>
  </w:style>
  <w:style w:type="character" w:customStyle="1" w:styleId="53">
    <w:name w:val="纯文本 字符1"/>
    <w:basedOn w:val="34"/>
    <w:link w:val="20"/>
    <w:qFormat/>
    <w:uiPriority w:val="0"/>
    <w:rPr>
      <w:rFonts w:hint="eastAsia" w:ascii="宋体" w:hAnsi="宋体" w:eastAsia="宋体" w:cs="宋体"/>
      <w:kern w:val="2"/>
      <w:sz w:val="21"/>
    </w:rPr>
  </w:style>
  <w:style w:type="character" w:customStyle="1" w:styleId="54">
    <w:name w:val="正文文本缩进 字符"/>
    <w:basedOn w:val="34"/>
    <w:link w:val="15"/>
    <w:qFormat/>
    <w:uiPriority w:val="0"/>
    <w:rPr>
      <w:kern w:val="2"/>
      <w:sz w:val="21"/>
      <w:szCs w:val="24"/>
    </w:rPr>
  </w:style>
  <w:style w:type="character" w:customStyle="1" w:styleId="55">
    <w:name w:val="正文文本首行缩进 2 字符"/>
    <w:basedOn w:val="54"/>
    <w:qFormat/>
    <w:uiPriority w:val="0"/>
    <w:rPr>
      <w:kern w:val="2"/>
      <w:sz w:val="21"/>
      <w:szCs w:val="24"/>
    </w:rPr>
  </w:style>
  <w:style w:type="character" w:customStyle="1" w:styleId="56">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7">
    <w:name w:val="批注文字 字符"/>
    <w:basedOn w:val="34"/>
    <w:link w:val="13"/>
    <w:qFormat/>
    <w:uiPriority w:val="99"/>
    <w:rPr>
      <w:rFonts w:asciiTheme="minorHAnsi" w:hAnsiTheme="minorHAnsi" w:cstheme="minorBidi"/>
      <w:kern w:val="2"/>
      <w:sz w:val="21"/>
      <w:szCs w:val="22"/>
    </w:rPr>
  </w:style>
  <w:style w:type="character" w:customStyle="1" w:styleId="58">
    <w:name w:val="批注主题 字符"/>
    <w:basedOn w:val="57"/>
    <w:link w:val="31"/>
    <w:semiHidden/>
    <w:qFormat/>
    <w:uiPriority w:val="99"/>
    <w:rPr>
      <w:rFonts w:asciiTheme="minorHAnsi" w:hAnsiTheme="minorHAnsi" w:cstheme="minorBidi"/>
      <w:b/>
      <w:bCs/>
      <w:kern w:val="2"/>
      <w:sz w:val="21"/>
      <w:szCs w:val="22"/>
    </w:rPr>
  </w:style>
  <w:style w:type="character" w:customStyle="1" w:styleId="59">
    <w:name w:val="日期 字符"/>
    <w:basedOn w:val="34"/>
    <w:link w:val="22"/>
    <w:semiHidden/>
    <w:qFormat/>
    <w:uiPriority w:val="99"/>
    <w:rPr>
      <w:rFonts w:asciiTheme="minorHAnsi" w:hAnsiTheme="minorHAnsi" w:cstheme="minorBidi"/>
      <w:kern w:val="2"/>
      <w:sz w:val="21"/>
      <w:szCs w:val="22"/>
    </w:rPr>
  </w:style>
  <w:style w:type="paragraph" w:customStyle="1" w:styleId="60">
    <w:name w:val="null3"/>
    <w:qFormat/>
    <w:uiPriority w:val="0"/>
    <w:rPr>
      <w:rFonts w:hint="eastAsia" w:ascii="Calibri" w:hAnsi="Calibri" w:eastAsia="宋体" w:cs="Times New Roman"/>
      <w:lang w:val="en-US" w:eastAsia="zh-CN" w:bidi="ar-SA"/>
    </w:rPr>
  </w:style>
  <w:style w:type="paragraph" w:customStyle="1" w:styleId="61">
    <w:name w:val="文档结构图1"/>
    <w:basedOn w:val="1"/>
    <w:qFormat/>
    <w:uiPriority w:val="0"/>
  </w:style>
  <w:style w:type="paragraph" w:customStyle="1" w:styleId="62">
    <w:name w:val="Table Text"/>
    <w:basedOn w:val="1"/>
    <w:semiHidden/>
    <w:qFormat/>
    <w:uiPriority w:val="0"/>
    <w:rPr>
      <w:rFonts w:ascii="黑体" w:hAnsi="黑体" w:eastAsia="黑体" w:cs="黑体"/>
      <w:sz w:val="18"/>
      <w:szCs w:val="18"/>
      <w:lang w:eastAsia="en-US"/>
    </w:rPr>
  </w:style>
  <w:style w:type="paragraph" w:customStyle="1" w:styleId="63">
    <w:name w:val="修订1"/>
    <w:hidden/>
    <w:unhideWhenUsed/>
    <w:qFormat/>
    <w:uiPriority w:val="99"/>
    <w:rPr>
      <w:rFonts w:eastAsia="宋体" w:asciiTheme="minorHAnsi" w:hAnsiTheme="minorHAnsi" w:cstheme="minorBidi"/>
      <w:kern w:val="2"/>
      <w:sz w:val="21"/>
      <w:szCs w:val="22"/>
      <w:lang w:val="en-US" w:eastAsia="zh-CN" w:bidi="ar-SA"/>
    </w:rPr>
  </w:style>
  <w:style w:type="paragraph" w:customStyle="1" w:styleId="64">
    <w:name w:val="修订2"/>
    <w:hidden/>
    <w:unhideWhenUsed/>
    <w:qFormat/>
    <w:uiPriority w:val="99"/>
    <w:rPr>
      <w:rFonts w:eastAsia="宋体" w:asciiTheme="minorHAnsi" w:hAnsiTheme="minorHAnsi" w:cstheme="minorBidi"/>
      <w:kern w:val="2"/>
      <w:sz w:val="21"/>
      <w:szCs w:val="22"/>
      <w:lang w:val="en-US" w:eastAsia="zh-CN" w:bidi="ar-SA"/>
    </w:rPr>
  </w:style>
  <w:style w:type="paragraph" w:customStyle="1" w:styleId="65">
    <w:name w:val="修订3"/>
    <w:hidden/>
    <w:semiHidden/>
    <w:qFormat/>
    <w:uiPriority w:val="99"/>
    <w:rPr>
      <w:rFonts w:eastAsia="宋体" w:asciiTheme="minorHAnsi" w:hAnsiTheme="minorHAnsi" w:cstheme="minorBidi"/>
      <w:kern w:val="2"/>
      <w:sz w:val="21"/>
      <w:szCs w:val="22"/>
      <w:lang w:val="en-US" w:eastAsia="zh-CN" w:bidi="ar-SA"/>
    </w:rPr>
  </w:style>
  <w:style w:type="character" w:customStyle="1" w:styleId="66">
    <w:name w:val="font21"/>
    <w:basedOn w:val="34"/>
    <w:qFormat/>
    <w:uiPriority w:val="0"/>
    <w:rPr>
      <w:rFonts w:hint="default" w:ascii="仿宋_GB2312" w:eastAsia="仿宋_GB2312" w:cs="仿宋_GB2312"/>
      <w:color w:val="000000"/>
      <w:sz w:val="20"/>
      <w:szCs w:val="20"/>
      <w:u w:val="none"/>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8">
    <w:name w:val="默认"/>
    <w:qFormat/>
    <w:uiPriority w:val="0"/>
    <w:pPr>
      <w:keepNext w:val="0"/>
      <w:keepLines w:val="0"/>
      <w:pageBreakBefore w:val="0"/>
      <w:framePr w:wrap="around"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60" w:beforeAutospacing="0" w:after="0" w:afterAutospacing="0" w:line="288"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lang w:val="en-US"/>
    </w:rPr>
  </w:style>
  <w:style w:type="paragraph" w:customStyle="1" w:styleId="69">
    <w:name w:val="Heading2"/>
    <w:basedOn w:val="1"/>
    <w:next w:val="1"/>
    <w:qFormat/>
    <w:uiPriority w:val="0"/>
    <w:pPr>
      <w:keepNext/>
      <w:keepLines/>
      <w:spacing w:before="260" w:after="260" w:line="416" w:lineRule="auto"/>
      <w:jc w:val="both"/>
      <w:textAlignment w:val="baseline"/>
    </w:pPr>
    <w:rPr>
      <w:rFonts w:ascii="Arial" w:hAnsi="Arial" w:eastAsia="黑体" w:cs="Times New Roman"/>
      <w:b/>
      <w:bCs/>
      <w:kern w:val="2"/>
      <w:sz w:val="21"/>
      <w:szCs w:val="32"/>
      <w:lang w:val="en-US" w:eastAsia="zh-CN" w:bidi="ar-SA"/>
    </w:rPr>
  </w:style>
  <w:style w:type="table" w:customStyle="1" w:styleId="7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103</Pages>
  <Words>3896</Words>
  <Characters>4504</Characters>
  <Lines>340</Lines>
  <Paragraphs>95</Paragraphs>
  <TotalTime>39</TotalTime>
  <ScaleCrop>false</ScaleCrop>
  <LinksUpToDate>false</LinksUpToDate>
  <CharactersWithSpaces>4542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2025-02-07T03:20:00Z</dcterms:created>
  <dc:creator>China</dc:creator>
  <cp:lastModifiedBy>RBL</cp:lastModifiedBy>
  <dcterms:modified xsi:type="dcterms:W3CDTF">2025-09-29T08:51:51Z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30E14ED5407147059432EFC6181E571F_13</vt:lpwstr>
  </property>
  <property fmtid="{D5CDD505-2E9C-101B-9397-08002B2CF9AE}" pid="4" name="KSOTemplateDocerSaveRecord">
    <vt:lpwstr>eyJoZGlkIjoiN2Q3MzEzZGNkOThkNWFiNjQ4NzIwYTYwNmU3YTIyMzIiLCJ1c2VySWQiOiI3MjA4NDA0NDkifQ==</vt:lpwstr>
  </property>
</Properties>
</file>