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936" w:beforeLines="300"/>
        <w:jc w:val="center"/>
        <w:rPr>
          <w:rFonts w:ascii="黑体" w:eastAsia="黑体"/>
          <w:b/>
          <w:color w:val="000000" w:themeColor="text1"/>
          <w:kern w:val="44"/>
          <w:sz w:val="48"/>
          <w:szCs w:val="20"/>
          <w:highlight w:val="none"/>
          <w14:textFill>
            <w14:solidFill>
              <w14:schemeClr w14:val="tx1"/>
            </w14:solidFill>
          </w14:textFill>
        </w:rPr>
      </w:pPr>
      <w:r>
        <w:rPr>
          <w:rFonts w:hint="eastAsia" w:ascii="黑体" w:eastAsia="黑体"/>
          <w:b/>
          <w:color w:val="000000" w:themeColor="text1"/>
          <w:kern w:val="44"/>
          <w:sz w:val="48"/>
          <w:szCs w:val="20"/>
          <w:highlight w:val="none"/>
          <w14:textFill>
            <w14:solidFill>
              <w14:schemeClr w14:val="tx1"/>
            </w14:solidFill>
          </w14:textFill>
        </w:rPr>
        <w:t>第八部分  采购需求</w:t>
      </w:r>
      <w:r>
        <w:rPr>
          <w:rFonts w:ascii="黑体" w:eastAsia="黑体"/>
          <w:b/>
          <w:color w:val="000000" w:themeColor="text1"/>
          <w:kern w:val="44"/>
          <w:sz w:val="48"/>
          <w:szCs w:val="20"/>
          <w:highlight w:val="none"/>
          <w14:textFill>
            <w14:solidFill>
              <w14:schemeClr w14:val="tx1"/>
            </w14:solidFill>
          </w14:textFill>
        </w:rPr>
        <w:br w:type="page"/>
      </w:r>
    </w:p>
    <w:p>
      <w:pPr>
        <w:adjustRightInd w:val="0"/>
        <w:snapToGrid w:val="0"/>
        <w:jc w:val="center"/>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一、货物需求一览表</w:t>
      </w:r>
    </w:p>
    <w:p>
      <w:pPr>
        <w:adjustRightInd w:val="0"/>
        <w:snapToGrid w:val="0"/>
        <w:jc w:val="center"/>
        <w:rPr>
          <w:rFonts w:ascii="宋体" w:hAnsi="宋体"/>
          <w:b/>
          <w:color w:val="000000" w:themeColor="text1"/>
          <w:sz w:val="30"/>
          <w:szCs w:val="30"/>
          <w:highlight w:val="none"/>
          <w14:textFill>
            <w14:solidFill>
              <w14:schemeClr w14:val="tx1"/>
            </w14:solidFill>
          </w14:textFill>
        </w:rPr>
      </w:pPr>
    </w:p>
    <w:tbl>
      <w:tblPr>
        <w:tblStyle w:val="8"/>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vAlign w:val="center"/>
          </w:tcPr>
          <w:p>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包号</w:t>
            </w:r>
          </w:p>
        </w:tc>
        <w:tc>
          <w:tcPr>
            <w:tcW w:w="1878" w:type="dxa"/>
            <w:vAlign w:val="center"/>
          </w:tcPr>
          <w:p>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货物名称</w:t>
            </w:r>
          </w:p>
        </w:tc>
        <w:tc>
          <w:tcPr>
            <w:tcW w:w="1122" w:type="dxa"/>
            <w:vAlign w:val="center"/>
          </w:tcPr>
          <w:p>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数量</w:t>
            </w:r>
          </w:p>
        </w:tc>
        <w:tc>
          <w:tcPr>
            <w:tcW w:w="1011" w:type="dxa"/>
            <w:vAlign w:val="center"/>
          </w:tcPr>
          <w:p>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交货期</w:t>
            </w:r>
          </w:p>
        </w:tc>
        <w:tc>
          <w:tcPr>
            <w:tcW w:w="1567" w:type="dxa"/>
            <w:vAlign w:val="center"/>
          </w:tcPr>
          <w:p>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指定到货港</w:t>
            </w:r>
          </w:p>
        </w:tc>
        <w:tc>
          <w:tcPr>
            <w:tcW w:w="2459" w:type="dxa"/>
            <w:vAlign w:val="center"/>
          </w:tcPr>
          <w:p>
            <w:pPr>
              <w:jc w:val="center"/>
              <w:rPr>
                <w:rFonts w:ascii="宋体" w:hAnsi="Bookman Old Style"/>
                <w:color w:val="000000" w:themeColor="text1"/>
                <w:sz w:val="24"/>
                <w:highlight w:val="none"/>
                <w:shd w:val="pct10" w:color="auto" w:fill="FFFFFF"/>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Align w:val="center"/>
          </w:tcPr>
          <w:p>
            <w:pPr>
              <w:jc w:val="center"/>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w:t>
            </w:r>
          </w:p>
        </w:tc>
        <w:tc>
          <w:tcPr>
            <w:tcW w:w="1878" w:type="dxa"/>
            <w:vAlign w:val="center"/>
          </w:tcPr>
          <w:p>
            <w:pPr>
              <w:jc w:val="center"/>
              <w:rPr>
                <w:rFonts w:ascii="Bookman Old Style" w:hAnsi="Bookman Old Style"/>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圆二色光谱仪</w:t>
            </w:r>
          </w:p>
        </w:tc>
        <w:tc>
          <w:tcPr>
            <w:tcW w:w="1122" w:type="dxa"/>
            <w:vAlign w:val="center"/>
          </w:tcPr>
          <w:p>
            <w:pPr>
              <w:jc w:val="center"/>
              <w:rPr>
                <w:rFonts w:ascii="宋体" w:hAnsi="Bookman Old Style"/>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套</w:t>
            </w:r>
          </w:p>
        </w:tc>
        <w:tc>
          <w:tcPr>
            <w:tcW w:w="5037" w:type="dxa"/>
            <w:gridSpan w:val="3"/>
            <w:vAlign w:val="center"/>
          </w:tcPr>
          <w:p>
            <w:pPr>
              <w:jc w:val="center"/>
              <w:rPr>
                <w:rFonts w:ascii="宋体" w:hAnsi="Bookman Old Style"/>
                <w:color w:val="000000" w:themeColor="text1"/>
                <w:sz w:val="24"/>
                <w:highlight w:val="none"/>
                <w14:textFill>
                  <w14:solidFill>
                    <w14:schemeClr w14:val="tx1"/>
                  </w14:solidFill>
                </w14:textFill>
              </w:rPr>
            </w:pPr>
            <w:r>
              <w:rPr>
                <w:rFonts w:hint="eastAsia" w:ascii="宋体" w:hAnsi="Bookman Old Style"/>
                <w:color w:val="000000" w:themeColor="text1"/>
                <w:sz w:val="24"/>
                <w:highlight w:val="none"/>
                <w14:textFill>
                  <w14:solidFill>
                    <w14:schemeClr w14:val="tx1"/>
                  </w14:solidFill>
                </w14:textFill>
              </w:rPr>
              <w:t>详见具体技术规格</w:t>
            </w:r>
          </w:p>
        </w:tc>
      </w:tr>
    </w:tbl>
    <w:p>
      <w:pPr>
        <w:adjustRightInd w:val="0"/>
        <w:snapToGrid w:val="0"/>
        <w:jc w:val="center"/>
        <w:rPr>
          <w:rFonts w:ascii="宋体" w:hAnsi="宋体"/>
          <w:b/>
          <w:color w:val="000000" w:themeColor="text1"/>
          <w:sz w:val="30"/>
          <w:szCs w:val="30"/>
          <w:highlight w:val="none"/>
          <w14:textFill>
            <w14:solidFill>
              <w14:schemeClr w14:val="tx1"/>
            </w14:solidFill>
          </w14:textFill>
        </w:rPr>
      </w:pPr>
    </w:p>
    <w:p>
      <w:pPr>
        <w:adjustRightInd w:val="0"/>
        <w:snapToGrid w:val="0"/>
        <w:jc w:val="center"/>
        <w:rPr>
          <w:rFonts w:ascii="宋体" w:hAnsi="宋体"/>
          <w:b/>
          <w:color w:val="000000" w:themeColor="text1"/>
          <w:sz w:val="30"/>
          <w:szCs w:val="30"/>
          <w:highlight w:val="none"/>
          <w14:textFill>
            <w14:solidFill>
              <w14:schemeClr w14:val="tx1"/>
            </w14:solidFill>
          </w14:textFill>
        </w:rPr>
      </w:pPr>
    </w:p>
    <w:p>
      <w:pPr>
        <w:adjustRightInd w:val="0"/>
        <w:snapToGrid w:val="0"/>
        <w:jc w:val="center"/>
        <w:rPr>
          <w:rFonts w:ascii="宋体" w:hAnsi="宋体"/>
          <w:b/>
          <w:color w:val="000000" w:themeColor="text1"/>
          <w:sz w:val="30"/>
          <w:szCs w:val="30"/>
          <w:highlight w:val="none"/>
          <w14:textFill>
            <w14:solidFill>
              <w14:schemeClr w14:val="tx1"/>
            </w14:solidFill>
          </w14:textFill>
        </w:rPr>
      </w:pPr>
    </w:p>
    <w:p>
      <w:pPr>
        <w:rPr>
          <w:rFonts w:ascii="Bookman Old Style" w:hAnsi="Bookman Old Style"/>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注：投标人须对上述投标内容中完整的一包或几包进行投标，</w:t>
      </w:r>
      <w:r>
        <w:rPr>
          <w:rFonts w:hint="eastAsia" w:ascii="Bookman Old Style" w:hAnsi="Bookman Old Style"/>
          <w:color w:val="000000" w:themeColor="text1"/>
          <w:sz w:val="24"/>
          <w:highlight w:val="none"/>
          <w14:textFill>
            <w14:solidFill>
              <w14:schemeClr w14:val="tx1"/>
            </w14:solidFill>
          </w14:textFill>
        </w:rPr>
        <w:t>不完整的投标将视为非响应性投标予以拒绝。</w:t>
      </w: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adjustRightInd w:val="0"/>
        <w:snapToGrid w:val="0"/>
        <w:rPr>
          <w:rFonts w:ascii="宋体" w:hAnsi="宋体"/>
          <w:color w:val="000000" w:themeColor="text1"/>
          <w:szCs w:val="21"/>
          <w:highlight w:val="none"/>
          <w14:textFill>
            <w14:solidFill>
              <w14:schemeClr w14:val="tx1"/>
            </w14:solidFill>
          </w14:textFill>
        </w:rPr>
      </w:pPr>
    </w:p>
    <w:p>
      <w:pPr>
        <w:tabs>
          <w:tab w:val="left" w:pos="720"/>
        </w:tabs>
        <w:adjustRightInd w:val="0"/>
        <w:snapToGrid w:val="0"/>
        <w:jc w:val="cente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br w:type="page"/>
      </w:r>
      <w:r>
        <w:rPr>
          <w:rFonts w:hint="eastAsia" w:ascii="宋体" w:hAnsi="宋体"/>
          <w:b/>
          <w:color w:val="000000" w:themeColor="text1"/>
          <w:sz w:val="30"/>
          <w:szCs w:val="30"/>
          <w:highlight w:val="none"/>
          <w14:textFill>
            <w14:solidFill>
              <w14:schemeClr w14:val="tx1"/>
            </w14:solidFill>
          </w14:textFill>
        </w:rPr>
        <w:t>二、总则</w:t>
      </w:r>
    </w:p>
    <w:p>
      <w:pPr>
        <w:spacing w:before="156" w:beforeLines="50" w:after="156" w:afterLines="50" w:line="360" w:lineRule="auto"/>
        <w:ind w:left="601" w:hanging="601"/>
        <w:rPr>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t>1</w:t>
      </w:r>
      <w:r>
        <w:rPr>
          <w:rFonts w:hint="eastAsia" w:ascii="宋体" w:hAnsi="宋体"/>
          <w:b/>
          <w:color w:val="000000" w:themeColor="text1"/>
          <w:sz w:val="28"/>
          <w:highlight w:val="none"/>
          <w14:textFill>
            <w14:solidFill>
              <w14:schemeClr w14:val="tx1"/>
            </w14:solidFill>
          </w14:textFill>
        </w:rPr>
        <w:t>、投标要求</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 </w:t>
      </w:r>
      <w:r>
        <w:rPr>
          <w:rFonts w:hint="eastAsia" w:ascii="宋体" w:hAnsi="宋体"/>
          <w:color w:val="000000" w:themeColor="text1"/>
          <w:sz w:val="24"/>
          <w:highlight w:val="none"/>
          <w14:textFill>
            <w14:solidFill>
              <w14:schemeClr w14:val="tx1"/>
            </w14:solidFill>
          </w14:textFill>
        </w:rPr>
        <w:t xml:space="preserve"> 投标人在准备投标书时，务必在所提供的商品的技术规格文件中，标明型号、商标名称、目录号。</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  </w:t>
      </w:r>
      <w:r>
        <w:rPr>
          <w:rFonts w:hint="eastAsia"/>
          <w:color w:val="000000" w:themeColor="text1"/>
          <w:sz w:val="24"/>
          <w:highlight w:val="none"/>
          <w14:textFill>
            <w14:solidFill>
              <w14:schemeClr w14:val="tx1"/>
            </w14:solidFill>
          </w14:textFill>
        </w:rPr>
        <w:t>投标人提供的</w:t>
      </w:r>
      <w:r>
        <w:rPr>
          <w:rFonts w:hint="eastAsia" w:ascii="宋体"/>
          <w:color w:val="000000" w:themeColor="text1"/>
          <w:sz w:val="24"/>
          <w:highlight w:val="none"/>
          <w14:textFill>
            <w14:solidFill>
              <w14:schemeClr w14:val="tx1"/>
            </w14:solidFill>
          </w14:textFill>
        </w:rPr>
        <w:t>产品</w:t>
      </w:r>
      <w:r>
        <w:rPr>
          <w:rFonts w:hint="eastAsia"/>
          <w:color w:val="000000" w:themeColor="text1"/>
          <w:sz w:val="24"/>
          <w:highlight w:val="none"/>
          <w14:textFill>
            <w14:solidFill>
              <w14:schemeClr w14:val="tx1"/>
            </w14:solidFill>
          </w14:textFill>
        </w:rPr>
        <w:t>样本，必须是“原件”而非复印件，</w:t>
      </w:r>
      <w:r>
        <w:rPr>
          <w:rFonts w:hint="eastAsia" w:ascii="宋体"/>
          <w:color w:val="000000" w:themeColor="text1"/>
          <w:sz w:val="24"/>
          <w:highlight w:val="none"/>
          <w14:textFill>
            <w14:solidFill>
              <w14:schemeClr w14:val="tx1"/>
            </w14:solidFill>
          </w14:textFill>
        </w:rPr>
        <w:t>图表、简图、电路图以及印刷电路板图等都应</w:t>
      </w:r>
      <w:r>
        <w:rPr>
          <w:rFonts w:hint="eastAsia"/>
          <w:color w:val="000000" w:themeColor="text1"/>
          <w:sz w:val="24"/>
          <w:highlight w:val="none"/>
          <w14:textFill>
            <w14:solidFill>
              <w14:schemeClr w14:val="tx1"/>
            </w14:solidFill>
          </w14:textFill>
        </w:rPr>
        <w:t>清晰易读。买方有权</w:t>
      </w:r>
      <w:r>
        <w:rPr>
          <w:rFonts w:hint="eastAsia" w:ascii="宋体"/>
          <w:color w:val="000000" w:themeColor="text1"/>
          <w:sz w:val="24"/>
          <w:highlight w:val="none"/>
          <w14:textFill>
            <w14:solidFill>
              <w14:schemeClr w14:val="tx1"/>
            </w14:solidFill>
          </w14:textFill>
        </w:rPr>
        <w:t>不付任何附加费用</w:t>
      </w:r>
      <w:r>
        <w:rPr>
          <w:rFonts w:hint="eastAsia"/>
          <w:color w:val="000000" w:themeColor="text1"/>
          <w:sz w:val="24"/>
          <w:highlight w:val="none"/>
          <w14:textFill>
            <w14:solidFill>
              <w14:schemeClr w14:val="tx1"/>
            </w14:solidFill>
          </w14:textFill>
        </w:rPr>
        <w:t>复制这些资料</w:t>
      </w:r>
      <w:r>
        <w:rPr>
          <w:rFonts w:hint="eastAsia" w:ascii="宋体"/>
          <w:color w:val="000000" w:themeColor="text1"/>
          <w:sz w:val="24"/>
          <w:highlight w:val="none"/>
          <w14:textFill>
            <w14:solidFill>
              <w14:schemeClr w14:val="tx1"/>
            </w14:solidFill>
          </w14:textFill>
        </w:rPr>
        <w:t>以供参考。</w:t>
      </w:r>
    </w:p>
    <w:p>
      <w:pPr>
        <w:spacing w:line="360" w:lineRule="auto"/>
        <w:ind w:left="554" w:hanging="554" w:hangingChars="231"/>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pPr>
        <w:spacing w:before="156" w:beforeLines="50" w:after="156" w:afterLines="50" w:line="360" w:lineRule="auto"/>
        <w:ind w:left="601" w:hanging="601"/>
        <w:rPr>
          <w:rFonts w:ascii="宋体" w:hAnsi="宋体"/>
          <w:b/>
          <w:color w:val="000000" w:themeColor="text1"/>
          <w:sz w:val="28"/>
          <w:highlight w:val="none"/>
          <w14:textFill>
            <w14:solidFill>
              <w14:schemeClr w14:val="tx1"/>
            </w14:solidFill>
          </w14:textFill>
        </w:rPr>
      </w:pPr>
      <w:r>
        <w:rPr>
          <w:rFonts w:hint="eastAsia" w:ascii="宋体" w:hAnsi="宋体"/>
          <w:b/>
          <w:color w:val="000000" w:themeColor="text1"/>
          <w:sz w:val="28"/>
          <w:highlight w:val="none"/>
          <w14:textFill>
            <w14:solidFill>
              <w14:schemeClr w14:val="tx1"/>
            </w14:solidFill>
          </w14:textFill>
        </w:rPr>
        <w:t>2、评标标准</w:t>
      </w:r>
    </w:p>
    <w:p>
      <w:pPr>
        <w:spacing w:line="360" w:lineRule="auto"/>
        <w:ind w:left="554" w:hanging="554" w:hangingChars="231"/>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 xml:space="preserve">1  </w:t>
      </w:r>
      <w:r>
        <w:rPr>
          <w:rFonts w:hint="eastAsia"/>
          <w:color w:val="000000" w:themeColor="text1"/>
          <w:sz w:val="24"/>
          <w:highlight w:val="none"/>
          <w14:textFill>
            <w14:solidFill>
              <w14:schemeClr w14:val="tx1"/>
            </w14:solidFill>
          </w14:textFill>
        </w:rPr>
        <w:t>除招标文件中指定的附件和专用工具外，</w:t>
      </w:r>
      <w:r>
        <w:rPr>
          <w:rFonts w:hint="eastAsia" w:ascii="宋体"/>
          <w:color w:val="000000" w:themeColor="text1"/>
          <w:sz w:val="24"/>
          <w:highlight w:val="none"/>
          <w14:textFill>
            <w14:solidFill>
              <w14:schemeClr w14:val="tx1"/>
            </w14:solidFill>
          </w14:textFill>
        </w:rPr>
        <w:t>投标人应提供仪器设备的正常运行和常规保养所需的全套标准附件、专用工具</w:t>
      </w:r>
      <w:r>
        <w:rPr>
          <w:rFonts w:hint="eastAsia"/>
          <w:color w:val="000000" w:themeColor="text1"/>
          <w:sz w:val="24"/>
          <w:highlight w:val="none"/>
          <w14:textFill>
            <w14:solidFill>
              <w14:schemeClr w14:val="tx1"/>
            </w14:solidFill>
          </w14:textFill>
        </w:rPr>
        <w:t>和消耗品</w:t>
      </w:r>
      <w:r>
        <w:rPr>
          <w:rFonts w:hint="eastAsia" w:ascii="宋体"/>
          <w:color w:val="000000" w:themeColor="text1"/>
          <w:sz w:val="24"/>
          <w:highlight w:val="none"/>
          <w14:textFill>
            <w14:solidFill>
              <w14:schemeClr w14:val="tx1"/>
            </w14:solidFill>
          </w14:textFill>
        </w:rPr>
        <w:t>。投标人在投标书中需列出这些附件和工具的数量和单价的清单，这些附件和工具的报价的总值需计入投标价中。</w:t>
      </w:r>
    </w:p>
    <w:p>
      <w:pPr>
        <w:spacing w:line="360" w:lineRule="auto"/>
        <w:ind w:left="554" w:hanging="554" w:hangingChars="231"/>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w:t>
      </w:r>
      <w:r>
        <w:rPr>
          <w:rFonts w:hint="eastAsia"/>
          <w:color w:val="000000" w:themeColor="text1"/>
          <w:sz w:val="24"/>
          <w:highlight w:val="none"/>
          <w14:textFill>
            <w14:solidFill>
              <w14:schemeClr w14:val="tx1"/>
            </w14:solidFill>
          </w14:textFill>
        </w:rPr>
        <w:t>对于标书</w:t>
      </w:r>
      <w:r>
        <w:rPr>
          <w:rFonts w:hint="eastAsia" w:ascii="宋体"/>
          <w:color w:val="000000" w:themeColor="text1"/>
          <w:sz w:val="24"/>
          <w:highlight w:val="none"/>
          <w14:textFill>
            <w14:solidFill>
              <w14:schemeClr w14:val="tx1"/>
            </w14:solidFill>
          </w14:textFill>
        </w:rPr>
        <w:t>技术规范中已列</w:t>
      </w:r>
      <w:r>
        <w:rPr>
          <w:rFonts w:hint="eastAsia"/>
          <w:color w:val="000000" w:themeColor="text1"/>
          <w:sz w:val="24"/>
          <w:highlight w:val="none"/>
          <w14:textFill>
            <w14:solidFill>
              <w14:schemeClr w14:val="tx1"/>
            </w14:solidFill>
          </w14:textFill>
        </w:rPr>
        <w:t>出的作为查询选件的附件、零配件、专用工具和消耗品，投标书中</w:t>
      </w:r>
      <w:r>
        <w:rPr>
          <w:rFonts w:hint="eastAsia" w:ascii="宋体"/>
          <w:color w:val="000000" w:themeColor="text1"/>
          <w:sz w:val="24"/>
          <w:highlight w:val="none"/>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  为便于用户进行接收仪器的准备工作，卖方应在合同生效后</w:t>
      </w:r>
      <w:r>
        <w:rPr>
          <w:rFonts w:hint="eastAsia" w:ascii="宋体" w:hAnsi="宋体"/>
          <w:b/>
          <w:color w:val="000000" w:themeColor="text1"/>
          <w:sz w:val="24"/>
          <w:highlight w:val="none"/>
          <w14:textFill>
            <w14:solidFill>
              <w14:schemeClr w14:val="tx1"/>
            </w14:solidFill>
          </w14:textFill>
        </w:rPr>
        <w:t>60</w:t>
      </w:r>
      <w:r>
        <w:rPr>
          <w:rFonts w:hint="eastAsia" w:ascii="宋体" w:hAnsi="宋体"/>
          <w:color w:val="000000" w:themeColor="text1"/>
          <w:sz w:val="24"/>
          <w:highlight w:val="none"/>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4</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ascii="宋体" w:hAnsi="宋体"/>
          <w:b/>
          <w:color w:val="000000" w:themeColor="text1"/>
          <w:sz w:val="28"/>
          <w:highlight w:val="none"/>
          <w14:textFill>
            <w14:solidFill>
              <w14:schemeClr w14:val="tx1"/>
            </w14:solidFill>
          </w14:textFill>
        </w:rPr>
      </w:pPr>
      <w:r>
        <w:rPr>
          <w:rFonts w:hint="eastAsia" w:ascii="宋体" w:hAnsi="宋体"/>
          <w:b/>
          <w:color w:val="000000" w:themeColor="text1"/>
          <w:sz w:val="28"/>
          <w:highlight w:val="none"/>
          <w14:textFill>
            <w14:solidFill>
              <w14:schemeClr w14:val="tx1"/>
            </w14:solidFill>
          </w14:textFill>
        </w:rPr>
        <w:t>3、工作条件</w:t>
      </w:r>
    </w:p>
    <w:p>
      <w:pPr>
        <w:spacing w:after="312" w:afterLines="10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除非在技术规格中另有说明，所有仪器、设备和系统都应符合下列要求：</w:t>
      </w:r>
      <w:r>
        <w:rPr>
          <w:rFonts w:ascii="宋体" w:hAnsi="宋体"/>
          <w:color w:val="000000" w:themeColor="text1"/>
          <w:sz w:val="24"/>
          <w:highlight w:val="none"/>
          <w14:textFill>
            <w14:solidFill>
              <w14:schemeClr w14:val="tx1"/>
            </w14:solidFill>
          </w14:textFill>
        </w:rPr>
        <w:t xml:space="preserve"> </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适于在气温为摄氏</w:t>
      </w:r>
      <w:r>
        <w:rPr>
          <w:rFonts w:ascii="宋体" w:hAnsi="宋体"/>
          <w:b/>
          <w:color w:val="000000" w:themeColor="text1"/>
          <w:sz w:val="24"/>
          <w:highlight w:val="none"/>
          <w14:textFill>
            <w14:solidFill>
              <w14:schemeClr w14:val="tx1"/>
            </w14:solidFill>
          </w14:textFill>
        </w:rPr>
        <w:t>-40</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t>50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和相对湿度为</w:t>
      </w:r>
      <w:r>
        <w:rPr>
          <w:rFonts w:ascii="宋体" w:hAnsi="宋体"/>
          <w:b/>
          <w:color w:val="000000" w:themeColor="text1"/>
          <w:sz w:val="24"/>
          <w:highlight w:val="none"/>
          <w14:textFill>
            <w14:solidFill>
              <w14:schemeClr w14:val="tx1"/>
            </w14:solidFill>
          </w14:textFill>
        </w:rPr>
        <w:t>90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的环境条件下运输和贮存。</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  适于在电源</w:t>
      </w:r>
      <w:r>
        <w:rPr>
          <w:rFonts w:ascii="宋体" w:hAnsi="宋体"/>
          <w:b/>
          <w:color w:val="000000" w:themeColor="text1"/>
          <w:sz w:val="24"/>
          <w:highlight w:val="none"/>
          <w14:textFill>
            <w14:solidFill>
              <w14:schemeClr w14:val="tx1"/>
            </w14:solidFill>
          </w14:textFill>
        </w:rPr>
        <w:t>220V</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sym w:font="Symbol" w:char="F0B1"/>
      </w:r>
      <w:r>
        <w:rPr>
          <w:rFonts w:ascii="宋体" w:hAnsi="宋体"/>
          <w:b/>
          <w:color w:val="000000" w:themeColor="text1"/>
          <w:sz w:val="24"/>
          <w:highlight w:val="none"/>
          <w14:textFill>
            <w14:solidFill>
              <w14:schemeClr w14:val="tx1"/>
            </w14:solidFill>
          </w14:textFill>
        </w:rPr>
        <w:t>10</w:t>
      </w:r>
      <w:r>
        <w:rPr>
          <w:rFonts w:hint="eastAsia" w:ascii="宋体" w:hAnsi="宋体"/>
          <w:b/>
          <w:color w:val="000000" w:themeColor="text1"/>
          <w:sz w:val="24"/>
          <w:highlight w:val="none"/>
          <w14:textFill>
            <w14:solidFill>
              <w14:schemeClr w14:val="tx1"/>
            </w14:solidFill>
          </w14:textFill>
        </w:rPr>
        <w:t>％）</w:t>
      </w:r>
      <w:r>
        <w:rPr>
          <w:rFonts w:ascii="宋体" w:hAnsi="宋体"/>
          <w:b/>
          <w:color w:val="000000" w:themeColor="text1"/>
          <w:sz w:val="24"/>
          <w:highlight w:val="none"/>
          <w14:textFill>
            <w14:solidFill>
              <w14:schemeClr w14:val="tx1"/>
            </w14:solidFill>
          </w14:textFill>
        </w:rPr>
        <w:t>/50Hz</w:t>
      </w:r>
      <w:r>
        <w:rPr>
          <w:rFonts w:hint="eastAsia" w:ascii="宋体" w:hAnsi="宋体"/>
          <w:color w:val="000000" w:themeColor="text1"/>
          <w:sz w:val="24"/>
          <w:highlight w:val="none"/>
          <w14:textFill>
            <w14:solidFill>
              <w14:schemeClr w14:val="tx1"/>
            </w14:solidFill>
          </w14:textFill>
        </w:rPr>
        <w:t>、气温摄氏</w:t>
      </w:r>
      <w:r>
        <w:rPr>
          <w:rFonts w:hint="eastAsia" w:ascii="宋体" w:hAnsi="宋体"/>
          <w:b/>
          <w:color w:val="000000" w:themeColor="text1"/>
          <w:sz w:val="24"/>
          <w:highlight w:val="none"/>
          <w14:textFill>
            <w14:solidFill>
              <w14:schemeClr w14:val="tx1"/>
            </w14:solidFill>
          </w14:textFill>
        </w:rPr>
        <w:t>＋1</w:t>
      </w:r>
      <w:r>
        <w:rPr>
          <w:rFonts w:ascii="宋体" w:hAnsi="宋体"/>
          <w:b/>
          <w:color w:val="000000" w:themeColor="text1"/>
          <w:sz w:val="24"/>
          <w:highlight w:val="none"/>
          <w14:textFill>
            <w14:solidFill>
              <w14:schemeClr w14:val="tx1"/>
            </w14:solidFill>
          </w14:textFill>
        </w:rPr>
        <w:t>5</w:t>
      </w:r>
      <w:r>
        <w:rPr>
          <w:rFonts w:hint="eastAsia" w:ascii="宋体" w:hAnsi="宋体"/>
          <w:b/>
          <w:color w:val="000000" w:themeColor="text1"/>
          <w:sz w:val="24"/>
          <w:highlight w:val="none"/>
          <w14:textFill>
            <w14:solidFill>
              <w14:schemeClr w14:val="tx1"/>
            </w14:solidFill>
          </w14:textFill>
        </w:rPr>
        <w:t>℃～＋3</w:t>
      </w:r>
      <w:r>
        <w:rPr>
          <w:rFonts w:ascii="宋体" w:hAnsi="宋体"/>
          <w:b/>
          <w:color w:val="000000" w:themeColor="text1"/>
          <w:sz w:val="24"/>
          <w:highlight w:val="none"/>
          <w14:textFill>
            <w14:solidFill>
              <w14:schemeClr w14:val="tx1"/>
            </w14:solidFill>
          </w14:textFill>
        </w:rPr>
        <w:t>0</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和相对湿度小于</w:t>
      </w:r>
      <w:r>
        <w:rPr>
          <w:rFonts w:ascii="宋体" w:hAnsi="宋体"/>
          <w:b/>
          <w:color w:val="000000" w:themeColor="text1"/>
          <w:sz w:val="24"/>
          <w:highlight w:val="none"/>
          <w14:textFill>
            <w14:solidFill>
              <w14:schemeClr w14:val="tx1"/>
            </w14:solidFill>
          </w14:textFill>
        </w:rPr>
        <w:t>8</w:t>
      </w:r>
      <w:r>
        <w:rPr>
          <w:rFonts w:hint="eastAsia" w:ascii="宋体" w:hAnsi="宋体"/>
          <w:b/>
          <w:color w:val="000000" w:themeColor="text1"/>
          <w:sz w:val="24"/>
          <w:highlight w:val="none"/>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的环境条件下运行。</w:t>
      </w:r>
      <w:r>
        <w:rPr>
          <w:rFonts w:hint="eastAsia" w:ascii="宋体" w:hAnsi="宋体"/>
          <w:b/>
          <w:color w:val="000000" w:themeColor="text1"/>
          <w:sz w:val="24"/>
          <w:highlight w:val="none"/>
          <w14:textFill>
            <w14:solidFill>
              <w14:schemeClr w14:val="tx1"/>
            </w14:solidFill>
          </w14:textFill>
        </w:rPr>
        <w:t>能够连续正常工作。</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3.3  配置符合中国有关标准要求的插头，如果没有这样的插头，则需</w:t>
      </w:r>
      <w:r>
        <w:rPr>
          <w:rFonts w:hint="eastAsia" w:ascii="宋体"/>
          <w:color w:val="000000" w:themeColor="text1"/>
          <w:sz w:val="24"/>
          <w:highlight w:val="none"/>
          <w14:textFill>
            <w14:solidFill>
              <w14:schemeClr w14:val="tx1"/>
            </w14:solidFill>
          </w14:textFill>
        </w:rPr>
        <w:t>提供适当的转</w:t>
      </w:r>
      <w:r>
        <w:rPr>
          <w:rFonts w:hint="eastAsia" w:ascii="宋体" w:hAnsi="宋体"/>
          <w:color w:val="000000" w:themeColor="text1"/>
          <w:sz w:val="24"/>
          <w:highlight w:val="none"/>
          <w14:textFill>
            <w14:solidFill>
              <w14:schemeClr w14:val="tx1"/>
            </w14:solidFill>
          </w14:textFill>
        </w:rPr>
        <w:t>换插座。</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pPr>
        <w:rPr>
          <w:rFonts w:eastAsia="黑体"/>
          <w:b/>
          <w:bCs/>
          <w:color w:val="000000" w:themeColor="text1"/>
          <w:kern w:val="44"/>
          <w:sz w:val="24"/>
          <w:highlight w:val="none"/>
          <w14:textFill>
            <w14:solidFill>
              <w14:schemeClr w14:val="tx1"/>
            </w14:solidFill>
          </w14:textFill>
        </w:rPr>
      </w:pPr>
    </w:p>
    <w:p>
      <w:pPr>
        <w:spacing w:before="156" w:beforeLines="50" w:after="156" w:afterLines="50" w:line="360" w:lineRule="auto"/>
        <w:ind w:left="601" w:hanging="601"/>
        <w:rPr>
          <w:rFonts w:ascii="宋体" w:hAnsi="宋体"/>
          <w:b/>
          <w:color w:val="000000" w:themeColor="text1"/>
          <w:sz w:val="28"/>
          <w:highlight w:val="none"/>
          <w14:textFill>
            <w14:solidFill>
              <w14:schemeClr w14:val="tx1"/>
            </w14:solidFill>
          </w14:textFill>
        </w:rPr>
      </w:pPr>
      <w:r>
        <w:rPr>
          <w:rFonts w:hint="eastAsia" w:ascii="宋体" w:hAnsi="宋体"/>
          <w:b/>
          <w:color w:val="000000" w:themeColor="text1"/>
          <w:sz w:val="28"/>
          <w:highlight w:val="none"/>
          <w14:textFill>
            <w14:solidFill>
              <w14:schemeClr w14:val="tx1"/>
            </w14:solidFill>
          </w14:textFill>
        </w:rPr>
        <w:t>4、验收标准</w:t>
      </w:r>
    </w:p>
    <w:p>
      <w:pPr>
        <w:spacing w:after="312" w:afterLines="10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除非在技术规格中另有说明，所有仪器、设备和系统按下列要求进行验收：</w:t>
      </w:r>
      <w:r>
        <w:rPr>
          <w:rFonts w:ascii="宋体" w:hAnsi="宋体"/>
          <w:color w:val="000000" w:themeColor="text1"/>
          <w:sz w:val="24"/>
          <w:highlight w:val="none"/>
          <w14:textFill>
            <w14:solidFill>
              <w14:schemeClr w14:val="tx1"/>
            </w14:solidFill>
          </w14:textFill>
        </w:rPr>
        <w:t xml:space="preserve"> </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  仪器设备运抵安装现场后，买方将与卖方共同开箱验收</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如卖方届时不派人来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则验收结果应以买方的验收报告为最终验收结果。验收时发现短缺、破损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买方有权要求卖方负责更换。</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w:t>
      </w:r>
      <w:r>
        <w:rPr>
          <w:rFonts w:hint="eastAsia"/>
          <w:color w:val="000000" w:themeColor="text1"/>
          <w:sz w:val="24"/>
          <w:highlight w:val="none"/>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  </w:t>
      </w:r>
      <w:r>
        <w:rPr>
          <w:rFonts w:ascii="宋体" w:hAnsi="宋体"/>
          <w:color w:val="000000" w:themeColor="text1"/>
          <w:sz w:val="24"/>
          <w:highlight w:val="none"/>
          <w14:textFill>
            <w14:solidFill>
              <w14:schemeClr w14:val="tx1"/>
            </w14:solidFill>
          </w14:textFill>
        </w:rPr>
        <w:t>验收由采购人、中标人及相关人员依国家有关标准、合同及有关附件要求进行，验收完毕由采购人及中标人在验收报告上签名。</w:t>
      </w:r>
    </w:p>
    <w:p>
      <w:pPr>
        <w:pStyle w:val="3"/>
        <w:spacing w:line="360" w:lineRule="auto"/>
        <w:ind w:left="410" w:hanging="410" w:hangingChars="170"/>
        <w:rPr>
          <w:rFonts w:hAnsi="宋体"/>
          <w:b/>
          <w:color w:val="000000" w:themeColor="text1"/>
          <w:sz w:val="24"/>
          <w:szCs w:val="24"/>
          <w:highlight w:val="none"/>
          <w14:textFill>
            <w14:solidFill>
              <w14:schemeClr w14:val="tx1"/>
            </w14:solidFill>
          </w14:textFill>
        </w:rPr>
      </w:pPr>
    </w:p>
    <w:p>
      <w:pPr>
        <w:pStyle w:val="3"/>
        <w:spacing w:line="360" w:lineRule="auto"/>
        <w:ind w:left="410" w:hanging="410" w:hangingChars="170"/>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5、本技术规格书中标注“*”号的为实质性要求，不满足其投标将被拒绝。</w:t>
      </w:r>
    </w:p>
    <w:p>
      <w:pPr>
        <w:pStyle w:val="3"/>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6、如在具体技术规格中有本总则不一致之处，以具体技术规格中的要求为准。</w:t>
      </w:r>
    </w:p>
    <w:p>
      <w:pPr>
        <w:spacing w:after="156" w:afterLines="50"/>
        <w:ind w:left="601" w:hanging="601"/>
        <w:rPr>
          <w:rFonts w:ascii="宋体" w:hAnsi="宋体"/>
          <w:b/>
          <w:color w:val="000000" w:themeColor="text1"/>
          <w:sz w:val="28"/>
          <w:highlight w:val="none"/>
          <w14:textFill>
            <w14:solidFill>
              <w14:schemeClr w14:val="tx1"/>
            </w14:solidFill>
          </w14:textFill>
        </w:rPr>
      </w:pPr>
      <w:r>
        <w:rPr>
          <w:rFonts w:hint="eastAsia" w:ascii="宋体" w:hAnsi="宋体"/>
          <w:b/>
          <w:color w:val="000000" w:themeColor="text1"/>
          <w:sz w:val="28"/>
          <w:highlight w:val="none"/>
          <w14:textFill>
            <w14:solidFill>
              <w14:schemeClr w14:val="tx1"/>
            </w14:solidFill>
          </w14:textFill>
        </w:rPr>
        <w:t>三、具体技术规格</w:t>
      </w:r>
    </w:p>
    <w:p>
      <w:pPr>
        <w:rPr>
          <w:color w:val="000000" w:themeColor="text1"/>
          <w:sz w:val="24"/>
          <w:highlight w:val="none"/>
          <w14:textFill>
            <w14:solidFill>
              <w14:schemeClr w14:val="tx1"/>
            </w14:solidFill>
          </w14:textFill>
        </w:rPr>
      </w:pP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第1包 圆二色光谱仪</w:t>
      </w:r>
    </w:p>
    <w:p>
      <w:pPr>
        <w:rPr>
          <w:b/>
          <w:color w:val="000000" w:themeColor="text1"/>
          <w:sz w:val="24"/>
          <w:highlight w:val="none"/>
          <w14:textFill>
            <w14:solidFill>
              <w14:schemeClr w14:val="tx1"/>
            </w14:solidFill>
          </w14:textFill>
        </w:rPr>
      </w:pPr>
    </w:p>
    <w:p>
      <w:pPr>
        <w:numPr>
          <w:ilvl w:val="0"/>
          <w:numId w:val="1"/>
        </w:numP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技术要求：</w:t>
      </w:r>
    </w:p>
    <w:p>
      <w:pPr>
        <w:rPr>
          <w:b/>
          <w:color w:val="000000" w:themeColor="text1"/>
          <w:sz w:val="24"/>
          <w:highlight w:val="none"/>
          <w14:textFill>
            <w14:solidFill>
              <w14:schemeClr w14:val="tx1"/>
            </w14:solidFill>
          </w14:textFill>
        </w:rPr>
      </w:pPr>
    </w:p>
    <w:p>
      <w:pPr>
        <w:numPr>
          <w:ilvl w:val="0"/>
          <w:numId w:val="2"/>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工作条件：</w:t>
      </w:r>
    </w:p>
    <w:p>
      <w:pPr>
        <w:spacing w:line="360" w:lineRule="auto"/>
        <w:rPr>
          <w:color w:val="000000" w:themeColor="text1"/>
          <w:position w:val="-20"/>
          <w:sz w:val="24"/>
          <w:highlight w:val="none"/>
          <w14:textFill>
            <w14:solidFill>
              <w14:schemeClr w14:val="tx1"/>
            </w14:solidFill>
          </w14:textFill>
        </w:rPr>
      </w:pPr>
      <w:r>
        <w:rPr>
          <w:color w:val="000000" w:themeColor="text1"/>
          <w:position w:val="-20"/>
          <w:sz w:val="24"/>
          <w:highlight w:val="none"/>
          <w14:textFill>
            <w14:solidFill>
              <w14:schemeClr w14:val="tx1"/>
            </w14:solidFill>
          </w14:textFill>
        </w:rPr>
        <w:t>1.</w:t>
      </w:r>
      <w:r>
        <w:rPr>
          <w:rFonts w:hint="eastAsia"/>
          <w:color w:val="000000" w:themeColor="text1"/>
          <w:position w:val="-20"/>
          <w:sz w:val="24"/>
          <w:highlight w:val="none"/>
          <w:lang w:val="en-US" w:eastAsia="zh-CN"/>
          <w14:textFill>
            <w14:solidFill>
              <w14:schemeClr w14:val="tx1"/>
            </w14:solidFill>
          </w14:textFill>
        </w:rPr>
        <w:t>1</w:t>
      </w:r>
      <w:r>
        <w:rPr>
          <w:rFonts w:hint="eastAsia"/>
          <w:color w:val="000000" w:themeColor="text1"/>
          <w:position w:val="-20"/>
          <w:sz w:val="24"/>
          <w:highlight w:val="none"/>
          <w14:textFill>
            <w14:solidFill>
              <w14:schemeClr w14:val="tx1"/>
            </w14:solidFill>
          </w14:textFill>
        </w:rPr>
        <w:t>工作电压：单相AC 220V（</w:t>
      </w:r>
      <w:r>
        <w:rPr>
          <w:rFonts w:hint="eastAsia"/>
          <w:color w:val="000000" w:themeColor="text1"/>
          <w:position w:val="-20"/>
          <w:sz w:val="24"/>
          <w:highlight w:val="none"/>
          <w14:textFill>
            <w14:solidFill>
              <w14:schemeClr w14:val="tx1"/>
            </w14:solidFill>
          </w14:textFill>
        </w:rPr>
        <w:sym w:font="Symbol" w:char="F0B1"/>
      </w:r>
      <w:r>
        <w:rPr>
          <w:rFonts w:hint="eastAsia"/>
          <w:color w:val="000000" w:themeColor="text1"/>
          <w:position w:val="-20"/>
          <w:sz w:val="24"/>
          <w:highlight w:val="none"/>
          <w14:textFill>
            <w14:solidFill>
              <w14:schemeClr w14:val="tx1"/>
            </w14:solidFill>
          </w14:textFill>
        </w:rPr>
        <w:t>10％），50Hz（±1%）</w:t>
      </w:r>
    </w:p>
    <w:p>
      <w:pPr>
        <w:spacing w:line="360" w:lineRule="auto"/>
        <w:rPr>
          <w:color w:val="000000" w:themeColor="text1"/>
          <w:position w:val="-14"/>
          <w:sz w:val="24"/>
          <w:highlight w:val="none"/>
          <w14:textFill>
            <w14:solidFill>
              <w14:schemeClr w14:val="tx1"/>
            </w14:solidFill>
          </w14:textFill>
        </w:rPr>
      </w:pPr>
      <w:r>
        <w:rPr>
          <w:color w:val="000000" w:themeColor="text1"/>
          <w:position w:val="-14"/>
          <w:sz w:val="24"/>
          <w:highlight w:val="none"/>
          <w14:textFill>
            <w14:solidFill>
              <w14:schemeClr w14:val="tx1"/>
            </w14:solidFill>
          </w14:textFill>
        </w:rPr>
        <w:t>1.</w:t>
      </w:r>
      <w:r>
        <w:rPr>
          <w:rFonts w:hint="eastAsia"/>
          <w:color w:val="000000" w:themeColor="text1"/>
          <w:position w:val="-14"/>
          <w:sz w:val="24"/>
          <w:highlight w:val="none"/>
          <w:lang w:val="en-US" w:eastAsia="zh-CN"/>
          <w14:textFill>
            <w14:solidFill>
              <w14:schemeClr w14:val="tx1"/>
            </w14:solidFill>
          </w14:textFill>
        </w:rPr>
        <w:t>2</w:t>
      </w:r>
      <w:r>
        <w:rPr>
          <w:rFonts w:hint="eastAsia"/>
          <w:color w:val="000000" w:themeColor="text1"/>
          <w:position w:val="-14"/>
          <w:sz w:val="24"/>
          <w:highlight w:val="none"/>
          <w14:textFill>
            <w14:solidFill>
              <w14:schemeClr w14:val="tx1"/>
            </w14:solidFill>
          </w14:textFill>
        </w:rPr>
        <w:t xml:space="preserve"> 环境温度：17</w:t>
      </w:r>
      <w:r>
        <w:rPr>
          <w:rFonts w:hint="eastAsia"/>
          <w:color w:val="000000" w:themeColor="text1"/>
          <w:position w:val="-14"/>
          <w:sz w:val="24"/>
          <w:highlight w:val="none"/>
          <w14:textFill>
            <w14:solidFill>
              <w14:schemeClr w14:val="tx1"/>
            </w14:solidFill>
          </w14:textFill>
        </w:rPr>
        <w:sym w:font="Symbol" w:char="F0B0"/>
      </w:r>
      <w:r>
        <w:rPr>
          <w:rFonts w:hint="eastAsia"/>
          <w:color w:val="000000" w:themeColor="text1"/>
          <w:position w:val="-14"/>
          <w:sz w:val="24"/>
          <w:highlight w:val="none"/>
          <w14:textFill>
            <w14:solidFill>
              <w14:schemeClr w14:val="tx1"/>
            </w14:solidFill>
          </w14:textFill>
        </w:rPr>
        <w:t>C~ 27</w:t>
      </w:r>
      <w:r>
        <w:rPr>
          <w:rFonts w:hint="eastAsia"/>
          <w:color w:val="000000" w:themeColor="text1"/>
          <w:position w:val="-14"/>
          <w:sz w:val="24"/>
          <w:highlight w:val="none"/>
          <w14:textFill>
            <w14:solidFill>
              <w14:schemeClr w14:val="tx1"/>
            </w14:solidFill>
          </w14:textFill>
        </w:rPr>
        <w:sym w:font="Symbol" w:char="F0B0"/>
      </w:r>
      <w:r>
        <w:rPr>
          <w:rFonts w:hint="eastAsia"/>
          <w:color w:val="000000" w:themeColor="text1"/>
          <w:position w:val="-14"/>
          <w:sz w:val="24"/>
          <w:highlight w:val="none"/>
          <w14:textFill>
            <w14:solidFill>
              <w14:schemeClr w14:val="tx1"/>
            </w14:solidFill>
          </w14:textFill>
        </w:rPr>
        <w:t>C</w:t>
      </w:r>
    </w:p>
    <w:p>
      <w:pPr>
        <w:spacing w:line="360" w:lineRule="auto"/>
        <w:rPr>
          <w:color w:val="000000" w:themeColor="text1"/>
          <w:position w:val="-16"/>
          <w:sz w:val="24"/>
          <w:highlight w:val="none"/>
          <w14:textFill>
            <w14:solidFill>
              <w14:schemeClr w14:val="tx1"/>
            </w14:solidFill>
          </w14:textFill>
        </w:rPr>
      </w:pPr>
      <w:r>
        <w:rPr>
          <w:rFonts w:hint="eastAsia"/>
          <w:color w:val="000000" w:themeColor="text1"/>
          <w:position w:val="-14"/>
          <w:sz w:val="24"/>
          <w:highlight w:val="none"/>
          <w14:textFill>
            <w14:solidFill>
              <w14:schemeClr w14:val="tx1"/>
            </w14:solidFill>
          </w14:textFill>
        </w:rPr>
        <w:t>1.</w:t>
      </w:r>
      <w:r>
        <w:rPr>
          <w:rFonts w:hint="eastAsia"/>
          <w:color w:val="000000" w:themeColor="text1"/>
          <w:position w:val="-14"/>
          <w:sz w:val="24"/>
          <w:highlight w:val="none"/>
          <w:lang w:val="en-US" w:eastAsia="zh-CN"/>
          <w14:textFill>
            <w14:solidFill>
              <w14:schemeClr w14:val="tx1"/>
            </w14:solidFill>
          </w14:textFill>
        </w:rPr>
        <w:t xml:space="preserve">3 </w:t>
      </w:r>
      <w:r>
        <w:rPr>
          <w:rFonts w:hint="eastAsia"/>
          <w:color w:val="000000" w:themeColor="text1"/>
          <w:position w:val="-14"/>
          <w:sz w:val="24"/>
          <w:highlight w:val="none"/>
          <w14:textFill>
            <w14:solidFill>
              <w14:schemeClr w14:val="tx1"/>
            </w14:solidFill>
          </w14:textFill>
        </w:rPr>
        <w:t>相对湿度：&lt; 80% 无冷凝</w:t>
      </w:r>
    </w:p>
    <w:p>
      <w:pPr>
        <w:spacing w:line="360" w:lineRule="auto"/>
        <w:rPr>
          <w:color w:val="000000" w:themeColor="text1"/>
          <w:sz w:val="24"/>
          <w:highlight w:val="none"/>
          <w14:textFill>
            <w14:solidFill>
              <w14:schemeClr w14:val="tx1"/>
            </w14:solidFill>
          </w14:textFill>
        </w:rPr>
      </w:pPr>
    </w:p>
    <w:p>
      <w:pPr>
        <w:numPr>
          <w:ilvl w:val="0"/>
          <w:numId w:val="2"/>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设备用途：</w:t>
      </w:r>
    </w:p>
    <w:p>
      <w:pPr>
        <w:pStyle w:val="4"/>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用于手性光学活性物质的研究，能够对生物大分子、有机小分子的结构、分子构象进行表征、能够对分子的构象变化和分子间的相互作用进行检测。可用于有机立体化学研究、光学活性物质纯度测试、药物定量分析、天然有机化学、生物化学与宏观大分子、金属配合物化学、聚合物化学、蛋白质折叠研究、蛋白质热稳定性测量、蛋白质构象研究等。广泛应用于材料学、化学、物理学、电子学和生物医学等领域。     </w:t>
      </w:r>
    </w:p>
    <w:p>
      <w:pPr>
        <w:pStyle w:val="10"/>
        <w:tabs>
          <w:tab w:val="left" w:pos="1560"/>
        </w:tabs>
        <w:ind w:left="44"/>
        <w:jc w:val="both"/>
        <w:rPr>
          <w:rFonts w:ascii="Times New Roman" w:hAnsi="Times New Roman" w:eastAsia="宋体"/>
          <w:b/>
          <w:color w:val="000000" w:themeColor="text1"/>
          <w:kern w:val="0"/>
          <w:sz w:val="24"/>
          <w:szCs w:val="24"/>
          <w:highlight w:val="none"/>
          <w14:textFill>
            <w14:solidFill>
              <w14:schemeClr w14:val="tx1"/>
            </w14:solidFill>
          </w14:textFill>
        </w:rPr>
      </w:pPr>
    </w:p>
    <w:p>
      <w:pPr>
        <w:numPr>
          <w:ilvl w:val="0"/>
          <w:numId w:val="2"/>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技术规格：</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w:t>
      </w:r>
      <w:r>
        <w:rPr>
          <w:rFonts w:hint="eastAsia" w:ascii="Times New Roman" w:hAnsi="Times New Roman" w:eastAsia="宋体" w:cs="宋体"/>
          <w:color w:val="000000" w:themeColor="text1"/>
          <w:kern w:val="0"/>
          <w:sz w:val="24"/>
          <w:szCs w:val="24"/>
          <w:highlight w:val="none"/>
          <w14:textFill>
            <w14:solidFill>
              <w14:schemeClr w14:val="tx1"/>
            </w14:solidFill>
          </w14:textFill>
        </w:rPr>
        <w:t>3.</w:t>
      </w:r>
      <w:r>
        <w:rPr>
          <w:rFonts w:hint="eastAsia" w:ascii="Times New Roman" w:hAnsi="Times New Roman" w:eastAsia="宋体"/>
          <w:color w:val="000000" w:themeColor="text1"/>
          <w:kern w:val="0"/>
          <w:sz w:val="24"/>
          <w:szCs w:val="24"/>
          <w:highlight w:val="none"/>
          <w14:textFill>
            <w14:solidFill>
              <w14:schemeClr w14:val="tx1"/>
            </w14:solidFill>
          </w14:textFill>
        </w:rPr>
        <w:t>1 光源:氙灯和汞灯，光源自动切换</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3.2 分光原理：双偏振棱镜的分光系统</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3.3 波长范围: 不小于16</w:t>
      </w:r>
      <w:r>
        <w:rPr>
          <w:rFonts w:ascii="Times New Roman" w:hAnsi="Times New Roman" w:eastAsia="宋体"/>
          <w:color w:val="000000" w:themeColor="text1"/>
          <w:kern w:val="0"/>
          <w:sz w:val="24"/>
          <w:szCs w:val="24"/>
          <w:highlight w:val="none"/>
          <w14:textFill>
            <w14:solidFill>
              <w14:schemeClr w14:val="tx1"/>
            </w14:solidFill>
          </w14:textFill>
        </w:rPr>
        <w:t>5</w:t>
      </w:r>
      <w:r>
        <w:rPr>
          <w:rFonts w:hint="eastAsia" w:ascii="Times New Roman" w:hAnsi="Times New Roman" w:eastAsia="宋体"/>
          <w:color w:val="000000" w:themeColor="text1"/>
          <w:kern w:val="0"/>
          <w:sz w:val="24"/>
          <w:szCs w:val="24"/>
          <w:highlight w:val="none"/>
          <w14:textFill>
            <w14:solidFill>
              <w14:schemeClr w14:val="tx1"/>
            </w14:solidFill>
          </w14:textFill>
        </w:rPr>
        <w:t>-9</w:t>
      </w:r>
      <w:r>
        <w:rPr>
          <w:rFonts w:ascii="Times New Roman" w:hAnsi="Times New Roman" w:eastAsia="宋体"/>
          <w:color w:val="000000" w:themeColor="text1"/>
          <w:kern w:val="0"/>
          <w:sz w:val="24"/>
          <w:szCs w:val="24"/>
          <w:highlight w:val="none"/>
          <w14:textFill>
            <w14:solidFill>
              <w14:schemeClr w14:val="tx1"/>
            </w14:solidFill>
          </w14:textFill>
        </w:rPr>
        <w:t>5</w:t>
      </w:r>
      <w:r>
        <w:rPr>
          <w:rFonts w:hint="eastAsia" w:ascii="Times New Roman" w:hAnsi="Times New Roman" w:eastAsia="宋体"/>
          <w:color w:val="000000" w:themeColor="text1"/>
          <w:kern w:val="0"/>
          <w:sz w:val="24"/>
          <w:szCs w:val="24"/>
          <w:highlight w:val="none"/>
          <w14:textFill>
            <w14:solidFill>
              <w14:schemeClr w14:val="tx1"/>
            </w14:solidFill>
          </w14:textFill>
        </w:rPr>
        <w:t>0nm</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3.4 波长准确度: 优于±0.2nm</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3.5 波长重现性：优于±0.1nm</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6</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测量范围：不小于±7500mdeg</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s="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7</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具有CD圆二色谱和LD线二色谱同步扫描功能</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8</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响应速度：至少包括0.5msec～20sec</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9</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扫描方式：具有连续扫描和步进扫描的功能</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3.1</w:t>
      </w:r>
      <w:r>
        <w:rPr>
          <w:rFonts w:ascii="Times New Roman" w:hAnsi="Times New Roman" w:eastAsia="宋体"/>
          <w:color w:val="000000" w:themeColor="text1"/>
          <w:kern w:val="0"/>
          <w:sz w:val="24"/>
          <w:szCs w:val="24"/>
          <w:highlight w:val="none"/>
          <w14:textFill>
            <w14:solidFill>
              <w14:schemeClr w14:val="tx1"/>
            </w14:solidFill>
          </w14:textFill>
        </w:rPr>
        <w:t>0</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最大扫描速度：不小于9000 nm/min</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s="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11</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噪音水平（带宽1nm，响应时间</w:t>
      </w:r>
      <w:r>
        <w:rPr>
          <w:rFonts w:ascii="Times New Roman" w:hAnsi="Times New Roman" w:eastAsia="宋体"/>
          <w:color w:val="000000" w:themeColor="text1"/>
          <w:kern w:val="0"/>
          <w:sz w:val="24"/>
          <w:szCs w:val="24"/>
          <w:highlight w:val="none"/>
          <w14:textFill>
            <w14:solidFill>
              <w14:schemeClr w14:val="tx1"/>
            </w14:solidFill>
          </w14:textFill>
        </w:rPr>
        <w:t>2</w:t>
      </w:r>
      <w:r>
        <w:rPr>
          <w:rFonts w:hint="eastAsia" w:ascii="Times New Roman" w:hAnsi="Times New Roman" w:eastAsia="宋体"/>
          <w:color w:val="000000" w:themeColor="text1"/>
          <w:kern w:val="0"/>
          <w:sz w:val="24"/>
          <w:szCs w:val="24"/>
          <w:highlight w:val="none"/>
          <w14:textFill>
            <w14:solidFill>
              <w14:schemeClr w14:val="tx1"/>
            </w14:solidFill>
          </w14:textFill>
        </w:rPr>
        <w:t>sec）</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≤0.00</w:t>
      </w:r>
      <w:r>
        <w:rPr>
          <w:rFonts w:ascii="Times New Roman" w:hAnsi="Times New Roman" w:eastAsia="宋体"/>
          <w:color w:val="000000" w:themeColor="text1"/>
          <w:kern w:val="0"/>
          <w:sz w:val="24"/>
          <w:szCs w:val="24"/>
          <w:highlight w:val="none"/>
          <w14:textFill>
            <w14:solidFill>
              <w14:schemeClr w14:val="tx1"/>
            </w14:solidFill>
          </w14:textFill>
        </w:rPr>
        <w:t>7</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mdeg (185 nm) </w:t>
      </w:r>
      <w:r>
        <w:rPr>
          <w:rFonts w:ascii="Times New Roman" w:hAnsi="Times New Roman" w:eastAsia="宋体"/>
          <w:color w:val="000000" w:themeColor="text1"/>
          <w:kern w:val="0"/>
          <w:sz w:val="24"/>
          <w:szCs w:val="24"/>
          <w:highlight w:val="none"/>
          <w14:textFill>
            <w14:solidFill>
              <w14:schemeClr w14:val="tx1"/>
            </w14:solidFill>
          </w14:textFill>
        </w:rPr>
        <w:t xml:space="preserve">  </w:t>
      </w:r>
      <w:r>
        <w:rPr>
          <w:rFonts w:hint="eastAsia" w:ascii="Times New Roman" w:hAnsi="Times New Roman" w:eastAsia="宋体"/>
          <w:color w:val="000000" w:themeColor="text1"/>
          <w:kern w:val="0"/>
          <w:sz w:val="24"/>
          <w:szCs w:val="24"/>
          <w:highlight w:val="none"/>
          <w14:textFill>
            <w14:solidFill>
              <w14:schemeClr w14:val="tx1"/>
            </w14:solidFill>
          </w14:textFill>
        </w:rPr>
        <w:t>≤0.00</w:t>
      </w:r>
      <w:r>
        <w:rPr>
          <w:rFonts w:ascii="Times New Roman" w:hAnsi="Times New Roman" w:eastAsia="宋体"/>
          <w:color w:val="000000" w:themeColor="text1"/>
          <w:kern w:val="0"/>
          <w:sz w:val="24"/>
          <w:szCs w:val="24"/>
          <w:highlight w:val="none"/>
          <w14:textFill>
            <w14:solidFill>
              <w14:schemeClr w14:val="tx1"/>
            </w14:solidFill>
          </w14:textFill>
        </w:rPr>
        <w:t>8</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mdeg (200 nm</w:t>
      </w:r>
      <w:r>
        <w:rPr>
          <w:rFonts w:ascii="Times New Roman" w:hAnsi="Times New Roman" w:eastAsia="宋体"/>
          <w:color w:val="000000" w:themeColor="text1"/>
          <w:kern w:val="0"/>
          <w:sz w:val="24"/>
          <w:szCs w:val="24"/>
          <w:highlight w:val="none"/>
          <w14:textFill>
            <w14:solidFill>
              <w14:schemeClr w14:val="tx1"/>
            </w14:solidFill>
          </w14:textFill>
        </w:rPr>
        <w:t>&amp;500</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nm) </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w:t>
      </w:r>
      <w:r>
        <w:rPr>
          <w:rFonts w:hint="eastAsia" w:ascii="Times New Roman" w:hAnsi="Times New Roman" w:eastAsia="宋体"/>
          <w:color w:val="000000" w:themeColor="text1"/>
          <w:kern w:val="0"/>
          <w:sz w:val="24"/>
          <w:szCs w:val="24"/>
          <w:highlight w:val="none"/>
          <w14:textFill>
            <w14:solidFill>
              <w14:schemeClr w14:val="tx1"/>
            </w14:solidFill>
          </w14:textFill>
        </w:rPr>
        <w:t>3.1</w:t>
      </w:r>
      <w:r>
        <w:rPr>
          <w:rFonts w:ascii="Times New Roman" w:hAnsi="Times New Roman" w:eastAsia="宋体"/>
          <w:color w:val="000000" w:themeColor="text1"/>
          <w:kern w:val="0"/>
          <w:sz w:val="24"/>
          <w:szCs w:val="24"/>
          <w:highlight w:val="none"/>
          <w14:textFill>
            <w14:solidFill>
              <w14:schemeClr w14:val="tx1"/>
            </w14:solidFill>
          </w14:textFill>
        </w:rPr>
        <w:t>2</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吹扫气体用量：不大于</w:t>
      </w:r>
      <w:r>
        <w:rPr>
          <w:rFonts w:ascii="Times New Roman" w:hAnsi="Times New Roman" w:eastAsia="宋体"/>
          <w:color w:val="000000" w:themeColor="text1"/>
          <w:kern w:val="0"/>
          <w:sz w:val="24"/>
          <w:szCs w:val="24"/>
          <w:highlight w:val="none"/>
          <w14:textFill>
            <w14:solidFill>
              <w14:schemeClr w14:val="tx1"/>
            </w14:solidFill>
          </w14:textFill>
        </w:rPr>
        <w:t>3</w:t>
      </w:r>
      <w:r>
        <w:rPr>
          <w:rFonts w:hint="eastAsia" w:ascii="Times New Roman" w:hAnsi="Times New Roman" w:eastAsia="宋体"/>
          <w:color w:val="000000" w:themeColor="text1"/>
          <w:kern w:val="0"/>
          <w:sz w:val="24"/>
          <w:szCs w:val="24"/>
          <w:highlight w:val="none"/>
          <w14:textFill>
            <w14:solidFill>
              <w14:schemeClr w14:val="tx1"/>
            </w14:solidFill>
          </w14:textFill>
        </w:rPr>
        <w:t>升/分钟 (在185 nm 检测并获取有效数据时)</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w:t>
      </w:r>
      <w:r>
        <w:rPr>
          <w:rFonts w:hint="eastAsia" w:ascii="Times New Roman" w:hAnsi="Times New Roman" w:eastAsia="宋体" w:cs="宋体"/>
          <w:color w:val="000000" w:themeColor="text1"/>
          <w:kern w:val="0"/>
          <w:sz w:val="24"/>
          <w:szCs w:val="24"/>
          <w:highlight w:val="none"/>
          <w14:textFill>
            <w14:solidFill>
              <w14:schemeClr w14:val="tx1"/>
            </w14:solidFill>
          </w14:textFill>
        </w:rPr>
        <w:t>3.</w:t>
      </w:r>
      <w:r>
        <w:rPr>
          <w:rFonts w:hint="eastAsia" w:ascii="Times New Roman" w:hAnsi="Times New Roman" w:eastAsia="宋体"/>
          <w:color w:val="000000" w:themeColor="text1"/>
          <w:kern w:val="0"/>
          <w:sz w:val="24"/>
          <w:szCs w:val="24"/>
          <w:highlight w:val="none"/>
          <w14:textFill>
            <w14:solidFill>
              <w14:schemeClr w14:val="tx1"/>
            </w14:solidFill>
          </w14:textFill>
        </w:rPr>
        <w:t>1</w:t>
      </w:r>
      <w:r>
        <w:rPr>
          <w:rFonts w:ascii="Times New Roman" w:hAnsi="Times New Roman" w:eastAsia="宋体"/>
          <w:color w:val="000000" w:themeColor="text1"/>
          <w:kern w:val="0"/>
          <w:sz w:val="24"/>
          <w:szCs w:val="24"/>
          <w:highlight w:val="none"/>
          <w14:textFill>
            <w14:solidFill>
              <w14:schemeClr w14:val="tx1"/>
            </w14:solidFill>
          </w14:textFill>
        </w:rPr>
        <w:t>3</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校正光源汞灯：用于检证仪器的波长正确性和波长重复准确性，确保得到高准确度的光谱</w:t>
      </w:r>
    </w:p>
    <w:p>
      <w:pPr>
        <w:pStyle w:val="10"/>
        <w:tabs>
          <w:tab w:val="left" w:pos="1560"/>
        </w:tabs>
        <w:spacing w:line="360" w:lineRule="auto"/>
        <w:ind w:left="44"/>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1</w:t>
      </w:r>
      <w:r>
        <w:rPr>
          <w:rFonts w:hint="eastAsia" w:ascii="Times New Roman" w:hAnsi="Times New Roman" w:eastAsia="宋体"/>
          <w:color w:val="000000" w:themeColor="text1"/>
          <w:kern w:val="0"/>
          <w:sz w:val="24"/>
          <w:szCs w:val="24"/>
          <w:highlight w:val="none"/>
          <w14:textFill>
            <w14:solidFill>
              <w14:schemeClr w14:val="tx1"/>
            </w14:solidFill>
          </w14:textFill>
        </w:rPr>
        <w:t>4 波长扩展装置</w:t>
      </w:r>
    </w:p>
    <w:p>
      <w:pPr>
        <w:pStyle w:val="10"/>
        <w:tabs>
          <w:tab w:val="left" w:pos="1560"/>
        </w:tabs>
        <w:spacing w:line="360" w:lineRule="auto"/>
        <w:ind w:left="45" w:firstLine="480" w:firstLineChars="200"/>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1</w:t>
      </w:r>
      <w:r>
        <w:rPr>
          <w:rFonts w:hint="eastAsia" w:ascii="Times New Roman" w:hAnsi="Times New Roman" w:eastAsia="宋体"/>
          <w:color w:val="000000" w:themeColor="text1"/>
          <w:kern w:val="0"/>
          <w:sz w:val="24"/>
          <w:szCs w:val="24"/>
          <w:highlight w:val="none"/>
          <w14:textFill>
            <w14:solidFill>
              <w14:schemeClr w14:val="tx1"/>
            </w14:solidFill>
          </w14:textFill>
        </w:rPr>
        <w:t>4</w:t>
      </w:r>
      <w:r>
        <w:rPr>
          <w:rFonts w:ascii="Times New Roman" w:hAnsi="Times New Roman" w:eastAsia="宋体"/>
          <w:color w:val="000000" w:themeColor="text1"/>
          <w:kern w:val="0"/>
          <w:sz w:val="24"/>
          <w:szCs w:val="24"/>
          <w:highlight w:val="none"/>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 xml:space="preserve"> </w:t>
      </w:r>
      <w:r>
        <w:rPr>
          <w:rFonts w:hint="eastAsia" w:ascii="Times New Roman" w:hAnsi="Times New Roman" w:eastAsia="宋体"/>
          <w:color w:val="000000" w:themeColor="text1"/>
          <w:kern w:val="0"/>
          <w:sz w:val="24"/>
          <w:szCs w:val="24"/>
          <w:highlight w:val="none"/>
          <w14:textFill>
            <w14:solidFill>
              <w14:schemeClr w14:val="tx1"/>
            </w14:solidFill>
          </w14:textFill>
        </w:rPr>
        <w:t>20瓦钨灯和铟镓砷检测器</w:t>
      </w:r>
      <w:r>
        <w:rPr>
          <w:rFonts w:ascii="Times New Roman" w:hAnsi="Times New Roman" w:eastAsia="宋体"/>
          <w:color w:val="000000" w:themeColor="text1"/>
          <w:kern w:val="0"/>
          <w:sz w:val="24"/>
          <w:szCs w:val="24"/>
          <w:highlight w:val="none"/>
          <w14:textFill>
            <w14:solidFill>
              <w14:schemeClr w14:val="tx1"/>
            </w14:solidFill>
          </w14:textFill>
        </w:rPr>
        <w:t>；</w:t>
      </w:r>
    </w:p>
    <w:p>
      <w:pPr>
        <w:pStyle w:val="10"/>
        <w:tabs>
          <w:tab w:val="left" w:pos="1560"/>
        </w:tabs>
        <w:spacing w:line="360" w:lineRule="auto"/>
        <w:ind w:left="45" w:firstLine="480" w:firstLineChars="200"/>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1</w:t>
      </w:r>
      <w:r>
        <w:rPr>
          <w:rFonts w:hint="eastAsia" w:ascii="Times New Roman" w:hAnsi="Times New Roman" w:eastAsia="宋体"/>
          <w:color w:val="000000" w:themeColor="text1"/>
          <w:kern w:val="0"/>
          <w:sz w:val="24"/>
          <w:szCs w:val="24"/>
          <w:highlight w:val="none"/>
          <w14:textFill>
            <w14:solidFill>
              <w14:schemeClr w14:val="tx1"/>
            </w14:solidFill>
          </w14:textFill>
        </w:rPr>
        <w:t>4</w:t>
      </w:r>
      <w:r>
        <w:rPr>
          <w:rFonts w:ascii="Times New Roman" w:hAnsi="Times New Roman" w:eastAsia="宋体"/>
          <w:color w:val="000000" w:themeColor="text1"/>
          <w:kern w:val="0"/>
          <w:sz w:val="24"/>
          <w:szCs w:val="24"/>
          <w:highlight w:val="none"/>
          <w14:textFill>
            <w14:solidFill>
              <w14:schemeClr w14:val="tx1"/>
            </w14:solidFill>
          </w14:textFill>
        </w:rPr>
        <w:t>.2</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使用波长范围：不小于800-1600nm</w:t>
      </w:r>
    </w:p>
    <w:p>
      <w:pPr>
        <w:pStyle w:val="10"/>
        <w:tabs>
          <w:tab w:val="left" w:pos="1560"/>
        </w:tabs>
        <w:spacing w:line="360" w:lineRule="auto"/>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3.15 定制样品仓，可以适配</w:t>
      </w:r>
      <w:r>
        <w:rPr>
          <w:rFonts w:ascii="Times New Roman" w:hAnsi="Times New Roman" w:eastAsia="宋体"/>
          <w:color w:val="000000" w:themeColor="text1"/>
          <w:kern w:val="0"/>
          <w:sz w:val="24"/>
          <w:szCs w:val="24"/>
          <w:highlight w:val="none"/>
          <w14:textFill>
            <w14:solidFill>
              <w14:schemeClr w14:val="tx1"/>
            </w14:solidFill>
          </w14:textFill>
        </w:rPr>
        <w:t>CPL-300的</w:t>
      </w:r>
      <w:r>
        <w:rPr>
          <w:rFonts w:hint="eastAsia" w:ascii="Times New Roman" w:hAnsi="Times New Roman" w:eastAsia="宋体"/>
          <w:color w:val="000000" w:themeColor="text1"/>
          <w:kern w:val="0"/>
          <w:sz w:val="24"/>
          <w:szCs w:val="24"/>
          <w:highlight w:val="none"/>
          <w14:textFill>
            <w14:solidFill>
              <w14:schemeClr w14:val="tx1"/>
            </w14:solidFill>
          </w14:textFill>
        </w:rPr>
        <w:t>帕尔贴控温附件、</w:t>
      </w:r>
      <w:r>
        <w:rPr>
          <w:rFonts w:ascii="Times New Roman" w:hAnsi="Times New Roman" w:eastAsia="宋体"/>
          <w:color w:val="000000" w:themeColor="text1"/>
          <w:kern w:val="0"/>
          <w:sz w:val="24"/>
          <w:szCs w:val="24"/>
          <w:highlight w:val="none"/>
          <w14:textFill>
            <w14:solidFill>
              <w14:schemeClr w14:val="tx1"/>
            </w14:solidFill>
          </w14:textFill>
        </w:rPr>
        <w:t>永磁铁附件、液氮低温附件、固体附件、单晶测量附件等</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1</w:t>
      </w:r>
      <w:r>
        <w:rPr>
          <w:rFonts w:hint="eastAsia" w:ascii="Times New Roman" w:hAnsi="Times New Roman" w:eastAsia="宋体"/>
          <w:color w:val="000000" w:themeColor="text1"/>
          <w:kern w:val="0"/>
          <w:sz w:val="24"/>
          <w:szCs w:val="24"/>
          <w:highlight w:val="none"/>
          <w14:textFill>
            <w14:solidFill>
              <w14:schemeClr w14:val="tx1"/>
            </w14:solidFill>
          </w14:textFill>
        </w:rPr>
        <w:t>6 专用样品池光程长1</w:t>
      </w:r>
      <w:r>
        <w:rPr>
          <w:rFonts w:ascii="Times New Roman" w:hAnsi="Times New Roman" w:eastAsia="宋体"/>
          <w:color w:val="000000" w:themeColor="text1"/>
          <w:kern w:val="0"/>
          <w:sz w:val="24"/>
          <w:szCs w:val="24"/>
          <w:highlight w:val="none"/>
          <w14:textFill>
            <w14:solidFill>
              <w14:schemeClr w14:val="tx1"/>
            </w14:solidFill>
          </w14:textFill>
        </w:rPr>
        <w:t>0</w:t>
      </w:r>
      <w:r>
        <w:rPr>
          <w:rFonts w:hint="eastAsia" w:ascii="Times New Roman" w:hAnsi="Times New Roman" w:eastAsia="宋体"/>
          <w:color w:val="000000" w:themeColor="text1"/>
          <w:kern w:val="0"/>
          <w:sz w:val="24"/>
          <w:szCs w:val="24"/>
          <w:highlight w:val="none"/>
          <w14:textFill>
            <w14:solidFill>
              <w14:schemeClr w14:val="tx1"/>
            </w14:solidFill>
          </w14:textFill>
        </w:rPr>
        <w:t>mm、1mm、0.5mm、</w:t>
      </w:r>
      <w:r>
        <w:rPr>
          <w:rFonts w:ascii="Times New Roman" w:hAnsi="Times New Roman" w:eastAsia="宋体"/>
          <w:color w:val="000000" w:themeColor="text1"/>
          <w:kern w:val="0"/>
          <w:sz w:val="24"/>
          <w:szCs w:val="24"/>
          <w:highlight w:val="none"/>
          <w14:textFill>
            <w14:solidFill>
              <w14:schemeClr w14:val="tx1"/>
            </w14:solidFill>
          </w14:textFill>
        </w:rPr>
        <w:t>0.1mm</w:t>
      </w:r>
      <w:r>
        <w:rPr>
          <w:rFonts w:hint="eastAsia" w:ascii="Times New Roman" w:hAnsi="Times New Roman" w:eastAsia="宋体"/>
          <w:color w:val="000000" w:themeColor="text1"/>
          <w:kern w:val="0"/>
          <w:sz w:val="24"/>
          <w:szCs w:val="24"/>
          <w:highlight w:val="none"/>
          <w14:textFill>
            <w14:solidFill>
              <w14:schemeClr w14:val="tx1"/>
            </w14:solidFill>
          </w14:textFill>
        </w:rPr>
        <w:t>各</w:t>
      </w:r>
      <w:r>
        <w:rPr>
          <w:rFonts w:ascii="Times New Roman" w:hAnsi="Times New Roman" w:eastAsia="宋体"/>
          <w:color w:val="000000" w:themeColor="text1"/>
          <w:kern w:val="0"/>
          <w:sz w:val="24"/>
          <w:szCs w:val="24"/>
          <w:highlight w:val="none"/>
          <w14:textFill>
            <w14:solidFill>
              <w14:schemeClr w14:val="tx1"/>
            </w14:solidFill>
          </w14:textFill>
        </w:rPr>
        <w:t>2</w:t>
      </w:r>
      <w:r>
        <w:rPr>
          <w:rFonts w:hint="eastAsia" w:ascii="Times New Roman" w:hAnsi="Times New Roman" w:eastAsia="宋体"/>
          <w:color w:val="000000" w:themeColor="text1"/>
          <w:kern w:val="0"/>
          <w:sz w:val="24"/>
          <w:szCs w:val="24"/>
          <w:highlight w:val="none"/>
          <w14:textFill>
            <w14:solidFill>
              <w14:schemeClr w14:val="tx1"/>
            </w14:solidFill>
          </w14:textFill>
        </w:rPr>
        <w:t>个</w:t>
      </w:r>
    </w:p>
    <w:p>
      <w:pPr>
        <w:pStyle w:val="10"/>
        <w:tabs>
          <w:tab w:val="left" w:pos="1560"/>
        </w:tabs>
        <w:spacing w:line="360" w:lineRule="auto"/>
        <w:ind w:left="44"/>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3.</w:t>
      </w:r>
      <w:r>
        <w:rPr>
          <w:rFonts w:ascii="Times New Roman" w:hAnsi="Times New Roman" w:eastAsia="宋体"/>
          <w:color w:val="000000" w:themeColor="text1"/>
          <w:kern w:val="0"/>
          <w:sz w:val="24"/>
          <w:szCs w:val="24"/>
          <w:highlight w:val="none"/>
          <w14:textFill>
            <w14:solidFill>
              <w14:schemeClr w14:val="tx1"/>
            </w14:solidFill>
          </w14:textFill>
        </w:rPr>
        <w:t>1</w:t>
      </w:r>
      <w:r>
        <w:rPr>
          <w:rFonts w:hint="eastAsia" w:ascii="Times New Roman" w:hAnsi="Times New Roman" w:eastAsia="宋体"/>
          <w:color w:val="000000" w:themeColor="text1"/>
          <w:kern w:val="0"/>
          <w:sz w:val="24"/>
          <w:szCs w:val="24"/>
          <w:highlight w:val="none"/>
          <w14:textFill>
            <w14:solidFill>
              <w14:schemeClr w14:val="tx1"/>
            </w14:solidFill>
          </w14:textFill>
        </w:rPr>
        <w:t>7 台式电脑（配置不低于i7处理器，16G内存，1</w:t>
      </w:r>
      <w:r>
        <w:rPr>
          <w:rFonts w:ascii="Times New Roman" w:hAnsi="Times New Roman" w:eastAsia="宋体"/>
          <w:color w:val="000000" w:themeColor="text1"/>
          <w:kern w:val="0"/>
          <w:sz w:val="24"/>
          <w:szCs w:val="24"/>
          <w:highlight w:val="none"/>
          <w14:textFill>
            <w14:solidFill>
              <w14:schemeClr w14:val="tx1"/>
            </w14:solidFill>
          </w14:textFill>
        </w:rPr>
        <w:t>T</w:t>
      </w:r>
      <w:r>
        <w:rPr>
          <w:rFonts w:hint="eastAsia" w:ascii="Times New Roman" w:hAnsi="Times New Roman" w:eastAsia="宋体"/>
          <w:color w:val="000000" w:themeColor="text1"/>
          <w:kern w:val="0"/>
          <w:sz w:val="24"/>
          <w:szCs w:val="24"/>
          <w:highlight w:val="none"/>
          <w14:textFill>
            <w14:solidFill>
              <w14:schemeClr w14:val="tx1"/>
            </w14:solidFill>
          </w14:textFill>
        </w:rPr>
        <w:t>硬盘，2</w:t>
      </w:r>
      <w:r>
        <w:rPr>
          <w:rFonts w:ascii="Times New Roman" w:hAnsi="Times New Roman" w:eastAsia="宋体"/>
          <w:color w:val="000000" w:themeColor="text1"/>
          <w:kern w:val="0"/>
          <w:sz w:val="24"/>
          <w:szCs w:val="24"/>
          <w:highlight w:val="none"/>
          <w14:textFill>
            <w14:solidFill>
              <w14:schemeClr w14:val="tx1"/>
            </w14:solidFill>
          </w14:textFill>
        </w:rPr>
        <w:t>4</w:t>
      </w:r>
      <w:r>
        <w:rPr>
          <w:rFonts w:hint="eastAsia" w:ascii="Times New Roman" w:hAnsi="Times New Roman" w:eastAsia="宋体"/>
          <w:color w:val="000000" w:themeColor="text1"/>
          <w:kern w:val="0"/>
          <w:sz w:val="24"/>
          <w:szCs w:val="24"/>
          <w:highlight w:val="none"/>
          <w14:textFill>
            <w14:solidFill>
              <w14:schemeClr w14:val="tx1"/>
            </w14:solidFill>
          </w14:textFill>
        </w:rPr>
        <w:t>寸显示）</w:t>
      </w:r>
    </w:p>
    <w:p>
      <w:pPr>
        <w:rPr>
          <w:color w:val="000000" w:themeColor="text1"/>
          <w:sz w:val="24"/>
          <w:highlight w:val="none"/>
          <w14:textFill>
            <w14:solidFill>
              <w14:schemeClr w14:val="tx1"/>
            </w14:solidFill>
          </w14:textFill>
        </w:rPr>
      </w:pPr>
    </w:p>
    <w:p>
      <w:pPr>
        <w:rPr>
          <w:color w:val="000000" w:themeColor="text1"/>
          <w:sz w:val="24"/>
          <w:highlight w:val="none"/>
          <w14:textFill>
            <w14:solidFill>
              <w14:schemeClr w14:val="tx1"/>
            </w14:solidFill>
          </w14:textFill>
        </w:rPr>
      </w:pPr>
    </w:p>
    <w:p>
      <w:pPr>
        <w:numPr>
          <w:ilvl w:val="0"/>
          <w:numId w:val="2"/>
        </w:num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产品配置要求</w:t>
      </w:r>
    </w:p>
    <w:p>
      <w:pPr>
        <w:pStyle w:val="10"/>
        <w:tabs>
          <w:tab w:val="left" w:pos="1560"/>
        </w:tabs>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4.1 圆二色光谱仪 </w:t>
      </w:r>
      <w:r>
        <w:rPr>
          <w:rFonts w:ascii="Times New Roman" w:hAnsi="Times New Roman" w:eastAsia="宋体"/>
          <w:color w:val="000000" w:themeColor="text1"/>
          <w:kern w:val="0"/>
          <w:sz w:val="24"/>
          <w:szCs w:val="24"/>
          <w:highlight w:val="none"/>
          <w14:textFill>
            <w14:solidFill>
              <w14:schemeClr w14:val="tx1"/>
            </w14:solidFill>
          </w14:textFill>
        </w:rPr>
        <w:t xml:space="preserve"> </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w:t>
      </w:r>
      <w:r>
        <w:rPr>
          <w:rFonts w:ascii="Times New Roman" w:hAnsi="Times New Roman" w:eastAsia="宋体"/>
          <w:color w:val="000000" w:themeColor="text1"/>
          <w:kern w:val="0"/>
          <w:sz w:val="24"/>
          <w:szCs w:val="24"/>
          <w:highlight w:val="none"/>
          <w14:textFill>
            <w14:solidFill>
              <w14:schemeClr w14:val="tx1"/>
            </w14:solidFill>
          </w14:textFill>
        </w:rPr>
        <w:t xml:space="preserve">  1</w:t>
      </w:r>
      <w:r>
        <w:rPr>
          <w:rFonts w:hint="eastAsia" w:ascii="Times New Roman" w:hAnsi="Times New Roman" w:eastAsia="宋体"/>
          <w:color w:val="000000" w:themeColor="text1"/>
          <w:kern w:val="0"/>
          <w:sz w:val="24"/>
          <w:szCs w:val="24"/>
          <w:highlight w:val="none"/>
          <w14:textFill>
            <w14:solidFill>
              <w14:schemeClr w14:val="tx1"/>
            </w14:solidFill>
          </w14:textFill>
        </w:rPr>
        <w:t>台</w:t>
      </w:r>
    </w:p>
    <w:p>
      <w:pPr>
        <w:pStyle w:val="10"/>
        <w:tabs>
          <w:tab w:val="left" w:pos="1560"/>
        </w:tabs>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4.2 波长扩展装置 </w:t>
      </w:r>
      <w:r>
        <w:rPr>
          <w:rFonts w:ascii="Times New Roman" w:hAnsi="Times New Roman" w:eastAsia="宋体"/>
          <w:color w:val="000000" w:themeColor="text1"/>
          <w:kern w:val="0"/>
          <w:sz w:val="24"/>
          <w:szCs w:val="24"/>
          <w:highlight w:val="none"/>
          <w14:textFill>
            <w14:solidFill>
              <w14:schemeClr w14:val="tx1"/>
            </w14:solidFill>
          </w14:textFill>
        </w:rPr>
        <w:t xml:space="preserve">   1</w:t>
      </w:r>
      <w:r>
        <w:rPr>
          <w:rFonts w:hint="eastAsia" w:ascii="Times New Roman" w:hAnsi="Times New Roman" w:eastAsia="宋体"/>
          <w:color w:val="000000" w:themeColor="text1"/>
          <w:kern w:val="0"/>
          <w:sz w:val="24"/>
          <w:szCs w:val="24"/>
          <w:highlight w:val="none"/>
          <w14:textFill>
            <w14:solidFill>
              <w14:schemeClr w14:val="tx1"/>
            </w14:solidFill>
          </w14:textFill>
        </w:rPr>
        <w:t>套</w:t>
      </w:r>
    </w:p>
    <w:p>
      <w:pPr>
        <w:pStyle w:val="10"/>
        <w:tabs>
          <w:tab w:val="left" w:pos="1560"/>
        </w:tabs>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4.3 石英样品池   1套</w:t>
      </w:r>
    </w:p>
    <w:p>
      <w:pPr>
        <w:pStyle w:val="10"/>
        <w:tabs>
          <w:tab w:val="left" w:pos="1560"/>
        </w:tabs>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4.4 台式电脑 </w:t>
      </w:r>
      <w:r>
        <w:rPr>
          <w:rFonts w:ascii="Times New Roman" w:hAnsi="Times New Roman" w:eastAsia="宋体"/>
          <w:color w:val="000000" w:themeColor="text1"/>
          <w:kern w:val="0"/>
          <w:sz w:val="24"/>
          <w:szCs w:val="24"/>
          <w:highlight w:val="none"/>
          <w14:textFill>
            <w14:solidFill>
              <w14:schemeClr w14:val="tx1"/>
            </w14:solidFill>
          </w14:textFill>
        </w:rPr>
        <w:t xml:space="preserve">  </w:t>
      </w: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 </w:t>
      </w:r>
      <w:r>
        <w:rPr>
          <w:rFonts w:ascii="Times New Roman" w:hAnsi="Times New Roman" w:eastAsia="宋体"/>
          <w:color w:val="000000" w:themeColor="text1"/>
          <w:kern w:val="0"/>
          <w:sz w:val="24"/>
          <w:szCs w:val="24"/>
          <w:highlight w:val="none"/>
          <w14:textFill>
            <w14:solidFill>
              <w14:schemeClr w14:val="tx1"/>
            </w14:solidFill>
          </w14:textFill>
        </w:rPr>
        <w:t>1</w:t>
      </w:r>
      <w:r>
        <w:rPr>
          <w:rFonts w:hint="eastAsia" w:ascii="Times New Roman" w:hAnsi="Times New Roman" w:eastAsia="宋体"/>
          <w:color w:val="000000" w:themeColor="text1"/>
          <w:kern w:val="0"/>
          <w:sz w:val="24"/>
          <w:szCs w:val="24"/>
          <w:highlight w:val="none"/>
          <w14:textFill>
            <w14:solidFill>
              <w14:schemeClr w14:val="tx1"/>
            </w14:solidFill>
          </w14:textFill>
        </w:rPr>
        <w:t>套</w:t>
      </w:r>
    </w:p>
    <w:p>
      <w:pPr>
        <w:pStyle w:val="10"/>
        <w:tabs>
          <w:tab w:val="left" w:pos="1560"/>
        </w:tabs>
        <w:jc w:val="both"/>
        <w:rPr>
          <w:rFonts w:ascii="Times New Roman" w:hAnsi="Times New Roman" w:eastAsia="宋体"/>
          <w:color w:val="000000" w:themeColor="text1"/>
          <w:kern w:val="0"/>
          <w:sz w:val="24"/>
          <w:szCs w:val="24"/>
          <w:highlight w:val="none"/>
          <w14:textFill>
            <w14:solidFill>
              <w14:schemeClr w14:val="tx1"/>
            </w14:solidFill>
          </w14:textFill>
        </w:rPr>
      </w:pPr>
    </w:p>
    <w:p>
      <w:pPr>
        <w:pStyle w:val="10"/>
        <w:tabs>
          <w:tab w:val="left" w:pos="1560"/>
        </w:tabs>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lang w:val="en-US" w:eastAsia="zh-CN"/>
          <w14:textFill>
            <w14:solidFill>
              <w14:schemeClr w14:val="tx1"/>
            </w14:solidFill>
          </w14:textFill>
        </w:rPr>
        <w:t>5</w:t>
      </w:r>
      <w:r>
        <w:rPr>
          <w:rFonts w:hint="eastAsia" w:ascii="Times New Roman" w:hAnsi="Times New Roman" w:eastAsia="宋体"/>
          <w:color w:val="000000" w:themeColor="text1"/>
          <w:kern w:val="0"/>
          <w:sz w:val="24"/>
          <w:szCs w:val="24"/>
          <w:highlight w:val="none"/>
          <w14:textFill>
            <w14:solidFill>
              <w14:schemeClr w14:val="tx1"/>
            </w14:solidFill>
          </w14:textFill>
        </w:rPr>
        <w:t>.  技术文件：</w:t>
      </w:r>
    </w:p>
    <w:p>
      <w:pPr>
        <w:pStyle w:val="10"/>
        <w:tabs>
          <w:tab w:val="left" w:pos="1560"/>
        </w:tabs>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lang w:val="en-US" w:eastAsia="zh-CN"/>
          <w14:textFill>
            <w14:solidFill>
              <w14:schemeClr w14:val="tx1"/>
            </w14:solidFill>
          </w14:textFill>
        </w:rPr>
        <w:t>5</w:t>
      </w:r>
      <w:r>
        <w:rPr>
          <w:rFonts w:hint="eastAsia" w:ascii="Times New Roman" w:hAnsi="Times New Roman" w:eastAsia="宋体"/>
          <w:color w:val="000000" w:themeColor="text1"/>
          <w:kern w:val="0"/>
          <w:sz w:val="24"/>
          <w:szCs w:val="24"/>
          <w:highlight w:val="none"/>
          <w14:textFill>
            <w14:solidFill>
              <w14:schemeClr w14:val="tx1"/>
            </w14:solidFill>
          </w14:textFill>
        </w:rPr>
        <w:t>.1 请参考总则第1.2条。</w:t>
      </w:r>
    </w:p>
    <w:p>
      <w:pPr>
        <w:pStyle w:val="10"/>
        <w:tabs>
          <w:tab w:val="left" w:pos="1560"/>
        </w:tabs>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lang w:val="en-US" w:eastAsia="zh-CN"/>
          <w14:textFill>
            <w14:solidFill>
              <w14:schemeClr w14:val="tx1"/>
            </w14:solidFill>
          </w14:textFill>
        </w:rPr>
        <w:t>5</w:t>
      </w:r>
      <w:r>
        <w:rPr>
          <w:rFonts w:hint="eastAsia" w:ascii="Times New Roman" w:hAnsi="Times New Roman" w:eastAsia="宋体"/>
          <w:color w:val="000000" w:themeColor="text1"/>
          <w:kern w:val="0"/>
          <w:sz w:val="24"/>
          <w:szCs w:val="24"/>
          <w:highlight w:val="none"/>
          <w14:textFill>
            <w14:solidFill>
              <w14:schemeClr w14:val="tx1"/>
            </w14:solidFill>
          </w14:textFill>
        </w:rPr>
        <w:t>.2 请参考总则第2.3条。</w:t>
      </w:r>
    </w:p>
    <w:p>
      <w:pPr>
        <w:pStyle w:val="10"/>
        <w:tabs>
          <w:tab w:val="left" w:pos="1560"/>
        </w:tabs>
        <w:jc w:val="both"/>
        <w:rPr>
          <w:rFonts w:ascii="Times New Roman" w:hAnsi="Times New Roman" w:eastAsia="宋体"/>
          <w:color w:val="000000" w:themeColor="text1"/>
          <w:kern w:val="0"/>
          <w:sz w:val="24"/>
          <w:szCs w:val="24"/>
          <w:highlight w:val="none"/>
          <w14:textFill>
            <w14:solidFill>
              <w14:schemeClr w14:val="tx1"/>
            </w14:solidFill>
          </w14:textFill>
        </w:rPr>
      </w:pPr>
    </w:p>
    <w:p>
      <w:pPr>
        <w:spacing w:line="360" w:lineRule="auto"/>
        <w:rPr>
          <w:color w:val="000000" w:themeColor="text1"/>
          <w:kern w:val="0"/>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（二）质保及售后服务：</w:t>
      </w:r>
    </w:p>
    <w:p>
      <w:pPr>
        <w:pStyle w:val="10"/>
        <w:tabs>
          <w:tab w:val="left" w:pos="1560"/>
        </w:tabs>
        <w:spacing w:line="360" w:lineRule="auto"/>
        <w:rPr>
          <w:rFonts w:ascii="Times New Roman" w:hAnsi="Times New Roman" w:eastAsia="宋体"/>
          <w:color w:val="000000" w:themeColor="text1"/>
          <w:kern w:val="0"/>
          <w:sz w:val="24"/>
          <w:szCs w:val="24"/>
          <w:highlight w:val="none"/>
          <w14:textFill>
            <w14:solidFill>
              <w14:schemeClr w14:val="tx1"/>
            </w14:solidFill>
          </w14:textFill>
        </w:rPr>
      </w:pPr>
      <w:r>
        <w:rPr>
          <w:rFonts w:ascii="Times New Roman" w:hAnsi="Times New Roman" w:eastAsia="宋体"/>
          <w:color w:val="000000" w:themeColor="text1"/>
          <w:kern w:val="0"/>
          <w:sz w:val="24"/>
          <w:szCs w:val="24"/>
          <w:highlight w:val="none"/>
          <w14:textFill>
            <w14:solidFill>
              <w14:schemeClr w14:val="tx1"/>
            </w14:solidFill>
          </w14:textFill>
        </w:rPr>
        <w:t>1.</w:t>
      </w:r>
      <w:r>
        <w:rPr>
          <w:rFonts w:hint="eastAsia" w:ascii="Times New Roman" w:hAnsi="Times New Roman" w:eastAsia="宋体"/>
          <w:color w:val="000000" w:themeColor="text1"/>
          <w:kern w:val="0"/>
          <w:sz w:val="24"/>
          <w:szCs w:val="24"/>
          <w:highlight w:val="none"/>
          <w14:textFill>
            <w14:solidFill>
              <w14:schemeClr w14:val="tx1"/>
            </w14:solidFill>
          </w14:textFill>
        </w:rPr>
        <w:t>1</w:t>
      </w:r>
      <w:r>
        <w:rPr>
          <w:rFonts w:ascii="Times New Roman" w:hAnsi="Times New Roman" w:eastAsia="宋体"/>
          <w:color w:val="000000" w:themeColor="text1"/>
          <w:kern w:val="0"/>
          <w:sz w:val="24"/>
          <w:szCs w:val="24"/>
          <w:highlight w:val="none"/>
          <w14:textFill>
            <w14:solidFill>
              <w14:schemeClr w14:val="tx1"/>
            </w14:solidFill>
          </w14:textFill>
        </w:rPr>
        <w:t xml:space="preserve"> 供货期：供货周期</w:t>
      </w:r>
      <w:r>
        <w:rPr>
          <w:rFonts w:hint="eastAsia" w:ascii="Times New Roman" w:hAnsi="Times New Roman" w:eastAsia="宋体"/>
          <w:color w:val="000000" w:themeColor="text1"/>
          <w:kern w:val="0"/>
          <w:sz w:val="24"/>
          <w:szCs w:val="24"/>
          <w:highlight w:val="none"/>
          <w14:textFill>
            <w14:solidFill>
              <w14:schemeClr w14:val="tx1"/>
            </w14:solidFill>
          </w14:textFill>
        </w:rPr>
        <w:t>4</w:t>
      </w:r>
      <w:r>
        <w:rPr>
          <w:rFonts w:ascii="Times New Roman" w:hAnsi="Times New Roman" w:eastAsia="宋体"/>
          <w:color w:val="000000" w:themeColor="text1"/>
          <w:kern w:val="0"/>
          <w:sz w:val="24"/>
          <w:szCs w:val="24"/>
          <w:highlight w:val="none"/>
          <w14:textFill>
            <w14:solidFill>
              <w14:schemeClr w14:val="tx1"/>
            </w14:solidFill>
          </w14:textFill>
        </w:rPr>
        <w:t>个月。</w:t>
      </w:r>
    </w:p>
    <w:p>
      <w:pPr>
        <w:pStyle w:val="10"/>
        <w:tabs>
          <w:tab w:val="left" w:pos="1560"/>
        </w:tabs>
        <w:spacing w:line="360" w:lineRule="auto"/>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1.2</w:t>
      </w:r>
      <w:r>
        <w:rPr>
          <w:rFonts w:ascii="Times New Roman" w:hAnsi="Times New Roman" w:eastAsia="宋体"/>
          <w:color w:val="000000" w:themeColor="text1"/>
          <w:kern w:val="0"/>
          <w:sz w:val="24"/>
          <w:szCs w:val="24"/>
          <w:highlight w:val="none"/>
          <w14:textFill>
            <w14:solidFill>
              <w14:schemeClr w14:val="tx1"/>
            </w14:solidFill>
          </w14:textFill>
        </w:rPr>
        <w:t xml:space="preserve"> 质保期：质量保证期</w:t>
      </w:r>
      <w:r>
        <w:rPr>
          <w:rFonts w:hint="eastAsia" w:ascii="Times New Roman" w:hAnsi="Times New Roman" w:eastAsia="宋体"/>
          <w:color w:val="000000" w:themeColor="text1"/>
          <w:kern w:val="0"/>
          <w:sz w:val="24"/>
          <w:szCs w:val="24"/>
          <w:highlight w:val="none"/>
          <w14:textFill>
            <w14:solidFill>
              <w14:schemeClr w14:val="tx1"/>
            </w14:solidFill>
          </w14:textFill>
        </w:rPr>
        <w:t>壹</w:t>
      </w:r>
      <w:r>
        <w:rPr>
          <w:rFonts w:ascii="Times New Roman" w:hAnsi="Times New Roman" w:eastAsia="宋体"/>
          <w:color w:val="000000" w:themeColor="text1"/>
          <w:kern w:val="0"/>
          <w:sz w:val="24"/>
          <w:szCs w:val="24"/>
          <w:highlight w:val="none"/>
          <w14:textFill>
            <w14:solidFill>
              <w14:schemeClr w14:val="tx1"/>
            </w14:solidFill>
          </w14:textFill>
        </w:rPr>
        <w:t>年。</w:t>
      </w:r>
    </w:p>
    <w:p>
      <w:pPr>
        <w:pStyle w:val="10"/>
        <w:tabs>
          <w:tab w:val="left" w:pos="1560"/>
        </w:tabs>
        <w:spacing w:line="360" w:lineRule="auto"/>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 xml:space="preserve">1.3 </w:t>
      </w:r>
      <w:r>
        <w:rPr>
          <w:rFonts w:ascii="Times New Roman" w:hAnsi="Times New Roman" w:eastAsia="宋体"/>
          <w:color w:val="000000" w:themeColor="text1"/>
          <w:kern w:val="0"/>
          <w:sz w:val="24"/>
          <w:szCs w:val="24"/>
          <w:highlight w:val="none"/>
          <w14:textFill>
            <w14:solidFill>
              <w14:schemeClr w14:val="tx1"/>
            </w14:solidFill>
          </w14:textFill>
        </w:rPr>
        <w:t>故障服务：仪器设备出现故障时，供货方得到通知3日内派维修人员到达用户现场维修。</w:t>
      </w:r>
    </w:p>
    <w:p>
      <w:pPr>
        <w:pStyle w:val="10"/>
        <w:tabs>
          <w:tab w:val="left" w:pos="1560"/>
        </w:tabs>
        <w:spacing w:line="360" w:lineRule="auto"/>
        <w:rPr>
          <w:rFonts w:ascii="Times New Roman" w:hAnsi="Times New Roman" w:eastAsia="宋体"/>
          <w:color w:val="000000" w:themeColor="text1"/>
          <w:kern w:val="0"/>
          <w:sz w:val="24"/>
          <w:szCs w:val="24"/>
          <w:highlight w:val="none"/>
          <w14:textFill>
            <w14:solidFill>
              <w14:schemeClr w14:val="tx1"/>
            </w14:solidFill>
          </w14:textFill>
        </w:rPr>
      </w:pPr>
      <w:bookmarkStart w:id="0" w:name="OLE_LINK3"/>
      <w:bookmarkStart w:id="1" w:name="OLE_LINK4"/>
      <w:r>
        <w:rPr>
          <w:rFonts w:hint="eastAsia" w:ascii="Times New Roman" w:hAnsi="Times New Roman" w:eastAsia="宋体"/>
          <w:color w:val="000000" w:themeColor="text1"/>
          <w:kern w:val="0"/>
          <w:sz w:val="24"/>
          <w:szCs w:val="24"/>
          <w:highlight w:val="none"/>
          <w14:textFill>
            <w14:solidFill>
              <w14:schemeClr w14:val="tx1"/>
            </w14:solidFill>
          </w14:textFill>
        </w:rPr>
        <w:t>1.4</w:t>
      </w:r>
      <w:r>
        <w:rPr>
          <w:rFonts w:ascii="Times New Roman" w:hAnsi="Times New Roman" w:eastAsia="宋体"/>
          <w:color w:val="000000" w:themeColor="text1"/>
          <w:kern w:val="0"/>
          <w:sz w:val="24"/>
          <w:szCs w:val="24"/>
          <w:highlight w:val="none"/>
          <w14:textFill>
            <w14:solidFill>
              <w14:schemeClr w14:val="tx1"/>
            </w14:solidFill>
          </w14:textFill>
        </w:rPr>
        <w:t>为了保证服务质量，供应商投标需提供具有厂家盖章针对本项目的售后服务承诺书。</w:t>
      </w:r>
    </w:p>
    <w:bookmarkEnd w:id="0"/>
    <w:bookmarkEnd w:id="1"/>
    <w:p>
      <w:pPr>
        <w:pStyle w:val="10"/>
        <w:tabs>
          <w:tab w:val="left" w:pos="1560"/>
        </w:tabs>
        <w:spacing w:line="360" w:lineRule="auto"/>
        <w:jc w:val="both"/>
        <w:rPr>
          <w:rFonts w:ascii="Times New Roman" w:hAnsi="Times New Roman" w:eastAsia="宋体"/>
          <w:color w:val="000000" w:themeColor="text1"/>
          <w:kern w:val="0"/>
          <w:sz w:val="24"/>
          <w:szCs w:val="24"/>
          <w:highlight w:val="none"/>
          <w14:textFill>
            <w14:solidFill>
              <w14:schemeClr w14:val="tx1"/>
            </w14:solidFill>
          </w14:textFill>
        </w:rPr>
      </w:pPr>
      <w:r>
        <w:rPr>
          <w:rFonts w:hint="eastAsia" w:ascii="Times New Roman" w:hAnsi="Times New Roman" w:eastAsia="宋体"/>
          <w:color w:val="000000" w:themeColor="text1"/>
          <w:kern w:val="0"/>
          <w:sz w:val="24"/>
          <w:szCs w:val="24"/>
          <w:highlight w:val="none"/>
          <w14:textFill>
            <w14:solidFill>
              <w14:schemeClr w14:val="tx1"/>
            </w14:solidFill>
          </w14:textFill>
        </w:rPr>
        <w:t>1.5</w:t>
      </w:r>
      <w:r>
        <w:rPr>
          <w:rFonts w:ascii="Times New Roman" w:hAnsi="Times New Roman" w:eastAsia="宋体"/>
          <w:color w:val="000000" w:themeColor="text1"/>
          <w:kern w:val="0"/>
          <w:sz w:val="24"/>
          <w:szCs w:val="24"/>
          <w:highlight w:val="none"/>
          <w14:textFill>
            <w14:solidFill>
              <w14:schemeClr w14:val="tx1"/>
            </w14:solidFill>
          </w14:textFill>
        </w:rPr>
        <w:t>主机要求原装进口。带“</w:t>
      </w:r>
      <w:r>
        <w:rPr>
          <w:rFonts w:hint="eastAsia" w:ascii="Times New Roman" w:hAnsi="Times New Roman" w:eastAsia="宋体" w:cs="宋体"/>
          <w:color w:val="000000" w:themeColor="text1"/>
          <w:kern w:val="0"/>
          <w:sz w:val="24"/>
          <w:szCs w:val="24"/>
          <w:highlight w:val="none"/>
          <w14:textFill>
            <w14:solidFill>
              <w14:schemeClr w14:val="tx1"/>
            </w14:solidFill>
          </w14:textFill>
        </w:rPr>
        <w:t>*</w:t>
      </w:r>
      <w:r>
        <w:rPr>
          <w:rFonts w:ascii="Times New Roman" w:hAnsi="Times New Roman" w:eastAsia="宋体"/>
          <w:color w:val="000000" w:themeColor="text1"/>
          <w:kern w:val="0"/>
          <w:sz w:val="24"/>
          <w:szCs w:val="24"/>
          <w:highlight w:val="none"/>
          <w14:textFill>
            <w14:solidFill>
              <w14:schemeClr w14:val="tx1"/>
            </w14:solidFill>
          </w14:textFill>
        </w:rPr>
        <w:t>”项为重要参数，必须满足或优于的指标，并作为验收标准，不合格不予验收。预中标期内签合同前，供应商需要向采购用户提供该设备制造商或其国内总代理出具的包含“</w:t>
      </w:r>
      <w:r>
        <w:rPr>
          <w:rFonts w:hint="eastAsia" w:ascii="Times New Roman" w:hAnsi="Times New Roman" w:eastAsia="宋体" w:cs="宋体"/>
          <w:color w:val="000000" w:themeColor="text1"/>
          <w:kern w:val="0"/>
          <w:sz w:val="24"/>
          <w:szCs w:val="24"/>
          <w:highlight w:val="none"/>
          <w14:textFill>
            <w14:solidFill>
              <w14:schemeClr w14:val="tx1"/>
            </w14:solidFill>
          </w14:textFill>
        </w:rPr>
        <w:t>*</w:t>
      </w:r>
      <w:r>
        <w:rPr>
          <w:rFonts w:ascii="Times New Roman" w:hAnsi="Times New Roman" w:eastAsia="宋体"/>
          <w:color w:val="000000" w:themeColor="text1"/>
          <w:kern w:val="0"/>
          <w:sz w:val="24"/>
          <w:szCs w:val="24"/>
          <w:highlight w:val="none"/>
          <w14:textFill>
            <w14:solidFill>
              <w14:schemeClr w14:val="tx1"/>
            </w14:solidFill>
          </w14:textFill>
        </w:rPr>
        <w:t>”号核心指标的盖章相关技术资料。</w:t>
      </w:r>
    </w:p>
    <w:p>
      <w:pPr>
        <w:spacing w:line="360" w:lineRule="auto"/>
        <w:rPr>
          <w:b/>
          <w:color w:val="000000" w:themeColor="text1"/>
          <w:sz w:val="24"/>
          <w:highlight w:val="none"/>
          <w14:textFill>
            <w14:solidFill>
              <w14:schemeClr w14:val="tx1"/>
            </w14:solidFill>
          </w14:textFill>
        </w:rPr>
      </w:pP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（三） 订货数量：</w:t>
      </w:r>
    </w:p>
    <w:p>
      <w:pPr>
        <w:spacing w:line="360" w:lineRule="auto"/>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圆二色光谱仪1套</w:t>
      </w:r>
    </w:p>
    <w:p>
      <w:pPr>
        <w:spacing w:line="360" w:lineRule="auto"/>
        <w:rPr>
          <w:color w:val="000000" w:themeColor="text1"/>
          <w:sz w:val="24"/>
          <w:highlight w:val="none"/>
          <w14:textFill>
            <w14:solidFill>
              <w14:schemeClr w14:val="tx1"/>
            </w14:solidFill>
          </w14:textFill>
        </w:rPr>
      </w:pP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（四） 目的港：</w:t>
      </w:r>
    </w:p>
    <w:p>
      <w:pPr>
        <w:spacing w:line="360" w:lineRule="auto"/>
        <w:ind w:firstLine="2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福州机场</w:t>
      </w:r>
    </w:p>
    <w:p>
      <w:pPr>
        <w:spacing w:line="360" w:lineRule="auto"/>
        <w:rPr>
          <w:color w:val="000000" w:themeColor="text1"/>
          <w:sz w:val="24"/>
          <w:highlight w:val="none"/>
          <w14:textFill>
            <w14:solidFill>
              <w14:schemeClr w14:val="tx1"/>
            </w14:solidFill>
          </w14:textFill>
        </w:rPr>
      </w:pP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（五）交货日期：</w:t>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签订合同后4个月内。                                           </w:t>
      </w:r>
    </w:p>
    <w:p>
      <w:pPr>
        <w:spacing w:line="360" w:lineRule="auto"/>
        <w:rPr>
          <w:color w:val="000000" w:themeColor="text1"/>
          <w:sz w:val="24"/>
          <w:highlight w:val="none"/>
          <w14:textFill>
            <w14:solidFill>
              <w14:schemeClr w14:val="tx1"/>
            </w14:solidFill>
          </w14:textFill>
        </w:rPr>
      </w:pPr>
    </w:p>
    <w:p>
      <w:pPr>
        <w:spacing w:line="360" w:lineRule="auto"/>
        <w:rPr>
          <w:rFonts w:ascii="inherit" w:hAnsi="inherit" w:cs="宋体"/>
          <w:color w:val="000000" w:themeColor="text1"/>
          <w:kern w:val="0"/>
          <w:sz w:val="24"/>
          <w:highlight w:val="none"/>
          <w14:textFill>
            <w14:solidFill>
              <w14:schemeClr w14:val="tx1"/>
            </w14:solidFill>
          </w14:textFill>
        </w:rPr>
      </w:pPr>
    </w:p>
    <w:p>
      <w:pPr>
        <w:widowControl/>
        <w:spacing w:line="360" w:lineRule="atLeast"/>
        <w:rPr>
          <w:rFonts w:ascii="宋体" w:hAnsi="宋体"/>
          <w:b/>
          <w:color w:val="000000" w:themeColor="text1"/>
          <w:sz w:val="30"/>
          <w:szCs w:val="30"/>
          <w:highlight w:val="none"/>
          <w14:textFill>
            <w14:solidFill>
              <w14:schemeClr w14:val="tx1"/>
            </w14:solidFill>
          </w14:textFill>
        </w:rPr>
      </w:pPr>
    </w:p>
    <w:p>
      <w:bookmarkStart w:id="2" w:name="_GoBack"/>
      <w:bookmarkEnd w:id="2"/>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inherit">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2ODYzYzNmNmRkMDdkYzE4ODZhOGY0ZjAyYTE4MTgifQ=="/>
  </w:docVars>
  <w:rsids>
    <w:rsidRoot w:val="438C7FB0"/>
    <w:rsid w:val="438C7F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9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firstLineChars="200"/>
    </w:pPr>
    <w:rPr>
      <w:rFonts w:ascii="Arial" w:hAnsi="Arial" w:cs="宋体"/>
      <w:sz w:val="24"/>
      <w:szCs w:val="20"/>
      <w:lang w:val="zh-CN"/>
    </w:rPr>
  </w:style>
  <w:style w:type="paragraph" w:styleId="3">
    <w:name w:val="Plain Text"/>
    <w:basedOn w:val="1"/>
    <w:qFormat/>
    <w:uiPriority w:val="0"/>
    <w:rPr>
      <w:rFonts w:ascii="宋体" w:hAnsi="Courier New"/>
      <w:szCs w:val="20"/>
    </w:rPr>
  </w:style>
  <w:style w:type="paragraph" w:styleId="4">
    <w:name w:val="Date"/>
    <w:basedOn w:val="1"/>
    <w:next w:val="1"/>
    <w:qFormat/>
    <w:uiPriority w:val="0"/>
    <w:rPr>
      <w:szCs w:val="20"/>
    </w:rPr>
  </w:style>
  <w:style w:type="paragraph" w:styleId="5">
    <w:name w:val="footer"/>
    <w:basedOn w:val="1"/>
    <w:next w:val="1"/>
    <w:qFormat/>
    <w:uiPriority w:val="0"/>
    <w:pPr>
      <w:tabs>
        <w:tab w:val="center" w:pos="4153"/>
        <w:tab w:val="right" w:pos="8306"/>
      </w:tabs>
      <w:snapToGrid w:val="0"/>
      <w:jc w:val="left"/>
    </w:pPr>
    <w:rPr>
      <w:sz w:val="18"/>
      <w:szCs w:val="18"/>
    </w:rPr>
  </w:style>
  <w:style w:type="paragraph" w:styleId="6">
    <w:name w:val="header"/>
    <w:basedOn w:val="1"/>
    <w:next w:val="7"/>
    <w:qFormat/>
    <w:uiPriority w:val="0"/>
    <w:pPr>
      <w:pBdr>
        <w:bottom w:val="single" w:color="auto" w:sz="6" w:space="1"/>
      </w:pBdr>
      <w:tabs>
        <w:tab w:val="center" w:pos="4153"/>
        <w:tab w:val="right" w:pos="8306"/>
      </w:tabs>
      <w:snapToGrid w:val="0"/>
      <w:jc w:val="center"/>
    </w:pPr>
    <w:rPr>
      <w:sz w:val="18"/>
      <w:szCs w:val="18"/>
    </w:rPr>
  </w:style>
  <w:style w:type="paragraph" w:styleId="7">
    <w:name w:val="toc 4"/>
    <w:basedOn w:val="1"/>
    <w:next w:val="1"/>
    <w:qFormat/>
    <w:uiPriority w:val="99"/>
    <w:pPr>
      <w:ind w:left="1260" w:leftChars="600"/>
    </w:pPr>
  </w:style>
  <w:style w:type="paragraph" w:customStyle="1" w:styleId="10">
    <w:name w:val="样式5"/>
    <w:basedOn w:val="3"/>
    <w:qFormat/>
    <w:uiPriority w:val="0"/>
    <w:pPr>
      <w:snapToGrid w:val="0"/>
      <w:spacing w:line="300" w:lineRule="auto"/>
      <w:jc w:val="left"/>
    </w:pPr>
    <w:rPr>
      <w:rFonts w:ascii="仿宋_GB2312" w:hAnsi="宋体" w:eastAsia="仿宋_GB2312"/>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2024-07-12T08:14:00Z</dcterms:created>
  <dc:creator>godjiao</dc:creator>
  <cp:lastModifiedBy>godjiao</cp:lastModifiedBy>
  <dcterms:modified xsi:type="dcterms:W3CDTF">2024-07-12T08:14:28Z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3CD916054386466D86986C6E1B34668B_11</vt:lpwstr>
  </property>
</Properties>
</file>