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宋体" w:hAnsi="宋体" w:eastAsia="宋体" w:cs="宋体"/>
          <w:b/>
          <w:color w:val="auto"/>
          <w:spacing w:val="20"/>
          <w:sz w:val="24"/>
          <w:szCs w:val="24"/>
          <w:highlight w:val="none"/>
        </w:rPr>
      </w:pPr>
    </w:p>
    <w:p>
      <w:pPr>
        <w:pStyle w:val="15"/>
        <w:ind w:left="0" w:leftChars="0" w:firstLine="0" w:firstLineChars="0"/>
        <w:jc w:val="center"/>
        <w:outlineLvl w:val="0"/>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瑞丽市第一期示范性国门学校建设设施设备结余资金配备项目A包：监控设备</w:t>
      </w:r>
    </w:p>
    <w:p>
      <w:pPr>
        <w:pStyle w:val="44"/>
        <w:rPr>
          <w:rFonts w:hint="eastAsia" w:ascii="宋体" w:hAnsi="宋体" w:eastAsia="宋体" w:cs="宋体"/>
          <w:color w:val="auto"/>
          <w:sz w:val="24"/>
          <w:szCs w:val="24"/>
          <w:highlight w:val="none"/>
        </w:rPr>
      </w:pPr>
    </w:p>
    <w:p>
      <w:pPr>
        <w:pStyle w:val="4"/>
        <w:jc w:val="both"/>
        <w:rPr>
          <w:rFonts w:hint="eastAsia" w:ascii="宋体" w:hAnsi="宋体" w:eastAsia="宋体" w:cs="宋体"/>
          <w:color w:val="auto"/>
          <w:sz w:val="52"/>
          <w:szCs w:val="52"/>
          <w:highlight w:val="none"/>
        </w:rPr>
      </w:pPr>
      <w:bookmarkStart w:id="0" w:name="_Toc17481"/>
    </w:p>
    <w:p>
      <w:pPr>
        <w:snapToGrid w:val="0"/>
        <w:jc w:val="center"/>
        <w:outlineLvl w:val="0"/>
        <w:rPr>
          <w:rFonts w:hint="eastAsia" w:ascii="宋体" w:hAnsi="宋体" w:eastAsia="宋体" w:cs="宋体"/>
          <w:color w:val="auto"/>
          <w:sz w:val="52"/>
          <w:szCs w:val="52"/>
          <w:highlight w:val="none"/>
        </w:rPr>
      </w:pPr>
      <w:bookmarkStart w:id="1" w:name="_Toc30142"/>
      <w:r>
        <w:rPr>
          <w:rFonts w:hint="eastAsia" w:ascii="宋体" w:hAnsi="宋体" w:eastAsia="宋体" w:cs="宋体"/>
          <w:b/>
          <w:color w:val="auto"/>
          <w:spacing w:val="20"/>
          <w:sz w:val="52"/>
          <w:szCs w:val="52"/>
          <w:highlight w:val="none"/>
        </w:rPr>
        <w:t>竞争性磋商文件</w:t>
      </w:r>
      <w:bookmarkEnd w:id="0"/>
      <w:bookmarkEnd w:id="1"/>
    </w:p>
    <w:p>
      <w:pPr>
        <w:autoSpaceDE w:val="0"/>
        <w:spacing w:line="720" w:lineRule="auto"/>
        <w:ind w:firstLine="602" w:firstLineChars="200"/>
        <w:outlineLvl w:val="0"/>
        <w:rPr>
          <w:rFonts w:hint="eastAsia" w:asciiTheme="minorEastAsia" w:hAnsiTheme="minorEastAsia" w:eastAsiaTheme="minorEastAsia" w:cstheme="minorEastAsia"/>
          <w:b/>
          <w:bCs w:val="0"/>
          <w:color w:val="auto"/>
          <w:sz w:val="30"/>
          <w:szCs w:val="30"/>
          <w:highlight w:val="none"/>
        </w:rPr>
      </w:pPr>
      <w:bookmarkStart w:id="2" w:name="_Toc8107_WPSOffice_Type1"/>
    </w:p>
    <w:p>
      <w:pPr>
        <w:pStyle w:val="2"/>
        <w:rPr>
          <w:rFonts w:hint="eastAsia" w:asciiTheme="minorEastAsia" w:hAnsiTheme="minorEastAsia" w:eastAsiaTheme="minorEastAsia" w:cstheme="minorEastAsia"/>
          <w:b/>
          <w:bCs w:val="0"/>
          <w:color w:val="auto"/>
          <w:sz w:val="30"/>
          <w:szCs w:val="30"/>
          <w:highlight w:val="none"/>
        </w:rPr>
      </w:pPr>
    </w:p>
    <w:p>
      <w:pPr>
        <w:rPr>
          <w:rFonts w:hint="eastAsia" w:asciiTheme="minorEastAsia" w:hAnsiTheme="minorEastAsia" w:eastAsiaTheme="minorEastAsia" w:cstheme="minorEastAsia"/>
          <w:b/>
          <w:bCs w:val="0"/>
          <w:color w:val="auto"/>
          <w:sz w:val="30"/>
          <w:szCs w:val="30"/>
          <w:highlight w:val="none"/>
        </w:rPr>
      </w:pPr>
    </w:p>
    <w:p>
      <w:pPr>
        <w:pStyle w:val="2"/>
        <w:rPr>
          <w:rFonts w:hint="eastAsia" w:asciiTheme="minorEastAsia" w:hAnsiTheme="minorEastAsia" w:eastAsiaTheme="minorEastAsia" w:cstheme="minorEastAsia"/>
          <w:b/>
          <w:bCs w:val="0"/>
          <w:color w:val="auto"/>
          <w:sz w:val="30"/>
          <w:szCs w:val="30"/>
          <w:highlight w:val="none"/>
        </w:rPr>
      </w:pPr>
    </w:p>
    <w:p>
      <w:pPr>
        <w:rPr>
          <w:rFonts w:hint="eastAsia" w:asciiTheme="minorEastAsia" w:hAnsiTheme="minorEastAsia" w:eastAsiaTheme="minorEastAsia" w:cstheme="minorEastAsia"/>
          <w:b/>
          <w:bCs w:val="0"/>
          <w:color w:val="auto"/>
          <w:sz w:val="30"/>
          <w:szCs w:val="30"/>
          <w:highlight w:val="none"/>
        </w:rPr>
      </w:pPr>
    </w:p>
    <w:p>
      <w:pPr>
        <w:pStyle w:val="2"/>
        <w:rPr>
          <w:rFonts w:hint="eastAsia"/>
        </w:rPr>
      </w:pPr>
    </w:p>
    <w:p>
      <w:pPr>
        <w:pStyle w:val="2"/>
        <w:rPr>
          <w:rFonts w:hint="eastAsia" w:asciiTheme="minorEastAsia" w:hAnsiTheme="minorEastAsia" w:eastAsiaTheme="minorEastAsia" w:cstheme="minorEastAsia"/>
          <w:b/>
          <w:bCs w:val="0"/>
          <w:color w:val="auto"/>
          <w:sz w:val="30"/>
          <w:szCs w:val="30"/>
          <w:highlight w:val="none"/>
        </w:rPr>
      </w:pPr>
    </w:p>
    <w:p>
      <w:pPr>
        <w:rPr>
          <w:rFonts w:hint="eastAsia"/>
        </w:rPr>
      </w:pPr>
    </w:p>
    <w:p>
      <w:pPr>
        <w:autoSpaceDE w:val="0"/>
        <w:spacing w:line="240" w:lineRule="auto"/>
        <w:ind w:firstLine="643" w:firstLineChars="200"/>
        <w:outlineLvl w:val="0"/>
        <w:rPr>
          <w:rFonts w:hint="eastAsia" w:asciiTheme="minorEastAsia" w:hAnsiTheme="minorEastAsia" w:eastAsiaTheme="minorEastAsia" w:cstheme="minorEastAsia"/>
          <w:b/>
          <w:bCs w:val="0"/>
          <w:sz w:val="32"/>
          <w:szCs w:val="32"/>
          <w:lang w:val="en-US" w:eastAsia="zh-CN"/>
        </w:rPr>
      </w:pPr>
      <w:r>
        <w:rPr>
          <w:rFonts w:hint="eastAsia" w:asciiTheme="minorEastAsia" w:hAnsiTheme="minorEastAsia" w:eastAsiaTheme="minorEastAsia" w:cstheme="minorEastAsia"/>
          <w:b/>
          <w:bCs w:val="0"/>
          <w:color w:val="auto"/>
          <w:sz w:val="32"/>
          <w:szCs w:val="32"/>
          <w:highlight w:val="none"/>
        </w:rPr>
        <w:t>招标编号：</w:t>
      </w:r>
      <w:r>
        <w:rPr>
          <w:rFonts w:hint="eastAsia" w:asciiTheme="minorEastAsia" w:hAnsiTheme="minorEastAsia" w:eastAsiaTheme="minorEastAsia" w:cstheme="minorEastAsia"/>
          <w:b/>
          <w:bCs w:val="0"/>
          <w:sz w:val="32"/>
          <w:szCs w:val="32"/>
          <w:lang w:eastAsia="zh-CN"/>
        </w:rPr>
        <w:t>RLHSCG（</w:t>
      </w:r>
      <w:r>
        <w:rPr>
          <w:rFonts w:hint="eastAsia" w:asciiTheme="minorEastAsia" w:hAnsiTheme="minorEastAsia" w:eastAsiaTheme="minorEastAsia" w:cstheme="minorEastAsia"/>
          <w:b/>
          <w:bCs w:val="0"/>
          <w:sz w:val="32"/>
          <w:szCs w:val="32"/>
          <w:lang w:val="en-US" w:eastAsia="zh-CN"/>
        </w:rPr>
        <w:t>竞</w:t>
      </w:r>
      <w:r>
        <w:rPr>
          <w:rFonts w:hint="eastAsia" w:asciiTheme="minorEastAsia" w:hAnsiTheme="minorEastAsia" w:eastAsiaTheme="minorEastAsia" w:cstheme="minorEastAsia"/>
          <w:b/>
          <w:bCs w:val="0"/>
          <w:sz w:val="32"/>
          <w:szCs w:val="32"/>
          <w:lang w:eastAsia="zh-CN"/>
        </w:rPr>
        <w:t>）2026-01</w:t>
      </w:r>
      <w:r>
        <w:rPr>
          <w:rFonts w:hint="eastAsia" w:asciiTheme="minorEastAsia" w:hAnsiTheme="minorEastAsia" w:eastAsiaTheme="minorEastAsia" w:cstheme="minorEastAsia"/>
          <w:b/>
          <w:bCs w:val="0"/>
          <w:sz w:val="32"/>
          <w:szCs w:val="32"/>
          <w:lang w:val="en-US" w:eastAsia="zh-CN"/>
        </w:rPr>
        <w:t>8</w:t>
      </w:r>
    </w:p>
    <w:p>
      <w:pPr>
        <w:autoSpaceDE w:val="0"/>
        <w:spacing w:line="240" w:lineRule="auto"/>
        <w:ind w:firstLine="643" w:firstLineChars="200"/>
        <w:outlineLvl w:val="0"/>
        <w:rPr>
          <w:rFonts w:hint="eastAsia" w:asciiTheme="minorEastAsia" w:hAnsiTheme="minorEastAsia" w:eastAsiaTheme="minorEastAsia" w:cstheme="minorEastAsia"/>
          <w:b/>
          <w:bCs w:val="0"/>
          <w:sz w:val="32"/>
          <w:szCs w:val="32"/>
          <w:lang w:val="en-US" w:eastAsia="zh-CN"/>
        </w:rPr>
      </w:pPr>
    </w:p>
    <w:p>
      <w:pPr>
        <w:autoSpaceDE w:val="0"/>
        <w:spacing w:line="240" w:lineRule="auto"/>
        <w:ind w:firstLine="643" w:firstLineChars="200"/>
        <w:outlineLvl w:val="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bCs/>
          <w:color w:val="auto"/>
          <w:kern w:val="0"/>
          <w:sz w:val="32"/>
          <w:szCs w:val="32"/>
          <w:lang w:eastAsia="zh-CN"/>
        </w:rPr>
        <w:t>招标</w:t>
      </w:r>
      <w:r>
        <w:rPr>
          <w:rFonts w:hint="eastAsia" w:asciiTheme="minorEastAsia" w:hAnsiTheme="minorEastAsia" w:eastAsiaTheme="minorEastAsia" w:cstheme="minorEastAsia"/>
          <w:b/>
          <w:bCs/>
          <w:color w:val="auto"/>
          <w:kern w:val="0"/>
          <w:sz w:val="32"/>
          <w:szCs w:val="32"/>
        </w:rPr>
        <w:t>人</w:t>
      </w:r>
      <w:r>
        <w:rPr>
          <w:rFonts w:hint="eastAsia" w:asciiTheme="minorEastAsia" w:hAnsiTheme="minorEastAsia" w:eastAsiaTheme="minorEastAsia" w:cstheme="minorEastAsia"/>
          <w:b/>
          <w:color w:val="auto"/>
          <w:sz w:val="32"/>
          <w:szCs w:val="32"/>
          <w:highlight w:val="none"/>
          <w:lang w:eastAsia="zh-CN"/>
        </w:rPr>
        <w:t>：瑞丽市</w:t>
      </w:r>
      <w:r>
        <w:rPr>
          <w:rFonts w:hint="eastAsia" w:asciiTheme="minorEastAsia" w:hAnsiTheme="minorEastAsia" w:eastAsiaTheme="minorEastAsia" w:cstheme="minorEastAsia"/>
          <w:b/>
          <w:color w:val="auto"/>
          <w:sz w:val="32"/>
          <w:szCs w:val="32"/>
          <w:highlight w:val="none"/>
          <w:lang w:val="en-US" w:eastAsia="zh-CN"/>
        </w:rPr>
        <w:t>教育体育局</w:t>
      </w:r>
      <w:r>
        <w:rPr>
          <w:rFonts w:hint="eastAsia" w:asciiTheme="minorEastAsia" w:hAnsiTheme="minorEastAsia" w:eastAsiaTheme="minorEastAsia" w:cstheme="minorEastAsia"/>
          <w:b/>
          <w:color w:val="auto"/>
          <w:sz w:val="32"/>
          <w:szCs w:val="32"/>
          <w:highlight w:val="none"/>
          <w:lang w:eastAsia="zh-CN"/>
        </w:rPr>
        <w:t xml:space="preserve"> </w:t>
      </w:r>
    </w:p>
    <w:p>
      <w:pPr>
        <w:autoSpaceDE w:val="0"/>
        <w:spacing w:line="240" w:lineRule="auto"/>
        <w:ind w:firstLine="643" w:firstLineChars="200"/>
        <w:outlineLvl w:val="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color w:val="auto"/>
          <w:sz w:val="32"/>
          <w:szCs w:val="32"/>
          <w:highlight w:val="none"/>
          <w:lang w:eastAsia="zh-CN"/>
        </w:rPr>
        <w:t xml:space="preserve"> </w:t>
      </w:r>
    </w:p>
    <w:p>
      <w:pPr>
        <w:spacing w:line="240" w:lineRule="auto"/>
        <w:ind w:firstLine="643" w:firstLineChars="200"/>
        <w:rPr>
          <w:rFonts w:hint="eastAsia" w:asciiTheme="minorEastAsia" w:hAnsiTheme="minorEastAsia" w:eastAsiaTheme="minorEastAsia" w:cstheme="minorEastAsia"/>
          <w:b/>
          <w:color w:val="auto"/>
          <w:sz w:val="32"/>
          <w:szCs w:val="32"/>
          <w:highlight w:val="none"/>
          <w:lang w:eastAsia="zh-CN"/>
        </w:rPr>
      </w:pPr>
      <w:r>
        <w:rPr>
          <w:rFonts w:hint="eastAsia" w:asciiTheme="minorEastAsia" w:hAnsiTheme="minorEastAsia" w:eastAsiaTheme="minorEastAsia" w:cstheme="minorEastAsia"/>
          <w:b/>
          <w:bCs/>
          <w:color w:val="auto"/>
          <w:kern w:val="0"/>
          <w:sz w:val="32"/>
          <w:szCs w:val="32"/>
          <w:lang w:eastAsia="zh-CN"/>
        </w:rPr>
        <w:t>招标</w:t>
      </w:r>
      <w:r>
        <w:rPr>
          <w:rFonts w:hint="eastAsia" w:asciiTheme="minorEastAsia" w:hAnsiTheme="minorEastAsia" w:eastAsiaTheme="minorEastAsia" w:cstheme="minorEastAsia"/>
          <w:b/>
          <w:color w:val="auto"/>
          <w:sz w:val="32"/>
          <w:szCs w:val="32"/>
          <w:highlight w:val="none"/>
        </w:rPr>
        <w:t>代理机构：</w:t>
      </w:r>
      <w:r>
        <w:rPr>
          <w:rFonts w:hint="eastAsia" w:asciiTheme="minorEastAsia" w:hAnsiTheme="minorEastAsia" w:eastAsiaTheme="minorEastAsia" w:cstheme="minorEastAsia"/>
          <w:b/>
          <w:color w:val="auto"/>
          <w:sz w:val="32"/>
          <w:szCs w:val="32"/>
          <w:highlight w:val="none"/>
          <w:lang w:eastAsia="zh-CN"/>
        </w:rPr>
        <w:t>瑞丽市宏顺招标服务有限公司</w:t>
      </w:r>
    </w:p>
    <w:p>
      <w:pPr>
        <w:pStyle w:val="8"/>
        <w:ind w:firstLine="0" w:firstLineChars="0"/>
        <w:jc w:val="center"/>
        <w:rPr>
          <w:rFonts w:hint="eastAsia" w:ascii="宋体" w:hAnsi="宋体" w:eastAsia="宋体" w:cs="宋体"/>
          <w:color w:val="auto"/>
          <w:sz w:val="24"/>
          <w:szCs w:val="24"/>
          <w:highlight w:val="none"/>
        </w:rPr>
      </w:pPr>
    </w:p>
    <w:bookmarkEnd w:id="2"/>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2"/>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rPr>
        <w:sectPr>
          <w:headerReference r:id="rId3" w:type="default"/>
          <w:pgSz w:w="11906" w:h="16838"/>
          <w:pgMar w:top="1440" w:right="1080" w:bottom="1440" w:left="1080" w:header="851" w:footer="992" w:gutter="0"/>
          <w:pgNumType w:fmt="decimal" w:start="1"/>
          <w:cols w:space="720" w:num="1"/>
          <w:titlePg/>
          <w:docGrid w:type="lines" w:linePitch="312" w:charSpace="0"/>
        </w:sectPr>
      </w:pPr>
    </w:p>
    <w:p>
      <w:pPr>
        <w:rPr>
          <w:rFonts w:hint="eastAsia"/>
        </w:rPr>
      </w:pPr>
    </w:p>
    <w:sdt>
      <w:sdtPr>
        <w:rPr>
          <w:rFonts w:hint="eastAsia" w:ascii="宋体" w:hAnsi="宋体" w:eastAsia="宋体" w:cs="宋体"/>
          <w:b/>
          <w:bCs/>
          <w:color w:val="auto"/>
          <w:sz w:val="36"/>
          <w:szCs w:val="36"/>
          <w:highlight w:val="none"/>
        </w:rPr>
        <w:id w:val="147456275"/>
        <w15:color w:val="DBDBDB"/>
        <w:docPartObj>
          <w:docPartGallery w:val="Table of Contents"/>
          <w:docPartUnique/>
        </w:docPartObj>
      </w:sdtPr>
      <w:sdtEndPr>
        <w:rPr>
          <w:rFonts w:hint="eastAsia" w:ascii="宋体" w:hAnsi="宋体" w:eastAsia="宋体" w:cs="宋体"/>
          <w:b/>
          <w:bCs/>
          <w:color w:val="auto"/>
          <w:sz w:val="24"/>
          <w:szCs w:val="24"/>
          <w:highlight w:val="none"/>
        </w:rPr>
      </w:sdtEndPr>
      <w:sdtContent>
        <w:p>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  录</w:t>
          </w:r>
        </w:p>
        <w:p>
          <w:pPr>
            <w:pStyle w:val="23"/>
            <w:tabs>
              <w:tab w:val="right" w:leader="dot" w:pos="9746"/>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"1-1" \h \u </w:instrText>
          </w:r>
          <w:r>
            <w:rPr>
              <w:rFonts w:hint="eastAsia" w:ascii="宋体" w:hAnsi="宋体" w:eastAsia="宋体" w:cs="宋体"/>
              <w:color w:val="auto"/>
              <w:sz w:val="24"/>
              <w:szCs w:val="24"/>
              <w:highlight w:val="none"/>
            </w:rPr>
            <w:fldChar w:fldCharType="separate"/>
          </w:r>
        </w:p>
        <w:p>
          <w:pPr>
            <w:pStyle w:val="23"/>
            <w:tabs>
              <w:tab w:val="right" w:leader="dot" w:pos="974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_Toc14553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第一章 竞争性磋商公告</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p>
        <w:p>
          <w:pPr>
            <w:pStyle w:val="23"/>
            <w:tabs>
              <w:tab w:val="right" w:leader="dot" w:pos="9746"/>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_Toc7864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kern w:val="44"/>
              <w:sz w:val="28"/>
              <w:szCs w:val="28"/>
              <w:highlight w:val="none"/>
            </w:rPr>
            <w:t>第二章 供应商须知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p>
        <w:p>
          <w:pPr>
            <w:pStyle w:val="23"/>
            <w:tabs>
              <w:tab w:val="right" w:leader="dot" w:pos="9746"/>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_Toc20996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第三章 采购需求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pPr>
            <w:pStyle w:val="23"/>
            <w:tabs>
              <w:tab w:val="right" w:leader="dot" w:pos="9746"/>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第四章 评审办法</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3</w:t>
          </w:r>
        </w:p>
        <w:p>
          <w:pPr>
            <w:pStyle w:val="23"/>
            <w:tabs>
              <w:tab w:val="right" w:leader="dot" w:pos="9746"/>
            </w:tabs>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_Toc31022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第五章 合同条款及格式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4</w:t>
          </w:r>
        </w:p>
        <w:p>
          <w:pPr>
            <w:pStyle w:val="23"/>
            <w:tabs>
              <w:tab w:val="right" w:leader="dot" w:pos="9746"/>
            </w:tabs>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_Toc32709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第六章  竞争性磋商响应文件格式</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2</w:t>
          </w:r>
        </w:p>
        <w:p>
          <w:pPr>
            <w:pStyle w:val="23"/>
            <w:tabs>
              <w:tab w:val="right" w:leader="dot" w:pos="9746"/>
            </w:tabs>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end"/>
          </w:r>
        </w:p>
      </w:sdtContent>
    </w:sdt>
    <w:p>
      <w:pPr>
        <w:pStyle w:val="9"/>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15"/>
        <w:ind w:firstLine="560"/>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p>
    <w:p>
      <w:pPr>
        <w:pStyle w:val="47"/>
        <w:rPr>
          <w:rFonts w:hint="eastAsia" w:ascii="宋体" w:hAnsi="宋体" w:eastAsia="宋体" w:cs="宋体"/>
          <w:b/>
          <w:bCs/>
          <w:color w:val="auto"/>
          <w:sz w:val="24"/>
          <w:szCs w:val="24"/>
          <w:highlight w:val="none"/>
        </w:rPr>
        <w:sectPr>
          <w:footerReference r:id="rId5" w:type="first"/>
          <w:footerReference r:id="rId4" w:type="default"/>
          <w:pgSz w:w="11906" w:h="16838"/>
          <w:pgMar w:top="1440" w:right="1080" w:bottom="1440" w:left="1080" w:header="851" w:footer="992" w:gutter="0"/>
          <w:pgNumType w:fmt="decimal" w:start="1"/>
          <w:cols w:space="720" w:num="1"/>
          <w:docGrid w:type="lines" w:linePitch="312" w:charSpace="0"/>
        </w:sectPr>
      </w:pPr>
      <w:bookmarkStart w:id="3" w:name="_Toc3891_WPSOffice_Level1"/>
    </w:p>
    <w:bookmarkEnd w:id="3"/>
    <w:p>
      <w:pPr>
        <w:pStyle w:val="3"/>
        <w:tabs>
          <w:tab w:val="left" w:pos="0"/>
        </w:tabs>
        <w:autoSpaceDE w:val="0"/>
        <w:autoSpaceDN w:val="0"/>
        <w:adjustRightInd w:val="0"/>
        <w:spacing w:before="0" w:after="156" w:afterLines="50" w:line="240" w:lineRule="auto"/>
        <w:jc w:val="center"/>
        <w:rPr>
          <w:rFonts w:hint="eastAsia" w:ascii="宋体" w:hAnsi="宋体" w:eastAsia="宋体" w:cs="宋体"/>
          <w:color w:val="auto"/>
          <w:sz w:val="36"/>
          <w:szCs w:val="36"/>
          <w:highlight w:val="none"/>
        </w:rPr>
      </w:pPr>
      <w:bookmarkStart w:id="4" w:name="_Toc14553"/>
      <w:r>
        <w:rPr>
          <w:rFonts w:hint="eastAsia" w:ascii="宋体" w:hAnsi="宋体" w:eastAsia="宋体" w:cs="宋体"/>
          <w:color w:val="auto"/>
          <w:sz w:val="36"/>
          <w:szCs w:val="36"/>
          <w:highlight w:val="none"/>
        </w:rPr>
        <w:t>第一章</w:t>
      </w:r>
      <w:bookmarkStart w:id="5" w:name="_Toc28359011"/>
      <w:bookmarkStart w:id="6" w:name="_Toc35393797"/>
      <w:r>
        <w:rPr>
          <w:rFonts w:hint="eastAsia" w:ascii="宋体" w:hAnsi="宋体" w:eastAsia="宋体" w:cs="宋体"/>
          <w:color w:val="auto"/>
          <w:sz w:val="36"/>
          <w:szCs w:val="36"/>
          <w:highlight w:val="none"/>
        </w:rPr>
        <w:t xml:space="preserve"> 竞争性磋商公告</w:t>
      </w:r>
      <w:bookmarkEnd w:id="4"/>
      <w:bookmarkEnd w:id="5"/>
      <w:bookmarkEnd w:id="6"/>
    </w:p>
    <w:p>
      <w:pPr>
        <w:pBdr>
          <w:top w:val="single" w:color="auto" w:sz="4" w:space="1"/>
          <w:left w:val="single" w:color="auto" w:sz="4" w:space="4"/>
          <w:bottom w:val="single" w:color="auto" w:sz="4" w:space="1"/>
          <w:right w:val="single" w:color="auto" w:sz="4" w:space="4"/>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pBdr>
          <w:top w:val="single" w:color="auto" w:sz="4" w:space="1"/>
          <w:left w:val="single" w:color="auto" w:sz="4" w:space="4"/>
          <w:bottom w:val="single" w:color="auto" w:sz="4" w:space="1"/>
          <w:right w:val="single" w:color="auto" w:sz="4" w:space="4"/>
        </w:pBdr>
        <w:wordWrap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瑞丽市第一期示范性国门学校建设设施设备结余资金配备项目A包：监控设备</w:t>
      </w:r>
      <w:r>
        <w:rPr>
          <w:rFonts w:hint="eastAsia" w:ascii="宋体" w:hAnsi="宋体" w:eastAsia="宋体" w:cs="宋体"/>
          <w:color w:val="auto"/>
          <w:sz w:val="24"/>
          <w:szCs w:val="24"/>
          <w:highlight w:val="none"/>
        </w:rPr>
        <w:t>的潜在供应商应在“政府采购云平台”（https://www.zcygov.cn/)获取采购文件，并于</w:t>
      </w:r>
      <w:r>
        <w:rPr>
          <w:rFonts w:hint="eastAsia" w:ascii="宋体" w:hAnsi="宋体" w:eastAsia="宋体" w:cs="宋体"/>
          <w:color w:val="FF0000"/>
          <w:sz w:val="24"/>
          <w:szCs w:val="24"/>
          <w:highlight w:val="none"/>
        </w:rPr>
        <w:t>202</w:t>
      </w:r>
      <w:r>
        <w:rPr>
          <w:rFonts w:hint="eastAsia" w:ascii="宋体" w:hAnsi="宋体" w:eastAsia="宋体" w:cs="宋体"/>
          <w:color w:val="FF0000"/>
          <w:sz w:val="24"/>
          <w:szCs w:val="24"/>
          <w:highlight w:val="none"/>
          <w:lang w:val="en-US" w:eastAsia="zh-CN"/>
        </w:rPr>
        <w:t>6</w:t>
      </w:r>
      <w:r>
        <w:rPr>
          <w:rFonts w:hint="eastAsia" w:ascii="宋体" w:hAnsi="宋体" w:eastAsia="宋体" w:cs="宋体"/>
          <w:color w:val="FF0000"/>
          <w:sz w:val="24"/>
          <w:szCs w:val="24"/>
          <w:highlight w:val="none"/>
        </w:rPr>
        <w:t>年</w:t>
      </w:r>
      <w:r>
        <w:rPr>
          <w:rFonts w:hint="eastAsia" w:ascii="宋体" w:hAnsi="宋体" w:cs="宋体"/>
          <w:color w:val="FF0000"/>
          <w:sz w:val="24"/>
          <w:szCs w:val="24"/>
          <w:highlight w:val="none"/>
          <w:lang w:val="en-US" w:eastAsia="zh-CN"/>
        </w:rPr>
        <w:t>06</w:t>
      </w:r>
      <w:r>
        <w:rPr>
          <w:rFonts w:hint="eastAsia" w:ascii="宋体" w:hAnsi="宋体" w:eastAsia="宋体" w:cs="宋体"/>
          <w:color w:val="FF0000"/>
          <w:sz w:val="24"/>
          <w:szCs w:val="24"/>
          <w:highlight w:val="none"/>
        </w:rPr>
        <w:t>月</w:t>
      </w:r>
      <w:r>
        <w:rPr>
          <w:rFonts w:hint="eastAsia" w:ascii="宋体" w:hAnsi="宋体" w:cs="宋体"/>
          <w:color w:val="FF0000"/>
          <w:sz w:val="24"/>
          <w:szCs w:val="24"/>
          <w:highlight w:val="none"/>
          <w:lang w:val="en-US" w:eastAsia="zh-CN"/>
        </w:rPr>
        <w:t>22</w:t>
      </w:r>
      <w:r>
        <w:rPr>
          <w:rFonts w:hint="eastAsia" w:ascii="宋体" w:hAnsi="宋体" w:eastAsia="宋体" w:cs="宋体"/>
          <w:color w:val="FF0000"/>
          <w:sz w:val="24"/>
          <w:szCs w:val="24"/>
          <w:highlight w:val="none"/>
        </w:rPr>
        <w:t>日</w:t>
      </w:r>
      <w:r>
        <w:rPr>
          <w:rFonts w:hint="eastAsia" w:ascii="宋体" w:hAnsi="宋体" w:eastAsia="宋体" w:cs="宋体"/>
          <w:color w:val="FF0000"/>
          <w:kern w:val="0"/>
          <w:sz w:val="24"/>
          <w:szCs w:val="24"/>
          <w:highlight w:val="none"/>
          <w:lang w:val="en-US" w:eastAsia="zh-CN"/>
        </w:rPr>
        <w:t>15</w:t>
      </w:r>
      <w:r>
        <w:rPr>
          <w:rFonts w:hint="eastAsia" w:ascii="宋体" w:hAnsi="宋体" w:eastAsia="宋体" w:cs="宋体"/>
          <w:color w:val="FF0000"/>
          <w:kern w:val="0"/>
          <w:sz w:val="24"/>
          <w:szCs w:val="24"/>
          <w:highlight w:val="none"/>
        </w:rPr>
        <w:t>：00</w:t>
      </w:r>
      <w:r>
        <w:rPr>
          <w:rFonts w:hint="eastAsia" w:ascii="宋体" w:hAnsi="宋体" w:eastAsia="宋体" w:cs="宋体"/>
          <w:bCs/>
          <w:color w:val="auto"/>
          <w:sz w:val="24"/>
          <w:szCs w:val="24"/>
          <w:highlight w:val="none"/>
        </w:rPr>
        <w:t>（北京时间）前递交响应文件</w:t>
      </w:r>
      <w:r>
        <w:rPr>
          <w:rFonts w:hint="eastAsia" w:ascii="宋体" w:hAnsi="宋体" w:eastAsia="宋体" w:cs="宋体"/>
          <w:color w:val="auto"/>
          <w:sz w:val="24"/>
          <w:szCs w:val="24"/>
          <w:highlight w:val="none"/>
        </w:rPr>
        <w:t>。</w:t>
      </w:r>
    </w:p>
    <w:p>
      <w:pPr>
        <w:pStyle w:val="4"/>
        <w:spacing w:after="0" w:line="470" w:lineRule="exact"/>
        <w:jc w:val="left"/>
        <w:rPr>
          <w:rFonts w:hint="eastAsia" w:ascii="宋体" w:hAnsi="宋体" w:eastAsia="宋体" w:cs="宋体"/>
          <w:bCs w:val="0"/>
          <w:color w:val="auto"/>
          <w:sz w:val="24"/>
          <w:szCs w:val="24"/>
          <w:highlight w:val="none"/>
        </w:rPr>
      </w:pPr>
      <w:bookmarkStart w:id="7" w:name="_Toc28359089"/>
      <w:bookmarkStart w:id="8" w:name="_Toc35393798"/>
      <w:bookmarkStart w:id="9" w:name="_Toc35393629"/>
      <w:bookmarkStart w:id="10" w:name="_Toc28359012"/>
      <w:r>
        <w:rPr>
          <w:rFonts w:hint="eastAsia" w:ascii="宋体" w:hAnsi="宋体" w:eastAsia="宋体" w:cs="宋体"/>
          <w:bCs w:val="0"/>
          <w:color w:val="auto"/>
          <w:sz w:val="24"/>
          <w:szCs w:val="24"/>
          <w:highlight w:val="none"/>
        </w:rPr>
        <w:t>一、项目基本情况</w:t>
      </w:r>
      <w:bookmarkEnd w:id="7"/>
      <w:bookmarkEnd w:id="8"/>
      <w:bookmarkEnd w:id="9"/>
      <w:bookmarkEnd w:id="10"/>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bookmarkStart w:id="11" w:name="_Toc28359013"/>
      <w:bookmarkStart w:id="12" w:name="_Toc28359090"/>
      <w:bookmarkStart w:id="13" w:name="_Toc35393799"/>
      <w:bookmarkStart w:id="14" w:name="_Toc35393630"/>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瑞丽市第一期示范性国门学校建设设施设备结余资金配备项目A包：监控设备</w:t>
      </w:r>
      <w:r>
        <w:rPr>
          <w:rFonts w:hint="eastAsia" w:ascii="宋体" w:hAnsi="宋体" w:eastAsia="宋体" w:cs="宋体"/>
          <w:color w:val="auto"/>
          <w:sz w:val="24"/>
          <w:szCs w:val="24"/>
          <w:highlight w:val="none"/>
        </w:rPr>
        <w:t>；</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eastAsia="zh-CN"/>
        </w:rPr>
        <w:t>RLHSCG（</w:t>
      </w:r>
      <w:r>
        <w:rPr>
          <w:rFonts w:hint="eastAsia" w:ascii="宋体" w:hAnsi="宋体" w:eastAsia="宋体" w:cs="宋体"/>
          <w:color w:val="auto"/>
          <w:sz w:val="24"/>
          <w:szCs w:val="24"/>
          <w:highlight w:val="none"/>
          <w:lang w:val="en-US" w:eastAsia="zh-CN"/>
        </w:rPr>
        <w:t>竞</w:t>
      </w:r>
      <w:r>
        <w:rPr>
          <w:rFonts w:hint="eastAsia" w:ascii="宋体" w:hAnsi="宋体" w:eastAsia="宋体" w:cs="宋体"/>
          <w:color w:val="auto"/>
          <w:sz w:val="24"/>
          <w:szCs w:val="24"/>
          <w:highlight w:val="none"/>
          <w:lang w:eastAsia="zh-CN"/>
        </w:rPr>
        <w:t>）2026-018</w:t>
      </w:r>
      <w:r>
        <w:rPr>
          <w:rFonts w:hint="eastAsia" w:ascii="宋体" w:hAnsi="宋体" w:eastAsia="宋体" w:cs="宋体"/>
          <w:color w:val="auto"/>
          <w:sz w:val="24"/>
          <w:szCs w:val="24"/>
          <w:highlight w:val="none"/>
        </w:rPr>
        <w:t xml:space="preserve">   </w:t>
      </w:r>
    </w:p>
    <w:p>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3.采购方式：竞争性磋商</w:t>
      </w:r>
    </w:p>
    <w:bookmarkEnd w:id="11"/>
    <w:bookmarkEnd w:id="12"/>
    <w:bookmarkEnd w:id="13"/>
    <w:bookmarkEnd w:id="14"/>
    <w:p>
      <w:pPr>
        <w:pageBreakBefore w:val="0"/>
        <w:kinsoku/>
        <w:overflowPunct/>
        <w:topLinePunct w:val="0"/>
        <w:autoSpaceDE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bookmarkStart w:id="15" w:name="_Toc28359091"/>
      <w:bookmarkStart w:id="16" w:name="_Toc35393800"/>
      <w:bookmarkStart w:id="17" w:name="_Toc35393631"/>
      <w:bookmarkStart w:id="18" w:name="_Toc28359014"/>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1186807.98元</w:t>
      </w:r>
      <w:r>
        <w:rPr>
          <w:rFonts w:hint="eastAsia" w:asciiTheme="minorEastAsia" w:hAnsiTheme="minorEastAsia" w:eastAsiaTheme="minorEastAsia" w:cstheme="minorEastAsia"/>
          <w:color w:val="auto"/>
          <w:sz w:val="24"/>
          <w:szCs w:val="24"/>
          <w:highlight w:val="none"/>
        </w:rPr>
        <w:t>（含</w:t>
      </w:r>
      <w:r>
        <w:rPr>
          <w:rFonts w:hint="eastAsia" w:asciiTheme="minorEastAsia" w:hAnsiTheme="minorEastAsia" w:eastAsiaTheme="minorEastAsia" w:cstheme="minorEastAsia"/>
          <w:color w:val="auto"/>
          <w:sz w:val="24"/>
          <w:szCs w:val="24"/>
          <w:highlight w:val="none"/>
          <w:lang w:eastAsia="zh-CN"/>
        </w:rPr>
        <w:t>运输</w:t>
      </w:r>
      <w:r>
        <w:rPr>
          <w:rFonts w:hint="eastAsia" w:asciiTheme="minorEastAsia" w:hAnsiTheme="minorEastAsia" w:eastAsiaTheme="minorEastAsia" w:cstheme="minorEastAsia"/>
          <w:color w:val="auto"/>
          <w:sz w:val="24"/>
          <w:szCs w:val="24"/>
          <w:highlight w:val="none"/>
        </w:rPr>
        <w:t>、安装</w:t>
      </w:r>
      <w:r>
        <w:rPr>
          <w:rFonts w:hint="eastAsia" w:asciiTheme="minorEastAsia" w:hAnsiTheme="minorEastAsia" w:eastAsiaTheme="minorEastAsia" w:cstheme="minorEastAsia"/>
          <w:color w:val="auto"/>
          <w:sz w:val="24"/>
          <w:szCs w:val="24"/>
          <w:highlight w:val="none"/>
          <w:lang w:eastAsia="zh-CN"/>
        </w:rPr>
        <w:t>、培训、</w:t>
      </w:r>
      <w:r>
        <w:rPr>
          <w:rFonts w:hint="eastAsia" w:asciiTheme="minorEastAsia" w:hAnsiTheme="minorEastAsia" w:eastAsiaTheme="minorEastAsia" w:cstheme="minorEastAsia"/>
          <w:color w:val="auto"/>
          <w:sz w:val="24"/>
          <w:szCs w:val="24"/>
          <w:highlight w:val="none"/>
          <w:lang w:val="en-US" w:eastAsia="zh-CN"/>
        </w:rPr>
        <w:t>售后、税费等</w:t>
      </w:r>
      <w:r>
        <w:rPr>
          <w:rFonts w:hint="eastAsia" w:asciiTheme="minorEastAsia" w:hAnsiTheme="minorEastAsia" w:eastAsiaTheme="minorEastAsia" w:cstheme="minorEastAsia"/>
          <w:color w:val="auto"/>
          <w:sz w:val="24"/>
          <w:szCs w:val="24"/>
          <w:highlight w:val="none"/>
        </w:rPr>
        <w:t>所有费用）</w:t>
      </w:r>
    </w:p>
    <w:p>
      <w:pPr>
        <w:pageBreakBefore w:val="0"/>
        <w:numPr>
          <w:ilvl w:val="0"/>
          <w:numId w:val="0"/>
        </w:numPr>
        <w:kinsoku/>
        <w:overflowPunct/>
        <w:topLinePunct w:val="0"/>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.采购需求：</w:t>
      </w:r>
    </w:p>
    <w:tbl>
      <w:tblPr>
        <w:tblStyle w:val="41"/>
        <w:tblW w:w="9434" w:type="dxa"/>
        <w:tblInd w:w="35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0"/>
        <w:gridCol w:w="2994"/>
        <w:gridCol w:w="1363"/>
        <w:gridCol w:w="1150"/>
        <w:gridCol w:w="1543"/>
        <w:gridCol w:w="133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6"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auto"/>
                <w:sz w:val="24"/>
                <w:szCs w:val="24"/>
                <w:highlight w:val="none"/>
                <w:lang w:eastAsia="zh-CN"/>
              </w:rPr>
              <w:t>是否接受进口产品</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color w:val="auto"/>
                <w:sz w:val="24"/>
                <w:szCs w:val="24"/>
                <w:highlight w:val="none"/>
                <w:lang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7"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摄像机-枪机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摄像机-半球</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47</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摄像机-球机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9"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themeColor="text1"/>
                <w:kern w:val="0"/>
                <w:sz w:val="24"/>
                <w:szCs w:val="24"/>
                <w:u w:val="none"/>
                <w:lang w:val="en-US" w:eastAsia="zh-CN" w:bidi="ar"/>
                <w14:textFill>
                  <w14:solidFill>
                    <w14:schemeClr w14:val="tx1"/>
                  </w14:solidFill>
                </w14:textFill>
              </w:rPr>
              <w:t>摄像机-枪球一体机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5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接入交换机1</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38</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6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接入交换机2</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1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汇聚交换机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67"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核心交换机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23"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录像机1</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6"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录像机2</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4"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监控硬盘</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块</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41"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存储服务器</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6"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综合安防管理平台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7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平台管理单元</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67"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网上巡查流媒体输出分发平台</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6"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解码器1</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23"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解码器2</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93"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网络键盘</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7"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管理终端</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7"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20</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拼接屏</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3</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块</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5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相机</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台</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22"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22</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相关辅材配件</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批</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 w:hRule="atLeast"/>
        </w:trPr>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w:t>
            </w:r>
          </w:p>
        </w:tc>
        <w:tc>
          <w:tcPr>
            <w:tcW w:w="299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其它集成安装服务</w:t>
            </w:r>
          </w:p>
        </w:tc>
        <w:tc>
          <w:tcPr>
            <w:tcW w:w="13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1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批</w:t>
            </w:r>
          </w:p>
        </w:tc>
        <w:tc>
          <w:tcPr>
            <w:tcW w:w="15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auto"/>
                <w:sz w:val="24"/>
                <w:szCs w:val="24"/>
                <w:highlight w:val="none"/>
                <w:lang w:val="en-US" w:eastAsia="zh-CN"/>
              </w:rPr>
              <w:t>否</w:t>
            </w:r>
          </w:p>
        </w:tc>
        <w:tc>
          <w:tcPr>
            <w:tcW w:w="13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pPr>
        <w:pageBreakBefore w:val="0"/>
        <w:numPr>
          <w:ilvl w:val="0"/>
          <w:numId w:val="0"/>
        </w:numPr>
        <w:kinsoku/>
        <w:overflowPunct/>
        <w:topLinePunct w:val="0"/>
        <w:autoSpaceDN/>
        <w:bidi w:val="0"/>
        <w:adjustRightInd/>
        <w:snapToGrid/>
        <w:spacing w:line="360" w:lineRule="auto"/>
        <w:ind w:firstLine="240" w:firstLineChars="100"/>
        <w:jc w:val="left"/>
        <w:textAlignment w:val="auto"/>
        <w:rPr>
          <w:rFonts w:hint="eastAsia" w:asciiTheme="minorEastAsia" w:hAnsiTheme="minorEastAsia" w:eastAsiaTheme="minorEastAsia" w:cstheme="minorEastAsia"/>
          <w:color w:val="auto"/>
          <w:sz w:val="24"/>
          <w:szCs w:val="24"/>
          <w:highlight w:val="none"/>
        </w:rPr>
      </w:pPr>
    </w:p>
    <w:p>
      <w:pPr>
        <w:pageBreakBefore w:val="0"/>
        <w:numPr>
          <w:ilvl w:val="0"/>
          <w:numId w:val="0"/>
        </w:numPr>
        <w:kinsoku/>
        <w:overflowPunct/>
        <w:topLinePunct w:val="0"/>
        <w:autoSpaceDE w:val="0"/>
        <w:autoSpaceDN/>
        <w:bidi w:val="0"/>
        <w:adjustRightInd/>
        <w:snapToGrid/>
        <w:spacing w:line="360" w:lineRule="auto"/>
        <w:ind w:firstLine="240" w:firstLineChars="100"/>
        <w:textAlignment w:val="auto"/>
        <w:rPr>
          <w:rFonts w:hint="eastAsia" w:ascii="宋体" w:hAnsi="宋体" w:cs="宋体"/>
          <w:color w:val="auto"/>
          <w:sz w:val="24"/>
          <w:lang w:val="en-US" w:eastAsia="zh-CN"/>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合同履行期限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签订合同后30个日历天内安装完成</w:t>
      </w:r>
      <w:r>
        <w:rPr>
          <w:rFonts w:hint="eastAsia" w:asciiTheme="minorEastAsia" w:hAnsiTheme="minorEastAsia" w:eastAsiaTheme="minorEastAsia" w:cstheme="minorEastAsia"/>
          <w:color w:val="auto"/>
          <w:sz w:val="24"/>
          <w:szCs w:val="24"/>
          <w:highlight w:val="none"/>
          <w:lang w:eastAsia="zh-CN"/>
        </w:rPr>
        <w:t>。</w:t>
      </w:r>
    </w:p>
    <w:p>
      <w:pPr>
        <w:pageBreakBefore w:val="0"/>
        <w:numPr>
          <w:ilvl w:val="0"/>
          <w:numId w:val="0"/>
        </w:numPr>
        <w:kinsoku/>
        <w:overflowPunct/>
        <w:topLinePunct w:val="0"/>
        <w:autoSpaceDE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rPr>
        <w:t>.本项目不接受联合体投标。</w:t>
      </w:r>
    </w:p>
    <w:p>
      <w:pPr>
        <w:pStyle w:val="4"/>
        <w:pageBreakBefore w:val="0"/>
        <w:kinsoku/>
        <w:overflowPunct/>
        <w:topLinePunct w:val="0"/>
        <w:autoSpaceDE w:val="0"/>
        <w:autoSpaceDN/>
        <w:bidi w:val="0"/>
        <w:adjustRightInd/>
        <w:snapToGrid/>
        <w:spacing w:before="0" w:after="0" w:line="360" w:lineRule="auto"/>
        <w:jc w:val="both"/>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二、投标人资格要求：</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b/>
          <w:bCs/>
          <w:color w:val="auto"/>
          <w:spacing w:val="1"/>
          <w:sz w:val="24"/>
          <w:szCs w:val="24"/>
          <w:highlight w:val="none"/>
        </w:rPr>
      </w:pPr>
      <w:bookmarkStart w:id="19" w:name="_Toc35393623"/>
      <w:bookmarkEnd w:id="19"/>
      <w:r>
        <w:rPr>
          <w:rFonts w:hint="eastAsia" w:asciiTheme="minorEastAsia" w:hAnsiTheme="minorEastAsia" w:eastAsiaTheme="minorEastAsia" w:cstheme="minorEastAsia"/>
          <w:b/>
          <w:bCs/>
          <w:color w:val="auto"/>
          <w:sz w:val="24"/>
          <w:szCs w:val="24"/>
          <w:highlight w:val="none"/>
        </w:rPr>
        <w:t>1.满足《中华人民共和国政府采购法》第二十二条规定：</w:t>
      </w:r>
    </w:p>
    <w:p>
      <w:pPr>
        <w:pageBreakBefore w:val="0"/>
        <w:kinsoku/>
        <w:overflowPunct/>
        <w:topLinePunct w:val="0"/>
        <w:autoSpaceDE w:val="0"/>
        <w:autoSpaceDN/>
        <w:bidi w:val="0"/>
        <w:adjustRightInd/>
        <w:snapToGrid/>
        <w:spacing w:line="360" w:lineRule="auto"/>
        <w:ind w:firstLine="243" w:firstLineChars="10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b/>
          <w:bCs/>
          <w:color w:val="auto"/>
          <w:spacing w:val="1"/>
          <w:sz w:val="24"/>
          <w:szCs w:val="24"/>
          <w:highlight w:val="none"/>
        </w:rPr>
        <w:t>（1）营业执照：</w:t>
      </w:r>
      <w:r>
        <w:rPr>
          <w:rFonts w:hint="eastAsia" w:ascii="宋体" w:hAnsi="宋体" w:eastAsia="宋体" w:cs="宋体"/>
          <w:sz w:val="24"/>
          <w:szCs w:val="24"/>
        </w:rPr>
        <w:t>具有独立承担民事责任的能力</w:t>
      </w:r>
      <w:r>
        <w:rPr>
          <w:rFonts w:hint="eastAsia" w:ascii="宋体" w:hAnsi="宋体" w:cs="宋体"/>
          <w:sz w:val="24"/>
          <w:szCs w:val="24"/>
          <w:lang w:eastAsia="zh-CN"/>
        </w:rPr>
        <w:t>，</w:t>
      </w:r>
      <w:r>
        <w:rPr>
          <w:rFonts w:hint="eastAsia" w:ascii="宋体" w:hAnsi="宋体" w:eastAsia="宋体" w:cs="宋体"/>
          <w:sz w:val="24"/>
          <w:szCs w:val="24"/>
        </w:rPr>
        <w:t>提供自然人有效身份证或法人或者其他组织有效的营业执照等证明文件</w:t>
      </w:r>
      <w:r>
        <w:rPr>
          <w:rFonts w:hint="eastAsia" w:ascii="宋体" w:hAnsi="宋体" w:eastAsia="宋体" w:cs="宋体"/>
          <w:sz w:val="24"/>
          <w:szCs w:val="24"/>
          <w:lang w:eastAsia="zh-CN"/>
        </w:rPr>
        <w:t>。</w:t>
      </w:r>
    </w:p>
    <w:p>
      <w:pPr>
        <w:pageBreakBefore w:val="0"/>
        <w:kinsoku/>
        <w:overflowPunct/>
        <w:topLinePunct w:val="0"/>
        <w:autoSpaceDE w:val="0"/>
        <w:autoSpaceDN/>
        <w:bidi w:val="0"/>
        <w:adjustRightInd/>
        <w:snapToGrid/>
        <w:spacing w:line="360" w:lineRule="auto"/>
        <w:ind w:firstLine="243" w:firstLineChars="100"/>
        <w:textAlignment w:val="auto"/>
        <w:rPr>
          <w:rFonts w:hint="eastAsia" w:asciiTheme="minorEastAsia" w:hAnsiTheme="minorEastAsia" w:eastAsiaTheme="minorEastAsia" w:cstheme="minorEastAsia"/>
          <w:b w:val="0"/>
          <w:bCs w:val="0"/>
          <w:color w:val="auto"/>
          <w:spacing w:val="1"/>
          <w:sz w:val="24"/>
          <w:szCs w:val="24"/>
          <w:highlight w:val="none"/>
        </w:rPr>
      </w:pPr>
      <w:r>
        <w:rPr>
          <w:rFonts w:hint="eastAsia" w:asciiTheme="minorEastAsia" w:hAnsiTheme="minorEastAsia" w:eastAsiaTheme="minorEastAsia" w:cstheme="minorEastAsia"/>
          <w:b/>
          <w:bCs/>
          <w:color w:val="auto"/>
          <w:spacing w:val="1"/>
          <w:sz w:val="24"/>
          <w:szCs w:val="24"/>
          <w:highlight w:val="none"/>
        </w:rPr>
        <w:t>（2）财务要求：</w:t>
      </w:r>
      <w:r>
        <w:rPr>
          <w:rFonts w:hint="eastAsia" w:asciiTheme="minorEastAsia" w:hAnsiTheme="minorEastAsia" w:eastAsiaTheme="minorEastAsia" w:cstheme="minorEastAsia"/>
          <w:b w:val="0"/>
          <w:bCs w:val="0"/>
          <w:color w:val="auto"/>
          <w:spacing w:val="1"/>
          <w:sz w:val="24"/>
          <w:szCs w:val="24"/>
          <w:highlight w:val="none"/>
        </w:rPr>
        <w:t>提供202</w:t>
      </w:r>
      <w:r>
        <w:rPr>
          <w:rFonts w:hint="eastAsia" w:asciiTheme="minorEastAsia" w:hAnsiTheme="minorEastAsia" w:eastAsiaTheme="minorEastAsia" w:cstheme="minorEastAsia"/>
          <w:b w:val="0"/>
          <w:bCs w:val="0"/>
          <w:color w:val="auto"/>
          <w:spacing w:val="1"/>
          <w:sz w:val="24"/>
          <w:szCs w:val="24"/>
          <w:highlight w:val="none"/>
          <w:lang w:val="en-US" w:eastAsia="zh-CN"/>
        </w:rPr>
        <w:t>4</w:t>
      </w:r>
      <w:r>
        <w:rPr>
          <w:rFonts w:hint="eastAsia" w:asciiTheme="minorEastAsia" w:hAnsiTheme="minorEastAsia" w:eastAsiaTheme="minorEastAsia" w:cstheme="minorEastAsia"/>
          <w:b w:val="0"/>
          <w:bCs w:val="0"/>
          <w:color w:val="auto"/>
          <w:spacing w:val="1"/>
          <w:sz w:val="24"/>
          <w:szCs w:val="24"/>
          <w:highlight w:val="none"/>
        </w:rPr>
        <w:t>年度</w:t>
      </w:r>
      <w:r>
        <w:rPr>
          <w:rFonts w:hint="eastAsia" w:asciiTheme="minorEastAsia" w:hAnsiTheme="minorEastAsia" w:eastAsiaTheme="minorEastAsia" w:cstheme="minorEastAsia"/>
          <w:b w:val="0"/>
          <w:bCs w:val="0"/>
          <w:color w:val="auto"/>
          <w:spacing w:val="1"/>
          <w:sz w:val="24"/>
          <w:szCs w:val="24"/>
          <w:highlight w:val="none"/>
          <w:lang w:val="en-US" w:eastAsia="zh-CN"/>
        </w:rPr>
        <w:t>或2025年度</w:t>
      </w:r>
      <w:r>
        <w:rPr>
          <w:rFonts w:hint="eastAsia" w:asciiTheme="minorEastAsia" w:hAnsiTheme="minorEastAsia" w:eastAsiaTheme="minorEastAsia" w:cstheme="minorEastAsia"/>
          <w:b w:val="0"/>
          <w:bCs w:val="0"/>
          <w:color w:val="auto"/>
          <w:spacing w:val="1"/>
          <w:sz w:val="24"/>
          <w:szCs w:val="24"/>
          <w:highlight w:val="none"/>
        </w:rPr>
        <w:t>经非本单位专业审计机构出具的财务报表及审计报告（成立未满一年的公司，无需提供审计报告，提供公司成立至今的财务报表）。</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税收和社保要求：</w:t>
      </w:r>
      <w:r>
        <w:rPr>
          <w:rFonts w:hint="eastAsia" w:asciiTheme="minorEastAsia" w:hAnsiTheme="minorEastAsia" w:eastAsiaTheme="minorEastAsia" w:cstheme="minorEastAsia"/>
          <w:b w:val="0"/>
          <w:bCs w:val="0"/>
          <w:color w:val="auto"/>
          <w:sz w:val="24"/>
          <w:szCs w:val="24"/>
          <w:highlight w:val="none"/>
        </w:rPr>
        <w:t>提供202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年</w:t>
      </w:r>
      <w:r>
        <w:rPr>
          <w:rFonts w:hint="eastAsia" w:asciiTheme="minorEastAsia" w:hAnsiTheme="minorEastAsia" w:eastAsiaTheme="minorEastAsia" w:cstheme="minorEastAsia"/>
          <w:b w:val="0"/>
          <w:bCs w:val="0"/>
          <w:color w:val="auto"/>
          <w:sz w:val="24"/>
          <w:szCs w:val="24"/>
          <w:highlight w:val="none"/>
          <w:lang w:val="en-US" w:eastAsia="zh-CN"/>
        </w:rPr>
        <w:t>7月至今</w:t>
      </w:r>
      <w:r>
        <w:rPr>
          <w:rFonts w:hint="eastAsia" w:asciiTheme="minorEastAsia" w:hAnsiTheme="minorEastAsia" w:eastAsiaTheme="minorEastAsia" w:cstheme="minorEastAsia"/>
          <w:b w:val="0"/>
          <w:bCs w:val="0"/>
          <w:color w:val="auto"/>
          <w:sz w:val="24"/>
          <w:szCs w:val="24"/>
          <w:highlight w:val="none"/>
        </w:rPr>
        <w:t>任意</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个月依法缴纳税收和社会保障资金的缴纳凭证（如公司成立未满一个月的提供成立以来的税收和社会保障资金缴纳凭证或相关情况说明；依法免税或不需要缴纳社会保障资金的</w:t>
      </w:r>
      <w:r>
        <w:rPr>
          <w:rFonts w:hint="eastAsia" w:asciiTheme="minorEastAsia" w:hAnsiTheme="minorEastAsia" w:eastAsiaTheme="minorEastAsia" w:cstheme="minorEastAsia"/>
          <w:b w:val="0"/>
          <w:bCs w:val="0"/>
          <w:color w:val="auto"/>
          <w:sz w:val="24"/>
          <w:szCs w:val="24"/>
          <w:highlight w:val="none"/>
          <w:lang w:val="en-US" w:eastAsia="zh-CN"/>
        </w:rPr>
        <w:t>投标</w:t>
      </w:r>
      <w:r>
        <w:rPr>
          <w:rFonts w:hint="eastAsia" w:asciiTheme="minorEastAsia" w:hAnsiTheme="minorEastAsia" w:eastAsiaTheme="minorEastAsia" w:cstheme="minorEastAsia"/>
          <w:b w:val="0"/>
          <w:bCs w:val="0"/>
          <w:color w:val="auto"/>
          <w:sz w:val="24"/>
          <w:szCs w:val="24"/>
          <w:highlight w:val="none"/>
        </w:rPr>
        <w:t>人，应提供相应文件或情况说明证明其依法免税或不需要缴纳社会保障资金的材料</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4</w:t>
      </w:r>
      <w:r>
        <w:rPr>
          <w:rFonts w:hint="eastAsia" w:asciiTheme="minorEastAsia" w:hAnsiTheme="minorEastAsia" w:eastAsiaTheme="minorEastAsia" w:cstheme="minorEastAsia"/>
          <w:b/>
          <w:bCs/>
          <w:color w:val="auto"/>
          <w:sz w:val="24"/>
          <w:szCs w:val="24"/>
          <w:highlight w:val="none"/>
        </w:rPr>
        <w:t>）专业技术能力：</w:t>
      </w:r>
      <w:r>
        <w:rPr>
          <w:rFonts w:hint="eastAsia" w:asciiTheme="minorEastAsia" w:hAnsiTheme="minorEastAsia" w:eastAsiaTheme="minorEastAsia" w:cstheme="minorEastAsia"/>
          <w:b w:val="0"/>
          <w:bCs w:val="0"/>
          <w:color w:val="auto"/>
          <w:sz w:val="24"/>
          <w:szCs w:val="24"/>
          <w:highlight w:val="none"/>
        </w:rPr>
        <w:t>提供具备履行合同所必需的专业技术能力的证明材料或承诺书</w:t>
      </w:r>
      <w:r>
        <w:rPr>
          <w:rFonts w:hint="eastAsia" w:asciiTheme="minorEastAsia" w:hAnsiTheme="minorEastAsia" w:eastAsiaTheme="minorEastAsia" w:cstheme="minorEastAsia"/>
          <w:b w:val="0"/>
          <w:bCs w:val="0"/>
          <w:color w:val="auto"/>
          <w:sz w:val="24"/>
          <w:szCs w:val="24"/>
          <w:highlight w:val="none"/>
          <w:lang w:eastAsia="zh-CN"/>
        </w:rPr>
        <w:t>。</w:t>
      </w:r>
    </w:p>
    <w:p>
      <w:pPr>
        <w:pStyle w:val="9"/>
        <w:pageBreakBefore w:val="0"/>
        <w:kinsoku/>
        <w:overflowPunct/>
        <w:topLinePunct w:val="0"/>
        <w:autoSpaceDE w:val="0"/>
        <w:autoSpaceDN/>
        <w:bidi w:val="0"/>
        <w:adjustRightInd/>
        <w:snapToGrid/>
        <w:spacing w:before="0" w:beforeAutospacing="0" w:after="0" w:line="360" w:lineRule="auto"/>
        <w:ind w:firstLine="243"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pacing w:val="1"/>
          <w:sz w:val="24"/>
          <w:szCs w:val="24"/>
          <w:highlight w:val="none"/>
        </w:rPr>
        <w:t>（</w:t>
      </w:r>
      <w:r>
        <w:rPr>
          <w:rFonts w:hint="eastAsia" w:asciiTheme="minorEastAsia" w:hAnsiTheme="minorEastAsia" w:eastAsiaTheme="minorEastAsia" w:cstheme="minorEastAsia"/>
          <w:b/>
          <w:bCs/>
          <w:color w:val="auto"/>
          <w:spacing w:val="1"/>
          <w:sz w:val="24"/>
          <w:szCs w:val="24"/>
          <w:highlight w:val="none"/>
          <w:lang w:val="en-US" w:eastAsia="zh-CN"/>
        </w:rPr>
        <w:t>5</w:t>
      </w:r>
      <w:r>
        <w:rPr>
          <w:rFonts w:hint="eastAsia" w:asciiTheme="minorEastAsia" w:hAnsiTheme="minorEastAsia" w:eastAsiaTheme="minorEastAsia" w:cstheme="minorEastAsia"/>
          <w:b/>
          <w:bCs/>
          <w:color w:val="auto"/>
          <w:spacing w:val="1"/>
          <w:sz w:val="24"/>
          <w:szCs w:val="24"/>
          <w:highlight w:val="none"/>
        </w:rPr>
        <w:t>）</w:t>
      </w:r>
      <w:r>
        <w:rPr>
          <w:rFonts w:hint="eastAsia" w:asciiTheme="minorEastAsia" w:hAnsiTheme="minorEastAsia" w:eastAsiaTheme="minorEastAsia" w:cstheme="minorEastAsia"/>
          <w:b/>
          <w:bCs/>
          <w:color w:val="auto"/>
          <w:sz w:val="24"/>
          <w:szCs w:val="24"/>
          <w:lang w:eastAsia="zh-CN"/>
        </w:rPr>
        <w:t>无重大违法记录声明：</w:t>
      </w:r>
      <w:r>
        <w:rPr>
          <w:rFonts w:hint="eastAsia" w:asciiTheme="minorEastAsia" w:hAnsiTheme="minorEastAsia" w:eastAsiaTheme="minorEastAsia" w:cstheme="minorEastAsia"/>
          <w:color w:val="auto"/>
          <w:spacing w:val="1"/>
          <w:sz w:val="24"/>
          <w:szCs w:val="24"/>
          <w:highlight w:val="none"/>
        </w:rPr>
        <w:t>提供参加</w:t>
      </w:r>
      <w:r>
        <w:rPr>
          <w:rFonts w:hint="eastAsia" w:asciiTheme="minorEastAsia" w:hAnsiTheme="minorEastAsia" w:eastAsiaTheme="minorEastAsia" w:cstheme="minorEastAsia"/>
          <w:color w:val="auto"/>
          <w:spacing w:val="1"/>
          <w:sz w:val="24"/>
          <w:szCs w:val="24"/>
          <w:highlight w:val="none"/>
          <w:lang w:val="en-US" w:eastAsia="zh-CN"/>
        </w:rPr>
        <w:t>本次</w:t>
      </w:r>
      <w:r>
        <w:rPr>
          <w:rFonts w:hint="eastAsia" w:asciiTheme="minorEastAsia" w:hAnsiTheme="minorEastAsia" w:eastAsiaTheme="minorEastAsia" w:cstheme="minorEastAsia"/>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）信誉要求：</w:t>
      </w:r>
      <w:r>
        <w:rPr>
          <w:rFonts w:hint="eastAsia" w:asciiTheme="minorEastAsia" w:hAnsiTheme="minorEastAsia" w:eastAsiaTheme="minorEastAsia" w:cstheme="minorEastAsia"/>
          <w:b w:val="0"/>
          <w:bCs w:val="0"/>
          <w:color w:val="auto"/>
          <w:sz w:val="24"/>
          <w:szCs w:val="24"/>
          <w:highlight w:val="none"/>
          <w:lang w:val="en-US" w:eastAsia="zh-CN"/>
        </w:rPr>
        <w:t>供应商应在“信用中国”网站(www.creditchina.gov.cn)未被列入失信被执行人、重大税收违法失信主体，中国政府采购网(www.ccgp.gov.cn)没有政府采购严重违法失信行为记录。</w:t>
      </w:r>
      <w:r>
        <w:rPr>
          <w:rFonts w:hint="eastAsia" w:asciiTheme="minorEastAsia" w:hAnsiTheme="minorEastAsia" w:eastAsiaTheme="minorEastAsia" w:cstheme="minorEastAsia"/>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Theme="minorEastAsia" w:hAnsiTheme="minorEastAsia" w:eastAsiaTheme="minorEastAsia" w:cstheme="minorEastAsia"/>
          <w:b w:val="0"/>
          <w:bCs w:val="0"/>
          <w:color w:val="auto"/>
          <w:sz w:val="24"/>
          <w:szCs w:val="24"/>
          <w:highlight w:val="none"/>
          <w:lang w:val="en-US" w:eastAsia="zh-CN"/>
        </w:rPr>
        <w:t>重大税收违法失信主体</w:t>
      </w:r>
      <w:r>
        <w:rPr>
          <w:rFonts w:hint="eastAsia" w:asciiTheme="minorEastAsia" w:hAnsiTheme="minorEastAsia" w:eastAsiaTheme="minorEastAsia" w:cstheme="minorEastAsia"/>
          <w:b w:val="0"/>
          <w:bCs w:val="0"/>
          <w:color w:val="auto"/>
          <w:sz w:val="24"/>
          <w:szCs w:val="24"/>
          <w:highlight w:val="none"/>
          <w:lang w:eastAsia="zh-CN"/>
        </w:rPr>
        <w:t>、政府采购严重违法失信行为记录名单，则投标无效。）</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（7）其它要求</w:t>
      </w:r>
      <w:r>
        <w:rPr>
          <w:rFonts w:hint="eastAsia" w:asciiTheme="minorEastAsia" w:hAnsiTheme="minorEastAsia" w:eastAsiaTheme="minorEastAsia" w:cstheme="minorEastAsia"/>
          <w:b w:val="0"/>
          <w:bCs w:val="0"/>
          <w:color w:val="auto"/>
          <w:sz w:val="24"/>
          <w:szCs w:val="24"/>
          <w:highlight w:val="none"/>
          <w:lang w:val="en-US" w:eastAsia="zh-CN"/>
        </w:rPr>
        <w:t>：单位负责人为同一人或者存在直接控股、管理关系的不同供应商，不得参加同一合同项下的政府采购活动。</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2.落实政府采购政策需满足的资格要求：</w:t>
      </w:r>
      <w:r>
        <w:rPr>
          <w:rFonts w:hint="eastAsia" w:asciiTheme="minorEastAsia" w:hAnsiTheme="minorEastAsia" w:eastAsiaTheme="minorEastAsia" w:cstheme="minorEastAsia"/>
          <w:color w:val="auto"/>
          <w:sz w:val="24"/>
          <w:szCs w:val="24"/>
          <w:highlight w:val="none"/>
        </w:rPr>
        <w:t>本项目非专门面向中小型企业采购；根据《关于进一步加大政府采购支持中小企业力度的通知》（财库〔2022〕19号），对符合采购文件要求的小型</w:t>
      </w:r>
      <w:r>
        <w:rPr>
          <w:rFonts w:hint="eastAsia" w:asciiTheme="minorEastAsia" w:hAnsiTheme="minorEastAsia" w:eastAsiaTheme="minorEastAsia" w:cstheme="minorEastAsia"/>
          <w:color w:val="auto"/>
          <w:sz w:val="24"/>
          <w:szCs w:val="24"/>
          <w:highlight w:val="none"/>
          <w:lang w:val="en-US" w:eastAsia="zh-CN"/>
        </w:rPr>
        <w:t>或</w:t>
      </w:r>
      <w:r>
        <w:rPr>
          <w:rFonts w:hint="eastAsia" w:asciiTheme="minorEastAsia" w:hAnsiTheme="minorEastAsia" w:eastAsiaTheme="minorEastAsia" w:cstheme="minorEastAsia"/>
          <w:color w:val="auto"/>
          <w:sz w:val="24"/>
          <w:szCs w:val="24"/>
          <w:highlight w:val="none"/>
        </w:rPr>
        <w:t>微型企业给予价格扣除10%，用扣除后的价格参与评审；监狱企业及残疾人福利性单位视同小微企业。</w:t>
      </w:r>
    </w:p>
    <w:p>
      <w:pPr>
        <w:pStyle w:val="4"/>
        <w:spacing w:after="0" w:line="47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本项目的特定资格要求：</w:t>
      </w:r>
      <w:r>
        <w:rPr>
          <w:rFonts w:hint="eastAsia" w:asciiTheme="minorEastAsia" w:hAnsiTheme="minorEastAsia" w:eastAsiaTheme="minorEastAsia" w:cstheme="minorEastAsia"/>
          <w:b/>
          <w:bCs/>
          <w:color w:val="auto"/>
          <w:sz w:val="24"/>
          <w:szCs w:val="24"/>
          <w:highlight w:val="none"/>
          <w:lang w:val="en-US" w:eastAsia="zh-CN"/>
        </w:rPr>
        <w:t xml:space="preserve">无 </w:t>
      </w:r>
    </w:p>
    <w:p>
      <w:pPr>
        <w:pStyle w:val="4"/>
        <w:spacing w:after="0" w:line="470" w:lineRule="exact"/>
        <w:jc w:val="left"/>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三、获取采购文件</w:t>
      </w:r>
      <w:bookmarkEnd w:id="15"/>
      <w:bookmarkEnd w:id="16"/>
      <w:bookmarkEnd w:id="17"/>
      <w:bookmarkEnd w:id="18"/>
    </w:p>
    <w:p>
      <w:pPr>
        <w:spacing w:line="48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1.时间</w:t>
      </w:r>
      <w:r>
        <w:rPr>
          <w:rFonts w:hint="eastAsia" w:ascii="宋体" w:hAnsi="宋体" w:eastAsia="宋体" w:cs="宋体"/>
          <w:bCs/>
          <w:color w:val="000000" w:themeColor="text1"/>
          <w:kern w:val="0"/>
          <w:sz w:val="24"/>
          <w:szCs w:val="24"/>
          <w:highlight w:val="none"/>
          <w14:textFill>
            <w14:solidFill>
              <w14:schemeClr w14:val="tx1"/>
            </w14:solidFill>
          </w14:textFill>
        </w:rPr>
        <w:t>：202</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kern w:val="0"/>
          <w:sz w:val="24"/>
          <w:szCs w:val="24"/>
          <w:highlight w:val="none"/>
          <w14:textFill>
            <w14:solidFill>
              <w14:schemeClr w14:val="tx1"/>
            </w14:solidFill>
          </w14:textFill>
        </w:rPr>
        <w:t>年</w:t>
      </w:r>
      <w:r>
        <w:rPr>
          <w:rFonts w:hint="eastAsia" w:ascii="宋体" w:hAnsi="宋体" w:cs="宋体"/>
          <w:bCs/>
          <w:color w:val="000000" w:themeColor="text1"/>
          <w:kern w:val="0"/>
          <w:sz w:val="24"/>
          <w:szCs w:val="24"/>
          <w:highlight w:val="none"/>
          <w:lang w:val="en-US" w:eastAsia="zh-CN"/>
          <w14:textFill>
            <w14:solidFill>
              <w14:schemeClr w14:val="tx1"/>
            </w14:solidFill>
          </w14:textFill>
        </w:rPr>
        <w:t>06</w:t>
      </w:r>
      <w:r>
        <w:rPr>
          <w:rFonts w:hint="eastAsia" w:ascii="宋体" w:hAnsi="宋体" w:eastAsia="宋体" w:cs="宋体"/>
          <w:bCs/>
          <w:color w:val="000000" w:themeColor="text1"/>
          <w:kern w:val="0"/>
          <w:sz w:val="24"/>
          <w:szCs w:val="24"/>
          <w:highlight w:val="none"/>
          <w14:textFill>
            <w14:solidFill>
              <w14:schemeClr w14:val="tx1"/>
            </w14:solidFill>
          </w14:textFill>
        </w:rPr>
        <w:t>月</w:t>
      </w:r>
      <w:r>
        <w:rPr>
          <w:rFonts w:hint="eastAsia" w:ascii="宋体" w:hAnsi="宋体" w:cs="宋体"/>
          <w:bCs/>
          <w:color w:val="000000" w:themeColor="text1"/>
          <w:kern w:val="0"/>
          <w:sz w:val="24"/>
          <w:szCs w:val="24"/>
          <w:highlight w:val="none"/>
          <w:lang w:val="en-US" w:eastAsia="zh-CN"/>
          <w14:textFill>
            <w14:solidFill>
              <w14:schemeClr w14:val="tx1"/>
            </w14:solidFill>
          </w14:textFill>
        </w:rPr>
        <w:t>03</w:t>
      </w:r>
      <w:r>
        <w:rPr>
          <w:rFonts w:hint="eastAsia" w:ascii="宋体" w:hAnsi="宋体" w:eastAsia="宋体" w:cs="宋体"/>
          <w:bCs/>
          <w:color w:val="000000" w:themeColor="text1"/>
          <w:kern w:val="0"/>
          <w:sz w:val="24"/>
          <w:szCs w:val="24"/>
          <w:highlight w:val="none"/>
          <w14:textFill>
            <w14:solidFill>
              <w14:schemeClr w14:val="tx1"/>
            </w14:solidFill>
          </w14:textFill>
        </w:rPr>
        <w:t>日06:00至202</w:t>
      </w:r>
      <w:r>
        <w:rPr>
          <w:rFonts w:hint="eastAsia" w:ascii="宋体" w:hAnsi="宋体" w:eastAsia="宋体" w:cs="宋体"/>
          <w:bCs/>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kern w:val="0"/>
          <w:sz w:val="24"/>
          <w:szCs w:val="24"/>
          <w:highlight w:val="none"/>
          <w14:textFill>
            <w14:solidFill>
              <w14:schemeClr w14:val="tx1"/>
            </w14:solidFill>
          </w14:textFill>
        </w:rPr>
        <w:t>年</w:t>
      </w:r>
      <w:r>
        <w:rPr>
          <w:rFonts w:hint="eastAsia" w:ascii="宋体" w:hAnsi="宋体" w:cs="宋体"/>
          <w:bCs/>
          <w:color w:val="000000" w:themeColor="text1"/>
          <w:kern w:val="0"/>
          <w:sz w:val="24"/>
          <w:szCs w:val="24"/>
          <w:highlight w:val="none"/>
          <w:lang w:val="en-US" w:eastAsia="zh-CN"/>
          <w14:textFill>
            <w14:solidFill>
              <w14:schemeClr w14:val="tx1"/>
            </w14:solidFill>
          </w14:textFill>
        </w:rPr>
        <w:t>06</w:t>
      </w:r>
      <w:r>
        <w:rPr>
          <w:rFonts w:hint="eastAsia" w:ascii="宋体" w:hAnsi="宋体" w:eastAsia="宋体" w:cs="宋体"/>
          <w:bCs/>
          <w:color w:val="000000" w:themeColor="text1"/>
          <w:kern w:val="0"/>
          <w:sz w:val="24"/>
          <w:szCs w:val="24"/>
          <w:highlight w:val="none"/>
          <w14:textFill>
            <w14:solidFill>
              <w14:schemeClr w14:val="tx1"/>
            </w14:solidFill>
          </w14:textFill>
        </w:rPr>
        <w:t>月</w:t>
      </w:r>
      <w:r>
        <w:rPr>
          <w:rFonts w:hint="eastAsia" w:ascii="宋体" w:hAnsi="宋体" w:cs="宋体"/>
          <w:bCs/>
          <w:color w:val="000000" w:themeColor="text1"/>
          <w:kern w:val="0"/>
          <w:sz w:val="24"/>
          <w:szCs w:val="24"/>
          <w:highlight w:val="none"/>
          <w:lang w:val="en-US" w:eastAsia="zh-CN"/>
          <w14:textFill>
            <w14:solidFill>
              <w14:schemeClr w14:val="tx1"/>
            </w14:solidFill>
          </w14:textFill>
        </w:rPr>
        <w:t>10</w:t>
      </w:r>
      <w:r>
        <w:rPr>
          <w:rFonts w:hint="eastAsia" w:ascii="宋体" w:hAnsi="宋体" w:eastAsia="宋体" w:cs="宋体"/>
          <w:bCs/>
          <w:color w:val="000000" w:themeColor="text1"/>
          <w:kern w:val="0"/>
          <w:sz w:val="24"/>
          <w:szCs w:val="24"/>
          <w:highlight w:val="none"/>
          <w14:textFill>
            <w14:solidFill>
              <w14:schemeClr w14:val="tx1"/>
            </w14:solidFill>
          </w14:textFill>
        </w:rPr>
        <w:t>日23：59；</w:t>
      </w:r>
    </w:p>
    <w:p>
      <w:pPr>
        <w:spacing w:line="48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2.地点：政府采购云平台（https://www.zcygov.cn/），操作路径：登录“政采云”平台-项目采购-获取采购文件-找到本项目-点击“申请获取采购文件”及其他采购资料；</w:t>
      </w:r>
    </w:p>
    <w:p>
      <w:pPr>
        <w:wordWrap w:val="0"/>
        <w:spacing w:line="48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3.方式：网上获取</w:t>
      </w:r>
    </w:p>
    <w:p>
      <w:pPr>
        <w:wordWrap w:val="0"/>
        <w:spacing w:line="48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1）凡有意参加投标者，须在政采云平台办理数字证书（CA），并在政采云绑定数字证书（CA）后线上获取采购文件及其它采购资料。若供应商未办理数字证书（CA）的，可选择办理云南壹证通CA。CA申领链接：http://yzt.ynsmartcert.cn/cms/ca0035.html，</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"http://yzt.ynsmartcert.cn/cms/yztbnxj16.html"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云南壹证通CA可支持线上、线下两种办理方式，并提供7*24小时全天候客户服务支持，客服热线400-004-0628（紧急CA办理电话：19988166369）。政府采购云平台支持多家CA服务商，供应商可自行选择办理，如有问题可拨打政采云客户服务热线95763进行咨询。</w:t>
      </w:r>
      <w:r>
        <w:rPr>
          <w:rFonts w:hint="eastAsia" w:ascii="宋体" w:hAnsi="宋体" w:eastAsia="宋体" w:cs="宋体"/>
          <w:b/>
          <w:color w:val="auto"/>
          <w:sz w:val="24"/>
          <w:szCs w:val="24"/>
          <w:highlight w:val="none"/>
        </w:rPr>
        <w:t>（注：投标人如之前已办理过云南CA数字证书的，直接在政采云平台绑定即可，无需重复办理（2022年1月1日前办理的云南CA数字证书需到云南CA办理处进行升级），云南省外供应商在政采云平台办理的其他CA可直接使用，无需重复办理。）</w:t>
      </w:r>
    </w:p>
    <w:p>
      <w:pPr>
        <w:wordWrap w:val="0"/>
        <w:spacing w:line="48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数字证书（CA）申领完成之后进入政府采购云平台，企业账号与数字证书（CA）进行绑定，凭企业数字证书（CA）进行项目报名及免费下载招标文件（操作路径：登录政采云平台-我的工作台-项目采购-获取采购文件-找到本项目-点击“申请获取采购文件”），电子投标文件制作需要基于“政府采购云平台”（https://www.zcygov.cn/）获取的采购文件编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4.采购文件售价：0.00元。</w:t>
      </w:r>
    </w:p>
    <w:p>
      <w:pPr>
        <w:pStyle w:val="4"/>
        <w:spacing w:after="0" w:line="470" w:lineRule="exact"/>
        <w:jc w:val="left"/>
        <w:rPr>
          <w:rFonts w:hint="eastAsia" w:ascii="宋体" w:hAnsi="宋体" w:eastAsia="宋体" w:cs="宋体"/>
          <w:bCs w:val="0"/>
          <w:color w:val="auto"/>
          <w:sz w:val="24"/>
          <w:szCs w:val="24"/>
          <w:highlight w:val="none"/>
        </w:rPr>
      </w:pPr>
      <w:bookmarkStart w:id="20" w:name="_Toc28359015"/>
      <w:bookmarkStart w:id="21" w:name="_Toc35393632"/>
      <w:bookmarkStart w:id="22" w:name="_Toc35393801"/>
      <w:bookmarkStart w:id="23" w:name="_Toc28359092"/>
      <w:r>
        <w:rPr>
          <w:rFonts w:hint="eastAsia" w:ascii="宋体" w:hAnsi="宋体" w:eastAsia="宋体" w:cs="宋体"/>
          <w:bCs w:val="0"/>
          <w:color w:val="auto"/>
          <w:sz w:val="24"/>
          <w:szCs w:val="24"/>
          <w:highlight w:val="none"/>
        </w:rPr>
        <w:t>四、响应文件提交</w:t>
      </w:r>
      <w:bookmarkEnd w:id="20"/>
      <w:bookmarkEnd w:id="21"/>
      <w:bookmarkEnd w:id="22"/>
      <w:bookmarkEnd w:id="23"/>
    </w:p>
    <w:p>
      <w:pPr>
        <w:wordWrap w:val="0"/>
        <w:spacing w:line="46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1.截止时间</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202</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06</w:t>
      </w:r>
      <w:r>
        <w:rPr>
          <w:rFonts w:hint="eastAsia" w:ascii="宋体" w:hAnsi="宋体" w:eastAsia="宋体" w:cs="宋体"/>
          <w:color w:val="000000" w:themeColor="text1"/>
          <w:kern w:val="0"/>
          <w:sz w:val="24"/>
          <w:szCs w:val="24"/>
          <w:highlight w:val="none"/>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kern w:val="0"/>
          <w:sz w:val="24"/>
          <w:szCs w:val="24"/>
          <w:highlight w:val="none"/>
          <w14:textFill>
            <w14:solidFill>
              <w14:schemeClr w14:val="tx1"/>
            </w14:solidFill>
          </w14:textFill>
        </w:rPr>
        <w:t>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kern w:val="0"/>
          <w:sz w:val="24"/>
          <w:szCs w:val="24"/>
          <w:highlight w:val="none"/>
          <w14:textFill>
            <w14:solidFill>
              <w14:schemeClr w14:val="tx1"/>
            </w14:solidFill>
          </w14:textFill>
        </w:rPr>
        <w:t>：00</w:t>
      </w:r>
      <w:r>
        <w:rPr>
          <w:rFonts w:hint="eastAsia" w:ascii="宋体" w:hAnsi="宋体" w:eastAsia="宋体" w:cs="宋体"/>
          <w:bCs/>
          <w:color w:val="000000" w:themeColor="text1"/>
          <w:sz w:val="24"/>
          <w:szCs w:val="24"/>
          <w:highlight w:val="none"/>
          <w14:textFill>
            <w14:solidFill>
              <w14:schemeClr w14:val="tx1"/>
            </w14:solidFill>
          </w14:textFill>
        </w:rPr>
        <w:t>；</w:t>
      </w:r>
    </w:p>
    <w:p>
      <w:pPr>
        <w:wordWrap w:val="0"/>
        <w:spacing w:line="460" w:lineRule="exact"/>
        <w:ind w:firstLine="480" w:firstLineChars="200"/>
        <w:jc w:val="left"/>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2.地点：政府采购云平台（https://www.zcygov.cn/），供应商登录政采云投标客户端，应按照本项目采购文件和“政采云”平台的要求编制、加密后在投标文件提交截止时间前上传至“政采云”平台，投标文件提交截止时间前未完成投标文件上传的，视为撤回投标文件。供应商在“政采云”平台提交电子版投标文件时，请填写参加远程采购活动经办人联系方式，</w:t>
      </w:r>
      <w:r>
        <w:rPr>
          <w:rFonts w:hint="eastAsia" w:ascii="宋体" w:hAnsi="宋体" w:eastAsia="宋体" w:cs="宋体"/>
          <w:b/>
          <w:color w:val="auto"/>
          <w:sz w:val="24"/>
          <w:szCs w:val="24"/>
          <w:highlight w:val="none"/>
        </w:rPr>
        <w:t>请于开标当日供应商在“政采云”平台中等待磋商小组通知最后磋商报价。</w:t>
      </w:r>
    </w:p>
    <w:p>
      <w:pPr>
        <w:wordWrap w:val="0"/>
        <w:spacing w:line="46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3.如遇平台相关问题，请及时联系政府采购云平台客服进行咨询，咨询电话：95763。</w:t>
      </w:r>
      <w:r>
        <w:rPr>
          <w:rFonts w:hint="eastAsia" w:ascii="宋体" w:hAnsi="宋体" w:eastAsia="宋体" w:cs="宋体"/>
          <w:color w:val="auto"/>
          <w:sz w:val="24"/>
          <w:szCs w:val="24"/>
          <w:highlight w:val="none"/>
        </w:rPr>
        <w:t>供应商在</w:t>
      </w:r>
      <w:r>
        <w:rPr>
          <w:rFonts w:hint="eastAsia" w:ascii="宋体" w:hAnsi="宋体" w:eastAsia="宋体" w:cs="宋体"/>
          <w:bCs/>
          <w:color w:val="auto"/>
          <w:sz w:val="24"/>
          <w:szCs w:val="24"/>
          <w:highlight w:val="none"/>
        </w:rPr>
        <w:t>在“政采云”平台</w:t>
      </w:r>
      <w:r>
        <w:rPr>
          <w:rFonts w:hint="eastAsia" w:ascii="宋体" w:hAnsi="宋体" w:eastAsia="宋体" w:cs="宋体"/>
          <w:color w:val="auto"/>
          <w:sz w:val="24"/>
          <w:szCs w:val="24"/>
          <w:highlight w:val="none"/>
        </w:rPr>
        <w:t>中等待</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通知最后磋商报价</w:t>
      </w:r>
    </w:p>
    <w:p>
      <w:pPr>
        <w:wordWrap w:val="0"/>
        <w:spacing w:line="46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4.操作指南：https://edu.zcygov.cn/luban/yunnan-dzjy-gys?utm=luban.luban-PC-</w:t>
      </w:r>
      <w:r>
        <w:rPr>
          <w:rFonts w:hint="eastAsia" w:ascii="宋体" w:hAnsi="宋体" w:eastAsia="宋体" w:cs="宋体"/>
          <w:bCs/>
          <w:color w:val="auto"/>
          <w:sz w:val="24"/>
          <w:szCs w:val="24"/>
          <w:highlight w:val="none"/>
        </w:rPr>
        <mc:AlternateContent>
          <mc:Choice Requires="wps">
            <w:drawing>
              <wp:anchor distT="0" distB="0" distL="114300" distR="114300" simplePos="0" relativeHeight="251661312" behindDoc="0" locked="0" layoutInCell="1" hidden="1" allowOverlap="1">
                <wp:simplePos x="0" y="0"/>
                <wp:positionH relativeFrom="column">
                  <wp:posOffset>-847090</wp:posOffset>
                </wp:positionH>
                <wp:positionV relativeFrom="paragraph">
                  <wp:posOffset>-593090</wp:posOffset>
                </wp:positionV>
                <wp:extent cx="63500" cy="63500"/>
                <wp:effectExtent l="0" t="0" r="0" b="0"/>
                <wp:wrapNone/>
                <wp:docPr id="3" name="矩形 3" descr="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N1ciodNKBktAKTnXgEPz5ySJGJ0PtSiaRah56Ab40wqcWBbmCJigE8awHrpD6+E5coEV5bUzGar1mDEjLjgMQonkkTkhzltKlKv3Izn9TtismzCHqeweqY2Q7582q/fjdqa2oqC0nTo1WjdjCVlChl9fjSQV9QuEdgU11DIKPeO3zR+GaeXzdzXDw3afgWScy/TyEgIUvVN8TcoO/JGcNYphbYMuaLmi7Lu0+7cowVao6O46rB+bmVVt0sns8q8wR03SQa2VfvT0KfTQvbCFoj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7/qQNm+lnJhDaEYuY0PLMNttAWgiRqRivxfnvg7ijdIizatFi24SMDfRIlBqG7H8QCUrJHikOUn+sgvFvI7LYTluPFKLnMqrbeKcH4/pLS7tJitQ0vVLizeTnWS9myRvZtRDYLlmFfFeTRGfD42JnQr+4orT3BUAGusxXCnWgBezZ5xMA/WrgAezLsL7EhchehXk1pD9kZvSTYzNmKQmXA==" style="position:absolute;left:0pt;margin-left:-66.7pt;margin-top:-46.7pt;height:5pt;width:5pt;visibility:hidden;z-index:251661312;mso-width-relative:page;mso-height-relative:page;" fillcolor="#FFFFFF" filled="t" stroked="t" coordsize="21600,21600" o:gfxdata="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">
                <v:fill on="t" focussize="0,0"/>
                <v:stroke color="#000000" joinstyle="miter"/>
                <v:imagedata o:title=""/>
                <o:lock v:ext="edit" aspectratio="f"/>
              </v:rect>
            </w:pict>
          </mc:Fallback>
        </mc:AlternateContent>
      </w:r>
      <w:r>
        <w:rPr>
          <w:rFonts w:hint="eastAsia" w:ascii="宋体" w:hAnsi="宋体" w:eastAsia="宋体" w:cs="宋体"/>
          <w:bCs/>
          <w:color w:val="auto"/>
          <w:sz w:val="24"/>
          <w:szCs w:val="24"/>
          <w:highlight w:val="none"/>
        </w:rPr>
        <w:t>1514.161-market-menubar-pc.20.d37010404f7811edb5ec8fd9c5fe1d40。</w:t>
      </w:r>
    </w:p>
    <w:p>
      <w:pPr>
        <w:pStyle w:val="4"/>
        <w:spacing w:after="0" w:line="460" w:lineRule="exact"/>
        <w:jc w:val="left"/>
        <w:rPr>
          <w:rFonts w:hint="eastAsia" w:ascii="宋体" w:hAnsi="宋体" w:eastAsia="宋体" w:cs="宋体"/>
          <w:bCs w:val="0"/>
          <w:color w:val="auto"/>
          <w:sz w:val="24"/>
          <w:szCs w:val="24"/>
          <w:highlight w:val="none"/>
        </w:rPr>
      </w:pPr>
      <w:bookmarkStart w:id="24" w:name="_Toc28359093"/>
      <w:bookmarkStart w:id="25" w:name="_Toc28359016"/>
      <w:bookmarkStart w:id="26" w:name="_Toc35393633"/>
      <w:bookmarkStart w:id="27" w:name="_Toc35393802"/>
      <w:r>
        <w:rPr>
          <w:rFonts w:hint="eastAsia" w:ascii="宋体" w:hAnsi="宋体" w:eastAsia="宋体" w:cs="宋体"/>
          <w:bCs w:val="0"/>
          <w:color w:val="auto"/>
          <w:sz w:val="24"/>
          <w:szCs w:val="24"/>
          <w:highlight w:val="none"/>
        </w:rPr>
        <w:t>五、开启</w:t>
      </w:r>
      <w:bookmarkEnd w:id="24"/>
      <w:bookmarkEnd w:id="25"/>
      <w:bookmarkEnd w:id="26"/>
      <w:bookmarkEnd w:id="27"/>
    </w:p>
    <w:p>
      <w:pPr>
        <w:spacing w:line="48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1.时间</w:t>
      </w:r>
      <w:r>
        <w:rPr>
          <w:rFonts w:hint="eastAsia" w:ascii="宋体" w:hAnsi="宋体" w:eastAsia="宋体" w:cs="宋体"/>
          <w:bCs/>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14:textFill>
            <w14:solidFill>
              <w14:schemeClr w14:val="tx1"/>
            </w14:solidFill>
          </w14:textFill>
        </w:rPr>
        <w:t>202</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0"/>
          <w:sz w:val="24"/>
          <w:szCs w:val="24"/>
          <w:highlight w:val="none"/>
          <w14:textFill>
            <w14:solidFill>
              <w14:schemeClr w14:val="tx1"/>
            </w14:solidFill>
          </w14:textFill>
        </w:rPr>
        <w:t>年</w:t>
      </w:r>
      <w:r>
        <w:rPr>
          <w:rFonts w:hint="eastAsia" w:ascii="宋体" w:hAnsi="宋体" w:cs="宋体"/>
          <w:color w:val="000000" w:themeColor="text1"/>
          <w:kern w:val="0"/>
          <w:sz w:val="24"/>
          <w:szCs w:val="24"/>
          <w:highlight w:val="none"/>
          <w:lang w:val="en-US" w:eastAsia="zh-CN"/>
          <w14:textFill>
            <w14:solidFill>
              <w14:schemeClr w14:val="tx1"/>
            </w14:solidFill>
          </w14:textFill>
        </w:rPr>
        <w:t>06</w:t>
      </w:r>
      <w:r>
        <w:rPr>
          <w:rFonts w:hint="eastAsia" w:ascii="宋体" w:hAnsi="宋体" w:eastAsia="宋体" w:cs="宋体"/>
          <w:color w:val="000000" w:themeColor="text1"/>
          <w:kern w:val="0"/>
          <w:sz w:val="24"/>
          <w:szCs w:val="24"/>
          <w:highlight w:val="none"/>
          <w14:textFill>
            <w14:solidFill>
              <w14:schemeClr w14:val="tx1"/>
            </w14:solidFill>
          </w14:textFill>
        </w:rPr>
        <w:t>月</w:t>
      </w:r>
      <w:r>
        <w:rPr>
          <w:rFonts w:hint="eastAsia" w:ascii="宋体" w:hAnsi="宋体" w:cs="宋体"/>
          <w:color w:val="000000" w:themeColor="text1"/>
          <w:kern w:val="0"/>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kern w:val="0"/>
          <w:sz w:val="24"/>
          <w:szCs w:val="24"/>
          <w:highlight w:val="none"/>
          <w14:textFill>
            <w14:solidFill>
              <w14:schemeClr w14:val="tx1"/>
            </w14:solidFill>
          </w14:textFill>
        </w:rPr>
        <w:t>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kern w:val="0"/>
          <w:sz w:val="24"/>
          <w:szCs w:val="24"/>
          <w:highlight w:val="none"/>
          <w14:textFill>
            <w14:solidFill>
              <w14:schemeClr w14:val="tx1"/>
            </w14:solidFill>
          </w14:textFill>
        </w:rPr>
        <w:t>：00</w:t>
      </w:r>
      <w:r>
        <w:rPr>
          <w:rFonts w:hint="eastAsia" w:ascii="宋体" w:hAnsi="宋体" w:eastAsia="宋体" w:cs="宋体"/>
          <w:bCs/>
          <w:color w:val="000000" w:themeColor="text1"/>
          <w:kern w:val="0"/>
          <w:sz w:val="24"/>
          <w:szCs w:val="24"/>
          <w:highlight w:val="none"/>
          <w14:textFill>
            <w14:solidFill>
              <w14:schemeClr w14:val="tx1"/>
            </w14:solidFill>
          </w14:textFill>
        </w:rPr>
        <w:t>；</w:t>
      </w:r>
    </w:p>
    <w:p>
      <w:pPr>
        <w:widowControl/>
        <w:spacing w:line="48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2.地点：“政采云”平台开标大厅，会议地点为</w:t>
      </w:r>
      <w:r>
        <w:rPr>
          <w:rFonts w:hint="eastAsia" w:ascii="宋体" w:hAnsi="宋体" w:cs="宋体"/>
          <w:color w:val="auto"/>
          <w:sz w:val="24"/>
        </w:rPr>
        <w:t>瑞丽市宏顺招标服务有限公司三楼开标室。</w:t>
      </w:r>
    </w:p>
    <w:p>
      <w:pPr>
        <w:spacing w:line="48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3.开启方式：网上开标，供应商</w:t>
      </w:r>
      <w:r>
        <w:rPr>
          <w:rFonts w:hint="eastAsia" w:ascii="宋体" w:hAnsi="宋体" w:eastAsia="宋体" w:cs="宋体"/>
          <w:color w:val="auto"/>
          <w:sz w:val="24"/>
          <w:szCs w:val="24"/>
          <w:highlight w:val="none"/>
        </w:rPr>
        <w:t>必须在规定的时间内完成解密，</w:t>
      </w:r>
      <w:r>
        <w:rPr>
          <w:rFonts w:hint="eastAsia" w:ascii="宋体" w:hAnsi="宋体" w:eastAsia="宋体" w:cs="宋体"/>
          <w:bCs/>
          <w:color w:val="auto"/>
          <w:kern w:val="0"/>
          <w:sz w:val="24"/>
          <w:szCs w:val="24"/>
          <w:highlight w:val="none"/>
        </w:rPr>
        <w:t>如因供应商自身原因导致在规定时间内无法正常解密的（如：浏览器故障、未安装相关驱动、网络故障、加密CA与解密CA不一致等），代理机构不予异常处理，视为供应商自动弃标。</w:t>
      </w:r>
    </w:p>
    <w:p>
      <w:pPr>
        <w:pStyle w:val="4"/>
        <w:spacing w:after="0" w:line="470" w:lineRule="exact"/>
        <w:jc w:val="left"/>
        <w:rPr>
          <w:rFonts w:hint="eastAsia" w:ascii="宋体" w:hAnsi="宋体" w:eastAsia="宋体" w:cs="宋体"/>
          <w:bCs w:val="0"/>
          <w:color w:val="auto"/>
          <w:sz w:val="24"/>
          <w:szCs w:val="24"/>
          <w:highlight w:val="none"/>
        </w:rPr>
      </w:pPr>
      <w:bookmarkStart w:id="28" w:name="_Toc28359094"/>
      <w:bookmarkStart w:id="29" w:name="_Toc28359017"/>
      <w:bookmarkStart w:id="30" w:name="_Toc35393634"/>
      <w:bookmarkStart w:id="31" w:name="_Toc35393803"/>
      <w:r>
        <w:rPr>
          <w:rFonts w:hint="eastAsia" w:ascii="宋体" w:hAnsi="宋体" w:eastAsia="宋体" w:cs="宋体"/>
          <w:bCs w:val="0"/>
          <w:color w:val="auto"/>
          <w:sz w:val="24"/>
          <w:szCs w:val="24"/>
          <w:highlight w:val="none"/>
        </w:rPr>
        <w:t>六、公告期限</w:t>
      </w:r>
      <w:bookmarkEnd w:id="28"/>
      <w:bookmarkEnd w:id="29"/>
      <w:bookmarkEnd w:id="30"/>
      <w:bookmarkEnd w:id="31"/>
    </w:p>
    <w:p>
      <w:pPr>
        <w:spacing w:line="48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自本公告发布之日起3个工作日</w:t>
      </w:r>
      <w:r>
        <w:rPr>
          <w:rFonts w:hint="eastAsia" w:ascii="宋体" w:hAnsi="宋体" w:eastAsia="宋体" w:cs="宋体"/>
          <w:color w:val="auto"/>
          <w:kern w:val="0"/>
          <w:sz w:val="24"/>
          <w:szCs w:val="24"/>
          <w:highlight w:val="none"/>
        </w:rPr>
        <w:t>。</w:t>
      </w:r>
      <w:bookmarkStart w:id="32" w:name="_Toc35393635"/>
      <w:bookmarkStart w:id="33" w:name="_Toc35393804"/>
    </w:p>
    <w:p>
      <w:pPr>
        <w:spacing w:line="480" w:lineRule="exact"/>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七、其他补充事宜</w:t>
      </w:r>
      <w:bookmarkEnd w:id="32"/>
      <w:bookmarkEnd w:id="33"/>
    </w:p>
    <w:p>
      <w:pPr>
        <w:pageBreakBefore w:val="0"/>
        <w:widowControl w:val="0"/>
        <w:kinsoku/>
        <w:wordWrap/>
        <w:overflowPunct/>
        <w:topLinePunct w:val="0"/>
        <w:bidi w:val="0"/>
        <w:spacing w:line="360" w:lineRule="auto"/>
        <w:ind w:firstLine="240" w:firstLineChars="100"/>
        <w:outlineLvl w:val="9"/>
        <w:rPr>
          <w:rFonts w:hint="eastAsia" w:asciiTheme="minorEastAsia" w:hAnsiTheme="minorEastAsia" w:eastAsiaTheme="minorEastAsia" w:cstheme="minorEastAsia"/>
          <w:color w:val="auto"/>
          <w:sz w:val="24"/>
          <w:szCs w:val="24"/>
          <w:highlight w:val="none"/>
          <w:u w:val="single"/>
          <w:lang w:eastAsia="zh-CN"/>
        </w:rPr>
      </w:pPr>
      <w:bookmarkStart w:id="34" w:name="_Toc4129_WPSOffice_Level1"/>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.是否需要缴纳</w:t>
      </w:r>
      <w:r>
        <w:rPr>
          <w:rFonts w:hint="eastAsia" w:asciiTheme="minorEastAsia" w:hAnsiTheme="minorEastAsia" w:eastAsiaTheme="minorEastAsia" w:cstheme="minorEastAsia"/>
          <w:b w:val="0"/>
          <w:bCs w:val="0"/>
          <w:color w:val="auto"/>
          <w:sz w:val="24"/>
          <w:szCs w:val="24"/>
          <w:highlight w:val="none"/>
          <w:lang w:eastAsia="zh-CN"/>
        </w:rPr>
        <w:t>投标</w:t>
      </w:r>
      <w:r>
        <w:rPr>
          <w:rFonts w:hint="eastAsia" w:asciiTheme="minorEastAsia" w:hAnsiTheme="minorEastAsia" w:eastAsiaTheme="minorEastAsia" w:cstheme="minorEastAsia"/>
          <w:b w:val="0"/>
          <w:bCs w:val="0"/>
          <w:color w:val="auto"/>
          <w:sz w:val="24"/>
          <w:szCs w:val="24"/>
          <w:highlight w:val="none"/>
        </w:rPr>
        <w:t>保证金：</w:t>
      </w:r>
      <w:r>
        <w:rPr>
          <w:rFonts w:hint="eastAsia" w:asciiTheme="minorEastAsia" w:hAnsiTheme="minorEastAsia" w:eastAsiaTheme="minorEastAsia" w:cstheme="minorEastAsia"/>
          <w:color w:val="auto"/>
          <w:sz w:val="24"/>
          <w:szCs w:val="24"/>
          <w:highlight w:val="none"/>
          <w:u w:val="single"/>
        </w:rPr>
        <w:t>是</w:t>
      </w:r>
    </w:p>
    <w:p>
      <w:pPr>
        <w:pageBreakBefore w:val="0"/>
        <w:widowControl w:val="0"/>
        <w:kinsoku/>
        <w:wordWrap/>
        <w:overflowPunct/>
        <w:topLinePunct w:val="0"/>
        <w:bidi w:val="0"/>
        <w:spacing w:line="360" w:lineRule="auto"/>
        <w:ind w:firstLine="240" w:firstLineChars="100"/>
        <w:outlineLvl w:val="9"/>
        <w:rPr>
          <w:rFonts w:hint="eastAsia" w:asciiTheme="minorEastAsia" w:hAnsiTheme="minorEastAsia" w:eastAsiaTheme="minorEastAsia" w:cstheme="minorEastAsia"/>
          <w:color w:val="auto"/>
          <w:sz w:val="24"/>
          <w:szCs w:val="24"/>
          <w:u w:val="single"/>
          <w:lang w:val="en-US"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1</w:t>
      </w: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b/>
          <w:bCs/>
          <w:color w:val="auto"/>
          <w:sz w:val="24"/>
          <w:szCs w:val="24"/>
        </w:rPr>
        <w:t>投标保证金缴纳金</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额：</w:t>
      </w:r>
      <w:r>
        <w:rPr>
          <w:rFonts w:hint="eastAsia" w:asciiTheme="minorEastAsia" w:hAnsiTheme="minorEastAsia" w:eastAsiaTheme="minorEastAsia" w:cstheme="minorEastAsia"/>
          <w:b/>
          <w:bCs/>
          <w:color w:val="000000" w:themeColor="text1"/>
          <w:sz w:val="24"/>
          <w:szCs w:val="24"/>
          <w:u w:val="single"/>
          <w:lang w:val="en-US" w:eastAsia="zh-CN"/>
          <w14:textFill>
            <w14:solidFill>
              <w14:schemeClr w14:val="tx1"/>
            </w14:solidFill>
          </w14:textFill>
        </w:rPr>
        <w:t>¥10000.00元。</w:t>
      </w:r>
    </w:p>
    <w:p>
      <w:pPr>
        <w:pageBreakBefore w:val="0"/>
        <w:widowControl w:val="0"/>
        <w:kinsoku/>
        <w:wordWrap/>
        <w:overflowPunct/>
        <w:topLinePunct w:val="0"/>
        <w:bidi w:val="0"/>
        <w:spacing w:line="360" w:lineRule="auto"/>
        <w:ind w:firstLine="720" w:firstLineChars="300"/>
        <w:outlineLvl w:val="9"/>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根据《云南省发展和改革委员会等部门关于鼓励减免政府投资项目投标保证金的通知》（云发改交易管理〔2023〕397号），政府投资项目进行招标投标活动时，减免投标保证金，降幅不得低于现收取数额的50%的要求，本项目投标保证金降幅严格按照要求执行。</w:t>
      </w:r>
    </w:p>
    <w:p>
      <w:pPr>
        <w:pageBreakBefore w:val="0"/>
        <w:widowControl w:val="0"/>
        <w:numPr>
          <w:ilvl w:val="0"/>
          <w:numId w:val="0"/>
        </w:numPr>
        <w:kinsoku/>
        <w:wordWrap/>
        <w:overflowPunct/>
        <w:topLinePunct w:val="0"/>
        <w:bidi w:val="0"/>
        <w:spacing w:line="360" w:lineRule="auto"/>
        <w:ind w:firstLine="240" w:firstLineChars="100"/>
        <w:outlineLvl w:val="9"/>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lang w:eastAsia="zh-CN"/>
        </w:rPr>
        <w:t>）截止时间：递交投标文件截止时间；</w:t>
      </w:r>
    </w:p>
    <w:p>
      <w:pPr>
        <w:pageBreakBefore w:val="0"/>
        <w:widowControl w:val="0"/>
        <w:numPr>
          <w:ilvl w:val="0"/>
          <w:numId w:val="0"/>
        </w:numPr>
        <w:kinsoku/>
        <w:wordWrap/>
        <w:overflowPunct/>
        <w:topLinePunct w:val="0"/>
        <w:bidi w:val="0"/>
        <w:spacing w:line="360" w:lineRule="auto"/>
        <w:ind w:firstLine="240" w:firstLineChars="100"/>
        <w:outlineLvl w:val="9"/>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3</w:t>
      </w:r>
      <w:r>
        <w:rPr>
          <w:rFonts w:hint="eastAsia" w:asciiTheme="minorEastAsia" w:hAnsiTheme="minorEastAsia" w:eastAsiaTheme="minorEastAsia" w:cstheme="minorEastAsia"/>
          <w:color w:val="auto"/>
          <w:sz w:val="24"/>
          <w:highlight w:val="none"/>
          <w:lang w:eastAsia="zh-CN"/>
        </w:rPr>
        <w:t>）交纳形式：可以采用“银行转账”、“银行保函”、“投标保证保险”任一方式，其中采用“银行转账”方式的，投标人以支票、汇票、本票、网上银行支付等非现金形式汇入指定账户：</w:t>
      </w:r>
    </w:p>
    <w:p>
      <w:pPr>
        <w:spacing w:line="460" w:lineRule="exact"/>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开户银行：中国工商银行股份有限公司瑞丽支行 </w:t>
      </w:r>
    </w:p>
    <w:p>
      <w:pPr>
        <w:spacing w:line="360" w:lineRule="auto"/>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户名：瑞丽市宏顺招标服务有限公司</w:t>
      </w:r>
    </w:p>
    <w:p>
      <w:pPr>
        <w:spacing w:line="360" w:lineRule="auto"/>
        <w:ind w:firstLine="482" w:firstLineChars="200"/>
        <w:rPr>
          <w:rFonts w:hint="eastAsia" w:asciiTheme="minorEastAsia" w:hAnsiTheme="minorEastAsia" w:eastAsiaTheme="minorEastAsia" w:cstheme="minorEastAsia"/>
          <w:b/>
          <w:bCs/>
          <w:color w:val="auto"/>
          <w:sz w:val="24"/>
          <w:lang w:val="en-US" w:eastAsia="zh-CN"/>
        </w:rPr>
      </w:pPr>
      <w:r>
        <w:rPr>
          <w:rFonts w:hint="eastAsia" w:asciiTheme="minorEastAsia" w:hAnsiTheme="minorEastAsia" w:eastAsiaTheme="minorEastAsia" w:cstheme="minorEastAsia"/>
          <w:b/>
          <w:bCs/>
          <w:color w:val="auto"/>
          <w:sz w:val="24"/>
          <w:lang w:val="en-US" w:eastAsia="zh-CN"/>
        </w:rPr>
        <w:t xml:space="preserve">账号： 2511027709200005210    </w:t>
      </w:r>
    </w:p>
    <w:p>
      <w:pPr>
        <w:spacing w:line="360" w:lineRule="auto"/>
        <w:ind w:firstLine="482" w:firstLineChars="200"/>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lang w:val="en-US" w:eastAsia="zh-CN"/>
        </w:rPr>
        <w:t>财务室联系电话：0692-4124466</w:t>
      </w:r>
    </w:p>
    <w:p>
      <w:pPr>
        <w:pStyle w:val="15"/>
        <w:pageBreakBefore w:val="0"/>
        <w:kinsoku/>
        <w:wordWrap/>
        <w:overflowPunct/>
        <w:topLinePunct w:val="0"/>
        <w:autoSpaceDE w:val="0"/>
        <w:autoSpaceDN/>
        <w:bidi w:val="0"/>
        <w:adjustRightInd w:val="0"/>
        <w:snapToGrid/>
        <w:spacing w:after="0" w:line="360" w:lineRule="auto"/>
        <w:ind w:left="0" w:leftChars="0" w:firstLine="241" w:firstLineChars="100"/>
        <w:textAlignment w:val="auto"/>
        <w:outlineLvl w:val="9"/>
        <w:rPr>
          <w:rFonts w:hint="eastAsia" w:asciiTheme="minorEastAsia" w:hAnsiTheme="minorEastAsia" w:eastAsiaTheme="minorEastAsia" w:cstheme="minorEastAsia"/>
          <w:b/>
          <w:bCs/>
          <w:color w:val="auto"/>
          <w:sz w:val="24"/>
          <w:highlight w:val="none"/>
        </w:rPr>
      </w:pPr>
      <w:r>
        <w:rPr>
          <w:rFonts w:hint="eastAsia" w:asciiTheme="minorEastAsia" w:hAnsiTheme="minorEastAsia" w:eastAsiaTheme="minorEastAsia" w:cstheme="minorEastAsia"/>
          <w:b/>
          <w:bCs/>
          <w:color w:val="auto"/>
          <w:sz w:val="24"/>
          <w:highlight w:val="none"/>
          <w:lang w:val="en-US" w:eastAsia="zh-CN"/>
        </w:rPr>
        <w:t>2.</w:t>
      </w:r>
      <w:r>
        <w:rPr>
          <w:rFonts w:hint="eastAsia" w:asciiTheme="minorEastAsia" w:hAnsiTheme="minorEastAsia" w:eastAsiaTheme="minorEastAsia" w:cstheme="minorEastAsia"/>
          <w:b/>
          <w:bCs/>
          <w:color w:val="auto"/>
          <w:sz w:val="24"/>
          <w:highlight w:val="none"/>
        </w:rPr>
        <w:t>采购信息发布及结果公告网站</w:t>
      </w:r>
    </w:p>
    <w:p>
      <w:pPr>
        <w:widowControl/>
        <w:spacing w:line="360" w:lineRule="auto"/>
        <w:ind w:firstLine="480" w:firstLineChars="200"/>
        <w:jc w:val="left"/>
        <w:rPr>
          <w:rFonts w:hint="eastAsia" w:asciiTheme="minorEastAsia" w:hAnsiTheme="minorEastAsia" w:eastAsiaTheme="minorEastAsia" w:cstheme="minorEastAsia"/>
          <w:color w:val="auto"/>
          <w:sz w:val="24"/>
        </w:rPr>
      </w:pPr>
      <w:bookmarkStart w:id="35" w:name="_Toc10992"/>
      <w:bookmarkStart w:id="36" w:name="_Toc5218"/>
      <w:bookmarkStart w:id="37" w:name="_Toc4031"/>
      <w:bookmarkStart w:id="38" w:name="_Toc25185"/>
      <w:r>
        <w:rPr>
          <w:rFonts w:hint="eastAsia" w:asciiTheme="minorEastAsia" w:hAnsiTheme="minorEastAsia" w:eastAsiaTheme="minorEastAsia" w:cstheme="minorEastAsia"/>
          <w:color w:val="auto"/>
          <w:sz w:val="24"/>
        </w:rPr>
        <w:t>本公告在《云南省政府采购网》（http://www.yngp.com/）上发布，我公司对其他网站或媒体转载的公告及公告内容不承担任何责任。</w:t>
      </w:r>
    </w:p>
    <w:p>
      <w:pPr>
        <w:pStyle w:val="15"/>
        <w:keepNext w:val="0"/>
        <w:keepLines w:val="0"/>
        <w:pageBreakBefore w:val="0"/>
        <w:kinsoku/>
        <w:wordWrap/>
        <w:overflowPunct/>
        <w:autoSpaceDE/>
        <w:autoSpaceDN/>
        <w:bidi w:val="0"/>
        <w:snapToGrid/>
        <w:spacing w:beforeAutospacing="0" w:after="0" w:afterAutospacing="0" w:line="360" w:lineRule="auto"/>
        <w:ind w:left="0" w:leftChars="0" w:firstLine="241" w:firstLineChars="100"/>
        <w:textAlignment w:val="auto"/>
        <w:outlineLvl w:val="2"/>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w:t>
      </w:r>
      <w:bookmarkStart w:id="422" w:name="_GoBack"/>
      <w:r>
        <w:rPr>
          <w:rFonts w:hint="eastAsia" w:asciiTheme="minorEastAsia" w:hAnsiTheme="minorEastAsia" w:eastAsiaTheme="minorEastAsia" w:cstheme="minorEastAsia"/>
          <w:b/>
          <w:bCs/>
          <w:color w:val="auto"/>
          <w:sz w:val="24"/>
          <w:szCs w:val="24"/>
          <w:highlight w:val="none"/>
          <w:lang w:val="en-US" w:eastAsia="zh-CN"/>
        </w:rPr>
        <w:t>行业监督部门及联系电话</w:t>
      </w:r>
      <w:bookmarkEnd w:id="35"/>
      <w:bookmarkEnd w:id="36"/>
      <w:bookmarkEnd w:id="37"/>
      <w:bookmarkEnd w:id="38"/>
    </w:p>
    <w:p>
      <w:pPr>
        <w:pStyle w:val="15"/>
        <w:keepNext w:val="0"/>
        <w:keepLines w:val="0"/>
        <w:pageBreakBefore w:val="0"/>
        <w:kinsoku/>
        <w:wordWrap/>
        <w:overflowPunct/>
        <w:autoSpaceDE/>
        <w:autoSpaceDN/>
        <w:bidi w:val="0"/>
        <w:snapToGrid/>
        <w:spacing w:beforeAutospacing="0" w:after="0" w:afterAutospacing="0" w:line="360" w:lineRule="auto"/>
        <w:ind w:left="0" w:leftChars="0" w:firstLine="480" w:firstLineChars="200"/>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 xml:space="preserve">行政监督部门及联系电话：瑞丽市财政局0692-4129739 </w:t>
      </w:r>
    </w:p>
    <w:p>
      <w:pPr>
        <w:pStyle w:val="29"/>
        <w:keepNext w:val="0"/>
        <w:keepLines w:val="0"/>
        <w:widowControl/>
        <w:numPr>
          <w:ilvl w:val="0"/>
          <w:numId w:val="0"/>
        </w:numPr>
        <w:suppressLineNumbers w:val="0"/>
        <w:spacing w:before="0" w:beforeAutospacing="0" w:after="0" w:afterAutospacing="0" w:line="360" w:lineRule="auto"/>
        <w:ind w:right="540" w:rightChars="0" w:firstLine="480" w:firstLineChars="200"/>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纪检监督联系电话： 0692-12388</w:t>
      </w:r>
    </w:p>
    <w:bookmarkEnd w:id="422"/>
    <w:p>
      <w:pPr>
        <w:pageBreakBefore w:val="0"/>
        <w:kinsoku/>
        <w:overflowPunct/>
        <w:topLinePunct w:val="0"/>
        <w:autoSpaceDE w:val="0"/>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八</w:t>
      </w:r>
      <w:r>
        <w:rPr>
          <w:rFonts w:hint="eastAsia" w:asciiTheme="minorEastAsia" w:hAnsiTheme="minorEastAsia" w:eastAsiaTheme="minorEastAsia" w:cstheme="minorEastAsia"/>
          <w:b/>
          <w:bCs/>
          <w:color w:val="auto"/>
          <w:sz w:val="24"/>
          <w:szCs w:val="24"/>
          <w:highlight w:val="none"/>
        </w:rPr>
        <w:t>、对本次采购提出询问，请按以下方式联系</w:t>
      </w:r>
    </w:p>
    <w:p>
      <w:pPr>
        <w:pageBreakBefore w:val="0"/>
        <w:kinsoku/>
        <w:overflowPunct/>
        <w:topLinePunct w:val="0"/>
        <w:autoSpaceDN/>
        <w:bidi w:val="0"/>
        <w:adjustRightInd/>
        <w:snapToGrid/>
        <w:spacing w:line="360" w:lineRule="auto"/>
        <w:ind w:firstLine="240" w:firstLineChars="100"/>
        <w:textAlignment w:val="auto"/>
        <w:rPr>
          <w:rFonts w:hint="eastAsia" w:asciiTheme="minorEastAsia" w:hAnsiTheme="minorEastAsia" w:eastAsiaTheme="minorEastAsia" w:cstheme="minorEastAsia"/>
          <w:color w:val="auto"/>
          <w:sz w:val="24"/>
          <w:szCs w:val="24"/>
          <w:highlight w:val="none"/>
          <w:lang w:eastAsia="zh-CN"/>
        </w:rPr>
      </w:pPr>
      <w:bookmarkStart w:id="39" w:name="_Toc35393808"/>
      <w:bookmarkEnd w:id="39"/>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招标人信息</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名称：</w:t>
      </w:r>
      <w:r>
        <w:rPr>
          <w:rFonts w:hint="eastAsia" w:asciiTheme="minorEastAsia" w:hAnsiTheme="minorEastAsia" w:eastAsiaTheme="minorEastAsia" w:cstheme="minorEastAsia"/>
          <w:color w:val="auto"/>
          <w:sz w:val="24"/>
          <w:szCs w:val="24"/>
          <w:highlight w:val="none"/>
          <w:lang w:val="en-US" w:eastAsia="zh-CN"/>
        </w:rPr>
        <w:t>瑞丽市教育体育局</w:t>
      </w:r>
      <w:r>
        <w:rPr>
          <w:rFonts w:hint="eastAsia" w:asciiTheme="minorEastAsia" w:hAnsiTheme="minorEastAsia" w:eastAsiaTheme="minorEastAsia" w:cstheme="minorEastAsia"/>
          <w:color w:val="auto"/>
          <w:sz w:val="24"/>
          <w:szCs w:val="24"/>
          <w:highlight w:val="none"/>
          <w:lang w:eastAsia="zh-CN"/>
        </w:rPr>
        <w:t xml:space="preserve">  </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地址：</w:t>
      </w:r>
      <w:r>
        <w:rPr>
          <w:rFonts w:hint="eastAsia" w:asciiTheme="minorEastAsia" w:hAnsiTheme="minorEastAsia" w:eastAsiaTheme="minorEastAsia" w:cstheme="minorEastAsia"/>
          <w:color w:val="auto"/>
          <w:sz w:val="24"/>
          <w:szCs w:val="24"/>
          <w:highlight w:val="none"/>
          <w:lang w:val="en-US" w:eastAsia="zh-CN"/>
        </w:rPr>
        <w:t>瑞丽市新建路2号</w:t>
      </w:r>
      <w:r>
        <w:rPr>
          <w:rFonts w:hint="eastAsia" w:asciiTheme="minorEastAsia" w:hAnsiTheme="minorEastAsia" w:eastAsiaTheme="minorEastAsia" w:cstheme="minorEastAsia"/>
          <w:color w:val="auto"/>
          <w:sz w:val="24"/>
          <w:szCs w:val="24"/>
          <w:highlight w:val="none"/>
          <w:lang w:eastAsia="zh-CN"/>
        </w:rPr>
        <w:t xml:space="preserve">              </w:t>
      </w:r>
    </w:p>
    <w:p>
      <w:pPr>
        <w:pageBreakBefore w:val="0"/>
        <w:kinsoku/>
        <w:overflowPunct/>
        <w:topLinePunct w:val="0"/>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eastAsia="zh-CN"/>
        </w:rPr>
        <w:t>电 话：</w:t>
      </w:r>
      <w:r>
        <w:rPr>
          <w:rFonts w:hint="eastAsia" w:asciiTheme="minorEastAsia" w:hAnsiTheme="minorEastAsia" w:eastAsiaTheme="minorEastAsia" w:cstheme="minorEastAsia"/>
          <w:color w:val="auto"/>
          <w:sz w:val="24"/>
          <w:szCs w:val="24"/>
          <w:highlight w:val="none"/>
          <w:lang w:val="en-US" w:eastAsia="zh-CN"/>
        </w:rPr>
        <w:t>13988208973</w:t>
      </w:r>
    </w:p>
    <w:p>
      <w:pPr>
        <w:pageBreakBefore w:val="0"/>
        <w:kinsoku/>
        <w:wordWrap/>
        <w:overflowPunct/>
        <w:topLinePunct w:val="0"/>
        <w:autoSpaceDE/>
        <w:autoSpaceDN/>
        <w:bidi w:val="0"/>
        <w:snapToGrid/>
        <w:spacing w:line="460" w:lineRule="exact"/>
        <w:ind w:firstLine="240" w:firstLineChars="1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代理机构信息</w:t>
      </w:r>
    </w:p>
    <w:p>
      <w:pPr>
        <w:spacing w:line="360" w:lineRule="auto"/>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eastAsia="zh-CN"/>
        </w:rPr>
        <w:t>名称：瑞丽市宏顺招标服务有限公司</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地址：</w:t>
      </w:r>
      <w:r>
        <w:rPr>
          <w:rFonts w:hint="eastAsia" w:asciiTheme="minorEastAsia" w:hAnsiTheme="minorEastAsia" w:eastAsiaTheme="minorEastAsia" w:cstheme="minorEastAsia"/>
          <w:color w:val="auto"/>
          <w:kern w:val="0"/>
          <w:sz w:val="24"/>
        </w:rPr>
        <w:t>瑞丽市人民路45号三楼</w:t>
      </w:r>
    </w:p>
    <w:p>
      <w:pPr>
        <w:spacing w:line="360" w:lineRule="auto"/>
        <w:ind w:firstLine="480" w:firstLineChars="200"/>
        <w:rPr>
          <w:rFonts w:hint="eastAsia" w:asciiTheme="minorEastAsia" w:hAnsiTheme="minorEastAsia" w:eastAsiaTheme="minorEastAsia" w:cstheme="minorEastAsia"/>
          <w:b/>
          <w:bCs/>
          <w:color w:val="auto"/>
          <w:sz w:val="24"/>
        </w:rPr>
      </w:pPr>
      <w:r>
        <w:rPr>
          <w:rFonts w:hint="eastAsia" w:asciiTheme="minorEastAsia" w:hAnsiTheme="minorEastAsia" w:eastAsiaTheme="minorEastAsia" w:cstheme="minorEastAsia"/>
          <w:color w:val="auto"/>
          <w:sz w:val="24"/>
        </w:rPr>
        <w:t>联系电话：0692-4124466</w:t>
      </w:r>
    </w:p>
    <w:p>
      <w:pPr>
        <w:pageBreakBefore w:val="0"/>
        <w:kinsoku/>
        <w:overflowPunct/>
        <w:topLinePunct w:val="0"/>
        <w:autoSpaceDN/>
        <w:bidi w:val="0"/>
        <w:adjustRightInd/>
        <w:snapToGrid/>
        <w:spacing w:line="360" w:lineRule="auto"/>
        <w:ind w:firstLine="210"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fldChar w:fldCharType="begin"/>
      </w:r>
      <w:r>
        <w:rPr>
          <w:rFonts w:hint="eastAsia" w:asciiTheme="minorEastAsia" w:hAnsiTheme="minorEastAsia" w:eastAsiaTheme="minorEastAsia" w:cstheme="minorEastAsia"/>
          <w:color w:val="auto"/>
          <w:highlight w:val="none"/>
        </w:rPr>
        <w:instrText xml:space="preserve"> HYPERLINK "NULL" </w:instrText>
      </w:r>
      <w:r>
        <w:rPr>
          <w:rFonts w:hint="eastAsia" w:asciiTheme="minorEastAsia" w:hAnsiTheme="minorEastAsia" w:eastAsiaTheme="minorEastAsia" w:cstheme="minorEastAsia"/>
          <w:color w:val="auto"/>
          <w:highlight w:val="none"/>
        </w:rPr>
        <w:fldChar w:fldCharType="separate"/>
      </w:r>
      <w:r>
        <w:rPr>
          <w:rFonts w:hint="eastAsia" w:asciiTheme="minorEastAsia" w:hAnsiTheme="minorEastAsia" w:eastAsiaTheme="minorEastAsia" w:cstheme="minorEastAsia"/>
          <w:color w:val="auto"/>
          <w:highlight w:val="none"/>
        </w:rPr>
        <w:fldChar w:fldCharType="end"/>
      </w:r>
      <w:bookmarkStart w:id="40" w:name="_Toc28359098"/>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 </w:instrText>
      </w:r>
      <w:r>
        <w:rPr>
          <w:rFonts w:hint="eastAsia" w:asciiTheme="minorEastAsia" w:hAnsiTheme="minorEastAsia" w:eastAsiaTheme="minorEastAsia" w:cstheme="minorEastAsia"/>
          <w:color w:val="auto"/>
          <w:sz w:val="24"/>
          <w:szCs w:val="24"/>
          <w:highlight w:val="none"/>
        </w:rPr>
        <w:fldChar w:fldCharType="end"/>
      </w:r>
      <w:bookmarkEnd w:id="40"/>
      <w:bookmarkStart w:id="41" w:name="_Toc28359021"/>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 </w:instrText>
      </w:r>
      <w:r>
        <w:rPr>
          <w:rFonts w:hint="eastAsia" w:asciiTheme="minorEastAsia" w:hAnsiTheme="minorEastAsia" w:eastAsiaTheme="minorEastAsia" w:cstheme="minorEastAsia"/>
          <w:color w:val="auto"/>
          <w:sz w:val="24"/>
          <w:szCs w:val="24"/>
          <w:highlight w:val="none"/>
        </w:rPr>
        <w:fldChar w:fldCharType="end"/>
      </w:r>
      <w:bookmarkEnd w:id="41"/>
      <w:r>
        <w:rPr>
          <w:rFonts w:hint="eastAsia" w:asciiTheme="minorEastAsia" w:hAnsiTheme="minorEastAsia" w:eastAsiaTheme="minorEastAsia" w:cstheme="minorEastAsia"/>
          <w:color w:val="auto"/>
          <w:sz w:val="24"/>
          <w:szCs w:val="24"/>
          <w:highlight w:val="none"/>
        </w:rPr>
        <w:t>3.项目联系方式</w:t>
      </w:r>
    </w:p>
    <w:p>
      <w:pPr>
        <w:pageBreakBefore w:val="0"/>
        <w:kinsoku/>
        <w:overflowPunct/>
        <w:topLinePunct w:val="0"/>
        <w:autoSpaceDN/>
        <w:bidi w:val="0"/>
        <w:adjustRightInd/>
        <w:snapToGrid/>
        <w:spacing w:line="360" w:lineRule="auto"/>
        <w:ind w:firstLine="480" w:firstLineChars="200"/>
        <w:textAlignment w:val="auto"/>
        <w:rPr>
          <w:rFonts w:hint="eastAsia" w:ascii="宋体" w:hAnsi="宋体" w:eastAsia="宋体" w:cs="宋体"/>
          <w:b/>
          <w:color w:val="auto"/>
          <w:kern w:val="44"/>
          <w:sz w:val="36"/>
          <w:szCs w:val="36"/>
          <w:highlight w:val="none"/>
        </w:rPr>
      </w:pPr>
      <w:r>
        <w:rPr>
          <w:rFonts w:hint="eastAsia" w:asciiTheme="minorEastAsia" w:hAnsiTheme="minorEastAsia" w:eastAsiaTheme="minorEastAsia" w:cstheme="minorEastAsia"/>
          <w:color w:val="auto"/>
          <w:sz w:val="24"/>
          <w:szCs w:val="24"/>
          <w:highlight w:val="none"/>
          <w:lang w:val="en-US" w:eastAsia="zh-CN"/>
        </w:rPr>
        <w:t xml:space="preserve">马丛明（招标人）13988208973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欧工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（代理机构）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电话：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13808788080</w:t>
      </w:r>
      <w:bookmarkStart w:id="42" w:name="_Toc7864"/>
    </w:p>
    <w:p>
      <w:pPr>
        <w:jc w:val="center"/>
        <w:rPr>
          <w:rFonts w:hint="eastAsia" w:ascii="宋体" w:hAnsi="宋体" w:eastAsia="宋体" w:cs="宋体"/>
          <w:b/>
          <w:color w:val="auto"/>
          <w:kern w:val="44"/>
          <w:sz w:val="36"/>
          <w:szCs w:val="36"/>
          <w:highlight w:val="none"/>
        </w:rPr>
      </w:pPr>
    </w:p>
    <w:p>
      <w:pPr>
        <w:jc w:val="center"/>
        <w:rPr>
          <w:rFonts w:hint="eastAsia" w:ascii="宋体" w:hAnsi="宋体" w:eastAsia="宋体" w:cs="宋体"/>
          <w:b/>
          <w:color w:val="auto"/>
          <w:kern w:val="44"/>
          <w:sz w:val="36"/>
          <w:szCs w:val="36"/>
          <w:highlight w:val="none"/>
        </w:rPr>
      </w:pPr>
    </w:p>
    <w:p>
      <w:pPr>
        <w:jc w:val="center"/>
        <w:rPr>
          <w:rFonts w:hint="eastAsia" w:ascii="宋体" w:hAnsi="宋体" w:eastAsia="宋体" w:cs="宋体"/>
          <w:b/>
          <w:color w:val="auto"/>
          <w:kern w:val="44"/>
          <w:sz w:val="36"/>
          <w:szCs w:val="36"/>
          <w:highlight w:val="none"/>
        </w:rPr>
      </w:pPr>
    </w:p>
    <w:p>
      <w:pPr>
        <w:jc w:val="center"/>
        <w:rPr>
          <w:rFonts w:hint="eastAsia" w:ascii="宋体" w:hAnsi="宋体" w:eastAsia="宋体" w:cs="宋体"/>
          <w:b/>
          <w:color w:val="auto"/>
          <w:kern w:val="44"/>
          <w:sz w:val="36"/>
          <w:szCs w:val="36"/>
          <w:highlight w:val="none"/>
        </w:rPr>
      </w:pPr>
    </w:p>
    <w:p>
      <w:pPr>
        <w:jc w:val="center"/>
        <w:rPr>
          <w:rFonts w:hint="eastAsia" w:ascii="宋体" w:hAnsi="宋体" w:eastAsia="宋体" w:cs="宋体"/>
          <w:b/>
          <w:color w:val="auto"/>
          <w:kern w:val="44"/>
          <w:sz w:val="36"/>
          <w:szCs w:val="36"/>
          <w:highlight w:val="none"/>
        </w:rPr>
      </w:pPr>
    </w:p>
    <w:p>
      <w:pPr>
        <w:jc w:val="center"/>
        <w:rPr>
          <w:rFonts w:hint="eastAsia" w:ascii="宋体" w:hAnsi="宋体" w:eastAsia="宋体" w:cs="宋体"/>
          <w:b/>
          <w:color w:val="auto"/>
          <w:kern w:val="44"/>
          <w:sz w:val="36"/>
          <w:szCs w:val="36"/>
          <w:highlight w:val="none"/>
        </w:rPr>
      </w:pPr>
      <w:r>
        <w:rPr>
          <w:rFonts w:hint="eastAsia" w:ascii="宋体" w:hAnsi="宋体" w:eastAsia="宋体" w:cs="宋体"/>
          <w:b/>
          <w:color w:val="auto"/>
          <w:kern w:val="44"/>
          <w:sz w:val="36"/>
          <w:szCs w:val="36"/>
          <w:highlight w:val="none"/>
        </w:rPr>
        <w:t>第二章 供应商须知</w:t>
      </w:r>
      <w:bookmarkEnd w:id="42"/>
    </w:p>
    <w:p>
      <w:pPr>
        <w:spacing w:before="156" w:beforeLines="50"/>
        <w:jc w:val="center"/>
        <w:outlineLvl w:val="0"/>
        <w:rPr>
          <w:rFonts w:hint="eastAsia" w:ascii="宋体" w:hAnsi="宋体" w:eastAsia="宋体" w:cs="宋体"/>
          <w:b/>
          <w:color w:val="auto"/>
          <w:kern w:val="44"/>
          <w:sz w:val="30"/>
          <w:szCs w:val="30"/>
          <w:highlight w:val="none"/>
        </w:rPr>
      </w:pPr>
      <w:bookmarkStart w:id="43" w:name="_Toc10320"/>
      <w:bookmarkStart w:id="44" w:name="_Toc17499"/>
      <w:r>
        <w:rPr>
          <w:rFonts w:hint="eastAsia" w:ascii="宋体" w:hAnsi="宋体" w:eastAsia="宋体" w:cs="宋体"/>
          <w:b/>
          <w:color w:val="auto"/>
          <w:kern w:val="44"/>
          <w:sz w:val="30"/>
          <w:szCs w:val="30"/>
          <w:highlight w:val="none"/>
        </w:rPr>
        <w:t>供应商须知前附表</w:t>
      </w:r>
      <w:bookmarkEnd w:id="34"/>
      <w:bookmarkEnd w:id="43"/>
      <w:bookmarkEnd w:id="44"/>
    </w:p>
    <w:tbl>
      <w:tblPr>
        <w:tblStyle w:val="41"/>
        <w:tblW w:w="1019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3"/>
        <w:gridCol w:w="1857"/>
        <w:gridCol w:w="7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4" w:hRule="atLeast"/>
          <w:tblHeader/>
          <w:jc w:val="center"/>
        </w:trPr>
        <w:tc>
          <w:tcPr>
            <w:tcW w:w="823" w:type="dxa"/>
            <w:vAlign w:val="center"/>
          </w:tcPr>
          <w:p>
            <w:pPr>
              <w:snapToGrid w:val="0"/>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857" w:type="dxa"/>
            <w:vAlign w:val="center"/>
          </w:tcPr>
          <w:p>
            <w:pPr>
              <w:snapToGrid w:val="0"/>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7516" w:type="dxa"/>
            <w:vAlign w:val="center"/>
          </w:tcPr>
          <w:p>
            <w:pPr>
              <w:snapToGrid w:val="0"/>
              <w:ind w:left="0" w:leftChars="0" w:right="0" w:righ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snapToGrid w:val="0"/>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1</w:t>
            </w:r>
          </w:p>
        </w:tc>
        <w:tc>
          <w:tcPr>
            <w:tcW w:w="1857" w:type="dxa"/>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采购人</w:t>
            </w:r>
          </w:p>
        </w:tc>
        <w:tc>
          <w:tcPr>
            <w:tcW w:w="7516" w:type="dxa"/>
            <w:vAlign w:val="center"/>
          </w:tcPr>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名称：瑞丽市教育体育局      </w:t>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单位地址：</w:t>
            </w:r>
            <w:r>
              <w:rPr>
                <w:rFonts w:hint="eastAsia" w:ascii="宋体" w:hAnsi="宋体" w:eastAsia="宋体" w:cs="宋体"/>
                <w:bCs/>
                <w:color w:val="auto"/>
                <w:sz w:val="24"/>
                <w:szCs w:val="24"/>
                <w:highlight w:val="none"/>
                <w:lang w:val="en-US" w:eastAsia="zh-CN"/>
              </w:rPr>
              <w:t xml:space="preserve">瑞丽市新建路2号 </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联系人及联系方式：</w:t>
            </w:r>
            <w:r>
              <w:rPr>
                <w:rFonts w:hint="eastAsia" w:ascii="宋体" w:hAnsi="宋体" w:eastAsia="宋体" w:cs="宋体"/>
                <w:bCs/>
                <w:color w:val="auto"/>
                <w:sz w:val="24"/>
                <w:szCs w:val="24"/>
                <w:highlight w:val="none"/>
                <w:lang w:val="en-US" w:eastAsia="zh-CN"/>
              </w:rPr>
              <w:t>马丛明 13988208973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snapToGrid w:val="0"/>
              <w:ind w:left="0" w:leftChars="0" w:right="0" w:rightChars="0" w:firstLine="0" w:firstLineChars="0"/>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1.1.</w:t>
            </w:r>
            <w:r>
              <w:rPr>
                <w:rFonts w:hint="eastAsia" w:ascii="宋体" w:hAnsi="宋体" w:eastAsia="宋体" w:cs="宋体"/>
                <w:bCs/>
                <w:color w:val="auto"/>
                <w:sz w:val="24"/>
                <w:szCs w:val="24"/>
                <w:highlight w:val="none"/>
                <w:lang w:val="en-US" w:eastAsia="zh-CN"/>
              </w:rPr>
              <w:t>2</w:t>
            </w:r>
          </w:p>
        </w:tc>
        <w:tc>
          <w:tcPr>
            <w:tcW w:w="1857" w:type="dxa"/>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采购代理机构</w:t>
            </w:r>
          </w:p>
        </w:tc>
        <w:tc>
          <w:tcPr>
            <w:tcW w:w="7516" w:type="dxa"/>
            <w:vAlign w:val="center"/>
          </w:tcPr>
          <w:p>
            <w:pPr>
              <w:autoSpaceD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代理机构：</w:t>
            </w:r>
            <w:r>
              <w:rPr>
                <w:rFonts w:hint="eastAsia" w:ascii="宋体" w:hAnsi="宋体" w:eastAsia="宋体" w:cs="宋体"/>
                <w:bCs/>
                <w:color w:val="auto"/>
                <w:sz w:val="24"/>
                <w:szCs w:val="24"/>
                <w:highlight w:val="none"/>
                <w:lang w:eastAsia="zh-CN"/>
              </w:rPr>
              <w:t>瑞丽市宏顺招标服务有限公司</w:t>
            </w:r>
            <w:r>
              <w:rPr>
                <w:rFonts w:hint="eastAsia" w:ascii="宋体" w:hAnsi="宋体" w:eastAsia="宋体" w:cs="宋体"/>
                <w:bCs/>
                <w:color w:val="auto"/>
                <w:sz w:val="24"/>
                <w:szCs w:val="24"/>
                <w:highlight w:val="none"/>
              </w:rPr>
              <w:t xml:space="preserve"> </w:t>
            </w:r>
          </w:p>
          <w:p>
            <w:pPr>
              <w:autoSpaceD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公司地址：</w:t>
            </w:r>
            <w:r>
              <w:rPr>
                <w:rFonts w:hint="eastAsia" w:ascii="宋体" w:hAnsi="宋体" w:eastAsia="宋体" w:cs="宋体"/>
                <w:color w:val="auto"/>
                <w:kern w:val="0"/>
                <w:sz w:val="24"/>
                <w:szCs w:val="24"/>
              </w:rPr>
              <w:t>瑞丽市人民路45号三楼</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联系人及联</w:t>
            </w:r>
            <w:r>
              <w:rPr>
                <w:rFonts w:hint="eastAsia" w:ascii="宋体" w:hAnsi="宋体" w:eastAsia="宋体" w:cs="宋体"/>
                <w:bCs/>
                <w:color w:val="000000" w:themeColor="text1"/>
                <w:sz w:val="24"/>
                <w:szCs w:val="24"/>
                <w:highlight w:val="none"/>
                <w14:textFill>
                  <w14:solidFill>
                    <w14:schemeClr w14:val="tx1"/>
                  </w14:solidFill>
                </w14:textFill>
              </w:rPr>
              <w:t>系方式：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欧工</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13808788080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9"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项目名称</w:t>
            </w:r>
          </w:p>
        </w:tc>
        <w:tc>
          <w:tcPr>
            <w:tcW w:w="7516" w:type="dxa"/>
            <w:vAlign w:val="center"/>
          </w:tcPr>
          <w:p>
            <w:pPr>
              <w:snapToGrid w:val="0"/>
              <w:spacing w:line="360" w:lineRule="auto"/>
              <w:ind w:left="0" w:leftChars="0" w:right="0" w:rightChars="0" w:firstLine="0" w:firstLineChars="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瑞丽市第一期示范性国门学校建设设施设备结余资金配备项目A包：监控设备</w:t>
            </w:r>
            <w:r>
              <w:rPr>
                <w:rFonts w:hint="eastAsia" w:ascii="宋体" w:hAnsi="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2"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lang w:val="en-US" w:eastAsia="zh-CN"/>
              </w:rPr>
              <w:t>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资金落实情况</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已落实</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snapToGrid w:val="0"/>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857"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rPr>
              <w:t>采购</w:t>
            </w:r>
            <w:r>
              <w:rPr>
                <w:rFonts w:hint="eastAsia" w:ascii="宋体" w:hAnsi="宋体" w:eastAsia="宋体" w:cs="宋体"/>
                <w:sz w:val="24"/>
                <w:szCs w:val="24"/>
                <w:lang w:val="en-US" w:eastAsia="zh-CN"/>
              </w:rPr>
              <w:t>需求(采购内容)</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具体内容及设备参数详见《第三章 采购需求》</w:t>
            </w:r>
            <w:r>
              <w:rPr>
                <w:rFonts w:hint="eastAsia" w:ascii="宋体" w:hAnsi="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7"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p>
        </w:tc>
        <w:tc>
          <w:tcPr>
            <w:tcW w:w="1857"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交货期</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签订合同后30个日历天内安装完成</w:t>
            </w:r>
            <w:r>
              <w:rPr>
                <w:rFonts w:hint="eastAsia" w:ascii="宋体" w:hAnsi="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7"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1.3.3</w:t>
            </w:r>
          </w:p>
        </w:tc>
        <w:tc>
          <w:tcPr>
            <w:tcW w:w="1857" w:type="dxa"/>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质保期</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3年</w:t>
            </w:r>
            <w:r>
              <w:rPr>
                <w:rFonts w:hint="eastAsia" w:ascii="宋体" w:hAnsi="宋体" w:cs="宋体"/>
                <w:color w:val="auto"/>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val="en-US" w:eastAsia="zh-CN"/>
              </w:rPr>
              <w:t>4</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质量</w:t>
            </w:r>
            <w:r>
              <w:rPr>
                <w:rFonts w:hint="eastAsia" w:ascii="宋体" w:hAnsi="宋体" w:eastAsia="宋体" w:cs="宋体"/>
                <w:sz w:val="24"/>
                <w:szCs w:val="24"/>
                <w:lang w:val="en-US" w:eastAsia="zh-CN"/>
              </w:rPr>
              <w:t>标</w:t>
            </w:r>
            <w:r>
              <w:rPr>
                <w:rFonts w:hint="eastAsia" w:ascii="宋体" w:hAnsi="宋体" w:eastAsia="宋体" w:cs="宋体"/>
                <w:sz w:val="24"/>
                <w:szCs w:val="24"/>
              </w:rPr>
              <w:t>准</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符合国家、行业现行相关技术规范、标准，设备安装调试完毕且试运行后，相关功能满足</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823" w:type="dxa"/>
            <w:shd w:val="clear" w:color="auto" w:fill="auto"/>
            <w:vAlign w:val="center"/>
          </w:tcPr>
          <w:p>
            <w:pPr>
              <w:snapToGrid w:val="0"/>
              <w:spacing w:line="240" w:lineRule="auto"/>
              <w:ind w:left="0" w:leftChars="0" w:right="0" w:rightChars="0"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p>
        </w:tc>
        <w:tc>
          <w:tcPr>
            <w:tcW w:w="1857" w:type="dxa"/>
            <w:shd w:val="clear" w:color="auto" w:fill="auto"/>
            <w:vAlign w:val="center"/>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交货</w:t>
            </w:r>
            <w:r>
              <w:rPr>
                <w:rFonts w:hint="eastAsia" w:ascii="宋体" w:hAnsi="宋体" w:eastAsia="宋体" w:cs="宋体"/>
                <w:sz w:val="24"/>
                <w:szCs w:val="24"/>
              </w:rPr>
              <w:t>地点</w:t>
            </w:r>
          </w:p>
        </w:tc>
        <w:tc>
          <w:tcPr>
            <w:tcW w:w="7516" w:type="dxa"/>
            <w:shd w:val="clear" w:color="auto" w:fill="auto"/>
            <w:vAlign w:val="center"/>
          </w:tcPr>
          <w:p>
            <w:pPr>
              <w:snapToGrid w:val="0"/>
              <w:spacing w:line="360" w:lineRule="auto"/>
              <w:ind w:left="0" w:leftChars="0" w:right="0" w:rightChars="0" w:firstLine="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snapToGrid w:val="0"/>
              <w:ind w:left="0" w:leftChars="0" w:right="0" w:rightChars="0"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供应商资质条件、能力和信誉</w:t>
            </w:r>
          </w:p>
        </w:tc>
        <w:tc>
          <w:tcPr>
            <w:tcW w:w="7516" w:type="dxa"/>
            <w:vAlign w:val="center"/>
          </w:tcPr>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z w:val="24"/>
                <w:szCs w:val="24"/>
                <w:highlight w:val="none"/>
              </w:rPr>
              <w:t>1.满足《中华人民共和国政府采购法》第二十二条规定：</w:t>
            </w:r>
          </w:p>
          <w:p>
            <w:pPr>
              <w:pageBreakBefore w:val="0"/>
              <w:kinsoku/>
              <w:overflowPunct/>
              <w:topLinePunct w:val="0"/>
              <w:autoSpaceDE w:val="0"/>
              <w:autoSpaceDN/>
              <w:bidi w:val="0"/>
              <w:adjustRightInd/>
              <w:snapToGrid/>
              <w:spacing w:line="360" w:lineRule="auto"/>
              <w:ind w:firstLine="243" w:firstLineChars="100"/>
              <w:textAlignment w:val="auto"/>
              <w:rPr>
                <w:rFonts w:hint="eastAsia" w:ascii="宋体" w:hAnsi="宋体" w:eastAsia="宋体" w:cs="宋体"/>
                <w:color w:val="auto"/>
                <w:kern w:val="0"/>
                <w:sz w:val="24"/>
                <w:szCs w:val="24"/>
                <w:highlight w:val="none"/>
              </w:rPr>
            </w:pPr>
            <w:r>
              <w:rPr>
                <w:rFonts w:hint="eastAsia" w:ascii="宋体" w:hAnsi="宋体" w:eastAsia="宋体" w:cs="宋体"/>
                <w:b/>
                <w:bCs/>
                <w:color w:val="auto"/>
                <w:spacing w:val="1"/>
                <w:sz w:val="24"/>
                <w:szCs w:val="24"/>
                <w:highlight w:val="none"/>
              </w:rPr>
              <w:t>（1）营业执照：</w:t>
            </w:r>
            <w:r>
              <w:rPr>
                <w:rFonts w:hint="eastAsia" w:ascii="宋体" w:hAnsi="宋体" w:eastAsia="宋体" w:cs="宋体"/>
                <w:sz w:val="24"/>
                <w:szCs w:val="24"/>
              </w:rPr>
              <w:t>具有独立承担民事责任的能力</w:t>
            </w:r>
            <w:r>
              <w:rPr>
                <w:rFonts w:hint="eastAsia" w:ascii="宋体" w:hAnsi="宋体" w:eastAsia="宋体" w:cs="宋体"/>
                <w:sz w:val="24"/>
                <w:szCs w:val="24"/>
                <w:lang w:eastAsia="zh-CN"/>
              </w:rPr>
              <w:t>，</w:t>
            </w:r>
            <w:r>
              <w:rPr>
                <w:rFonts w:hint="eastAsia" w:ascii="宋体" w:hAnsi="宋体" w:eastAsia="宋体" w:cs="宋体"/>
                <w:sz w:val="24"/>
                <w:szCs w:val="24"/>
              </w:rPr>
              <w:t>提供自然人有效身份证或法人或者其他组织有效的营业执照等证明文件</w:t>
            </w:r>
            <w:r>
              <w:rPr>
                <w:rFonts w:hint="eastAsia" w:ascii="宋体" w:hAnsi="宋体" w:eastAsia="宋体" w:cs="宋体"/>
                <w:sz w:val="24"/>
                <w:szCs w:val="24"/>
                <w:lang w:eastAsia="zh-CN"/>
              </w:rPr>
              <w:t>。</w:t>
            </w:r>
          </w:p>
          <w:p>
            <w:pPr>
              <w:pageBreakBefore w:val="0"/>
              <w:kinsoku/>
              <w:overflowPunct/>
              <w:topLinePunct w:val="0"/>
              <w:autoSpaceDE w:val="0"/>
              <w:autoSpaceDN/>
              <w:bidi w:val="0"/>
              <w:adjustRightInd/>
              <w:snapToGrid/>
              <w:spacing w:line="360" w:lineRule="auto"/>
              <w:ind w:firstLine="243" w:firstLineChars="100"/>
              <w:textAlignment w:val="auto"/>
              <w:rPr>
                <w:rFonts w:hint="eastAsia" w:ascii="宋体" w:hAnsi="宋体" w:eastAsia="宋体" w:cs="宋体"/>
                <w:b w:val="0"/>
                <w:bCs w:val="0"/>
                <w:color w:val="auto"/>
                <w:spacing w:val="1"/>
                <w:sz w:val="24"/>
                <w:szCs w:val="24"/>
                <w:highlight w:val="none"/>
              </w:rPr>
            </w:pPr>
            <w:r>
              <w:rPr>
                <w:rFonts w:hint="eastAsia" w:ascii="宋体" w:hAnsi="宋体" w:eastAsia="宋体" w:cs="宋体"/>
                <w:b/>
                <w:bCs/>
                <w:color w:val="auto"/>
                <w:spacing w:val="1"/>
                <w:sz w:val="24"/>
                <w:szCs w:val="24"/>
                <w:highlight w:val="none"/>
              </w:rPr>
              <w:t>（2）财务要求：</w:t>
            </w:r>
            <w:r>
              <w:rPr>
                <w:rFonts w:hint="eastAsia" w:ascii="宋体" w:hAnsi="宋体" w:eastAsia="宋体" w:cs="宋体"/>
                <w:b w:val="0"/>
                <w:bCs w:val="0"/>
                <w:color w:val="auto"/>
                <w:spacing w:val="1"/>
                <w:sz w:val="24"/>
                <w:szCs w:val="24"/>
                <w:highlight w:val="none"/>
              </w:rPr>
              <w:t>提供202</w:t>
            </w:r>
            <w:r>
              <w:rPr>
                <w:rFonts w:hint="eastAsia" w:ascii="宋体" w:hAnsi="宋体" w:eastAsia="宋体" w:cs="宋体"/>
                <w:b w:val="0"/>
                <w:bCs w:val="0"/>
                <w:color w:val="auto"/>
                <w:spacing w:val="1"/>
                <w:sz w:val="24"/>
                <w:szCs w:val="24"/>
                <w:highlight w:val="none"/>
                <w:lang w:val="en-US" w:eastAsia="zh-CN"/>
              </w:rPr>
              <w:t>4</w:t>
            </w:r>
            <w:r>
              <w:rPr>
                <w:rFonts w:hint="eastAsia" w:ascii="宋体" w:hAnsi="宋体" w:eastAsia="宋体" w:cs="宋体"/>
                <w:b w:val="0"/>
                <w:bCs w:val="0"/>
                <w:color w:val="auto"/>
                <w:spacing w:val="1"/>
                <w:sz w:val="24"/>
                <w:szCs w:val="24"/>
                <w:highlight w:val="none"/>
              </w:rPr>
              <w:t>年度</w:t>
            </w:r>
            <w:r>
              <w:rPr>
                <w:rFonts w:hint="eastAsia" w:ascii="宋体" w:hAnsi="宋体" w:eastAsia="宋体" w:cs="宋体"/>
                <w:b w:val="0"/>
                <w:bCs w:val="0"/>
                <w:color w:val="auto"/>
                <w:spacing w:val="1"/>
                <w:sz w:val="24"/>
                <w:szCs w:val="24"/>
                <w:highlight w:val="none"/>
                <w:lang w:val="en-US" w:eastAsia="zh-CN"/>
              </w:rPr>
              <w:t>或2025年度</w:t>
            </w:r>
            <w:r>
              <w:rPr>
                <w:rFonts w:hint="eastAsia" w:ascii="宋体" w:hAnsi="宋体" w:eastAsia="宋体" w:cs="宋体"/>
                <w:b w:val="0"/>
                <w:bCs w:val="0"/>
                <w:color w:val="auto"/>
                <w:spacing w:val="1"/>
                <w:sz w:val="24"/>
                <w:szCs w:val="24"/>
                <w:highlight w:val="none"/>
              </w:rPr>
              <w:t>经非本单位专业审计机构出具的财务报表及审计报告（成立未满一年的公司，无需提供审计报告，提供公司成立至今的财务报表）。</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税收和社保要求：</w:t>
            </w:r>
            <w:r>
              <w:rPr>
                <w:rFonts w:hint="eastAsia" w:ascii="宋体" w:hAnsi="宋体" w:eastAsia="宋体" w:cs="宋体"/>
                <w:b w:val="0"/>
                <w:bCs w:val="0"/>
                <w:color w:val="auto"/>
                <w:sz w:val="24"/>
                <w:szCs w:val="24"/>
                <w:highlight w:val="none"/>
              </w:rPr>
              <w:t>提供202</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val="en-US" w:eastAsia="zh-CN"/>
              </w:rPr>
              <w:t>7月至今</w:t>
            </w:r>
            <w:r>
              <w:rPr>
                <w:rFonts w:hint="eastAsia" w:ascii="宋体" w:hAnsi="宋体" w:eastAsia="宋体" w:cs="宋体"/>
                <w:b w:val="0"/>
                <w:bCs w:val="0"/>
                <w:color w:val="auto"/>
                <w:sz w:val="24"/>
                <w:szCs w:val="24"/>
                <w:highlight w:val="none"/>
              </w:rPr>
              <w:t>任意</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个月依法缴纳税收和社会保障资金的缴纳凭证（如公司成立未满一个月的提供成立以来的税收和社会保障资金缴纳凭证或相关情况说明；依法免税或不需要缴纳社会保障资金的</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人，应提供相应文件或情况说明证明其依法免税或不需要缴纳社会保障资金的材料</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）专业技术能力：</w:t>
            </w:r>
            <w:r>
              <w:rPr>
                <w:rFonts w:hint="eastAsia" w:ascii="宋体" w:hAnsi="宋体" w:eastAsia="宋体" w:cs="宋体"/>
                <w:b w:val="0"/>
                <w:bCs w:val="0"/>
                <w:color w:val="auto"/>
                <w:sz w:val="24"/>
                <w:szCs w:val="24"/>
                <w:highlight w:val="none"/>
              </w:rPr>
              <w:t>提供具备履行合同所必需的专业技术能力的证明材料或承诺书</w:t>
            </w:r>
            <w:r>
              <w:rPr>
                <w:rFonts w:hint="eastAsia" w:ascii="宋体" w:hAnsi="宋体" w:eastAsia="宋体" w:cs="宋体"/>
                <w:b w:val="0"/>
                <w:bCs w:val="0"/>
                <w:color w:val="auto"/>
                <w:sz w:val="24"/>
                <w:szCs w:val="24"/>
                <w:highlight w:val="none"/>
                <w:lang w:eastAsia="zh-CN"/>
              </w:rPr>
              <w:t>。</w:t>
            </w:r>
          </w:p>
          <w:p>
            <w:pPr>
              <w:pStyle w:val="9"/>
              <w:pageBreakBefore w:val="0"/>
              <w:kinsoku/>
              <w:overflowPunct/>
              <w:topLinePunct w:val="0"/>
              <w:autoSpaceDE w:val="0"/>
              <w:autoSpaceDN/>
              <w:bidi w:val="0"/>
              <w:adjustRightInd/>
              <w:snapToGrid/>
              <w:spacing w:before="0" w:beforeAutospacing="0" w:after="0" w:line="360" w:lineRule="auto"/>
              <w:ind w:firstLine="243" w:firstLineChars="1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pacing w:val="1"/>
                <w:sz w:val="24"/>
                <w:szCs w:val="24"/>
                <w:highlight w:val="none"/>
              </w:rPr>
              <w:t>（</w:t>
            </w:r>
            <w:r>
              <w:rPr>
                <w:rFonts w:hint="eastAsia" w:ascii="宋体" w:hAnsi="宋体" w:eastAsia="宋体" w:cs="宋体"/>
                <w:b/>
                <w:bCs/>
                <w:color w:val="auto"/>
                <w:spacing w:val="1"/>
                <w:sz w:val="24"/>
                <w:szCs w:val="24"/>
                <w:highlight w:val="none"/>
                <w:lang w:val="en-US" w:eastAsia="zh-CN"/>
              </w:rPr>
              <w:t>5</w:t>
            </w:r>
            <w:r>
              <w:rPr>
                <w:rFonts w:hint="eastAsia" w:ascii="宋体" w:hAnsi="宋体" w:eastAsia="宋体" w:cs="宋体"/>
                <w:b/>
                <w:bCs/>
                <w:color w:val="auto"/>
                <w:spacing w:val="1"/>
                <w:sz w:val="24"/>
                <w:szCs w:val="24"/>
                <w:highlight w:val="none"/>
              </w:rPr>
              <w:t>）</w:t>
            </w:r>
            <w:r>
              <w:rPr>
                <w:rFonts w:hint="eastAsia" w:ascii="宋体" w:hAnsi="宋体" w:eastAsia="宋体" w:cs="宋体"/>
                <w:b/>
                <w:bCs/>
                <w:color w:val="auto"/>
                <w:sz w:val="24"/>
                <w:szCs w:val="24"/>
                <w:lang w:eastAsia="zh-CN"/>
              </w:rPr>
              <w:t>无重大违法记录声明：</w:t>
            </w:r>
            <w:r>
              <w:rPr>
                <w:rFonts w:hint="eastAsia" w:ascii="宋体" w:hAnsi="宋体" w:eastAsia="宋体" w:cs="宋体"/>
                <w:color w:val="auto"/>
                <w:spacing w:val="1"/>
                <w:sz w:val="24"/>
                <w:szCs w:val="24"/>
                <w:highlight w:val="none"/>
              </w:rPr>
              <w:t>提供参加</w:t>
            </w:r>
            <w:r>
              <w:rPr>
                <w:rFonts w:hint="eastAsia" w:ascii="宋体" w:hAnsi="宋体" w:eastAsia="宋体" w:cs="宋体"/>
                <w:color w:val="auto"/>
                <w:spacing w:val="1"/>
                <w:sz w:val="24"/>
                <w:szCs w:val="24"/>
                <w:highlight w:val="none"/>
                <w:lang w:val="en-US" w:eastAsia="zh-CN"/>
              </w:rPr>
              <w:t>本次</w:t>
            </w:r>
            <w:r>
              <w:rPr>
                <w:rFonts w:hint="eastAsia" w:ascii="宋体" w:hAnsi="宋体" w:eastAsia="宋体" w:cs="宋体"/>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）信誉要求：</w:t>
            </w:r>
            <w:r>
              <w:rPr>
                <w:rFonts w:hint="eastAsia" w:ascii="宋体" w:hAnsi="宋体" w:eastAsia="宋体" w:cs="宋体"/>
                <w:b w:val="0"/>
                <w:bCs w:val="0"/>
                <w:color w:val="auto"/>
                <w:sz w:val="24"/>
                <w:szCs w:val="24"/>
                <w:highlight w:val="none"/>
                <w:lang w:val="en-US" w:eastAsia="zh-CN"/>
              </w:rPr>
              <w:t>供应商应在“信用中国”网站(www.creditchina.gov.cn)未被列入失信被执行人、重大税收违法失信主体，中国政府采购网(www.ccgp.gov.cn)没有政府采购严重违法失信行为记录。</w:t>
            </w:r>
            <w:r>
              <w:rPr>
                <w:rFonts w:hint="eastAsia" w:ascii="宋体" w:hAnsi="宋体" w:eastAsia="宋体" w:cs="宋体"/>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宋体" w:hAnsi="宋体" w:eastAsia="宋体" w:cs="宋体"/>
                <w:b w:val="0"/>
                <w:bCs w:val="0"/>
                <w:color w:val="auto"/>
                <w:sz w:val="24"/>
                <w:szCs w:val="24"/>
                <w:highlight w:val="none"/>
                <w:lang w:val="en-US" w:eastAsia="zh-CN"/>
              </w:rPr>
              <w:t>重大税收违法失信主体</w:t>
            </w:r>
            <w:r>
              <w:rPr>
                <w:rFonts w:hint="eastAsia" w:ascii="宋体" w:hAnsi="宋体" w:eastAsia="宋体" w:cs="宋体"/>
                <w:b w:val="0"/>
                <w:bCs w:val="0"/>
                <w:color w:val="auto"/>
                <w:sz w:val="24"/>
                <w:szCs w:val="24"/>
                <w:highlight w:val="none"/>
                <w:lang w:eastAsia="zh-CN"/>
              </w:rPr>
              <w:t>、政府采购严重违法失信行为记录名单，则投标无效。）</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lang w:val="en-US" w:eastAsia="zh-CN"/>
              </w:rPr>
              <w:t>（7）其它要求</w:t>
            </w:r>
            <w:r>
              <w:rPr>
                <w:rFonts w:hint="eastAsia" w:ascii="宋体" w:hAnsi="宋体" w:eastAsia="宋体" w:cs="宋体"/>
                <w:b w:val="0"/>
                <w:bCs w:val="0"/>
                <w:color w:val="auto"/>
                <w:sz w:val="24"/>
                <w:szCs w:val="24"/>
                <w:highlight w:val="none"/>
                <w:lang w:val="en-US" w:eastAsia="zh-CN"/>
              </w:rPr>
              <w:t>：单位负责人为同一人或者存在直接控股、管理关系的不同供应商，不得参加同一合同项下的政府采购活动。</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2.落实政府采购政策需满足的资格要求：</w:t>
            </w:r>
            <w:r>
              <w:rPr>
                <w:rFonts w:hint="eastAsia" w:ascii="宋体" w:hAnsi="宋体" w:eastAsia="宋体" w:cs="宋体"/>
                <w:color w:val="auto"/>
                <w:sz w:val="24"/>
                <w:szCs w:val="24"/>
                <w:highlight w:val="none"/>
              </w:rPr>
              <w:t>本项目非专门面向中小型企业采购；根据《关于进一步加大政府采购支持中小企业力度的通知》（财库〔2022〕19号），对符合采购文件要求的小型</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微型企业给予价格扣除10%，用扣除后的价格参与评审；监狱企业及残疾人福利性单位视同小微企业。</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本项目的特定资格要求：</w:t>
            </w:r>
            <w:r>
              <w:rPr>
                <w:rFonts w:hint="eastAsia" w:ascii="宋体" w:hAnsi="宋体" w:eastAsia="宋体" w:cs="宋体"/>
                <w:b/>
                <w:bCs/>
                <w:color w:val="auto"/>
                <w:sz w:val="24"/>
                <w:szCs w:val="24"/>
                <w:highlight w:val="none"/>
                <w:lang w:val="en-US" w:eastAsia="zh-CN"/>
              </w:rPr>
              <w:t xml:space="preserve">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是否接受联合体</w:t>
            </w:r>
          </w:p>
        </w:tc>
        <w:tc>
          <w:tcPr>
            <w:tcW w:w="7516" w:type="dxa"/>
            <w:vAlign w:val="center"/>
          </w:tcPr>
          <w:p>
            <w:pPr>
              <w:pStyle w:val="4"/>
              <w:snapToGrid w:val="0"/>
              <w:spacing w:before="0" w:after="0" w:line="360" w:lineRule="auto"/>
              <w:ind w:left="0" w:leftChars="0" w:right="0" w:rightChars="0" w:firstLine="0" w:firstLineChars="0"/>
              <w:jc w:val="left"/>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 xml:space="preserve">否             </w:t>
            </w: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踏勘现场</w:t>
            </w:r>
          </w:p>
        </w:tc>
        <w:tc>
          <w:tcPr>
            <w:tcW w:w="7516" w:type="dxa"/>
            <w:vAlign w:val="center"/>
          </w:tcPr>
          <w:p>
            <w:pPr>
              <w:pStyle w:val="4"/>
              <w:snapToGrid w:val="0"/>
              <w:spacing w:before="0" w:after="0" w:line="360" w:lineRule="auto"/>
              <w:ind w:left="0" w:leftChars="0" w:right="0" w:rightChars="0" w:firstLine="0" w:firstLineChars="0"/>
              <w:jc w:val="left"/>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 xml:space="preserve">不组织         </w:t>
            </w: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 xml:space="preserve">组织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1.10</w:t>
            </w:r>
            <w:r>
              <w:rPr>
                <w:rFonts w:hint="eastAsia" w:ascii="宋体" w:hAnsi="宋体" w:eastAsia="宋体" w:cs="宋体"/>
                <w:color w:val="auto"/>
                <w:sz w:val="24"/>
                <w:szCs w:val="24"/>
                <w:highlight w:val="none"/>
                <w:lang w:val="en-US" w:eastAsia="zh-CN"/>
              </w:rPr>
              <w:t>.1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磋商预备会</w:t>
            </w:r>
          </w:p>
        </w:tc>
        <w:tc>
          <w:tcPr>
            <w:tcW w:w="7516" w:type="dxa"/>
            <w:vAlign w:val="center"/>
          </w:tcPr>
          <w:p>
            <w:pPr>
              <w:pStyle w:val="4"/>
              <w:snapToGrid w:val="0"/>
              <w:spacing w:before="0" w:after="0" w:line="360" w:lineRule="auto"/>
              <w:ind w:left="0" w:leftChars="0" w:right="0" w:rightChars="0" w:firstLine="0" w:firstLineChars="0"/>
              <w:jc w:val="left"/>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 xml:space="preserve">不召开         </w:t>
            </w:r>
            <w:r>
              <w:rPr>
                <w:rFonts w:hint="eastAsia" w:ascii="宋体" w:hAnsi="宋体" w:eastAsia="宋体" w:cs="宋体"/>
                <w:b w:val="0"/>
                <w:bCs w:val="0"/>
                <w:color w:val="auto"/>
                <w:kern w:val="2"/>
                <w:sz w:val="24"/>
                <w:szCs w:val="24"/>
                <w:highlight w:val="none"/>
              </w:rPr>
              <w:fldChar w:fldCharType="begin"/>
            </w:r>
            <w:r>
              <w:rPr>
                <w:rFonts w:hint="eastAsia" w:ascii="宋体" w:hAnsi="宋体" w:eastAsia="宋体" w:cs="宋体"/>
                <w:b w:val="0"/>
                <w:bCs w:val="0"/>
                <w:color w:val="auto"/>
                <w:kern w:val="2"/>
                <w:sz w:val="24"/>
                <w:szCs w:val="24"/>
                <w:highlight w:val="none"/>
              </w:rPr>
              <w:instrText xml:space="preserve"> eq \o\ac(</w:instrText>
            </w:r>
            <w:r>
              <w:rPr>
                <w:rFonts w:hint="eastAsia" w:ascii="宋体" w:hAnsi="宋体" w:eastAsia="宋体" w:cs="宋体"/>
                <w:b w:val="0"/>
                <w:bCs w:val="0"/>
                <w:color w:val="auto"/>
                <w:kern w:val="2"/>
                <w:position w:val="-4"/>
                <w:sz w:val="36"/>
                <w:szCs w:val="24"/>
                <w:highlight w:val="none"/>
              </w:rPr>
              <w:instrText xml:space="preserve">□</w:instrText>
            </w:r>
            <w:r>
              <w:rPr>
                <w:rFonts w:hint="eastAsia" w:ascii="宋体" w:hAnsi="宋体" w:eastAsia="宋体" w:cs="宋体"/>
                <w:b w:val="0"/>
                <w:bCs w:val="0"/>
                <w:color w:val="auto"/>
                <w:kern w:val="2"/>
                <w:position w:val="0"/>
                <w:sz w:val="24"/>
                <w:szCs w:val="24"/>
                <w:highlight w:val="none"/>
              </w:rPr>
              <w:instrText xml:space="preserve">)</w:instrText>
            </w:r>
            <w:r>
              <w:rPr>
                <w:rFonts w:hint="eastAsia" w:ascii="宋体" w:hAnsi="宋体" w:eastAsia="宋体" w:cs="宋体"/>
                <w:b w:val="0"/>
                <w:bCs w:val="0"/>
                <w:color w:val="auto"/>
                <w:kern w:val="2"/>
                <w:sz w:val="24"/>
                <w:szCs w:val="24"/>
                <w:highlight w:val="none"/>
              </w:rPr>
              <w:fldChar w:fldCharType="end"/>
            </w:r>
            <w:r>
              <w:rPr>
                <w:rFonts w:hint="eastAsia" w:ascii="宋体" w:hAnsi="宋体" w:eastAsia="宋体" w:cs="宋体"/>
                <w:b w:val="0"/>
                <w:bCs w:val="0"/>
                <w:color w:val="auto"/>
                <w:kern w:val="2"/>
                <w:sz w:val="24"/>
                <w:szCs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供应商提出问题的截止时间和方法</w:t>
            </w:r>
          </w:p>
        </w:tc>
        <w:tc>
          <w:tcPr>
            <w:tcW w:w="7516" w:type="dxa"/>
            <w:vAlign w:val="center"/>
          </w:tcPr>
          <w:p>
            <w:pPr>
              <w:autoSpaceDE w:val="0"/>
              <w:autoSpaceDN w:val="0"/>
              <w:adjustRightInd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rPr>
              <w:t>即</w:t>
            </w:r>
            <w:r>
              <w:rPr>
                <w:rFonts w:hint="eastAsia" w:ascii="宋体" w:hAnsi="宋体" w:eastAsia="宋体" w:cs="宋体"/>
                <w:color w:val="auto"/>
                <w:kern w:val="2"/>
                <w:sz w:val="24"/>
                <w:szCs w:val="24"/>
                <w:highlight w:val="none"/>
                <w:lang w:val="en-US" w:eastAsia="zh-CN" w:bidi="ar-SA"/>
              </w:rPr>
              <w:t>获取采购文件或者采购文件公告期限届满之日起</w:t>
            </w:r>
            <w:r>
              <w:rPr>
                <w:rFonts w:hint="eastAsia" w:ascii="宋体" w:hAnsi="宋体" w:cs="宋体"/>
                <w:color w:val="auto"/>
                <w:kern w:val="2"/>
                <w:sz w:val="24"/>
                <w:szCs w:val="24"/>
                <w:highlight w:val="none"/>
                <w:lang w:val="en-US" w:eastAsia="zh-CN" w:bidi="ar-SA"/>
              </w:rPr>
              <w:t>7</w:t>
            </w:r>
            <w:r>
              <w:rPr>
                <w:rFonts w:hint="eastAsia" w:ascii="宋体" w:hAnsi="宋体" w:eastAsia="宋体" w:cs="宋体"/>
                <w:color w:val="auto"/>
                <w:kern w:val="2"/>
                <w:sz w:val="24"/>
                <w:szCs w:val="24"/>
                <w:highlight w:val="none"/>
                <w:lang w:val="en-US" w:eastAsia="zh-CN" w:bidi="ar-SA"/>
              </w:rPr>
              <w:t>个工作日内一次性提出针对同一采购程序环节的质疑。</w:t>
            </w:r>
          </w:p>
          <w:p>
            <w:pPr>
              <w:autoSpaceDE w:val="0"/>
              <w:autoSpaceDN w:val="0"/>
              <w:adjustRightInd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接收质疑函的方式：纸质书面接收或电子邮件接收</w:t>
            </w:r>
          </w:p>
          <w:p>
            <w:pPr>
              <w:autoSpaceDE w:val="0"/>
              <w:autoSpaceDN w:val="0"/>
              <w:adjustRightInd w:val="0"/>
              <w:spacing w:line="36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电子邮箱：</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HYPERLINK "mailto:2847254176@qq.com。"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1823000485@qq.com</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p>
          <w:p>
            <w:pPr>
              <w:pageBreakBefore w:val="0"/>
              <w:kinsoku/>
              <w:overflowPunct/>
              <w:topLinePunct w:val="0"/>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联系方式：0692-</w:t>
            </w:r>
            <w:r>
              <w:rPr>
                <w:rFonts w:hint="eastAsia" w:ascii="宋体" w:hAnsi="宋体" w:eastAsia="宋体" w:cs="宋体"/>
                <w:color w:val="auto"/>
                <w:sz w:val="24"/>
                <w:szCs w:val="24"/>
                <w:highlight w:val="none"/>
                <w:lang w:val="en-US" w:eastAsia="zh-CN"/>
              </w:rPr>
              <w:t>4124466</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通讯地址：</w:t>
            </w:r>
            <w:r>
              <w:rPr>
                <w:rFonts w:hint="eastAsia" w:ascii="宋体" w:hAnsi="宋体" w:eastAsia="宋体" w:cs="宋体"/>
                <w:color w:val="auto"/>
                <w:kern w:val="0"/>
                <w:sz w:val="24"/>
                <w:szCs w:val="24"/>
              </w:rPr>
              <w:t>瑞丽市人民路45号三楼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采购人澄清或修改的时间和方法</w:t>
            </w:r>
          </w:p>
        </w:tc>
        <w:tc>
          <w:tcPr>
            <w:tcW w:w="7516" w:type="dxa"/>
            <w:vAlign w:val="center"/>
          </w:tcPr>
          <w:p>
            <w:pPr>
              <w:pStyle w:val="4"/>
              <w:snapToGrid w:val="0"/>
              <w:spacing w:before="0" w:after="0" w:line="360" w:lineRule="auto"/>
              <w:ind w:left="0" w:leftChars="0" w:right="0" w:rightChars="0" w:firstLine="0" w:firstLineChars="0"/>
              <w:jc w:val="left"/>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（1）时间：磋商截止时间至少5日前；</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法：采购人通过“政采云”平台（网址：https://www.zcygov.cn/)发出采购文件澄清或修改。所有获取了采购文件的潜在供应商登录“政采云”平台（网址：https://www.zcygov.cn/)凭企业身份认证数字证书（CA）查看澄清或修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分包</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 xml:space="preserve">不允许 </w:t>
            </w:r>
          </w:p>
          <w:p>
            <w:pPr>
              <w:snapToGrid w:val="0"/>
              <w:spacing w:line="360" w:lineRule="auto"/>
              <w:ind w:left="0" w:leftChars="0" w:right="0" w:rightChars="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bCs/>
                <w:color w:val="auto"/>
                <w:sz w:val="24"/>
                <w:szCs w:val="24"/>
                <w:highlight w:val="none"/>
              </w:rPr>
              <w:t>允许：</w:t>
            </w:r>
            <w:r>
              <w:rPr>
                <w:rFonts w:hint="eastAsia" w:ascii="宋体" w:hAnsi="宋体" w:eastAsia="宋体" w:cs="宋体"/>
                <w:color w:val="auto"/>
                <w:sz w:val="24"/>
                <w:szCs w:val="24"/>
                <w:highlight w:val="none"/>
              </w:rPr>
              <w:t>分包内容要求：/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偏离</w:t>
            </w:r>
          </w:p>
        </w:tc>
        <w:tc>
          <w:tcPr>
            <w:tcW w:w="7516" w:type="dxa"/>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pPr>
              <w:pStyle w:val="15"/>
              <w:snapToGrid w:val="0"/>
              <w:spacing w:line="360" w:lineRule="auto"/>
              <w:ind w:left="0" w:leftChars="0" w:right="0" w:rightChars="0" w:firstLine="0" w:firstLineChars="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☑允许：</w:t>
            </w:r>
            <w:r>
              <w:rPr>
                <w:rFonts w:hint="eastAsia" w:ascii="宋体" w:hAnsi="宋体" w:eastAsia="宋体" w:cs="宋体"/>
                <w:b/>
                <w:bCs/>
                <w:color w:val="auto"/>
                <w:sz w:val="24"/>
                <w:szCs w:val="24"/>
                <w:highlight w:val="none"/>
              </w:rPr>
              <w:t>除采购货物参数允许偏离外，其余内容不允许偏离。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41"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2.2.1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供应商要求澄清招标文件的截止时间</w:t>
            </w:r>
          </w:p>
        </w:tc>
        <w:tc>
          <w:tcPr>
            <w:tcW w:w="7516" w:type="dxa"/>
            <w:vAlign w:val="center"/>
          </w:tcPr>
          <w:p>
            <w:pPr>
              <w:pStyle w:val="15"/>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1.10.2的时间要求。响应人应仔细阅读和检查磋商文件的全部内容，如发现磋商文件缺页或附件不全，应及时向采购人提出，以便补齐。如有疑问，应在供应商须知前附表规定的时间前凭企业数字证书（CA）登录“政采云”平台（网址：https://www.zcygov.cn/)或以书面形式向采购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采购代理机构提出澄清申请，要求采购人对竞争性磋商文件予以澄清。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2.2.2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磋商截止时间</w:t>
            </w:r>
          </w:p>
          <w:p>
            <w:pPr>
              <w:jc w:val="center"/>
              <w:rPr>
                <w:rFonts w:hint="eastAsia" w:ascii="宋体" w:hAnsi="宋体" w:eastAsia="宋体" w:cs="宋体"/>
                <w:sz w:val="24"/>
                <w:szCs w:val="24"/>
              </w:rPr>
            </w:pPr>
          </w:p>
        </w:tc>
        <w:tc>
          <w:tcPr>
            <w:tcW w:w="7516" w:type="dxa"/>
            <w:vAlign w:val="center"/>
          </w:tcPr>
          <w:p>
            <w:pPr>
              <w:pStyle w:val="4"/>
              <w:snapToGrid w:val="0"/>
              <w:spacing w:line="360" w:lineRule="auto"/>
              <w:ind w:left="0" w:leftChars="0" w:right="0" w:rightChars="0" w:firstLine="0" w:firstLineChars="0"/>
              <w:jc w:val="left"/>
              <w:rPr>
                <w:rFonts w:hint="eastAsia" w:ascii="宋体" w:hAnsi="宋体" w:eastAsia="宋体" w:cs="宋体"/>
                <w:color w:val="auto"/>
                <w:kern w:val="2"/>
                <w:sz w:val="24"/>
                <w:szCs w:val="24"/>
                <w:highlight w:val="none"/>
                <w:lang w:eastAsia="zh-CN"/>
              </w:rPr>
            </w:pPr>
            <w:r>
              <w:rPr>
                <w:rFonts w:hint="eastAsia" w:ascii="宋体" w:hAnsi="宋体" w:eastAsia="宋体" w:cs="宋体"/>
                <w:color w:val="000000" w:themeColor="text1"/>
                <w:kern w:val="2"/>
                <w:sz w:val="24"/>
                <w:szCs w:val="24"/>
                <w:highlight w:val="none"/>
                <w14:textFill>
                  <w14:solidFill>
                    <w14:schemeClr w14:val="tx1"/>
                  </w14:solidFill>
                </w14:textFill>
              </w:rPr>
              <w:t>202</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6</w:t>
            </w:r>
            <w:r>
              <w:rPr>
                <w:rFonts w:hint="eastAsia" w:ascii="宋体" w:hAnsi="宋体" w:eastAsia="宋体" w:cs="宋体"/>
                <w:color w:val="000000" w:themeColor="text1"/>
                <w:kern w:val="2"/>
                <w:sz w:val="24"/>
                <w:szCs w:val="24"/>
                <w:highlight w:val="none"/>
                <w14:textFill>
                  <w14:solidFill>
                    <w14:schemeClr w14:val="tx1"/>
                  </w14:solidFill>
                </w14:textFill>
              </w:rPr>
              <w:t>年</w:t>
            </w:r>
            <w:r>
              <w:rPr>
                <w:rFonts w:hint="eastAsia" w:ascii="宋体" w:hAnsi="宋体" w:cs="宋体"/>
                <w:color w:val="000000" w:themeColor="text1"/>
                <w:kern w:val="2"/>
                <w:sz w:val="24"/>
                <w:szCs w:val="24"/>
                <w:highlight w:val="none"/>
                <w:lang w:val="en-US" w:eastAsia="zh-CN"/>
                <w14:textFill>
                  <w14:solidFill>
                    <w14:schemeClr w14:val="tx1"/>
                  </w14:solidFill>
                </w14:textFill>
              </w:rPr>
              <w:t>06</w:t>
            </w:r>
            <w:r>
              <w:rPr>
                <w:rFonts w:hint="eastAsia" w:ascii="宋体" w:hAnsi="宋体" w:eastAsia="宋体" w:cs="宋体"/>
                <w:color w:val="000000" w:themeColor="text1"/>
                <w:kern w:val="2"/>
                <w:sz w:val="24"/>
                <w:szCs w:val="24"/>
                <w:highlight w:val="none"/>
                <w14:textFill>
                  <w14:solidFill>
                    <w14:schemeClr w14:val="tx1"/>
                  </w14:solidFill>
                </w14:textFill>
              </w:rPr>
              <w:t>月</w:t>
            </w:r>
            <w:r>
              <w:rPr>
                <w:rFonts w:hint="eastAsia" w:ascii="宋体" w:hAnsi="宋体" w:cs="宋体"/>
                <w:color w:val="000000" w:themeColor="text1"/>
                <w:kern w:val="2"/>
                <w:sz w:val="24"/>
                <w:szCs w:val="24"/>
                <w:highlight w:val="none"/>
                <w:lang w:val="en-US" w:eastAsia="zh-CN"/>
                <w14:textFill>
                  <w14:solidFill>
                    <w14:schemeClr w14:val="tx1"/>
                  </w14:solidFill>
                </w14:textFill>
              </w:rPr>
              <w:t>22</w:t>
            </w:r>
            <w:r>
              <w:rPr>
                <w:rFonts w:hint="eastAsia" w:ascii="宋体" w:hAnsi="宋体" w:eastAsia="宋体" w:cs="宋体"/>
                <w:color w:val="000000" w:themeColor="text1"/>
                <w:kern w:val="2"/>
                <w:sz w:val="24"/>
                <w:szCs w:val="24"/>
                <w:highlight w:val="none"/>
                <w14:textFill>
                  <w14:solidFill>
                    <w14:schemeClr w14:val="tx1"/>
                  </w14:solidFill>
                </w14:textFill>
              </w:rPr>
              <w:t>日</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kern w:val="2"/>
                <w:sz w:val="24"/>
                <w:szCs w:val="24"/>
                <w:highlight w:val="none"/>
                <w14:textFill>
                  <w14:solidFill>
                    <w14:schemeClr w14:val="tx1"/>
                  </w14:solidFill>
                </w14:textFill>
              </w:rPr>
              <w:t>：00</w:t>
            </w:r>
            <w:r>
              <w:rPr>
                <w:rFonts w:hint="eastAsia" w:ascii="宋体" w:hAnsi="宋体" w:eastAsia="宋体" w:cs="宋体"/>
                <w:color w:val="000000" w:themeColor="text1"/>
                <w:kern w:val="2"/>
                <w:sz w:val="24"/>
                <w:szCs w:val="24"/>
                <w:highlight w:val="non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5"/>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供应商确认收到招标文件澄清的时间</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磋商文件的澄清和补遗全部通过“政采云”平台（网址：https://www.zcygov.cn/)通知所有供应商，如果澄清发出的时间距供应商须知前附表规定的磋商截止时间不足5</w:t>
            </w:r>
            <w:r>
              <w:rPr>
                <w:rFonts w:hint="eastAsia" w:ascii="宋体" w:hAnsi="宋体" w:eastAsia="宋体" w:cs="宋体"/>
                <w:color w:val="auto"/>
                <w:sz w:val="24"/>
                <w:szCs w:val="24"/>
                <w:highlight w:val="none"/>
                <w:lang w:eastAsia="zh-CN"/>
              </w:rPr>
              <w:t>日</w:t>
            </w:r>
            <w:r>
              <w:rPr>
                <w:rFonts w:hint="eastAsia" w:ascii="宋体" w:hAnsi="宋体" w:eastAsia="宋体" w:cs="宋体"/>
                <w:color w:val="auto"/>
                <w:sz w:val="24"/>
                <w:szCs w:val="24"/>
                <w:highlight w:val="none"/>
              </w:rPr>
              <w:t>，并且澄清内容影响磋商响应文件编制的，应相应延长磋商截止时间。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4"/>
              <w:snapToGrid w:val="0"/>
              <w:spacing w:line="240" w:lineRule="auto"/>
              <w:ind w:left="0" w:leftChars="0" w:right="0" w:rightChars="0" w:firstLine="0" w:firstLineChars="0"/>
              <w:jc w:val="center"/>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2.3.2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供应商确认收到招标文件修改的时间</w:t>
            </w:r>
          </w:p>
        </w:tc>
        <w:tc>
          <w:tcPr>
            <w:tcW w:w="7516" w:type="dxa"/>
            <w:vAlign w:val="center"/>
          </w:tcPr>
          <w:p>
            <w:pP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供应商自行登录“政采云”平台（网址：https://www.zcygov.cn/)获取澄清，无须回复确认已收到该澄清。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4" w:hRule="atLeast"/>
          <w:jc w:val="center"/>
        </w:trPr>
        <w:tc>
          <w:tcPr>
            <w:tcW w:w="823" w:type="dxa"/>
            <w:vAlign w:val="center"/>
          </w:tcPr>
          <w:p>
            <w:pPr>
              <w:pStyle w:val="4"/>
              <w:snapToGrid w:val="0"/>
              <w:spacing w:line="240" w:lineRule="auto"/>
              <w:ind w:left="0" w:leftChars="0" w:right="0" w:rightChars="0" w:firstLine="0" w:firstLineChars="0"/>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3.1.1</w:t>
            </w:r>
          </w:p>
        </w:tc>
        <w:tc>
          <w:tcPr>
            <w:tcW w:w="1857" w:type="dxa"/>
            <w:vAlign w:val="center"/>
          </w:tcPr>
          <w:p>
            <w:pPr>
              <w:jc w:val="center"/>
              <w:rPr>
                <w:rFonts w:hint="eastAsia" w:ascii="宋体" w:hAnsi="宋体" w:eastAsia="宋体" w:cs="宋体"/>
                <w:sz w:val="24"/>
                <w:szCs w:val="24"/>
              </w:rPr>
            </w:pPr>
            <w:r>
              <w:rPr>
                <w:rFonts w:hint="eastAsia"/>
                <w:sz w:val="24"/>
                <w:szCs w:val="24"/>
              </w:rPr>
              <w:t>构成磋商响应文件的其他材料</w:t>
            </w:r>
          </w:p>
        </w:tc>
        <w:tc>
          <w:tcPr>
            <w:tcW w:w="7516" w:type="dxa"/>
            <w:vAlign w:val="center"/>
          </w:tcPr>
          <w:p>
            <w:pPr>
              <w:snapToGrid w:val="0"/>
              <w:spacing w:line="24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响应文件的澄清、补充、修改、答疑及供应商</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、承诺等。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djustRightInd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磋商报价</w:t>
            </w:r>
          </w:p>
        </w:tc>
        <w:tc>
          <w:tcPr>
            <w:tcW w:w="7516" w:type="dxa"/>
            <w:vAlign w:val="center"/>
          </w:tcPr>
          <w:p>
            <w:pPr>
              <w:wordWrap w:val="0"/>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（1）本次</w:t>
            </w: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lang w:eastAsia="zh-CN"/>
              </w:rPr>
              <w:t>报价为综合报价，报价应为人民币含税价（元），包括货物成本价格、</w:t>
            </w:r>
            <w:r>
              <w:rPr>
                <w:rFonts w:hint="eastAsia" w:ascii="宋体" w:hAnsi="宋体" w:eastAsia="宋体" w:cs="宋体"/>
                <w:b/>
                <w:bCs/>
                <w:color w:val="auto"/>
                <w:sz w:val="24"/>
                <w:szCs w:val="24"/>
                <w:highlight w:val="none"/>
                <w:lang w:val="en-US" w:eastAsia="zh-CN"/>
              </w:rPr>
              <w:t>运输</w:t>
            </w:r>
            <w:r>
              <w:rPr>
                <w:rFonts w:hint="eastAsia" w:ascii="宋体" w:hAnsi="宋体" w:eastAsia="宋体" w:cs="宋体"/>
                <w:b/>
                <w:bCs/>
                <w:color w:val="auto"/>
                <w:sz w:val="24"/>
                <w:szCs w:val="24"/>
                <w:highlight w:val="none"/>
                <w:lang w:eastAsia="zh-CN"/>
              </w:rPr>
              <w:t>、安装、</w:t>
            </w:r>
            <w:r>
              <w:rPr>
                <w:rFonts w:hint="eastAsia" w:ascii="宋体" w:hAnsi="宋体" w:eastAsia="宋体" w:cs="宋体"/>
                <w:b/>
                <w:bCs/>
                <w:color w:val="auto"/>
                <w:sz w:val="24"/>
                <w:szCs w:val="24"/>
                <w:highlight w:val="none"/>
                <w:lang w:val="en-US" w:eastAsia="zh-CN"/>
              </w:rPr>
              <w:t>辅材配件、</w:t>
            </w:r>
            <w:r>
              <w:rPr>
                <w:rFonts w:hint="eastAsia" w:ascii="宋体" w:hAnsi="宋体" w:eastAsia="宋体" w:cs="宋体"/>
                <w:b/>
                <w:bCs/>
                <w:color w:val="auto"/>
                <w:sz w:val="24"/>
                <w:szCs w:val="24"/>
                <w:highlight w:val="none"/>
                <w:lang w:eastAsia="zh-CN"/>
              </w:rPr>
              <w:t>培训、</w:t>
            </w:r>
            <w:r>
              <w:rPr>
                <w:rFonts w:hint="eastAsia" w:ascii="宋体" w:hAnsi="宋体" w:eastAsia="宋体" w:cs="宋体"/>
                <w:b/>
                <w:bCs/>
                <w:color w:val="auto"/>
                <w:sz w:val="24"/>
                <w:szCs w:val="24"/>
                <w:highlight w:val="none"/>
                <w:lang w:val="en-US" w:eastAsia="zh-CN"/>
              </w:rPr>
              <w:t>售后、税费等</w:t>
            </w:r>
            <w:r>
              <w:rPr>
                <w:rFonts w:hint="eastAsia" w:ascii="宋体" w:hAnsi="宋体" w:eastAsia="宋体" w:cs="宋体"/>
                <w:b/>
                <w:bCs/>
                <w:color w:val="auto"/>
                <w:sz w:val="24"/>
                <w:szCs w:val="24"/>
                <w:highlight w:val="none"/>
                <w:lang w:eastAsia="zh-CN"/>
              </w:rPr>
              <w:t>所有费用。</w:t>
            </w:r>
          </w:p>
          <w:p>
            <w:pPr>
              <w:wordWrap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报价不得低于成本价。</w:t>
            </w:r>
          </w:p>
          <w:p>
            <w:pPr>
              <w:wordWrap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响应人</w:t>
            </w:r>
            <w:r>
              <w:rPr>
                <w:rFonts w:hint="eastAsia" w:ascii="宋体" w:hAnsi="宋体" w:eastAsia="宋体" w:cs="宋体"/>
                <w:color w:val="auto"/>
                <w:sz w:val="24"/>
                <w:szCs w:val="24"/>
                <w:highlight w:val="none"/>
                <w:lang w:eastAsia="zh-CN"/>
              </w:rPr>
              <w:t>应承担所有与参加</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有关的自身的所有费用，不论采购的结果如何，采购代理机构和采购人在任何情况下均无义务和责任承担这些费用。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1"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3.2.1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最高限价</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1186807.98元</w:t>
            </w:r>
            <w:r>
              <w:rPr>
                <w:rFonts w:hint="eastAsia" w:ascii="宋体" w:hAnsi="宋体" w:eastAsia="宋体" w:cs="宋体"/>
                <w:b w:val="0"/>
                <w:bCs w:val="0"/>
                <w:color w:val="auto"/>
                <w:sz w:val="24"/>
                <w:szCs w:val="24"/>
                <w:highlight w:val="none"/>
                <w:lang w:eastAsia="zh-CN"/>
              </w:rPr>
              <w:t>（含</w:t>
            </w:r>
            <w:r>
              <w:rPr>
                <w:rFonts w:hint="eastAsia" w:ascii="宋体" w:hAnsi="宋体" w:eastAsia="宋体" w:cs="宋体"/>
                <w:b w:val="0"/>
                <w:bCs w:val="0"/>
                <w:color w:val="auto"/>
                <w:sz w:val="24"/>
                <w:szCs w:val="24"/>
                <w:highlight w:val="none"/>
                <w:lang w:val="en-US" w:eastAsia="zh-CN"/>
              </w:rPr>
              <w:t>运输</w:t>
            </w:r>
            <w:r>
              <w:rPr>
                <w:rFonts w:hint="eastAsia" w:ascii="宋体" w:hAnsi="宋体" w:eastAsia="宋体" w:cs="宋体"/>
                <w:b w:val="0"/>
                <w:bCs w:val="0"/>
                <w:color w:val="auto"/>
                <w:sz w:val="24"/>
                <w:szCs w:val="24"/>
                <w:highlight w:val="none"/>
                <w:lang w:eastAsia="zh-CN"/>
              </w:rPr>
              <w:t>、安装、</w:t>
            </w:r>
            <w:r>
              <w:rPr>
                <w:rFonts w:hint="eastAsia" w:ascii="宋体" w:hAnsi="宋体" w:eastAsia="宋体" w:cs="宋体"/>
                <w:b w:val="0"/>
                <w:bCs w:val="0"/>
                <w:color w:val="auto"/>
                <w:sz w:val="24"/>
                <w:szCs w:val="24"/>
                <w:highlight w:val="none"/>
                <w:lang w:val="en-US" w:eastAsia="zh-CN"/>
              </w:rPr>
              <w:t>辅材配件、</w:t>
            </w:r>
            <w:r>
              <w:rPr>
                <w:rFonts w:hint="eastAsia" w:ascii="宋体" w:hAnsi="宋体" w:eastAsia="宋体" w:cs="宋体"/>
                <w:b w:val="0"/>
                <w:bCs w:val="0"/>
                <w:color w:val="auto"/>
                <w:sz w:val="24"/>
                <w:szCs w:val="24"/>
                <w:highlight w:val="none"/>
                <w:lang w:eastAsia="zh-CN"/>
              </w:rPr>
              <w:t>培训、</w:t>
            </w:r>
            <w:r>
              <w:rPr>
                <w:rFonts w:hint="eastAsia" w:ascii="宋体" w:hAnsi="宋体" w:eastAsia="宋体" w:cs="宋体"/>
                <w:b w:val="0"/>
                <w:bCs w:val="0"/>
                <w:color w:val="auto"/>
                <w:sz w:val="24"/>
                <w:szCs w:val="24"/>
                <w:highlight w:val="none"/>
                <w:lang w:val="en-US" w:eastAsia="zh-CN"/>
              </w:rPr>
              <w:t>售后、税费等</w:t>
            </w:r>
            <w:r>
              <w:rPr>
                <w:rFonts w:hint="eastAsia" w:ascii="宋体" w:hAnsi="宋体" w:eastAsia="宋体" w:cs="宋体"/>
                <w:b w:val="0"/>
                <w:bCs w:val="0"/>
                <w:color w:val="auto"/>
                <w:sz w:val="24"/>
                <w:szCs w:val="24"/>
                <w:highlight w:val="none"/>
                <w:lang w:eastAsia="zh-CN"/>
              </w:rPr>
              <w:t>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5"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磋商有效期</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90日历天（自递交响应文件截止时间之日起）。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1857" w:type="dxa"/>
            <w:vAlign w:val="center"/>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磋商保证金</w:t>
            </w:r>
          </w:p>
        </w:tc>
        <w:tc>
          <w:tcPr>
            <w:tcW w:w="7516" w:type="dxa"/>
            <w:vAlign w:val="center"/>
          </w:tcPr>
          <w:p>
            <w:pPr>
              <w:keepNext w:val="0"/>
              <w:keepLines w:val="0"/>
              <w:pageBreakBefore w:val="0"/>
              <w:widowControl/>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b/>
                <w:bCs/>
                <w:color w:val="auto"/>
                <w:kern w:val="2"/>
                <w:sz w:val="24"/>
                <w:szCs w:val="24"/>
                <w:highlight w:val="none"/>
                <w:lang w:eastAsia="zh-CN"/>
              </w:rPr>
            </w:pP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val="en-US" w:eastAsia="zh-CN"/>
              </w:rPr>
              <w:t>1</w:t>
            </w:r>
            <w:r>
              <w:rPr>
                <w:rFonts w:hint="eastAsia" w:ascii="宋体" w:hAnsi="宋体" w:eastAsia="宋体" w:cs="宋体"/>
                <w:b/>
                <w:bCs/>
                <w:color w:val="auto"/>
                <w:kern w:val="2"/>
                <w:sz w:val="24"/>
                <w:szCs w:val="24"/>
                <w:highlight w:val="none"/>
              </w:rPr>
              <w:t>)投标保证金缴纳金额：</w:t>
            </w:r>
            <w:r>
              <w:rPr>
                <w:rFonts w:hint="eastAsia" w:ascii="宋体" w:hAnsi="宋体" w:eastAsia="宋体" w:cs="宋体"/>
                <w:b/>
                <w:bCs/>
                <w:color w:val="auto"/>
                <w:kern w:val="2"/>
                <w:sz w:val="24"/>
                <w:szCs w:val="24"/>
                <w:highlight w:val="none"/>
                <w:lang w:val="en-US" w:eastAsia="zh-CN"/>
              </w:rPr>
              <w:t>¥10000.00元。</w:t>
            </w:r>
          </w:p>
          <w:p>
            <w:pPr>
              <w:keepNext w:val="0"/>
              <w:keepLines w:val="0"/>
              <w:pageBreakBefore w:val="0"/>
              <w:widowControl/>
              <w:kinsoku/>
              <w:wordWrap w:val="0"/>
              <w:overflowPunct/>
              <w:topLinePunct w:val="0"/>
              <w:autoSpaceDE w:val="0"/>
              <w:autoSpaceDN w:val="0"/>
              <w:bidi w:val="0"/>
              <w:adjustRightInd/>
              <w:snapToGrid/>
              <w:spacing w:line="360" w:lineRule="auto"/>
              <w:jc w:val="both"/>
              <w:textAlignment w:val="auto"/>
              <w:rPr>
                <w:rFonts w:hint="eastAsia"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(2)可以采用“银行转账”、“银行保函”、“投标保证保险”任一方式，其中采用“银行转账”方式的，投标人以支票、汇票、本票、网上银行支付等非现金形式汇入指定账户：</w:t>
            </w:r>
          </w:p>
          <w:p>
            <w:pPr>
              <w:spacing w:line="360"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开户银行：中国工商银行股份有限公司瑞丽支行 </w:t>
            </w:r>
          </w:p>
          <w:p>
            <w:pPr>
              <w:spacing w:line="360"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户名：瑞丽市宏顺招标服务有限公司</w:t>
            </w:r>
          </w:p>
          <w:p>
            <w:pPr>
              <w:spacing w:line="360"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账号： 2511027709200005210    </w:t>
            </w:r>
          </w:p>
          <w:p>
            <w:pPr>
              <w:snapToGrid w:val="0"/>
              <w:spacing w:line="360" w:lineRule="auto"/>
              <w:ind w:left="0" w:leftChars="0" w:right="0" w:rightChars="0" w:firstLine="240" w:firstLineChars="1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lang w:val="en-US" w:eastAsia="zh-CN"/>
              </w:rPr>
              <w:t>财务室联系电话：0692-4124466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pStyle w:val="1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w:t>
            </w:r>
          </w:p>
        </w:tc>
        <w:tc>
          <w:tcPr>
            <w:tcW w:w="1857"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投标保证金的退还</w:t>
            </w:r>
          </w:p>
        </w:tc>
        <w:tc>
          <w:tcPr>
            <w:tcW w:w="7516" w:type="dxa"/>
            <w:vAlign w:val="center"/>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投标保证金退还到投标人的基本账户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w:t>
            </w:r>
          </w:p>
        </w:tc>
        <w:tc>
          <w:tcPr>
            <w:tcW w:w="1857"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资格审查方式</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36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w:t>
            </w:r>
          </w:p>
        </w:tc>
        <w:tc>
          <w:tcPr>
            <w:tcW w:w="1857" w:type="dxa"/>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lang w:val="en-US" w:eastAsia="zh-CN"/>
              </w:rPr>
              <w:t>响应</w:t>
            </w:r>
            <w:r>
              <w:rPr>
                <w:rFonts w:hint="eastAsia" w:ascii="宋体" w:hAnsi="宋体" w:eastAsia="宋体" w:cs="宋体"/>
                <w:sz w:val="24"/>
                <w:szCs w:val="24"/>
              </w:rPr>
              <w:t>文件的加密</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（1）供应商进行电子交易应安装客户端软件—“政采云电子交易客户端”，并按照磋商文件和电子交易平台的要求编制并加密响应文件。供应商未按规定加密的响应文件，电子交易平台将拒收并提示；</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（2）使用“政采云电子交易客户端”需要提前申领 CA 数字证书，申领流程见该项目采购公告；</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（3）为确保网上操作合法、有效和安全，供应商应当在响应文件提交截止时间前完成在“政府采购云 平台”的身份认证，确保在电子交易过程中能够对相关数据电文进行加密和使用电子签名。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响应</w:t>
            </w:r>
            <w:r>
              <w:rPr>
                <w:rFonts w:hint="eastAsia" w:ascii="宋体" w:hAnsi="宋体" w:eastAsia="宋体" w:cs="宋体"/>
                <w:sz w:val="24"/>
                <w:szCs w:val="24"/>
              </w:rPr>
              <w:t>文件签字或盖章要求</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按照响应文件格式要求，采用单位电子公章及电子签名。投标文件格式需要加盖电子公章及电子签名的地方进行电子签章，其余部分须逐页加盖电子公章。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竞争性磋商响应文件的提交方式</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登录“政采云”平台</w:t>
            </w:r>
            <w:r>
              <w:rPr>
                <w:rFonts w:hint="eastAsia" w:ascii="宋体" w:hAnsi="宋体" w:eastAsia="宋体" w:cs="宋体"/>
                <w:bCs/>
                <w:color w:val="auto"/>
                <w:kern w:val="0"/>
                <w:sz w:val="24"/>
                <w:szCs w:val="24"/>
                <w:highlight w:val="none"/>
              </w:rPr>
              <w:t>（网址：http://www.zcygov.cn）</w:t>
            </w:r>
            <w:r>
              <w:rPr>
                <w:rFonts w:hint="eastAsia" w:ascii="宋体" w:hAnsi="宋体" w:eastAsia="宋体" w:cs="宋体"/>
                <w:color w:val="auto"/>
                <w:sz w:val="24"/>
                <w:szCs w:val="24"/>
                <w:highlight w:val="none"/>
              </w:rPr>
              <w:t>递交电子响应文件。注：响应文件全部采用电子文档，供应商应安装客户端软件—“政采云电子交易客户端”，并按照竞争性磋商文件和政采云电子交易平台的要求编制，编制后应进行电子签章、签名及加密。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响应文件递交地点及截止时间</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截止时间：同磋商截止时间</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递交地点：“政采云”平台（网址：http://www.zcygov.cn）。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响应文件解密</w:t>
            </w:r>
          </w:p>
        </w:tc>
        <w:tc>
          <w:tcPr>
            <w:tcW w:w="7516" w:type="dxa"/>
            <w:vAlign w:val="center"/>
          </w:tcPr>
          <w:p>
            <w:pPr>
              <w:numPr>
                <w:ilvl w:val="0"/>
                <w:numId w:val="3"/>
              </w:num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采购代理机构在电子交易平台发起开始解密指令，供应商须使用加密时所用的CA锁按平台提示和采购文件的规定登录到“政采云”平台电子开标大厅签到并在发起解密指令之时起</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0分钟</w:t>
            </w:r>
            <w:r>
              <w:rPr>
                <w:rFonts w:hint="eastAsia" w:ascii="宋体" w:hAnsi="宋体" w:eastAsia="宋体" w:cs="宋体"/>
                <w:color w:val="auto"/>
                <w:sz w:val="24"/>
                <w:szCs w:val="24"/>
                <w:highlight w:val="none"/>
              </w:rPr>
              <w:t>内完成对电子响应文件在线解密。响应文件未按时解密的，视为无效响应。</w:t>
            </w:r>
          </w:p>
          <w:p>
            <w:pPr>
              <w:numPr>
                <w:ilvl w:val="0"/>
                <w:numId w:val="3"/>
              </w:num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发起解密指令之时起5分钟内供应商还未进行解密的，代理机构可通知供应商，供应商未预留联系方式或预留联系方式无效，导致代理机构无法联系到供应商进行解密的，视为撤回响应文件。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磋商时间及地点</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开标时间：同响应文件递交截止时间</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开标地点：“政采云”平台开标大厅（https://www.zcygov.cn/），会议地点为</w:t>
            </w:r>
            <w:r>
              <w:rPr>
                <w:rFonts w:hint="eastAsia" w:ascii="宋体" w:hAnsi="宋体" w:eastAsia="宋体" w:cs="宋体"/>
                <w:color w:val="auto"/>
                <w:sz w:val="24"/>
                <w:szCs w:val="24"/>
              </w:rPr>
              <w:t>瑞丽市宏顺招标服务有限公司三楼开标室。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磋商小组组建</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磋商小组人数：3人。</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专家确定方式：在云南省政府采购网评审专家库中随机抽取的专家及采购人代表组成，其中：评审专家不得少于评审组成员的三分之二；采购人应当授权代表参加评审组，人数不得超过评审组成员总数的三分之一，采购人代表不得以评审专家身份参加评审或者担任评审组长。</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注：特殊情况经审批后确定。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snapToGrid w:val="0"/>
              <w:spacing w:line="240" w:lineRule="auto"/>
              <w:ind w:left="0" w:leftChars="0" w:right="0" w:rightChars="0" w:firstLine="0" w:firstLineChars="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是否授权磋商</w:t>
            </w:r>
          </w:p>
          <w:p>
            <w:pPr>
              <w:jc w:val="center"/>
              <w:rPr>
                <w:rFonts w:hint="eastAsia" w:ascii="宋体" w:hAnsi="宋体" w:eastAsia="宋体" w:cs="宋体"/>
                <w:sz w:val="24"/>
                <w:szCs w:val="24"/>
              </w:rPr>
            </w:pPr>
            <w:r>
              <w:rPr>
                <w:rFonts w:hint="eastAsia" w:ascii="宋体" w:hAnsi="宋体" w:eastAsia="宋体" w:cs="宋体"/>
                <w:sz w:val="24"/>
                <w:szCs w:val="24"/>
              </w:rPr>
              <w:t>小组确定成交</w:t>
            </w:r>
          </w:p>
          <w:p>
            <w:pPr>
              <w:jc w:val="center"/>
              <w:rPr>
                <w:rFonts w:hint="eastAsia" w:ascii="宋体" w:hAnsi="宋体" w:eastAsia="宋体" w:cs="宋体"/>
                <w:sz w:val="24"/>
                <w:szCs w:val="24"/>
              </w:rPr>
            </w:pPr>
            <w:r>
              <w:rPr>
                <w:rFonts w:hint="eastAsia" w:ascii="宋体" w:hAnsi="宋体" w:eastAsia="宋体" w:cs="宋体"/>
                <w:sz w:val="24"/>
                <w:szCs w:val="24"/>
              </w:rPr>
              <w:t>供应商</w:t>
            </w:r>
          </w:p>
        </w:tc>
        <w:tc>
          <w:tcPr>
            <w:tcW w:w="7516" w:type="dxa"/>
            <w:vAlign w:val="center"/>
          </w:tcPr>
          <w:p>
            <w:pPr>
              <w:pStyle w:val="47"/>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是</w:t>
            </w:r>
          </w:p>
          <w:p>
            <w:pPr>
              <w:pStyle w:val="47"/>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position w:val="-4"/>
                <w:sz w:val="36"/>
                <w:szCs w:val="24"/>
                <w:highlight w:val="none"/>
              </w:rPr>
              <w:instrText xml:space="preserve">□</w:instrText>
            </w:r>
            <w:r>
              <w:rPr>
                <w:rFonts w:hint="eastAsia" w:ascii="宋体" w:hAnsi="宋体" w:eastAsia="宋体" w:cs="宋体"/>
                <w:color w:val="auto"/>
                <w:position w:val="0"/>
                <w:sz w:val="24"/>
                <w:szCs w:val="24"/>
                <w:highlight w:val="none"/>
              </w:rPr>
              <w:instrText xml:space="preserve">,√)</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推荐的成交候选人数：3人，磋商小组依据本磋商文件规定的评标标准和方法，对按最终得分从高到低的顺序推荐出3名成交候选人。采购人依据磋商小组推荐的成交候选人排序确定第一成交候选人为本项目的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成交公示</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公告媒介同竞争性磋商公告发布媒介，公示期为1个工作日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履约保证金</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是否要求中标人提交履约保证金：</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□要求</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履约保证金的金额：/。                             </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重新采购</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纪律和监督</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知识产权</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监  督</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解释权</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磋商文件是根据《中华人民共和国政府采购法》及实施条例、财政部94号、101号令、《政府采购竞争性磋商采购方式管理暂行办法》等现行相关法律、法规的规定以及参照国际惯例编制，构成本磋商文件的各个组成文件应互为补充、互为说明、互为解释；如有不明确或不一致，构成合同文件组成内容的，以合同文件约定内容为准，且以专用合同条款约定的合同文件优先顺序解释；除磋商文件中有特别规定外，仅适用于招标投标阶段的规定，按磋商公告（磋商邀请书）、供应商须知、评标办法、响应文件格式的先后顺序解释；同一组成文件中就同一事项的规定或约定不一致的，以编排顺序在后者为准；同一组成文件不同版本之间有不一致的，以形成时间在后者为准。供应商须知正文与前附表不一致的以前附表为准。按本款前述规定仍不能形成结论的，由采购人负责解释。</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（2）供应商若接受本磋商文件的所有条款可继续参与磋商，否则可放弃磋商。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确定成交供应商</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采购人（或采购人授权的磋商小组）按照磋商小组推荐成交候选人的顺序确定成交人。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w:t>
            </w:r>
          </w:p>
        </w:tc>
        <w:tc>
          <w:tcPr>
            <w:tcW w:w="9373" w:type="dxa"/>
            <w:gridSpan w:val="2"/>
            <w:vAlign w:val="center"/>
          </w:tcPr>
          <w:p>
            <w:pPr>
              <w:spacing w:line="360" w:lineRule="auto"/>
              <w:jc w:val="center"/>
              <w:rPr>
                <w:rFonts w:hint="eastAsia" w:ascii="宋体" w:hAnsi="宋体" w:eastAsia="宋体" w:cs="宋体"/>
                <w:sz w:val="24"/>
                <w:szCs w:val="24"/>
              </w:rPr>
            </w:pPr>
            <w:r>
              <w:rPr>
                <w:rFonts w:hint="eastAsia" w:ascii="宋体" w:hAnsi="宋体" w:eastAsia="宋体" w:cs="宋体"/>
                <w:sz w:val="24"/>
                <w:szCs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.1</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追加合同金额</w:t>
            </w:r>
          </w:p>
        </w:tc>
        <w:tc>
          <w:tcPr>
            <w:tcW w:w="7516" w:type="dxa"/>
            <w:vAlign w:val="center"/>
          </w:tcPr>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履行中，采购人需追加与合同标的相同的服务的，在不改变合同其他条款的前提下，可以与成交供应商签订补充合同，但所有补充合同的采购金额变更不得超过原合同采购金额的10%，其中金额增加需办理合同追加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采购标的对应的中小企业划分标准所属行业</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标的：</w:t>
            </w:r>
            <w:r>
              <w:rPr>
                <w:rFonts w:hint="eastAsia" w:ascii="宋体" w:hAnsi="宋体" w:eastAsia="宋体" w:cs="宋体"/>
                <w:color w:val="auto"/>
                <w:sz w:val="24"/>
                <w:szCs w:val="24"/>
                <w:highlight w:val="none"/>
                <w:lang w:eastAsia="zh-CN"/>
              </w:rPr>
              <w:t xml:space="preserve">瑞丽市第一期示范性国门学校建设设施设备结余资金配备项目A包：监控设备 </w:t>
            </w:r>
            <w:r>
              <w:rPr>
                <w:rFonts w:hint="eastAsia" w:ascii="宋体" w:hAnsi="宋体" w:cs="宋体"/>
                <w:color w:val="auto"/>
                <w:sz w:val="24"/>
                <w:szCs w:val="24"/>
                <w:highlight w:val="none"/>
                <w:lang w:eastAsia="zh-CN"/>
              </w:rPr>
              <w:t>；</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所属行业：</w:t>
            </w:r>
            <w:r>
              <w:rPr>
                <w:rFonts w:hint="eastAsia" w:ascii="宋体" w:hAnsi="宋体" w:eastAsia="宋体" w:cs="宋体"/>
                <w:b/>
                <w:bCs/>
                <w:color w:val="auto"/>
                <w:sz w:val="24"/>
                <w:szCs w:val="24"/>
                <w:highlight w:val="none"/>
              </w:rPr>
              <w:t>工业</w:t>
            </w:r>
            <w:r>
              <w:rPr>
                <w:rFonts w:hint="eastAsia" w:ascii="宋体" w:hAnsi="宋体" w:eastAsia="宋体" w:cs="宋体"/>
                <w:color w:val="auto"/>
                <w:sz w:val="24"/>
                <w:szCs w:val="24"/>
                <w:highlight w:val="none"/>
              </w:rPr>
              <w:t>（包括采矿业，制造业，电力、热力、燃气及水生产和供应业）</w:t>
            </w:r>
            <w:r>
              <w:rPr>
                <w:rFonts w:hint="eastAsia" w:ascii="宋体" w:hAnsi="宋体" w:cs="宋体"/>
                <w:color w:val="auto"/>
                <w:sz w:val="24"/>
                <w:szCs w:val="24"/>
                <w:highlight w:val="none"/>
                <w:lang w:eastAsia="zh-CN"/>
              </w:rPr>
              <w:t>；</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划分标准：符合国家统计局关于印发《统计上大中小微型企业划分办法（2017）》的通知（国统字〔2017〕213号）工业行业划分标准。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p>
        </w:tc>
        <w:tc>
          <w:tcPr>
            <w:tcW w:w="1857" w:type="dxa"/>
            <w:vAlign w:val="center"/>
          </w:tcPr>
          <w:p>
            <w:pPr>
              <w:jc w:val="center"/>
              <w:rPr>
                <w:rFonts w:hint="eastAsia" w:ascii="宋体" w:hAnsi="宋体" w:eastAsia="宋体" w:cs="宋体"/>
                <w:sz w:val="24"/>
                <w:szCs w:val="24"/>
              </w:rPr>
            </w:pPr>
            <w:r>
              <w:rPr>
                <w:rFonts w:hint="eastAsia" w:ascii="宋体" w:hAnsi="宋体" w:eastAsia="宋体" w:cs="宋体"/>
                <w:sz w:val="24"/>
                <w:szCs w:val="24"/>
              </w:rPr>
              <w:t>评审中价格扣除及优先采购</w:t>
            </w:r>
          </w:p>
        </w:tc>
        <w:tc>
          <w:tcPr>
            <w:tcW w:w="7516" w:type="dxa"/>
            <w:vAlign w:val="center"/>
          </w:tcPr>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根据《政府采购促进中小企业发展管理办法》（财库[2020]46 号）规定，本次采购项目，对小型和微型企业的价格给予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%的扣除。是否为小微企业磋商响应人提供中小企业声明函；</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按照《财政部司法部关于政府采购支持监狱企业发展有关问题的通知》（财库[2014]68号）文件规定，在政府采购活动中，监狱企业视同小型、微型企业，享受评审中价格扣除的政府采购政策； </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按照《财政部民政部中国残疾人联合会关于促进残疾人就业政府采购政策的通知》，残疾人福利性单位视同小型、微型企业，享受评审中价格扣除的政府采购政策，残疾人福利性单位属于小型、微型企业的，不重复享受政策； </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评审价格=最后磋商报价-（最后磋商报价×扣除比例）；</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注：评审价格仅为评审计算依据，不作为最终的成交价格。</w:t>
            </w:r>
          </w:p>
          <w:p>
            <w:p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按财库[2019]9号文及财库[2019]18号通知，采购的产品属于环境标志产品政府采购品目清单时，在技术、服务等指标同等条件下，应当优先采购或强制采购。磋商响应人投标产品是否为环境标志产品，由磋商响应人提供国家确定的认证机构出具的、处于有效期之内的环境标志产品认证证书。</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按财库[2019]9号文及财库[2019]19号通知，采购的产品属于节能产品政府采购品目清单时，在技术、服务等指标同等条件下，应当优先采购或强制采购。磋商响应人投标产品是否为节能产品，由磋商响应人提供国家确定的认证机构出具的、处于有效期之内的节能产品认证证书。</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对符合本国产品标准的产品给予价格扣除。</w:t>
            </w:r>
          </w:p>
          <w:p>
            <w:pPr>
              <w:snapToGrid w:val="0"/>
              <w:spacing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pPr>
              <w:snapToGrid w:val="0"/>
              <w:spacing w:line="360" w:lineRule="auto"/>
              <w:ind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pPr>
              <w:snapToGrid w:val="0"/>
              <w:spacing w:line="360" w:lineRule="auto"/>
              <w:ind w:left="0" w:leftChars="0" w:right="0" w:rightChars="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（3）对本国产品的支持政策。政府采购活动中既有本国产品又有非本国产品参与竞争的，依法对本国产品给予价格评审优惠，对本国产品的报价给予20%的价格扣除，用扣除后的价格参与评审。</w:t>
            </w:r>
          </w:p>
          <w:p>
            <w:pPr>
              <w:snapToGrid w:val="0"/>
              <w:spacing w:line="360" w:lineRule="auto"/>
              <w:ind w:left="0" w:leftChars="0" w:right="0" w:rightChars="0"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numPr>
                <w:ilvl w:val="0"/>
                <w:numId w:val="0"/>
              </w:numPr>
              <w:snapToGrid w:val="0"/>
              <w:spacing w:line="360" w:lineRule="auto"/>
              <w:ind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认真审查有关证明文件。采购人应当在采购文件中明确对供应商所出具的《关于符合本国产品标准的声明函》（以下简称《声明函》）的完整性、准确性进行审查的要求，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pPr>
              <w:numPr>
                <w:ilvl w:val="0"/>
                <w:numId w:val="0"/>
              </w:numPr>
              <w:snapToGrid w:val="0"/>
              <w:spacing w:line="360" w:lineRule="auto"/>
              <w:ind w:leftChars="0" w:right="0" w:rightChars="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注：评审价格仅为评审计算依据，不作为最终的成交价格。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jc w:val="center"/>
        </w:trPr>
        <w:tc>
          <w:tcPr>
            <w:tcW w:w="823" w:type="dxa"/>
            <w:vAlign w:val="center"/>
          </w:tcPr>
          <w:p>
            <w:pPr>
              <w:autoSpaceDE w:val="0"/>
              <w:autoSpaceDN w:val="0"/>
              <w:adjustRightInd w:val="0"/>
              <w:snapToGrid w:val="0"/>
              <w:spacing w:line="240" w:lineRule="auto"/>
              <w:ind w:left="0" w:leftChars="0" w:right="0" w:righ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p>
        </w:tc>
        <w:tc>
          <w:tcPr>
            <w:tcW w:w="1857" w:type="dxa"/>
            <w:vAlign w:val="center"/>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7516" w:type="dxa"/>
            <w:vAlign w:val="center"/>
          </w:tcPr>
          <w:p>
            <w:pPr>
              <w:numPr>
                <w:ilvl w:val="0"/>
                <w:numId w:val="4"/>
              </w:numPr>
              <w:autoSpaceDE w:val="0"/>
              <w:autoSpaceDN w:val="0"/>
              <w:adjustRightInd w:val="0"/>
              <w:snapToGrid w:val="0"/>
              <w:spacing w:line="360" w:lineRule="auto"/>
              <w:ind w:left="0" w:leftChars="0" w:right="0" w:rightChars="0" w:firstLine="0" w:firstLineChars="0"/>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为避免上传投标文件失误导致投标文件信息缺失、影响投标，建议在某一模块上传一份完整的投标文件，确保评审时可以查询到完整的投标文件。</w:t>
            </w:r>
          </w:p>
          <w:p>
            <w:pPr>
              <w:pStyle w:val="10"/>
              <w:numPr>
                <w:ilvl w:val="0"/>
                <w:numId w:val="4"/>
              </w:num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本次采购不接受进口产品，（进口产品是指通过中国海关报关验放进入中国境内且产自关境外的产品）。</w:t>
            </w:r>
          </w:p>
          <w:p>
            <w:pPr>
              <w:autoSpaceDE w:val="0"/>
              <w:autoSpaceDN w:val="0"/>
              <w:adjustRightInd w:val="0"/>
              <w:snapToGrid w:val="0"/>
              <w:spacing w:line="360" w:lineRule="auto"/>
              <w:ind w:left="0" w:leftChars="0" w:right="0" w:rightChars="0" w:firstLine="0" w:firstLineChars="0"/>
              <w:jc w:val="both"/>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本磋商文件的未尽事项，按现行的有关法律、法规及规章执行。</w:t>
            </w:r>
          </w:p>
        </w:tc>
      </w:tr>
    </w:tbl>
    <w:p>
      <w:pPr>
        <w:pStyle w:val="8"/>
        <w:ind w:firstLine="0" w:firstLineChars="0"/>
        <w:rPr>
          <w:rFonts w:hint="eastAsia" w:ascii="宋体" w:hAnsi="宋体" w:eastAsia="宋体" w:cs="宋体"/>
          <w:color w:val="auto"/>
          <w:sz w:val="24"/>
          <w:szCs w:val="24"/>
          <w:highlight w:val="none"/>
        </w:rPr>
        <w:sectPr>
          <w:footerReference r:id="rId7" w:type="first"/>
          <w:footerReference r:id="rId6" w:type="default"/>
          <w:pgSz w:w="11906" w:h="16838"/>
          <w:pgMar w:top="1440" w:right="1080" w:bottom="1440" w:left="1080" w:header="851" w:footer="992" w:gutter="0"/>
          <w:pgNumType w:fmt="decimal"/>
          <w:cols w:space="720" w:num="1"/>
          <w:titlePg/>
          <w:docGrid w:type="lines" w:linePitch="312" w:charSpace="0"/>
        </w:sectPr>
      </w:pPr>
    </w:p>
    <w:p>
      <w:pPr>
        <w:spacing w:after="156" w:afterLines="50" w:line="240" w:lineRule="atLeast"/>
        <w:jc w:val="center"/>
        <w:outlineLvl w:val="0"/>
        <w:rPr>
          <w:rFonts w:hint="eastAsia" w:ascii="宋体" w:hAnsi="宋体" w:eastAsia="宋体" w:cs="宋体"/>
          <w:b/>
          <w:color w:val="auto"/>
          <w:kern w:val="44"/>
          <w:sz w:val="32"/>
          <w:szCs w:val="32"/>
          <w:highlight w:val="none"/>
        </w:rPr>
      </w:pPr>
      <w:bookmarkStart w:id="45" w:name="_Toc30651"/>
      <w:bookmarkStart w:id="46" w:name="_Toc18107"/>
      <w:r>
        <w:rPr>
          <w:rFonts w:hint="eastAsia" w:ascii="宋体" w:hAnsi="宋体" w:eastAsia="宋体" w:cs="宋体"/>
          <w:b/>
          <w:color w:val="auto"/>
          <w:kern w:val="44"/>
          <w:sz w:val="32"/>
          <w:szCs w:val="32"/>
          <w:highlight w:val="none"/>
        </w:rPr>
        <w:t>供应商须知</w:t>
      </w:r>
      <w:bookmarkEnd w:id="45"/>
      <w:bookmarkEnd w:id="46"/>
    </w:p>
    <w:p>
      <w:pPr>
        <w:autoSpaceDE w:val="0"/>
        <w:autoSpaceDN w:val="0"/>
        <w:adjustRightInd w:val="0"/>
        <w:spacing w:line="440" w:lineRule="exact"/>
        <w:jc w:val="left"/>
        <w:outlineLvl w:val="0"/>
        <w:rPr>
          <w:rFonts w:hint="eastAsia" w:ascii="宋体" w:hAnsi="宋体" w:eastAsia="宋体" w:cs="宋体"/>
          <w:color w:val="auto"/>
          <w:kern w:val="0"/>
          <w:sz w:val="24"/>
          <w:szCs w:val="24"/>
          <w:highlight w:val="none"/>
        </w:rPr>
      </w:pPr>
      <w:bookmarkStart w:id="47" w:name="_Toc9473"/>
      <w:bookmarkStart w:id="48" w:name="_Toc10180"/>
      <w:r>
        <w:rPr>
          <w:rFonts w:hint="eastAsia" w:ascii="宋体" w:hAnsi="宋体" w:eastAsia="宋体" w:cs="宋体"/>
          <w:b/>
          <w:color w:val="auto"/>
          <w:kern w:val="0"/>
          <w:sz w:val="24"/>
          <w:szCs w:val="24"/>
          <w:highlight w:val="none"/>
        </w:rPr>
        <w:t>1. 总则</w:t>
      </w:r>
      <w:bookmarkEnd w:id="47"/>
      <w:bookmarkEnd w:id="48"/>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49" w:name="_Toc262675309"/>
      <w:bookmarkStart w:id="50" w:name="_Toc260172642"/>
      <w:bookmarkStart w:id="51" w:name="_Toc209498805"/>
      <w:bookmarkStart w:id="52" w:name="_Toc382901542"/>
      <w:bookmarkStart w:id="53" w:name="_Toc11761"/>
      <w:bookmarkStart w:id="54" w:name="_Toc491246636"/>
      <w:bookmarkStart w:id="55" w:name="_Toc13054"/>
      <w:bookmarkStart w:id="56" w:name="_Toc247277929"/>
      <w:bookmarkStart w:id="57" w:name="_Toc381278378"/>
      <w:bookmarkStart w:id="58" w:name="_Toc199321872"/>
      <w:r>
        <w:rPr>
          <w:rFonts w:hint="eastAsia" w:ascii="宋体" w:hAnsi="宋体" w:eastAsia="宋体" w:cs="宋体"/>
          <w:b/>
          <w:color w:val="auto"/>
          <w:kern w:val="0"/>
          <w:sz w:val="24"/>
          <w:szCs w:val="24"/>
          <w:highlight w:val="none"/>
        </w:rPr>
        <w:t>1.1 项目概况</w:t>
      </w:r>
      <w:bookmarkEnd w:id="49"/>
      <w:bookmarkEnd w:id="50"/>
      <w:bookmarkEnd w:id="51"/>
      <w:bookmarkEnd w:id="52"/>
      <w:bookmarkEnd w:id="53"/>
      <w:bookmarkEnd w:id="54"/>
      <w:bookmarkEnd w:id="55"/>
      <w:bookmarkEnd w:id="56"/>
      <w:bookmarkEnd w:id="57"/>
      <w:bookmarkEnd w:id="58"/>
    </w:p>
    <w:p>
      <w:pPr>
        <w:autoSpaceDE w:val="0"/>
        <w:autoSpaceDN w:val="0"/>
        <w:adjustRightInd w:val="0"/>
        <w:spacing w:line="440" w:lineRule="exact"/>
        <w:ind w:firstLine="480" w:firstLineChars="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 xml:space="preserve">1.1.1 </w:t>
      </w:r>
      <w:r>
        <w:rPr>
          <w:rFonts w:hint="eastAsia" w:ascii="宋体" w:hAnsi="宋体" w:eastAsia="宋体" w:cs="宋体"/>
          <w:bCs/>
          <w:color w:val="auto"/>
          <w:kern w:val="0"/>
          <w:sz w:val="24"/>
          <w:szCs w:val="24"/>
          <w:highlight w:val="none"/>
        </w:rPr>
        <w:t>根据《中华人民共和国政府采购法》等有关法律、法规和规章的规定，本项目已具备采购条件，现对本项目进行竞争性磋商采购。</w:t>
      </w:r>
    </w:p>
    <w:p>
      <w:pPr>
        <w:pStyle w:val="17"/>
        <w:spacing w:line="440" w:lineRule="exact"/>
        <w:ind w:firstLine="480" w:firstLineChars="200"/>
        <w:rPr>
          <w:rFonts w:hint="eastAsia" w:ascii="宋体" w:hAnsi="宋体" w:eastAsia="宋体" w:cs="宋体"/>
          <w:bCs/>
          <w:color w:val="auto"/>
          <w:kern w:val="0"/>
          <w:sz w:val="24"/>
          <w:szCs w:val="24"/>
          <w:highlight w:val="none"/>
        </w:rPr>
      </w:pPr>
      <w:bookmarkStart w:id="59" w:name="_Toc199321873"/>
      <w:r>
        <w:rPr>
          <w:rFonts w:hint="eastAsia" w:ascii="宋体" w:hAnsi="宋体" w:eastAsia="宋体" w:cs="宋体"/>
          <w:bCs/>
          <w:color w:val="auto"/>
          <w:sz w:val="24"/>
          <w:szCs w:val="24"/>
          <w:highlight w:val="none"/>
        </w:rPr>
        <w:t>1.1.2</w:t>
      </w:r>
      <w:r>
        <w:rPr>
          <w:rFonts w:hint="eastAsia" w:ascii="宋体" w:hAnsi="宋体" w:eastAsia="宋体" w:cs="宋体"/>
          <w:bCs/>
          <w:color w:val="auto"/>
          <w:kern w:val="0"/>
          <w:sz w:val="24"/>
          <w:szCs w:val="24"/>
          <w:highlight w:val="none"/>
        </w:rPr>
        <w:t xml:space="preserve"> 本项目采购人</w:t>
      </w:r>
      <w:r>
        <w:rPr>
          <w:rFonts w:hint="eastAsia" w:ascii="宋体" w:hAnsi="宋体" w:eastAsia="宋体" w:cs="宋体"/>
          <w:bCs/>
          <w:color w:val="auto"/>
          <w:sz w:val="24"/>
          <w:szCs w:val="24"/>
          <w:highlight w:val="none"/>
        </w:rPr>
        <w:t>：</w:t>
      </w:r>
      <w:r>
        <w:rPr>
          <w:rFonts w:hint="eastAsia" w:ascii="宋体" w:hAnsi="宋体" w:eastAsia="宋体" w:cs="宋体"/>
          <w:bCs/>
          <w:color w:val="auto"/>
          <w:kern w:val="0"/>
          <w:sz w:val="24"/>
          <w:szCs w:val="24"/>
          <w:highlight w:val="none"/>
        </w:rPr>
        <w:t>见供应商须知前附表。</w:t>
      </w:r>
      <w:bookmarkEnd w:id="59"/>
    </w:p>
    <w:p>
      <w:pPr>
        <w:pStyle w:val="17"/>
        <w:spacing w:line="440" w:lineRule="exact"/>
        <w:ind w:firstLine="480" w:firstLineChars="200"/>
        <w:rPr>
          <w:rFonts w:hint="eastAsia" w:ascii="宋体" w:hAnsi="宋体" w:eastAsia="宋体" w:cs="宋体"/>
          <w:bCs/>
          <w:color w:val="auto"/>
          <w:kern w:val="0"/>
          <w:sz w:val="24"/>
          <w:szCs w:val="24"/>
          <w:highlight w:val="none"/>
        </w:rPr>
      </w:pPr>
      <w:bookmarkStart w:id="60" w:name="_Toc199321874"/>
      <w:r>
        <w:rPr>
          <w:rFonts w:hint="eastAsia" w:ascii="宋体" w:hAnsi="宋体" w:eastAsia="宋体" w:cs="宋体"/>
          <w:bCs/>
          <w:color w:val="auto"/>
          <w:sz w:val="24"/>
          <w:szCs w:val="24"/>
          <w:highlight w:val="none"/>
        </w:rPr>
        <w:t>1.1.3</w:t>
      </w:r>
      <w:r>
        <w:rPr>
          <w:rFonts w:hint="eastAsia" w:ascii="宋体" w:hAnsi="宋体" w:eastAsia="宋体" w:cs="宋体"/>
          <w:bCs/>
          <w:color w:val="auto"/>
          <w:kern w:val="0"/>
          <w:sz w:val="24"/>
          <w:szCs w:val="24"/>
          <w:highlight w:val="none"/>
        </w:rPr>
        <w:t xml:space="preserve"> 本项目采购代理机构</w:t>
      </w:r>
      <w:r>
        <w:rPr>
          <w:rFonts w:hint="eastAsia" w:ascii="宋体" w:hAnsi="宋体" w:eastAsia="宋体" w:cs="宋体"/>
          <w:bCs/>
          <w:color w:val="auto"/>
          <w:sz w:val="24"/>
          <w:szCs w:val="24"/>
          <w:highlight w:val="none"/>
        </w:rPr>
        <w:t>：</w:t>
      </w:r>
      <w:r>
        <w:rPr>
          <w:rFonts w:hint="eastAsia" w:ascii="宋体" w:hAnsi="宋体" w:eastAsia="宋体" w:cs="宋体"/>
          <w:bCs/>
          <w:color w:val="auto"/>
          <w:kern w:val="0"/>
          <w:sz w:val="24"/>
          <w:szCs w:val="24"/>
          <w:highlight w:val="none"/>
        </w:rPr>
        <w:t>见供应商须知前附表。</w:t>
      </w:r>
      <w:bookmarkEnd w:id="60"/>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rPr>
        <w:t>1.1.4</w:t>
      </w:r>
      <w:r>
        <w:rPr>
          <w:rFonts w:hint="eastAsia" w:ascii="宋体" w:hAnsi="宋体" w:eastAsia="宋体" w:cs="宋体"/>
          <w:bCs/>
          <w:color w:val="auto"/>
          <w:kern w:val="0"/>
          <w:sz w:val="24"/>
          <w:szCs w:val="24"/>
          <w:highlight w:val="none"/>
        </w:rPr>
        <w:t xml:space="preserve"> 本项目名称</w:t>
      </w:r>
      <w:r>
        <w:rPr>
          <w:rFonts w:hint="eastAsia" w:ascii="宋体" w:hAnsi="宋体" w:eastAsia="宋体" w:cs="宋体"/>
          <w:bCs/>
          <w:color w:val="auto"/>
          <w:sz w:val="24"/>
          <w:szCs w:val="24"/>
          <w:highlight w:val="none"/>
        </w:rPr>
        <w:t>：</w:t>
      </w:r>
      <w:r>
        <w:rPr>
          <w:rFonts w:hint="eastAsia" w:ascii="宋体" w:hAnsi="宋体" w:eastAsia="宋体" w:cs="宋体"/>
          <w:bCs/>
          <w:color w:val="auto"/>
          <w:kern w:val="0"/>
          <w:sz w:val="24"/>
          <w:szCs w:val="24"/>
          <w:highlight w:val="none"/>
        </w:rPr>
        <w:t>见供应商须知前附表。</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61" w:name="_Toc27656"/>
      <w:bookmarkStart w:id="62" w:name="_Toc18685"/>
      <w:bookmarkStart w:id="63" w:name="_Toc382901543"/>
      <w:bookmarkStart w:id="64" w:name="_Toc381278379"/>
      <w:bookmarkStart w:id="65" w:name="_Toc274249368"/>
      <w:r>
        <w:rPr>
          <w:rFonts w:hint="eastAsia" w:ascii="宋体" w:hAnsi="宋体" w:eastAsia="宋体" w:cs="宋体"/>
          <w:bCs/>
          <w:color w:val="auto"/>
          <w:kern w:val="0"/>
          <w:sz w:val="24"/>
          <w:szCs w:val="24"/>
          <w:highlight w:val="none"/>
        </w:rPr>
        <w:t>1.1.5 本项目</w:t>
      </w:r>
      <w:r>
        <w:rPr>
          <w:rFonts w:hint="eastAsia" w:ascii="宋体" w:hAnsi="宋体" w:eastAsia="宋体" w:cs="宋体"/>
          <w:bCs/>
          <w:color w:val="auto"/>
          <w:kern w:val="0"/>
          <w:sz w:val="24"/>
          <w:szCs w:val="24"/>
          <w:highlight w:val="none"/>
          <w:lang w:val="en-US" w:eastAsia="zh-CN"/>
        </w:rPr>
        <w:t>服务</w:t>
      </w:r>
      <w:r>
        <w:rPr>
          <w:rFonts w:hint="eastAsia" w:ascii="宋体" w:hAnsi="宋体" w:eastAsia="宋体" w:cs="宋体"/>
          <w:bCs/>
          <w:color w:val="auto"/>
          <w:kern w:val="0"/>
          <w:sz w:val="24"/>
          <w:szCs w:val="24"/>
          <w:highlight w:val="none"/>
        </w:rPr>
        <w:t>地点：见供应商须知前附表。</w:t>
      </w:r>
      <w:bookmarkEnd w:id="61"/>
      <w:bookmarkEnd w:id="62"/>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66" w:name="_Toc6783"/>
      <w:bookmarkStart w:id="67" w:name="_Toc748"/>
      <w:r>
        <w:rPr>
          <w:rFonts w:hint="eastAsia" w:ascii="宋体" w:hAnsi="宋体" w:eastAsia="宋体" w:cs="宋体"/>
          <w:b/>
          <w:color w:val="auto"/>
          <w:kern w:val="0"/>
          <w:sz w:val="24"/>
          <w:szCs w:val="24"/>
          <w:highlight w:val="none"/>
        </w:rPr>
        <w:t>1.2  资金来源和落实情况</w:t>
      </w:r>
      <w:bookmarkEnd w:id="66"/>
      <w:bookmarkEnd w:id="67"/>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68" w:name="_Toc14995"/>
      <w:bookmarkStart w:id="69" w:name="_Toc14475"/>
      <w:r>
        <w:rPr>
          <w:rFonts w:hint="eastAsia" w:ascii="宋体" w:hAnsi="宋体" w:eastAsia="宋体" w:cs="宋体"/>
          <w:bCs/>
          <w:color w:val="auto"/>
          <w:kern w:val="0"/>
          <w:sz w:val="24"/>
          <w:szCs w:val="24"/>
          <w:highlight w:val="none"/>
        </w:rPr>
        <w:t>1.2.1 本项目资金来源：见供应商须知前附表。</w:t>
      </w:r>
      <w:bookmarkEnd w:id="68"/>
      <w:bookmarkEnd w:id="69"/>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70" w:name="_Toc10201"/>
      <w:bookmarkStart w:id="71" w:name="_Toc26336"/>
      <w:r>
        <w:rPr>
          <w:rFonts w:hint="eastAsia" w:ascii="宋体" w:hAnsi="宋体" w:eastAsia="宋体" w:cs="宋体"/>
          <w:bCs/>
          <w:color w:val="auto"/>
          <w:kern w:val="0"/>
          <w:sz w:val="24"/>
          <w:szCs w:val="24"/>
          <w:highlight w:val="none"/>
        </w:rPr>
        <w:t>1.2.2 本项目出资比例：见供应商须知前附表。</w:t>
      </w:r>
      <w:bookmarkEnd w:id="70"/>
      <w:bookmarkEnd w:id="71"/>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72" w:name="_Toc14874"/>
      <w:bookmarkStart w:id="73" w:name="_Toc20360"/>
      <w:r>
        <w:rPr>
          <w:rFonts w:hint="eastAsia" w:ascii="宋体" w:hAnsi="宋体" w:eastAsia="宋体" w:cs="宋体"/>
          <w:bCs/>
          <w:color w:val="auto"/>
          <w:kern w:val="0"/>
          <w:sz w:val="24"/>
          <w:szCs w:val="24"/>
          <w:highlight w:val="none"/>
        </w:rPr>
        <w:t>1.2.3本项目资金落实情况：见供应商须知前附表。</w:t>
      </w:r>
      <w:bookmarkEnd w:id="72"/>
      <w:bookmarkEnd w:id="73"/>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74" w:name="_Toc262675311"/>
      <w:bookmarkStart w:id="75" w:name="_Toc247277931"/>
      <w:bookmarkStart w:id="76" w:name="_Toc491246638"/>
      <w:bookmarkStart w:id="77" w:name="_Toc260172644"/>
      <w:bookmarkStart w:id="78" w:name="_Toc209498807"/>
      <w:bookmarkStart w:id="79" w:name="_Toc199321877"/>
      <w:bookmarkStart w:id="80" w:name="_Toc381278383"/>
      <w:bookmarkStart w:id="81" w:name="_Toc382901547"/>
      <w:bookmarkStart w:id="82" w:name="_Toc21332"/>
      <w:bookmarkStart w:id="83" w:name="_Toc28873"/>
      <w:r>
        <w:rPr>
          <w:rFonts w:hint="eastAsia" w:ascii="宋体" w:hAnsi="宋体" w:eastAsia="宋体" w:cs="宋体"/>
          <w:b/>
          <w:color w:val="auto"/>
          <w:kern w:val="0"/>
          <w:sz w:val="24"/>
          <w:szCs w:val="24"/>
          <w:highlight w:val="none"/>
        </w:rPr>
        <w:t>1.3 磋商</w:t>
      </w:r>
      <w:r>
        <w:rPr>
          <w:rFonts w:hint="eastAsia" w:ascii="宋体" w:hAnsi="宋体" w:eastAsia="宋体" w:cs="宋体"/>
          <w:b/>
          <w:color w:val="auto"/>
          <w:kern w:val="0"/>
          <w:sz w:val="24"/>
          <w:szCs w:val="24"/>
          <w:highlight w:val="none"/>
          <w:lang w:eastAsia="zh-CN"/>
        </w:rPr>
        <w:t>采购需求</w:t>
      </w:r>
      <w:r>
        <w:rPr>
          <w:rFonts w:hint="eastAsia" w:ascii="宋体" w:hAnsi="宋体" w:eastAsia="宋体" w:cs="宋体"/>
          <w:b/>
          <w:color w:val="auto"/>
          <w:kern w:val="0"/>
          <w:sz w:val="24"/>
          <w:szCs w:val="24"/>
          <w:highlight w:val="none"/>
        </w:rPr>
        <w:t>及</w:t>
      </w:r>
      <w:bookmarkEnd w:id="74"/>
      <w:bookmarkEnd w:id="75"/>
      <w:bookmarkEnd w:id="76"/>
      <w:bookmarkEnd w:id="77"/>
      <w:bookmarkEnd w:id="78"/>
      <w:bookmarkEnd w:id="79"/>
      <w:bookmarkEnd w:id="80"/>
      <w:bookmarkEnd w:id="81"/>
      <w:r>
        <w:rPr>
          <w:rFonts w:hint="eastAsia" w:ascii="宋体" w:hAnsi="宋体" w:eastAsia="宋体" w:cs="宋体"/>
          <w:b/>
          <w:color w:val="auto"/>
          <w:kern w:val="0"/>
          <w:sz w:val="24"/>
          <w:szCs w:val="24"/>
          <w:highlight w:val="none"/>
        </w:rPr>
        <w:t>采购规模、工期、质量标准</w:t>
      </w:r>
      <w:bookmarkEnd w:id="82"/>
      <w:bookmarkEnd w:id="83"/>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1.3.1 本次磋商</w:t>
      </w:r>
      <w:r>
        <w:rPr>
          <w:rFonts w:hint="eastAsia" w:ascii="宋体" w:hAnsi="宋体" w:eastAsia="宋体" w:cs="宋体"/>
          <w:bCs/>
          <w:color w:val="auto"/>
          <w:kern w:val="0"/>
          <w:sz w:val="24"/>
          <w:szCs w:val="24"/>
          <w:highlight w:val="none"/>
          <w:lang w:eastAsia="zh-CN"/>
        </w:rPr>
        <w:t>采购需求</w:t>
      </w:r>
      <w:r>
        <w:rPr>
          <w:rFonts w:hint="eastAsia" w:ascii="宋体" w:hAnsi="宋体" w:eastAsia="宋体" w:cs="宋体"/>
          <w:bCs/>
          <w:color w:val="auto"/>
          <w:kern w:val="0"/>
          <w:sz w:val="24"/>
          <w:szCs w:val="24"/>
          <w:highlight w:val="none"/>
        </w:rPr>
        <w:t>:见供应商须知前附表。</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1.3.2 本项目的</w:t>
      </w:r>
      <w:r>
        <w:rPr>
          <w:rFonts w:hint="eastAsia" w:ascii="宋体" w:hAnsi="宋体" w:eastAsia="宋体" w:cs="宋体"/>
          <w:bCs/>
          <w:color w:val="auto"/>
          <w:kern w:val="0"/>
          <w:sz w:val="24"/>
          <w:szCs w:val="24"/>
          <w:highlight w:val="none"/>
          <w:lang w:val="en-US" w:eastAsia="zh-CN"/>
        </w:rPr>
        <w:t>服务期限</w:t>
      </w:r>
      <w:r>
        <w:rPr>
          <w:rFonts w:hint="eastAsia" w:ascii="宋体" w:hAnsi="宋体" w:eastAsia="宋体" w:cs="宋体"/>
          <w:bCs/>
          <w:color w:val="auto"/>
          <w:kern w:val="0"/>
          <w:sz w:val="24"/>
          <w:szCs w:val="24"/>
          <w:highlight w:val="none"/>
        </w:rPr>
        <w:t>: 见供应商须知前附表。</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84" w:name="_Toc15190"/>
      <w:bookmarkStart w:id="85" w:name="_Toc6811"/>
      <w:r>
        <w:rPr>
          <w:rFonts w:hint="eastAsia" w:ascii="宋体" w:hAnsi="宋体" w:eastAsia="宋体" w:cs="宋体"/>
          <w:bCs/>
          <w:color w:val="auto"/>
          <w:kern w:val="0"/>
          <w:sz w:val="24"/>
          <w:szCs w:val="24"/>
          <w:highlight w:val="none"/>
        </w:rPr>
        <w:t>1.3.3 本项目的质量标准：见供应商须知前附表。</w:t>
      </w:r>
      <w:bookmarkEnd w:id="84"/>
      <w:bookmarkEnd w:id="85"/>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86" w:name="_Toc31283"/>
      <w:bookmarkStart w:id="87" w:name="_Toc25358"/>
      <w:r>
        <w:rPr>
          <w:rFonts w:hint="eastAsia" w:ascii="宋体" w:hAnsi="宋体" w:eastAsia="宋体" w:cs="宋体"/>
          <w:b/>
          <w:color w:val="auto"/>
          <w:kern w:val="0"/>
          <w:sz w:val="24"/>
          <w:szCs w:val="24"/>
          <w:highlight w:val="none"/>
        </w:rPr>
        <w:t>1.4</w:t>
      </w:r>
      <w:r>
        <w:rPr>
          <w:rFonts w:hint="eastAsia" w:ascii="宋体" w:hAnsi="宋体" w:eastAsia="宋体" w:cs="宋体"/>
          <w:b/>
          <w:color w:val="auto"/>
          <w:kern w:val="0"/>
          <w:sz w:val="24"/>
          <w:szCs w:val="24"/>
          <w:highlight w:val="none"/>
        </w:rPr>
        <w:tab/>
      </w:r>
      <w:r>
        <w:rPr>
          <w:rFonts w:hint="eastAsia" w:ascii="宋体" w:hAnsi="宋体" w:eastAsia="宋体" w:cs="宋体"/>
          <w:b/>
          <w:color w:val="auto"/>
          <w:kern w:val="0"/>
          <w:sz w:val="24"/>
          <w:szCs w:val="24"/>
          <w:highlight w:val="none"/>
        </w:rPr>
        <w:t>供应商资格要求</w:t>
      </w:r>
      <w:bookmarkEnd w:id="86"/>
      <w:bookmarkEnd w:id="87"/>
    </w:p>
    <w:bookmarkEnd w:id="63"/>
    <w:bookmarkEnd w:id="64"/>
    <w:bookmarkEnd w:id="65"/>
    <w:p>
      <w:pPr>
        <w:pStyle w:val="17"/>
        <w:spacing w:line="440" w:lineRule="exact"/>
        <w:ind w:firstLine="480" w:firstLineChars="200"/>
        <w:rPr>
          <w:rFonts w:hint="eastAsia" w:ascii="宋体" w:hAnsi="宋体" w:eastAsia="宋体" w:cs="宋体"/>
          <w:bCs/>
          <w:color w:val="auto"/>
          <w:kern w:val="0"/>
          <w:sz w:val="24"/>
          <w:szCs w:val="24"/>
          <w:highlight w:val="none"/>
        </w:rPr>
      </w:pPr>
      <w:bookmarkStart w:id="88" w:name="_Toc274249369"/>
      <w:bookmarkStart w:id="89" w:name="_Toc382901544"/>
      <w:bookmarkStart w:id="90" w:name="_Toc381278380"/>
      <w:r>
        <w:rPr>
          <w:rFonts w:hint="eastAsia" w:ascii="宋体" w:hAnsi="宋体" w:eastAsia="宋体" w:cs="宋体"/>
          <w:bCs/>
          <w:color w:val="auto"/>
          <w:kern w:val="0"/>
          <w:sz w:val="24"/>
          <w:szCs w:val="24"/>
          <w:highlight w:val="none"/>
        </w:rPr>
        <w:t>1.4.1 供应商资质条件、能力和信誉；（详见供应商须知前附表）</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1.4.2供应商须知前附表规定接受联合体投标的，除应符合本章第1.4.1项和供应商须知前附表的要求外，还应遵守以下规定：</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(1)联合体各方应按磋商文件提供的格式签订联合体协议书，明确联合体牵头人和各方权利义务；</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(2)由同一专业的单位组成的联合体，按照资质等级较低的单位确定资质等级；</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(3)联合体各方不得再以自己名义单独或参加其他联合体在同一标段中投标。</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1.4.3响应人不得存在下列情形之一：</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(1)为采购人不具有独立法人资格的附属机构（单位）；</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(2)为本采购项目前期准备提供设计或咨询服务的；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(3)为本采购项目的监理人；</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(4)为本采购项目的代建人；</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(5)为本采购项目提供招标代理服务的；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(6)与本采购项目的监理人或代建人或采购代理机构同为一个法定代表人的；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(7)与本采购项目的监理人或代建人或采购代理机构相互控股或参股的；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(8)与本采购项目的监理人或代建人或采购代理机构相互任职或工作的；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(9)被责令停业的；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(10)被暂停或取消投标资格的；</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(11)财产被接管或冻结的；</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91" w:name="_Toc24283"/>
      <w:bookmarkStart w:id="92" w:name="_Toc25233"/>
      <w:r>
        <w:rPr>
          <w:rFonts w:hint="eastAsia" w:ascii="宋体" w:hAnsi="宋体" w:eastAsia="宋体" w:cs="宋体"/>
          <w:bCs/>
          <w:color w:val="auto"/>
          <w:kern w:val="0"/>
          <w:sz w:val="24"/>
          <w:szCs w:val="24"/>
          <w:highlight w:val="none"/>
        </w:rPr>
        <w:t>1.4.4单位负责人为同一人或者存在控股、管理关系的不同单位，不得同时参加本招标项目磋商。</w:t>
      </w:r>
      <w:bookmarkEnd w:id="91"/>
      <w:bookmarkEnd w:id="92"/>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93" w:name="_Toc7177"/>
      <w:bookmarkStart w:id="94" w:name="_Toc25160"/>
      <w:r>
        <w:rPr>
          <w:rFonts w:hint="eastAsia" w:ascii="宋体" w:hAnsi="宋体" w:eastAsia="宋体" w:cs="宋体"/>
          <w:b/>
          <w:color w:val="auto"/>
          <w:kern w:val="0"/>
          <w:sz w:val="24"/>
          <w:szCs w:val="24"/>
          <w:highlight w:val="none"/>
        </w:rPr>
        <w:t>1.5 费用承担</w:t>
      </w:r>
      <w:bookmarkEnd w:id="93"/>
      <w:bookmarkEnd w:id="94"/>
    </w:p>
    <w:p>
      <w:pPr>
        <w:autoSpaceDE w:val="0"/>
        <w:spacing w:line="360" w:lineRule="auto"/>
        <w:ind w:firstLine="480" w:firstLineChars="200"/>
        <w:rPr>
          <w:rFonts w:hint="eastAsia" w:asciiTheme="minorEastAsia" w:hAnsiTheme="minorEastAsia" w:eastAsiaTheme="minorEastAsia" w:cstheme="minorEastAsia"/>
          <w:b w:val="0"/>
          <w:bCs/>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rPr>
        <w:t>招标代理服务费</w:t>
      </w:r>
      <w:r>
        <w:rPr>
          <w:rFonts w:hint="eastAsia" w:asciiTheme="minorEastAsia" w:hAnsiTheme="minorEastAsia" w:eastAsiaTheme="minorEastAsia" w:cstheme="minorEastAsia"/>
          <w:b w:val="0"/>
          <w:bCs/>
          <w:color w:val="auto"/>
          <w:sz w:val="24"/>
          <w:szCs w:val="24"/>
          <w:highlight w:val="none"/>
          <w:lang w:val="en-US" w:eastAsia="zh-CN"/>
        </w:rPr>
        <w:t>的收取</w:t>
      </w:r>
      <w:r>
        <w:rPr>
          <w:rFonts w:hint="eastAsia" w:asciiTheme="minorEastAsia" w:hAnsiTheme="minorEastAsia" w:eastAsiaTheme="minorEastAsia" w:cstheme="minorEastAsia"/>
          <w:b w:val="0"/>
          <w:bCs/>
          <w:color w:val="auto"/>
          <w:sz w:val="24"/>
          <w:szCs w:val="24"/>
          <w:highlight w:val="none"/>
          <w:lang w:eastAsia="zh-CN"/>
        </w:rPr>
        <w:t>：</w:t>
      </w:r>
    </w:p>
    <w:tbl>
      <w:tblPr>
        <w:tblStyle w:val="41"/>
        <w:tblW w:w="900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33"/>
        <w:gridCol w:w="77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jc w:val="center"/>
        </w:trPr>
        <w:tc>
          <w:tcPr>
            <w:tcW w:w="1233"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eastAsia="zh-CN"/>
              </w:rPr>
              <w:t>中标服务费</w:t>
            </w:r>
          </w:p>
        </w:tc>
        <w:tc>
          <w:tcPr>
            <w:tcW w:w="777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（1）招标代理服务费：由中标人向</w:t>
            </w:r>
            <w:r>
              <w:rPr>
                <w:rFonts w:hint="eastAsia" w:asciiTheme="minorEastAsia" w:hAnsiTheme="minorEastAsia" w:eastAsiaTheme="minorEastAsia" w:cstheme="minorEastAsia"/>
                <w:b w:val="0"/>
                <w:bCs/>
                <w:color w:val="auto"/>
                <w:sz w:val="21"/>
                <w:szCs w:val="21"/>
                <w:highlight w:val="none"/>
                <w:lang w:eastAsia="zh-CN"/>
              </w:rPr>
              <w:t>招标代理机构</w:t>
            </w:r>
            <w:r>
              <w:rPr>
                <w:rFonts w:hint="eastAsia" w:asciiTheme="minorEastAsia" w:hAnsiTheme="minorEastAsia" w:eastAsiaTheme="minorEastAsia" w:cstheme="minorEastAsia"/>
                <w:b w:val="0"/>
                <w:bCs/>
                <w:color w:val="auto"/>
                <w:sz w:val="21"/>
                <w:szCs w:val="21"/>
                <w:highlight w:val="none"/>
              </w:rPr>
              <w:t>支付，代理服务费金额依据关于印发《云南省建设工程招标代理服务收费指导意见》的通知云建招协〔2024〕58号计算收取。标准如下：</w:t>
            </w:r>
          </w:p>
          <w:tbl>
            <w:tblPr>
              <w:tblStyle w:val="41"/>
              <w:tblW w:w="7923" w:type="dxa"/>
              <w:jc w:val="center"/>
              <w:tblInd w:w="0" w:type="dxa"/>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3595"/>
              <w:gridCol w:w="1390"/>
              <w:gridCol w:w="1441"/>
              <w:gridCol w:w="1497"/>
            </w:tblGrid>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restart"/>
                  <w:vAlign w:val="center"/>
                </w:tcPr>
                <w:p>
                  <w:pPr>
                    <w:autoSpaceDE w:val="0"/>
                    <w:spacing w:line="360" w:lineRule="auto"/>
                    <w:ind w:firstLine="210" w:firstLineChars="100"/>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计价金额</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服务类型</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continue"/>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货物招标</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服务招标</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工程招标</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Merge w:val="continue"/>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费  率</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50万元及以下</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0.7万元</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50万元—100万元（含）</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100万元—500万元（含）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1.3%</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1.3%</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500万元—1000万元（含）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0.5%</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0.7%</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1000万元—5000万元（含）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0.7%</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0.4%</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0.4%</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5000万元—1亿元（含）</w:t>
                  </w:r>
                </w:p>
              </w:tc>
              <w:tc>
                <w:tcPr>
                  <w:tcW w:w="1390"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0.25%</w:t>
                  </w:r>
                </w:p>
              </w:tc>
              <w:tc>
                <w:tcPr>
                  <w:tcW w:w="1441"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0.1%</w:t>
                  </w:r>
                </w:p>
              </w:tc>
              <w:tc>
                <w:tcPr>
                  <w:tcW w:w="1497"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0.25%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1亿元—5亿元（含）</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5亿元—10亿元（含）</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0.035%</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454" w:hRule="exact"/>
                <w:jc w:val="center"/>
              </w:trPr>
              <w:tc>
                <w:tcPr>
                  <w:tcW w:w="3595" w:type="dxa"/>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10亿元以上</w:t>
                  </w:r>
                </w:p>
              </w:tc>
              <w:tc>
                <w:tcPr>
                  <w:tcW w:w="4328" w:type="dxa"/>
                  <w:gridSpan w:val="3"/>
                  <w:vAlign w:val="center"/>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0.008%</w:t>
                  </w:r>
                </w:p>
              </w:tc>
            </w:tr>
            <w:tr>
              <w:tblPrEx>
                <w:tblBorders>
                  <w:top w:val="double" w:color="000000" w:sz="4" w:space="0"/>
                  <w:left w:val="double" w:color="000000" w:sz="4" w:space="0"/>
                  <w:bottom w:val="double" w:color="000000" w:sz="4" w:space="0"/>
                  <w:right w:val="double" w:color="000000" w:sz="4" w:space="0"/>
                  <w:insideH w:val="single" w:color="000000" w:sz="6" w:space="0"/>
                  <w:insideV w:val="single" w:color="000000" w:sz="6" w:space="0"/>
                </w:tblBorders>
                <w:tblLayout w:type="fixed"/>
                <w:tblCellMar>
                  <w:top w:w="0" w:type="dxa"/>
                  <w:left w:w="108" w:type="dxa"/>
                  <w:bottom w:w="0" w:type="dxa"/>
                  <w:right w:w="108" w:type="dxa"/>
                </w:tblCellMar>
              </w:tblPrEx>
              <w:trPr>
                <w:trHeight w:val="1192" w:hRule="atLeast"/>
                <w:jc w:val="center"/>
              </w:trPr>
              <w:tc>
                <w:tcPr>
                  <w:tcW w:w="7923" w:type="dxa"/>
                  <w:gridSpan w:val="4"/>
                </w:tcPr>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lang w:val="en-US" w:eastAsia="zh-CN"/>
                    </w:rPr>
                    <w:t>说明：</w:t>
                  </w:r>
                  <w:r>
                    <w:rPr>
                      <w:rFonts w:hint="eastAsia" w:asciiTheme="minorEastAsia" w:hAnsiTheme="minorEastAsia" w:eastAsiaTheme="minorEastAsia" w:cstheme="minorEastAsia"/>
                      <w:b w:val="0"/>
                      <w:bCs/>
                      <w:color w:val="auto"/>
                      <w:sz w:val="21"/>
                      <w:szCs w:val="21"/>
                      <w:highlight w:val="none"/>
                    </w:rPr>
                    <w:t>招标代理服务收费按差额定率累进法计算以单个项目（或标段）中标通知书的中标金额为计算基数。中标金额大于50万时，50万元以内的固定收费金额不参与累进，直接以50万元—100万元（含）的费率进行计算。</w:t>
                  </w:r>
                </w:p>
              </w:tc>
            </w:tr>
          </w:tbl>
          <w:p>
            <w:pPr>
              <w:autoSpaceDE w:val="0"/>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highlight w:val="none"/>
              </w:rPr>
              <w:t>（2）投标人应承担其参加本投标活动编制投标文件与提交投标文件所涉及的一切费用。</w:t>
            </w:r>
          </w:p>
        </w:tc>
      </w:tr>
    </w:tbl>
    <w:p>
      <w:pPr>
        <w:pStyle w:val="18"/>
        <w:ind w:left="0" w:leftChars="0" w:firstLine="0" w:firstLineChars="0"/>
        <w:rPr>
          <w:rFonts w:hint="eastAsia"/>
        </w:rPr>
      </w:pP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（1）供应商准备和参加磋商活动发生的费用自理。</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（2）中标服务费用应由成交人支付。</w:t>
      </w:r>
    </w:p>
    <w:p>
      <w:pPr>
        <w:pStyle w:val="17"/>
        <w:spacing w:line="440" w:lineRule="exact"/>
        <w:rPr>
          <w:rFonts w:hint="eastAsia" w:ascii="宋体" w:hAnsi="宋体" w:eastAsia="宋体" w:cs="宋体"/>
          <w:b/>
          <w:color w:val="auto"/>
          <w:kern w:val="0"/>
          <w:sz w:val="24"/>
          <w:szCs w:val="24"/>
          <w:highlight w:val="none"/>
        </w:rPr>
      </w:pPr>
      <w:r>
        <w:rPr>
          <w:rFonts w:hint="eastAsia" w:hAnsi="宋体" w:cs="宋体"/>
          <w:b/>
          <w:color w:val="auto"/>
          <w:kern w:val="0"/>
          <w:sz w:val="24"/>
          <w:szCs w:val="24"/>
          <w:highlight w:val="none"/>
          <w:lang w:val="en-US" w:eastAsia="zh-CN"/>
        </w:rPr>
        <w:t>1.6</w:t>
      </w:r>
      <w:r>
        <w:rPr>
          <w:rFonts w:hint="eastAsia" w:ascii="宋体" w:hAnsi="宋体" w:eastAsia="宋体" w:cs="宋体"/>
          <w:b/>
          <w:color w:val="auto"/>
          <w:kern w:val="0"/>
          <w:sz w:val="24"/>
          <w:szCs w:val="24"/>
          <w:highlight w:val="none"/>
        </w:rPr>
        <w:t>保密</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参与磋商采购活动的各方应对磋商文件和响应文件中的商业和技术等秘密保密，违者应对由此造成的后果承担法律责任。</w:t>
      </w:r>
    </w:p>
    <w:p>
      <w:pPr>
        <w:pStyle w:val="17"/>
        <w:spacing w:line="44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1.7语言文字</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磋商文件及响应文件使用的语言文字为中文。专用术语使用外文的，应附有中文注释。</w:t>
      </w:r>
    </w:p>
    <w:p>
      <w:pPr>
        <w:pStyle w:val="17"/>
        <w:spacing w:line="44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1.8 计量单位</w:t>
      </w:r>
    </w:p>
    <w:p>
      <w:pPr>
        <w:pStyle w:val="17"/>
        <w:spacing w:line="440" w:lineRule="exact"/>
        <w:ind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所有计量均采用中华人民共和国法定计量单位。</w:t>
      </w:r>
    </w:p>
    <w:p>
      <w:pPr>
        <w:pStyle w:val="17"/>
        <w:spacing w:line="44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1.9 踏勘现场</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95" w:name="_Toc30318"/>
      <w:bookmarkStart w:id="96" w:name="_Toc26910"/>
      <w:r>
        <w:rPr>
          <w:rFonts w:hint="eastAsia" w:ascii="宋体" w:hAnsi="宋体" w:eastAsia="宋体" w:cs="宋体"/>
          <w:bCs/>
          <w:color w:val="auto"/>
          <w:kern w:val="0"/>
          <w:sz w:val="24"/>
          <w:szCs w:val="24"/>
          <w:highlight w:val="none"/>
        </w:rPr>
        <w:t>1.9.1供应商须知前附表规定组织踏勘现场的，采购人按供应商须知前附表规定的相关内容组织响应人踏勘项目现场。</w:t>
      </w:r>
      <w:bookmarkEnd w:id="95"/>
      <w:bookmarkEnd w:id="96"/>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97" w:name="_Toc29018"/>
      <w:bookmarkStart w:id="98" w:name="_Toc1629"/>
      <w:r>
        <w:rPr>
          <w:rFonts w:hint="eastAsia" w:ascii="宋体" w:hAnsi="宋体" w:eastAsia="宋体" w:cs="宋体"/>
          <w:bCs/>
          <w:color w:val="auto"/>
          <w:kern w:val="0"/>
          <w:sz w:val="24"/>
          <w:szCs w:val="24"/>
          <w:highlight w:val="none"/>
        </w:rPr>
        <w:t>1.9.2响应人踏勘现场发生的费用自理。</w:t>
      </w:r>
      <w:bookmarkEnd w:id="97"/>
      <w:bookmarkEnd w:id="98"/>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99" w:name="_Toc14949"/>
      <w:bookmarkStart w:id="100" w:name="_Toc13919"/>
      <w:r>
        <w:rPr>
          <w:rFonts w:hint="eastAsia" w:ascii="宋体" w:hAnsi="宋体" w:eastAsia="宋体" w:cs="宋体"/>
          <w:bCs/>
          <w:color w:val="auto"/>
          <w:kern w:val="0"/>
          <w:sz w:val="24"/>
          <w:szCs w:val="24"/>
          <w:highlight w:val="none"/>
        </w:rPr>
        <w:t>1.9.3除采购人的原因外，响应人自行负责在踏勘现场中所发生的人员伤亡和财产损失。</w:t>
      </w:r>
      <w:bookmarkEnd w:id="99"/>
      <w:bookmarkEnd w:id="100"/>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01" w:name="_Toc28480"/>
      <w:bookmarkStart w:id="102" w:name="_Toc29262"/>
      <w:r>
        <w:rPr>
          <w:rFonts w:hint="eastAsia" w:ascii="宋体" w:hAnsi="宋体" w:eastAsia="宋体" w:cs="宋体"/>
          <w:bCs/>
          <w:color w:val="auto"/>
          <w:kern w:val="0"/>
          <w:sz w:val="24"/>
          <w:szCs w:val="24"/>
          <w:highlight w:val="none"/>
        </w:rPr>
        <w:t>1.9.4采购人在踏勘现场中介绍的工程场地和相关的周边环境情况，供供应商在编制磋商响应文件时参考，采购人不对供应商据此作出的判断和决策负责。</w:t>
      </w:r>
      <w:bookmarkEnd w:id="101"/>
      <w:bookmarkEnd w:id="102"/>
    </w:p>
    <w:p>
      <w:pPr>
        <w:pStyle w:val="17"/>
        <w:spacing w:line="44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1.10 磋商预备会</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03" w:name="_Toc28919"/>
      <w:bookmarkStart w:id="104" w:name="_Toc10374"/>
      <w:r>
        <w:rPr>
          <w:rFonts w:hint="eastAsia" w:ascii="宋体" w:hAnsi="宋体" w:eastAsia="宋体" w:cs="宋体"/>
          <w:bCs/>
          <w:color w:val="auto"/>
          <w:kern w:val="0"/>
          <w:sz w:val="24"/>
          <w:szCs w:val="24"/>
          <w:highlight w:val="none"/>
        </w:rPr>
        <w:t>1.10.1供应商须知前附表规定召开磋商预备会的，采购人按供应商须知前附表规定的相关内容召开磋商预备会，澄清采购人提出的问题。</w:t>
      </w:r>
      <w:bookmarkEnd w:id="103"/>
      <w:bookmarkEnd w:id="104"/>
    </w:p>
    <w:p>
      <w:pPr>
        <w:wordWrap w:val="0"/>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05" w:name="_Toc21791"/>
      <w:bookmarkStart w:id="106" w:name="_Toc9035"/>
      <w:r>
        <w:rPr>
          <w:rFonts w:hint="eastAsia" w:ascii="宋体" w:hAnsi="宋体" w:eastAsia="宋体" w:cs="宋体"/>
          <w:bCs/>
          <w:color w:val="auto"/>
          <w:kern w:val="0"/>
          <w:sz w:val="24"/>
          <w:szCs w:val="24"/>
          <w:highlight w:val="none"/>
        </w:rPr>
        <w:t>1.10.2采购人应在供应商须知前附表规定的时间前，所有获取了磋商文件的供应商</w:t>
      </w:r>
      <w:r>
        <w:rPr>
          <w:rFonts w:hint="eastAsia" w:ascii="宋体" w:hAnsi="宋体" w:eastAsia="宋体" w:cs="宋体"/>
          <w:color w:val="auto"/>
          <w:sz w:val="24"/>
          <w:szCs w:val="24"/>
          <w:highlight w:val="none"/>
        </w:rPr>
        <w:t>凭企业数字证书（CA）登录“政采云”平台（网址：https://www.zcygov.cn/)</w:t>
      </w:r>
      <w:r>
        <w:rPr>
          <w:rFonts w:hint="eastAsia" w:ascii="宋体" w:hAnsi="宋体" w:eastAsia="宋体" w:cs="宋体"/>
          <w:color w:val="auto"/>
          <w:sz w:val="24"/>
          <w:szCs w:val="24"/>
          <w:highlight w:val="none"/>
          <w:lang w:val="en-US" w:eastAsia="zh-CN"/>
        </w:rPr>
        <w:t>或以书面形式向采购人、采购代理机构</w:t>
      </w:r>
      <w:r>
        <w:rPr>
          <w:rFonts w:hint="eastAsia" w:ascii="宋体" w:hAnsi="宋体" w:eastAsia="宋体" w:cs="宋体"/>
          <w:color w:val="auto"/>
          <w:sz w:val="24"/>
          <w:szCs w:val="24"/>
          <w:highlight w:val="none"/>
        </w:rPr>
        <w:t>提出</w:t>
      </w:r>
      <w:r>
        <w:rPr>
          <w:rFonts w:hint="eastAsia" w:ascii="宋体" w:hAnsi="宋体" w:eastAsia="宋体" w:cs="宋体"/>
          <w:bCs/>
          <w:color w:val="auto"/>
          <w:kern w:val="0"/>
          <w:sz w:val="24"/>
          <w:szCs w:val="24"/>
          <w:highlight w:val="none"/>
        </w:rPr>
        <w:t>，采购人或采购代理机构需对所有供应商进行统一回复。</w:t>
      </w:r>
      <w:bookmarkEnd w:id="105"/>
      <w:bookmarkEnd w:id="106"/>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07" w:name="_Toc28754"/>
      <w:bookmarkStart w:id="108" w:name="_Toc26180"/>
      <w:r>
        <w:rPr>
          <w:rFonts w:hint="eastAsia" w:ascii="宋体" w:hAnsi="宋体" w:eastAsia="宋体" w:cs="宋体"/>
          <w:bCs/>
          <w:color w:val="auto"/>
          <w:kern w:val="0"/>
          <w:sz w:val="24"/>
          <w:szCs w:val="24"/>
          <w:highlight w:val="none"/>
        </w:rPr>
        <w:t>1.10.3磋商预备会后，采购人在供应商须知前附表规定的时间内，将对采购人所提问题的澄清，由采购人以补遗书方式按程序报有关主管部门备案后，统一</w:t>
      </w:r>
      <w:r>
        <w:rPr>
          <w:rFonts w:hint="eastAsia" w:ascii="宋体" w:hAnsi="宋体" w:eastAsia="宋体" w:cs="宋体"/>
          <w:color w:val="auto"/>
          <w:sz w:val="24"/>
          <w:szCs w:val="24"/>
          <w:highlight w:val="none"/>
        </w:rPr>
        <w:t>通过“政采云”平台（网址：https://www.zcygov.cn/)</w:t>
      </w:r>
      <w:r>
        <w:rPr>
          <w:rFonts w:hint="eastAsia" w:ascii="宋体" w:hAnsi="宋体" w:eastAsia="宋体" w:cs="宋体"/>
          <w:bCs/>
          <w:color w:val="auto"/>
          <w:kern w:val="0"/>
          <w:sz w:val="24"/>
          <w:szCs w:val="24"/>
          <w:highlight w:val="none"/>
        </w:rPr>
        <w:t>向供应商回复。</w:t>
      </w:r>
      <w:bookmarkEnd w:id="107"/>
      <w:bookmarkEnd w:id="108"/>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09" w:name="_Toc19827"/>
      <w:bookmarkStart w:id="110" w:name="_Toc20581"/>
      <w:r>
        <w:rPr>
          <w:rFonts w:hint="eastAsia" w:ascii="宋体" w:hAnsi="宋体" w:eastAsia="宋体" w:cs="宋体"/>
          <w:b/>
          <w:color w:val="auto"/>
          <w:kern w:val="0"/>
          <w:sz w:val="24"/>
          <w:szCs w:val="24"/>
          <w:highlight w:val="none"/>
        </w:rPr>
        <w:t>1.11 分包</w:t>
      </w:r>
      <w:bookmarkEnd w:id="109"/>
      <w:bookmarkEnd w:id="110"/>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11" w:name="_Toc16679"/>
      <w:bookmarkStart w:id="112" w:name="_Toc27074"/>
      <w:r>
        <w:rPr>
          <w:rFonts w:hint="eastAsia" w:ascii="宋体" w:hAnsi="宋体" w:eastAsia="宋体" w:cs="宋体"/>
          <w:bCs/>
          <w:color w:val="auto"/>
          <w:kern w:val="0"/>
          <w:sz w:val="24"/>
          <w:szCs w:val="24"/>
          <w:highlight w:val="none"/>
        </w:rPr>
        <w:t>采购人拟在中标后将中标项目的部分非主体、非关键性工作进行分包的，应符合供应商须知前附表的相关规定。</w:t>
      </w:r>
      <w:bookmarkEnd w:id="111"/>
      <w:bookmarkEnd w:id="112"/>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13" w:name="_Toc18592"/>
      <w:bookmarkStart w:id="114" w:name="_Toc31287"/>
      <w:r>
        <w:rPr>
          <w:rFonts w:hint="eastAsia" w:ascii="宋体" w:hAnsi="宋体" w:eastAsia="宋体" w:cs="宋体"/>
          <w:b/>
          <w:color w:val="auto"/>
          <w:kern w:val="0"/>
          <w:sz w:val="24"/>
          <w:szCs w:val="24"/>
          <w:highlight w:val="none"/>
        </w:rPr>
        <w:t>1.12 偏离</w:t>
      </w:r>
      <w:bookmarkEnd w:id="113"/>
      <w:bookmarkEnd w:id="114"/>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15" w:name="_Toc18401"/>
      <w:bookmarkStart w:id="116" w:name="_Toc16107"/>
      <w:r>
        <w:rPr>
          <w:rFonts w:hint="eastAsia" w:ascii="宋体" w:hAnsi="宋体" w:eastAsia="宋体" w:cs="宋体"/>
          <w:bCs/>
          <w:color w:val="auto"/>
          <w:kern w:val="0"/>
          <w:sz w:val="24"/>
          <w:szCs w:val="24"/>
          <w:highlight w:val="none"/>
        </w:rPr>
        <w:t>供应商须知前附表允许响应文件偏离磋商文件某些要求的，偏离应当符合磋商文件规定的偏离范围和幅度。</w:t>
      </w:r>
      <w:bookmarkEnd w:id="115"/>
      <w:bookmarkEnd w:id="116"/>
    </w:p>
    <w:bookmarkEnd w:id="88"/>
    <w:bookmarkEnd w:id="89"/>
    <w:bookmarkEnd w:id="90"/>
    <w:p>
      <w:pPr>
        <w:numPr>
          <w:ilvl w:val="0"/>
          <w:numId w:val="5"/>
        </w:numPr>
        <w:autoSpaceDE w:val="0"/>
        <w:autoSpaceDN w:val="0"/>
        <w:adjustRightInd w:val="0"/>
        <w:spacing w:line="440" w:lineRule="exact"/>
        <w:ind w:left="3990" w:leftChars="0" w:firstLineChars="0"/>
        <w:jc w:val="left"/>
        <w:outlineLvl w:val="0"/>
        <w:rPr>
          <w:rFonts w:hint="eastAsia" w:ascii="宋体" w:hAnsi="宋体" w:eastAsia="宋体" w:cs="宋体"/>
          <w:b/>
          <w:color w:val="auto"/>
          <w:kern w:val="0"/>
          <w:sz w:val="28"/>
          <w:szCs w:val="28"/>
          <w:highlight w:val="none"/>
        </w:rPr>
      </w:pPr>
      <w:bookmarkStart w:id="117" w:name="_Toc5172"/>
      <w:bookmarkStart w:id="118" w:name="_Toc10262"/>
      <w:bookmarkStart w:id="119" w:name="_Toc199321878"/>
      <w:r>
        <w:rPr>
          <w:rFonts w:hint="eastAsia" w:ascii="宋体" w:hAnsi="宋体" w:eastAsia="宋体" w:cs="宋体"/>
          <w:b/>
          <w:color w:val="auto"/>
          <w:kern w:val="0"/>
          <w:sz w:val="28"/>
          <w:szCs w:val="28"/>
          <w:highlight w:val="none"/>
        </w:rPr>
        <w:t>磋商文件</w:t>
      </w:r>
      <w:bookmarkEnd w:id="117"/>
      <w:bookmarkEnd w:id="118"/>
    </w:p>
    <w:p>
      <w:pPr>
        <w:pStyle w:val="48"/>
        <w:spacing w:line="440" w:lineRule="exact"/>
        <w:ind w:firstLine="0" w:firstLine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2.1 磋商文件的组成</w:t>
      </w:r>
    </w:p>
    <w:p>
      <w:pPr>
        <w:autoSpaceDE w:val="0"/>
        <w:autoSpaceDN w:val="0"/>
        <w:adjustRightInd w:val="0"/>
        <w:spacing w:line="440" w:lineRule="exact"/>
        <w:ind w:firstLine="420"/>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2.1.1</w:t>
      </w:r>
      <w:r>
        <w:rPr>
          <w:rFonts w:hint="eastAsia" w:ascii="宋体" w:hAnsi="宋体" w:eastAsia="宋体" w:cs="宋体"/>
          <w:color w:val="auto"/>
          <w:kern w:val="0"/>
          <w:sz w:val="24"/>
          <w:szCs w:val="24"/>
          <w:highlight w:val="none"/>
        </w:rPr>
        <w:t>本竞争性磋商文件包括:</w:t>
      </w:r>
    </w:p>
    <w:p>
      <w:pPr>
        <w:autoSpaceDE w:val="0"/>
        <w:autoSpaceDN w:val="0"/>
        <w:adjustRightInd w:val="0"/>
        <w:spacing w:line="440" w:lineRule="exact"/>
        <w:ind w:left="42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 xml:space="preserve">（1）竞争性磋商公告   </w:t>
      </w:r>
    </w:p>
    <w:p>
      <w:pPr>
        <w:autoSpaceDE w:val="0"/>
        <w:autoSpaceDN w:val="0"/>
        <w:adjustRightInd w:val="0"/>
        <w:spacing w:line="440" w:lineRule="exact"/>
        <w:ind w:left="42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（2）供应商须知</w:t>
      </w:r>
    </w:p>
    <w:p>
      <w:pPr>
        <w:autoSpaceDE w:val="0"/>
        <w:autoSpaceDN w:val="0"/>
        <w:adjustRightInd w:val="0"/>
        <w:spacing w:line="440" w:lineRule="exact"/>
        <w:ind w:left="42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 xml:space="preserve">（3）采购需求  </w:t>
      </w:r>
    </w:p>
    <w:p>
      <w:pPr>
        <w:autoSpaceDE w:val="0"/>
        <w:autoSpaceDN w:val="0"/>
        <w:adjustRightInd w:val="0"/>
        <w:spacing w:line="440" w:lineRule="exact"/>
        <w:ind w:left="42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 xml:space="preserve">（4）评审办法  </w:t>
      </w:r>
    </w:p>
    <w:p>
      <w:pPr>
        <w:autoSpaceDE w:val="0"/>
        <w:autoSpaceDN w:val="0"/>
        <w:adjustRightInd w:val="0"/>
        <w:spacing w:line="440" w:lineRule="exact"/>
        <w:ind w:left="42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4"/>
          <w:kern w:val="0"/>
          <w:sz w:val="24"/>
          <w:szCs w:val="24"/>
          <w:highlight w:val="none"/>
        </w:rPr>
        <w:t>（5）合同条款及格式</w:t>
      </w:r>
    </w:p>
    <w:p>
      <w:pPr>
        <w:autoSpaceDE w:val="0"/>
        <w:autoSpaceDN w:val="0"/>
        <w:adjustRightInd w:val="0"/>
        <w:spacing w:line="440" w:lineRule="exact"/>
        <w:ind w:left="420"/>
        <w:jc w:val="left"/>
        <w:rPr>
          <w:rFonts w:hint="eastAsia" w:ascii="宋体" w:hAnsi="宋体" w:eastAsia="宋体" w:cs="宋体"/>
          <w:color w:val="auto"/>
          <w:kern w:val="0"/>
          <w:sz w:val="24"/>
          <w:szCs w:val="24"/>
          <w:highlight w:val="none"/>
        </w:rPr>
      </w:pPr>
      <w:r>
        <w:rPr>
          <w:rFonts w:hint="eastAsia" w:ascii="宋体" w:hAnsi="宋体" w:eastAsia="宋体" w:cs="宋体"/>
          <w:color w:val="auto"/>
          <w:spacing w:val="-4"/>
          <w:kern w:val="0"/>
          <w:sz w:val="24"/>
          <w:szCs w:val="24"/>
          <w:highlight w:val="none"/>
        </w:rPr>
        <w:t xml:space="preserve">（6）竞争性磋商响应文件格式        </w:t>
      </w:r>
    </w:p>
    <w:p>
      <w:pPr>
        <w:pStyle w:val="17"/>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（7）含本章第2.2款和第2.3款对招标文件所作的澄清、修改及补充文件等，构成招标文件的组成部分。</w:t>
      </w:r>
    </w:p>
    <w:p>
      <w:pPr>
        <w:pStyle w:val="17"/>
        <w:spacing w:line="440" w:lineRule="exact"/>
        <w:ind w:firstLine="482" w:firstLineChars="20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2.2 磋商文件的澄清</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20" w:name="_Toc14324"/>
      <w:bookmarkStart w:id="121" w:name="_Toc29155"/>
      <w:r>
        <w:rPr>
          <w:rFonts w:hint="eastAsia" w:ascii="宋体" w:hAnsi="宋体" w:eastAsia="宋体" w:cs="宋体"/>
          <w:bCs/>
          <w:color w:val="auto"/>
          <w:kern w:val="0"/>
          <w:sz w:val="24"/>
          <w:szCs w:val="24"/>
          <w:highlight w:val="none"/>
        </w:rPr>
        <w:t>2.2.1同1.10.2的时间要求。</w:t>
      </w:r>
      <w:r>
        <w:rPr>
          <w:rFonts w:hint="eastAsia" w:ascii="宋体" w:hAnsi="宋体" w:eastAsia="宋体" w:cs="宋体"/>
          <w:color w:val="auto"/>
          <w:sz w:val="24"/>
          <w:szCs w:val="24"/>
          <w:highlight w:val="none"/>
        </w:rPr>
        <w:t>响应人应仔细阅读和检查磋商文件的全部内容，如发现磋商文件缺页或附件不全，应及时向采购人提出，以便补齐。如有疑问，应在供应商须知前附表规定的时间前凭企业数字证书（CA）登录“政采云”平台（网址：https://www.zcygov.cn/)中</w:t>
      </w:r>
      <w:r>
        <w:rPr>
          <w:rFonts w:hint="eastAsia" w:ascii="宋体" w:hAnsi="宋体" w:eastAsia="宋体" w:cs="宋体"/>
          <w:color w:val="auto"/>
          <w:sz w:val="24"/>
          <w:szCs w:val="24"/>
          <w:highlight w:val="none"/>
          <w:lang w:val="en-US" w:eastAsia="zh-CN"/>
        </w:rPr>
        <w:t>以书面形式向采购人、采购代理机构</w:t>
      </w:r>
      <w:r>
        <w:rPr>
          <w:rFonts w:hint="eastAsia" w:ascii="宋体" w:hAnsi="宋体" w:eastAsia="宋体" w:cs="宋体"/>
          <w:color w:val="auto"/>
          <w:sz w:val="24"/>
          <w:szCs w:val="24"/>
          <w:highlight w:val="none"/>
        </w:rPr>
        <w:t>提出澄清申请</w:t>
      </w:r>
      <w:r>
        <w:rPr>
          <w:rFonts w:hint="eastAsia" w:ascii="宋体" w:hAnsi="宋体" w:eastAsia="宋体" w:cs="宋体"/>
          <w:bCs/>
          <w:color w:val="auto"/>
          <w:kern w:val="0"/>
          <w:sz w:val="24"/>
          <w:szCs w:val="24"/>
          <w:highlight w:val="none"/>
        </w:rPr>
        <w:t>。</w:t>
      </w:r>
      <w:bookmarkEnd w:id="120"/>
      <w:bookmarkEnd w:id="121"/>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22" w:name="_Toc30842"/>
      <w:bookmarkStart w:id="123" w:name="_Toc2116"/>
      <w:r>
        <w:rPr>
          <w:rFonts w:hint="eastAsia" w:ascii="宋体" w:hAnsi="宋体" w:eastAsia="宋体" w:cs="宋体"/>
          <w:bCs/>
          <w:color w:val="auto"/>
          <w:kern w:val="0"/>
          <w:sz w:val="24"/>
          <w:szCs w:val="24"/>
          <w:highlight w:val="none"/>
        </w:rPr>
        <w:t>2.2.2磋商截止时间：见供应商须知前附表。</w:t>
      </w:r>
      <w:bookmarkEnd w:id="122"/>
      <w:bookmarkEnd w:id="123"/>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24" w:name="_Toc8645"/>
      <w:bookmarkStart w:id="125" w:name="_Toc7862"/>
      <w:r>
        <w:rPr>
          <w:rFonts w:hint="eastAsia" w:ascii="宋体" w:hAnsi="宋体" w:eastAsia="宋体" w:cs="宋体"/>
          <w:bCs/>
          <w:color w:val="auto"/>
          <w:kern w:val="0"/>
          <w:sz w:val="24"/>
          <w:szCs w:val="24"/>
          <w:highlight w:val="none"/>
        </w:rPr>
        <w:t>2.2.3</w:t>
      </w:r>
      <w:r>
        <w:rPr>
          <w:rFonts w:hint="eastAsia" w:ascii="宋体" w:hAnsi="宋体" w:eastAsia="宋体" w:cs="宋体"/>
          <w:color w:val="auto"/>
          <w:sz w:val="24"/>
          <w:szCs w:val="24"/>
          <w:highlight w:val="none"/>
        </w:rPr>
        <w:t>磋商文件的澄清和补遗全部通过“政采云”平台（网址：https://www.zcygov.cn/)通知所有供应商，如果澄清发出的时间距供应商须知前附表规定的磋商截止时间不足5天，并且澄清内容影响磋商响应文件编制的，应相应延长磋商截止时间</w:t>
      </w:r>
      <w:r>
        <w:rPr>
          <w:rFonts w:hint="eastAsia" w:ascii="宋体" w:hAnsi="宋体" w:eastAsia="宋体" w:cs="宋体"/>
          <w:bCs/>
          <w:color w:val="auto"/>
          <w:kern w:val="0"/>
          <w:sz w:val="24"/>
          <w:szCs w:val="24"/>
          <w:highlight w:val="none"/>
        </w:rPr>
        <w:t>。</w:t>
      </w:r>
      <w:bookmarkEnd w:id="124"/>
      <w:bookmarkEnd w:id="125"/>
    </w:p>
    <w:p>
      <w:pPr>
        <w:pStyle w:val="17"/>
        <w:spacing w:line="440" w:lineRule="exac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2.3 竞争性磋商文件的修改</w:t>
      </w:r>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26" w:name="_Toc23225"/>
      <w:bookmarkStart w:id="127" w:name="_Toc28620"/>
      <w:r>
        <w:rPr>
          <w:rFonts w:hint="eastAsia" w:ascii="宋体" w:hAnsi="宋体" w:eastAsia="宋体" w:cs="宋体"/>
          <w:bCs/>
          <w:color w:val="auto"/>
          <w:kern w:val="0"/>
          <w:sz w:val="24"/>
          <w:szCs w:val="24"/>
          <w:highlight w:val="none"/>
        </w:rPr>
        <w:t>2.3.1 在磋商截止时间5天前，采购人可以</w:t>
      </w:r>
      <w:r>
        <w:rPr>
          <w:rFonts w:hint="eastAsia" w:ascii="宋体" w:hAnsi="宋体" w:eastAsia="宋体" w:cs="宋体"/>
          <w:color w:val="auto"/>
          <w:sz w:val="24"/>
          <w:szCs w:val="24"/>
          <w:highlight w:val="none"/>
        </w:rPr>
        <w:t>通过“政采云”平台（网址：https://www.zcygov.cn/)</w:t>
      </w:r>
      <w:r>
        <w:rPr>
          <w:rFonts w:hint="eastAsia" w:ascii="宋体" w:hAnsi="宋体" w:eastAsia="宋体" w:cs="宋体"/>
          <w:bCs/>
          <w:color w:val="auto"/>
          <w:kern w:val="0"/>
          <w:sz w:val="24"/>
          <w:szCs w:val="24"/>
          <w:highlight w:val="none"/>
        </w:rPr>
        <w:t>发布变更、澄清或补遗修改竞争性磋商文件，竞争性磋商文件的修改作为竞争性磋商文件的组成部分，并具有约束力。但如果修改竞争性磋商文件的时间距磋商截止时间不足5天，并且修改内容影响响应文件编制的，应相应延长磋商截止时间。供应商自行登录“政采云”平台（网址：https://www.zcygov.cn/)收取修改内容。供应商应在磋商截止时间前自行查看</w:t>
      </w:r>
      <w:r>
        <w:rPr>
          <w:rFonts w:hint="eastAsia" w:ascii="宋体" w:hAnsi="宋体" w:eastAsia="宋体" w:cs="宋体"/>
          <w:color w:val="auto"/>
          <w:sz w:val="24"/>
          <w:szCs w:val="24"/>
          <w:highlight w:val="none"/>
        </w:rPr>
        <w:t>“政采云”平台（网址：https://www.zcygov.cn/)</w:t>
      </w:r>
      <w:r>
        <w:rPr>
          <w:rFonts w:hint="eastAsia" w:ascii="宋体" w:hAnsi="宋体" w:eastAsia="宋体" w:cs="宋体"/>
          <w:bCs/>
          <w:color w:val="auto"/>
          <w:kern w:val="0"/>
          <w:sz w:val="24"/>
          <w:szCs w:val="24"/>
          <w:highlight w:val="none"/>
        </w:rPr>
        <w:t>中有关该项目竞争性磋商文件的答疑、补遗内容。否则，由此引起的磋商损失自负。</w:t>
      </w:r>
      <w:bookmarkEnd w:id="126"/>
      <w:bookmarkEnd w:id="127"/>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28" w:name="_Toc28946"/>
      <w:bookmarkStart w:id="129" w:name="_Toc7093"/>
      <w:r>
        <w:rPr>
          <w:rFonts w:hint="eastAsia" w:ascii="宋体" w:hAnsi="宋体" w:eastAsia="宋体" w:cs="宋体"/>
          <w:bCs/>
          <w:color w:val="auto"/>
          <w:kern w:val="0"/>
          <w:sz w:val="24"/>
          <w:szCs w:val="24"/>
          <w:highlight w:val="none"/>
        </w:rPr>
        <w:t xml:space="preserve">2.3.2 </w:t>
      </w:r>
      <w:r>
        <w:rPr>
          <w:rFonts w:hint="eastAsia" w:ascii="宋体" w:hAnsi="宋体" w:eastAsia="宋体" w:cs="宋体"/>
          <w:color w:val="auto"/>
          <w:sz w:val="24"/>
          <w:szCs w:val="24"/>
          <w:highlight w:val="none"/>
        </w:rPr>
        <w:t>供应商自行登录“政采云”平台（网址：https://www.zcygov.cn/)获取澄清、补充、修改、答疑等，无须回复确认</w:t>
      </w:r>
      <w:r>
        <w:rPr>
          <w:rFonts w:hint="eastAsia" w:ascii="宋体" w:hAnsi="宋体" w:eastAsia="宋体" w:cs="宋体"/>
          <w:bCs/>
          <w:color w:val="auto"/>
          <w:kern w:val="0"/>
          <w:sz w:val="24"/>
          <w:szCs w:val="24"/>
          <w:highlight w:val="none"/>
        </w:rPr>
        <w:t>。</w:t>
      </w:r>
      <w:bookmarkEnd w:id="128"/>
      <w:bookmarkEnd w:id="129"/>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30" w:name="_Toc25898"/>
      <w:bookmarkStart w:id="131" w:name="_Toc2908"/>
      <w:r>
        <w:rPr>
          <w:rFonts w:hint="eastAsia" w:ascii="宋体" w:hAnsi="宋体" w:eastAsia="宋体" w:cs="宋体"/>
          <w:b/>
          <w:color w:val="auto"/>
          <w:kern w:val="0"/>
          <w:sz w:val="24"/>
          <w:szCs w:val="24"/>
          <w:highlight w:val="none"/>
        </w:rPr>
        <w:t>3. 磋商响应文件</w:t>
      </w:r>
      <w:bookmarkEnd w:id="130"/>
      <w:bookmarkEnd w:id="131"/>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32" w:name="_Toc431"/>
      <w:bookmarkStart w:id="133" w:name="_Toc24877"/>
      <w:r>
        <w:rPr>
          <w:rFonts w:hint="eastAsia" w:ascii="宋体" w:hAnsi="宋体" w:eastAsia="宋体" w:cs="宋体"/>
          <w:b/>
          <w:color w:val="auto"/>
          <w:kern w:val="0"/>
          <w:sz w:val="24"/>
          <w:szCs w:val="24"/>
          <w:highlight w:val="none"/>
        </w:rPr>
        <w:t>3.1 磋商响应文件的组成如下：</w:t>
      </w:r>
      <w:bookmarkEnd w:id="132"/>
      <w:bookmarkEnd w:id="133"/>
    </w:p>
    <w:bookmarkEnd w:id="119"/>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134" w:name="_Toc30615"/>
      <w:bookmarkStart w:id="135" w:name="_Toc25646"/>
      <w:bookmarkStart w:id="136" w:name="_Toc381278396"/>
      <w:bookmarkStart w:id="137" w:name="_Toc260172660"/>
      <w:bookmarkStart w:id="138" w:name="_Toc382901560"/>
      <w:bookmarkStart w:id="139" w:name="_Toc262675327"/>
      <w:bookmarkStart w:id="140" w:name="_Toc209498823"/>
      <w:bookmarkStart w:id="141" w:name="_Toc491246652"/>
      <w:bookmarkStart w:id="142" w:name="_Toc199321902"/>
      <w:bookmarkStart w:id="143" w:name="_Toc247277947"/>
      <w:r>
        <w:rPr>
          <w:rFonts w:hint="eastAsia" w:ascii="宋体" w:hAnsi="宋体" w:eastAsia="宋体" w:cs="宋体"/>
          <w:bCs/>
          <w:color w:val="auto"/>
          <w:kern w:val="0"/>
          <w:sz w:val="24"/>
          <w:szCs w:val="24"/>
          <w:highlight w:val="none"/>
        </w:rPr>
        <w:t>详见“第六章 竞争性磋商响应文件格式”。</w:t>
      </w:r>
      <w:bookmarkEnd w:id="134"/>
      <w:bookmarkEnd w:id="135"/>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44" w:name="_Toc13375"/>
      <w:bookmarkStart w:id="145" w:name="_Toc20968"/>
      <w:r>
        <w:rPr>
          <w:rFonts w:hint="eastAsia" w:ascii="宋体" w:hAnsi="宋体" w:eastAsia="宋体" w:cs="宋体"/>
          <w:b/>
          <w:color w:val="auto"/>
          <w:kern w:val="0"/>
          <w:sz w:val="24"/>
          <w:szCs w:val="24"/>
          <w:highlight w:val="none"/>
        </w:rPr>
        <w:t>3.2 磋商报价</w:t>
      </w:r>
      <w:bookmarkEnd w:id="136"/>
      <w:bookmarkEnd w:id="137"/>
      <w:bookmarkEnd w:id="138"/>
      <w:bookmarkEnd w:id="139"/>
      <w:bookmarkEnd w:id="140"/>
      <w:bookmarkEnd w:id="141"/>
      <w:bookmarkEnd w:id="142"/>
      <w:bookmarkEnd w:id="143"/>
      <w:bookmarkEnd w:id="144"/>
      <w:bookmarkEnd w:id="145"/>
    </w:p>
    <w:p>
      <w:pPr>
        <w:spacing w:line="440" w:lineRule="exact"/>
        <w:ind w:firstLine="480" w:firstLineChars="200"/>
        <w:jc w:val="left"/>
        <w:rPr>
          <w:rFonts w:hint="eastAsia" w:ascii="宋体" w:hAnsi="宋体" w:eastAsia="宋体" w:cs="宋体"/>
          <w:bCs/>
          <w:color w:val="auto"/>
          <w:kern w:val="0"/>
          <w:sz w:val="24"/>
          <w:szCs w:val="24"/>
          <w:highlight w:val="none"/>
        </w:rPr>
      </w:pPr>
      <w:bookmarkStart w:id="146" w:name="_Toc199321903"/>
      <w:bookmarkStart w:id="147" w:name="_Toc31432"/>
      <w:bookmarkStart w:id="148" w:name="_Toc491246653"/>
      <w:bookmarkStart w:id="149" w:name="_Toc247277948"/>
      <w:bookmarkStart w:id="150" w:name="_Toc260172661"/>
      <w:bookmarkStart w:id="151" w:name="_Toc382901561"/>
      <w:bookmarkStart w:id="152" w:name="_Toc381278397"/>
      <w:bookmarkStart w:id="153" w:name="_Toc6873"/>
      <w:bookmarkStart w:id="154" w:name="_Toc262675328"/>
      <w:bookmarkStart w:id="155" w:name="_Toc209498824"/>
      <w:r>
        <w:rPr>
          <w:rFonts w:hint="eastAsia" w:ascii="宋体" w:hAnsi="宋体" w:eastAsia="宋体" w:cs="宋体"/>
          <w:color w:val="auto"/>
          <w:sz w:val="24"/>
          <w:szCs w:val="24"/>
          <w:highlight w:val="none"/>
        </w:rPr>
        <w:t>3.2.1供应商应按照供应商须知前附表约定的方式及“响应文件格式”的要求在初次报价表中进行报价，磋商报价不得超过</w:t>
      </w:r>
      <w:r>
        <w:rPr>
          <w:rFonts w:hint="eastAsia" w:ascii="宋体" w:hAnsi="宋体" w:eastAsia="宋体" w:cs="宋体"/>
          <w:color w:val="auto"/>
          <w:sz w:val="24"/>
          <w:szCs w:val="24"/>
          <w:highlight w:val="none"/>
          <w:lang w:eastAsia="zh-CN"/>
        </w:rPr>
        <w:t>预算金额或最高限价</w:t>
      </w:r>
      <w:r>
        <w:rPr>
          <w:rFonts w:hint="eastAsia" w:ascii="宋体" w:hAnsi="宋体" w:eastAsia="宋体" w:cs="宋体"/>
          <w:color w:val="auto"/>
          <w:sz w:val="24"/>
          <w:szCs w:val="24"/>
          <w:highlight w:val="none"/>
        </w:rPr>
        <w:t>，报价货币为人民币</w:t>
      </w:r>
      <w:r>
        <w:rPr>
          <w:rFonts w:hint="eastAsia" w:ascii="宋体" w:hAnsi="宋体" w:eastAsia="宋体" w:cs="宋体"/>
          <w:bCs/>
          <w:color w:val="auto"/>
          <w:kern w:val="0"/>
          <w:sz w:val="24"/>
          <w:szCs w:val="24"/>
          <w:highlight w:val="none"/>
        </w:rPr>
        <w:t>。</w:t>
      </w:r>
    </w:p>
    <w:p>
      <w:pPr>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投标人结合自身实力填报价格。本次磋商报价为综合报价，报价应为人民币含税价（元），包括货物成本价格、运输、安装、辅材配件、培训、售后、税费、中标服务费等本项目所涉及的一切费用，以人民币为结算单位，采购人将不再另行支付其他费用。</w:t>
      </w:r>
    </w:p>
    <w:p>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通过资格审查及符合性审查的供应商</w:t>
      </w:r>
      <w:r>
        <w:rPr>
          <w:rFonts w:hint="eastAsia" w:ascii="宋体" w:hAnsi="宋体" w:eastAsia="宋体" w:cs="宋体"/>
          <w:bCs/>
          <w:color w:val="auto"/>
          <w:sz w:val="24"/>
          <w:szCs w:val="24"/>
          <w:highlight w:val="none"/>
        </w:rPr>
        <w:t>在系统上“政采云平台（网址：https://www.zcygov.cn/）”等待</w:t>
      </w:r>
      <w:r>
        <w:rPr>
          <w:rFonts w:hint="eastAsia" w:ascii="宋体" w:hAnsi="宋体" w:eastAsia="宋体" w:cs="宋体"/>
          <w:bCs/>
          <w:color w:val="auto"/>
          <w:sz w:val="24"/>
          <w:szCs w:val="24"/>
          <w:highlight w:val="none"/>
          <w:lang w:eastAsia="zh-CN"/>
        </w:rPr>
        <w:t>评审小组</w:t>
      </w:r>
      <w:r>
        <w:rPr>
          <w:rFonts w:hint="eastAsia" w:ascii="宋体" w:hAnsi="宋体" w:eastAsia="宋体" w:cs="宋体"/>
          <w:bCs/>
          <w:color w:val="auto"/>
          <w:sz w:val="24"/>
          <w:szCs w:val="24"/>
          <w:highlight w:val="none"/>
        </w:rPr>
        <w:t>通通知最后磋商报价，</w:t>
      </w:r>
      <w:r>
        <w:rPr>
          <w:rFonts w:hint="eastAsia" w:ascii="宋体" w:hAnsi="宋体" w:eastAsia="宋体" w:cs="宋体"/>
          <w:color w:val="auto"/>
          <w:sz w:val="24"/>
          <w:szCs w:val="24"/>
          <w:highlight w:val="none"/>
        </w:rPr>
        <w:t>第二轮报价为</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是供应商响应文件的有效组成部分。</w:t>
      </w:r>
    </w:p>
    <w:p>
      <w:pPr>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若已递交的</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出现含义不明确、同类问题表述不一致或者签署不完整、有明显文字和计算错误的，可以进行澄清和补充，但不得改变</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文件中报价等实质性内容（算术性错误修正的除外）。</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3.3 磋商有效期</w:t>
      </w:r>
      <w:bookmarkEnd w:id="146"/>
      <w:bookmarkEnd w:id="147"/>
      <w:bookmarkEnd w:id="148"/>
      <w:bookmarkEnd w:id="149"/>
      <w:bookmarkEnd w:id="150"/>
      <w:bookmarkEnd w:id="151"/>
      <w:bookmarkEnd w:id="152"/>
      <w:bookmarkEnd w:id="153"/>
      <w:bookmarkEnd w:id="154"/>
      <w:bookmarkEnd w:id="155"/>
    </w:p>
    <w:p>
      <w:pPr>
        <w:pStyle w:val="17"/>
        <w:spacing w:line="44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3.3.1</w:t>
      </w:r>
      <w:r>
        <w:rPr>
          <w:rFonts w:hint="eastAsia" w:ascii="宋体" w:hAnsi="宋体" w:eastAsia="宋体" w:cs="宋体"/>
          <w:color w:val="auto"/>
          <w:kern w:val="0"/>
          <w:sz w:val="24"/>
          <w:szCs w:val="24"/>
          <w:highlight w:val="none"/>
        </w:rPr>
        <w:t xml:space="preserve"> 在供应商须知前附表规定的磋商有效期内，供应商不得要求撤销或修改其磋商文件。</w:t>
      </w:r>
    </w:p>
    <w:p>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 xml:space="preserve">3.3.2 </w:t>
      </w:r>
      <w:r>
        <w:rPr>
          <w:rFonts w:hint="eastAsia" w:ascii="宋体" w:hAnsi="宋体" w:eastAsia="宋体" w:cs="宋体"/>
          <w:color w:val="auto"/>
          <w:sz w:val="24"/>
          <w:szCs w:val="24"/>
          <w:highlight w:val="none"/>
        </w:rPr>
        <w:t>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pPr>
        <w:autoSpaceDE w:val="0"/>
        <w:autoSpaceDN w:val="0"/>
        <w:adjustRightInd w:val="0"/>
        <w:spacing w:line="440" w:lineRule="exact"/>
        <w:jc w:val="left"/>
        <w:rPr>
          <w:rFonts w:hint="eastAsia" w:ascii="宋体" w:hAnsi="宋体" w:eastAsia="宋体" w:cs="宋体"/>
          <w:b/>
          <w:color w:val="auto"/>
          <w:kern w:val="0"/>
          <w:sz w:val="24"/>
          <w:szCs w:val="24"/>
          <w:highlight w:val="none"/>
        </w:rPr>
      </w:pPr>
      <w:bookmarkStart w:id="156" w:name="_Toc382901562"/>
      <w:bookmarkStart w:id="157" w:name="_Toc209498825"/>
      <w:bookmarkStart w:id="158" w:name="_Toc21731"/>
      <w:bookmarkStart w:id="159" w:name="_Toc260172662"/>
      <w:bookmarkStart w:id="160" w:name="_Toc262675329"/>
      <w:bookmarkStart w:id="161" w:name="_Toc19884"/>
      <w:bookmarkStart w:id="162" w:name="_Toc199321904"/>
      <w:bookmarkStart w:id="163" w:name="_Toc381278398"/>
      <w:bookmarkStart w:id="164" w:name="_Toc247277949"/>
      <w:bookmarkStart w:id="165" w:name="_Toc491246654"/>
      <w:r>
        <w:rPr>
          <w:rFonts w:hint="eastAsia" w:ascii="宋体" w:hAnsi="宋体" w:eastAsia="宋体" w:cs="宋体"/>
          <w:b/>
          <w:color w:val="auto"/>
          <w:kern w:val="0"/>
          <w:sz w:val="24"/>
          <w:szCs w:val="24"/>
          <w:highlight w:val="none"/>
        </w:rPr>
        <w:t>3.4 磋商保证金</w:t>
      </w:r>
      <w:bookmarkEnd w:id="156"/>
      <w:bookmarkEnd w:id="157"/>
      <w:bookmarkEnd w:id="158"/>
      <w:bookmarkEnd w:id="159"/>
      <w:bookmarkEnd w:id="160"/>
      <w:bookmarkEnd w:id="161"/>
      <w:bookmarkEnd w:id="162"/>
      <w:bookmarkEnd w:id="163"/>
      <w:bookmarkEnd w:id="164"/>
      <w:bookmarkEnd w:id="165"/>
    </w:p>
    <w:p>
      <w:pPr>
        <w:widowControl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3.4.1投标人在递交投标文件的同时，应按投标人须知前附表规定的金额、形式和第</w:t>
      </w:r>
      <w:r>
        <w:rPr>
          <w:rFonts w:hint="eastAsia" w:asciiTheme="minorEastAsia" w:hAnsiTheme="minorEastAsia" w:eastAsiaTheme="minorEastAsia" w:cstheme="minorEastAsia"/>
          <w:color w:val="auto"/>
          <w:sz w:val="24"/>
          <w:szCs w:val="24"/>
          <w:highlight w:val="none"/>
          <w:lang w:eastAsia="zh-CN"/>
        </w:rPr>
        <w:t>六</w:t>
      </w:r>
      <w:r>
        <w:rPr>
          <w:rFonts w:hint="eastAsia" w:asciiTheme="minorEastAsia" w:hAnsiTheme="minorEastAsia" w:eastAsiaTheme="minorEastAsia" w:cstheme="minorEastAsia"/>
          <w:color w:val="auto"/>
          <w:sz w:val="24"/>
          <w:szCs w:val="24"/>
          <w:highlight w:val="none"/>
        </w:rPr>
        <w:t>章“投标文件格式”规定的投标保证金格式递交投标保证金，并作为其投标文件的组成部分。联合体投标的，其投标保证金可以由牵头人递交。</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 投标人不按本章第3.4.1 项要求提交投标保证金的，其投标将被视为无效投标。</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3.4.3 </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人或者</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代理机构应当自中标通知书发出之日起5个工作日内退还未中标人的投标保证金，自采购合同签订之日起5个工作日内退还中标人的投标保证金。</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 有下列情形之一的，投标保证金将不予退还：</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(1)投标人在投标有效期内撤销投标文件；</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(2)中标人在收到中标通知书后，无正当理由不与</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人订立合同，在签订合同时向</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人提出附加条件，或者不按照招标文件要求提交履约保证金；</w:t>
      </w:r>
    </w:p>
    <w:p>
      <w:pPr>
        <w:spacing w:line="360" w:lineRule="auto"/>
        <w:ind w:left="479" w:leftChars="228"/>
        <w:rPr>
          <w:rFonts w:hint="eastAsia"/>
          <w:lang w:val="en-US" w:eastAsia="zh-CN"/>
        </w:rPr>
      </w:pPr>
      <w:bookmarkStart w:id="166" w:name="_Toc32408"/>
      <w:bookmarkEnd w:id="166"/>
      <w:r>
        <w:rPr>
          <w:rFonts w:hint="eastAsia" w:asciiTheme="minorEastAsia" w:hAnsiTheme="minorEastAsia" w:eastAsiaTheme="minorEastAsia" w:cstheme="minorEastAsia"/>
          <w:color w:val="auto"/>
          <w:sz w:val="24"/>
          <w:szCs w:val="24"/>
          <w:highlight w:val="none"/>
        </w:rPr>
        <w:t>(3)其他法律法规要求不予退还投标保证金的情形。</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67" w:name="_Toc5053"/>
      <w:bookmarkStart w:id="168" w:name="_Toc491246655"/>
      <w:bookmarkStart w:id="169" w:name="_Toc260172663"/>
      <w:bookmarkStart w:id="170" w:name="_Toc209498826"/>
      <w:bookmarkStart w:id="171" w:name="_Toc381278399"/>
      <w:bookmarkStart w:id="172" w:name="_Toc382901563"/>
      <w:bookmarkStart w:id="173" w:name="_Toc199321905"/>
      <w:bookmarkStart w:id="174" w:name="_Toc5070"/>
      <w:bookmarkStart w:id="175" w:name="_Toc247277950"/>
      <w:bookmarkStart w:id="176" w:name="_Toc262675330"/>
      <w:r>
        <w:rPr>
          <w:rFonts w:hint="eastAsia" w:ascii="宋体" w:hAnsi="宋体" w:eastAsia="宋体" w:cs="宋体"/>
          <w:b/>
          <w:color w:val="auto"/>
          <w:kern w:val="0"/>
          <w:sz w:val="24"/>
          <w:szCs w:val="24"/>
          <w:highlight w:val="none"/>
        </w:rPr>
        <w:t>3.5 资格审查资料</w:t>
      </w:r>
      <w:bookmarkEnd w:id="167"/>
      <w:bookmarkEnd w:id="168"/>
      <w:bookmarkEnd w:id="169"/>
      <w:bookmarkEnd w:id="170"/>
      <w:bookmarkEnd w:id="171"/>
      <w:bookmarkEnd w:id="172"/>
      <w:bookmarkEnd w:id="173"/>
      <w:bookmarkEnd w:id="174"/>
      <w:bookmarkEnd w:id="175"/>
      <w:bookmarkEnd w:id="176"/>
    </w:p>
    <w:p>
      <w:pPr>
        <w:pStyle w:val="15"/>
        <w:spacing w:line="440" w:lineRule="exact"/>
        <w:ind w:left="0" w:left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3.5.1详见供应商须知前附表第1.4.1条供应商资格要求及招标文件中其他资格要求。</w:t>
      </w:r>
    </w:p>
    <w:p>
      <w:pPr>
        <w:pStyle w:val="15"/>
        <w:spacing w:line="440" w:lineRule="exact"/>
        <w:ind w:left="0" w:leftChars="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3.5.2资格审查方式：见供应商须知前附表。</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177" w:name="_Toc19722"/>
      <w:bookmarkStart w:id="178" w:name="_Toc382901565"/>
      <w:bookmarkStart w:id="179" w:name="_Toc209498828"/>
      <w:bookmarkStart w:id="180" w:name="_Toc260172665"/>
      <w:bookmarkStart w:id="181" w:name="_Toc491246657"/>
      <w:bookmarkStart w:id="182" w:name="_Toc262675331"/>
      <w:bookmarkStart w:id="183" w:name="_Toc199321908"/>
      <w:bookmarkStart w:id="184" w:name="_Toc381278401"/>
      <w:bookmarkStart w:id="185" w:name="_Toc247277952"/>
      <w:bookmarkStart w:id="186" w:name="_Toc11933"/>
      <w:r>
        <w:rPr>
          <w:rFonts w:hint="eastAsia" w:ascii="宋体" w:hAnsi="宋体" w:eastAsia="宋体" w:cs="宋体"/>
          <w:b/>
          <w:color w:val="auto"/>
          <w:kern w:val="0"/>
          <w:sz w:val="24"/>
          <w:szCs w:val="24"/>
          <w:highlight w:val="none"/>
        </w:rPr>
        <w:t xml:space="preserve">3.6 </w:t>
      </w:r>
      <w:r>
        <w:rPr>
          <w:rFonts w:hint="eastAsia" w:ascii="宋体" w:hAnsi="宋体" w:eastAsia="宋体" w:cs="宋体"/>
          <w:b/>
          <w:color w:val="auto"/>
          <w:sz w:val="24"/>
          <w:szCs w:val="24"/>
          <w:highlight w:val="none"/>
        </w:rPr>
        <w:t>磋商响应文件</w:t>
      </w:r>
      <w:r>
        <w:rPr>
          <w:rFonts w:hint="eastAsia" w:ascii="宋体" w:hAnsi="宋体" w:eastAsia="宋体" w:cs="宋体"/>
          <w:b/>
          <w:color w:val="auto"/>
          <w:kern w:val="0"/>
          <w:sz w:val="24"/>
          <w:szCs w:val="24"/>
          <w:highlight w:val="none"/>
        </w:rPr>
        <w:t>的编制</w:t>
      </w:r>
      <w:bookmarkEnd w:id="177"/>
      <w:bookmarkEnd w:id="178"/>
      <w:bookmarkEnd w:id="179"/>
      <w:bookmarkEnd w:id="180"/>
      <w:bookmarkEnd w:id="181"/>
      <w:bookmarkEnd w:id="182"/>
      <w:bookmarkEnd w:id="183"/>
      <w:bookmarkEnd w:id="184"/>
      <w:bookmarkEnd w:id="185"/>
      <w:bookmarkEnd w:id="186"/>
    </w:p>
    <w:p>
      <w:pPr>
        <w:pStyle w:val="17"/>
        <w:spacing w:line="440" w:lineRule="exact"/>
        <w:ind w:firstLine="480" w:firstLineChars="200"/>
        <w:outlineLvl w:val="0"/>
        <w:rPr>
          <w:rFonts w:hint="eastAsia" w:ascii="宋体" w:hAnsi="宋体" w:eastAsia="宋体" w:cs="宋体"/>
          <w:color w:val="auto"/>
          <w:sz w:val="24"/>
          <w:szCs w:val="24"/>
          <w:highlight w:val="none"/>
        </w:rPr>
      </w:pPr>
      <w:bookmarkStart w:id="187" w:name="_Toc26191"/>
      <w:bookmarkStart w:id="188" w:name="_Toc15546"/>
      <w:r>
        <w:rPr>
          <w:rFonts w:hint="eastAsia" w:ascii="宋体" w:hAnsi="宋体" w:eastAsia="宋体" w:cs="宋体"/>
          <w:color w:val="auto"/>
          <w:sz w:val="24"/>
          <w:szCs w:val="24"/>
          <w:highlight w:val="none"/>
        </w:rPr>
        <w:t>3.6.1</w:t>
      </w:r>
      <w:bookmarkStart w:id="189" w:name="_Toc199321914"/>
      <w:bookmarkStart w:id="190" w:name="_Toc262675332"/>
      <w:bookmarkStart w:id="191" w:name="_Toc260172666"/>
      <w:bookmarkStart w:id="192" w:name="_Toc382901566"/>
      <w:bookmarkStart w:id="193" w:name="_Toc491246658"/>
      <w:bookmarkStart w:id="194" w:name="_Toc247277953"/>
      <w:bookmarkStart w:id="195" w:name="_Toc209498829"/>
      <w:r>
        <w:rPr>
          <w:rFonts w:hint="eastAsia" w:ascii="宋体" w:hAnsi="宋体" w:eastAsia="宋体" w:cs="宋体"/>
          <w:color w:val="auto"/>
          <w:sz w:val="24"/>
          <w:szCs w:val="24"/>
          <w:highlight w:val="none"/>
        </w:rPr>
        <w:t>供应商登录“政采云”平台（网址：http://www.zcygov.cn）中下载的政采云电子投标客户端制作，并进行电子签章及加密后上传至政采云平台。如供应商提交的电子标书不符合要求或开标时无法读取导入或解密，其投标（响应）文件将不予受理。</w:t>
      </w:r>
      <w:bookmarkEnd w:id="187"/>
      <w:bookmarkEnd w:id="188"/>
    </w:p>
    <w:p>
      <w:pPr>
        <w:pStyle w:val="17"/>
        <w:spacing w:line="440" w:lineRule="exact"/>
        <w:ind w:firstLine="480" w:firstLineChars="200"/>
        <w:outlineLvl w:val="0"/>
        <w:rPr>
          <w:rFonts w:hint="eastAsia" w:ascii="宋体" w:hAnsi="宋体" w:eastAsia="宋体" w:cs="宋体"/>
          <w:color w:val="auto"/>
          <w:sz w:val="24"/>
          <w:szCs w:val="24"/>
          <w:highlight w:val="none"/>
        </w:rPr>
      </w:pPr>
      <w:bookmarkStart w:id="196" w:name="_Toc17496"/>
      <w:bookmarkStart w:id="197" w:name="_Toc5828"/>
      <w:r>
        <w:rPr>
          <w:rFonts w:hint="eastAsia" w:ascii="宋体" w:hAnsi="宋体" w:eastAsia="宋体" w:cs="宋体"/>
          <w:color w:val="auto"/>
          <w:sz w:val="24"/>
          <w:szCs w:val="24"/>
          <w:highlight w:val="none"/>
        </w:rPr>
        <w:t>3.6.2本项目为全流程电子化项目，通过“政采云”平台（网址：http://www.zcygov.cn）实行在线电子响应，供应商应先安装“政采云电子交易客户端”（请自行前往“政采云”平台进行下载），并按照本项目磋商文件和“政采云”平台的要求编制、加密后在投标截止时间前通过网络上传至“政采云”平台，供应商在“政采云”平台提交电子版响应文件时，请填写参加远程采购活动经办人联系方式。</w:t>
      </w:r>
      <w:bookmarkEnd w:id="196"/>
      <w:bookmarkEnd w:id="197"/>
    </w:p>
    <w:p>
      <w:pPr>
        <w:pStyle w:val="17"/>
        <w:spacing w:line="440" w:lineRule="exact"/>
        <w:outlineLvl w:val="0"/>
        <w:rPr>
          <w:rFonts w:hint="eastAsia" w:ascii="宋体" w:hAnsi="宋体" w:eastAsia="宋体" w:cs="宋体"/>
          <w:b/>
          <w:color w:val="auto"/>
          <w:kern w:val="0"/>
          <w:sz w:val="24"/>
          <w:szCs w:val="24"/>
          <w:highlight w:val="none"/>
        </w:rPr>
      </w:pPr>
      <w:bookmarkStart w:id="198" w:name="_Toc28422"/>
      <w:bookmarkStart w:id="199" w:name="_Toc27914"/>
      <w:r>
        <w:rPr>
          <w:rFonts w:hint="eastAsia" w:ascii="宋体" w:hAnsi="宋体" w:eastAsia="宋体" w:cs="宋体"/>
          <w:b/>
          <w:color w:val="auto"/>
          <w:kern w:val="0"/>
          <w:sz w:val="24"/>
          <w:szCs w:val="24"/>
          <w:highlight w:val="none"/>
        </w:rPr>
        <w:t>4</w:t>
      </w:r>
      <w:bookmarkEnd w:id="189"/>
      <w:bookmarkEnd w:id="190"/>
      <w:bookmarkEnd w:id="191"/>
      <w:bookmarkEnd w:id="192"/>
      <w:bookmarkEnd w:id="193"/>
      <w:bookmarkEnd w:id="194"/>
      <w:bookmarkEnd w:id="195"/>
      <w:r>
        <w:rPr>
          <w:rFonts w:hint="eastAsia" w:ascii="宋体" w:hAnsi="宋体" w:eastAsia="宋体" w:cs="宋体"/>
          <w:b/>
          <w:color w:val="auto"/>
          <w:kern w:val="0"/>
          <w:sz w:val="24"/>
          <w:szCs w:val="24"/>
          <w:highlight w:val="none"/>
        </w:rPr>
        <w:t xml:space="preserve">. </w:t>
      </w:r>
      <w:r>
        <w:rPr>
          <w:rFonts w:hint="eastAsia" w:ascii="宋体" w:hAnsi="宋体" w:eastAsia="宋体" w:cs="宋体"/>
          <w:b/>
          <w:color w:val="auto"/>
          <w:sz w:val="24"/>
          <w:szCs w:val="24"/>
          <w:highlight w:val="none"/>
        </w:rPr>
        <w:t>磋商响应文件加密及递交</w:t>
      </w:r>
      <w:bookmarkEnd w:id="198"/>
      <w:bookmarkEnd w:id="199"/>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4.1</w:t>
      </w:r>
      <w:r>
        <w:rPr>
          <w:rFonts w:hint="eastAsia" w:ascii="宋体" w:hAnsi="宋体" w:eastAsia="宋体" w:cs="宋体"/>
          <w:bCs/>
          <w:color w:val="auto"/>
          <w:sz w:val="24"/>
          <w:szCs w:val="24"/>
          <w:highlight w:val="none"/>
        </w:rPr>
        <w:t>磋商响应文件的加密和签章：</w:t>
      </w:r>
    </w:p>
    <w:p>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1）供应商进行电子交易应安装客户端软件—“政采云电子交易客户端”，并按照磋商文件和电子交易平台的要求编制并加密响应文件。供应商未按规定加密的响应文件，电子交易平台将拒收并提示；（2）使用“政采云电子交易客户端”需要提前申领 CA 数字证书，申领流程见该项目采购公告；（3）为确保网上操作合法、有效和安全，供应商应当在响应文件提交截止时间前完成在“政府采购云 平台”的身份认证，确保在电子交易过程中能够对相关数据电文进行加密和使用电子签名。</w:t>
      </w:r>
    </w:p>
    <w:p>
      <w:pPr>
        <w:spacing w:line="44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4.1.2响应文件签字或盖章要求：详见供应商须知前附表。</w:t>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4.2磋商响应文件的递交</w:t>
      </w:r>
    </w:p>
    <w:p>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竞争性磋商响应文件的提交方式：登录“政采云”平台（网址：http://www.zcygov.cn）递交电子响应文件。注：响应文件全部采用电子文档，供应商应安装客户端软件—“政采云电子交易客户端”，并按照竞争性磋商文件和政采云电子交易平台的要求编制，编制后应进行电子签章、签名及加密。</w:t>
      </w:r>
    </w:p>
    <w:p>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4.2.2响应文件递交地点及截止时间：详见供应商须知前附表。</w:t>
      </w:r>
    </w:p>
    <w:p>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4.2.3响应文件解密：详见供应商须知前附表。</w:t>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4.3磋商响应文件的修改与撤回</w:t>
      </w:r>
    </w:p>
    <w:p>
      <w:pPr>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4.3.1在本章第2.2.2项规定的磋商截止时间前，供应商可以修改或撤回已在网上递交的磋商响应文件，无须任何形式通知采购人。</w:t>
      </w:r>
    </w:p>
    <w:p>
      <w:pPr>
        <w:pStyle w:val="17"/>
        <w:spacing w:line="440" w:lineRule="exact"/>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4.3.2修改的磋商响应文件应按照本章第3.6条、第4条规定进行编制、加密和递交。</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00" w:name="_Toc382901571"/>
      <w:bookmarkStart w:id="201" w:name="_Toc247277957"/>
      <w:bookmarkStart w:id="202" w:name="_Toc262675337"/>
      <w:bookmarkStart w:id="203" w:name="_Toc260172670"/>
      <w:bookmarkStart w:id="204" w:name="_Toc199321920"/>
      <w:bookmarkStart w:id="205" w:name="_Toc209498833"/>
      <w:bookmarkStart w:id="206" w:name="_Toc491246662"/>
      <w:bookmarkStart w:id="207" w:name="_Toc19981"/>
      <w:bookmarkStart w:id="208" w:name="_Toc29697"/>
      <w:r>
        <w:rPr>
          <w:rFonts w:hint="eastAsia" w:ascii="宋体" w:hAnsi="宋体" w:eastAsia="宋体" w:cs="宋体"/>
          <w:b/>
          <w:color w:val="auto"/>
          <w:kern w:val="0"/>
          <w:sz w:val="24"/>
          <w:szCs w:val="24"/>
          <w:highlight w:val="none"/>
        </w:rPr>
        <w:t>5</w:t>
      </w:r>
      <w:bookmarkEnd w:id="200"/>
      <w:bookmarkEnd w:id="201"/>
      <w:bookmarkEnd w:id="202"/>
      <w:bookmarkEnd w:id="203"/>
      <w:bookmarkEnd w:id="204"/>
      <w:bookmarkEnd w:id="205"/>
      <w:bookmarkEnd w:id="206"/>
      <w:r>
        <w:rPr>
          <w:rFonts w:hint="eastAsia" w:ascii="宋体" w:hAnsi="宋体" w:eastAsia="宋体" w:cs="宋体"/>
          <w:b/>
          <w:color w:val="auto"/>
          <w:kern w:val="0"/>
          <w:sz w:val="24"/>
          <w:szCs w:val="24"/>
          <w:highlight w:val="none"/>
        </w:rPr>
        <w:t>. 磋商</w:t>
      </w:r>
      <w:bookmarkEnd w:id="207"/>
      <w:bookmarkEnd w:id="208"/>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09" w:name="_Toc381278408"/>
      <w:bookmarkStart w:id="210" w:name="_Toc247277958"/>
      <w:bookmarkStart w:id="211" w:name="_Toc260172671"/>
      <w:bookmarkStart w:id="212" w:name="_Toc23785"/>
      <w:bookmarkStart w:id="213" w:name="_Toc382901572"/>
      <w:bookmarkStart w:id="214" w:name="_Toc209498834"/>
      <w:bookmarkStart w:id="215" w:name="_Toc262675338"/>
      <w:bookmarkStart w:id="216" w:name="_Toc19333"/>
      <w:bookmarkStart w:id="217" w:name="_Toc491246663"/>
      <w:r>
        <w:rPr>
          <w:rFonts w:hint="eastAsia" w:ascii="宋体" w:hAnsi="宋体" w:eastAsia="宋体" w:cs="宋体"/>
          <w:b/>
          <w:color w:val="auto"/>
          <w:kern w:val="0"/>
          <w:sz w:val="24"/>
          <w:szCs w:val="24"/>
          <w:highlight w:val="none"/>
        </w:rPr>
        <w:t>5.1 磋商时间和地点</w:t>
      </w:r>
      <w:bookmarkEnd w:id="209"/>
      <w:bookmarkEnd w:id="210"/>
      <w:bookmarkEnd w:id="211"/>
      <w:bookmarkEnd w:id="212"/>
      <w:bookmarkEnd w:id="213"/>
      <w:bookmarkEnd w:id="214"/>
      <w:bookmarkEnd w:id="215"/>
      <w:bookmarkEnd w:id="216"/>
      <w:bookmarkEnd w:id="217"/>
    </w:p>
    <w:p>
      <w:pPr>
        <w:autoSpaceDE w:val="0"/>
        <w:autoSpaceDN w:val="0"/>
        <w:adjustRightInd w:val="0"/>
        <w:spacing w:line="440" w:lineRule="exact"/>
        <w:ind w:firstLine="420"/>
        <w:jc w:val="left"/>
        <w:rPr>
          <w:rFonts w:hint="eastAsia" w:ascii="宋体" w:hAnsi="宋体" w:eastAsia="宋体" w:cs="宋体"/>
          <w:color w:val="auto"/>
          <w:kern w:val="0"/>
          <w:sz w:val="24"/>
          <w:szCs w:val="24"/>
          <w:highlight w:val="none"/>
        </w:rPr>
      </w:pPr>
      <w:bookmarkStart w:id="218" w:name="_Toc247277959"/>
      <w:bookmarkStart w:id="219" w:name="_Toc260172672"/>
      <w:bookmarkStart w:id="220" w:name="_Toc382901573"/>
      <w:bookmarkStart w:id="221" w:name="_Toc262675339"/>
      <w:bookmarkStart w:id="222" w:name="_Toc381278409"/>
      <w:bookmarkStart w:id="223" w:name="_Toc491246664"/>
      <w:bookmarkStart w:id="224" w:name="_Toc209498835"/>
      <w:r>
        <w:rPr>
          <w:rFonts w:hint="eastAsia" w:ascii="宋体" w:hAnsi="宋体" w:eastAsia="宋体" w:cs="宋体"/>
          <w:color w:val="auto"/>
          <w:kern w:val="0"/>
          <w:sz w:val="24"/>
          <w:szCs w:val="24"/>
          <w:highlight w:val="none"/>
        </w:rPr>
        <w:t>采购人在供应商须知前附表规定的磋商时间及地点公开磋商，时间和地点</w:t>
      </w:r>
      <w:r>
        <w:rPr>
          <w:rFonts w:hint="eastAsia" w:ascii="宋体" w:hAnsi="宋体" w:eastAsia="宋体" w:cs="宋体"/>
          <w:color w:val="auto"/>
          <w:sz w:val="24"/>
          <w:szCs w:val="24"/>
          <w:highlight w:val="none"/>
        </w:rPr>
        <w:t>详见供应商须知前附表</w:t>
      </w:r>
      <w:r>
        <w:rPr>
          <w:rFonts w:hint="eastAsia" w:ascii="宋体" w:hAnsi="宋体" w:eastAsia="宋体" w:cs="宋体"/>
          <w:color w:val="auto"/>
          <w:kern w:val="0"/>
          <w:sz w:val="24"/>
          <w:szCs w:val="24"/>
          <w:highlight w:val="none"/>
        </w:rPr>
        <w:t>。</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25" w:name="_Toc19877"/>
      <w:bookmarkStart w:id="226" w:name="_Toc26104"/>
      <w:r>
        <w:rPr>
          <w:rFonts w:hint="eastAsia" w:ascii="宋体" w:hAnsi="宋体" w:eastAsia="宋体" w:cs="宋体"/>
          <w:b/>
          <w:color w:val="auto"/>
          <w:kern w:val="0"/>
          <w:sz w:val="24"/>
          <w:szCs w:val="24"/>
          <w:highlight w:val="none"/>
        </w:rPr>
        <w:t>5.2 磋商程序</w:t>
      </w:r>
      <w:bookmarkEnd w:id="218"/>
      <w:bookmarkEnd w:id="219"/>
      <w:bookmarkEnd w:id="220"/>
      <w:bookmarkEnd w:id="221"/>
      <w:bookmarkEnd w:id="222"/>
      <w:bookmarkEnd w:id="223"/>
      <w:bookmarkEnd w:id="224"/>
      <w:bookmarkEnd w:id="225"/>
      <w:bookmarkEnd w:id="226"/>
    </w:p>
    <w:p>
      <w:pPr>
        <w:autoSpaceDE w:val="0"/>
        <w:autoSpaceDN w:val="0"/>
        <w:adjustRightInd w:val="0"/>
        <w:spacing w:line="440" w:lineRule="exact"/>
        <w:ind w:firstLine="480" w:firstLineChars="200"/>
        <w:jc w:val="left"/>
        <w:outlineLvl w:val="0"/>
        <w:rPr>
          <w:rFonts w:hint="eastAsia" w:ascii="宋体" w:hAnsi="宋体" w:eastAsia="宋体" w:cs="宋体"/>
          <w:color w:val="auto"/>
          <w:kern w:val="0"/>
          <w:sz w:val="24"/>
          <w:szCs w:val="24"/>
          <w:highlight w:val="none"/>
        </w:rPr>
      </w:pPr>
      <w:bookmarkStart w:id="227" w:name="_Toc14616"/>
      <w:bookmarkStart w:id="228" w:name="_Toc2022"/>
      <w:r>
        <w:rPr>
          <w:rFonts w:hint="eastAsia" w:ascii="宋体" w:hAnsi="宋体" w:eastAsia="宋体" w:cs="宋体"/>
          <w:color w:val="auto"/>
          <w:kern w:val="0"/>
          <w:sz w:val="24"/>
          <w:szCs w:val="24"/>
          <w:highlight w:val="none"/>
        </w:rPr>
        <w:t>5.2.1磋商小组成员按照客观、公正、审慎的原则，根据磋商文件规定的评审程序、评审方法和评审标准进行独立评审。未实质性响应磋商文件的响应文件按无效响应处理。</w:t>
      </w:r>
      <w:bookmarkEnd w:id="227"/>
      <w:bookmarkEnd w:id="228"/>
    </w:p>
    <w:p>
      <w:pPr>
        <w:pStyle w:val="9"/>
        <w:spacing w:before="38" w:line="440" w:lineRule="exact"/>
        <w:ind w:right="228" w:firstLine="528" w:firstLineChars="2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5.2.2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9"/>
        <w:spacing w:before="38" w:line="440" w:lineRule="exact"/>
        <w:ind w:right="93" w:firstLine="484" w:firstLineChars="20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5.2.3供应商的澄清、说明或者更正应当在“政采云”平台（网址：http://www.zcygov.cn）本项目界面中进行。</w:t>
      </w:r>
    </w:p>
    <w:p>
      <w:pPr>
        <w:pStyle w:val="9"/>
        <w:spacing w:before="76" w:line="440" w:lineRule="exact"/>
        <w:ind w:left="105" w:leftChars="5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5.2.4磋商文件能够详细列明采购标的的要求的，磋商小组应当要求所有实质性响应的供应商在规定时间内提交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的供应商不得少于3家。符合《政府采购竞争性磋商采购方式管理暂行办法》第三条第四项情形的，提交最后磋商报价的供应商可以为2家。</w:t>
      </w:r>
    </w:p>
    <w:p>
      <w:pPr>
        <w:pStyle w:val="9"/>
        <w:spacing w:before="38" w:line="440" w:lineRule="exact"/>
        <w:ind w:right="103" w:firstLine="4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磋商文件不能详细列明采购标的的要求，需经磋商由供应商提供最终设计方案或解决方案的，磋商结束后，磋商小组应当按照少数服从多数的原则投票推荐3家以上供应商的设计方案或者解决方案，并要求其在规定时间内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w:t>
      </w:r>
    </w:p>
    <w:p>
      <w:pPr>
        <w:pStyle w:val="9"/>
        <w:spacing w:before="38" w:line="440" w:lineRule="exact"/>
        <w:ind w:right="103" w:firstLine="4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5.2.6</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是供应商响应文件的有效组成部分。若采购项目为市场竞争不充分的科研项目，以及需要扶持的科技成果转化项目，或采购项目为政府购买服务项目，提交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的供应商可以为2家。</w:t>
      </w:r>
    </w:p>
    <w:p>
      <w:pPr>
        <w:pStyle w:val="9"/>
        <w:spacing w:before="38" w:line="44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5.2.7 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后，由磋商小组按照《评分标准》对提交</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的供应商的响应文件和</w:t>
      </w:r>
      <w:r>
        <w:rPr>
          <w:rFonts w:hint="eastAsia" w:ascii="宋体" w:hAnsi="宋体" w:eastAsia="宋体" w:cs="宋体"/>
          <w:color w:val="auto"/>
          <w:sz w:val="24"/>
          <w:szCs w:val="24"/>
          <w:highlight w:val="none"/>
          <w:lang w:val="zh-CN"/>
        </w:rPr>
        <w:t>最后磋商报价</w:t>
      </w:r>
      <w:r>
        <w:rPr>
          <w:rFonts w:hint="eastAsia" w:ascii="宋体" w:hAnsi="宋体" w:eastAsia="宋体" w:cs="宋体"/>
          <w:color w:val="auto"/>
          <w:sz w:val="24"/>
          <w:szCs w:val="24"/>
          <w:highlight w:val="none"/>
        </w:rPr>
        <w:t>进行综合评分。</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29" w:name="_Toc382901574"/>
      <w:bookmarkStart w:id="230" w:name="_Toc199321921"/>
      <w:bookmarkStart w:id="231" w:name="_Toc491246665"/>
      <w:bookmarkStart w:id="232" w:name="_Toc209498836"/>
      <w:bookmarkStart w:id="233" w:name="_Toc262675340"/>
      <w:bookmarkStart w:id="234" w:name="_Toc260172673"/>
      <w:bookmarkStart w:id="235" w:name="_Toc247277960"/>
      <w:bookmarkStart w:id="236" w:name="_Toc15606"/>
      <w:bookmarkStart w:id="237" w:name="_Toc4479"/>
      <w:r>
        <w:rPr>
          <w:rFonts w:hint="eastAsia" w:ascii="宋体" w:hAnsi="宋体" w:eastAsia="宋体" w:cs="宋体"/>
          <w:b/>
          <w:color w:val="auto"/>
          <w:kern w:val="0"/>
          <w:sz w:val="24"/>
          <w:szCs w:val="24"/>
          <w:highlight w:val="none"/>
        </w:rPr>
        <w:t>6</w:t>
      </w:r>
      <w:bookmarkEnd w:id="229"/>
      <w:bookmarkEnd w:id="230"/>
      <w:bookmarkEnd w:id="231"/>
      <w:bookmarkEnd w:id="232"/>
      <w:bookmarkEnd w:id="233"/>
      <w:bookmarkEnd w:id="234"/>
      <w:bookmarkEnd w:id="235"/>
      <w:r>
        <w:rPr>
          <w:rFonts w:hint="eastAsia" w:ascii="宋体" w:hAnsi="宋体" w:eastAsia="宋体" w:cs="宋体"/>
          <w:b/>
          <w:color w:val="auto"/>
          <w:kern w:val="0"/>
          <w:sz w:val="24"/>
          <w:szCs w:val="24"/>
          <w:highlight w:val="none"/>
        </w:rPr>
        <w:t>. 磋商小组与评审</w:t>
      </w:r>
      <w:bookmarkEnd w:id="236"/>
      <w:bookmarkEnd w:id="237"/>
      <w:r>
        <w:rPr>
          <w:rFonts w:hint="eastAsia" w:ascii="宋体" w:hAnsi="宋体" w:eastAsia="宋体" w:cs="宋体"/>
          <w:b/>
          <w:color w:val="auto"/>
          <w:kern w:val="0"/>
          <w:sz w:val="24"/>
          <w:szCs w:val="24"/>
          <w:highlight w:val="none"/>
        </w:rPr>
        <w:t xml:space="preserve">  </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38" w:name="_Toc199321922"/>
      <w:bookmarkStart w:id="239" w:name="_Toc247277961"/>
      <w:bookmarkStart w:id="240" w:name="_Toc262675341"/>
      <w:bookmarkStart w:id="241" w:name="_Toc260172674"/>
      <w:bookmarkStart w:id="242" w:name="_Toc209498837"/>
      <w:bookmarkStart w:id="243" w:name="_Toc491246666"/>
      <w:bookmarkStart w:id="244" w:name="_Toc382901575"/>
      <w:bookmarkStart w:id="245" w:name="_Toc29308"/>
      <w:bookmarkStart w:id="246" w:name="_Toc19368"/>
      <w:bookmarkStart w:id="247" w:name="_Toc381278411"/>
      <w:r>
        <w:rPr>
          <w:rFonts w:hint="eastAsia" w:ascii="宋体" w:hAnsi="宋体" w:eastAsia="宋体" w:cs="宋体"/>
          <w:b/>
          <w:color w:val="auto"/>
          <w:kern w:val="0"/>
          <w:sz w:val="24"/>
          <w:szCs w:val="24"/>
          <w:highlight w:val="none"/>
        </w:rPr>
        <w:t xml:space="preserve">6.1 </w:t>
      </w:r>
      <w:bookmarkEnd w:id="238"/>
      <w:bookmarkEnd w:id="239"/>
      <w:bookmarkEnd w:id="240"/>
      <w:bookmarkEnd w:id="241"/>
      <w:bookmarkEnd w:id="242"/>
      <w:bookmarkEnd w:id="243"/>
      <w:r>
        <w:rPr>
          <w:rFonts w:hint="eastAsia" w:ascii="宋体" w:hAnsi="宋体" w:eastAsia="宋体" w:cs="宋体"/>
          <w:b/>
          <w:color w:val="auto"/>
          <w:kern w:val="0"/>
          <w:sz w:val="24"/>
          <w:szCs w:val="24"/>
          <w:highlight w:val="none"/>
        </w:rPr>
        <w:t>磋商小组</w:t>
      </w:r>
      <w:bookmarkEnd w:id="244"/>
      <w:bookmarkEnd w:id="245"/>
      <w:bookmarkEnd w:id="246"/>
      <w:bookmarkEnd w:id="247"/>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6.1.1 磋商由采购人依法组建的磋商小组负责。磋商小组由采购人或其委托的采购人熟悉相关业务的代表，以及有关技术、经济等方面的专家组成。磋商小组成员人数以及技术、经济等方面专家的确定方式见供应商须知前附表。</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6.1.2 磋商小组成员有下列情形之一的，应当回避:</w:t>
      </w:r>
    </w:p>
    <w:p>
      <w:pPr>
        <w:autoSpaceDE w:val="0"/>
        <w:autoSpaceDN w:val="0"/>
        <w:adjustRightInd w:val="0"/>
        <w:spacing w:line="440" w:lineRule="exact"/>
        <w:ind w:left="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采购人或供应商的主要负责人的近亲属；</w:t>
      </w:r>
    </w:p>
    <w:p>
      <w:pPr>
        <w:autoSpaceDE w:val="0"/>
        <w:autoSpaceDN w:val="0"/>
        <w:adjustRightInd w:val="0"/>
        <w:spacing w:line="440" w:lineRule="exact"/>
        <w:ind w:left="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项目主管部门或者行政监督部门的人员；</w:t>
      </w:r>
    </w:p>
    <w:p>
      <w:pPr>
        <w:autoSpaceDE w:val="0"/>
        <w:autoSpaceDN w:val="0"/>
        <w:adjustRightInd w:val="0"/>
        <w:spacing w:line="440" w:lineRule="exact"/>
        <w:ind w:left="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与供应商有经济利益关系，可能影响对磋商公正评审的；</w:t>
      </w:r>
    </w:p>
    <w:p>
      <w:pPr>
        <w:autoSpaceDE w:val="0"/>
        <w:autoSpaceDN w:val="0"/>
        <w:adjustRightInd w:val="0"/>
        <w:spacing w:line="440" w:lineRule="exact"/>
        <w:ind w:left="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 曾因在采购、招标、评标及其他与政府采购有关活动中从事违法行为而受过行政处罚或刑事处罚的。</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48" w:name="_Toc491246667"/>
      <w:bookmarkStart w:id="249" w:name="_Toc260172675"/>
      <w:bookmarkStart w:id="250" w:name="_Toc262675342"/>
      <w:bookmarkStart w:id="251" w:name="_Toc247277962"/>
      <w:bookmarkStart w:id="252" w:name="_Toc199321923"/>
      <w:bookmarkStart w:id="253" w:name="_Toc209498838"/>
      <w:bookmarkStart w:id="254" w:name="_Toc382901576"/>
      <w:bookmarkStart w:id="255" w:name="_Toc18909"/>
      <w:bookmarkStart w:id="256" w:name="_Toc12889"/>
      <w:bookmarkStart w:id="257" w:name="_Toc381278412"/>
      <w:r>
        <w:rPr>
          <w:rFonts w:hint="eastAsia" w:ascii="宋体" w:hAnsi="宋体" w:eastAsia="宋体" w:cs="宋体"/>
          <w:b/>
          <w:color w:val="auto"/>
          <w:kern w:val="0"/>
          <w:sz w:val="24"/>
          <w:szCs w:val="24"/>
          <w:highlight w:val="none"/>
        </w:rPr>
        <w:t>6.2 评标原则</w:t>
      </w:r>
      <w:bookmarkEnd w:id="248"/>
      <w:bookmarkEnd w:id="249"/>
      <w:bookmarkEnd w:id="250"/>
      <w:bookmarkEnd w:id="251"/>
      <w:bookmarkEnd w:id="252"/>
      <w:bookmarkEnd w:id="253"/>
      <w:r>
        <w:rPr>
          <w:rFonts w:hint="eastAsia" w:ascii="宋体" w:hAnsi="宋体" w:eastAsia="宋体" w:cs="宋体"/>
          <w:b/>
          <w:color w:val="auto"/>
          <w:kern w:val="0"/>
          <w:sz w:val="24"/>
          <w:szCs w:val="24"/>
          <w:highlight w:val="none"/>
        </w:rPr>
        <w:t>：磋商活动遵循公平、公正、科学和择优的原则。</w:t>
      </w:r>
      <w:bookmarkEnd w:id="254"/>
      <w:bookmarkEnd w:id="255"/>
      <w:bookmarkEnd w:id="256"/>
      <w:bookmarkEnd w:id="257"/>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58" w:name="_Toc381278413"/>
      <w:bookmarkStart w:id="259" w:name="_Toc209498839"/>
      <w:bookmarkStart w:id="260" w:name="_Toc262675343"/>
      <w:bookmarkStart w:id="261" w:name="_Toc247277963"/>
      <w:bookmarkStart w:id="262" w:name="_Toc260172676"/>
      <w:bookmarkStart w:id="263" w:name="_Toc491246668"/>
      <w:bookmarkStart w:id="264" w:name="_Toc199321924"/>
      <w:bookmarkStart w:id="265" w:name="_Toc382901577"/>
      <w:bookmarkStart w:id="266" w:name="_Toc9424"/>
      <w:bookmarkStart w:id="267" w:name="_Toc30134"/>
      <w:r>
        <w:rPr>
          <w:rFonts w:hint="eastAsia" w:ascii="宋体" w:hAnsi="宋体" w:eastAsia="宋体" w:cs="宋体"/>
          <w:b/>
          <w:color w:val="auto"/>
          <w:kern w:val="0"/>
          <w:sz w:val="24"/>
          <w:szCs w:val="24"/>
          <w:highlight w:val="none"/>
        </w:rPr>
        <w:t xml:space="preserve">6.3 </w:t>
      </w:r>
      <w:bookmarkEnd w:id="258"/>
      <w:bookmarkEnd w:id="259"/>
      <w:bookmarkEnd w:id="260"/>
      <w:bookmarkEnd w:id="261"/>
      <w:bookmarkEnd w:id="262"/>
      <w:bookmarkEnd w:id="263"/>
      <w:bookmarkEnd w:id="264"/>
      <w:bookmarkEnd w:id="265"/>
      <w:r>
        <w:rPr>
          <w:rFonts w:hint="eastAsia" w:ascii="宋体" w:hAnsi="宋体" w:eastAsia="宋体" w:cs="宋体"/>
          <w:b/>
          <w:color w:val="auto"/>
          <w:kern w:val="0"/>
          <w:sz w:val="24"/>
          <w:szCs w:val="24"/>
          <w:highlight w:val="none"/>
        </w:rPr>
        <w:t>评审</w:t>
      </w:r>
      <w:bookmarkEnd w:id="266"/>
      <w:bookmarkEnd w:id="267"/>
    </w:p>
    <w:p>
      <w:pPr>
        <w:autoSpaceDE w:val="0"/>
        <w:autoSpaceDN w:val="0"/>
        <w:adjustRightInd w:val="0"/>
        <w:spacing w:line="440" w:lineRule="exact"/>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磋商小组按照“评审办法”规定的方法、评审因素、标准和程序对磋商文件进行评审。“评审办法”没有规定的方法、评审因素和标准，不作为成交依据。</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68" w:name="_Toc209498840"/>
      <w:bookmarkStart w:id="269" w:name="_Toc247277964"/>
      <w:bookmarkStart w:id="270" w:name="_Toc491246669"/>
      <w:bookmarkStart w:id="271" w:name="_Toc260172677"/>
      <w:bookmarkStart w:id="272" w:name="_Toc199321925"/>
      <w:bookmarkStart w:id="273" w:name="_Toc382901578"/>
      <w:bookmarkStart w:id="274" w:name="_Toc24692"/>
      <w:bookmarkStart w:id="275" w:name="_Toc262675344"/>
      <w:bookmarkStart w:id="276" w:name="_Toc22003"/>
      <w:r>
        <w:rPr>
          <w:rFonts w:hint="eastAsia" w:ascii="宋体" w:hAnsi="宋体" w:eastAsia="宋体" w:cs="宋体"/>
          <w:b/>
          <w:color w:val="auto"/>
          <w:kern w:val="0"/>
          <w:sz w:val="24"/>
          <w:szCs w:val="24"/>
          <w:highlight w:val="none"/>
        </w:rPr>
        <w:t>7. 合同授予</w:t>
      </w:r>
      <w:bookmarkEnd w:id="268"/>
      <w:bookmarkEnd w:id="269"/>
      <w:bookmarkEnd w:id="270"/>
      <w:bookmarkEnd w:id="271"/>
      <w:bookmarkEnd w:id="272"/>
      <w:bookmarkEnd w:id="273"/>
      <w:bookmarkEnd w:id="274"/>
      <w:bookmarkEnd w:id="275"/>
      <w:bookmarkEnd w:id="276"/>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77" w:name="_Toc260172678"/>
      <w:bookmarkStart w:id="278" w:name="_Toc262675345"/>
      <w:bookmarkStart w:id="279" w:name="_Toc2218"/>
      <w:bookmarkStart w:id="280" w:name="_Toc382901579"/>
      <w:bookmarkStart w:id="281" w:name="_Toc247277965"/>
      <w:bookmarkStart w:id="282" w:name="_Toc209498841"/>
      <w:bookmarkStart w:id="283" w:name="_Toc381278415"/>
      <w:bookmarkStart w:id="284" w:name="_Toc29827"/>
      <w:bookmarkStart w:id="285" w:name="_Toc491246670"/>
      <w:bookmarkStart w:id="286" w:name="_Toc199321926"/>
      <w:r>
        <w:rPr>
          <w:rFonts w:hint="eastAsia" w:ascii="宋体" w:hAnsi="宋体" w:eastAsia="宋体" w:cs="宋体"/>
          <w:b/>
          <w:color w:val="auto"/>
          <w:kern w:val="0"/>
          <w:sz w:val="24"/>
          <w:szCs w:val="24"/>
          <w:highlight w:val="none"/>
        </w:rPr>
        <w:t>7.1 成交方式</w:t>
      </w:r>
      <w:bookmarkEnd w:id="277"/>
      <w:bookmarkEnd w:id="278"/>
      <w:bookmarkEnd w:id="279"/>
      <w:bookmarkEnd w:id="280"/>
      <w:bookmarkEnd w:id="281"/>
      <w:bookmarkEnd w:id="282"/>
      <w:bookmarkEnd w:id="283"/>
      <w:bookmarkEnd w:id="284"/>
      <w:bookmarkEnd w:id="285"/>
      <w:bookmarkEnd w:id="286"/>
    </w:p>
    <w:p>
      <w:pPr>
        <w:autoSpaceDE w:val="0"/>
        <w:autoSpaceDN w:val="0"/>
        <w:adjustRightInd w:val="0"/>
        <w:spacing w:line="440" w:lineRule="exact"/>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除供应商须知前附表规定磋商小组直接确定成交候选人外，采购人依据磋商小组推荐的成交候选人确定成交供应商，磋商小组推荐成交候选人的人数见供应商须知前附表。</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87" w:name="_Toc486"/>
      <w:bookmarkStart w:id="288" w:name="_Toc491246671"/>
      <w:bookmarkStart w:id="289" w:name="_Toc382901580"/>
      <w:bookmarkStart w:id="290" w:name="_Toc381278416"/>
      <w:bookmarkStart w:id="291" w:name="_Toc247277966"/>
      <w:bookmarkStart w:id="292" w:name="_Toc260172679"/>
      <w:bookmarkStart w:id="293" w:name="_Toc262675346"/>
      <w:bookmarkStart w:id="294" w:name="_Toc23321"/>
      <w:bookmarkStart w:id="295" w:name="_Toc209498842"/>
      <w:r>
        <w:rPr>
          <w:rFonts w:hint="eastAsia" w:ascii="宋体" w:hAnsi="宋体" w:eastAsia="宋体" w:cs="宋体"/>
          <w:b/>
          <w:color w:val="auto"/>
          <w:kern w:val="0"/>
          <w:sz w:val="24"/>
          <w:szCs w:val="24"/>
          <w:highlight w:val="none"/>
        </w:rPr>
        <w:t>7.2 成交通知</w:t>
      </w:r>
      <w:bookmarkEnd w:id="287"/>
      <w:bookmarkEnd w:id="288"/>
      <w:bookmarkEnd w:id="289"/>
      <w:bookmarkEnd w:id="290"/>
      <w:bookmarkEnd w:id="291"/>
      <w:bookmarkEnd w:id="292"/>
      <w:bookmarkEnd w:id="293"/>
      <w:bookmarkEnd w:id="294"/>
      <w:bookmarkEnd w:id="295"/>
    </w:p>
    <w:p>
      <w:pPr>
        <w:autoSpaceDE w:val="0"/>
        <w:autoSpaceDN w:val="0"/>
        <w:adjustRightInd w:val="0"/>
        <w:spacing w:line="440" w:lineRule="exact"/>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在本章第3.3 款规定的磋商有效期内，采购人以书面形式向磋商成交单位发出成交通知书，并在</w:t>
      </w:r>
      <w:r>
        <w:rPr>
          <w:rFonts w:hint="eastAsia" w:ascii="宋体" w:hAnsi="宋体" w:eastAsia="宋体" w:cs="宋体"/>
          <w:color w:val="auto"/>
          <w:sz w:val="24"/>
          <w:szCs w:val="24"/>
          <w:highlight w:val="none"/>
        </w:rPr>
        <w:t>公告发布媒介上发布成交结果公告</w:t>
      </w:r>
      <w:r>
        <w:rPr>
          <w:rFonts w:hint="eastAsia" w:ascii="宋体" w:hAnsi="宋体" w:eastAsia="宋体" w:cs="宋体"/>
          <w:color w:val="auto"/>
          <w:kern w:val="0"/>
          <w:sz w:val="24"/>
          <w:szCs w:val="24"/>
          <w:highlight w:val="none"/>
        </w:rPr>
        <w:t>，同时以此代替通知未成交的供应商。</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296" w:name="_Toc381278417"/>
      <w:bookmarkStart w:id="297" w:name="_Toc260172680"/>
      <w:bookmarkStart w:id="298" w:name="_Toc199321927"/>
      <w:bookmarkStart w:id="299" w:name="_Toc32524"/>
      <w:bookmarkStart w:id="300" w:name="_Toc491246672"/>
      <w:bookmarkStart w:id="301" w:name="_Toc6130"/>
      <w:bookmarkStart w:id="302" w:name="_Toc247277967"/>
      <w:bookmarkStart w:id="303" w:name="_Toc209498843"/>
      <w:bookmarkStart w:id="304" w:name="_Toc382901581"/>
      <w:bookmarkStart w:id="305" w:name="_Toc262675347"/>
      <w:r>
        <w:rPr>
          <w:rFonts w:hint="eastAsia" w:ascii="宋体" w:hAnsi="宋体" w:eastAsia="宋体" w:cs="宋体"/>
          <w:b/>
          <w:color w:val="auto"/>
          <w:kern w:val="0"/>
          <w:sz w:val="24"/>
          <w:szCs w:val="24"/>
          <w:highlight w:val="none"/>
        </w:rPr>
        <w:t>7.3 履约担保</w:t>
      </w:r>
      <w:bookmarkEnd w:id="296"/>
      <w:bookmarkEnd w:id="297"/>
      <w:bookmarkEnd w:id="298"/>
      <w:bookmarkEnd w:id="299"/>
      <w:bookmarkEnd w:id="300"/>
      <w:bookmarkEnd w:id="301"/>
      <w:bookmarkEnd w:id="302"/>
      <w:bookmarkEnd w:id="303"/>
      <w:bookmarkEnd w:id="304"/>
      <w:bookmarkEnd w:id="305"/>
    </w:p>
    <w:p>
      <w:pPr>
        <w:autoSpaceDE w:val="0"/>
        <w:autoSpaceDN w:val="0"/>
        <w:adjustRightInd w:val="0"/>
        <w:spacing w:line="440" w:lineRule="exact"/>
        <w:ind w:firstLine="480" w:firstLineChars="200"/>
        <w:jc w:val="left"/>
        <w:outlineLvl w:val="0"/>
        <w:rPr>
          <w:rFonts w:hint="eastAsia" w:ascii="宋体" w:hAnsi="宋体" w:eastAsia="宋体" w:cs="宋体"/>
          <w:bCs/>
          <w:color w:val="auto"/>
          <w:kern w:val="0"/>
          <w:sz w:val="24"/>
          <w:szCs w:val="24"/>
          <w:highlight w:val="none"/>
        </w:rPr>
      </w:pPr>
      <w:bookmarkStart w:id="306" w:name="_Toc10569"/>
      <w:bookmarkStart w:id="307" w:name="_Toc20925"/>
      <w:bookmarkStart w:id="308" w:name="_Toc199321928"/>
      <w:r>
        <w:rPr>
          <w:rFonts w:hint="eastAsia" w:ascii="宋体" w:hAnsi="宋体" w:eastAsia="宋体" w:cs="宋体"/>
          <w:bCs/>
          <w:color w:val="auto"/>
          <w:kern w:val="0"/>
          <w:sz w:val="24"/>
          <w:szCs w:val="24"/>
          <w:highlight w:val="none"/>
        </w:rPr>
        <w:t>磋商后双方在合同中约定。</w:t>
      </w:r>
      <w:bookmarkEnd w:id="306"/>
      <w:bookmarkEnd w:id="307"/>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09" w:name="_Toc247277968"/>
      <w:bookmarkStart w:id="310" w:name="_Toc262675348"/>
      <w:bookmarkStart w:id="311" w:name="_Toc4242"/>
      <w:bookmarkStart w:id="312" w:name="_Toc260172681"/>
      <w:bookmarkStart w:id="313" w:name="_Toc11568"/>
      <w:bookmarkStart w:id="314" w:name="_Toc382901583"/>
      <w:bookmarkStart w:id="315" w:name="_Toc381278419"/>
      <w:r>
        <w:rPr>
          <w:rFonts w:hint="eastAsia" w:ascii="宋体" w:hAnsi="宋体" w:eastAsia="宋体" w:cs="宋体"/>
          <w:b/>
          <w:color w:val="auto"/>
          <w:kern w:val="0"/>
          <w:sz w:val="24"/>
          <w:szCs w:val="24"/>
          <w:highlight w:val="none"/>
        </w:rPr>
        <w:t>7.4 签订合同</w:t>
      </w:r>
      <w:bookmarkEnd w:id="308"/>
      <w:bookmarkEnd w:id="309"/>
      <w:bookmarkEnd w:id="310"/>
      <w:bookmarkEnd w:id="311"/>
      <w:bookmarkEnd w:id="312"/>
      <w:bookmarkEnd w:id="313"/>
      <w:bookmarkEnd w:id="314"/>
      <w:bookmarkEnd w:id="315"/>
    </w:p>
    <w:p>
      <w:pPr>
        <w:autoSpaceDE w:val="0"/>
        <w:autoSpaceDN w:val="0"/>
        <w:adjustRightInd w:val="0"/>
        <w:spacing w:line="440" w:lineRule="exact"/>
        <w:ind w:firstLine="474" w:firstLineChars="200"/>
        <w:jc w:val="left"/>
        <w:rPr>
          <w:rFonts w:hint="eastAsia" w:ascii="宋体" w:hAnsi="宋体" w:eastAsia="宋体" w:cs="宋体"/>
          <w:color w:val="auto"/>
          <w:spacing w:val="-2"/>
          <w:kern w:val="0"/>
          <w:sz w:val="24"/>
          <w:szCs w:val="24"/>
          <w:highlight w:val="none"/>
        </w:rPr>
      </w:pPr>
      <w:r>
        <w:rPr>
          <w:rFonts w:hint="eastAsia" w:ascii="宋体" w:hAnsi="宋体" w:eastAsia="宋体" w:cs="宋体"/>
          <w:b/>
          <w:color w:val="auto"/>
          <w:spacing w:val="-2"/>
          <w:kern w:val="0"/>
          <w:sz w:val="24"/>
          <w:szCs w:val="24"/>
          <w:highlight w:val="none"/>
        </w:rPr>
        <w:t>7.4.1</w:t>
      </w:r>
      <w:r>
        <w:rPr>
          <w:rFonts w:hint="eastAsia" w:ascii="宋体" w:hAnsi="宋体" w:eastAsia="宋体" w:cs="宋体"/>
          <w:color w:val="auto"/>
          <w:spacing w:val="-2"/>
          <w:kern w:val="0"/>
          <w:sz w:val="24"/>
          <w:szCs w:val="24"/>
          <w:highlight w:val="none"/>
        </w:rPr>
        <w:t xml:space="preserve"> 采购人和磋商成交单位应当自磋商成交通知书发出之日起30天内，根据竞争性磋商文件和磋商成交单位的磋商文件订立书面合同。磋商成交单位无正当理由拒签合同的，采购人取消其磋商成交资格</w:t>
      </w:r>
      <w:r>
        <w:rPr>
          <w:rFonts w:hint="eastAsia" w:ascii="宋体" w:hAnsi="宋体" w:eastAsia="宋体" w:cs="宋体"/>
          <w:color w:val="auto"/>
          <w:kern w:val="0"/>
          <w:sz w:val="24"/>
          <w:szCs w:val="24"/>
          <w:highlight w:val="none"/>
        </w:rPr>
        <w:t>；给采购人造成的损失，磋商成交单位应当予以赔偿。</w:t>
      </w:r>
    </w:p>
    <w:p>
      <w:pPr>
        <w:autoSpaceDE w:val="0"/>
        <w:autoSpaceDN w:val="0"/>
        <w:adjustRightInd w:val="0"/>
        <w:spacing w:line="440" w:lineRule="exact"/>
        <w:ind w:firstLine="474" w:firstLineChars="200"/>
        <w:jc w:val="left"/>
        <w:rPr>
          <w:rFonts w:hint="eastAsia"/>
        </w:rPr>
      </w:pPr>
      <w:r>
        <w:rPr>
          <w:rFonts w:hint="eastAsia" w:ascii="宋体" w:hAnsi="宋体" w:eastAsia="宋体" w:cs="宋体"/>
          <w:b/>
          <w:color w:val="auto"/>
          <w:spacing w:val="-2"/>
          <w:kern w:val="0"/>
          <w:sz w:val="24"/>
          <w:szCs w:val="24"/>
          <w:highlight w:val="none"/>
        </w:rPr>
        <w:t xml:space="preserve">7.4.2 </w:t>
      </w:r>
      <w:r>
        <w:rPr>
          <w:rFonts w:hint="eastAsia" w:ascii="宋体" w:hAnsi="宋体" w:eastAsia="宋体" w:cs="宋体"/>
          <w:bCs/>
          <w:color w:val="auto"/>
          <w:spacing w:val="-2"/>
          <w:kern w:val="0"/>
          <w:sz w:val="24"/>
          <w:szCs w:val="24"/>
          <w:highlight w:val="none"/>
        </w:rPr>
        <w:t>发出磋商成交通知书后，采购人无正当理由拒签合同的，</w:t>
      </w:r>
      <w:r>
        <w:rPr>
          <w:rFonts w:hint="eastAsia" w:ascii="宋体" w:hAnsi="宋体" w:eastAsia="宋体" w:cs="宋体"/>
          <w:bCs/>
          <w:color w:val="auto"/>
          <w:spacing w:val="-2"/>
          <w:kern w:val="0"/>
          <w:sz w:val="24"/>
          <w:szCs w:val="24"/>
          <w:highlight w:val="none"/>
          <w:lang w:val="en-US" w:eastAsia="zh-CN"/>
        </w:rPr>
        <w:t>应</w:t>
      </w:r>
      <w:r>
        <w:rPr>
          <w:rFonts w:hint="eastAsia" w:ascii="宋体" w:hAnsi="宋体" w:eastAsia="宋体" w:cs="宋体"/>
          <w:bCs/>
          <w:color w:val="auto"/>
          <w:spacing w:val="-2"/>
          <w:kern w:val="0"/>
          <w:sz w:val="24"/>
          <w:szCs w:val="24"/>
          <w:highlight w:val="none"/>
        </w:rPr>
        <w:t>补偿供应商损失。</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16" w:name="_Toc28663"/>
      <w:bookmarkStart w:id="317" w:name="_Toc19064"/>
      <w:r>
        <w:rPr>
          <w:rFonts w:hint="eastAsia" w:ascii="宋体" w:hAnsi="宋体" w:eastAsia="宋体" w:cs="宋体"/>
          <w:b/>
          <w:color w:val="auto"/>
          <w:kern w:val="0"/>
          <w:sz w:val="24"/>
          <w:szCs w:val="24"/>
          <w:highlight w:val="none"/>
        </w:rPr>
        <w:t>8. 重新采购</w:t>
      </w:r>
      <w:bookmarkEnd w:id="316"/>
      <w:bookmarkEnd w:id="317"/>
    </w:p>
    <w:p>
      <w:pPr>
        <w:autoSpaceDE w:val="0"/>
        <w:autoSpaceDN w:val="0"/>
        <w:adjustRightInd w:val="0"/>
        <w:spacing w:line="440" w:lineRule="exact"/>
        <w:ind w:firstLine="472" w:firstLineChars="200"/>
        <w:jc w:val="left"/>
        <w:rPr>
          <w:rFonts w:hint="eastAsia" w:ascii="宋体" w:hAnsi="宋体" w:eastAsia="宋体" w:cs="宋体"/>
          <w:bCs/>
          <w:color w:val="auto"/>
          <w:spacing w:val="-2"/>
          <w:kern w:val="0"/>
          <w:sz w:val="24"/>
          <w:szCs w:val="24"/>
          <w:highlight w:val="none"/>
        </w:rPr>
      </w:pPr>
      <w:r>
        <w:rPr>
          <w:rFonts w:hint="eastAsia" w:ascii="宋体" w:hAnsi="宋体" w:eastAsia="宋体" w:cs="宋体"/>
          <w:bCs/>
          <w:color w:val="auto"/>
          <w:spacing w:val="-2"/>
          <w:kern w:val="0"/>
          <w:sz w:val="24"/>
          <w:szCs w:val="24"/>
          <w:highlight w:val="none"/>
        </w:rPr>
        <w:t>有下列情形之一的，采购人将重新采购：</w:t>
      </w:r>
    </w:p>
    <w:p>
      <w:pPr>
        <w:autoSpaceDE w:val="0"/>
        <w:autoSpaceDN w:val="0"/>
        <w:adjustRightInd w:val="0"/>
        <w:spacing w:line="440" w:lineRule="exact"/>
        <w:ind w:firstLine="472" w:firstLineChars="200"/>
        <w:jc w:val="left"/>
        <w:rPr>
          <w:rFonts w:hint="eastAsia" w:ascii="宋体" w:hAnsi="宋体" w:eastAsia="宋体" w:cs="宋体"/>
          <w:bCs/>
          <w:color w:val="auto"/>
          <w:spacing w:val="-2"/>
          <w:kern w:val="0"/>
          <w:sz w:val="24"/>
          <w:szCs w:val="24"/>
          <w:highlight w:val="none"/>
        </w:rPr>
      </w:pPr>
      <w:r>
        <w:rPr>
          <w:rFonts w:hint="eastAsia" w:ascii="宋体" w:hAnsi="宋体" w:eastAsia="宋体" w:cs="宋体"/>
          <w:bCs/>
          <w:color w:val="auto"/>
          <w:spacing w:val="-2"/>
          <w:kern w:val="0"/>
          <w:sz w:val="24"/>
          <w:szCs w:val="24"/>
          <w:highlight w:val="none"/>
        </w:rPr>
        <w:t>(1)磋商报名截止时间止，磋商响应人少于3家的；</w:t>
      </w:r>
    </w:p>
    <w:p>
      <w:pPr>
        <w:autoSpaceDE w:val="0"/>
        <w:autoSpaceDN w:val="0"/>
        <w:adjustRightInd w:val="0"/>
        <w:spacing w:line="440" w:lineRule="exact"/>
        <w:ind w:firstLine="472" w:firstLineChars="200"/>
        <w:jc w:val="left"/>
        <w:rPr>
          <w:rFonts w:hint="eastAsia" w:ascii="宋体" w:hAnsi="宋体" w:eastAsia="宋体" w:cs="宋体"/>
          <w:bCs/>
          <w:color w:val="auto"/>
          <w:spacing w:val="-2"/>
          <w:kern w:val="0"/>
          <w:sz w:val="24"/>
          <w:szCs w:val="24"/>
          <w:highlight w:val="none"/>
        </w:rPr>
      </w:pPr>
      <w:r>
        <w:rPr>
          <w:rFonts w:hint="eastAsia" w:ascii="宋体" w:hAnsi="宋体" w:eastAsia="宋体" w:cs="宋体"/>
          <w:bCs/>
          <w:color w:val="auto"/>
          <w:spacing w:val="-2"/>
          <w:kern w:val="0"/>
          <w:sz w:val="24"/>
          <w:szCs w:val="24"/>
          <w:highlight w:val="none"/>
        </w:rPr>
        <w:t>(2)经磋商小组评审后通过资格审查且有竞争力的供应商少于2家的。</w:t>
      </w:r>
    </w:p>
    <w:p>
      <w:pPr>
        <w:autoSpaceDE w:val="0"/>
        <w:autoSpaceDN w:val="0"/>
        <w:adjustRightInd w:val="0"/>
        <w:spacing w:line="440" w:lineRule="exact"/>
        <w:ind w:firstLine="472" w:firstLineChars="200"/>
        <w:jc w:val="left"/>
        <w:rPr>
          <w:rFonts w:hint="eastAsia" w:ascii="宋体" w:hAnsi="宋体" w:eastAsia="宋体" w:cs="宋体"/>
          <w:bCs/>
          <w:color w:val="auto"/>
          <w:spacing w:val="-2"/>
          <w:kern w:val="0"/>
          <w:sz w:val="24"/>
          <w:szCs w:val="24"/>
          <w:highlight w:val="none"/>
        </w:rPr>
      </w:pPr>
      <w:r>
        <w:rPr>
          <w:rFonts w:hint="eastAsia" w:ascii="宋体" w:hAnsi="宋体" w:eastAsia="宋体" w:cs="宋体"/>
          <w:bCs/>
          <w:color w:val="auto"/>
          <w:spacing w:val="-2"/>
          <w:kern w:val="0"/>
          <w:sz w:val="24"/>
          <w:szCs w:val="24"/>
          <w:highlight w:val="none"/>
        </w:rPr>
        <w:t>(3)法律、法规规定的应当重新采购的其他情形。</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18" w:name="_Toc7290"/>
      <w:bookmarkStart w:id="319" w:name="_Toc9513"/>
      <w:r>
        <w:rPr>
          <w:rFonts w:hint="eastAsia" w:ascii="宋体" w:hAnsi="宋体" w:eastAsia="宋体" w:cs="宋体"/>
          <w:b/>
          <w:color w:val="auto"/>
          <w:kern w:val="0"/>
          <w:sz w:val="24"/>
          <w:szCs w:val="24"/>
          <w:highlight w:val="none"/>
        </w:rPr>
        <w:t>9．纪律和监督</w:t>
      </w:r>
      <w:bookmarkEnd w:id="318"/>
      <w:bookmarkEnd w:id="319"/>
    </w:p>
    <w:p>
      <w:pPr>
        <w:autoSpaceDE w:val="0"/>
        <w:autoSpaceDN w:val="0"/>
        <w:adjustRightInd w:val="0"/>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9.1对采购人的纪律要求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采购人不得泄漏采购活动中应当保密的情况和资料，不得与磋商响应人串通损害国家利益、社会公共利益或者他人合法权益。</w:t>
      </w:r>
    </w:p>
    <w:p>
      <w:pPr>
        <w:autoSpaceDE w:val="0"/>
        <w:autoSpaceDN w:val="0"/>
        <w:adjustRightInd w:val="0"/>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9.2对磋商响应人的纪律和法律要求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9.2.1对磋商响应人的纪律要求：磋商响应人不得相互串通投标或者与采购人串通投标，不得向采购人或者磋商小组成员行贿谋取中标，不得以他人名义投标或者以其他方式弄虚作假骗取中标；磋商响应人不得以任何方式干扰、影响评标工作。</w:t>
      </w:r>
    </w:p>
    <w:p>
      <w:pPr>
        <w:autoSpaceDE w:val="0"/>
        <w:autoSpaceDN w:val="0"/>
        <w:adjustRightInd w:val="0"/>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9.3对磋商小组成员的纪律要求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磋商小组成员应严格遵守国家、省相关法律、法规和规章，不得收受他人的财物或者其他好处，不得向他人透漏对磋商响应文件的评审和比较、成交候选人的推荐情况以及评标有关的其他情况。在评标活动中，磋商小组成员应当客观、公正地履行职责，遵守职业道德，不得擅离职守，影响评标程序正常进行，不得使用第四章“评审办法”没有规定的评审因素和标准进行评标。</w:t>
      </w:r>
    </w:p>
    <w:p>
      <w:pPr>
        <w:autoSpaceDE w:val="0"/>
        <w:autoSpaceDN w:val="0"/>
        <w:adjustRightInd w:val="0"/>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9.4对与评标活动有关的工作人员的纪律要求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与评标活动有关的工作人员不得收受他人的财物或者其他好处，不得向他人透漏对采购文件的评审和比较、成交候选人的推荐情况以及评标有关的其他情况。在评标活动中，与评标活动有关的工作人员不得擅离职守，影响评标程序正常进行。</w:t>
      </w:r>
    </w:p>
    <w:p>
      <w:pPr>
        <w:autoSpaceDE w:val="0"/>
        <w:autoSpaceDN w:val="0"/>
        <w:adjustRightInd w:val="0"/>
        <w:spacing w:line="440" w:lineRule="exact"/>
        <w:ind w:firstLine="482" w:firstLineChars="200"/>
        <w:jc w:val="left"/>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9.5质疑提出与答复</w:t>
      </w:r>
    </w:p>
    <w:p>
      <w:pPr>
        <w:pageBreakBefore w:val="0"/>
        <w:kinsoku/>
        <w:wordWrap/>
        <w:overflowPunct/>
        <w:bidi w:val="0"/>
        <w:spacing w:after="0" w:line="520" w:lineRule="exact"/>
        <w:ind w:firstLine="480" w:firstLineChars="200"/>
        <w:jc w:val="left"/>
        <w:outlineLvl w:val="3"/>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9.5.1 供应商认为采购文件、采购过程、中标或者成交结果使自己的权益受到损害的，可以在知道或者应知其权益受到损害之日起7个工作日内，</w:t>
      </w:r>
      <w:r>
        <w:rPr>
          <w:rFonts w:hint="eastAsia" w:ascii="宋体" w:hAnsi="宋体" w:cs="宋体"/>
          <w:color w:val="000000"/>
          <w:sz w:val="24"/>
        </w:rPr>
        <w:t>以书面形式向采购人、代理机构提出质疑。供应商在法定质疑期内一次性提出针对同一采购程序环节的质疑。</w:t>
      </w:r>
      <w:r>
        <w:rPr>
          <w:rFonts w:hint="eastAsia" w:ascii="宋体" w:hAnsi="宋体" w:eastAsia="宋体" w:cs="宋体"/>
          <w:color w:val="auto"/>
          <w:kern w:val="0"/>
          <w:sz w:val="24"/>
          <w:szCs w:val="24"/>
          <w:highlight w:val="none"/>
        </w:rPr>
        <w:t>采购文件可以要求供应商在法定质疑期内一次性提出针对同一采购程序环节的质疑。</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 提出质疑的供应商（以下简称质疑供应商）应当是参与所质疑项目采购活动的供应商。</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潜在供应商已依法获取其可质疑的采购文件的，可以对该文件提出质疑。对采购文件提出质疑的，应当在获取采购文件或者采购文件公告期限届满之日起7个工作日内提出。</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9.5.3 供应商提出质疑应当提交质疑函和必要的证明材料。质疑函应当包括下列内容：</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（一）供应商的姓名或者名称、地址、邮编、联系人及联系电话；</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（二）质疑项目的名称、编号；</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（三）具体、明确的质疑事项和与质疑事项相关的请求；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（四）事实依据；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（五）必要的法律依据；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（六）提出质疑的日期。</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供应商为自然人的，应当由本人签字；供应商为法人或者其他组织的，应当由法定代表人、主要负责人，或者其授权代表签字或者盖章，并加盖公章。</w:t>
      </w:r>
    </w:p>
    <w:p>
      <w:pPr>
        <w:pageBreakBefore w:val="0"/>
        <w:numPr>
          <w:ilvl w:val="0"/>
          <w:numId w:val="0"/>
        </w:numPr>
        <w:kinsoku/>
        <w:wordWrap/>
        <w:overflowPunct/>
        <w:bidi w:val="0"/>
        <w:spacing w:after="0" w:line="520" w:lineRule="exact"/>
        <w:ind w:firstLine="240" w:firstLineChars="100"/>
        <w:jc w:val="left"/>
        <w:rPr>
          <w:rFonts w:hint="eastAsia" w:ascii="宋体" w:hAnsi="宋体" w:eastAsia="宋体" w:cs="宋体"/>
          <w:color w:val="000000"/>
          <w:sz w:val="24"/>
          <w:szCs w:val="24"/>
        </w:rPr>
      </w:pPr>
      <w:r>
        <w:rPr>
          <w:rFonts w:hint="eastAsia" w:ascii="宋体" w:hAnsi="宋体" w:eastAsia="宋体" w:cs="宋体"/>
          <w:color w:val="auto"/>
          <w:kern w:val="0"/>
          <w:sz w:val="24"/>
          <w:szCs w:val="24"/>
          <w:highlight w:val="none"/>
        </w:rPr>
        <w:t xml:space="preserve">9.5.4 </w:t>
      </w:r>
      <w:r>
        <w:rPr>
          <w:rFonts w:hint="eastAsia" w:ascii="宋体" w:hAnsi="宋体" w:eastAsia="宋体" w:cs="宋体"/>
          <w:color w:val="000000"/>
          <w:sz w:val="24"/>
          <w:szCs w:val="24"/>
        </w:rPr>
        <w:t>接收质疑函的方式、联系电话和通讯地址</w:t>
      </w:r>
    </w:p>
    <w:p>
      <w:pPr>
        <w:pageBreakBefore w:val="0"/>
        <w:numPr>
          <w:ilvl w:val="0"/>
          <w:numId w:val="0"/>
        </w:numPr>
        <w:kinsoku/>
        <w:wordWrap/>
        <w:overflowPunct/>
        <w:bidi w:val="0"/>
        <w:spacing w:after="0" w:line="520" w:lineRule="exact"/>
        <w:ind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对磋商文件、采购过程、中标</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成交</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结果有质疑的</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以</w:t>
      </w:r>
      <w:r>
        <w:rPr>
          <w:rFonts w:hint="eastAsia" w:ascii="宋体" w:hAnsi="宋体" w:eastAsia="宋体" w:cs="宋体"/>
          <w:color w:val="000000" w:themeColor="text1"/>
          <w:sz w:val="24"/>
          <w:szCs w:val="24"/>
          <w:lang w:eastAsia="zh-CN"/>
          <w14:textFill>
            <w14:solidFill>
              <w14:schemeClr w14:val="tx1"/>
            </w14:solidFill>
          </w14:textFill>
        </w:rPr>
        <w:t>书面形式递交由法定代表人、主要负责人签名或者盖章，并加盖公章的质疑函原件和必要的证明材料；邮寄送达以邮件交邮日期为准。</w:t>
      </w:r>
    </w:p>
    <w:p>
      <w:pPr>
        <w:pageBreakBefore w:val="0"/>
        <w:numPr>
          <w:ilvl w:val="0"/>
          <w:numId w:val="0"/>
        </w:numPr>
        <w:kinsoku/>
        <w:wordWrap/>
        <w:overflowPunct/>
        <w:bidi w:val="0"/>
        <w:spacing w:after="0" w:line="520" w:lineRule="exact"/>
        <w:ind w:firstLine="480" w:firstLineChars="200"/>
        <w:jc w:val="lef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联系单位：瑞丽市宏顺招标服务有限公司</w:t>
      </w:r>
    </w:p>
    <w:p>
      <w:pPr>
        <w:autoSpaceDE w:val="0"/>
        <w:autoSpaceDN w:val="0"/>
        <w:adjustRightInd w:val="0"/>
        <w:spacing w:line="360" w:lineRule="auto"/>
        <w:ind w:firstLine="480" w:firstLineChars="200"/>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电子邮箱：</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fldChar w:fldCharType="begin"/>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instrText xml:space="preserve"> HYPERLINK "mailto:2847254176@qq.com。" </w:instrTex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fldChar w:fldCharType="separate"/>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1823000485@qq.com</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fldChar w:fldCharType="end"/>
      </w:r>
    </w:p>
    <w:p>
      <w:pPr>
        <w:pageBreakBefore w:val="0"/>
        <w:kinsoku/>
        <w:overflowPunct/>
        <w:topLinePunct w:val="0"/>
        <w:autoSpaceDN/>
        <w:bidi w:val="0"/>
        <w:adjustRightInd/>
        <w:snapToGrid/>
        <w:spacing w:line="348"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联系方式：0692-</w:t>
      </w:r>
      <w:r>
        <w:rPr>
          <w:rFonts w:hint="eastAsia" w:asciiTheme="minorEastAsia" w:hAnsiTheme="minorEastAsia" w:eastAsiaTheme="minorEastAsia" w:cstheme="minorEastAsia"/>
          <w:color w:val="auto"/>
          <w:sz w:val="24"/>
          <w:szCs w:val="24"/>
          <w:highlight w:val="none"/>
          <w:lang w:val="en-US" w:eastAsia="zh-CN"/>
        </w:rPr>
        <w:t>4124466</w:t>
      </w:r>
    </w:p>
    <w:p>
      <w:pPr>
        <w:ind w:firstLine="480" w:firstLineChars="200"/>
        <w:rPr>
          <w:rFonts w:hint="eastAsia"/>
          <w:lang w:eastAsia="zh-CN"/>
        </w:rPr>
      </w:pPr>
      <w:r>
        <w:rPr>
          <w:rFonts w:hint="eastAsia" w:asciiTheme="minorEastAsia" w:hAnsiTheme="minorEastAsia" w:eastAsiaTheme="minorEastAsia" w:cstheme="minorEastAsia"/>
          <w:sz w:val="24"/>
          <w:szCs w:val="24"/>
          <w:highlight w:val="none"/>
          <w:lang w:val="en-US" w:eastAsia="zh-CN"/>
        </w:rPr>
        <w:t>通讯地址：</w:t>
      </w:r>
      <w:r>
        <w:rPr>
          <w:rFonts w:hint="eastAsia" w:asciiTheme="minorEastAsia" w:hAnsiTheme="minorEastAsia" w:eastAsiaTheme="minorEastAsia" w:cstheme="minorEastAsia"/>
          <w:color w:val="auto"/>
          <w:kern w:val="0"/>
          <w:sz w:val="24"/>
          <w:szCs w:val="24"/>
        </w:rPr>
        <w:t>瑞丽市人民路45号三楼</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9.5.6 供应商对评审过程、中标或者成交结果提出质疑的，采购人、采购代理机构可以组织原磋商小组、竞争性谈判小组、询价小组或者竞争性磋商小组协助答复质疑。</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9.5.7 质疑答复应当包括下列内容：</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（一）质疑供应商的姓名或者名称；</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（二）收到质疑函的日期、质疑项目名称及编号；</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（三）质疑事项、质疑答复的具体内容、事实依据和法律依据；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（四）告知质疑供应商依法投诉的权利；</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（五）质疑答复人名称；</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（六）答复质疑的日期。</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质疑答复的内容不得涉及商业秘密。</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9.5.8 采购人、采购代理机构认为供应商质疑不成立，或者成立但未对中标、成交结果构成影响的，继续开展采购活动；认为供应商质疑成立且影响或者可能影响中标、成交结果的，按照下列情况处理：</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（一）对采购文件提出的质疑，依法通过澄清或者修改可以继续开展采购活动的，澄清或者修改采购文件后继续开展采购活动；否则应当修改采购文件后重新开展采购活动。</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对采购过程、中标或者成交结果提出的质疑，合格供应商符合法定数量时，可以从合格的中标或者成交候选人中另行确定中标、成交供应商的，应当依法另行确定中标、成交供应商；否则应当重新开展采购活动。</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质疑答复导致中标、成交结果改变的，采购人或者采购代理机构应当将有关情况书面报告本级财政部门。</w:t>
      </w:r>
    </w:p>
    <w:p>
      <w:pPr>
        <w:autoSpaceDE w:val="0"/>
        <w:autoSpaceDN w:val="0"/>
        <w:adjustRightInd w:val="0"/>
        <w:spacing w:line="440" w:lineRule="exact"/>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9.5.2投诉</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9.5.2.1磋商响应人或者其他利害关系人认为采购投标活动不符合法律、行政法规规定的，应当在知道或者应当知道其权益受到侵害之日起15个工作日内向有关行政监督部门提出书面投诉，其他利害关系人是指磋商响应人以外的，与采购项目或者采购活动有直接和间接利益关系的法人、其他组织和个人。</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9.5.2.2就本章9.5条规定事项投诉的，应当先向采购人提出质疑，质疑答复期间不计算在前款规定的期限内。</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9.5.2.3投诉人投诉时，应当提交投诉书。投诉书应当包括下列内容：</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（一）投诉人和被投诉人的姓名或者名称、通讯地址、邮编、联系人及联系电话；</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（二）质疑和质疑答复情况说明及相关证明材料；</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（三）具体、明确的投诉事项和与投诉事项相关的投诉请求；</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（四）事实依据；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（五）法律依据；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（六）提起投诉的日期。</w:t>
      </w:r>
    </w:p>
    <w:p>
      <w:pPr>
        <w:autoSpaceDE w:val="0"/>
        <w:autoSpaceDN w:val="0"/>
        <w:adjustRightInd w:val="0"/>
        <w:spacing w:line="44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投诉人是法人的，投诉书必须由其法定代表人或者授权代表签字并盖章；其他组织或者个人投诉的，投诉书必须由其主要负责人或者投诉</w:t>
      </w:r>
      <w:r>
        <w:rPr>
          <w:rFonts w:hint="eastAsia" w:ascii="宋体" w:hAnsi="宋体" w:eastAsia="宋体" w:cs="宋体"/>
          <w:color w:val="auto"/>
          <w:sz w:val="24"/>
          <w:szCs w:val="24"/>
          <w:highlight w:val="none"/>
        </w:rPr>
        <w:t>人本人签字，并附有效身份证明复印件。投诉书有关材料是外文的，投诉人应当同时提供其中文译本。</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9.5.2.4投诉人不得以投诉为名排挤竞争对手，不得进行虚假、恶意投诉，阻碍采购投标活动的正常进行。</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9.5.2.5投诉人可以直接投诉，也可以委托代理人办理投诉事务。代理人办理投诉事务时，应将授权委托书连同投诉书一并提交给行政监督部门。授权委托书应当明确有关委托代理权限和事项。</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9.5.2.6有下列情形之一的投诉，不予受理；</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（一）投诉人不是所投诉采购投标活动的参与者，或者与投诉项目无任何利害关系；</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（二）投诉事项不具体，且未提供有效线索，难以查证的；</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（三）投诉书未署具投诉人真实姓名、签字和有效联系方式的；以法人名义投诉的，投诉书未经法定代表人签字并加盖公章的；</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（四）超过投诉时效的；</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（五）已经作出处理决定，并且投诉人没有提出新的证据；</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（六）投诉事项已进入行政复议或者行政诉讼程序的。</w:t>
      </w:r>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9.5.2.7未尽事宜，按国家现行有关法律法规、</w:t>
      </w:r>
      <w:r>
        <w:rPr>
          <w:rFonts w:hint="eastAsia" w:ascii="宋体" w:hAnsi="宋体" w:eastAsia="宋体" w:cs="宋体"/>
          <w:color w:val="auto"/>
          <w:sz w:val="24"/>
          <w:szCs w:val="24"/>
          <w:highlight w:val="none"/>
        </w:rPr>
        <w:t>中华人民共和国财政部令第94号--《政府采购质疑和投诉办法》</w:t>
      </w:r>
      <w:r>
        <w:rPr>
          <w:rFonts w:hint="eastAsia" w:ascii="宋体" w:hAnsi="宋体" w:eastAsia="宋体" w:cs="宋体"/>
          <w:color w:val="auto"/>
          <w:kern w:val="0"/>
          <w:sz w:val="24"/>
          <w:szCs w:val="24"/>
          <w:highlight w:val="none"/>
        </w:rPr>
        <w:t>的规定执行。</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20" w:name="_Toc22414"/>
      <w:bookmarkStart w:id="321" w:name="_Toc31014"/>
      <w:r>
        <w:rPr>
          <w:rFonts w:hint="eastAsia" w:ascii="宋体" w:hAnsi="宋体" w:eastAsia="宋体" w:cs="宋体"/>
          <w:b/>
          <w:color w:val="auto"/>
          <w:kern w:val="0"/>
          <w:sz w:val="24"/>
          <w:szCs w:val="24"/>
          <w:highlight w:val="none"/>
        </w:rPr>
        <w:t>10．知识产权</w:t>
      </w:r>
      <w:bookmarkEnd w:id="320"/>
      <w:bookmarkEnd w:id="321"/>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构成本采购文件各个组成部分的文件，未经采购人书面同意，磋商响应人不得擅自复印和用于非本采购项目所需的其他目的。采购人全部或者部分使用未中标人磋商响应文件中的技术成果或技术方案时，需征得其书面同意，并不得擅自复印或提供给第三人。</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22" w:name="_Toc21456"/>
      <w:bookmarkStart w:id="323" w:name="_Toc9840"/>
      <w:r>
        <w:rPr>
          <w:rFonts w:hint="eastAsia" w:ascii="宋体" w:hAnsi="宋体" w:eastAsia="宋体" w:cs="宋体"/>
          <w:b/>
          <w:color w:val="auto"/>
          <w:kern w:val="0"/>
          <w:sz w:val="24"/>
          <w:szCs w:val="24"/>
          <w:highlight w:val="none"/>
          <w:lang w:val="en-US" w:eastAsia="zh-CN"/>
        </w:rPr>
        <w:t>11</w:t>
      </w:r>
      <w:r>
        <w:rPr>
          <w:rFonts w:hint="eastAsia" w:ascii="宋体" w:hAnsi="宋体" w:eastAsia="宋体" w:cs="宋体"/>
          <w:b/>
          <w:color w:val="auto"/>
          <w:kern w:val="0"/>
          <w:sz w:val="24"/>
          <w:szCs w:val="24"/>
          <w:highlight w:val="none"/>
        </w:rPr>
        <w:t>．监  督</w:t>
      </w:r>
      <w:bookmarkEnd w:id="322"/>
      <w:bookmarkEnd w:id="323"/>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本项目的采购磋商活动及其相关当事人应当接受有管辖权的财政部门、监督部门依法实施的监督。</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24" w:name="_Toc30504"/>
      <w:bookmarkStart w:id="325" w:name="_Toc23744"/>
      <w:r>
        <w:rPr>
          <w:rFonts w:hint="eastAsia" w:ascii="宋体" w:hAnsi="宋体" w:eastAsia="宋体" w:cs="宋体"/>
          <w:b/>
          <w:color w:val="auto"/>
          <w:kern w:val="0"/>
          <w:sz w:val="24"/>
          <w:szCs w:val="24"/>
          <w:highlight w:val="none"/>
          <w:lang w:val="en-US" w:eastAsia="zh-CN"/>
        </w:rPr>
        <w:t>12</w:t>
      </w:r>
      <w:r>
        <w:rPr>
          <w:rFonts w:hint="eastAsia" w:ascii="宋体" w:hAnsi="宋体" w:eastAsia="宋体" w:cs="宋体"/>
          <w:b/>
          <w:color w:val="auto"/>
          <w:kern w:val="0"/>
          <w:sz w:val="24"/>
          <w:szCs w:val="24"/>
          <w:highlight w:val="none"/>
        </w:rPr>
        <w:t>．解释权</w:t>
      </w:r>
      <w:bookmarkEnd w:id="324"/>
      <w:bookmarkEnd w:id="325"/>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详见供应商须知前附表。</w:t>
      </w:r>
    </w:p>
    <w:p>
      <w:pPr>
        <w:autoSpaceDE w:val="0"/>
        <w:autoSpaceDN w:val="0"/>
        <w:adjustRightInd w:val="0"/>
        <w:spacing w:line="440" w:lineRule="exact"/>
        <w:jc w:val="left"/>
        <w:outlineLvl w:val="0"/>
        <w:rPr>
          <w:rFonts w:hint="eastAsia" w:ascii="宋体" w:hAnsi="宋体" w:eastAsia="宋体" w:cs="宋体"/>
          <w:b/>
          <w:color w:val="auto"/>
          <w:kern w:val="0"/>
          <w:sz w:val="24"/>
          <w:szCs w:val="24"/>
          <w:highlight w:val="none"/>
        </w:rPr>
      </w:pPr>
      <w:bookmarkStart w:id="326" w:name="_Toc24088"/>
      <w:bookmarkStart w:id="327" w:name="_Toc27941"/>
      <w:r>
        <w:rPr>
          <w:rFonts w:hint="eastAsia" w:ascii="宋体" w:hAnsi="宋体" w:eastAsia="宋体" w:cs="宋体"/>
          <w:b/>
          <w:color w:val="auto"/>
          <w:kern w:val="0"/>
          <w:sz w:val="24"/>
          <w:szCs w:val="24"/>
          <w:highlight w:val="none"/>
          <w:lang w:val="en-US" w:eastAsia="zh-CN"/>
        </w:rPr>
        <w:t>13</w:t>
      </w:r>
      <w:r>
        <w:rPr>
          <w:rFonts w:hint="eastAsia" w:ascii="宋体" w:hAnsi="宋体" w:eastAsia="宋体" w:cs="宋体"/>
          <w:b/>
          <w:color w:val="auto"/>
          <w:kern w:val="0"/>
          <w:sz w:val="24"/>
          <w:szCs w:val="24"/>
          <w:highlight w:val="none"/>
        </w:rPr>
        <w:t>．确定成交供应商</w:t>
      </w:r>
      <w:bookmarkEnd w:id="326"/>
      <w:bookmarkEnd w:id="327"/>
    </w:p>
    <w:p>
      <w:pPr>
        <w:autoSpaceDE w:val="0"/>
        <w:autoSpaceDN w:val="0"/>
        <w:adjustRightInd w:val="0"/>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采购人（或采购人授权的磋商小组）按照磋商小组推荐成交候选人的顺序确定成交供应商。</w:t>
      </w:r>
    </w:p>
    <w:p>
      <w:pPr>
        <w:numPr>
          <w:ilvl w:val="0"/>
          <w:numId w:val="6"/>
        </w:numPr>
        <w:autoSpaceDE w:val="0"/>
        <w:autoSpaceDN w:val="0"/>
        <w:adjustRightInd w:val="0"/>
        <w:spacing w:line="440" w:lineRule="exact"/>
        <w:jc w:val="left"/>
        <w:outlineLvl w:val="0"/>
        <w:rPr>
          <w:rFonts w:hint="eastAsia" w:ascii="宋体" w:hAnsi="宋体" w:eastAsia="宋体" w:cs="宋体"/>
          <w:color w:val="auto"/>
          <w:sz w:val="24"/>
          <w:szCs w:val="24"/>
          <w:highlight w:val="none"/>
        </w:rPr>
      </w:pPr>
      <w:bookmarkStart w:id="328" w:name="_Toc31206"/>
      <w:bookmarkStart w:id="329" w:name="_Toc28492"/>
      <w:r>
        <w:rPr>
          <w:rFonts w:hint="eastAsia" w:ascii="宋体" w:hAnsi="宋体" w:eastAsia="宋体" w:cs="宋体"/>
          <w:b/>
          <w:color w:val="auto"/>
          <w:kern w:val="0"/>
          <w:sz w:val="24"/>
          <w:szCs w:val="24"/>
          <w:highlight w:val="none"/>
        </w:rPr>
        <w:t>需要补充的其他内容</w:t>
      </w:r>
      <w:bookmarkEnd w:id="328"/>
      <w:bookmarkEnd w:id="329"/>
      <w:bookmarkStart w:id="330" w:name="_Toc9904_WPSOffice_Level1"/>
    </w:p>
    <w:p>
      <w:pPr>
        <w:pStyle w:val="48"/>
        <w:spacing w:line="44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需要补充的其他内容：见供应商须知前附表；</w:t>
      </w:r>
    </w:p>
    <w:p>
      <w:pPr>
        <w:pStyle w:val="48"/>
        <w:spacing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pacing w:val="0"/>
          <w:sz w:val="24"/>
          <w:szCs w:val="24"/>
          <w:highlight w:val="none"/>
        </w:rPr>
        <w:t>注：在领取成交通知书的同时，由成交人向采购代理机构支付中标服务费，收费标准详见</w:t>
      </w:r>
      <w:r>
        <w:rPr>
          <w:rFonts w:hint="eastAsia" w:ascii="宋体" w:hAnsi="宋体" w:eastAsia="宋体" w:cs="宋体"/>
          <w:color w:val="auto"/>
          <w:spacing w:val="0"/>
          <w:sz w:val="24"/>
          <w:szCs w:val="24"/>
          <w:highlight w:val="none"/>
          <w:lang w:val="en-US" w:eastAsia="zh-CN"/>
        </w:rPr>
        <w:t>磋商</w:t>
      </w:r>
      <w:r>
        <w:rPr>
          <w:rFonts w:hint="eastAsia" w:ascii="宋体" w:hAnsi="宋体" w:eastAsia="宋体" w:cs="宋体"/>
          <w:color w:val="auto"/>
          <w:spacing w:val="0"/>
          <w:sz w:val="24"/>
          <w:szCs w:val="24"/>
          <w:highlight w:val="none"/>
        </w:rPr>
        <w:t>公告。成交人与采购人签订合同后，将合同副本报采购代理机构备案。</w:t>
      </w:r>
    </w:p>
    <w:p>
      <w:pPr>
        <w:pStyle w:val="3"/>
        <w:tabs>
          <w:tab w:val="left" w:pos="0"/>
        </w:tabs>
        <w:autoSpaceDE w:val="0"/>
        <w:autoSpaceDN w:val="0"/>
        <w:adjustRightInd w:val="0"/>
        <w:spacing w:before="0" w:after="0" w:line="240" w:lineRule="auto"/>
        <w:rPr>
          <w:rFonts w:hint="eastAsia" w:ascii="宋体" w:hAnsi="宋体" w:eastAsia="宋体" w:cs="宋体"/>
          <w:color w:val="auto"/>
          <w:sz w:val="24"/>
          <w:szCs w:val="24"/>
          <w:highlight w:val="none"/>
        </w:rPr>
        <w:sectPr>
          <w:pgSz w:w="11906" w:h="16838"/>
          <w:pgMar w:top="1440" w:right="1080" w:bottom="1440" w:left="1080" w:header="851" w:footer="992" w:gutter="0"/>
          <w:pgNumType w:fmt="decimal"/>
          <w:cols w:space="720" w:num="1"/>
          <w:titlePg/>
          <w:docGrid w:type="lines" w:linePitch="312" w:charSpace="0"/>
        </w:sectPr>
      </w:pPr>
    </w:p>
    <w:p>
      <w:pPr>
        <w:spacing w:line="360" w:lineRule="auto"/>
        <w:outlineLvl w:val="0"/>
        <w:rPr>
          <w:rFonts w:hint="eastAsia" w:asciiTheme="minorEastAsia" w:hAnsiTheme="minorEastAsia" w:eastAsiaTheme="minorEastAsia" w:cstheme="minorEastAsia"/>
          <w:b/>
          <w:color w:val="auto"/>
          <w:sz w:val="28"/>
          <w:szCs w:val="28"/>
          <w:highlight w:val="none"/>
        </w:rPr>
      </w:pPr>
      <w:bookmarkStart w:id="331" w:name="_Toc11191"/>
      <w:bookmarkStart w:id="332" w:name="_Toc20996"/>
      <w:r>
        <w:rPr>
          <w:rFonts w:hint="eastAsia" w:asciiTheme="minorEastAsia" w:hAnsiTheme="minorEastAsia" w:eastAsiaTheme="minorEastAsia" w:cstheme="minorEastAsia"/>
          <w:b/>
          <w:color w:val="auto"/>
          <w:sz w:val="28"/>
          <w:szCs w:val="28"/>
          <w:highlight w:val="none"/>
        </w:rPr>
        <w:t>附件一：问题澄清通知</w:t>
      </w:r>
      <w:bookmarkEnd w:id="331"/>
    </w:p>
    <w:p>
      <w:pPr>
        <w:spacing w:beforeLines="100" w:afterLines="100" w:line="360" w:lineRule="auto"/>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问题澄清通知</w:t>
      </w:r>
    </w:p>
    <w:p>
      <w:pPr>
        <w:spacing w:line="360" w:lineRule="auto"/>
        <w:ind w:firstLine="6240" w:firstLineChars="2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（投标人）：</w:t>
      </w:r>
    </w:p>
    <w:p>
      <w:pPr>
        <w:autoSpaceDE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招标的评标委员会，对你方的投标文件进行了仔细的审查，现需你方对本通知所附的问题以书面形式予以澄清、说明或者补正：</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请将上述问题的澄清、说明或者补正于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时前密封递交至</w:t>
      </w:r>
      <w:r>
        <w:rPr>
          <w:rFonts w:hint="eastAsia" w:asciiTheme="minorEastAsia" w:hAnsiTheme="minorEastAsia" w:eastAsiaTheme="minorEastAsia" w:cstheme="minorEastAsia"/>
          <w:color w:val="auto"/>
          <w:sz w:val="24"/>
          <w:szCs w:val="24"/>
          <w:highlight w:val="none"/>
          <w:u w:val="single"/>
        </w:rPr>
        <w:t xml:space="preserve"> （详细地址）</w:t>
      </w:r>
      <w:r>
        <w:rPr>
          <w:rFonts w:hint="eastAsia" w:asciiTheme="minorEastAsia" w:hAnsiTheme="minorEastAsia" w:eastAsiaTheme="minorEastAsia" w:cstheme="minorEastAsia"/>
          <w:color w:val="auto"/>
          <w:sz w:val="24"/>
          <w:szCs w:val="24"/>
          <w:highlight w:val="none"/>
        </w:rPr>
        <w:t>或以扫描件发送至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（邮箱号码）。采用扫描件发送方式的，应在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前将原件递交至</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评标委员会：</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right="357"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80" w:lineRule="exact"/>
        <w:ind w:firstLine="4080" w:firstLineChars="17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highlight w:val="none"/>
        </w:rPr>
        <w:br w:type="page"/>
      </w:r>
      <w:r>
        <w:rPr>
          <w:rFonts w:hint="eastAsia" w:asciiTheme="minorEastAsia" w:hAnsiTheme="minorEastAsia" w:eastAsiaTheme="minorEastAsia" w:cstheme="minorEastAsia"/>
          <w:b/>
          <w:color w:val="auto"/>
          <w:sz w:val="28"/>
          <w:szCs w:val="28"/>
          <w:highlight w:val="none"/>
        </w:rPr>
        <w:t>附件二：问题的澄清</w:t>
      </w:r>
    </w:p>
    <w:p>
      <w:pPr>
        <w:spacing w:beforeLines="100" w:afterLines="100" w:line="360" w:lineRule="auto"/>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问题的澄清、说明或补正</w:t>
      </w:r>
    </w:p>
    <w:p>
      <w:pPr>
        <w:spacing w:line="360" w:lineRule="auto"/>
        <w:ind w:firstLine="6120" w:firstLineChars="255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招标评标委员会：</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）已收悉，现澄清、说明或者补正如下：</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上述问题澄清、说明或补正，不改变我方投标文件的实质性内容，构成我方投标文件的组成部分。</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wordWrap w:val="0"/>
        <w:spacing w:line="360" w:lineRule="auto"/>
        <w:ind w:firstLine="480" w:firstLineChars="20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（盖单位章）</w:t>
      </w:r>
    </w:p>
    <w:p>
      <w:pPr>
        <w:spacing w:line="360" w:lineRule="auto"/>
        <w:ind w:right="420" w:firstLine="3840" w:firstLineChars="16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040" w:firstLineChars="2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 xml:space="preserve"> </w:t>
      </w:r>
    </w:p>
    <w:p>
      <w:pPr>
        <w:autoSpaceDE w:val="0"/>
        <w:spacing w:line="360" w:lineRule="auto"/>
        <w:jc w:val="left"/>
        <w:rPr>
          <w:rFonts w:hint="eastAsia" w:ascii="宋体" w:hAnsi="宋体" w:eastAsia="宋体" w:cs="宋体"/>
          <w:color w:val="auto"/>
          <w:sz w:val="36"/>
          <w:szCs w:val="36"/>
          <w:highlight w:val="none"/>
        </w:rPr>
      </w:pPr>
      <w:r>
        <w:rPr>
          <w:rFonts w:hint="eastAsia" w:asciiTheme="minorEastAsia" w:hAnsiTheme="minorEastAsia" w:eastAsiaTheme="minorEastAsia" w:cstheme="minorEastAsia"/>
          <w:b/>
          <w:color w:val="auto"/>
          <w:sz w:val="28"/>
          <w:szCs w:val="28"/>
          <w:highlight w:val="none"/>
        </w:rPr>
        <w:br w:type="page"/>
      </w:r>
      <w:bookmarkStart w:id="333" w:name="_Toc31826"/>
      <w:bookmarkEnd w:id="333"/>
    </w:p>
    <w:p>
      <w:pPr>
        <w:pStyle w:val="3"/>
        <w:tabs>
          <w:tab w:val="left" w:pos="0"/>
        </w:tabs>
        <w:autoSpaceDE w:val="0"/>
        <w:autoSpaceDN w:val="0"/>
        <w:adjustRightInd w:val="0"/>
        <w:spacing w:before="0" w:after="0" w:line="24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第三章 采购需求</w:t>
      </w:r>
      <w:bookmarkEnd w:id="330"/>
      <w:bookmarkEnd w:id="332"/>
    </w:p>
    <w:p>
      <w:pPr>
        <w:pStyle w:val="16"/>
        <w:numPr>
          <w:ilvl w:val="0"/>
          <w:numId w:val="0"/>
        </w:numPr>
        <w:ind w:leftChars="1300" w:firstLine="964" w:firstLineChars="300"/>
        <w:rPr>
          <w:rFonts w:hint="eastAsia" w:ascii="宋体" w:hAnsi="宋体" w:eastAsia="宋体" w:cs="宋体"/>
          <w:b/>
          <w:bCs/>
          <w:i w:val="0"/>
          <w:iCs w:val="0"/>
          <w:color w:val="000000"/>
          <w:kern w:val="0"/>
          <w:sz w:val="32"/>
          <w:szCs w:val="32"/>
          <w:u w:val="none"/>
          <w:lang w:val="en-US" w:eastAsia="zh-CN" w:bidi="ar"/>
        </w:rPr>
      </w:pPr>
      <w:bookmarkStart w:id="334" w:name="_Toc14742_WPSOffice_Level1"/>
      <w:bookmarkStart w:id="335" w:name="_Toc26109"/>
      <w:bookmarkStart w:id="336" w:name="_Toc16726_WPSOffice_Level1"/>
      <w:r>
        <w:rPr>
          <w:rFonts w:hint="eastAsia" w:ascii="宋体" w:hAnsi="宋体" w:cs="宋体"/>
          <w:b/>
          <w:bCs/>
          <w:i w:val="0"/>
          <w:iCs w:val="0"/>
          <w:color w:val="000000"/>
          <w:kern w:val="0"/>
          <w:sz w:val="32"/>
          <w:szCs w:val="32"/>
          <w:u w:val="none"/>
          <w:lang w:val="en-US" w:eastAsia="zh-CN" w:bidi="ar"/>
        </w:rPr>
        <w:t xml:space="preserve"> 一、</w:t>
      </w:r>
      <w:r>
        <w:rPr>
          <w:rFonts w:hint="eastAsia" w:ascii="宋体" w:hAnsi="宋体" w:eastAsia="宋体" w:cs="宋体"/>
          <w:b/>
          <w:bCs/>
          <w:i w:val="0"/>
          <w:iCs w:val="0"/>
          <w:color w:val="000000"/>
          <w:kern w:val="0"/>
          <w:sz w:val="32"/>
          <w:szCs w:val="32"/>
          <w:u w:val="none"/>
          <w:lang w:val="en-US" w:eastAsia="zh-CN" w:bidi="ar"/>
        </w:rPr>
        <w:t>采购清单</w:t>
      </w:r>
    </w:p>
    <w:tbl>
      <w:tblPr>
        <w:tblStyle w:val="41"/>
        <w:tblW w:w="9100" w:type="dxa"/>
        <w:tblInd w:w="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3"/>
        <w:gridCol w:w="3217"/>
        <w:gridCol w:w="1316"/>
        <w:gridCol w:w="1100"/>
        <w:gridCol w:w="1417"/>
        <w:gridCol w:w="111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6"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序号</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名称</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auto"/>
                <w:sz w:val="24"/>
                <w:szCs w:val="24"/>
                <w:highlight w:val="none"/>
                <w:lang w:eastAsia="zh-CN"/>
              </w:rPr>
              <w:t>是否接受进口产品</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r>
              <w:rPr>
                <w:rFonts w:hint="eastAsia" w:ascii="宋体" w:hAnsi="宋体" w:eastAsia="宋体" w:cs="宋体"/>
                <w:b/>
                <w:bCs/>
                <w:color w:val="auto"/>
                <w:sz w:val="24"/>
                <w:szCs w:val="24"/>
                <w:highlight w:val="none"/>
                <w:lang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摄像机-枪机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FF0000"/>
                <w:kern w:val="0"/>
                <w:sz w:val="20"/>
                <w:szCs w:val="20"/>
                <w:u w:val="none"/>
                <w:lang w:val="en-US" w:eastAsia="zh-CN" w:bidi="ar"/>
              </w:rPr>
            </w:pPr>
            <w:r>
              <w:rPr>
                <w:rFonts w:hint="eastAsia" w:ascii="宋体" w:hAnsi="宋体" w:cs="宋体"/>
                <w:b/>
                <w:bCs/>
                <w:i w:val="0"/>
                <w:iCs w:val="0"/>
                <w:color w:val="auto"/>
                <w:kern w:val="0"/>
                <w:sz w:val="20"/>
                <w:szCs w:val="20"/>
                <w:u w:val="none"/>
                <w:lang w:val="en-US" w:eastAsia="zh-CN" w:bidi="ar"/>
              </w:rPr>
              <w:t>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摄像机-半球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47</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摄像机-球机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24</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39"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摄像机-枪球一体机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5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接入交换机1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38</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6</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接入交换机2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20</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1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7</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汇聚交换机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6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8</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核心交换机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23"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9</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录像机1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6"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10</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录像机2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4"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11</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监控硬盘</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41"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存储服务器</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r>
              <w:rPr>
                <w:rFonts w:hint="eastAsia" w:ascii="宋体" w:hAnsi="宋体" w:cs="宋体"/>
                <w:b/>
                <w:bCs/>
                <w:i w:val="0"/>
                <w:iCs w:val="0"/>
                <w:color w:val="auto"/>
                <w:kern w:val="0"/>
                <w:sz w:val="20"/>
                <w:szCs w:val="20"/>
                <w:u w:val="none"/>
                <w:lang w:val="en-US" w:eastAsia="zh-CN" w:bidi="ar"/>
              </w:rPr>
              <w:t>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6"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13</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综合安防管理平台</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7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14</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平台管理单元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6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网上巡查流媒体输出分发平台</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16"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解码器1</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23"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17</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解码器2</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93"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18</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网络键盘</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19</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管理终端</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17"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拼接屏</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块</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auto"/>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55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21</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22"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相关辅材配件</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80" w:hRule="atLeast"/>
        </w:trPr>
        <w:tc>
          <w:tcPr>
            <w:tcW w:w="93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23</w:t>
            </w:r>
          </w:p>
        </w:tc>
        <w:tc>
          <w:tcPr>
            <w:tcW w:w="3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其它集成安装服务</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0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批</w:t>
            </w:r>
          </w:p>
        </w:tc>
        <w:tc>
          <w:tcPr>
            <w:tcW w:w="14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color w:val="auto"/>
                <w:sz w:val="24"/>
                <w:szCs w:val="24"/>
                <w:highlight w:val="none"/>
                <w:lang w:val="en-US" w:eastAsia="zh-CN"/>
              </w:rPr>
              <w:t>否</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pPr>
        <w:spacing w:line="360" w:lineRule="auto"/>
        <w:jc w:val="center"/>
        <w:rPr>
          <w:rFonts w:hint="eastAsia" w:eastAsia="宋体"/>
          <w:b/>
          <w:bCs/>
          <w:sz w:val="32"/>
          <w:szCs w:val="32"/>
          <w:lang w:eastAsia="zh-CN"/>
        </w:rPr>
      </w:pPr>
      <w:r>
        <w:rPr>
          <w:rFonts w:hint="eastAsia"/>
          <w:b/>
          <w:bCs/>
          <w:sz w:val="32"/>
          <w:szCs w:val="32"/>
          <w:lang w:eastAsia="zh-CN"/>
        </w:rPr>
        <w:t>二．技术要求</w:t>
      </w:r>
    </w:p>
    <w:p>
      <w:pPr>
        <w:pStyle w:val="2"/>
        <w:rPr>
          <w:rFonts w:hint="eastAsia"/>
          <w:lang w:val="en-US" w:eastAsia="zh-CN"/>
        </w:rPr>
      </w:pPr>
    </w:p>
    <w:tbl>
      <w:tblPr>
        <w:tblStyle w:val="41"/>
        <w:tblW w:w="937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5"/>
        <w:gridCol w:w="1476"/>
        <w:gridCol w:w="5991"/>
        <w:gridCol w:w="675"/>
        <w:gridCol w:w="6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参数</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数量</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5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摄像机-枪机（★）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1、传感器类型：1/1.8"Progressive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2、最低照度：彩色≤0.0005 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3、宽动态：≥120dB；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4、焦距：2.8mm～8mm可选；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5、补光距离：≥30m；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7、补光灯类型：柔光灯；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8、图像尺寸：≥2560×1440；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9、视频压缩标准：主码流支持H.265/H.264，支持超级智能编码，子码流支持H.265/H.264/MJPEG，第三码流支持H.265/H.264；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10、音频：≥1路内置麦克风，≥1路内置扬声器；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11、网络：≥1个RJ45 10M/100M自适应以太网口；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12、恢复出厂设置：支持；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13、启动和工作温湿度：-30°C~60°C，湿度小于95%（无凝结）；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14、供电方式：支持DC12V±25%，支持防反接保护，支持PoE供电。</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260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3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摄像机-半球（★）</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1、传感器类型：1/1.8"Progressive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2、最低照度：彩色≤0.0005 Lux；</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3、宽动态：≥120dB；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4、焦距：2.8mm～8mm可选；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5、补光距离：≥30m；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6、防补光过曝：支持；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7、补光灯类型：柔光灯；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8、图像尺寸：≥2560×1440；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9、视频压缩标准：主码流支持H.265/H.264，支持超级智能编码，子码流支持H.265/H.264/MJPEG，第三码流支持H.265/H.264；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10、音频：≥1路内置麦克风，≥1路内置扬声器；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11、网络：≥1个RJ45 10M/100M自适应以太网口；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12、恢复出厂设置：支持；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13、启动和工作温湿度：-30°C~60°C，湿度小于95%（无凝结）；</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14、供电方式：支持DC12V±25%，支持防反接保护，支持PoE供电。</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47</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0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摄像机-球机（★）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1、传感器类型：1/2.7＂progressive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2、最低照度：彩色≤0.05Lux@(F1.5，AGC ON)；黑白≤0.005Lux@(F1.5，AGC ON)；0Lux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3、宽动态：支持真宽动态；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4、焦距：2.8~12mm，至少4倍光学变倍；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5、补光灯距离：≥30m；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6、水平范围：水平≥350°；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7、垂直范围：垂直0°-90°；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8、水平速度：水平键控速度：0.1°-40°/s,速度可设；水平预置点速度：≥40°/s；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9、垂直速度：垂直键控速度：0.1°-40°/s,速度可设；垂直预置点速度：≥40°/s；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10、主码流帧率分辨率至少包含：50Hz:25fps(2560×1440,1920×1080,1280×960,1280×720),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60Hz:30fps(2560×1440,1920×1080,1280×960,1280×720)；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11、视频压缩标准：至少支持H.265,H.264,MJPEG；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12、网络接口：≥1个RJ45网口；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13、扩展：内置Micro SD卡插槽，支持≥512G Micro SD/Micro SDHC/Micro SDXC卡；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14、报警：≥1路报警输入、≥1路报警输出；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15、音频：支持麦克风和对讲功能，≥1路音频输入，≥1路音频输出；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16、供电方式：支持DC12V和PoE(802.3at)供电。</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24</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957"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摄像机-枪球一体机（★）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1、传感器类型：【全景】1/1.8＂progressive scan CMOS,【细节】1/2.8" progressive scan CMOS；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2、最低照度：【全景】彩色≤0.0005Lux@（F1.0，AGC ON），0Lux with Light；【细节】彩色≤0.005Lux@（F1.6，AGC ON），黑白≤0.001Lux@（F1.6，AGC ON），0Lux with IR；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3、焦距：【全景】≤4mm；【细节】4.8mm~110mm，≥23倍光学变倍；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4、视场角：【全景】水平视场角≥88.7°，垂直视场角≥44.7°，对角视场角≥105°；【细节】水平视场角55°~2.7°（广角~望远），垂直视场角：33°~1.5°（广角~望远），对角视场角61.5°~3.1°（广角~望远）；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5、补光灯距离：【全景】≥30m，【细节】≥150m；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6、水平范围：360°；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7、垂直范围：-15°-90°(自动翻转)；</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8、水平速度：水平键控速度：0.1°-160°/s,速度可设；水平预置点速度：≥240°/s；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9、垂直速度：垂直键控速度：0.1°-120°/s,速度可设；垂直预置点速度：≥200°/s；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主码流帧率分辨率至少包含：【全景】50Hz：25fps（2560×1440，1920×1080，1280×960，1280×720），60Hz：30fps（2560×1440，1920×1080，1280×960，1280×720），【细节】50Hz：25fps（2560×1440，1920×1080，1280×960，1280×720），60Hz：30fps（2560×1440，1920×1080，1280×960，1280×720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11、视频压缩标准：至少支持H.265/H.264/MJPEG；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12、宽动态：支持真宽动态；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13、音频：≥1路内置麦克风，≥1路音频输入，≥1路音频输出；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14、报警：≥2路报警输入，≥1路报警输出；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15、网络接口：≥1路RJ45网口；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16、扩展：内置Micro SD卡插槽，支持≥512GB Micro SD/Micro SDHC/Micro SDXC卡；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17、供电方式：DC36V±25%；</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18、工作温度：-30℃-65℃。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614"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5</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接入交换机1</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1、端口：≥8个千兆PoE电口+2个千兆光口；</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2、浪涌防护：支持≥6kV防浪涌（PoE口）；</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3、整机功耗：≤120W；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4、整机供电功率：≥110W；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5、端口供电功率：≥30W；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 xml:space="preserve">6、支持VLAN；支持链路聚合；支持终端安全防护；支持风暴控制；支持端口统计；支持流量控制；支持所有端口收、发方向限速；支持SNMP；支持端口隔离；支持STP/RSTP；支持端口镜像；支持LLDP协议；支持SSH；支持PoE看门狗；支持MAC地址表获取；支持拓扑页面展示；支持端口通断告警、PoE_MAX告警、PoE通断告警；支持远程升级、默认参数恢复、日志查看、基本网络参数配置。 </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7、交换容量：≥20Gbps；</w:t>
            </w:r>
          </w:p>
          <w:p>
            <w:pPr>
              <w:keepNext w:val="0"/>
              <w:keepLines w:val="0"/>
              <w:widowControl/>
              <w:suppressLineNumbers w:val="0"/>
              <w:jc w:val="left"/>
              <w:textAlignment w:val="top"/>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8、包转发率：≥14.88Mpps。</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38</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接入交换机2</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1、端口：≥24个千兆PoE电口+2个千兆光口；</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2、整机功耗：≤400W；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3、浪涌防护：支持≥6kV防浪涌（PoE口）；</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4、端口供电功率：≥30W；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5、整机供电功率：≥370W；</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 xml:space="preserve">6、支持VLAN；支持链路聚合；支持终端安全防护；支持风暴控制；支持端口统计；支持流量控制；支持所有端口收、发方向限速；支持SNMP；支持端口隔离；支持STP/RSTP；支持端口镜像；支持LLDP协议；支持SSH；支持PoE看门狗；支持MAC地址表获取；支持拓扑页面展示；支持端口通断告警、PoE_MAX告警、PoE通断告警；支持远程升级、默认参数恢复、日志查看、基本网络参数配置。 </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7、交换容量：≥20Gbps；</w:t>
            </w:r>
          </w:p>
          <w:p>
            <w:pPr>
              <w:keepNext w:val="0"/>
              <w:keepLines w:val="0"/>
              <w:widowControl/>
              <w:suppressLineNumbers w:val="0"/>
              <w:jc w:val="left"/>
              <w:textAlignment w:val="top"/>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8、包转发率：≥14.88Mpps。</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8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汇聚交换机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1、交换容量：≥336Gbps/3.36Tbps；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2、包转发率：≥126Mpps；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3、端口：≥24个100/1000Base-X SFP光口（≥8个Combo口），≥4个10G/1G BASE-X SFP+万兆光口；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4、流量控制：支持IEEE802.3x流控（全双工）。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设备功能：支持基于端口带宽百分比的广播风暴抑制；支持LACP；支持8个端口聚合组；支持端口镜像；支持流镜像；支持QoS；支持802.1p/DSCP；支持队列调度机制；支持优先级标记；支持基于流的包过滤；支持基于流的流量统计；支持基于流的限速；每个端口支持8个输出队列；支持基于端口的VLAN；支持STP/RSTP/MSTP；支持端口隔离；支持ARP入侵检测功能；支持IP+端口的绑定、IP+MAC的绑定、端口+MAC的绑定、IP+MAC+端口的绑定功能；支持防Dos攻击；支持CPU保护；支持用户分级管理和口令保护；支持IEEE802.1X认证/集中MAC地址认证。</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核心交换机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1、交换容量：≥38.4Tbps；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2、业务槽位数量：≥3位；</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3、包转发率：≥7200Mpps；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4、端口数：≥24个千兆电口、≥24个千兆光口、≥2个万兆光口；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5、整机最大功耗：≤350W；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6、设备功能：支持4K VLAN；支持基于端口的VLAN；支持基于MAC的VLAN；支持VOICE VLAN；支持私有VLAN；支持QinQ；支持IEEE802.3ad LACP、静态链路聚合；支持IGMP Snooping；支持STP/RSTP/MSTP；支持环路检测；支持风暴控制；支持流量抑制。</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37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9</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录像机1</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1、存储接口：≥4个SATA接口；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2、视频接口：≥2路HDMI接口、≥2路VGA接口；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3、网络接口：≥2路RJ45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4、反向供电：支持≥1路DC12V1A反向供电；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6、USB接口：≥2路USB2.0、1路USB3.0接口；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7、扩展接口：≥1路eSATA接口；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8、输入带宽：≥256Mbps；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9、输出带宽：≥160Mbps；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10、接入能力：支持至少16路H.264、H.265格式高清码流接入；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11、解码能力：支持16×1080P解码；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12、显示能力：支持4K+1080P异源输出。</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0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录像机2</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1、存储接口：≥9个SATA接口；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2、视频接口：≥2路HDMI接口、≥2路VGA接口；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3、网络接口：≥2路RJ45 10/100/1000Mbps自适应以太网口；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4、报警接口：≥16路报警输入，≥9路报警输出（其中至少有1路要支持CTRL 12V）；</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5、反向供电：支持≥1路DC12V1A反向供电；</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6、串行接口：≥1路RS-232接口、≥1路全双工RS-485接口；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7、USB接口：≥2路USB2.0接口、1路USB3.0接口；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8、扩展接口：≥1路eSATA接口；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9、输入带宽：≥256Mbps；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10、输出带宽：≥160Mbps；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11、接入能力：支持至少32路H.264、H.265格式高清码流接入；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12、解码能力：支持16×1080P解码；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13、显示能力：支持4K+1080P异源输出。</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6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监控硬盘</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1、标称容量：≥8TB；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2、外形规格：3.5-inch；</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3、接口类型：SATA；</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4、刻录技术：CMR；</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5、转速：≥5400RPM；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6、缓存：≥256MB；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7、读取速度：≥215MB/s；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8、接口传输速率：≥6.0Gb/s；</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9、年负荷（TB/年）：≥180TB；</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10、工作状态温度(°C)：0-65℃。</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6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kern w:val="0"/>
                <w:sz w:val="21"/>
                <w:szCs w:val="21"/>
                <w:u w:val="none"/>
                <w:lang w:val="en-US" w:eastAsia="zh-CN" w:bidi="ar"/>
              </w:rPr>
            </w:pPr>
            <w:bookmarkStart w:id="337" w:name="OLE_LINK6"/>
            <w:r>
              <w:rPr>
                <w:rFonts w:hint="eastAsia" w:ascii="宋体" w:hAnsi="宋体" w:eastAsia="宋体" w:cs="宋体"/>
                <w:i w:val="0"/>
                <w:iCs w:val="0"/>
                <w:color w:val="FF0000"/>
                <w:kern w:val="0"/>
                <w:sz w:val="21"/>
                <w:szCs w:val="21"/>
                <w:u w:val="none"/>
                <w:lang w:val="en-US" w:eastAsia="zh-CN" w:bidi="ar"/>
              </w:rPr>
              <w:t>存储服务器（★）</w:t>
            </w:r>
            <w:bookmarkEnd w:id="337"/>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1、处理器：≥1颗64位多核处理器；</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2、系统内存：≥24GB（可扩展至64GB）；</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3、系统盘：≥240GB SSD；</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4、数据盘：≥960GB SSD；</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5、存储接口：≥24个SATA接口，支持硬盘热插拔，内置至少16块≥12TB企业级硬盘；</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6、网络接口：≥4个2.5G数据网口，≥1个千兆管理口；</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7、其他接口：≥1路COM口，≥2路USB2.0（前置），≥2路USB3.0（后置），≥1路VGA接口（前置），≥1路HDMI接口（后置）；</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8、整机电源：≥800W，1+1冗余电源；</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9、以文搜图：支持≥550路以文搜图IPC摄像机；</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10、检索数量：≥350W/天；</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11、视频性能：支持接入≥550路、接入带宽≥1375Mbps；</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12、图片性能：支持≥50张/S（单张图片≥500KB）；</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13、回放性能：支持≥55路2Mbps同时回放；</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14、事件录像：支持≥200路2Mbps事件录像；</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15、前端接入能力：支持接入智能相机、结构化相机、抓拍机，支持对图片中的目标进行多模态大模型建模；</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16、大模型图文建模：内置大模型算法引擎，支持对目标图像和自然语言的多模态大模型建模，建立目标图像和自然语言的对应关系；</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17、大模型以文搜图：内置图文搜索引擎，支持开放式语义检索，输入文字描述即可查找人、车、非机动车及附属物等目标；</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18、设备其它功能：支持视频流、图片直写；支持ONVIF、GB/T28181、RTSP等标准协议；支持VRAID、RAID0、1、5、6、10等多种RAID模式；支持全局热备局部重构、原盘或其克隆盘拔出设备后再插回、未被覆盖数据可快速恢复；支持定时录像、事件录像、手动录像等多种录像方式；支持视频检索功能，按照监控点编号、录像类型、时间组合等条件查询；支持视频回放功能，正序回放、定位回放、倍速回放等功能。</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4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综合安防管理平台</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1、支持管理组织数≥5万个，组织层级≥20级；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2、支持管理区域数≥5万个，区域层级≥20级；</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3、支持管理人员数量≥100万；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4、支持管理卡片数量≥100万；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5、支持管理最大数量≥3万；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6、支持用户数量≥20万，在线用户数≥1万个，并发登录用户数≥500个；</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7、支持事件并发处理≥500条/秒；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8、支持联动上墙并发1次/秒；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9、支持每秒联动≥100个不同的视频点位进行抓图；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10、支持每秒联动≥100个不同的视频点位进行录像；</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11、支持联动并发邮件≥2封/秒；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12、支持短信联动；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13、支持事件存储≥7200万条；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14、支持视频实时预览能力，实现预览窗口布局切换、预览画面自适应及全屏切换；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15、支持云台控制、实时抓图、紧急录像、即时回放、主子码流切换、声音开启\关闭、辅屏预览、对讲、广播、报警输出控制的能力；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16、支持智能规则展示的能力；</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17、支持资源视图管理能力，以视图形式管理监控点、视频预览轮巡等自定义资源组，其中视图类型包含公有视图和私有视图；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18、支持全景视频监控预览能力。</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384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14</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平台管理单元（★）</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1、CPU：配置1颗C86架构国产处理器，核数≥16核，线程数≥32，频率≥2.8GHz，TDP≥135W，末级缓存容量≥32MB，支持内存的最高速率≥5200MHz；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2、内存：≥64G DDR5，≥4根内存插槽；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3、硬盘：≥2块1.2T SAS盘，前置最大可选支持12块3.5寸(兼容2.5寸)热插拔SATA/SAS硬盘，后置最大可选支持2块2.5寸热插拔SATA/SAS硬盘；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4、阵列卡：≥1块SAS+HBA卡(支持RAID0/1/10)；</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5、PCIE扩展：支持≥4个PCIe4.0扩展插槽；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6、网口：≥2个千兆电口，支持选配10GbE、25GbE SFP+等多种网络接口；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7、其他接口：≥1个千兆RJ-45管理接口；≥2个VGA接口，≥1个位于机箱后部、≥1个位于机箱前部；≥5个USB接口，≥2个位于机箱后部，≥2个位于机箱前部，≥1个位于机箱内部；机箱前部≥1个Type-C Debug接口；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8、电源：≥550W（1+1）高效CRPS冗余白金电源。</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65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网上巡查流媒体输出分发平台（★）</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平台功能：可将巡查摄像机视频安全共享到教学及其他平台，支持转码输出RTSP视频流，同时支持RTSP、ONVIF协议的前端摄像机接入，具备全平台视频观看能力，支持WebRTC、RTMP、HLS、HTTP-FLV、Websocket-FLV、RTSP分发。单台支持≥128路视频接入。本平台只负责协议转换，不改变或者降低原来摄像机的设置，原有的摄像机码率和清晰度不变；</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流媒体及分发能力：支持RTSP、ONVIF等协议的前端摄像机接入；支持提供无插件直播；在同一网络环境下，支持全平台（PC/Android/iOS/微信/H5等）观看；支持WebRTC/RTMP/HLS/HTTP-FLV/WS-FLV/RTSP分发,支持微信扫码观看；支持点播、组播及广播；支持极低延迟的信号转发、媒体流的分发功能；支持视频传输优先级控制；支持网络拥塞控制；多个用户并发访问同一个音视频资源的情况下，为了减轻视频编码设备的压力和节约网络带宽，通过视频转发模块与视频编码设备建立单路连接，然后采用组播、分发或广播的方式将音视频流转发给用户；单台设备视频分发能力支持≥128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3、前端设备控制能力：支持云台控制，焦距缩放；支持视频码率、传输协议等参数配置；</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4、硬件参数：1U机架式服务器；配置1颗国产≥8核处理器，频率≥2.8GHz；配置≥32GB DDR4内存；≥块40G SSD硬盘；支持≥4块3.5寸（兼容2.5寸)热插拔SAS/SATA硬盘，单盘位最大支持12TB；具有≥1个千兆网口；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5、软件及操作系统：内置国产正版操作系统，内置“网上巡查流媒体输出分发平台软件”。</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81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16</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解码器1</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1、支持网络IPC、NVR等设备类型作为网络信号源输入；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2、支持HDMI1.4视频信号输出，支持4K分辨率超高清输出；支持对接LED显示系统，视频输出最大的LED带载能力为单口260W；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3、至少支持两种音频输出方式：HDMI内嵌音频和外置音频输出；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4、支持H.264/H.265编码标准，支持子码流及主码流编码；</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5、支持网络设备解码，支持H.264、H.265、Smart264、Smart265、MJPEG等主流码流格式，支持PS、TS、ES、RTP等主流封装格式，支持子码流及主码流切换；</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6、具备≥160个解码通道，支持≥80路200W，或≥160路720P视频同时解码上墙；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7、支持加密码流、多轨码流、智能码流解码；支持码流修改和切换；支持解码异常提示；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8、支持单面电视墙拼接、开窗、窗口跨屏漫游、场景轮巡和窗口轮巡功能，单屏支持至少4个1080P或2个4K图层，单窗口支持1/4/6/8/9/16/25/36窗口分屏功能，整机最大支持64个场景，整机最大支持256个平台预案轮巡组；</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9、支持RTP\RTSP协议进行网络源预览，可通过客户端进行桌面投屏上墙；</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10、支持电视墙界面对网络信号源云台自动扫描、光圈、调焦、聚焦、调用预置点等操作；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11、支持电视墙窗口开始/停止预览、开始/停止解码、开始/停止轮巡、打开/关闭声音、置顶、置底等操作；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12、视频解码格式：H.264，H.265，Smart264，Smart265，MJPEG等；</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13、解码分辨率：≥3200万像素；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14、视频解码通道：≥160路；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15、单口画面分割数：1,2,4,6,8,9,12,16,25,36；</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16、场景数量：≥64；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17、视频输出分辨率：3840×2160@30Hz及向下兼容；</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18、视频输出接口类型：至少10路HDMI1.4，支持4K。</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72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17</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解码器2</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1、支持电脑、视频会议终端等视频输入信号源，支持至少2路1080P@50/60或1路4K@30，通过HDMI1.4本地输入，HDMI可内嵌音频；</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2、支持网络IPC、NVR等设备类型作为网络信号源输入；</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3、支持HDMI1.4视频信号输出，支持4K分辨率输出；支持对接LED显示系统，视频输出最大的LED带载能力为单口260万；</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4、支持两种音频输出方式：HDMI内嵌音频和外置音频输出；</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5、支持H.264/H.265编码标准，支持子码流及主码流编码；</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6、支持网络设备解码，支持H.264、H.265、Smart264、Smart265、MJPEG等主流码流格式，支持PS、TS、ES、RTP等主流封装格式，支持子码流及主码流切换；</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7、支持≥3200万分辨率解码，具备≥256个解码通道，支持≥128路200万或≥256路720P视频同时解码上墙；</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8、支持加密码流、多轨码流、智能码流解码；支持码流修改和切换；支持解码异常提示；</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9、支持单面电视墙拼接、开窗、窗口跨屏漫游、场景轮巡和窗口轮巡功能，单屏支持至少4个1080P或2个4K图层，单窗口支持1/4/6/8/9/16/25/36窗口分屏功能，整机最大支持64个场景，整机支持256个平台预案轮巡组；</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10、支持RTP\RTSP协议进行网络源预览，可通过客户端进行桌面投屏上墙；</w:t>
            </w:r>
          </w:p>
          <w:p>
            <w:pPr>
              <w:keepNext w:val="0"/>
              <w:keepLines w:val="0"/>
              <w:widowControl/>
              <w:suppressLineNumbers w:val="0"/>
              <w:jc w:val="left"/>
              <w:textAlignment w:val="top"/>
              <w:rPr>
                <w:rFonts w:hint="eastAsia" w:ascii="宋体" w:hAnsi="宋体" w:eastAsia="宋体" w:cs="宋体"/>
                <w:i w:val="0"/>
                <w:iCs w:val="0"/>
                <w:color w:val="FF0000"/>
                <w:kern w:val="0"/>
                <w:sz w:val="21"/>
                <w:szCs w:val="21"/>
                <w:u w:val="none"/>
                <w:lang w:val="en-US" w:eastAsia="zh-CN" w:bidi="ar"/>
              </w:rPr>
            </w:pPr>
            <w:r>
              <w:rPr>
                <w:rFonts w:hint="eastAsia" w:ascii="宋体" w:hAnsi="宋体" w:eastAsia="宋体" w:cs="宋体"/>
                <w:i w:val="0"/>
                <w:iCs w:val="0"/>
                <w:color w:val="FF0000"/>
                <w:kern w:val="0"/>
                <w:sz w:val="21"/>
                <w:szCs w:val="21"/>
                <w:u w:val="none"/>
                <w:lang w:val="en-US" w:eastAsia="zh-CN" w:bidi="ar"/>
              </w:rPr>
              <w:t>11、支持电视墙界面对网络信号源云台自动扫描、光圈、调焦、聚焦、调用预置点等操作；</w:t>
            </w:r>
          </w:p>
          <w:p>
            <w:pPr>
              <w:keepNext w:val="0"/>
              <w:keepLines w:val="0"/>
              <w:widowControl/>
              <w:suppressLineNumbers w:val="0"/>
              <w:jc w:val="left"/>
              <w:textAlignment w:val="top"/>
              <w:rPr>
                <w:rFonts w:hint="eastAsia" w:ascii="宋体" w:hAnsi="宋体" w:eastAsia="宋体" w:cs="宋体"/>
                <w:i w:val="0"/>
                <w:iCs w:val="0"/>
                <w:color w:val="FF0000"/>
                <w:sz w:val="21"/>
                <w:szCs w:val="21"/>
                <w:u w:val="none"/>
              </w:rPr>
            </w:pPr>
            <w:r>
              <w:rPr>
                <w:rFonts w:hint="eastAsia" w:ascii="宋体" w:hAnsi="宋体" w:eastAsia="宋体" w:cs="宋体"/>
                <w:i w:val="0"/>
                <w:iCs w:val="0"/>
                <w:color w:val="FF0000"/>
                <w:kern w:val="0"/>
                <w:sz w:val="21"/>
                <w:szCs w:val="21"/>
                <w:u w:val="none"/>
                <w:lang w:val="en-US" w:eastAsia="zh-CN" w:bidi="ar"/>
              </w:rPr>
              <w:t>12、支持电视墙窗口开始/停止预览、开始/停止解码、开始/停止轮巡、打开/关闭声音、置顶、置底等操作。</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56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18</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网络键盘</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1、支持网络方式接入摄像机等设备；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2、支持在触控屏上预览图像或通过HDMI/DVI将图像投到外接显示屏上；</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3、支持控制视频综合平台、解码器、多屏控制器或NVR&amp;解码上墙一体机，直观展示电视墙布局；</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4、支持云台控制，支持预置点、巡航设置与调用；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5、支持回放硬盘录像机上的录像文件，支持控制解码器回放；</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6、支持抓图、录像功能，文件保存至U盘或上传至FTP服务器；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7、支持添加≥8000台设备；</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8、支持通过excel批量添加点位，借助U盘导入；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9、两级用户权限，支持≥32个用户 ，1个admin管理员用户和≥31个操作员用户；</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10、支持U盘升级及导入/导出配置文件；</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11、支持接入综合安防平台；</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12、支持语音识别，通过指定的语音指令实现快捷切换操作；</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13、显示屏：≥10.1英寸TFT LCD。</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408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19</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管理终端</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1、处理器：配备1颗国产C86、≥8核/≥8线程/主频≥2.7 GHz；</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2、内存：≥16GB DDR4；</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3、硬盘：≥512G SSD；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4、显卡：≥4G独立显卡，支持HDMI+VGA输出；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5、电源：≥450W；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6、键鼠：USB有线键鼠；</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7、显示器：≥23.8英寸，支持HDMI+GA输入；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8、操作系统：国产正版操作系统； </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9、USB接口：前置≥2个USB3.0,≥2个USB2.0接口，后置≥4个USB3.0,≥2个USB2.0接口；</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10、音频接口：前置≥1个Mic in，≥1个headphone out；后置≥1个line in，≥1个line out，≥1个Mic in；</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11、网络接口：≥1个RJ45 1000兆以太网口（10M/100M/1000M自适应），支持网络唤醒；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12、其他接口：≥1个RS232串口。</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52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拼接屏</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1.LCD显示单元为55“超窄边液晶屏；单元物理拼缝≤3.5mm，物理分辨率至少达到1920×1080，对比度至少达到1000：1。</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2.LCD显示单元响应时间≤8ms，显示色彩≥16.7M，亮度≥500cd/㎡，图像显示清晰度≥1000TVL。</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3.内置MPEG、JPEG和Real media解码器，支持点播U盘、移动硬盘中的视频、图片、音频或文本资源。</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4.屏幕支持防灼烧功能。</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5.具备智能温控功能，当屏幕温度在55-60℃之间时，会提醒用户温度过高，请及时通风；当温度超过60℃，屏幕会立即进入休眠状态；等温度降至50℃以下会被唤醒或者通过遥控器主动唤醒。</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6.支持4比3、16比9、点对点等比例显示。</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7.内置智能系统，可快速读取显示屏信息，包括屏幕背光源、亮度、对比度、分辨率等基本信息。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8.支持通过客户端和软件控制屏幕，不需要遥控器的接入，实现遥控器的所有功能。                                    9.可通过客户端或菜单设置屏幕ID，ID属性包含行、列，实现自动分配ID。</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10.支持不断电待机功能，当无任何信号输入时，设备在规定时间内自动待机节能，当有信号接入时，设备能快速开机，正常显示，待机功耗低于0.5W。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11.含模块化落地支架。</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33"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21</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相机</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1.APS-C画幅，≥4020万像素；机身至少5轴防抖；最高可达8K/30P视频拍摄；机械快门≥15张/秒连拍。     2.镜头等效全画幅24-122mm，覆盖广角到中长焦，F4恒定光圈；至少16片镜片（至少包含3片非球面和1片ED非球面镜片），纳米GI镀膜；≥6档光学防抖（OIS），内对焦+步进马达，最近对焦距离≤35cm，最大放大倍率≥0.25x；镜筒至少10处密封，支持防尘防滴，可在-10°C环境下工作。                                   3.配128G相机内存卡2片，1TB移动硬盘1块。</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8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22</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相关辅材配件</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1、枪机支架：≥230套，铝合金材质，承重≥2KG，支持水平360°、垂直-45°~45°调节；</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2、围墙支架：数量≥30套，铝合金材质，≥1.2米L型壁装支架，承重≥15KG；</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3、球机支架：数量≥16套，铝合金材质，表面做喷塑处理，带有安装调试口，安装方式壁装或吊装；</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4、监控网线：数量≥26250米，超五类及以上国标纯铜8芯线；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5、电源线：数量≥12000米，国标RVV2*1.5纯铜护套线缆；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6、光纤线缆：数量≥6300米，24芯；</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7、复合光纤：数量≥3000米，8芯+RVV2*1.5纯铜电源线；</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8、光纤收发器：数量≥67对，10KM千兆单模；</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9、监视器：数量5台，≥23.8防蓝光、护眼LED，支持HDMI+VGA输入；</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10、服务器机柜：2套，42U服务器专用；</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 xml:space="preserve">11、其它：满足设备安装及实现相应功能的楼层9U壁挂机柜、室外防水机柜、监控立杆、插线排、水晶头、PVC管卡、绝缘胶带、光纤收纳箱、光纤盒、尾纤、操作台等。 </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103"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23</w:t>
            </w:r>
          </w:p>
        </w:tc>
        <w:tc>
          <w:tcPr>
            <w:tcW w:w="147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其它集成安装服务</w:t>
            </w:r>
          </w:p>
        </w:tc>
        <w:tc>
          <w:tcPr>
            <w:tcW w:w="5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对校点前期建设室的486个监控点进行位置更改和并网安装。将拆卸性能正常的旧有摄像机、录相机、解码器、硬盘、网络键盘等设备进行二次安装集成调试。</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6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批</w:t>
            </w:r>
          </w:p>
        </w:tc>
      </w:tr>
    </w:tbl>
    <w:p>
      <w:pPr>
        <w:numPr>
          <w:ilvl w:val="0"/>
          <w:numId w:val="0"/>
        </w:numPr>
        <w:spacing w:line="440" w:lineRule="exact"/>
        <w:ind w:leftChars="1300"/>
        <w:jc w:val="both"/>
        <w:outlineLvl w:val="1"/>
        <w:rPr>
          <w:rFonts w:hint="eastAsia" w:ascii="宋体" w:hAnsi="宋体" w:cs="宋体"/>
          <w:b/>
          <w:bCs/>
          <w:color w:val="auto"/>
          <w:sz w:val="30"/>
          <w:szCs w:val="30"/>
          <w:highlight w:val="none"/>
          <w:lang w:val="en-US" w:eastAsia="zh-CN"/>
        </w:rPr>
      </w:pPr>
    </w:p>
    <w:p>
      <w:pPr>
        <w:numPr>
          <w:ilvl w:val="0"/>
          <w:numId w:val="0"/>
        </w:numPr>
        <w:spacing w:line="440" w:lineRule="exact"/>
        <w:ind w:leftChars="1300" w:firstLine="904" w:firstLineChars="300"/>
        <w:jc w:val="both"/>
        <w:outlineLvl w:val="1"/>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三、</w:t>
      </w:r>
      <w:r>
        <w:rPr>
          <w:rFonts w:hint="eastAsia" w:ascii="宋体" w:hAnsi="宋体" w:eastAsia="宋体" w:cs="宋体"/>
          <w:b/>
          <w:bCs/>
          <w:color w:val="auto"/>
          <w:sz w:val="30"/>
          <w:szCs w:val="30"/>
          <w:highlight w:val="none"/>
          <w:lang w:val="en-US" w:eastAsia="zh-CN"/>
        </w:rPr>
        <w:t>商务需求</w:t>
      </w:r>
    </w:p>
    <w:p>
      <w:pPr>
        <w:numPr>
          <w:ilvl w:val="0"/>
          <w:numId w:val="0"/>
        </w:numPr>
        <w:spacing w:line="440" w:lineRule="exact"/>
        <w:ind w:firstLine="480" w:firstLineChars="200"/>
        <w:jc w:val="both"/>
        <w:outlineLvl w:val="1"/>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eastAsia="zh-CN"/>
        </w:rPr>
        <w:t>合同履行期限</w:t>
      </w:r>
      <w:r>
        <w:rPr>
          <w:rFonts w:hint="eastAsia" w:ascii="宋体" w:hAnsi="宋体" w:cs="宋体"/>
          <w:color w:val="auto"/>
          <w:sz w:val="24"/>
          <w:highlight w:val="none"/>
          <w:lang w:val="en-US" w:eastAsia="zh-CN"/>
        </w:rPr>
        <w:t>：</w:t>
      </w:r>
      <w:r>
        <w:rPr>
          <w:rFonts w:hint="eastAsia" w:asciiTheme="minorEastAsia" w:hAnsiTheme="minorEastAsia" w:eastAsiaTheme="minorEastAsia" w:cstheme="minorEastAsia"/>
          <w:color w:val="auto"/>
          <w:sz w:val="24"/>
          <w:szCs w:val="24"/>
          <w:highlight w:val="none"/>
          <w:lang w:val="en-US" w:eastAsia="zh-CN"/>
        </w:rPr>
        <w:t>签订合同后30个日历天内安装完成</w:t>
      </w:r>
      <w:r>
        <w:rPr>
          <w:rFonts w:hint="eastAsia" w:asciiTheme="minorEastAsia" w:hAnsiTheme="minorEastAsia" w:eastAsiaTheme="minorEastAsia" w:cstheme="minorEastAsia"/>
          <w:color w:val="auto"/>
          <w:sz w:val="24"/>
          <w:szCs w:val="24"/>
          <w:highlight w:val="none"/>
          <w:lang w:eastAsia="zh-CN"/>
        </w:rPr>
        <w:t>。</w:t>
      </w:r>
    </w:p>
    <w:p>
      <w:pPr>
        <w:keepNext w:val="0"/>
        <w:keepLines w:val="0"/>
        <w:pageBreakBefore w:val="0"/>
        <w:kinsoku/>
        <w:wordWrap/>
        <w:overflowPunct/>
        <w:topLinePunct w:val="0"/>
        <w:autoSpaceDE/>
        <w:autoSpaceDN/>
        <w:bidi w:val="0"/>
        <w:adjustRightInd/>
        <w:spacing w:line="460" w:lineRule="exact"/>
        <w:ind w:right="0"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lang w:eastAsia="zh-CN"/>
        </w:rPr>
        <w:t>合同履行</w:t>
      </w:r>
      <w:r>
        <w:rPr>
          <w:rFonts w:hint="eastAsia" w:ascii="宋体" w:hAnsi="宋体" w:cs="宋体"/>
          <w:color w:val="auto"/>
          <w:sz w:val="24"/>
          <w:highlight w:val="none"/>
          <w:lang w:val="en-US" w:eastAsia="zh-CN"/>
        </w:rPr>
        <w:t>地点：招标人指定地点。</w:t>
      </w:r>
    </w:p>
    <w:p>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3.付款方式：所有货物按规定的日期、地点向招标人交货及安装完毕并验收合格后，招标人根据当地财政部门资金安排，款项拨到招标人账户后的7个工作日内支付货款（合同也照此签订）。</w:t>
      </w:r>
    </w:p>
    <w:p>
      <w:pPr>
        <w:spacing w:line="500" w:lineRule="exact"/>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4.产品要求</w:t>
      </w:r>
    </w:p>
    <w:p>
      <w:pPr>
        <w:keepNext w:val="0"/>
        <w:keepLines w:val="0"/>
        <w:pageBreakBefore w:val="0"/>
        <w:kinsoku/>
        <w:wordWrap/>
        <w:overflowPunct/>
        <w:topLinePunct w:val="0"/>
        <w:autoSpaceDE/>
        <w:autoSpaceDN/>
        <w:bidi w:val="0"/>
        <w:adjustRightInd/>
        <w:spacing w:line="460" w:lineRule="exact"/>
        <w:ind w:right="0" w:firstLine="480" w:firstLineChars="200"/>
        <w:textAlignment w:val="auto"/>
        <w:outlineLvl w:val="9"/>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（1）提供的产品必须是全新的、具有有关部门注册或检验或商检及生产厂家质量合格证明的产品。</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80" w:firstLineChars="200"/>
        <w:textAlignment w:val="auto"/>
        <w:outlineLvl w:val="1"/>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highlight w:val="none"/>
          <w:lang w:val="en-US" w:eastAsia="zh-CN"/>
        </w:rPr>
        <w:t>（2）</w:t>
      </w:r>
      <w:r>
        <w:rPr>
          <w:color w:val="auto"/>
          <w:kern w:val="0"/>
          <w:sz w:val="24"/>
          <w:highlight w:val="none"/>
        </w:rPr>
        <w:t>质保期：</w:t>
      </w:r>
      <w:r>
        <w:rPr>
          <w:rFonts w:hint="eastAsia"/>
          <w:color w:val="auto"/>
          <w:kern w:val="0"/>
          <w:sz w:val="24"/>
          <w:highlight w:val="none"/>
        </w:rPr>
        <w:t>至少</w:t>
      </w:r>
      <w:r>
        <w:rPr>
          <w:rFonts w:hint="eastAsia" w:ascii="宋体" w:hAnsi="宋体" w:cs="宋体"/>
          <w:color w:val="auto"/>
          <w:sz w:val="24"/>
          <w:highlight w:val="none"/>
        </w:rPr>
        <w:t>提供</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年质保</w:t>
      </w:r>
      <w:r>
        <w:rPr>
          <w:color w:val="auto"/>
          <w:kern w:val="0"/>
          <w:sz w:val="24"/>
          <w:highlight w:val="none"/>
        </w:rPr>
        <w:t>，质保期自设备安装验收合格且所有配件、备件齐全之日起计算，质保期内，由于设备本身质量原因造成的任何损坏保证免费负责修理和更换；质保期满后，提供终身维修服务</w:t>
      </w:r>
      <w:r>
        <w:rPr>
          <w:rFonts w:hint="eastAsia"/>
          <w:color w:val="auto"/>
          <w:kern w:val="0"/>
          <w:sz w:val="24"/>
          <w:highlight w:val="none"/>
        </w:rPr>
        <w:t>（</w:t>
      </w:r>
      <w:r>
        <w:rPr>
          <w:rFonts w:hint="eastAsia" w:ascii="宋体" w:hAnsi="宋体" w:cs="宋体"/>
          <w:color w:val="auto"/>
          <w:sz w:val="24"/>
          <w:highlight w:val="none"/>
        </w:rPr>
        <w:t>优价向采购方提供零部件</w:t>
      </w:r>
      <w:r>
        <w:rPr>
          <w:rFonts w:hint="eastAsia"/>
          <w:color w:val="auto"/>
          <w:kern w:val="0"/>
          <w:sz w:val="24"/>
          <w:highlight w:val="none"/>
        </w:rPr>
        <w:t>）</w:t>
      </w:r>
      <w:r>
        <w:rPr>
          <w:color w:val="auto"/>
          <w:kern w:val="0"/>
          <w:sz w:val="24"/>
          <w:highlight w:val="none"/>
        </w:rPr>
        <w:t>；无论质保期内外，用户有应用方面的疑问，都将提供工程师电话解答和现场应用支持，免除费用</w:t>
      </w:r>
      <w:r>
        <w:rPr>
          <w:rFonts w:hint="eastAsia"/>
          <w:color w:val="auto"/>
          <w:kern w:val="0"/>
          <w:sz w:val="24"/>
          <w:highlight w:val="none"/>
          <w:lang w:eastAsia="zh-CN"/>
        </w:rPr>
        <w:t>，</w:t>
      </w:r>
      <w:r>
        <w:rPr>
          <w:rFonts w:hint="eastAsia" w:ascii="宋体" w:hAnsi="宋体" w:eastAsia="宋体" w:cs="宋体"/>
          <w:b w:val="0"/>
          <w:bCs w:val="0"/>
          <w:color w:val="auto"/>
          <w:sz w:val="24"/>
          <w:szCs w:val="24"/>
          <w:highlight w:val="none"/>
          <w:lang w:val="en-US" w:eastAsia="zh-CN"/>
        </w:rPr>
        <w:t>质保期满后，各项服务只收取材料成本费用，免收人工服务费用。</w:t>
      </w:r>
    </w:p>
    <w:p>
      <w:pPr>
        <w:spacing w:line="460" w:lineRule="exact"/>
        <w:ind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highlight w:val="none"/>
          <w:lang w:val="en-US" w:eastAsia="zh-CN"/>
        </w:rPr>
        <w:t>5.质量</w:t>
      </w:r>
      <w:r>
        <w:rPr>
          <w:rFonts w:hint="eastAsia" w:ascii="宋体" w:hAnsi="宋体" w:cs="宋体"/>
          <w:color w:val="auto"/>
          <w:sz w:val="24"/>
          <w:highlight w:val="none"/>
          <w:lang w:val="en-US" w:eastAsia="zh-CN"/>
        </w:rPr>
        <w:t>标准</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szCs w:val="24"/>
          <w:highlight w:val="none"/>
          <w:lang w:eastAsia="zh-CN"/>
        </w:rPr>
        <w:t>符合国家、行业现行相关技术规范、标准，设备安装调试完毕且试运行后，相关功能满足</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eastAsia="zh-CN"/>
        </w:rPr>
        <w:t>的要求。</w:t>
      </w:r>
    </w:p>
    <w:p>
      <w:pPr>
        <w:keepNext w:val="0"/>
        <w:keepLines w:val="0"/>
        <w:pageBreakBefore w:val="0"/>
        <w:widowControl w:val="0"/>
        <w:numPr>
          <w:ilvl w:val="0"/>
          <w:numId w:val="0"/>
        </w:numPr>
        <w:kinsoku/>
        <w:wordWrap/>
        <w:overflowPunct/>
        <w:topLinePunct w:val="0"/>
        <w:autoSpaceDE/>
        <w:autoSpaceDN/>
        <w:bidi w:val="0"/>
        <w:adjustRightInd/>
        <w:snapToGrid/>
        <w:spacing w:before="0" w:after="0" w:line="440" w:lineRule="exact"/>
        <w:ind w:firstLine="480" w:firstLineChars="200"/>
        <w:textAlignment w:val="auto"/>
        <w:outlineLvl w:val="1"/>
        <w:rPr>
          <w:rFonts w:hint="eastAsia" w:asciiTheme="minorEastAsia" w:hAnsiTheme="minorEastAsia" w:eastAsiaTheme="minorEastAsia" w:cstheme="minorEastAsia"/>
          <w:b/>
          <w:caps/>
          <w:color w:val="auto"/>
          <w:sz w:val="36"/>
          <w:szCs w:val="36"/>
          <w:highlight w:val="none"/>
        </w:rPr>
      </w:pPr>
      <w:r>
        <w:rPr>
          <w:rFonts w:hint="eastAsia" w:ascii="Times New Roman" w:hAnsi="Times New Roman" w:eastAsia="宋体" w:cs="Times New Roman"/>
          <w:bCs/>
          <w:color w:val="auto"/>
          <w:kern w:val="0"/>
          <w:sz w:val="24"/>
          <w:highlight w:val="none"/>
          <w:lang w:val="en-US" w:eastAsia="zh-CN"/>
        </w:rPr>
        <w:t>6.设备维护要求：</w:t>
      </w:r>
      <w:r>
        <w:rPr>
          <w:rFonts w:hint="eastAsia"/>
          <w:bCs/>
          <w:color w:val="auto"/>
          <w:kern w:val="0"/>
          <w:sz w:val="24"/>
          <w:highlight w:val="none"/>
          <w:lang w:val="en-US" w:eastAsia="zh-CN"/>
        </w:rPr>
        <w:t>终身负责系统设备的巡检，质保期内一年两次巡检，质保期外一年一次，时间由招标人指定。终身负责系统设备的维修、优化、软件升级服务。</w:t>
      </w:r>
    </w:p>
    <w:p>
      <w:pPr>
        <w:rPr>
          <w:rFonts w:hint="eastAsia"/>
          <w:color w:val="auto"/>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pStyle w:val="3"/>
        <w:tabs>
          <w:tab w:val="left" w:pos="0"/>
        </w:tabs>
        <w:autoSpaceDE w:val="0"/>
        <w:autoSpaceDN w:val="0"/>
        <w:adjustRightInd w:val="0"/>
        <w:spacing w:before="0" w:after="0" w:line="24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第四章 评审办法</w:t>
      </w:r>
      <w:bookmarkEnd w:id="334"/>
      <w:bookmarkEnd w:id="335"/>
    </w:p>
    <w:p>
      <w:pPr>
        <w:rPr>
          <w:rFonts w:hint="eastAsia" w:ascii="宋体" w:hAnsi="宋体" w:eastAsia="宋体" w:cs="宋体"/>
          <w:color w:val="auto"/>
          <w:sz w:val="24"/>
          <w:szCs w:val="24"/>
          <w:highlight w:val="none"/>
        </w:rPr>
      </w:pP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1.根据《中华人民共和国政府采购法》及其实施条例、财政部第94、101号令、《政府采购竞争性磋商采购方式管理暂行办法》等现行相关法律、法规的规定及磋商文件制定本办法。</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2.采购人将根据本次采购项目的性质和特点依法组建磋商小组，磋商小组按照法律、法规的规定，在严格的保密条件下进行评审工作，任何人及单位不得干扰磋商小组的正常工作。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3.评标原则：依照“公平、公正、科学、择优”的原则。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4.评标办法：采用综合评分法。</w:t>
      </w:r>
    </w:p>
    <w:p>
      <w:pPr>
        <w:spacing w:line="480" w:lineRule="exact"/>
        <w:ind w:firstLine="720" w:firstLineChars="3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磋商文件内容违反国家有关强制性规定的，磋商小组应当停止评审并向采购人或者采购代理机构说明情况。评审因素</w:t>
      </w:r>
      <w:r>
        <w:rPr>
          <w:rFonts w:hint="eastAsia" w:ascii="宋体" w:hAnsi="宋体" w:eastAsia="宋体" w:cs="宋体"/>
          <w:color w:val="auto"/>
          <w:sz w:val="24"/>
          <w:szCs w:val="24"/>
          <w:highlight w:val="none"/>
          <w:lang w:eastAsia="zh-CN"/>
        </w:rPr>
        <w:t>为审查要求，评审标准为评审要求说明。</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5.评标程序：初步评审→磋商过程→在规定的时间内提交最后磋商报价→详细评审→综合评估评分。</w:t>
      </w:r>
    </w:p>
    <w:p>
      <w:pPr>
        <w:spacing w:line="480" w:lineRule="exact"/>
        <w:ind w:firstLine="480" w:firstLineChars="200"/>
        <w:rPr>
          <w:rFonts w:hint="eastAsia" w:ascii="宋体" w:hAnsi="宋体" w:eastAsia="宋体" w:cs="宋体"/>
          <w:color w:val="auto"/>
          <w:sz w:val="24"/>
          <w:szCs w:val="24"/>
          <w:highlight w:val="none"/>
          <w:lang w:eastAsia="zh-CN"/>
        </w:rPr>
      </w:pPr>
      <w:bookmarkStart w:id="338" w:name="_Toc26135_WPSOffice_Level3"/>
      <w:bookmarkStart w:id="339" w:name="_Toc32042_WPSOffice_Level3"/>
      <w:bookmarkStart w:id="340" w:name="_Toc20321_WPSOffice_Level3"/>
      <w:r>
        <w:rPr>
          <w:rFonts w:hint="eastAsia" w:ascii="宋体" w:hAnsi="宋体" w:eastAsia="宋体" w:cs="宋体"/>
          <w:color w:val="auto"/>
          <w:sz w:val="24"/>
          <w:szCs w:val="24"/>
          <w:highlight w:val="none"/>
        </w:rPr>
        <w:t>5.1</w:t>
      </w:r>
      <w:bookmarkEnd w:id="338"/>
      <w:bookmarkEnd w:id="339"/>
      <w:bookmarkEnd w:id="340"/>
      <w:r>
        <w:rPr>
          <w:rFonts w:hint="eastAsia" w:ascii="宋体" w:hAnsi="宋体" w:eastAsia="宋体" w:cs="宋体"/>
          <w:color w:val="auto"/>
          <w:sz w:val="24"/>
          <w:szCs w:val="24"/>
          <w:highlight w:val="none"/>
        </w:rPr>
        <w:t>初步评审（分为资格评审、符合性评审）：磋商小组</w:t>
      </w:r>
      <w:r>
        <w:rPr>
          <w:rFonts w:hint="eastAsia" w:ascii="宋体" w:hAnsi="宋体" w:eastAsia="宋体" w:cs="宋体"/>
          <w:color w:val="auto"/>
          <w:sz w:val="24"/>
          <w:szCs w:val="24"/>
          <w:highlight w:val="none"/>
          <w:lang w:eastAsia="zh-CN"/>
        </w:rPr>
        <w:t>根据竞争性磋商文件进行</w:t>
      </w:r>
      <w:r>
        <w:rPr>
          <w:rFonts w:hint="eastAsia" w:ascii="宋体" w:hAnsi="宋体" w:eastAsia="宋体" w:cs="宋体"/>
          <w:color w:val="auto"/>
          <w:sz w:val="24"/>
          <w:szCs w:val="24"/>
          <w:highlight w:val="none"/>
        </w:rPr>
        <w:t>初步评审</w:t>
      </w:r>
      <w:r>
        <w:rPr>
          <w:rFonts w:hint="eastAsia" w:ascii="宋体" w:hAnsi="宋体" w:eastAsia="宋体" w:cs="宋体"/>
          <w:color w:val="auto"/>
          <w:sz w:val="24"/>
          <w:szCs w:val="24"/>
          <w:highlight w:val="none"/>
          <w:lang w:eastAsia="zh-CN"/>
        </w:rPr>
        <w:t>和详细评审，</w:t>
      </w:r>
      <w:r>
        <w:rPr>
          <w:rFonts w:hint="eastAsia" w:ascii="宋体" w:hAnsi="宋体" w:eastAsia="宋体" w:cs="宋体"/>
          <w:color w:val="auto"/>
          <w:sz w:val="24"/>
          <w:szCs w:val="24"/>
          <w:highlight w:val="none"/>
        </w:rPr>
        <w:t>具体内容详见评审标准</w:t>
      </w:r>
      <w:r>
        <w:rPr>
          <w:rFonts w:hint="eastAsia" w:ascii="宋体" w:hAnsi="宋体" w:eastAsia="宋体" w:cs="宋体"/>
          <w:color w:val="auto"/>
          <w:sz w:val="24"/>
          <w:szCs w:val="24"/>
          <w:highlight w:val="none"/>
          <w:lang w:eastAsia="zh-CN"/>
        </w:rPr>
        <w:t>。</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（1）资格评审：未通过资格评审的响应文件应作无效标处理。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（2）符合性评审: 未通过符合性评审的响应文件应作无效标处理。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（3）只有通过初步评审的响应文件才能进入最后磋商报价。</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（4）如果响应文件实质上不响应磋商文件的要求，采购人将予以拒绝，并且不允许通过修正或撤销其不符合要求的差异或保留，使之成为具有响应性的投标。</w:t>
      </w:r>
    </w:p>
    <w:p>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提供相同品牌产品（核心产品）且通过资格审查、符合性审查的不同投标人参加同一合同项下投标的，按一家投标人计算，评审后得分最高的同品牌投标人获得</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人推荐资格；评审得分相同的，按照最有利于采购人利益的原则，由评标委员会综合评定后确定一个投标人获得</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人推荐资格，其他同品牌投标人不作为</w:t>
      </w:r>
      <w:r>
        <w:rPr>
          <w:rFonts w:hint="eastAsia" w:ascii="宋体" w:hAnsi="宋体" w:eastAsia="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rPr>
        <w:t>候选人。</w:t>
      </w:r>
    </w:p>
    <w:p>
      <w:pPr>
        <w:spacing w:line="480" w:lineRule="exact"/>
        <w:ind w:firstLine="480" w:firstLineChars="200"/>
        <w:rPr>
          <w:rFonts w:hint="eastAsia" w:ascii="宋体" w:hAnsi="宋体" w:eastAsia="宋体" w:cs="宋体"/>
          <w:color w:val="auto"/>
          <w:sz w:val="24"/>
          <w:szCs w:val="24"/>
          <w:highlight w:val="none"/>
        </w:rPr>
      </w:pPr>
      <w:bookmarkStart w:id="341" w:name="_Toc18004_WPSOffice_Level3"/>
      <w:bookmarkStart w:id="342" w:name="_Toc31486_WPSOffice_Level3"/>
      <w:bookmarkStart w:id="343" w:name="_Toc713_WPSOffice_Level3"/>
      <w:r>
        <w:rPr>
          <w:rFonts w:hint="eastAsia" w:ascii="宋体" w:hAnsi="宋体" w:eastAsia="宋体" w:cs="宋体"/>
          <w:color w:val="auto"/>
          <w:sz w:val="24"/>
          <w:szCs w:val="24"/>
          <w:highlight w:val="none"/>
        </w:rPr>
        <w:t>5.2</w:t>
      </w:r>
      <w:bookmarkEnd w:id="341"/>
      <w:bookmarkEnd w:id="342"/>
      <w:bookmarkEnd w:id="343"/>
      <w:r>
        <w:rPr>
          <w:rFonts w:hint="eastAsia" w:ascii="宋体" w:hAnsi="宋体" w:eastAsia="宋体" w:cs="宋体"/>
          <w:color w:val="auto"/>
          <w:sz w:val="24"/>
          <w:szCs w:val="24"/>
          <w:highlight w:val="none"/>
        </w:rPr>
        <w:t>磋商报价</w:t>
      </w:r>
    </w:p>
    <w:p>
      <w:pPr>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通过资格审查及符合性审查的磋商申请人才能进入磋商程序并进行第二轮报价，第二轮报价为</w:t>
      </w:r>
      <w:r>
        <w:rPr>
          <w:rFonts w:hint="eastAsia" w:ascii="宋体" w:hAnsi="宋体" w:eastAsia="宋体" w:cs="宋体"/>
          <w:color w:val="auto"/>
          <w:sz w:val="24"/>
          <w:szCs w:val="24"/>
          <w:highlight w:val="none"/>
          <w:lang w:eastAsia="zh-CN"/>
        </w:rPr>
        <w:t>最后磋商报价</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轮报价</w:t>
      </w:r>
      <w:r>
        <w:rPr>
          <w:rFonts w:hint="eastAsia" w:ascii="宋体" w:hAnsi="宋体" w:eastAsia="宋体" w:cs="宋体"/>
          <w:color w:val="auto"/>
          <w:sz w:val="24"/>
          <w:szCs w:val="24"/>
          <w:highlight w:val="none"/>
          <w:lang w:eastAsia="zh-CN"/>
        </w:rPr>
        <w:t>为投标文件中的</w:t>
      </w:r>
      <w:r>
        <w:rPr>
          <w:rFonts w:hint="eastAsia" w:ascii="宋体" w:hAnsi="宋体" w:eastAsia="宋体" w:cs="宋体"/>
          <w:color w:val="auto"/>
          <w:sz w:val="24"/>
          <w:szCs w:val="24"/>
          <w:highlight w:val="none"/>
        </w:rPr>
        <w:t>初次报价</w:t>
      </w:r>
      <w:r>
        <w:rPr>
          <w:rFonts w:hint="eastAsia" w:ascii="宋体" w:hAnsi="宋体" w:eastAsia="宋体" w:cs="宋体"/>
          <w:color w:val="auto"/>
          <w:sz w:val="24"/>
          <w:szCs w:val="24"/>
          <w:highlight w:val="none"/>
          <w:lang w:eastAsia="zh-CN"/>
        </w:rPr>
        <w:t>。</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最后磋商报价</w:t>
      </w:r>
      <w:r>
        <w:rPr>
          <w:rFonts w:hint="eastAsia" w:ascii="宋体" w:hAnsi="宋体" w:eastAsia="宋体" w:cs="宋体"/>
          <w:color w:val="auto"/>
          <w:sz w:val="24"/>
          <w:szCs w:val="24"/>
          <w:highlight w:val="none"/>
        </w:rPr>
        <w:t>应在规定的时间内统一在政采云平台远程</w:t>
      </w:r>
      <w:r>
        <w:rPr>
          <w:rFonts w:hint="eastAsia" w:ascii="宋体" w:hAnsi="宋体" w:eastAsia="宋体" w:cs="宋体"/>
          <w:color w:val="auto"/>
          <w:sz w:val="24"/>
          <w:szCs w:val="24"/>
          <w:highlight w:val="none"/>
          <w:lang w:eastAsia="zh-CN"/>
        </w:rPr>
        <w:t>最终</w:t>
      </w:r>
      <w:r>
        <w:rPr>
          <w:rFonts w:hint="eastAsia" w:ascii="宋体" w:hAnsi="宋体" w:eastAsia="宋体" w:cs="宋体"/>
          <w:color w:val="auto"/>
          <w:sz w:val="24"/>
          <w:szCs w:val="24"/>
          <w:highlight w:val="none"/>
        </w:rPr>
        <w:t>报价。若最终报价出现含义不明确、同类问题表述不一致或者有明显文字和计算错误的，可以进行澄清和补充，但不得改变最终报价文件中报价等实质性内容(算术性错误修正的除外)。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通过资格审查及符合性审查的供应商在系统中等待</w:t>
      </w:r>
      <w:r>
        <w:rPr>
          <w:rFonts w:hint="eastAsia" w:ascii="宋体" w:hAnsi="宋体" w:eastAsia="宋体" w:cs="宋体"/>
          <w:color w:val="auto"/>
          <w:sz w:val="24"/>
          <w:szCs w:val="24"/>
          <w:highlight w:val="none"/>
          <w:lang w:eastAsia="zh-CN"/>
        </w:rPr>
        <w:t>磋商小组</w:t>
      </w:r>
      <w:r>
        <w:rPr>
          <w:rFonts w:hint="eastAsia" w:ascii="宋体" w:hAnsi="宋体" w:eastAsia="宋体" w:cs="宋体"/>
          <w:color w:val="auto"/>
          <w:sz w:val="24"/>
          <w:szCs w:val="24"/>
          <w:highlight w:val="none"/>
        </w:rPr>
        <w:t>通知最后磋商报价，经磋商确定最终采购需求和提交最后磋商报价的供应商后，由磋商小组采用综合评分法对提交最后磋商报价的供应商的响应文件和最后磋商报价进行综合评分。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5.3详细评审</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磋商小组根据本章详细评审评分办法对通过初步评审及进行最后磋商报价的响应人进行量化打分。                                         </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5.4磋商报价</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（1）在磋商中，磋商的任何一方不得透露与磋商有关的其他供应商的技术资料、价格、折扣和其他信息。（本项目为通过资格审查及符合性审查的供应商在系统中等待</w:t>
      </w:r>
      <w:r>
        <w:rPr>
          <w:rFonts w:hint="eastAsia" w:ascii="宋体" w:hAnsi="宋体" w:eastAsia="宋体" w:cs="宋体"/>
          <w:color w:val="auto"/>
          <w:sz w:val="24"/>
          <w:szCs w:val="24"/>
          <w:highlight w:val="none"/>
          <w:lang w:val="en-US" w:eastAsia="zh-CN"/>
        </w:rPr>
        <w:t>磋商小组</w:t>
      </w:r>
      <w:r>
        <w:rPr>
          <w:rFonts w:hint="eastAsia" w:ascii="宋体" w:hAnsi="宋体" w:eastAsia="宋体" w:cs="宋体"/>
          <w:color w:val="auto"/>
          <w:sz w:val="24"/>
          <w:szCs w:val="24"/>
          <w:highlight w:val="none"/>
        </w:rPr>
        <w:t>通知最后磋商报价）</w:t>
      </w:r>
    </w:p>
    <w:p>
      <w:pPr>
        <w:spacing w:line="48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（2）为有助于对响应文件的详细审查、评价和比较，磋商小组可要求对供应商分别进行技术询问、澄清，有关要求和答复均在“政采云”平台（网址：http://www.zcygov.cn）进行。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（3）磋商小组将要求所有供应商在规定时间内进行最后磋商报价，并对响应文件及供应商按要求提交的澄清、说明或补正进行综合比较和评价。</w:t>
      </w:r>
    </w:p>
    <w:p>
      <w:pPr>
        <w:spacing w:line="480" w:lineRule="exact"/>
        <w:ind w:firstLine="480" w:firstLineChars="200"/>
        <w:rPr>
          <w:rFonts w:hint="eastAsia" w:ascii="宋体" w:hAnsi="宋体" w:eastAsia="宋体" w:cs="宋体"/>
          <w:color w:val="auto"/>
          <w:sz w:val="24"/>
          <w:szCs w:val="24"/>
          <w:highlight w:val="none"/>
        </w:rPr>
      </w:pPr>
      <w:bookmarkStart w:id="344" w:name="_Toc5833_WPSOffice_Level3"/>
      <w:bookmarkStart w:id="345" w:name="_Toc25258_WPSOffice_Level3"/>
      <w:bookmarkStart w:id="346" w:name="_Toc27138_WPSOffice_Level3"/>
      <w:r>
        <w:rPr>
          <w:rFonts w:hint="eastAsia" w:ascii="宋体" w:hAnsi="宋体" w:eastAsia="宋体" w:cs="宋体"/>
          <w:color w:val="auto"/>
          <w:sz w:val="24"/>
          <w:szCs w:val="24"/>
          <w:highlight w:val="none"/>
        </w:rPr>
        <w:t>5.5推荐成交候选人</w:t>
      </w:r>
      <w:bookmarkEnd w:id="344"/>
      <w:bookmarkEnd w:id="345"/>
      <w:bookmarkEnd w:id="346"/>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磋商报价由低到高的顺序推荐。评审得分且最后磋商报价相同的，按照技术指标优劣顺序推荐。</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评审报告应当包括以下主要内容：</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(一)供应商参加采购活动的具体方式和相关情况；</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(二)响应文件开启日期和地点；</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(三)获取磋商文件的供应商名单和磋商小组成员名单；</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(四)评审情况记录和说明，包括对供应商的资格审查情况、供应商响应文件评审情况、磋商情况、报价情况等；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(五)提出的成交候选供应商的排序名单及理由。                                                                                                                                                                                                                                                                          </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（2）采购人依据磋商小组推荐的成交候选人排序确定第一成交候选人为本项目的成交人。</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（3）成交供应商确定后，成交结果将在发布磋商公告的媒介上发布，公告时间为发布公告之日1个工作日。采购人对供应商未成交的原因不予解释。</w:t>
      </w:r>
    </w:p>
    <w:p>
      <w:pPr>
        <w:spacing w:line="480" w:lineRule="exact"/>
        <w:ind w:firstLine="480" w:firstLineChars="200"/>
        <w:rPr>
          <w:rFonts w:hint="eastAsia" w:ascii="宋体" w:hAnsi="宋体" w:eastAsia="宋体" w:cs="宋体"/>
          <w:color w:val="auto"/>
          <w:sz w:val="24"/>
          <w:szCs w:val="24"/>
          <w:highlight w:val="none"/>
        </w:rPr>
      </w:pPr>
      <w:bookmarkStart w:id="347" w:name="_Toc5864_WPSOffice_Level3"/>
      <w:bookmarkStart w:id="348" w:name="_Toc10253_WPSOffice_Level3"/>
      <w:bookmarkStart w:id="349" w:name="_Toc10650_WPSOffice_Level3"/>
      <w:bookmarkStart w:id="350" w:name="_Toc492634044"/>
      <w:r>
        <w:rPr>
          <w:rFonts w:hint="eastAsia" w:ascii="宋体" w:hAnsi="宋体" w:eastAsia="宋体" w:cs="宋体"/>
          <w:color w:val="auto"/>
          <w:sz w:val="24"/>
          <w:szCs w:val="24"/>
          <w:highlight w:val="none"/>
        </w:rPr>
        <w:t>5.6评标纪律</w:t>
      </w:r>
      <w:bookmarkEnd w:id="347"/>
      <w:bookmarkEnd w:id="348"/>
      <w:bookmarkEnd w:id="349"/>
      <w:bookmarkEnd w:id="350"/>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（1）开标和评标活动应当遵循公开、公平、公正和诚实信用原则。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（2）遵守回避制度，凡参加开标会的磋商小组及有关工作人员与供应商有利害关系，或遇到需回避的情形，主动申请回避。</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（3）评委必须公平、公正评标。认真履行职责，严格按照磋商文件和有关法律、法规的规定进行评标。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（4）评委在评标开始前，应关闭随身携带的各种通信工具。</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（5）评委在评标过程中，未经许可不得中途离开评标现场，不得迟到或早退。</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（6）对有关评标的情况严格保密，评委和工作人员不得透露评标过程中的讨论情况和评标结果。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（7）评委在评标过程中不得将自己的观点，强加给其他评委，评委应自主发表见解，根据民主集中制原则择优推荐中标人。</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（8）及时反映或举报评标过程中出现违法违规行为和不正常现象。</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6.评审专家的职责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审专家应当遵守评审工作纪律，不得泄露评审情况和评审中获悉的商业秘密。磋商小组在评审过程中发现供应商有行贿、提供虚假材料或者串通等违法行为的，应当及时向财政部门报告。评审专家在评审过程中受到非法干涉的，应当及时向财政、监察等部门举报。</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磋商小组成员应当按照客观、公正、审慎的原则，根据磋商文件规定的评审程序、评审方法和评审标准进行独立评审。未实质性响应磋商文件的响应文件按无效响应处理，供应商自行在“政采云”平台（网址：http://www.zcygov.cn）上查看评审结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磋商小组成员拒绝在报告上签字又不说明其不同意见和理由的，视为同意评审报告。</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7.统分原则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（1）除最后磋商报价得分外，商务技术部分由各评委自主评分并签字确认。</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（2）所有评委有效评分的算术平均分值为磋商响应人的商务技术部分的得分（保留小数点后两位）。</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（3）最后得分统分办法：最后磋商报价得分和商务技术部分得分之和即为磋商响应人最后得分。</w:t>
      </w:r>
    </w:p>
    <w:p>
      <w:pPr>
        <w:pStyle w:val="8"/>
        <w:ind w:firstLine="280"/>
        <w:rPr>
          <w:rFonts w:hint="eastAsia" w:ascii="宋体" w:hAnsi="宋体" w:eastAsia="宋体" w:cs="宋体"/>
          <w:color w:val="auto"/>
          <w:sz w:val="24"/>
          <w:szCs w:val="24"/>
          <w:highlight w:val="none"/>
        </w:rPr>
      </w:pPr>
    </w:p>
    <w:p>
      <w:pPr>
        <w:pStyle w:val="48"/>
        <w:ind w:firstLine="0" w:firstLineChars="0"/>
        <w:rPr>
          <w:rFonts w:hint="eastAsia" w:ascii="宋体" w:hAnsi="宋体" w:eastAsia="宋体" w:cs="宋体"/>
          <w:color w:val="auto"/>
          <w:sz w:val="24"/>
          <w:szCs w:val="24"/>
          <w:highlight w:val="none"/>
        </w:rPr>
        <w:sectPr>
          <w:pgSz w:w="11906" w:h="16838"/>
          <w:pgMar w:top="1440" w:right="1080" w:bottom="1440" w:left="1080" w:header="851" w:footer="992" w:gutter="0"/>
          <w:pgNumType w:fmt="decimal"/>
          <w:cols w:space="720" w:num="1"/>
          <w:titlePg/>
          <w:docGrid w:type="lines" w:linePitch="312" w:charSpace="0"/>
        </w:sectPr>
      </w:pPr>
    </w:p>
    <w:p>
      <w:pPr>
        <w:pStyle w:val="15"/>
        <w:spacing w:after="0" w:line="520" w:lineRule="exact"/>
        <w:ind w:left="0" w:leftChars="0" w:firstLine="0" w:firstLineChars="0"/>
        <w:jc w:val="left"/>
        <w:rPr>
          <w:rFonts w:hint="eastAsia" w:ascii="宋体" w:hAnsi="宋体" w:eastAsia="宋体" w:cs="宋体"/>
          <w:b/>
          <w:bCs/>
          <w:color w:val="auto"/>
          <w:sz w:val="30"/>
          <w:szCs w:val="30"/>
          <w:highlight w:val="none"/>
        </w:rPr>
      </w:pPr>
      <w:bookmarkStart w:id="351" w:name="_Toc27827_WPSOffice_Level3"/>
      <w:bookmarkStart w:id="352" w:name="_Toc1636_WPSOffice_Level3"/>
      <w:bookmarkStart w:id="353" w:name="_Toc3575_WPSOffice_Level3"/>
      <w:r>
        <w:rPr>
          <w:rFonts w:hint="eastAsia" w:ascii="宋体" w:hAnsi="宋体" w:eastAsia="宋体" w:cs="宋体"/>
          <w:b/>
          <w:bCs/>
          <w:color w:val="auto"/>
          <w:sz w:val="30"/>
          <w:szCs w:val="30"/>
          <w:highlight w:val="none"/>
        </w:rPr>
        <w:t>初步评审：</w:t>
      </w:r>
    </w:p>
    <w:p>
      <w:pPr>
        <w:pStyle w:val="15"/>
        <w:spacing w:after="0" w:line="520" w:lineRule="exact"/>
        <w:ind w:left="0" w:leftChars="0" w:firstLine="0" w:firstLineChars="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（一）资格审查</w:t>
      </w:r>
    </w:p>
    <w:tbl>
      <w:tblPr>
        <w:tblStyle w:val="42"/>
        <w:tblpPr w:leftFromText="180" w:rightFromText="180" w:vertAnchor="text" w:horzAnchor="page" w:tblpX="1156" w:tblpY="519"/>
        <w:tblOverlap w:val="never"/>
        <w:tblW w:w="101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419"/>
        <w:gridCol w:w="69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419" w:type="dxa"/>
            <w:tcBorders>
              <w:tl2br w:val="nil"/>
              <w:tr2bl w:val="nil"/>
            </w:tcBorders>
            <w:vAlign w:val="center"/>
          </w:tcPr>
          <w:p>
            <w:pPr>
              <w:spacing w:line="360" w:lineRule="auto"/>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评审因素</w:t>
            </w:r>
          </w:p>
        </w:tc>
        <w:tc>
          <w:tcPr>
            <w:tcW w:w="6989" w:type="dxa"/>
            <w:tcBorders>
              <w:tl2br w:val="nil"/>
              <w:tr2bl w:val="nil"/>
            </w:tcBorders>
            <w:vAlign w:val="center"/>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营业执照</w:t>
            </w:r>
          </w:p>
        </w:tc>
        <w:tc>
          <w:tcPr>
            <w:tcW w:w="6989" w:type="dxa"/>
            <w:tcBorders>
              <w:tl2br w:val="nil"/>
              <w:tr2bl w:val="nil"/>
            </w:tcBorders>
            <w:vAlign w:val="center"/>
          </w:tcPr>
          <w:p>
            <w:pPr>
              <w:widowControl/>
              <w:spacing w:line="360" w:lineRule="auto"/>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pacing w:val="1"/>
                <w:sz w:val="24"/>
                <w:szCs w:val="24"/>
                <w:highlight w:val="none"/>
              </w:rPr>
              <w:t>具有独立承担民事责任的能力</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提供自然人有效身份证或法人或者其他组织有效的营业执照等证明文件</w:t>
            </w:r>
            <w:r>
              <w:rPr>
                <w:rFonts w:hint="eastAsia" w:ascii="宋体" w:hAnsi="宋体" w:eastAsia="宋体" w:cs="宋体"/>
                <w:color w:val="auto"/>
                <w:spacing w:val="1"/>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财务要求</w:t>
            </w:r>
          </w:p>
        </w:tc>
        <w:tc>
          <w:tcPr>
            <w:tcW w:w="6989" w:type="dxa"/>
            <w:tcBorders>
              <w:tl2br w:val="nil"/>
              <w:tr2bl w:val="nil"/>
            </w:tcBorders>
            <w:vAlign w:val="center"/>
          </w:tcPr>
          <w:p>
            <w:pPr>
              <w:widowControl/>
              <w:spacing w:line="360" w:lineRule="auto"/>
              <w:jc w:val="left"/>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pacing w:val="1"/>
                <w:sz w:val="24"/>
                <w:szCs w:val="24"/>
                <w:highlight w:val="none"/>
              </w:rPr>
              <w:t>提供202</w:t>
            </w:r>
            <w:r>
              <w:rPr>
                <w:rFonts w:hint="eastAsia" w:asciiTheme="minorEastAsia" w:hAnsiTheme="minorEastAsia" w:eastAsiaTheme="minorEastAsia" w:cstheme="minorEastAsia"/>
                <w:b w:val="0"/>
                <w:bCs w:val="0"/>
                <w:color w:val="auto"/>
                <w:spacing w:val="1"/>
                <w:sz w:val="24"/>
                <w:szCs w:val="24"/>
                <w:highlight w:val="none"/>
                <w:lang w:val="en-US" w:eastAsia="zh-CN"/>
              </w:rPr>
              <w:t>4</w:t>
            </w:r>
            <w:r>
              <w:rPr>
                <w:rFonts w:hint="eastAsia" w:asciiTheme="minorEastAsia" w:hAnsiTheme="minorEastAsia" w:eastAsiaTheme="minorEastAsia" w:cstheme="minorEastAsia"/>
                <w:b w:val="0"/>
                <w:bCs w:val="0"/>
                <w:color w:val="auto"/>
                <w:spacing w:val="1"/>
                <w:sz w:val="24"/>
                <w:szCs w:val="24"/>
                <w:highlight w:val="none"/>
              </w:rPr>
              <w:t>年度</w:t>
            </w:r>
            <w:r>
              <w:rPr>
                <w:rFonts w:hint="eastAsia" w:asciiTheme="minorEastAsia" w:hAnsiTheme="minorEastAsia" w:eastAsiaTheme="minorEastAsia" w:cstheme="minorEastAsia"/>
                <w:b w:val="0"/>
                <w:bCs w:val="0"/>
                <w:color w:val="auto"/>
                <w:spacing w:val="1"/>
                <w:sz w:val="24"/>
                <w:szCs w:val="24"/>
                <w:highlight w:val="none"/>
                <w:lang w:val="en-US" w:eastAsia="zh-CN"/>
              </w:rPr>
              <w:t>或2025年度</w:t>
            </w:r>
            <w:r>
              <w:rPr>
                <w:rFonts w:hint="eastAsia" w:asciiTheme="minorEastAsia" w:hAnsiTheme="minorEastAsia" w:eastAsiaTheme="minorEastAsia" w:cstheme="minorEastAsia"/>
                <w:b w:val="0"/>
                <w:bCs w:val="0"/>
                <w:color w:val="auto"/>
                <w:spacing w:val="1"/>
                <w:sz w:val="24"/>
                <w:szCs w:val="24"/>
                <w:highlight w:val="none"/>
              </w:rPr>
              <w:t>经非本单位专业审计机构出具的财务报表及审计报告（成立未满一年的公司，无需提供审计报告，提供公司成立至今的财务报表）。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税收和社保要求</w:t>
            </w:r>
          </w:p>
        </w:tc>
        <w:tc>
          <w:tcPr>
            <w:tcW w:w="6989" w:type="dxa"/>
            <w:tcBorders>
              <w:tl2br w:val="nil"/>
              <w:tr2bl w:val="nil"/>
            </w:tcBorders>
            <w:vAlign w:val="center"/>
          </w:tcPr>
          <w:p>
            <w:pPr>
              <w:pageBreakBefore w:val="0"/>
              <w:kinsoku/>
              <w:overflowPunct/>
              <w:topLinePunct w:val="0"/>
              <w:autoSpaceDE w:val="0"/>
              <w:autoSpaceDN/>
              <w:bidi w:val="0"/>
              <w:adjustRightInd/>
              <w:snapToGrid/>
              <w:spacing w:line="360" w:lineRule="auto"/>
              <w:ind w:firstLine="240" w:firstLineChars="100"/>
              <w:textAlignment w:val="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提供202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年</w:t>
            </w:r>
            <w:r>
              <w:rPr>
                <w:rFonts w:hint="eastAsia" w:asciiTheme="minorEastAsia" w:hAnsiTheme="minorEastAsia" w:eastAsiaTheme="minorEastAsia" w:cstheme="minorEastAsia"/>
                <w:b w:val="0"/>
                <w:bCs w:val="0"/>
                <w:color w:val="auto"/>
                <w:sz w:val="24"/>
                <w:szCs w:val="24"/>
                <w:highlight w:val="none"/>
                <w:lang w:val="en-US" w:eastAsia="zh-CN"/>
              </w:rPr>
              <w:t>7月至今</w:t>
            </w:r>
            <w:r>
              <w:rPr>
                <w:rFonts w:hint="eastAsia" w:asciiTheme="minorEastAsia" w:hAnsiTheme="minorEastAsia" w:eastAsiaTheme="minorEastAsia" w:cstheme="minorEastAsia"/>
                <w:b w:val="0"/>
                <w:bCs w:val="0"/>
                <w:color w:val="auto"/>
                <w:sz w:val="24"/>
                <w:szCs w:val="24"/>
                <w:highlight w:val="none"/>
              </w:rPr>
              <w:t>任意</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个月依法缴纳税收和社会保障资金的缴纳凭证（如公司成立未满一个月的提供成立以来的税收和社会保障资金缴纳凭证或相关情况说明；依法免税或不需要缴纳社会保障资金的</w:t>
            </w:r>
            <w:r>
              <w:rPr>
                <w:rFonts w:hint="eastAsia" w:asciiTheme="minorEastAsia" w:hAnsiTheme="minorEastAsia" w:eastAsiaTheme="minorEastAsia" w:cstheme="minorEastAsia"/>
                <w:b w:val="0"/>
                <w:bCs w:val="0"/>
                <w:color w:val="auto"/>
                <w:sz w:val="24"/>
                <w:szCs w:val="24"/>
                <w:highlight w:val="none"/>
                <w:lang w:val="en-US" w:eastAsia="zh-CN"/>
              </w:rPr>
              <w:t>投标</w:t>
            </w:r>
            <w:r>
              <w:rPr>
                <w:rFonts w:hint="eastAsia" w:asciiTheme="minorEastAsia" w:hAnsiTheme="minorEastAsia" w:eastAsiaTheme="minorEastAsia" w:cstheme="minorEastAsia"/>
                <w:b w:val="0"/>
                <w:bCs w:val="0"/>
                <w:color w:val="auto"/>
                <w:sz w:val="24"/>
                <w:szCs w:val="24"/>
                <w:highlight w:val="none"/>
              </w:rPr>
              <w:t>人，应提供相应文件或情况说明证明其依法免税或不需要缴纳社会保障资金的材料</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专业技术能力</w:t>
            </w:r>
          </w:p>
        </w:tc>
        <w:tc>
          <w:tcPr>
            <w:tcW w:w="6989" w:type="dxa"/>
            <w:tcBorders>
              <w:tl2br w:val="nil"/>
              <w:tr2bl w:val="nil"/>
            </w:tcBorders>
            <w:vAlign w:val="center"/>
          </w:tcPr>
          <w:p>
            <w:pPr>
              <w:pageBreakBefore w:val="0"/>
              <w:kinsoku/>
              <w:overflowPunct/>
              <w:topLinePunct w:val="0"/>
              <w:autoSpaceDE w:val="0"/>
              <w:autoSpaceDN/>
              <w:bidi w:val="0"/>
              <w:adjustRightInd/>
              <w:snapToGrid/>
              <w:spacing w:line="360" w:lineRule="auto"/>
              <w:ind w:firstLine="240" w:firstLineChars="100"/>
              <w:textAlignment w:val="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提供具备履行合同所必需的专业技术能力的证明材料或承诺书</w:t>
            </w:r>
            <w:r>
              <w:rPr>
                <w:rFonts w:hint="eastAsia" w:asciiTheme="minorEastAsia" w:hAnsiTheme="minorEastAsia" w:eastAsiaTheme="minorEastAsia" w:cstheme="minorEastAsia"/>
                <w:b w:val="0"/>
                <w:bCs w:val="0"/>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无重大违法记录声明</w:t>
            </w:r>
          </w:p>
        </w:tc>
        <w:tc>
          <w:tcPr>
            <w:tcW w:w="6989" w:type="dxa"/>
            <w:tcBorders>
              <w:tl2br w:val="nil"/>
              <w:tr2bl w:val="nil"/>
            </w:tcBorders>
            <w:vAlign w:val="center"/>
          </w:tcPr>
          <w:p>
            <w:pPr>
              <w:pStyle w:val="9"/>
              <w:pageBreakBefore w:val="0"/>
              <w:kinsoku/>
              <w:overflowPunct/>
              <w:topLinePunct w:val="0"/>
              <w:autoSpaceDE w:val="0"/>
              <w:autoSpaceDN/>
              <w:bidi w:val="0"/>
              <w:adjustRightInd/>
              <w:snapToGrid/>
              <w:spacing w:before="0" w:beforeAutospacing="0" w:after="0" w:line="360" w:lineRule="auto"/>
              <w:ind w:firstLine="242" w:firstLineChars="100"/>
              <w:textAlignment w:val="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color w:val="auto"/>
                <w:spacing w:val="1"/>
                <w:sz w:val="24"/>
                <w:szCs w:val="24"/>
                <w:highlight w:val="none"/>
              </w:rPr>
              <w:t>提供参加</w:t>
            </w:r>
            <w:r>
              <w:rPr>
                <w:rFonts w:hint="eastAsia" w:asciiTheme="minorEastAsia" w:hAnsiTheme="minorEastAsia" w:eastAsiaTheme="minorEastAsia" w:cstheme="minorEastAsia"/>
                <w:color w:val="auto"/>
                <w:spacing w:val="1"/>
                <w:sz w:val="24"/>
                <w:szCs w:val="24"/>
                <w:highlight w:val="none"/>
                <w:lang w:val="en-US" w:eastAsia="zh-CN"/>
              </w:rPr>
              <w:t>本次</w:t>
            </w:r>
            <w:r>
              <w:rPr>
                <w:rFonts w:hint="eastAsia" w:asciiTheme="minorEastAsia" w:hAnsiTheme="minorEastAsia" w:eastAsiaTheme="minorEastAsia" w:cstheme="minorEastAsia"/>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信誉要求</w:t>
            </w:r>
          </w:p>
        </w:tc>
        <w:tc>
          <w:tcPr>
            <w:tcW w:w="6989" w:type="dxa"/>
            <w:tcBorders>
              <w:tl2br w:val="nil"/>
              <w:tr2bl w:val="nil"/>
            </w:tcBorders>
            <w:vAlign w:val="center"/>
          </w:tcPr>
          <w:p>
            <w:pPr>
              <w:spacing w:line="360" w:lineRule="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供应商应在“信用中国”网站(www.creditchina.gov.cn)未被列入失信被执行人、重大税收违法失信主体，中国政府采购网(www.ccgp.gov.cn)没有政府采购严重违法失信行为记录。</w:t>
            </w:r>
            <w:r>
              <w:rPr>
                <w:rFonts w:hint="eastAsia" w:asciiTheme="minorEastAsia" w:hAnsiTheme="minorEastAsia" w:eastAsiaTheme="minorEastAsia" w:cstheme="minorEastAsia"/>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Theme="minorEastAsia" w:hAnsiTheme="minorEastAsia" w:eastAsiaTheme="minorEastAsia" w:cstheme="minorEastAsia"/>
                <w:b w:val="0"/>
                <w:bCs w:val="0"/>
                <w:color w:val="auto"/>
                <w:sz w:val="24"/>
                <w:szCs w:val="24"/>
                <w:highlight w:val="none"/>
                <w:lang w:val="en-US" w:eastAsia="zh-CN"/>
              </w:rPr>
              <w:t>重大税收违法失信主体</w:t>
            </w:r>
            <w:r>
              <w:rPr>
                <w:rFonts w:hint="eastAsia" w:asciiTheme="minorEastAsia" w:hAnsiTheme="minorEastAsia" w:eastAsiaTheme="minorEastAsia" w:cstheme="minorEastAsia"/>
                <w:b w:val="0"/>
                <w:bCs w:val="0"/>
                <w:color w:val="auto"/>
                <w:sz w:val="24"/>
                <w:szCs w:val="24"/>
                <w:highlight w:val="none"/>
                <w:lang w:eastAsia="zh-CN"/>
              </w:rPr>
              <w:t>、政府采购严重违法失信行为记录名单，则投标无效。）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66"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其它要求</w:t>
            </w:r>
          </w:p>
        </w:tc>
        <w:tc>
          <w:tcPr>
            <w:tcW w:w="6989" w:type="dxa"/>
            <w:tcBorders>
              <w:tl2br w:val="nil"/>
              <w:tr2bl w:val="nil"/>
            </w:tcBorders>
            <w:vAlign w:val="center"/>
          </w:tcPr>
          <w:p>
            <w:pPr>
              <w:pageBreakBefore w:val="0"/>
              <w:kinsoku/>
              <w:overflowPunct/>
              <w:topLinePunct w:val="0"/>
              <w:autoSpaceDE w:val="0"/>
              <w:autoSpaceDN/>
              <w:bidi w:val="0"/>
              <w:adjustRightInd/>
              <w:snapToGrid/>
              <w:spacing w:line="360" w:lineRule="auto"/>
              <w:textAlignment w:val="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单位负责人为同一人或者存在直接控股、管理关系的不同供应商，不得参加同一合同项下的政府采购活动。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12"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419"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落实政府采购政策需满足的资格要求</w:t>
            </w:r>
          </w:p>
        </w:tc>
        <w:tc>
          <w:tcPr>
            <w:tcW w:w="6989" w:type="dxa"/>
            <w:tcBorders>
              <w:tl2br w:val="nil"/>
              <w:tr2bl w:val="nil"/>
            </w:tcBorders>
            <w:vAlign w:val="center"/>
          </w:tcPr>
          <w:p>
            <w:pPr>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本项目非专门面向中小型企业采购；</w:t>
            </w:r>
            <w:r>
              <w:rPr>
                <w:rFonts w:hint="eastAsia" w:ascii="宋体" w:hAnsi="宋体" w:eastAsia="宋体" w:cs="宋体"/>
                <w:color w:val="auto"/>
                <w:sz w:val="24"/>
                <w:szCs w:val="24"/>
                <w:highlight w:val="none"/>
              </w:rPr>
              <w:t>根据《关于进一步加大政府采购支持中小企业力度的通知》（财库〔2022〕19号），对符合采购文件要求的小型和微型企业</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价格</w:t>
            </w:r>
            <w:r>
              <w:rPr>
                <w:rFonts w:hint="eastAsia" w:ascii="宋体" w:hAnsi="宋体" w:eastAsia="宋体" w:cs="宋体"/>
                <w:color w:val="auto"/>
                <w:sz w:val="24"/>
                <w:szCs w:val="24"/>
                <w:highlight w:val="none"/>
              </w:rPr>
              <w:t>扣除，用扣除后的价格参与评审；监狱企业及残疾人福利性单位视同小微企业。</w:t>
            </w:r>
          </w:p>
        </w:tc>
      </w:tr>
    </w:tbl>
    <w:p>
      <w:pPr>
        <w:pStyle w:val="15"/>
        <w:spacing w:after="0" w:line="520" w:lineRule="exact"/>
        <w:ind w:left="0" w:leftChars="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不符合下列情形之一的响应文件不能通过资格审查： </w:t>
      </w:r>
    </w:p>
    <w:p>
      <w:pPr>
        <w:pStyle w:val="15"/>
        <w:spacing w:after="0" w:line="520" w:lineRule="exact"/>
        <w:ind w:left="0" w:leftChars="0" w:firstLine="0" w:firstLine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（二）符合性审查</w:t>
      </w:r>
    </w:p>
    <w:p>
      <w:pPr>
        <w:pStyle w:val="15"/>
        <w:spacing w:after="156" w:afterLines="50" w:line="520" w:lineRule="exact"/>
        <w:ind w:left="0" w:left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磋商小组依据符合性评审标准对符合资格的供应商的响应文件进行符合性审查，有一项不符合评审标准的，磋商小组应当否决其投标。</w:t>
      </w:r>
    </w:p>
    <w:tbl>
      <w:tblPr>
        <w:tblStyle w:val="42"/>
        <w:tblW w:w="10135"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3160"/>
        <w:gridCol w:w="61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160" w:type="dxa"/>
            <w:tcBorders>
              <w:tl2br w:val="nil"/>
              <w:tr2bl w:val="nil"/>
            </w:tcBorders>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评审因素</w:t>
            </w:r>
          </w:p>
        </w:tc>
        <w:tc>
          <w:tcPr>
            <w:tcW w:w="6180" w:type="dxa"/>
            <w:tcBorders>
              <w:tl2br w:val="nil"/>
              <w:tr2bl w:val="nil"/>
            </w:tcBorders>
          </w:tcPr>
          <w:p>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符合性评审标准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w:t>
            </w:r>
          </w:p>
        </w:tc>
        <w:tc>
          <w:tcPr>
            <w:tcW w:w="3160" w:type="dxa"/>
            <w:tcBorders>
              <w:tl2br w:val="nil"/>
              <w:tr2bl w:val="nil"/>
            </w:tcBorders>
          </w:tcPr>
          <w:p>
            <w:pPr>
              <w:spacing w:line="360" w:lineRule="auto"/>
              <w:ind w:firstLine="720" w:firstLineChars="3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响应文件格式</w:t>
            </w:r>
          </w:p>
        </w:tc>
        <w:tc>
          <w:tcPr>
            <w:tcW w:w="6180"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响应文件按第六章“竞争性磋商响应文件格式”要求填写，内容完整且关键字迹清晰。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3160" w:type="dxa"/>
            <w:tcBorders>
              <w:tl2br w:val="nil"/>
              <w:tr2bl w:val="nil"/>
            </w:tcBorders>
            <w:vAlign w:val="center"/>
          </w:tcPr>
          <w:p>
            <w:pPr>
              <w:tabs>
                <w:tab w:val="center" w:pos="4153"/>
                <w:tab w:val="right" w:pos="8306"/>
              </w:tabs>
              <w:snapToGrid w:val="0"/>
              <w:spacing w:before="62" w:beforeLines="2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响应文件的签章</w:t>
            </w:r>
          </w:p>
        </w:tc>
        <w:tc>
          <w:tcPr>
            <w:tcW w:w="6180" w:type="dxa"/>
            <w:tcBorders>
              <w:tl2br w:val="nil"/>
              <w:tr2bl w:val="nil"/>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按磋商文件的要求签</w:t>
            </w:r>
            <w:r>
              <w:rPr>
                <w:rFonts w:hint="eastAsia" w:ascii="宋体" w:hAnsi="宋体" w:eastAsia="宋体" w:cs="宋体"/>
                <w:color w:val="auto"/>
                <w:sz w:val="24"/>
                <w:szCs w:val="24"/>
                <w:highlight w:val="none"/>
                <w:lang w:eastAsia="zh-CN"/>
              </w:rPr>
              <w:t>字</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3160"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响应文件的完整性</w:t>
            </w:r>
          </w:p>
        </w:tc>
        <w:tc>
          <w:tcPr>
            <w:tcW w:w="6180" w:type="dxa"/>
            <w:tcBorders>
              <w:tl2br w:val="nil"/>
              <w:tr2bl w:val="nil"/>
            </w:tcBorders>
            <w:vAlign w:val="center"/>
          </w:tcPr>
          <w:p>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响应文件内容符合磋商文件要求</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3160" w:type="dxa"/>
            <w:tcBorders>
              <w:tl2br w:val="nil"/>
              <w:tr2bl w:val="nil"/>
            </w:tcBorders>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  </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符合第二章“供应商须知前附表”第1.3.1项规定</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3160"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符合第二章“供应商须知前附表”第1.3.2项规定</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3160"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符合第二章“供应商须知前附表”第1.3.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项规定</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3160"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符合第二章“供应商须知前附表”第1.3.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项规定</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3160" w:type="dxa"/>
            <w:tcBorders>
              <w:tl2br w:val="nil"/>
              <w:tr2bl w:val="nil"/>
            </w:tcBorders>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交货地点</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符合第二章“供应商须知前附表”第1.3.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项规定</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3160" w:type="dxa"/>
            <w:tcBorders>
              <w:tl2br w:val="nil"/>
              <w:tr2bl w:val="nil"/>
            </w:tcBorders>
            <w:vAlign w:val="center"/>
          </w:tcPr>
          <w:p>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磋商有效期</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符合竞争性磋商文件要求。</w:t>
            </w:r>
            <w:r>
              <w:rPr>
                <w:rFonts w:hint="eastAsia" w:ascii="宋体" w:hAnsi="宋体" w:eastAsia="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316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kern w:val="2"/>
                <w:sz w:val="24"/>
                <w:szCs w:val="24"/>
                <w:lang w:val="en-US" w:eastAsia="zh-CN" w:bidi="ar-SA"/>
              </w:rPr>
              <w:t>落实政府采购政策要求</w:t>
            </w:r>
          </w:p>
        </w:tc>
        <w:tc>
          <w:tcPr>
            <w:tcW w:w="61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kern w:val="2"/>
                <w:sz w:val="24"/>
                <w:szCs w:val="24"/>
                <w:lang w:val="en-US" w:eastAsia="zh-CN" w:bidi="ar-SA"/>
              </w:rPr>
              <w:t>须按照招标文件作出实质性响应</w:t>
            </w:r>
            <w:r>
              <w:rPr>
                <w:rFonts w:hint="eastAsia" w:ascii="宋体" w:hAnsi="宋体" w:cs="宋体"/>
                <w:bCs/>
                <w:kern w:val="2"/>
                <w:sz w:val="24"/>
                <w:szCs w:val="24"/>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3160" w:type="dxa"/>
            <w:tcBorders>
              <w:tl2br w:val="nil"/>
              <w:tr2bl w:val="nil"/>
            </w:tcBorders>
            <w:vAlign w:val="center"/>
          </w:tcPr>
          <w:p>
            <w:pPr>
              <w:widowControl/>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报价</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未超过采购</w:t>
            </w:r>
            <w:r>
              <w:rPr>
                <w:rFonts w:hint="eastAsia" w:ascii="宋体" w:hAnsi="宋体" w:eastAsia="宋体" w:cs="宋体"/>
                <w:color w:val="auto"/>
                <w:sz w:val="24"/>
                <w:szCs w:val="24"/>
                <w:highlight w:val="none"/>
                <w:lang w:eastAsia="zh-CN"/>
              </w:rPr>
              <w:t>预算金额（或</w:t>
            </w: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，未出现缺项、漏项。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3160" w:type="dxa"/>
            <w:tcBorders>
              <w:tl2br w:val="nil"/>
              <w:tr2bl w:val="nil"/>
            </w:tcBorders>
            <w:vAlign w:val="center"/>
          </w:tcPr>
          <w:p>
            <w:pPr>
              <w:spacing w:line="240" w:lineRule="auto"/>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低于成本价</w:t>
            </w:r>
            <w:r>
              <w:rPr>
                <w:rFonts w:hint="eastAsia" w:ascii="宋体" w:hAnsi="宋体" w:eastAsia="宋体" w:cs="宋体"/>
                <w:color w:val="auto"/>
                <w:sz w:val="24"/>
                <w:szCs w:val="24"/>
                <w:highlight w:val="none"/>
              </w:rPr>
              <mc:AlternateContent>
                <mc:Choice Requires="wps">
                  <w:drawing>
                    <wp:anchor distT="0" distB="0" distL="114300" distR="114300" simplePos="0" relativeHeight="251663360" behindDoc="0" locked="0" layoutInCell="1" hidden="1" allowOverlap="1">
                      <wp:simplePos x="0" y="0"/>
                      <wp:positionH relativeFrom="column">
                        <wp:posOffset>-2861945</wp:posOffset>
                      </wp:positionH>
                      <wp:positionV relativeFrom="paragraph">
                        <wp:posOffset>-793750</wp:posOffset>
                      </wp:positionV>
                      <wp:extent cx="63500" cy="63500"/>
                      <wp:effectExtent l="0" t="0" r="0" b="0"/>
                      <wp:wrapNone/>
                      <wp:docPr id="5" name="KGD_Gobal1" descr="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385D8A">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" style="position:absolute;left:0pt;margin-left:-225.35pt;margin-top:-62.5pt;height:5pt;width:5pt;visibility:hidden;z-index:251663360;v-text-anchor:middle;mso-width-relative:page;mso-height-relative:page;" fillcolor="#4F81BD" filled="t" stroked="t" coordsize="21600,21600" o:gfxdata="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">
                      <v:fill on="t" focussize="0,0"/>
                      <v:stroke weight="2pt" color="#264264" joinstyle="round"/>
                      <v:imagedata o:title=""/>
                      <o:lock v:ext="edit" aspectratio="f"/>
                    </v:rect>
                  </w:pict>
                </mc:Fallback>
              </mc:AlternateContent>
            </w:r>
            <w:r>
              <w:rPr>
                <w:rFonts w:hint="eastAsia" w:ascii="宋体" w:hAnsi="宋体" w:eastAsia="宋体" w:cs="宋体"/>
                <w:color w:val="auto"/>
                <w:sz w:val="24"/>
                <w:szCs w:val="24"/>
                <w:highlight w:val="none"/>
                <w:lang w:val="zh-CN"/>
              </w:rPr>
              <w:t>的</w:t>
            </w:r>
          </w:p>
          <w:p>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情形</w:t>
            </w:r>
          </w:p>
        </w:tc>
        <w:tc>
          <w:tcPr>
            <w:tcW w:w="6180" w:type="dxa"/>
            <w:tcBorders>
              <w:tl2br w:val="nil"/>
              <w:tr2bl w:val="nil"/>
            </w:tcBorders>
            <w:vAlign w:val="center"/>
          </w:tcPr>
          <w:p>
            <w:pPr>
              <w:spacing w:line="360" w:lineRule="auto"/>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磋商小组</w:t>
            </w:r>
            <w:r>
              <w:rPr>
                <w:rFonts w:hint="eastAsia" w:ascii="宋体" w:hAnsi="宋体" w:eastAsia="宋体" w:cs="宋体"/>
                <w:color w:val="auto"/>
                <w:sz w:val="24"/>
                <w:szCs w:val="24"/>
                <w:highlight w:val="none"/>
                <w:lang w:val="zh-CN"/>
              </w:rPr>
              <w:t>认为存在低于成本价投标的情况</w:t>
            </w:r>
            <w:r>
              <w:rPr>
                <w:rFonts w:hint="eastAsia" w:ascii="宋体" w:hAnsi="宋体" w:cs="宋体"/>
                <w:color w:val="auto"/>
                <w:sz w:val="24"/>
                <w:szCs w:val="24"/>
                <w:highlight w:val="none"/>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trPr>
        <w:tc>
          <w:tcPr>
            <w:tcW w:w="795" w:type="dxa"/>
            <w:tcBorders>
              <w:tl2br w:val="nil"/>
              <w:tr2bl w:val="nil"/>
            </w:tcBorders>
            <w:vAlign w:val="center"/>
          </w:tcPr>
          <w:p>
            <w:pPr>
              <w:adjustRightInd w:val="0"/>
              <w:snapToGrid w:val="0"/>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p>
        </w:tc>
        <w:tc>
          <w:tcPr>
            <w:tcW w:w="3160" w:type="dxa"/>
            <w:tcBorders>
              <w:tl2br w:val="nil"/>
              <w:tr2bl w:val="nil"/>
            </w:tcBorders>
            <w:vAlign w:val="center"/>
          </w:tcPr>
          <w:p>
            <w:pPr>
              <w:widowControl/>
              <w:spacing w:line="360" w:lineRule="auto"/>
              <w:ind w:firstLine="720" w:firstLineChars="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其他无效情形</w:t>
            </w:r>
          </w:p>
        </w:tc>
        <w:tc>
          <w:tcPr>
            <w:tcW w:w="6180" w:type="dxa"/>
            <w:tcBorders>
              <w:tl2br w:val="nil"/>
              <w:tr2bl w:val="nil"/>
            </w:tcBorders>
            <w:vAlign w:val="center"/>
          </w:tcPr>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（1）不同供应商的响应文件由同一单位或者个人编制；</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（2）不同供应商委托同一单位或者个人办理磋商事宜；</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（3）不同供应商的响应文件载明的项目管理成员或者联系人员为同一人；</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（4）不同供应商的响应文件异常一致或者磋商报价呈规律性差异；</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（5）不同供应商的响应文件相互混装；</w:t>
            </w:r>
          </w:p>
          <w:p>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）法律、法规和竞争性磋商文件规定的其他无效情形。</w:t>
            </w:r>
          </w:p>
        </w:tc>
      </w:tr>
    </w:tbl>
    <w:p>
      <w:pPr>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sz w:val="24"/>
          <w:szCs w:val="24"/>
          <w:highlight w:val="none"/>
          <w:lang w:eastAsia="zh-CN"/>
        </w:rPr>
      </w:pPr>
    </w:p>
    <w:p>
      <w:pPr>
        <w:keepNext w:val="0"/>
        <w:keepLines w:val="0"/>
        <w:pageBreakBefore w:val="0"/>
        <w:numPr>
          <w:ilvl w:val="0"/>
          <w:numId w:val="0"/>
        </w:numPr>
        <w:kinsoku/>
        <w:wordWrap w:val="0"/>
        <w:overflowPunct/>
        <w:topLinePunct w:val="0"/>
        <w:autoSpaceDE/>
        <w:autoSpaceDN/>
        <w:bidi w:val="0"/>
        <w:adjustRightInd/>
        <w:snapToGrid/>
        <w:spacing w:line="360" w:lineRule="auto"/>
        <w:ind w:lef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详细评审</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482" w:firstLineChars="200"/>
        <w:jc w:val="center"/>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b/>
          <w:bCs/>
          <w:i w:val="0"/>
          <w:iCs w:val="0"/>
          <w:caps w:val="0"/>
          <w:color w:val="auto"/>
          <w:spacing w:val="0"/>
          <w:sz w:val="24"/>
          <w:szCs w:val="24"/>
          <w:highlight w:val="none"/>
          <w:shd w:val="clear" w:fill="FFFFFF"/>
        </w:rPr>
        <w:t>强化政府采购异常低价审查</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rPr>
        <w:t>政府采购评审中出现下列情形之一的，评审委员会应当启动异常低价投标（响应）审查程序：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投标（响应）报价低于全部通过符合性审查供应商投标（响应）报价平均值50%的，即投标（响应）报价&lt;全部通过符合性审查供应商投标（响应）报价平均值×50%；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投标（响应）报价低于通过符合性审查的次低报价供应商投标（响应）报价50%的，即投标（响应）报价&lt;通过符合性审查的次低报价供应商投标（响应）报价×50%；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投标（响应）报价低于采购项目最高限价45%的，即投标（响应）报价&lt;采购项目最高限价×45%；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评审委员会基于专业判断，认为供应商报价过低，有可能影响产品质量或者不能诚信履约的其他情形。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相关法律法规对供应商报价有规定的，从其规定。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w:t>
      </w:r>
      <w:r>
        <w:rPr>
          <w:rFonts w:hint="eastAsia" w:ascii="宋体" w:hAnsi="宋体" w:eastAsia="宋体" w:cs="宋体"/>
          <w:i w:val="0"/>
          <w:iCs w:val="0"/>
          <w:caps w:val="0"/>
          <w:color w:val="auto"/>
          <w:spacing w:val="0"/>
          <w:sz w:val="24"/>
          <w:szCs w:val="24"/>
          <w:highlight w:val="none"/>
          <w:shd w:val="clear" w:fill="FFFFFF"/>
          <w:lang w:val="en-US" w:eastAsia="zh-CN"/>
        </w:rPr>
        <w:t>2.</w:t>
      </w:r>
      <w:r>
        <w:rPr>
          <w:rFonts w:hint="eastAsia" w:ascii="宋体" w:hAnsi="宋体" w:eastAsia="宋体" w:cs="宋体"/>
          <w:i w:val="0"/>
          <w:iCs w:val="0"/>
          <w:caps w:val="0"/>
          <w:color w:val="auto"/>
          <w:spacing w:val="0"/>
          <w:sz w:val="24"/>
          <w:szCs w:val="24"/>
          <w:highlight w:val="none"/>
          <w:shd w:val="clear" w:fill="FFFFFF"/>
        </w:rPr>
        <w:t>评审委员会启动异常低价投标（响应）审查后，属于前述第</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1</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项至第</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项情形的，应当要求相关供应商在评审</w:t>
      </w:r>
      <w:r>
        <w:rPr>
          <w:rFonts w:hint="eastAsia" w:ascii="宋体" w:hAnsi="宋体" w:eastAsia="宋体" w:cs="宋体"/>
          <w:i w:val="0"/>
          <w:iCs w:val="0"/>
          <w:caps w:val="0"/>
          <w:color w:val="auto"/>
          <w:spacing w:val="0"/>
          <w:sz w:val="24"/>
          <w:szCs w:val="24"/>
          <w:highlight w:val="none"/>
          <w:shd w:val="clear" w:fill="FFFFFF"/>
          <w:lang w:val="en-US" w:eastAsia="zh-CN"/>
        </w:rPr>
        <w:t>阶段</w:t>
      </w:r>
      <w:r>
        <w:rPr>
          <w:rFonts w:hint="eastAsia" w:ascii="宋体" w:hAnsi="宋体" w:eastAsia="宋体" w:cs="宋体"/>
          <w:i w:val="0"/>
          <w:iCs w:val="0"/>
          <w:caps w:val="0"/>
          <w:color w:val="auto"/>
          <w:spacing w:val="0"/>
          <w:sz w:val="24"/>
          <w:szCs w:val="24"/>
          <w:highlight w:val="none"/>
          <w:shd w:val="clear" w:fill="FFFFFF"/>
        </w:rPr>
        <w:t>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项情形，供应商已随投标（响应）文件一并提交相关书面说明及必要的证明材料的，在</w:t>
      </w:r>
      <w:r>
        <w:rPr>
          <w:rFonts w:hint="eastAsia" w:ascii="宋体" w:hAnsi="宋体" w:eastAsia="宋体" w:cs="宋体"/>
          <w:i w:val="0"/>
          <w:iCs w:val="0"/>
          <w:caps w:val="0"/>
          <w:color w:val="auto"/>
          <w:spacing w:val="0"/>
          <w:sz w:val="24"/>
          <w:szCs w:val="24"/>
          <w:highlight w:val="none"/>
          <w:shd w:val="clear" w:fill="FFFFFF"/>
          <w:lang w:val="en-US" w:eastAsia="zh-CN"/>
        </w:rPr>
        <w:t>评审阶段</w:t>
      </w:r>
      <w:r>
        <w:rPr>
          <w:rFonts w:hint="eastAsia" w:ascii="宋体" w:hAnsi="宋体" w:eastAsia="宋体" w:cs="宋体"/>
          <w:i w:val="0"/>
          <w:iCs w:val="0"/>
          <w:caps w:val="0"/>
          <w:color w:val="auto"/>
          <w:spacing w:val="0"/>
          <w:sz w:val="24"/>
          <w:szCs w:val="24"/>
          <w:highlight w:val="none"/>
          <w:shd w:val="clear" w:fill="FFFFFF"/>
        </w:rPr>
        <w:t>可不再重复提交。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pStyle w:val="29"/>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fill="FFFFFF"/>
        </w:rPr>
        <w:t>　　采购人、采购代理机构应当为评审委员会在</w:t>
      </w:r>
      <w:r>
        <w:rPr>
          <w:rFonts w:hint="eastAsia" w:ascii="宋体" w:hAnsi="宋体" w:eastAsia="宋体" w:cs="宋体"/>
          <w:i w:val="0"/>
          <w:iCs w:val="0"/>
          <w:caps w:val="0"/>
          <w:color w:val="auto"/>
          <w:spacing w:val="0"/>
          <w:sz w:val="24"/>
          <w:szCs w:val="24"/>
          <w:highlight w:val="none"/>
          <w:shd w:val="clear" w:fill="FFFFFF"/>
          <w:lang w:eastAsia="zh-CN"/>
        </w:rPr>
        <w:t>评审阶段</w:t>
      </w:r>
      <w:r>
        <w:rPr>
          <w:rFonts w:hint="eastAsia" w:ascii="宋体" w:hAnsi="宋体" w:eastAsia="宋体" w:cs="宋体"/>
          <w:i w:val="0"/>
          <w:iCs w:val="0"/>
          <w:caps w:val="0"/>
          <w:color w:val="auto"/>
          <w:spacing w:val="0"/>
          <w:sz w:val="24"/>
          <w:szCs w:val="24"/>
          <w:highlight w:val="none"/>
          <w:shd w:val="clear" w:fill="FFFFFF"/>
        </w:rPr>
        <w:t>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 </w:t>
      </w:r>
    </w:p>
    <w:p>
      <w:pPr>
        <w:pStyle w:val="2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各级财政部门应当加强对评审专家的指导和监管，进一步压实评审专家的责任。财政部门在投诉处理、监督检查中发现评审委员会未按规定对异常低价开展审查的，依法予以纠正并追究评审专家的法律责任。</w:t>
      </w:r>
    </w:p>
    <w:tbl>
      <w:tblPr>
        <w:tblStyle w:val="41"/>
        <w:tblW w:w="1026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439"/>
        <w:gridCol w:w="1221"/>
        <w:gridCol w:w="1124"/>
        <w:gridCol w:w="5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both"/>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 分 因 素</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分 值 分 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最后磋商报价</w:t>
            </w:r>
            <w:r>
              <w:rPr>
                <w:rFonts w:hint="eastAsia" w:asciiTheme="minorEastAsia" w:hAnsiTheme="minorEastAsia" w:eastAsiaTheme="minorEastAsia" w:cstheme="minorEastAsia"/>
                <w:color w:val="auto"/>
                <w:sz w:val="24"/>
                <w:szCs w:val="24"/>
                <w:highlight w:val="none"/>
              </w:rPr>
              <w:t>部分得分</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商务技术部分得分</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2" w:hRule="exact"/>
          <w:jc w:val="center"/>
        </w:trPr>
        <w:tc>
          <w:tcPr>
            <w:tcW w:w="4360" w:type="dxa"/>
            <w:gridSpan w:val="4"/>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w:t>
            </w:r>
          </w:p>
        </w:tc>
        <w:tc>
          <w:tcPr>
            <w:tcW w:w="5905" w:type="dxa"/>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59"/>
              <w:numPr>
                <w:ilvl w:val="0"/>
                <w:numId w:val="0"/>
              </w:numPr>
              <w:snapToGrid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59"/>
              <w:numPr>
                <w:ilvl w:val="0"/>
                <w:numId w:val="0"/>
              </w:numPr>
              <w:snapToGrid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序号</w:t>
            </w:r>
          </w:p>
        </w:tc>
        <w:tc>
          <w:tcPr>
            <w:tcW w:w="1439"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59"/>
              <w:numPr>
                <w:ilvl w:val="0"/>
                <w:numId w:val="0"/>
              </w:numPr>
              <w:snapToGrid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评分内容及分值</w:t>
            </w:r>
          </w:p>
        </w:tc>
        <w:tc>
          <w:tcPr>
            <w:tcW w:w="825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59"/>
              <w:numPr>
                <w:ilvl w:val="0"/>
                <w:numId w:val="0"/>
              </w:numPr>
              <w:snapToGrid w:val="0"/>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5"/>
              <w:spacing w:line="440" w:lineRule="exact"/>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439"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5"/>
              <w:spacing w:line="440" w:lineRule="exact"/>
              <w:ind w:left="0" w:leftChars="0" w:firstLine="0" w:firstLineChars="0"/>
              <w:jc w:val="cente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zh-CN"/>
              </w:rPr>
              <w:t>最后磋商报价</w:t>
            </w:r>
            <w:r>
              <w:rPr>
                <w:rFonts w:hint="eastAsia" w:asciiTheme="minorEastAsia" w:hAnsiTheme="minorEastAsia" w:eastAsiaTheme="minorEastAsia" w:cstheme="minorEastAsia"/>
                <w:b w:val="0"/>
                <w:bCs w:val="0"/>
                <w:color w:val="auto"/>
                <w:sz w:val="24"/>
                <w:szCs w:val="24"/>
                <w:highlight w:val="none"/>
              </w:rPr>
              <w:t>评分</w:t>
            </w:r>
          </w:p>
          <w:p>
            <w:pPr>
              <w:pStyle w:val="15"/>
              <w:spacing w:line="440" w:lineRule="exact"/>
              <w:ind w:left="0" w:leftChars="0" w:firstLine="0" w:firstLineChars="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30</w:t>
            </w:r>
            <w:r>
              <w:rPr>
                <w:rFonts w:hint="eastAsia" w:asciiTheme="minorEastAsia" w:hAnsiTheme="minorEastAsia" w:eastAsiaTheme="minorEastAsia" w:cstheme="minorEastAsia"/>
                <w:b w:val="0"/>
                <w:bCs w:val="0"/>
                <w:color w:val="auto"/>
                <w:sz w:val="24"/>
                <w:szCs w:val="24"/>
                <w:highlight w:val="none"/>
              </w:rPr>
              <w:t>分）</w:t>
            </w:r>
          </w:p>
        </w:tc>
        <w:tc>
          <w:tcPr>
            <w:tcW w:w="8250" w:type="dxa"/>
            <w:gridSpan w:val="3"/>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(评标基准价/报价)×报价分值（小数点保留两位）</w:t>
            </w:r>
          </w:p>
          <w:p>
            <w:pPr>
              <w:spacing w:line="360" w:lineRule="auto"/>
              <w:jc w:val="left"/>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评标基准价：以满足</w:t>
            </w:r>
            <w:r>
              <w:rPr>
                <w:rFonts w:hint="eastAsia" w:asciiTheme="minorEastAsia" w:hAnsiTheme="minorEastAsia" w:eastAsiaTheme="minorEastAsia" w:cstheme="minorEastAsia"/>
                <w:b/>
                <w:bCs/>
                <w:color w:val="auto"/>
                <w:sz w:val="24"/>
                <w:szCs w:val="24"/>
                <w:highlight w:val="none"/>
                <w:lang w:eastAsia="zh-CN"/>
              </w:rPr>
              <w:t>招标</w:t>
            </w:r>
            <w:r>
              <w:rPr>
                <w:rFonts w:hint="eastAsia" w:asciiTheme="minorEastAsia" w:hAnsiTheme="minorEastAsia" w:eastAsiaTheme="minorEastAsia" w:cstheme="minorEastAsia"/>
                <w:b/>
                <w:bCs/>
                <w:color w:val="auto"/>
                <w:sz w:val="24"/>
                <w:szCs w:val="24"/>
                <w:highlight w:val="none"/>
              </w:rPr>
              <w:t>文件要求且投标价格最低的有效报价为评标基准价，其价格分为满分，其他</w:t>
            </w:r>
            <w:r>
              <w:rPr>
                <w:rFonts w:hint="eastAsia" w:asciiTheme="minorEastAsia" w:hAnsiTheme="minorEastAsia" w:eastAsiaTheme="minorEastAsia" w:cstheme="minorEastAsia"/>
                <w:b/>
                <w:bCs/>
                <w:color w:val="auto"/>
                <w:sz w:val="24"/>
                <w:szCs w:val="24"/>
                <w:highlight w:val="none"/>
                <w:lang w:val="en-US" w:eastAsia="zh-CN"/>
              </w:rPr>
              <w:t>投标</w:t>
            </w:r>
            <w:r>
              <w:rPr>
                <w:rFonts w:hint="eastAsia" w:asciiTheme="minorEastAsia" w:hAnsiTheme="minorEastAsia" w:eastAsiaTheme="minorEastAsia" w:cstheme="minorEastAsia"/>
                <w:b/>
                <w:bCs/>
                <w:color w:val="auto"/>
                <w:sz w:val="24"/>
                <w:szCs w:val="24"/>
                <w:highlight w:val="none"/>
              </w:rPr>
              <w:t>人的价格统一按上述报价公式计算。</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eastAsia="zh-CN"/>
              </w:rPr>
              <w:t>备</w:t>
            </w:r>
            <w:r>
              <w:rPr>
                <w:rFonts w:hint="eastAsia" w:asciiTheme="minorEastAsia" w:hAnsiTheme="minorEastAsia" w:eastAsiaTheme="minorEastAsia" w:cstheme="minorEastAsia"/>
                <w:b w:val="0"/>
                <w:bCs w:val="0"/>
                <w:color w:val="auto"/>
                <w:sz w:val="24"/>
                <w:szCs w:val="24"/>
                <w:highlight w:val="none"/>
              </w:rPr>
              <w:t>注：</w:t>
            </w:r>
          </w:p>
          <w:p>
            <w:pPr>
              <w:spacing w:line="360" w:lineRule="auto"/>
              <w:jc w:val="left"/>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①根据《</w:t>
            </w:r>
            <w:r>
              <w:rPr>
                <w:rFonts w:hint="eastAsia" w:asciiTheme="minorEastAsia" w:hAnsiTheme="minorEastAsia" w:eastAsiaTheme="minorEastAsia" w:cstheme="minorEastAsia"/>
                <w:b w:val="0"/>
                <w:bCs w:val="0"/>
                <w:color w:val="auto"/>
                <w:sz w:val="24"/>
                <w:szCs w:val="24"/>
                <w:highlight w:val="none"/>
                <w:lang w:val="en-US" w:eastAsia="zh-CN"/>
              </w:rPr>
              <w:t>关于推动解决政府采购异常低价问题的通知</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财库〔2026〕2号</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eastAsia="zh-CN"/>
              </w:rPr>
              <w:t>当</w:t>
            </w:r>
            <w:bookmarkStart w:id="354" w:name="OLE_LINK1"/>
            <w:r>
              <w:rPr>
                <w:rFonts w:hint="eastAsia" w:asciiTheme="minorEastAsia" w:hAnsiTheme="minorEastAsia" w:eastAsiaTheme="minorEastAsia" w:cstheme="minorEastAsia"/>
                <w:b w:val="0"/>
                <w:bCs w:val="0"/>
                <w:color w:val="auto"/>
                <w:sz w:val="24"/>
                <w:szCs w:val="24"/>
                <w:highlight w:val="none"/>
              </w:rPr>
              <w:t>投标人</w:t>
            </w:r>
            <w:bookmarkEnd w:id="354"/>
            <w:r>
              <w:rPr>
                <w:rFonts w:hint="eastAsia" w:asciiTheme="minorEastAsia" w:hAnsiTheme="minorEastAsia" w:eastAsiaTheme="minorEastAsia" w:cstheme="minorEastAsia"/>
                <w:b w:val="0"/>
                <w:bCs w:val="0"/>
                <w:color w:val="auto"/>
                <w:sz w:val="24"/>
                <w:szCs w:val="24"/>
                <w:highlight w:val="none"/>
              </w:rPr>
              <w:t>的</w:t>
            </w:r>
            <w:r>
              <w:rPr>
                <w:rFonts w:hint="eastAsia" w:asciiTheme="minorEastAsia" w:hAnsiTheme="minorEastAsia" w:eastAsiaTheme="minorEastAsia" w:cstheme="minorEastAsia"/>
                <w:b w:val="0"/>
                <w:bCs w:val="0"/>
                <w:color w:val="auto"/>
                <w:sz w:val="24"/>
                <w:szCs w:val="24"/>
                <w:highlight w:val="none"/>
                <w:lang w:eastAsia="zh-CN"/>
              </w:rPr>
              <w:t>报价属于异常低价的情形之一，</w:t>
            </w:r>
            <w:r>
              <w:rPr>
                <w:rFonts w:hint="eastAsia" w:asciiTheme="minorEastAsia" w:hAnsiTheme="minorEastAsia" w:eastAsiaTheme="minorEastAsia" w:cstheme="minorEastAsia"/>
                <w:b w:val="0"/>
                <w:bCs w:val="0"/>
                <w:color w:val="auto"/>
                <w:sz w:val="24"/>
                <w:szCs w:val="24"/>
                <w:highlight w:val="none"/>
              </w:rPr>
              <w:t>评审委员会启动异常低价投标（响应）审查程序</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投标人应在评审现场合理的时间内对投标（响应）价格作出解释，提供项目具体成本测算等与报价合理性相关的书面说明及必要的证明材料，包括但不限于原材料成本、人工成本、制造费用等</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将其作为无效投标（响应）处理</w:t>
            </w:r>
            <w:r>
              <w:rPr>
                <w:rFonts w:hint="eastAsia" w:asciiTheme="minorEastAsia" w:hAnsiTheme="minorEastAsia" w:eastAsiaTheme="minorEastAsia" w:cstheme="minorEastAsia"/>
                <w:b w:val="0"/>
                <w:bCs w:val="0"/>
                <w:color w:val="auto"/>
                <w:sz w:val="24"/>
                <w:szCs w:val="24"/>
                <w:highlight w:val="none"/>
                <w:lang w:eastAsia="zh-CN"/>
              </w:rPr>
              <w:t>；</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②计算结果不为整数时保留2位小数；</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③执行《中小企业划型标准规定》《政府采购促进中小企业发展管理办法》(财库[2020]46号)《财政部关于进一步加大政府采购支持中小企业力度的通知》（财库﹝2022﹞19 号），小微企业、监狱企业、残疾人福利性单位，对所投产品、工程或者服务供应商的价格给予10%的扣除，用扣除后的价格参与评审。请投标人根据自身情况提供</w:t>
            </w:r>
            <w:r>
              <w:rPr>
                <w:rFonts w:hint="eastAsia" w:asciiTheme="minorEastAsia" w:hAnsiTheme="minorEastAsia" w:eastAsiaTheme="minorEastAsia" w:cstheme="minorEastAsia"/>
                <w:b w:val="0"/>
                <w:bCs w:val="0"/>
                <w:color w:val="auto"/>
                <w:sz w:val="24"/>
                <w:szCs w:val="24"/>
                <w:highlight w:val="none"/>
                <w:lang w:val="en-US" w:eastAsia="zh-CN"/>
              </w:rPr>
              <w:t>制造商</w:t>
            </w:r>
            <w:r>
              <w:rPr>
                <w:rFonts w:hint="eastAsia" w:asciiTheme="minorEastAsia" w:hAnsiTheme="minorEastAsia" w:eastAsiaTheme="minorEastAsia" w:cstheme="minorEastAsia"/>
                <w:b w:val="0"/>
                <w:bCs w:val="0"/>
                <w:color w:val="auto"/>
                <w:sz w:val="24"/>
                <w:szCs w:val="24"/>
                <w:highlight w:val="none"/>
              </w:rPr>
              <w:t>小微企业声明函</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货物由小</w:t>
            </w:r>
            <w:r>
              <w:rPr>
                <w:rFonts w:hint="eastAsia" w:asciiTheme="minorEastAsia" w:hAnsiTheme="minorEastAsia" w:eastAsiaTheme="minorEastAsia" w:cstheme="minorEastAsia"/>
                <w:b w:val="0"/>
                <w:bCs w:val="0"/>
                <w:color w:val="auto"/>
                <w:sz w:val="24"/>
                <w:szCs w:val="24"/>
                <w:highlight w:val="none"/>
                <w:lang w:val="en-US" w:eastAsia="zh-CN"/>
              </w:rPr>
              <w:t>微</w:t>
            </w:r>
            <w:r>
              <w:rPr>
                <w:rFonts w:hint="eastAsia" w:asciiTheme="minorEastAsia" w:hAnsiTheme="minorEastAsia" w:eastAsiaTheme="minorEastAsia" w:cstheme="minorEastAsia"/>
                <w:b w:val="0"/>
                <w:bCs w:val="0"/>
                <w:color w:val="auto"/>
                <w:sz w:val="24"/>
                <w:szCs w:val="24"/>
                <w:highlight w:val="none"/>
              </w:rPr>
              <w:t>企业制造，即货物由小</w:t>
            </w:r>
            <w:r>
              <w:rPr>
                <w:rFonts w:hint="eastAsia" w:asciiTheme="minorEastAsia" w:hAnsiTheme="minorEastAsia" w:eastAsiaTheme="minorEastAsia" w:cstheme="minorEastAsia"/>
                <w:b w:val="0"/>
                <w:bCs w:val="0"/>
                <w:color w:val="auto"/>
                <w:sz w:val="24"/>
                <w:szCs w:val="24"/>
                <w:highlight w:val="none"/>
                <w:lang w:val="en-US" w:eastAsia="zh-CN"/>
              </w:rPr>
              <w:t>微</w:t>
            </w:r>
            <w:r>
              <w:rPr>
                <w:rFonts w:hint="eastAsia" w:asciiTheme="minorEastAsia" w:hAnsiTheme="minorEastAsia" w:eastAsiaTheme="minorEastAsia" w:cstheme="minorEastAsia"/>
                <w:b w:val="0"/>
                <w:bCs w:val="0"/>
                <w:color w:val="auto"/>
                <w:sz w:val="24"/>
                <w:szCs w:val="24"/>
                <w:highlight w:val="none"/>
              </w:rPr>
              <w:t>企业生产且使用该小</w:t>
            </w:r>
            <w:r>
              <w:rPr>
                <w:rFonts w:hint="eastAsia" w:asciiTheme="minorEastAsia" w:hAnsiTheme="minorEastAsia" w:eastAsiaTheme="minorEastAsia" w:cstheme="minorEastAsia"/>
                <w:b w:val="0"/>
                <w:bCs w:val="0"/>
                <w:color w:val="auto"/>
                <w:sz w:val="24"/>
                <w:szCs w:val="24"/>
                <w:highlight w:val="none"/>
                <w:lang w:val="en-US" w:eastAsia="zh-CN"/>
              </w:rPr>
              <w:t>微</w:t>
            </w:r>
            <w:r>
              <w:rPr>
                <w:rFonts w:hint="eastAsia" w:asciiTheme="minorEastAsia" w:hAnsiTheme="minorEastAsia" w:eastAsiaTheme="minorEastAsia" w:cstheme="minorEastAsia"/>
                <w:b w:val="0"/>
                <w:bCs w:val="0"/>
                <w:color w:val="auto"/>
                <w:sz w:val="24"/>
                <w:szCs w:val="24"/>
                <w:highlight w:val="none"/>
              </w:rPr>
              <w:t>企业商号或者注册商标</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，无小微企业声明函的在价格评分时不对投标报价进行扣除。</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④本国产品价格评审优惠：在本项目有本国产品与非本国产品共同参与竞争的前提下，投标人提供的符合本国产品标准的产品成本之和，占其提供的全部产品成本之和的比例达到80%及以上的，对其全部产品总报价给予20%的价格扣除，即：评标价=投标报价-(投标报价*20%)。</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⑤多重优惠政策价格评审优惠：投标人同时满足上述小</w:t>
            </w:r>
            <w:r>
              <w:rPr>
                <w:rFonts w:hint="eastAsia" w:asciiTheme="minorEastAsia" w:hAnsiTheme="minorEastAsia" w:eastAsiaTheme="minorEastAsia" w:cstheme="minorEastAsia"/>
                <w:b w:val="0"/>
                <w:bCs w:val="0"/>
                <w:color w:val="auto"/>
                <w:sz w:val="24"/>
                <w:szCs w:val="24"/>
                <w:highlight w:val="none"/>
                <w:lang w:eastAsia="zh-CN"/>
              </w:rPr>
              <w:t>微</w:t>
            </w:r>
            <w:r>
              <w:rPr>
                <w:rFonts w:hint="eastAsia" w:asciiTheme="minorEastAsia" w:hAnsiTheme="minorEastAsia" w:eastAsiaTheme="minorEastAsia" w:cstheme="minorEastAsia"/>
                <w:b w:val="0"/>
                <w:bCs w:val="0"/>
                <w:color w:val="auto"/>
                <w:sz w:val="24"/>
                <w:szCs w:val="24"/>
                <w:highlight w:val="none"/>
              </w:rPr>
              <w:t xml:space="preserve">企业（含监狱企业、残疾人福利性单位）及本国产品价格扣除条件的，在投标人原始报价基础上计算，用扣除后的价格参与评审，即：评标价=投标报价-(投标报价*10%)-(投标报价*20%)。 </w:t>
            </w:r>
            <w:r>
              <w:rPr>
                <w:rFonts w:hint="eastAsia" w:asciiTheme="minorEastAsia" w:hAnsiTheme="minorEastAsia" w:eastAsiaTheme="minorEastAsia" w:cstheme="minorEastAsia"/>
                <w:b/>
                <w:bCs/>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1688" w:hRule="atLeast"/>
          <w:jc w:val="center"/>
        </w:trPr>
        <w:tc>
          <w:tcPr>
            <w:tcW w:w="576"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p>
          <w:p>
            <w:pPr>
              <w:ind w:firstLine="240" w:firstLineChars="1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39" w:type="dxa"/>
            <w:vMerge w:val="restart"/>
            <w:tcBorders>
              <w:top w:val="single" w:color="000000" w:sz="8" w:space="0"/>
              <w:left w:val="single" w:color="000000" w:sz="8" w:space="0"/>
              <w:right w:val="single" w:color="000000" w:sz="8" w:space="0"/>
            </w:tcBorders>
            <w:shd w:val="clear" w:color="auto" w:fill="FFFFFF"/>
            <w:tcMar>
              <w:top w:w="0" w:type="dxa"/>
              <w:left w:w="113" w:type="dxa"/>
              <w:bottom w:w="0" w:type="dxa"/>
              <w:right w:w="113" w:type="dxa"/>
            </w:tcMar>
            <w:vAlign w:val="center"/>
          </w:tcPr>
          <w:p>
            <w:pPr>
              <w:rPr>
                <w:rFonts w:hint="eastAsia" w:asciiTheme="minorEastAsia" w:hAnsiTheme="minorEastAsia" w:eastAsiaTheme="minorEastAsia" w:cstheme="minorEastAsia"/>
                <w:b/>
                <w:color w:val="auto"/>
                <w:sz w:val="24"/>
                <w:szCs w:val="24"/>
                <w:highlight w:val="none"/>
              </w:rPr>
            </w:pPr>
          </w:p>
          <w:p>
            <w:pPr>
              <w:pStyle w:val="15"/>
              <w:spacing w:line="440" w:lineRule="exact"/>
              <w:ind w:left="0" w:leftChars="0" w:firstLine="0" w:firstLineChars="0"/>
              <w:jc w:val="center"/>
              <w:rPr>
                <w:rFonts w:hint="eastAsia" w:asciiTheme="minorEastAsia" w:hAnsiTheme="minorEastAsia" w:eastAsiaTheme="minorEastAsia" w:cstheme="minorEastAsia"/>
                <w:b/>
                <w:bCs/>
                <w:color w:val="auto"/>
                <w:sz w:val="24"/>
                <w:szCs w:val="24"/>
                <w:highlight w:val="none"/>
                <w:lang w:val="zh-CN"/>
              </w:rPr>
            </w:pPr>
          </w:p>
          <w:p>
            <w:pPr>
              <w:pStyle w:val="15"/>
              <w:spacing w:line="440" w:lineRule="exact"/>
              <w:ind w:left="0" w:leftChars="0" w:firstLine="0" w:firstLineChars="0"/>
              <w:jc w:val="center"/>
              <w:rPr>
                <w:rFonts w:hint="eastAsia" w:asciiTheme="minorEastAsia" w:hAnsiTheme="minorEastAsia" w:eastAsiaTheme="minorEastAsia" w:cstheme="minorEastAsia"/>
                <w:b/>
                <w:bCs/>
                <w:color w:val="auto"/>
                <w:sz w:val="24"/>
                <w:szCs w:val="24"/>
                <w:highlight w:val="none"/>
                <w:lang w:val="zh-CN"/>
              </w:rPr>
            </w:pPr>
          </w:p>
          <w:p>
            <w:pPr>
              <w:pStyle w:val="15"/>
              <w:spacing w:line="440" w:lineRule="exact"/>
              <w:ind w:left="0" w:leftChars="0" w:firstLine="0" w:firstLineChars="0"/>
              <w:jc w:val="center"/>
              <w:rPr>
                <w:rFonts w:hint="eastAsia" w:asciiTheme="minorEastAsia" w:hAnsiTheme="minorEastAsia" w:eastAsiaTheme="minorEastAsia" w:cstheme="minorEastAsia"/>
                <w:b/>
                <w:bCs/>
                <w:color w:val="auto"/>
                <w:sz w:val="24"/>
                <w:szCs w:val="24"/>
                <w:highlight w:val="none"/>
                <w:lang w:val="zh-CN"/>
              </w:rPr>
            </w:pPr>
          </w:p>
          <w:p>
            <w:pPr>
              <w:pStyle w:val="15"/>
              <w:spacing w:line="440" w:lineRule="exact"/>
              <w:ind w:left="0" w:leftChars="0" w:firstLine="0" w:firstLineChars="0"/>
              <w:jc w:val="center"/>
              <w:rPr>
                <w:rFonts w:hint="eastAsia" w:asciiTheme="minorEastAsia" w:hAnsiTheme="minorEastAsia" w:eastAsiaTheme="minorEastAsia" w:cstheme="minorEastAsia"/>
                <w:b/>
                <w:bCs/>
                <w:color w:val="auto"/>
                <w:sz w:val="24"/>
                <w:szCs w:val="24"/>
                <w:highlight w:val="none"/>
                <w:lang w:val="zh-CN"/>
              </w:rPr>
            </w:pPr>
          </w:p>
          <w:p>
            <w:pPr>
              <w:pStyle w:val="15"/>
              <w:spacing w:line="440" w:lineRule="exact"/>
              <w:ind w:left="0" w:leftChars="0" w:firstLine="0" w:firstLineChars="0"/>
              <w:jc w:val="center"/>
              <w:rPr>
                <w:rFonts w:hint="eastAsia" w:asciiTheme="minorEastAsia" w:hAnsiTheme="minorEastAsia" w:eastAsiaTheme="minorEastAsia" w:cstheme="minorEastAsia"/>
                <w:b/>
                <w:bCs/>
                <w:color w:val="auto"/>
                <w:sz w:val="24"/>
                <w:szCs w:val="24"/>
                <w:highlight w:val="none"/>
                <w:lang w:val="zh-CN"/>
              </w:rPr>
            </w:pPr>
          </w:p>
          <w:p>
            <w:pPr>
              <w:spacing w:line="360" w:lineRule="auto"/>
              <w:jc w:val="center"/>
              <w:rPr>
                <w:rFonts w:hint="eastAsia" w:asciiTheme="minorEastAsia" w:hAnsiTheme="minorEastAsia" w:eastAsiaTheme="minorEastAsia" w:cstheme="minorEastAsia"/>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val="zh-CN"/>
              </w:rPr>
              <w:t>商务技术</w:t>
            </w:r>
          </w:p>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w:t>
            </w:r>
          </w:p>
          <w:p>
            <w:pPr>
              <w:spacing w:line="360" w:lineRule="auto"/>
              <w:jc w:val="cente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70</w:t>
            </w:r>
            <w:r>
              <w:rPr>
                <w:rFonts w:hint="eastAsia" w:asciiTheme="minorEastAsia" w:hAnsiTheme="minorEastAsia" w:eastAsiaTheme="minorEastAsia" w:cstheme="minorEastAsia"/>
                <w:color w:val="auto"/>
                <w:sz w:val="24"/>
                <w:szCs w:val="24"/>
                <w:highlight w:val="none"/>
              </w:rPr>
              <w:t>分）</w:t>
            </w:r>
          </w:p>
        </w:tc>
        <w:tc>
          <w:tcPr>
            <w:tcW w:w="1221"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pStyle w:val="15"/>
              <w:spacing w:line="440" w:lineRule="exact"/>
              <w:ind w:left="0" w:leftChars="0" w:firstLine="0" w:firstLineChars="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zh-CN"/>
              </w:rPr>
              <w:t>技术参数响应评审（</w:t>
            </w:r>
            <w:r>
              <w:rPr>
                <w:rFonts w:hint="eastAsia" w:asciiTheme="minorEastAsia" w:hAnsiTheme="minorEastAsia" w:eastAsiaTheme="minorEastAsia" w:cstheme="minorEastAsia"/>
                <w:b w:val="0"/>
                <w:bCs w:val="0"/>
                <w:color w:val="auto"/>
                <w:sz w:val="24"/>
                <w:szCs w:val="24"/>
                <w:highlight w:val="none"/>
                <w:lang w:val="en-US" w:eastAsia="zh-CN"/>
              </w:rPr>
              <w:t>32</w:t>
            </w:r>
            <w:r>
              <w:rPr>
                <w:rFonts w:hint="eastAsia" w:asciiTheme="minorEastAsia" w:hAnsiTheme="minorEastAsia" w:eastAsiaTheme="minorEastAsia" w:cstheme="minorEastAsia"/>
                <w:b w:val="0"/>
                <w:bCs w:val="0"/>
                <w:color w:val="auto"/>
                <w:sz w:val="24"/>
                <w:szCs w:val="24"/>
                <w:highlight w:val="none"/>
                <w:lang w:val="zh-CN"/>
              </w:rPr>
              <w:t>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磋商小组视供应商的投标产品技术参数打分：23类产品中，</w:t>
            </w:r>
            <w:r>
              <w:rPr>
                <w:rFonts w:hint="eastAsia" w:asciiTheme="minorEastAsia" w:hAnsiTheme="minorEastAsia" w:eastAsiaTheme="minorEastAsia" w:cstheme="minorEastAsia"/>
                <w:b/>
                <w:bCs/>
                <w:color w:val="auto"/>
                <w:sz w:val="24"/>
                <w:szCs w:val="24"/>
                <w:highlight w:val="none"/>
              </w:rPr>
              <w:t>带</w:t>
            </w:r>
            <w:r>
              <w:rPr>
                <w:rFonts w:hint="eastAsia" w:asciiTheme="minorEastAsia" w:hAnsiTheme="minorEastAsia" w:eastAsiaTheme="minorEastAsia" w:cstheme="minorEastAsia"/>
                <w:b/>
                <w:bCs/>
                <w:color w:val="auto"/>
                <w:sz w:val="24"/>
                <w:szCs w:val="24"/>
                <w:highlight w:val="none"/>
                <w:lang w:eastAsia="zh-CN"/>
              </w:rPr>
              <w:t>“</w:t>
            </w:r>
            <w:r>
              <w:rPr>
                <w:rFonts w:hint="eastAsia" w:asciiTheme="minorEastAsia" w:hAnsiTheme="minorEastAsia" w:eastAsiaTheme="minorEastAsia" w:cstheme="minorEastAsia"/>
                <w:b/>
                <w:bCs/>
                <w:color w:val="auto"/>
                <w:sz w:val="24"/>
                <w:szCs w:val="24"/>
                <w:highlight w:val="none"/>
              </w:rPr>
              <w:t>★</w:t>
            </w:r>
            <w:r>
              <w:rPr>
                <w:rFonts w:hint="eastAsia" w:asciiTheme="minorEastAsia" w:hAnsiTheme="minorEastAsia" w:eastAsiaTheme="minorEastAsia" w:cstheme="minorEastAsia"/>
                <w:b/>
                <w:bCs/>
                <w:color w:val="auto"/>
                <w:sz w:val="24"/>
                <w:szCs w:val="24"/>
                <w:highlight w:val="none"/>
                <w:lang w:eastAsia="zh-CN"/>
              </w:rPr>
              <w:t>”的</w:t>
            </w:r>
            <w:r>
              <w:rPr>
                <w:rFonts w:hint="eastAsia" w:asciiTheme="minorEastAsia" w:hAnsiTheme="minorEastAsia" w:eastAsiaTheme="minorEastAsia" w:cstheme="minorEastAsia"/>
                <w:b/>
                <w:bCs/>
                <w:color w:val="auto"/>
                <w:sz w:val="24"/>
                <w:szCs w:val="24"/>
                <w:highlight w:val="none"/>
                <w:lang w:val="en-US" w:eastAsia="zh-CN"/>
              </w:rPr>
              <w:t>7类</w:t>
            </w:r>
            <w:r>
              <w:rPr>
                <w:rFonts w:hint="eastAsia" w:asciiTheme="minorEastAsia" w:hAnsiTheme="minorEastAsia" w:eastAsiaTheme="minorEastAsia" w:cstheme="minorEastAsia"/>
                <w:b/>
                <w:bCs/>
                <w:color w:val="auto"/>
                <w:sz w:val="24"/>
                <w:szCs w:val="24"/>
                <w:highlight w:val="none"/>
                <w:lang w:eastAsia="zh-CN"/>
              </w:rPr>
              <w:t>产品为</w:t>
            </w:r>
            <w:r>
              <w:rPr>
                <w:rFonts w:hint="eastAsia" w:asciiTheme="minorEastAsia" w:hAnsiTheme="minorEastAsia" w:eastAsiaTheme="minorEastAsia" w:cstheme="minorEastAsia"/>
                <w:b/>
                <w:bCs/>
                <w:color w:val="auto"/>
                <w:sz w:val="24"/>
                <w:szCs w:val="24"/>
                <w:highlight w:val="none"/>
                <w:lang w:val="en-US" w:eastAsia="zh-CN"/>
              </w:rPr>
              <w:t>重要设备</w:t>
            </w:r>
            <w:r>
              <w:rPr>
                <w:rFonts w:hint="eastAsia" w:asciiTheme="minorEastAsia" w:hAnsiTheme="minorEastAsia" w:eastAsiaTheme="minorEastAsia" w:cstheme="minorEastAsia"/>
                <w:b/>
                <w:bCs/>
                <w:color w:val="auto"/>
                <w:sz w:val="24"/>
                <w:szCs w:val="24"/>
                <w:highlight w:val="none"/>
                <w:lang w:eastAsia="zh-CN"/>
              </w:rPr>
              <w:t>，不允许负偏离，如其参数出现负偏离本项得</w:t>
            </w:r>
            <w:r>
              <w:rPr>
                <w:rFonts w:hint="eastAsia" w:asciiTheme="minorEastAsia" w:hAnsiTheme="minorEastAsia" w:eastAsiaTheme="minorEastAsia" w:cstheme="minorEastAsia"/>
                <w:b/>
                <w:bCs/>
                <w:color w:val="auto"/>
                <w:sz w:val="24"/>
                <w:szCs w:val="24"/>
                <w:highlight w:val="none"/>
                <w:lang w:val="en-US" w:eastAsia="zh-CN"/>
              </w:rPr>
              <w:t>0分</w:t>
            </w:r>
            <w:r>
              <w:rPr>
                <w:rFonts w:hint="eastAsia" w:asciiTheme="minorEastAsia" w:hAnsiTheme="minorEastAsia" w:eastAsiaTheme="minorEastAsia" w:cstheme="minorEastAsia"/>
                <w:b/>
                <w:bCs/>
                <w:color w:val="auto"/>
                <w:sz w:val="24"/>
                <w:szCs w:val="24"/>
                <w:highlight w:val="none"/>
                <w:lang w:eastAsia="zh-CN"/>
              </w:rPr>
              <w:t>；其它</w:t>
            </w:r>
            <w:r>
              <w:rPr>
                <w:rFonts w:hint="eastAsia" w:asciiTheme="minorEastAsia" w:hAnsiTheme="minorEastAsia" w:eastAsiaTheme="minorEastAsia" w:cstheme="minorEastAsia"/>
                <w:b/>
                <w:bCs/>
                <w:color w:val="auto"/>
                <w:sz w:val="24"/>
                <w:szCs w:val="24"/>
                <w:highlight w:val="none"/>
                <w:lang w:val="en-US" w:eastAsia="zh-CN"/>
              </w:rPr>
              <w:t>16类产品</w:t>
            </w:r>
            <w:r>
              <w:rPr>
                <w:rFonts w:hint="eastAsia" w:asciiTheme="minorEastAsia" w:hAnsiTheme="minorEastAsia" w:eastAsiaTheme="minorEastAsia" w:cstheme="minorEastAsia"/>
                <w:b/>
                <w:bCs/>
                <w:color w:val="auto"/>
                <w:sz w:val="24"/>
                <w:szCs w:val="24"/>
                <w:highlight w:val="none"/>
                <w:lang w:eastAsia="zh-CN"/>
              </w:rPr>
              <w:t>，每</w:t>
            </w:r>
            <w:r>
              <w:rPr>
                <w:rFonts w:hint="eastAsia" w:asciiTheme="minorEastAsia" w:hAnsiTheme="minorEastAsia" w:eastAsiaTheme="minorEastAsia" w:cstheme="minorEastAsia"/>
                <w:b/>
                <w:bCs/>
                <w:color w:val="auto"/>
                <w:sz w:val="24"/>
                <w:szCs w:val="24"/>
                <w:highlight w:val="none"/>
                <w:lang w:val="en-US" w:eastAsia="zh-CN"/>
              </w:rPr>
              <w:t>有一类参数出现负偏离扣2分，该项分值扣完为止。</w:t>
            </w:r>
          </w:p>
          <w:p>
            <w:pPr>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备注：</w:t>
            </w:r>
            <w:r>
              <w:rPr>
                <w:rFonts w:hint="eastAsia" w:asciiTheme="minorEastAsia" w:hAnsiTheme="minorEastAsia" w:eastAsiaTheme="minorEastAsia" w:cstheme="minorEastAsia"/>
                <w:b w:val="0"/>
                <w:bCs w:val="0"/>
                <w:color w:val="auto"/>
                <w:sz w:val="24"/>
                <w:szCs w:val="24"/>
                <w:highlight w:val="none"/>
                <w:lang w:val="en-US" w:eastAsia="zh-CN"/>
              </w:rPr>
              <w:t>重要设备</w:t>
            </w:r>
            <w:r>
              <w:rPr>
                <w:rFonts w:hint="eastAsia" w:asciiTheme="minorEastAsia" w:hAnsiTheme="minorEastAsia" w:eastAsiaTheme="minorEastAsia" w:cstheme="minorEastAsia"/>
                <w:b w:val="0"/>
                <w:bCs w:val="0"/>
                <w:color w:val="auto"/>
                <w:sz w:val="24"/>
                <w:szCs w:val="24"/>
                <w:highlight w:val="none"/>
                <w:lang w:eastAsia="zh-CN"/>
              </w:rPr>
              <w:t>参数需提供相关</w:t>
            </w:r>
            <w:bookmarkStart w:id="355" w:name="OLE_LINK5"/>
            <w:r>
              <w:rPr>
                <w:rFonts w:hint="eastAsia" w:asciiTheme="minorEastAsia" w:hAnsiTheme="minorEastAsia" w:eastAsiaTheme="minorEastAsia" w:cstheme="minorEastAsia"/>
                <w:b w:val="0"/>
                <w:bCs w:val="0"/>
                <w:color w:val="auto"/>
                <w:sz w:val="24"/>
                <w:szCs w:val="24"/>
                <w:highlight w:val="none"/>
                <w:lang w:eastAsia="zh-CN"/>
              </w:rPr>
              <w:t>佐证材料</w:t>
            </w:r>
            <w:bookmarkEnd w:id="355"/>
            <w:r>
              <w:rPr>
                <w:rFonts w:hint="eastAsia" w:asciiTheme="minorEastAsia" w:hAnsiTheme="minorEastAsia" w:eastAsiaTheme="minorEastAsia" w:cstheme="minorEastAsia"/>
                <w:b w:val="0"/>
                <w:bCs w:val="0"/>
                <w:color w:val="auto"/>
                <w:sz w:val="24"/>
                <w:szCs w:val="24"/>
                <w:highlight w:val="none"/>
                <w:lang w:eastAsia="zh-CN"/>
              </w:rPr>
              <w:t>（佐证材料</w:t>
            </w:r>
            <w:r>
              <w:rPr>
                <w:rFonts w:hint="eastAsia" w:asciiTheme="minorEastAsia" w:hAnsiTheme="minorEastAsia" w:eastAsiaTheme="minorEastAsia" w:cstheme="minorEastAsia"/>
                <w:b w:val="0"/>
                <w:bCs w:val="0"/>
                <w:color w:val="auto"/>
                <w:sz w:val="24"/>
                <w:szCs w:val="24"/>
                <w:highlight w:val="none"/>
              </w:rPr>
              <w:t>包括但不限于检测报告，或产品彩页</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或官网截图</w:t>
            </w:r>
            <w:r>
              <w:rPr>
                <w:rFonts w:hint="eastAsia" w:asciiTheme="minorEastAsia" w:hAnsiTheme="minorEastAsia" w:eastAsiaTheme="minorEastAsia" w:cstheme="minorEastAsia"/>
                <w:b w:val="0"/>
                <w:bCs w:val="0"/>
                <w:color w:val="auto"/>
                <w:sz w:val="24"/>
                <w:szCs w:val="24"/>
                <w:highlight w:val="none"/>
                <w:lang w:eastAsia="zh-CN"/>
              </w:rPr>
              <w:t>等），不提供的视为负偏离；</w:t>
            </w:r>
            <w:r>
              <w:rPr>
                <w:rFonts w:hint="eastAsia" w:asciiTheme="minorEastAsia" w:hAnsiTheme="minorEastAsia" w:eastAsiaTheme="minorEastAsia" w:cstheme="minorEastAsia"/>
                <w:b w:val="0"/>
                <w:bCs w:val="0"/>
                <w:color w:val="auto"/>
                <w:sz w:val="24"/>
                <w:szCs w:val="24"/>
                <w:highlight w:val="none"/>
              </w:rPr>
              <w:t>中标后</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lang w:eastAsia="zh-CN"/>
              </w:rPr>
              <w:t>人</w:t>
            </w:r>
            <w:r>
              <w:rPr>
                <w:rFonts w:hint="eastAsia" w:asciiTheme="minorEastAsia" w:hAnsiTheme="minorEastAsia" w:eastAsiaTheme="minorEastAsia" w:cstheme="minorEastAsia"/>
                <w:b w:val="0"/>
                <w:bCs w:val="0"/>
                <w:color w:val="auto"/>
                <w:sz w:val="24"/>
                <w:szCs w:val="24"/>
                <w:highlight w:val="none"/>
              </w:rPr>
              <w:t>对设</w:t>
            </w:r>
            <w:r>
              <w:rPr>
                <w:rFonts w:hint="eastAsia" w:asciiTheme="minorEastAsia" w:hAnsiTheme="minorEastAsia" w:eastAsiaTheme="minorEastAsia" w:cstheme="minorEastAsia"/>
                <w:b w:val="0"/>
                <w:bCs w:val="0"/>
                <w:color w:val="auto"/>
                <w:sz w:val="24"/>
                <w:szCs w:val="24"/>
                <w:highlight w:val="none"/>
                <w:lang w:eastAsia="zh-CN"/>
              </w:rPr>
              <w:t>备</w:t>
            </w:r>
            <w:r>
              <w:rPr>
                <w:rFonts w:hint="eastAsia" w:asciiTheme="minorEastAsia" w:hAnsiTheme="minorEastAsia" w:eastAsiaTheme="minorEastAsia" w:cstheme="minorEastAsia"/>
                <w:b w:val="0"/>
                <w:bCs w:val="0"/>
                <w:color w:val="auto"/>
                <w:sz w:val="24"/>
                <w:szCs w:val="24"/>
                <w:highlight w:val="none"/>
              </w:rPr>
              <w:t>进行功能验证，若虚假应标，由投标人承担相应责任</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已签订合同的合同无效</w:t>
            </w:r>
            <w:r>
              <w:rPr>
                <w:rFonts w:hint="eastAsia" w:asciiTheme="minorEastAsia" w:hAnsiTheme="minorEastAsia" w:eastAsiaTheme="minorEastAsia" w:cstheme="minorEastAsia"/>
                <w:b w:val="0"/>
                <w:bCs w:val="0"/>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40" w:firstLineChars="100"/>
              <w:rPr>
                <w:rFonts w:hint="eastAsia" w:asciiTheme="minorEastAsia" w:hAnsiTheme="minorEastAsia" w:eastAsiaTheme="minorEastAsia" w:cstheme="minorEastAsia"/>
                <w:color w:val="auto"/>
                <w:sz w:val="24"/>
                <w:szCs w:val="24"/>
                <w:highlight w:val="none"/>
              </w:rPr>
            </w:pPr>
          </w:p>
        </w:tc>
        <w:tc>
          <w:tcPr>
            <w:tcW w:w="1439"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auto"/>
                <w:sz w:val="24"/>
                <w:szCs w:val="24"/>
                <w:highlight w:val="none"/>
              </w:rPr>
            </w:pPr>
          </w:p>
        </w:tc>
        <w:tc>
          <w:tcPr>
            <w:tcW w:w="1221"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auto"/>
                <w:sz w:val="24"/>
                <w:szCs w:val="24"/>
                <w:highlight w:val="none"/>
              </w:rPr>
            </w:pPr>
          </w:p>
          <w:p>
            <w:pPr>
              <w:spacing w:line="360" w:lineRule="auto"/>
              <w:jc w:val="center"/>
              <w:rPr>
                <w:rFonts w:hint="eastAsia" w:asciiTheme="minorEastAsia" w:hAnsiTheme="minorEastAsia" w:eastAsiaTheme="minorEastAsia" w:cstheme="minorEastAsia"/>
                <w:color w:val="auto"/>
                <w:sz w:val="24"/>
                <w:szCs w:val="24"/>
                <w:highlight w:val="none"/>
              </w:rPr>
            </w:pPr>
          </w:p>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实施方案</w:t>
            </w:r>
          </w:p>
          <w:p>
            <w:pPr>
              <w:spacing w:line="360" w:lineRule="auto"/>
              <w:jc w:val="center"/>
              <w:rPr>
                <w:rFonts w:hint="eastAsia" w:asciiTheme="minorEastAsia" w:hAnsiTheme="minorEastAsia" w:eastAsiaTheme="minorEastAsia" w:cstheme="minorEastAsia"/>
                <w:b w:val="0"/>
                <w:bCs w:val="0"/>
                <w:color w:val="auto"/>
                <w:sz w:val="24"/>
                <w:szCs w:val="24"/>
                <w:highlight w:val="none"/>
                <w:lang w:val="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18</w:t>
            </w:r>
            <w:r>
              <w:rPr>
                <w:rFonts w:hint="eastAsia" w:asciiTheme="minorEastAsia" w:hAnsiTheme="minorEastAsia" w:eastAsiaTheme="minorEastAsia" w:cstheme="minorEastAsia"/>
                <w:color w:val="auto"/>
                <w:sz w:val="24"/>
                <w:szCs w:val="24"/>
                <w:highlight w:val="none"/>
              </w:rPr>
              <w:t>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tabs>
                <w:tab w:val="left" w:pos="360"/>
                <w:tab w:val="left" w:pos="432"/>
              </w:tabs>
              <w:spacing w:line="360" w:lineRule="auto"/>
              <w:rPr>
                <w:rFonts w:hint="eastAsia" w:asciiTheme="minorEastAsia" w:hAnsiTheme="minorEastAsia" w:eastAsiaTheme="minorEastAsia" w:cstheme="minorEastAsia"/>
                <w:b w:val="0"/>
                <w:bCs w:val="0"/>
                <w:color w:val="auto"/>
                <w:sz w:val="24"/>
                <w:szCs w:val="24"/>
                <w:highlight w:val="none"/>
                <w:lang w:val="zh-CN" w:eastAsia="zh-CN"/>
              </w:rPr>
            </w:pPr>
            <w:r>
              <w:rPr>
                <w:rFonts w:hint="eastAsia" w:asciiTheme="minorEastAsia" w:hAnsiTheme="minorEastAsia" w:eastAsiaTheme="minorEastAsia" w:cstheme="minorEastAsia"/>
                <w:b w:val="0"/>
                <w:bCs w:val="0"/>
                <w:color w:val="auto"/>
                <w:sz w:val="24"/>
                <w:szCs w:val="24"/>
                <w:highlight w:val="none"/>
                <w:lang w:val="zh-CN" w:eastAsia="zh-CN"/>
              </w:rPr>
              <w:t>投标人提供供货安装方案，包括但不限于</w:t>
            </w:r>
            <w:r>
              <w:rPr>
                <w:rFonts w:hint="eastAsia" w:asciiTheme="minorEastAsia" w:hAnsiTheme="minorEastAsia" w:eastAsiaTheme="minorEastAsia" w:cstheme="minorEastAsia"/>
                <w:b w:val="0"/>
                <w:bCs w:val="0"/>
                <w:color w:val="auto"/>
                <w:sz w:val="24"/>
                <w:szCs w:val="24"/>
                <w:highlight w:val="none"/>
                <w:lang w:val="en-US" w:eastAsia="zh-CN"/>
              </w:rPr>
              <w:t>6项内容</w:t>
            </w:r>
            <w:r>
              <w:rPr>
                <w:rFonts w:hint="eastAsia" w:asciiTheme="minorEastAsia" w:hAnsiTheme="minorEastAsia" w:eastAsiaTheme="minorEastAsia" w:cstheme="minorEastAsia"/>
                <w:b w:val="0"/>
                <w:bCs w:val="0"/>
                <w:color w:val="auto"/>
                <w:sz w:val="24"/>
                <w:szCs w:val="24"/>
                <w:highlight w:val="none"/>
                <w:lang w:val="zh-CN" w:eastAsia="zh-CN"/>
              </w:rPr>
              <w:t>：</w:t>
            </w:r>
            <w:r>
              <w:rPr>
                <w:rFonts w:hint="eastAsia" w:asciiTheme="minorEastAsia" w:hAnsiTheme="minorEastAsia" w:eastAsiaTheme="minorEastAsia" w:cstheme="minorEastAsia"/>
                <w:b w:val="0"/>
                <w:bCs w:val="0"/>
                <w:color w:val="auto"/>
                <w:sz w:val="24"/>
                <w:szCs w:val="24"/>
                <w:highlight w:val="none"/>
                <w:lang w:val="en-US" w:eastAsia="zh-CN"/>
              </w:rPr>
              <w:t>1、项目规划设计；2、</w:t>
            </w:r>
            <w:r>
              <w:rPr>
                <w:rFonts w:hint="eastAsia" w:asciiTheme="minorEastAsia" w:hAnsiTheme="minorEastAsia" w:eastAsiaTheme="minorEastAsia" w:cstheme="minorEastAsia"/>
                <w:b w:val="0"/>
                <w:bCs w:val="0"/>
                <w:color w:val="auto"/>
                <w:sz w:val="24"/>
                <w:szCs w:val="24"/>
                <w:highlight w:val="none"/>
                <w:lang w:val="zh-CN" w:eastAsia="zh-CN"/>
              </w:rPr>
              <w:t>供货周期保障；</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val="zh-CN" w:eastAsia="zh-CN"/>
              </w:rPr>
              <w:t>运输安全保障；</w:t>
            </w:r>
            <w:r>
              <w:rPr>
                <w:rFonts w:hint="eastAsia" w:asciiTheme="minorEastAsia" w:hAnsiTheme="minorEastAsia" w:eastAsiaTheme="minorEastAsia" w:cstheme="minorEastAsia"/>
                <w:b w:val="0"/>
                <w:bCs w:val="0"/>
                <w:color w:val="auto"/>
                <w:sz w:val="24"/>
                <w:szCs w:val="24"/>
                <w:highlight w:val="none"/>
                <w:lang w:val="en-US" w:eastAsia="zh-CN"/>
              </w:rPr>
              <w:t>4、安</w:t>
            </w:r>
            <w:r>
              <w:rPr>
                <w:rFonts w:hint="eastAsia" w:asciiTheme="minorEastAsia" w:hAnsiTheme="minorEastAsia" w:eastAsiaTheme="minorEastAsia" w:cstheme="minorEastAsia"/>
                <w:b w:val="0"/>
                <w:bCs w:val="0"/>
                <w:color w:val="auto"/>
                <w:sz w:val="24"/>
                <w:szCs w:val="24"/>
                <w:highlight w:val="none"/>
                <w:lang w:val="zh-CN" w:eastAsia="zh-CN"/>
              </w:rPr>
              <w:t>装前准备（场地、人员、安全）；</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lang w:val="zh-CN" w:eastAsia="zh-CN"/>
              </w:rPr>
              <w:t>安装调试检测（安装操作、</w:t>
            </w:r>
            <w:r>
              <w:rPr>
                <w:rFonts w:hint="eastAsia" w:asciiTheme="minorEastAsia" w:hAnsiTheme="minorEastAsia" w:eastAsiaTheme="minorEastAsia" w:cstheme="minorEastAsia"/>
                <w:b w:val="0"/>
                <w:bCs w:val="0"/>
                <w:color w:val="auto"/>
                <w:sz w:val="24"/>
                <w:szCs w:val="24"/>
                <w:highlight w:val="none"/>
                <w:lang w:val="en-US" w:eastAsia="zh-CN"/>
              </w:rPr>
              <w:t>运行效果</w:t>
            </w:r>
            <w:r>
              <w:rPr>
                <w:rFonts w:hint="eastAsia" w:asciiTheme="minorEastAsia" w:hAnsiTheme="minorEastAsia" w:eastAsiaTheme="minorEastAsia" w:cstheme="minorEastAsia"/>
                <w:b w:val="0"/>
                <w:bCs w:val="0"/>
                <w:color w:val="auto"/>
                <w:sz w:val="24"/>
                <w:szCs w:val="24"/>
                <w:highlight w:val="none"/>
                <w:lang w:val="zh-CN" w:eastAsia="zh-CN"/>
              </w:rPr>
              <w:t>）；</w:t>
            </w:r>
            <w:r>
              <w:rPr>
                <w:rFonts w:hint="eastAsia" w:asciiTheme="minorEastAsia" w:hAnsiTheme="minorEastAsia" w:eastAsiaTheme="minorEastAsia" w:cstheme="minorEastAsia"/>
                <w:b w:val="0"/>
                <w:bCs w:val="0"/>
                <w:color w:val="auto"/>
                <w:sz w:val="24"/>
                <w:szCs w:val="24"/>
                <w:highlight w:val="none"/>
                <w:lang w:val="en-US" w:eastAsia="zh-CN"/>
              </w:rPr>
              <w:t>6、新老设备调配及融合方案</w:t>
            </w:r>
            <w:r>
              <w:rPr>
                <w:rFonts w:hint="eastAsia" w:asciiTheme="minorEastAsia" w:hAnsiTheme="minorEastAsia" w:eastAsiaTheme="minorEastAsia" w:cstheme="minorEastAsia"/>
                <w:b w:val="0"/>
                <w:bCs w:val="0"/>
                <w:color w:val="auto"/>
                <w:sz w:val="24"/>
                <w:szCs w:val="24"/>
                <w:highlight w:val="none"/>
                <w:lang w:val="zh-CN" w:eastAsia="zh-CN"/>
              </w:rPr>
              <w:t>。</w:t>
            </w:r>
          </w:p>
          <w:p>
            <w:pPr>
              <w:tabs>
                <w:tab w:val="left" w:pos="360"/>
                <w:tab w:val="left" w:pos="432"/>
              </w:tabs>
              <w:spacing w:line="360" w:lineRule="auto"/>
              <w:rPr>
                <w:rFonts w:hint="eastAsia" w:asciiTheme="minorEastAsia" w:hAnsiTheme="minorEastAsia" w:eastAsiaTheme="minorEastAsia" w:cstheme="minorEastAsia"/>
                <w:color w:val="auto"/>
                <w:sz w:val="24"/>
                <w:szCs w:val="24"/>
                <w:highlight w:val="none"/>
                <w:lang w:val="zh-CN" w:eastAsia="zh-CN"/>
              </w:rPr>
            </w:pPr>
            <w:r>
              <w:rPr>
                <w:rFonts w:hint="eastAsia" w:asciiTheme="minorEastAsia" w:hAnsiTheme="minorEastAsia" w:eastAsiaTheme="minorEastAsia" w:cstheme="minorEastAsia"/>
                <w:color w:val="auto"/>
                <w:sz w:val="24"/>
                <w:szCs w:val="24"/>
                <w:highlight w:val="none"/>
                <w:lang w:val="zh-CN" w:eastAsia="zh-CN"/>
              </w:rPr>
              <w:t>每分项</w:t>
            </w:r>
            <w:r>
              <w:rPr>
                <w:rFonts w:hint="eastAsia" w:asciiTheme="minorEastAsia" w:hAnsiTheme="minorEastAsia" w:eastAsiaTheme="minorEastAsia" w:cstheme="minorEastAsia"/>
                <w:color w:val="auto"/>
                <w:sz w:val="24"/>
                <w:szCs w:val="24"/>
                <w:highlight w:val="none"/>
                <w:lang w:val="en-US" w:eastAsia="zh-CN"/>
              </w:rPr>
              <w:t>设计科学合理、</w:t>
            </w:r>
            <w:r>
              <w:rPr>
                <w:rFonts w:hint="eastAsia" w:asciiTheme="minorEastAsia" w:hAnsiTheme="minorEastAsia" w:eastAsiaTheme="minorEastAsia" w:cstheme="minorEastAsia"/>
                <w:color w:val="auto"/>
                <w:sz w:val="24"/>
                <w:szCs w:val="24"/>
                <w:highlight w:val="none"/>
                <w:lang w:val="zh-CN" w:eastAsia="zh-CN"/>
              </w:rPr>
              <w:t>内容</w:t>
            </w:r>
            <w:r>
              <w:rPr>
                <w:rFonts w:hint="eastAsia" w:asciiTheme="minorEastAsia" w:hAnsiTheme="minorEastAsia" w:eastAsiaTheme="minorEastAsia" w:cstheme="minorEastAsia"/>
                <w:color w:val="auto"/>
                <w:sz w:val="24"/>
                <w:szCs w:val="24"/>
                <w:highlight w:val="none"/>
                <w:lang w:val="en-US" w:eastAsia="zh-CN"/>
              </w:rPr>
              <w:t>清晰，</w:t>
            </w:r>
            <w:r>
              <w:rPr>
                <w:rFonts w:hint="eastAsia" w:asciiTheme="minorEastAsia" w:hAnsiTheme="minorEastAsia" w:eastAsiaTheme="minorEastAsia" w:cstheme="minorEastAsia"/>
                <w:color w:val="auto"/>
                <w:sz w:val="24"/>
                <w:szCs w:val="24"/>
                <w:highlight w:val="none"/>
                <w:lang w:val="zh-CN" w:eastAsia="zh-CN"/>
              </w:rPr>
              <w:t>适用于本项目，则每分项得</w:t>
            </w:r>
            <w:r>
              <w:rPr>
                <w:rFonts w:hint="eastAsia" w:asciiTheme="minorEastAsia" w:hAnsiTheme="minorEastAsia" w:eastAsiaTheme="minorEastAsia" w:cstheme="minorEastAsia"/>
                <w:color w:val="auto"/>
                <w:sz w:val="24"/>
                <w:szCs w:val="24"/>
                <w:highlight w:val="none"/>
                <w:lang w:val="en-US" w:eastAsia="zh-CN"/>
              </w:rPr>
              <w:t>3分，本项最多得18</w:t>
            </w:r>
            <w:r>
              <w:rPr>
                <w:rFonts w:hint="eastAsia" w:asciiTheme="minorEastAsia" w:hAnsiTheme="minorEastAsia" w:eastAsiaTheme="minorEastAsia" w:cstheme="minorEastAsia"/>
                <w:color w:val="auto"/>
                <w:sz w:val="24"/>
                <w:szCs w:val="24"/>
                <w:highlight w:val="none"/>
              </w:rPr>
              <w:t>分；</w:t>
            </w:r>
            <w:r>
              <w:rPr>
                <w:rFonts w:hint="eastAsia" w:asciiTheme="minorEastAsia" w:hAnsiTheme="minorEastAsia" w:eastAsiaTheme="minorEastAsia" w:cstheme="minorEastAsia"/>
                <w:color w:val="auto"/>
                <w:sz w:val="24"/>
                <w:szCs w:val="24"/>
                <w:highlight w:val="none"/>
                <w:lang w:val="en-US" w:eastAsia="zh-CN"/>
              </w:rPr>
              <w:t>每分项</w:t>
            </w:r>
            <w:r>
              <w:rPr>
                <w:rFonts w:hint="eastAsia" w:asciiTheme="minorEastAsia" w:hAnsiTheme="minorEastAsia" w:eastAsiaTheme="minorEastAsia" w:cstheme="minorEastAsia"/>
                <w:color w:val="auto"/>
                <w:sz w:val="24"/>
                <w:szCs w:val="24"/>
                <w:highlight w:val="none"/>
                <w:lang w:val="zh-CN" w:eastAsia="zh-CN"/>
              </w:rPr>
              <w:t>存在缺陷或不足，则每分</w:t>
            </w:r>
            <w:r>
              <w:rPr>
                <w:rFonts w:hint="eastAsia" w:asciiTheme="minorEastAsia" w:hAnsiTheme="minorEastAsia" w:eastAsiaTheme="minorEastAsia" w:cstheme="minorEastAsia"/>
                <w:color w:val="auto"/>
                <w:sz w:val="24"/>
                <w:szCs w:val="24"/>
                <w:highlight w:val="none"/>
                <w:lang w:val="en-US" w:eastAsia="zh-CN"/>
              </w:rPr>
              <w:t>项得1分；每缺失1项扣3</w:t>
            </w:r>
            <w:r>
              <w:rPr>
                <w:rFonts w:hint="eastAsia" w:asciiTheme="minorEastAsia" w:hAnsiTheme="minorEastAsia" w:eastAsiaTheme="minorEastAsia" w:cstheme="minorEastAsia"/>
                <w:color w:val="auto"/>
                <w:sz w:val="24"/>
                <w:szCs w:val="24"/>
                <w:highlight w:val="none"/>
                <w:lang w:val="zh-CN" w:eastAsia="zh-CN"/>
              </w:rPr>
              <w:t>分。</w:t>
            </w:r>
          </w:p>
          <w:p>
            <w:pPr>
              <w:tabs>
                <w:tab w:val="left" w:pos="360"/>
                <w:tab w:val="left" w:pos="432"/>
              </w:tabs>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zh-CN" w:eastAsia="zh-CN"/>
              </w:rPr>
              <w:t>备注：缺陷或不足是指以下任意一种情形：方案内容不切合行业实际，或不符合国家法规政策，或方案内容与实际情况不符，或方案内容过于简略，或内容逻辑漏洞，或原理错误。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40" w:firstLineChars="100"/>
              <w:rPr>
                <w:rFonts w:hint="eastAsia" w:asciiTheme="minorEastAsia" w:hAnsiTheme="minorEastAsia" w:eastAsiaTheme="minorEastAsia" w:cstheme="minorEastAsia"/>
                <w:color w:val="auto"/>
                <w:sz w:val="24"/>
                <w:szCs w:val="24"/>
                <w:highlight w:val="none"/>
              </w:rPr>
            </w:pPr>
          </w:p>
        </w:tc>
        <w:tc>
          <w:tcPr>
            <w:tcW w:w="1439"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jc w:val="center"/>
              <w:rPr>
                <w:rFonts w:hint="eastAsia" w:asciiTheme="minorEastAsia" w:hAnsiTheme="minorEastAsia" w:eastAsiaTheme="minorEastAsia" w:cstheme="minorEastAsia"/>
                <w:b/>
                <w:color w:val="auto"/>
                <w:sz w:val="24"/>
                <w:szCs w:val="24"/>
                <w:highlight w:val="none"/>
              </w:rPr>
            </w:pPr>
          </w:p>
        </w:tc>
        <w:tc>
          <w:tcPr>
            <w:tcW w:w="1221"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center"/>
              <w:rPr>
                <w:rFonts w:hint="eastAsia" w:asciiTheme="minorEastAsia" w:hAnsiTheme="minorEastAsia" w:eastAsiaTheme="minorEastAsia" w:cstheme="minorEastAsia"/>
                <w:color w:val="auto"/>
                <w:sz w:val="24"/>
                <w:szCs w:val="24"/>
              </w:rPr>
            </w:pPr>
          </w:p>
          <w:p>
            <w:pPr>
              <w:spacing w:line="360" w:lineRule="auto"/>
              <w:jc w:val="center"/>
              <w:rPr>
                <w:rFonts w:hint="eastAsia" w:asciiTheme="minorEastAsia" w:hAnsiTheme="minorEastAsia" w:eastAsiaTheme="minorEastAsia" w:cstheme="minorEastAsia"/>
                <w:color w:val="auto"/>
                <w:sz w:val="24"/>
                <w:szCs w:val="24"/>
              </w:rPr>
            </w:pPr>
          </w:p>
          <w:p>
            <w:pPr>
              <w:spacing w:line="360" w:lineRule="auto"/>
              <w:jc w:val="center"/>
              <w:rPr>
                <w:rFonts w:hint="eastAsia" w:asciiTheme="minorEastAsia" w:hAnsiTheme="minorEastAsia" w:eastAsiaTheme="minorEastAsia" w:cstheme="minorEastAsia"/>
                <w:color w:val="auto"/>
                <w:sz w:val="24"/>
                <w:szCs w:val="24"/>
              </w:rPr>
            </w:pPr>
          </w:p>
          <w:p>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售后服务</w:t>
            </w:r>
          </w:p>
          <w:p>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质</w:t>
            </w:r>
            <w:r>
              <w:rPr>
                <w:rFonts w:hint="eastAsia" w:asciiTheme="minorEastAsia" w:hAnsiTheme="minorEastAsia" w:eastAsiaTheme="minorEastAsia" w:cstheme="minorEastAsia"/>
                <w:b w:val="0"/>
                <w:bCs w:val="0"/>
                <w:color w:val="auto"/>
                <w:sz w:val="24"/>
                <w:szCs w:val="24"/>
                <w:highlight w:val="none"/>
                <w:lang w:eastAsia="zh-CN"/>
              </w:rPr>
              <w:t>量</w:t>
            </w:r>
            <w:r>
              <w:rPr>
                <w:rFonts w:hint="eastAsia" w:asciiTheme="minorEastAsia" w:hAnsiTheme="minorEastAsia" w:eastAsiaTheme="minorEastAsia" w:cstheme="minorEastAsia"/>
                <w:b w:val="0"/>
                <w:bCs w:val="0"/>
                <w:color w:val="auto"/>
                <w:sz w:val="24"/>
                <w:szCs w:val="24"/>
                <w:highlight w:val="none"/>
              </w:rPr>
              <w:t>保</w:t>
            </w:r>
            <w:r>
              <w:rPr>
                <w:rFonts w:hint="eastAsia" w:asciiTheme="minorEastAsia" w:hAnsiTheme="minorEastAsia" w:eastAsiaTheme="minorEastAsia" w:cstheme="minorEastAsia"/>
                <w:b w:val="0"/>
                <w:bCs w:val="0"/>
                <w:color w:val="auto"/>
                <w:sz w:val="24"/>
                <w:szCs w:val="24"/>
                <w:highlight w:val="none"/>
                <w:lang w:eastAsia="zh-CN"/>
              </w:rPr>
              <w:t>证</w:t>
            </w:r>
            <w:r>
              <w:rPr>
                <w:rFonts w:hint="eastAsia" w:asciiTheme="minorEastAsia" w:hAnsiTheme="minorEastAsia" w:eastAsiaTheme="minorEastAsia" w:cstheme="minorEastAsia"/>
                <w:b w:val="0"/>
                <w:bCs w:val="0"/>
                <w:color w:val="auto"/>
                <w:sz w:val="24"/>
                <w:szCs w:val="24"/>
                <w:highlight w:val="none"/>
              </w:rPr>
              <w:t>期</w:t>
            </w:r>
            <w:r>
              <w:rPr>
                <w:rFonts w:hint="eastAsia" w:asciiTheme="minorEastAsia" w:hAnsiTheme="minorEastAsia" w:eastAsiaTheme="minorEastAsia" w:cstheme="minorEastAsia"/>
                <w:b w:val="0"/>
                <w:bCs w:val="0"/>
                <w:color w:val="auto"/>
                <w:sz w:val="24"/>
                <w:szCs w:val="24"/>
                <w:highlight w:val="none"/>
                <w:lang w:eastAsia="zh-CN"/>
              </w:rPr>
              <w:t>达到招标</w:t>
            </w:r>
            <w:r>
              <w:rPr>
                <w:rFonts w:hint="eastAsia" w:asciiTheme="minorEastAsia" w:hAnsiTheme="minorEastAsia" w:eastAsiaTheme="minorEastAsia" w:cstheme="minorEastAsia"/>
                <w:b w:val="0"/>
                <w:bCs w:val="0"/>
                <w:color w:val="auto"/>
                <w:sz w:val="24"/>
                <w:szCs w:val="24"/>
                <w:highlight w:val="none"/>
              </w:rPr>
              <w:t>文件</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eastAsia="zh-CN"/>
              </w:rPr>
              <w:t>年</w:t>
            </w:r>
            <w:r>
              <w:rPr>
                <w:rFonts w:hint="eastAsia" w:asciiTheme="minorEastAsia" w:hAnsiTheme="minorEastAsia" w:eastAsiaTheme="minorEastAsia" w:cstheme="minorEastAsia"/>
                <w:b w:val="0"/>
                <w:bCs w:val="0"/>
                <w:color w:val="auto"/>
                <w:sz w:val="24"/>
                <w:szCs w:val="24"/>
                <w:highlight w:val="none"/>
              </w:rPr>
              <w:t>基本要求</w:t>
            </w:r>
            <w:r>
              <w:rPr>
                <w:rFonts w:hint="eastAsia" w:asciiTheme="minorEastAsia" w:hAnsiTheme="minorEastAsia" w:eastAsiaTheme="minorEastAsia" w:cstheme="minorEastAsia"/>
                <w:b w:val="0"/>
                <w:bCs w:val="0"/>
                <w:color w:val="auto"/>
                <w:sz w:val="24"/>
                <w:szCs w:val="24"/>
                <w:highlight w:val="none"/>
                <w:lang w:eastAsia="zh-CN"/>
              </w:rPr>
              <w:t>的前提下</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eastAsia="zh-CN"/>
              </w:rPr>
              <w:t>每增加</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lang w:eastAsia="zh-CN"/>
              </w:rPr>
              <w:t>年加</w:t>
            </w:r>
            <w:r>
              <w:rPr>
                <w:rFonts w:hint="eastAsia" w:asciiTheme="minorEastAsia" w:hAnsiTheme="minorEastAsia" w:eastAsiaTheme="minorEastAsia" w:cstheme="minorEastAsia"/>
                <w:b w:val="0"/>
                <w:bCs w:val="0"/>
                <w:color w:val="auto"/>
                <w:sz w:val="24"/>
                <w:szCs w:val="24"/>
                <w:highlight w:val="none"/>
                <w:lang w:val="en-US" w:eastAsia="zh-CN"/>
              </w:rPr>
              <w:t>4分（提供投标供应商质保及违约承诺书），本项最多得8</w:t>
            </w:r>
            <w:r>
              <w:rPr>
                <w:rFonts w:hint="eastAsia" w:asciiTheme="minorEastAsia" w:hAnsiTheme="minorEastAsia" w:eastAsiaTheme="minorEastAsia" w:cstheme="minorEastAsia"/>
                <w:b w:val="0"/>
                <w:bCs w:val="0"/>
                <w:color w:val="auto"/>
                <w:sz w:val="24"/>
                <w:szCs w:val="24"/>
                <w:highlight w:val="none"/>
              </w:rPr>
              <w:t>分；</w:t>
            </w:r>
          </w:p>
          <w:p>
            <w:pPr>
              <w:spacing w:line="360" w:lineRule="auto"/>
              <w:jc w:val="left"/>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2、为确保学校的监控安防设备在出现故障时能第一时间到场开展售后，保障校园安全底线，在接收到应急处理通知时应在1小时内到达现场，供应商提供响</w:t>
            </w:r>
            <w:r>
              <w:rPr>
                <w:rFonts w:hint="eastAsia" w:asciiTheme="minorEastAsia" w:hAnsiTheme="minorEastAsia" w:eastAsiaTheme="minorEastAsia" w:cstheme="minorEastAsia"/>
                <w:b w:val="0"/>
                <w:bCs w:val="0"/>
                <w:color w:val="auto"/>
                <w:sz w:val="24"/>
                <w:szCs w:val="24"/>
                <w:lang w:eastAsia="zh-CN"/>
              </w:rPr>
              <w:t>应故障处理措施或承诺</w:t>
            </w:r>
            <w:r>
              <w:rPr>
                <w:rFonts w:hint="eastAsia" w:asciiTheme="minorEastAsia" w:hAnsiTheme="minorEastAsia" w:eastAsiaTheme="minorEastAsia" w:cstheme="minorEastAsia"/>
                <w:b w:val="0"/>
                <w:bCs w:val="0"/>
                <w:color w:val="auto"/>
                <w:sz w:val="24"/>
                <w:szCs w:val="24"/>
                <w:lang w:val="en-US" w:eastAsia="zh-CN"/>
              </w:rPr>
              <w:t>书，承诺书包含：</w:t>
            </w:r>
            <w:r>
              <w:rPr>
                <w:rFonts w:hint="eastAsia" w:asciiTheme="minorEastAsia" w:hAnsiTheme="minorEastAsia" w:eastAsiaTheme="minorEastAsia" w:cstheme="minorEastAsia"/>
                <w:b w:val="0"/>
                <w:bCs w:val="0"/>
                <w:color w:val="auto"/>
                <w:sz w:val="24"/>
                <w:szCs w:val="24"/>
              </w:rPr>
              <w:t>明确承诺快速响应时间</w:t>
            </w:r>
            <w:r>
              <w:rPr>
                <w:rFonts w:hint="eastAsia" w:asciiTheme="minorEastAsia" w:hAnsiTheme="minorEastAsia" w:eastAsiaTheme="minorEastAsia" w:cstheme="minorEastAsia"/>
                <w:b w:val="0"/>
                <w:bCs w:val="0"/>
                <w:color w:val="auto"/>
                <w:sz w:val="24"/>
                <w:szCs w:val="24"/>
                <w:lang w:eastAsia="zh-CN"/>
              </w:rPr>
              <w:t>、</w:t>
            </w:r>
            <w:r>
              <w:rPr>
                <w:rFonts w:hint="eastAsia" w:asciiTheme="minorEastAsia" w:hAnsiTheme="minorEastAsia" w:eastAsiaTheme="minorEastAsia" w:cstheme="minorEastAsia"/>
                <w:b w:val="0"/>
                <w:bCs w:val="0"/>
                <w:color w:val="auto"/>
                <w:sz w:val="24"/>
                <w:szCs w:val="24"/>
                <w:lang w:val="en-US" w:eastAsia="zh-CN"/>
              </w:rPr>
              <w:t>作出</w:t>
            </w:r>
            <w:r>
              <w:rPr>
                <w:rFonts w:hint="eastAsia" w:asciiTheme="minorEastAsia" w:hAnsiTheme="minorEastAsia" w:eastAsiaTheme="minorEastAsia" w:cstheme="minorEastAsia"/>
                <w:b w:val="0"/>
                <w:bCs w:val="0"/>
                <w:color w:val="auto"/>
                <w:sz w:val="24"/>
                <w:szCs w:val="24"/>
                <w:lang w:eastAsia="zh-CN"/>
              </w:rPr>
              <w:t>故障处理超时违约承诺。</w:t>
            </w:r>
            <w:r>
              <w:rPr>
                <w:rFonts w:hint="eastAsia" w:asciiTheme="minorEastAsia" w:hAnsiTheme="minorEastAsia" w:eastAsiaTheme="minorEastAsia" w:cstheme="minorEastAsia"/>
                <w:b w:val="0"/>
                <w:bCs w:val="0"/>
                <w:color w:val="auto"/>
                <w:sz w:val="24"/>
                <w:szCs w:val="24"/>
                <w:lang w:val="en-US" w:eastAsia="zh-CN"/>
              </w:rPr>
              <w:t>磋商小组根据供应商的响应文件响应程度赋分，内容表述完整、合理及可行、针对本项目的背景、现状完全贴合项目，满足或优于采购人要求的得7分，每有一项缺项漏项的扣3.5分，每有一项缺乏完整性、合理性或不足的扣1.5分，分数扣完为止。未提供的不得分。</w:t>
            </w:r>
          </w:p>
          <w:p>
            <w:pPr>
              <w:spacing w:line="360" w:lineRule="auto"/>
              <w:jc w:val="left"/>
              <w:rPr>
                <w:rFonts w:hint="eastAsia" w:asciiTheme="minorEastAsia" w:hAnsiTheme="minorEastAsia" w:eastAsiaTheme="minorEastAsia" w:cstheme="minorEastAsia"/>
                <w:b w:val="0"/>
                <w:bCs w:val="0"/>
                <w:color w:val="auto"/>
                <w:sz w:val="24"/>
                <w:szCs w:val="24"/>
                <w:lang w:val="en-US" w:eastAsia="zh-CN"/>
              </w:rPr>
            </w:pPr>
            <w:r>
              <w:rPr>
                <w:rFonts w:hint="eastAsia" w:asciiTheme="minorEastAsia" w:hAnsiTheme="minorEastAsia" w:eastAsiaTheme="minorEastAsia" w:cstheme="minorEastAsia"/>
                <w:b w:val="0"/>
                <w:bCs w:val="0"/>
                <w:color w:val="auto"/>
                <w:sz w:val="24"/>
                <w:szCs w:val="24"/>
                <w:lang w:val="en-US" w:eastAsia="zh-CN"/>
              </w:rPr>
              <w:t>注：不足是指：相关内容生搬硬造，阐述存在逻辑错误，前后矛盾；涉及内容无重点，未能体现出本项目的特点或与实际需求不完全相符；语言错误或存在歧义；对相关方案内容不具体或不明确；内容过于简略针对性和可行性欠缺；对相关方案内容不具体或不明确，不可能实现的夸大情形以及涉及的规范、标准与本项目要求不一致等。</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备注：</w:t>
            </w:r>
          </w:p>
          <w:p>
            <w:pPr>
              <w:spacing w:line="360" w:lineRule="auto"/>
              <w:ind w:firstLine="480" w:firstLineChars="200"/>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本地化服务须提供相关证明材料</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供应商成交后，在签订合同时带以下所对应的材料，未按要求提供证明材料的采购人拒绝签订合并取消中标资格：</w:t>
            </w:r>
          </w:p>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①如</w:t>
            </w:r>
            <w:r>
              <w:rPr>
                <w:rFonts w:hint="eastAsia" w:asciiTheme="minorEastAsia" w:hAnsiTheme="minorEastAsia" w:eastAsiaTheme="minorEastAsia" w:cstheme="minorEastAsia"/>
                <w:b w:val="0"/>
                <w:bCs w:val="0"/>
                <w:color w:val="auto"/>
                <w:sz w:val="24"/>
                <w:szCs w:val="24"/>
                <w:highlight w:val="none"/>
                <w:lang w:val="en-US" w:eastAsia="zh-CN"/>
              </w:rPr>
              <w:t>瑞丽市区</w:t>
            </w:r>
            <w:r>
              <w:rPr>
                <w:rFonts w:hint="eastAsia" w:asciiTheme="minorEastAsia" w:hAnsiTheme="minorEastAsia" w:eastAsiaTheme="minorEastAsia" w:cstheme="minorEastAsia"/>
                <w:b w:val="0"/>
                <w:bCs w:val="0"/>
                <w:color w:val="auto"/>
                <w:sz w:val="24"/>
                <w:szCs w:val="24"/>
                <w:highlight w:val="none"/>
              </w:rPr>
              <w:t>服务网点属于投标人本企业分支机构的，须提供相关登记证明等材料；</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②如</w:t>
            </w:r>
            <w:r>
              <w:rPr>
                <w:rFonts w:hint="eastAsia" w:asciiTheme="minorEastAsia" w:hAnsiTheme="minorEastAsia" w:eastAsiaTheme="minorEastAsia" w:cstheme="minorEastAsia"/>
                <w:b w:val="0"/>
                <w:bCs w:val="0"/>
                <w:color w:val="auto"/>
                <w:sz w:val="24"/>
                <w:szCs w:val="24"/>
                <w:highlight w:val="none"/>
                <w:lang w:val="en-US" w:eastAsia="zh-CN"/>
              </w:rPr>
              <w:t>瑞丽市区</w:t>
            </w:r>
            <w:r>
              <w:rPr>
                <w:rFonts w:hint="eastAsia" w:asciiTheme="minorEastAsia" w:hAnsiTheme="minorEastAsia" w:eastAsiaTheme="minorEastAsia" w:cstheme="minorEastAsia"/>
                <w:b w:val="0"/>
                <w:bCs w:val="0"/>
                <w:color w:val="auto"/>
                <w:sz w:val="24"/>
                <w:szCs w:val="24"/>
                <w:highlight w:val="none"/>
              </w:rPr>
              <w:t>服务网点属于投标人合作关系的，须提供合作协议、合作方营业执照、合作方能完全履行该项目售后及承担相关责任的声明函等材料。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404" w:hRule="atLeast"/>
          <w:jc w:val="center"/>
        </w:trPr>
        <w:tc>
          <w:tcPr>
            <w:tcW w:w="576"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ind w:firstLine="240" w:firstLineChars="100"/>
              <w:rPr>
                <w:rFonts w:hint="eastAsia" w:asciiTheme="minorEastAsia" w:hAnsiTheme="minorEastAsia" w:eastAsiaTheme="minorEastAsia" w:cstheme="minorEastAsia"/>
                <w:color w:val="auto"/>
                <w:sz w:val="24"/>
                <w:szCs w:val="24"/>
                <w:highlight w:val="none"/>
              </w:rPr>
            </w:pPr>
          </w:p>
        </w:tc>
        <w:tc>
          <w:tcPr>
            <w:tcW w:w="1439" w:type="dxa"/>
            <w:vMerge w:val="continue"/>
            <w:tcBorders>
              <w:left w:val="single" w:color="000000" w:sz="8" w:space="0"/>
              <w:right w:val="single" w:color="000000" w:sz="8" w:space="0"/>
            </w:tcBorders>
            <w:shd w:val="clear" w:color="auto" w:fill="FFFFFF"/>
            <w:tcMar>
              <w:top w:w="0" w:type="dxa"/>
              <w:left w:w="113" w:type="dxa"/>
              <w:bottom w:w="0" w:type="dxa"/>
              <w:right w:w="113" w:type="dxa"/>
            </w:tcMar>
            <w:vAlign w:val="center"/>
          </w:tcPr>
          <w:p>
            <w:pPr>
              <w:jc w:val="center"/>
              <w:rPr>
                <w:rFonts w:hint="eastAsia" w:asciiTheme="minorEastAsia" w:hAnsiTheme="minorEastAsia" w:eastAsiaTheme="minorEastAsia" w:cstheme="minorEastAsia"/>
                <w:b/>
                <w:color w:val="auto"/>
                <w:sz w:val="24"/>
                <w:szCs w:val="24"/>
                <w:highlight w:val="none"/>
              </w:rPr>
            </w:pPr>
          </w:p>
        </w:tc>
        <w:tc>
          <w:tcPr>
            <w:tcW w:w="1221" w:type="dxa"/>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类似业绩</w:t>
            </w:r>
          </w:p>
          <w:p>
            <w:pPr>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分）</w:t>
            </w:r>
          </w:p>
        </w:tc>
        <w:tc>
          <w:tcPr>
            <w:tcW w:w="7029" w:type="dxa"/>
            <w:gridSpan w:val="2"/>
            <w:tcBorders>
              <w:top w:val="single" w:color="000000" w:sz="8" w:space="0"/>
              <w:left w:val="single" w:color="000000" w:sz="8" w:space="0"/>
              <w:bottom w:val="single" w:color="000000" w:sz="8" w:space="0"/>
              <w:right w:val="single" w:color="000000" w:sz="8" w:space="0"/>
            </w:tcBorders>
            <w:shd w:val="clear" w:color="auto" w:fill="FFFFFF"/>
            <w:tcMar>
              <w:top w:w="0" w:type="dxa"/>
              <w:left w:w="113" w:type="dxa"/>
              <w:bottom w:w="0" w:type="dxa"/>
              <w:right w:w="113" w:type="dxa"/>
            </w:tcMar>
            <w:vAlign w:val="center"/>
          </w:tcPr>
          <w:p>
            <w:pPr>
              <w:spacing w:line="360" w:lineRule="auto"/>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投标人自20</w:t>
            </w:r>
            <w:r>
              <w:rPr>
                <w:rFonts w:hint="eastAsia" w:asciiTheme="minorEastAsia" w:hAnsiTheme="minorEastAsia" w:eastAsiaTheme="minorEastAsia" w:cstheme="minorEastAsia"/>
                <w:b w:val="0"/>
                <w:bCs w:val="0"/>
                <w:color w:val="auto"/>
                <w:sz w:val="24"/>
                <w:szCs w:val="24"/>
                <w:highlight w:val="none"/>
                <w:lang w:val="en-US" w:eastAsia="zh-CN"/>
              </w:rPr>
              <w:t>24</w:t>
            </w:r>
            <w:r>
              <w:rPr>
                <w:rFonts w:hint="eastAsia" w:asciiTheme="minorEastAsia" w:hAnsiTheme="minorEastAsia" w:eastAsiaTheme="minorEastAsia" w:cstheme="minorEastAsia"/>
                <w:b w:val="0"/>
                <w:bCs w:val="0"/>
                <w:color w:val="auto"/>
                <w:sz w:val="24"/>
                <w:szCs w:val="24"/>
                <w:highlight w:val="none"/>
              </w:rPr>
              <w:t>年1月1日以来实施</w:t>
            </w:r>
            <w:r>
              <w:rPr>
                <w:rFonts w:hint="eastAsia" w:asciiTheme="minorEastAsia" w:hAnsiTheme="minorEastAsia" w:eastAsiaTheme="minorEastAsia" w:cstheme="minorEastAsia"/>
                <w:b w:val="0"/>
                <w:bCs w:val="0"/>
                <w:color w:val="auto"/>
                <w:sz w:val="24"/>
                <w:szCs w:val="24"/>
                <w:highlight w:val="none"/>
                <w:lang w:eastAsia="zh-CN"/>
              </w:rPr>
              <w:t>类似</w:t>
            </w:r>
            <w:r>
              <w:rPr>
                <w:rFonts w:hint="eastAsia" w:asciiTheme="minorEastAsia" w:hAnsiTheme="minorEastAsia" w:eastAsiaTheme="minorEastAsia" w:cstheme="minorEastAsia"/>
                <w:b w:val="0"/>
                <w:bCs w:val="0"/>
                <w:color w:val="auto"/>
                <w:sz w:val="24"/>
                <w:szCs w:val="24"/>
                <w:highlight w:val="none"/>
              </w:rPr>
              <w:t>项目业绩情况，每提供一个得</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分，本项最高</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分。</w:t>
            </w:r>
          </w:p>
          <w:p>
            <w:pPr>
              <w:spacing w:line="360" w:lineRule="auto"/>
              <w:jc w:val="left"/>
              <w:rPr>
                <w:rFonts w:hint="eastAsia" w:asciiTheme="minorEastAsia" w:hAnsiTheme="minorEastAsia" w:eastAsiaTheme="minorEastAsia" w:cstheme="minorEastAsia"/>
                <w:color w:val="auto"/>
                <w:sz w:val="24"/>
                <w:szCs w:val="24"/>
                <w:highlight w:val="none"/>
              </w:rPr>
            </w:pPr>
            <w:bookmarkStart w:id="356" w:name="OLE_LINK3"/>
            <w:r>
              <w:rPr>
                <w:rFonts w:hint="eastAsia" w:asciiTheme="minorEastAsia" w:hAnsiTheme="minorEastAsia" w:eastAsiaTheme="minorEastAsia" w:cstheme="minorEastAsia"/>
                <w:b w:val="0"/>
                <w:bCs w:val="0"/>
                <w:color w:val="auto"/>
                <w:sz w:val="24"/>
                <w:szCs w:val="24"/>
                <w:highlight w:val="none"/>
              </w:rPr>
              <w:t>备注：</w:t>
            </w:r>
            <w:r>
              <w:rPr>
                <w:rFonts w:hint="eastAsia" w:asciiTheme="minorEastAsia" w:hAnsiTheme="minorEastAsia" w:eastAsiaTheme="minorEastAsia" w:cstheme="minorEastAsia"/>
                <w:b w:val="0"/>
                <w:bCs w:val="0"/>
                <w:color w:val="auto"/>
                <w:sz w:val="24"/>
                <w:szCs w:val="24"/>
                <w:highlight w:val="none"/>
                <w:lang w:val="en-US" w:eastAsia="zh-CN"/>
              </w:rPr>
              <w:t>证明材料指中标通知书或采购合同扫描件。</w:t>
            </w:r>
            <w:bookmarkStart w:id="357" w:name="OLE_LINK4"/>
            <w:r>
              <w:rPr>
                <w:rFonts w:hint="eastAsia" w:asciiTheme="minorEastAsia" w:hAnsiTheme="minorEastAsia" w:eastAsiaTheme="minorEastAsia" w:cstheme="minorEastAsia"/>
                <w:b w:val="0"/>
                <w:bCs w:val="0"/>
                <w:color w:val="auto"/>
                <w:sz w:val="24"/>
                <w:szCs w:val="24"/>
                <w:highlight w:val="none"/>
              </w:rPr>
              <w:t>评委对业绩进行核查，提供虚假业绩、伪造业绩合同的依法报主管部门处理。</w:t>
            </w:r>
            <w:bookmarkEnd w:id="356"/>
            <w:bookmarkEnd w:id="357"/>
          </w:p>
        </w:tc>
      </w:tr>
      <w:bookmarkEnd w:id="351"/>
      <w:bookmarkEnd w:id="352"/>
      <w:bookmarkEnd w:id="353"/>
    </w:tbl>
    <w:p>
      <w:pPr>
        <w:pStyle w:val="9"/>
        <w:jc w:val="both"/>
        <w:rPr>
          <w:rFonts w:hint="eastAsia" w:ascii="宋体" w:hAnsi="宋体" w:eastAsia="宋体" w:cs="宋体"/>
          <w:b/>
          <w:bCs/>
          <w:color w:val="auto"/>
          <w:sz w:val="24"/>
          <w:szCs w:val="24"/>
          <w:highlight w:val="none"/>
        </w:rPr>
        <w:sectPr>
          <w:pgSz w:w="11906" w:h="16838"/>
          <w:pgMar w:top="1440" w:right="1080" w:bottom="1440" w:left="1080" w:header="851" w:footer="992" w:gutter="0"/>
          <w:pgNumType w:fmt="decimal"/>
          <w:cols w:space="720" w:num="1"/>
          <w:titlePg/>
          <w:docGrid w:type="lines" w:linePitch="312" w:charSpace="0"/>
        </w:sectPr>
      </w:pPr>
    </w:p>
    <w:p>
      <w:pPr>
        <w:rPr>
          <w:rFonts w:hint="eastAsia"/>
          <w:color w:val="auto"/>
          <w:highlight w:val="none"/>
          <w:lang w:eastAsia="zh-CN"/>
        </w:rPr>
      </w:pPr>
    </w:p>
    <w:p>
      <w:pPr>
        <w:pageBreakBefore w:val="0"/>
        <w:numPr>
          <w:ilvl w:val="0"/>
          <w:numId w:val="0"/>
        </w:numPr>
        <w:kinsoku/>
        <w:overflowPunct/>
        <w:bidi w:val="0"/>
        <w:spacing w:line="360" w:lineRule="auto"/>
        <w:jc w:val="center"/>
        <w:outlineLvl w:val="0"/>
        <w:rPr>
          <w:rFonts w:hint="eastAsia" w:ascii="宋体" w:hAnsi="宋体" w:eastAsia="宋体" w:cs="宋体"/>
          <w:b/>
          <w:bCs/>
          <w:color w:val="auto"/>
          <w:sz w:val="36"/>
          <w:szCs w:val="36"/>
          <w:highlight w:val="none"/>
          <w:lang w:eastAsia="zh-CN"/>
        </w:rPr>
      </w:pPr>
      <w:bookmarkStart w:id="358" w:name="_Toc2389"/>
      <w:r>
        <w:rPr>
          <w:rFonts w:hint="eastAsia" w:ascii="宋体" w:hAnsi="宋体" w:cs="宋体"/>
          <w:b/>
          <w:bCs/>
          <w:color w:val="auto"/>
          <w:sz w:val="36"/>
          <w:szCs w:val="36"/>
          <w:highlight w:val="none"/>
          <w:lang w:val="en-US" w:eastAsia="zh-CN"/>
        </w:rPr>
        <w:t>第五章</w:t>
      </w:r>
      <w:r>
        <w:rPr>
          <w:rFonts w:hint="eastAsia" w:ascii="宋体" w:hAnsi="宋体" w:eastAsia="宋体" w:cs="宋体"/>
          <w:b/>
          <w:bCs/>
          <w:color w:val="auto"/>
          <w:sz w:val="36"/>
          <w:szCs w:val="36"/>
          <w:highlight w:val="none"/>
          <w:lang w:eastAsia="zh-CN"/>
        </w:rPr>
        <w:t xml:space="preserve">  合同条款及合同书样式</w:t>
      </w:r>
      <w:bookmarkEnd w:id="358"/>
    </w:p>
    <w:p>
      <w:pPr>
        <w:pageBreakBefore w:val="0"/>
        <w:numPr>
          <w:ilvl w:val="0"/>
          <w:numId w:val="0"/>
        </w:numPr>
        <w:kinsoku/>
        <w:overflowPunct/>
        <w:bidi w:val="0"/>
        <w:spacing w:line="360" w:lineRule="auto"/>
        <w:ind w:firstLine="1968" w:firstLineChars="700"/>
        <w:jc w:val="both"/>
        <w:outlineLvl w:val="0"/>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此合同仅供参考，以最终签订的为准</w:t>
      </w:r>
      <w:r>
        <w:rPr>
          <w:rFonts w:hint="eastAsia" w:ascii="宋体" w:hAnsi="宋体" w:eastAsia="宋体" w:cs="宋体"/>
          <w:b/>
          <w:bCs/>
          <w:color w:val="auto"/>
          <w:sz w:val="28"/>
          <w:szCs w:val="28"/>
          <w:highlight w:val="none"/>
          <w:lang w:eastAsia="zh-CN"/>
        </w:rPr>
        <w:t>）</w:t>
      </w:r>
    </w:p>
    <w:p>
      <w:pPr>
        <w:widowControl w:val="0"/>
        <w:tabs>
          <w:tab w:val="left" w:pos="1245"/>
          <w:tab w:val="left" w:pos="4080"/>
          <w:tab w:val="left" w:pos="4495"/>
          <w:tab w:val="left" w:pos="7350"/>
          <w:tab w:val="left" w:pos="7745"/>
        </w:tabs>
        <w:wordWrap/>
        <w:ind w:right="-214" w:rightChars="-102"/>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合同编号：            合同自编号：            项目编号：</w:t>
      </w:r>
    </w:p>
    <w:p>
      <w:pPr>
        <w:widowControl w:val="0"/>
        <w:wordWrap/>
        <w:spacing w:after="24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●本合同须加盖甲乙双方骑缝章有效</w:t>
      </w:r>
    </w:p>
    <w:p>
      <w:pPr>
        <w:widowControl w:val="0"/>
        <w:wordWrap/>
        <w:spacing w:after="240"/>
        <w:jc w:val="center"/>
        <w:rPr>
          <w:rFonts w:hint="eastAsia" w:ascii="宋体" w:hAnsi="宋体" w:eastAsia="宋体" w:cs="宋体"/>
          <w:b w:val="0"/>
          <w:bCs w:val="0"/>
          <w:color w:val="auto"/>
          <w:sz w:val="33"/>
          <w:szCs w:val="33"/>
          <w:highlight w:val="none"/>
        </w:rPr>
      </w:pPr>
      <w:r>
        <w:rPr>
          <w:rFonts w:hint="eastAsia" w:ascii="宋体" w:hAnsi="宋体" w:eastAsia="宋体" w:cs="宋体"/>
          <w:b w:val="0"/>
          <w:bCs w:val="0"/>
          <w:color w:val="auto"/>
          <w:sz w:val="33"/>
          <w:szCs w:val="33"/>
          <w:highlight w:val="none"/>
        </w:rPr>
        <w:t>云南省省级政府采购</w:t>
      </w:r>
    </w:p>
    <w:p>
      <w:pPr>
        <w:pStyle w:val="47"/>
        <w:widowControl w:val="0"/>
        <w:wordWrap/>
        <w:rPr>
          <w:rFonts w:hint="eastAsia" w:ascii="宋体" w:hAnsi="宋体" w:eastAsia="宋体" w:cs="宋体"/>
          <w:color w:val="auto"/>
          <w:highlight w:val="none"/>
        </w:rPr>
      </w:pPr>
    </w:p>
    <w:p>
      <w:pPr>
        <w:widowControl w:val="0"/>
        <w:wordWrap/>
        <w:spacing w:after="240"/>
        <w:jc w:val="center"/>
        <w:rPr>
          <w:rFonts w:hint="eastAsia" w:ascii="宋体" w:hAnsi="宋体" w:eastAsia="宋体" w:cs="宋体"/>
          <w:color w:val="auto"/>
          <w:sz w:val="15"/>
          <w:szCs w:val="15"/>
          <w:highlight w:val="none"/>
        </w:rPr>
      </w:pPr>
      <w:r>
        <w:rPr>
          <w:rFonts w:hint="eastAsia" w:ascii="宋体" w:hAnsi="宋体" w:eastAsia="宋体" w:cs="宋体"/>
          <w:color w:val="auto"/>
          <w:sz w:val="28"/>
          <w:szCs w:val="28"/>
          <w:highlight w:val="none"/>
        </w:rPr>
        <w:t>（委托采购）</w:t>
      </w:r>
      <w:r>
        <w:rPr>
          <w:rFonts w:hint="eastAsia" w:ascii="宋体" w:hAnsi="宋体" w:eastAsia="宋体" w:cs="宋体"/>
          <w:color w:val="auto"/>
          <w:sz w:val="15"/>
          <w:szCs w:val="15"/>
          <w:highlight w:val="none"/>
        </w:rPr>
        <w:t xml:space="preserve"> </w:t>
      </w:r>
    </w:p>
    <w:p>
      <w:pPr>
        <w:pStyle w:val="47"/>
        <w:widowControl w:val="0"/>
        <w:wordWrap/>
        <w:rPr>
          <w:rFonts w:hint="eastAsia" w:ascii="宋体" w:hAnsi="宋体" w:eastAsia="宋体" w:cs="宋体"/>
          <w:color w:val="auto"/>
          <w:highlight w:val="none"/>
        </w:rPr>
      </w:pPr>
    </w:p>
    <w:p>
      <w:pPr>
        <w:pStyle w:val="47"/>
        <w:widowControl w:val="0"/>
        <w:wordWrap/>
        <w:rPr>
          <w:rFonts w:hint="eastAsia" w:ascii="宋体" w:hAnsi="宋体" w:eastAsia="宋体" w:cs="宋体"/>
          <w:color w:val="auto"/>
          <w:highlight w:val="none"/>
        </w:rPr>
      </w:pPr>
    </w:p>
    <w:p>
      <w:pPr>
        <w:widowControl w:val="0"/>
        <w:wordWrap/>
        <w:spacing w:after="240"/>
        <w:jc w:val="center"/>
        <w:rPr>
          <w:rFonts w:hint="eastAsia" w:ascii="宋体" w:hAnsi="宋体" w:eastAsia="宋体" w:cs="宋体"/>
          <w:color w:val="auto"/>
          <w:sz w:val="15"/>
          <w:szCs w:val="15"/>
          <w:highlight w:val="none"/>
        </w:rPr>
      </w:pPr>
      <w:r>
        <w:rPr>
          <w:rFonts w:hint="eastAsia" w:ascii="宋体" w:hAnsi="宋体" w:eastAsia="宋体" w:cs="宋体"/>
          <w:color w:val="auto"/>
          <w:sz w:val="53"/>
          <w:szCs w:val="53"/>
          <w:highlight w:val="none"/>
        </w:rPr>
        <w:t>合</w:t>
      </w:r>
    </w:p>
    <w:p>
      <w:pPr>
        <w:widowControl w:val="0"/>
        <w:wordWrap/>
        <w:spacing w:after="240"/>
        <w:jc w:val="center"/>
        <w:rPr>
          <w:rFonts w:hint="eastAsia" w:ascii="宋体" w:hAnsi="宋体" w:eastAsia="宋体" w:cs="宋体"/>
          <w:color w:val="auto"/>
          <w:sz w:val="15"/>
          <w:szCs w:val="15"/>
          <w:highlight w:val="none"/>
        </w:rPr>
      </w:pPr>
      <w:r>
        <w:rPr>
          <w:rFonts w:hint="eastAsia" w:ascii="宋体" w:hAnsi="宋体" w:eastAsia="宋体" w:cs="宋体"/>
          <w:color w:val="auto"/>
          <w:sz w:val="53"/>
          <w:szCs w:val="53"/>
          <w:highlight w:val="none"/>
        </w:rPr>
        <w:t>同</w:t>
      </w:r>
    </w:p>
    <w:p>
      <w:pPr>
        <w:widowControl w:val="0"/>
        <w:wordWrap/>
        <w:spacing w:after="240"/>
        <w:jc w:val="center"/>
        <w:rPr>
          <w:rFonts w:hint="eastAsia" w:ascii="宋体" w:hAnsi="宋体" w:eastAsia="宋体" w:cs="宋体"/>
          <w:color w:val="auto"/>
          <w:sz w:val="15"/>
          <w:szCs w:val="15"/>
          <w:highlight w:val="none"/>
        </w:rPr>
      </w:pPr>
      <w:r>
        <w:rPr>
          <w:rFonts w:hint="eastAsia" w:ascii="宋体" w:hAnsi="宋体" w:eastAsia="宋体" w:cs="宋体"/>
          <w:color w:val="auto"/>
          <w:sz w:val="53"/>
          <w:szCs w:val="53"/>
          <w:highlight w:val="none"/>
        </w:rPr>
        <w:t>书</w:t>
      </w:r>
      <w:r>
        <w:rPr>
          <w:rFonts w:hint="eastAsia" w:ascii="宋体" w:hAnsi="宋体" w:eastAsia="宋体" w:cs="宋体"/>
          <w:color w:val="auto"/>
          <w:sz w:val="15"/>
          <w:szCs w:val="15"/>
          <w:highlight w:val="none"/>
        </w:rPr>
        <w:t xml:space="preserve"> </w:t>
      </w:r>
    </w:p>
    <w:p>
      <w:pPr>
        <w:pStyle w:val="47"/>
        <w:widowControl w:val="0"/>
        <w:wordWrap/>
        <w:rPr>
          <w:rFonts w:hint="eastAsia" w:ascii="宋体" w:hAnsi="宋体" w:eastAsia="宋体" w:cs="宋体"/>
          <w:color w:val="auto"/>
          <w:highlight w:val="none"/>
        </w:rPr>
      </w:pPr>
    </w:p>
    <w:p>
      <w:pPr>
        <w:widowControl w:val="0"/>
        <w:wordWrap/>
        <w:spacing w:after="240"/>
        <w:ind w:firstLine="3600" w:firstLineChars="1500"/>
        <w:jc w:val="both"/>
        <w:rPr>
          <w:rFonts w:hint="eastAsia" w:ascii="宋体" w:hAnsi="宋体" w:eastAsia="宋体" w:cs="宋体"/>
          <w:b w:val="0"/>
          <w:bCs w:val="0"/>
          <w:color w:val="auto"/>
          <w:sz w:val="24"/>
          <w:highlight w:val="none"/>
          <w:lang w:eastAsia="zh-CN"/>
        </w:rPr>
      </w:pPr>
      <w:r>
        <w:rPr>
          <w:rFonts w:hint="eastAsia" w:ascii="宋体" w:hAnsi="宋体" w:eastAsia="宋体" w:cs="宋体"/>
          <w:b w:val="0"/>
          <w:bCs w:val="0"/>
          <w:color w:val="auto"/>
          <w:sz w:val="24"/>
          <w:highlight w:val="none"/>
        </w:rPr>
        <w:t>签订地点:</w:t>
      </w:r>
    </w:p>
    <w:p>
      <w:pPr>
        <w:widowControl w:val="0"/>
        <w:wordWrap/>
        <w:spacing w:after="240"/>
        <w:jc w:val="center"/>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签订日期:</w:t>
      </w:r>
      <w:r>
        <w:rPr>
          <w:rFonts w:hint="eastAsia" w:ascii="宋体" w:hAnsi="宋体" w:eastAsia="宋体" w:cs="宋体"/>
          <w:b w:val="0"/>
          <w:bCs w:val="0"/>
          <w:color w:val="auto"/>
          <w:sz w:val="24"/>
          <w:highlight w:val="none"/>
          <w:lang w:val="en-US" w:eastAsia="zh-CN"/>
        </w:rPr>
        <w:t xml:space="preserve">    </w:t>
      </w:r>
      <w:r>
        <w:rPr>
          <w:rFonts w:hint="eastAsia" w:ascii="宋体" w:hAnsi="宋体" w:eastAsia="宋体" w:cs="宋体"/>
          <w:b w:val="0"/>
          <w:bCs w:val="0"/>
          <w:color w:val="auto"/>
          <w:sz w:val="24"/>
          <w:highlight w:val="none"/>
        </w:rPr>
        <w:t xml:space="preserve">年　 月　日 </w:t>
      </w:r>
    </w:p>
    <w:p>
      <w:pPr>
        <w:widowControl w:val="0"/>
        <w:wordWrap/>
        <w:spacing w:before="100" w:beforeAutospacing="1" w:after="100" w:afterAutospacing="1"/>
        <w:jc w:val="center"/>
        <w:rPr>
          <w:rFonts w:hint="eastAsia" w:ascii="宋体" w:hAnsi="宋体" w:eastAsia="宋体" w:cs="宋体"/>
          <w:b w:val="0"/>
          <w:bCs w:val="0"/>
          <w:color w:val="auto"/>
          <w:kern w:val="0"/>
          <w:sz w:val="24"/>
          <w:highlight w:val="none"/>
        </w:rPr>
      </w:pPr>
      <w:r>
        <w:rPr>
          <w:rFonts w:hint="eastAsia" w:ascii="宋体" w:hAnsi="宋体" w:eastAsia="宋体" w:cs="宋体"/>
          <w:b w:val="0"/>
          <w:bCs w:val="0"/>
          <w:color w:val="auto"/>
          <w:sz w:val="24"/>
          <w:highlight w:val="none"/>
        </w:rPr>
        <w:t xml:space="preserve">云南省财政厅　制 </w:t>
      </w:r>
    </w:p>
    <w:p>
      <w:pPr>
        <w:pageBreakBefore w:val="0"/>
        <w:kinsoku/>
        <w:overflowPunct/>
        <w:bidi w:val="0"/>
        <w:spacing w:line="360" w:lineRule="auto"/>
        <w:jc w:val="center"/>
        <w:outlineLvl w:val="0"/>
        <w:rPr>
          <w:rFonts w:ascii="宋体" w:hAnsi="宋体" w:cs="宋体"/>
          <w:color w:val="auto"/>
          <w:kern w:val="0"/>
          <w:sz w:val="24"/>
          <w:highlight w:val="none"/>
        </w:rPr>
      </w:pPr>
      <w:r>
        <w:rPr>
          <w:rFonts w:hint="eastAsia" w:ascii="宋体" w:hAnsi="宋体" w:eastAsia="宋体" w:cs="宋体"/>
          <w:color w:val="auto"/>
          <w:kern w:val="0"/>
          <w:sz w:val="24"/>
          <w:highlight w:val="none"/>
        </w:rPr>
        <w:br w:type="page"/>
      </w:r>
    </w:p>
    <w:p>
      <w:pPr>
        <w:keepNext w:val="0"/>
        <w:keepLines w:val="0"/>
        <w:pageBreakBefore w:val="0"/>
        <w:widowControl/>
        <w:kinsoku/>
        <w:wordWrap/>
        <w:overflowPunct/>
        <w:topLinePunct w:val="0"/>
        <w:autoSpaceDE/>
        <w:autoSpaceDN/>
        <w:bidi w:val="0"/>
        <w:adjustRightInd/>
        <w:spacing w:after="240"/>
        <w:ind w:firstLine="480" w:firstLineChars="20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甲方（</w:t>
      </w:r>
      <w:r>
        <w:rPr>
          <w:rFonts w:hint="eastAsia" w:ascii="宋体" w:hAnsi="宋体" w:cs="宋体"/>
          <w:color w:val="auto"/>
          <w:kern w:val="0"/>
          <w:sz w:val="24"/>
          <w:highlight w:val="none"/>
          <w:lang w:eastAsia="zh-CN"/>
        </w:rPr>
        <w:t>招标人</w:t>
      </w:r>
      <w:r>
        <w:rPr>
          <w:rFonts w:hint="eastAsia" w:ascii="宋体" w:hAnsi="宋体" w:cs="宋体"/>
          <w:color w:val="auto"/>
          <w:kern w:val="0"/>
          <w:sz w:val="24"/>
          <w:highlight w:val="none"/>
        </w:rPr>
        <w:t>公章）名称：</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r>
        <w:rPr>
          <w:rFonts w:ascii="宋体" w:hAnsi="宋体" w:cs="宋体"/>
          <w:color w:val="auto"/>
          <w:kern w:val="0"/>
          <w:sz w:val="24"/>
          <w:highlight w:val="none"/>
        </w:rPr>
        <w:t xml:space="preserve"> </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hint="eastAsia" w:ascii="宋体" w:hAnsi="宋体" w:cs="宋体"/>
          <w:color w:val="auto"/>
          <w:kern w:val="0"/>
          <w:sz w:val="24"/>
          <w:highlight w:val="none"/>
        </w:rPr>
      </w:pPr>
      <w:r>
        <w:rPr>
          <w:rFonts w:ascii="宋体" w:hAnsi="宋体" w:cs="宋体"/>
          <w:color w:val="auto"/>
          <w:kern w:val="0"/>
          <w:sz w:val="24"/>
          <w:highlight w:val="none"/>
        </w:rPr>
        <w:tab/>
      </w:r>
      <w:r>
        <w:rPr>
          <w:rFonts w:hint="eastAsia" w:ascii="宋体" w:hAnsi="宋体" w:cs="宋体"/>
          <w:color w:val="auto"/>
          <w:kern w:val="0"/>
          <w:sz w:val="24"/>
          <w:highlight w:val="none"/>
        </w:rPr>
        <w:t>    邮编：</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法定代表人或委托代理人：</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项目（技术）负责人：</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电话：</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w:t>
      </w:r>
    </w:p>
    <w:p>
      <w:pPr>
        <w:keepNext w:val="0"/>
        <w:keepLines w:val="0"/>
        <w:pageBreakBefore w:val="0"/>
        <w:widowControl/>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hint="eastAsia" w:ascii="宋体" w:hAnsi="宋体" w:cs="宋体"/>
          <w:color w:val="auto"/>
          <w:kern w:val="0"/>
          <w:sz w:val="24"/>
          <w:highlight w:val="none"/>
        </w:rPr>
        <w:t>  乙方（</w:t>
      </w:r>
      <w:r>
        <w:rPr>
          <w:rFonts w:hint="eastAsia" w:ascii="宋体" w:hAnsi="宋体" w:cs="宋体"/>
          <w:color w:val="auto"/>
          <w:kern w:val="0"/>
          <w:sz w:val="24"/>
          <w:highlight w:val="none"/>
          <w:lang w:eastAsia="zh-CN"/>
        </w:rPr>
        <w:t>中标人</w:t>
      </w:r>
      <w:r>
        <w:rPr>
          <w:rFonts w:hint="eastAsia" w:ascii="宋体" w:hAnsi="宋体" w:cs="宋体"/>
          <w:color w:val="auto"/>
          <w:kern w:val="0"/>
          <w:sz w:val="24"/>
          <w:highlight w:val="none"/>
        </w:rPr>
        <w:t>公章）名称：</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地址：</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邮编：</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法定代表人：</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xml:space="preserve">    委托代理人：          电话： </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开户银行：</w:t>
      </w:r>
    </w:p>
    <w:p>
      <w:pPr>
        <w:keepNext w:val="0"/>
        <w:keepLines w:val="0"/>
        <w:pageBreakBefore w:val="0"/>
        <w:widowControl/>
        <w:tabs>
          <w:tab w:val="left" w:pos="1657"/>
        </w:tabs>
        <w:kinsoku/>
        <w:wordWrap/>
        <w:overflowPunct/>
        <w:topLinePunct w:val="0"/>
        <w:autoSpaceDE/>
        <w:autoSpaceDN/>
        <w:bidi w:val="0"/>
        <w:adjustRightInd/>
        <w:spacing w:after="240"/>
        <w:jc w:val="left"/>
        <w:textAlignment w:val="auto"/>
        <w:outlineLvl w:val="9"/>
        <w:rPr>
          <w:rFonts w:ascii="宋体" w:hAnsi="宋体" w:cs="宋体"/>
          <w:color w:val="auto"/>
          <w:kern w:val="0"/>
          <w:sz w:val="24"/>
          <w:highlight w:val="none"/>
        </w:rPr>
      </w:pPr>
      <w:r>
        <w:rPr>
          <w:rFonts w:ascii="宋体" w:hAnsi="宋体" w:cs="宋体"/>
          <w:color w:val="auto"/>
          <w:kern w:val="0"/>
          <w:sz w:val="24"/>
          <w:highlight w:val="none"/>
        </w:rPr>
        <w:t> </w:t>
      </w:r>
      <w:r>
        <w:rPr>
          <w:rFonts w:ascii="宋体" w:hAnsi="宋体" w:cs="宋体"/>
          <w:color w:val="auto"/>
          <w:kern w:val="0"/>
          <w:sz w:val="24"/>
          <w:highlight w:val="none"/>
        </w:rPr>
        <w:tab/>
      </w:r>
      <w:r>
        <w:rPr>
          <w:rFonts w:hint="eastAsia" w:ascii="宋体" w:hAnsi="宋体" w:cs="宋体"/>
          <w:color w:val="auto"/>
          <w:kern w:val="0"/>
          <w:sz w:val="24"/>
          <w:highlight w:val="none"/>
        </w:rPr>
        <w:t>    账号：</w:t>
      </w:r>
    </w:p>
    <w:p>
      <w:pPr>
        <w:keepNext w:val="0"/>
        <w:keepLines w:val="0"/>
        <w:pageBreakBefore w:val="0"/>
        <w:widowControl/>
        <w:kinsoku/>
        <w:wordWrap/>
        <w:overflowPunct/>
        <w:topLinePunct w:val="0"/>
        <w:autoSpaceDE/>
        <w:autoSpaceDN/>
        <w:bidi w:val="0"/>
        <w:adjustRightInd/>
        <w:jc w:val="left"/>
        <w:textAlignment w:val="auto"/>
        <w:outlineLvl w:val="9"/>
        <w:rPr>
          <w:rFonts w:ascii="宋体" w:hAnsi="宋体" w:cs="宋体"/>
          <w:vanish/>
          <w:color w:val="auto"/>
          <w:kern w:val="0"/>
          <w:sz w:val="24"/>
          <w:highlight w:val="none"/>
        </w:rPr>
      </w:pPr>
    </w:p>
    <w:p>
      <w:pPr>
        <w:widowControl/>
        <w:tabs>
          <w:tab w:val="left" w:pos="169"/>
        </w:tabs>
        <w:spacing w:after="24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w:t>
      </w:r>
    </w:p>
    <w:p>
      <w:pPr>
        <w:spacing w:line="360" w:lineRule="exact"/>
        <w:rPr>
          <w:rFonts w:eastAsia="'宋体"/>
          <w:b/>
          <w:color w:val="auto"/>
          <w:sz w:val="24"/>
          <w:szCs w:val="28"/>
          <w:highlight w:val="none"/>
        </w:rPr>
      </w:pPr>
      <w:r>
        <w:rPr>
          <w:b/>
          <w:color w:val="auto"/>
          <w:sz w:val="32"/>
          <w:szCs w:val="32"/>
          <w:highlight w:val="none"/>
        </w:rPr>
        <w:br w:type="page"/>
      </w:r>
      <w:bookmarkStart w:id="359" w:name="_Toc30944"/>
      <w:bookmarkStart w:id="360" w:name="_Toc18973"/>
      <w:bookmarkStart w:id="361" w:name="_Toc14649"/>
      <w:r>
        <w:rPr>
          <w:rFonts w:hint="eastAsia" w:eastAsia="'宋体"/>
          <w:b/>
          <w:color w:val="auto"/>
          <w:sz w:val="24"/>
          <w:szCs w:val="28"/>
          <w:highlight w:val="none"/>
        </w:rPr>
        <w:t>甲方：</w:t>
      </w:r>
      <w:bookmarkEnd w:id="359"/>
      <w:bookmarkEnd w:id="360"/>
      <w:bookmarkEnd w:id="361"/>
    </w:p>
    <w:p>
      <w:pPr>
        <w:spacing w:line="360" w:lineRule="exact"/>
        <w:rPr>
          <w:rFonts w:eastAsia="'宋体"/>
          <w:b/>
          <w:color w:val="auto"/>
          <w:sz w:val="24"/>
          <w:szCs w:val="28"/>
          <w:highlight w:val="none"/>
        </w:rPr>
      </w:pPr>
    </w:p>
    <w:p>
      <w:pPr>
        <w:spacing w:line="360" w:lineRule="exact"/>
        <w:rPr>
          <w:rFonts w:hint="eastAsia" w:ascii="宋体" w:hAnsi="宋体"/>
          <w:color w:val="auto"/>
          <w:highlight w:val="none"/>
        </w:rPr>
      </w:pPr>
      <w:bookmarkStart w:id="362" w:name="_Toc19301"/>
      <w:bookmarkStart w:id="363" w:name="_Toc30665"/>
      <w:bookmarkStart w:id="364" w:name="_Toc27007"/>
      <w:r>
        <w:rPr>
          <w:rFonts w:hint="eastAsia" w:eastAsia="'宋体"/>
          <w:b/>
          <w:color w:val="auto"/>
          <w:sz w:val="24"/>
          <w:szCs w:val="28"/>
          <w:highlight w:val="none"/>
        </w:rPr>
        <w:t>乙方：</w:t>
      </w:r>
      <w:bookmarkEnd w:id="362"/>
      <w:bookmarkEnd w:id="363"/>
      <w:bookmarkEnd w:id="364"/>
      <w:r>
        <w:rPr>
          <w:rFonts w:eastAsia="'宋体"/>
          <w:b/>
          <w:color w:val="auto"/>
          <w:sz w:val="24"/>
          <w:szCs w:val="28"/>
          <w:highlight w:val="none"/>
        </w:rPr>
        <w:t xml:space="preserve"> </w:t>
      </w:r>
    </w:p>
    <w:p>
      <w:pPr>
        <w:pStyle w:val="47"/>
        <w:spacing w:beforeLines="50" w:afterLines="50"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highlight w:val="none"/>
          <w:lang w:eastAsia="zh-CN"/>
        </w:rPr>
        <w:t>项目编号</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公开招标结果，甲、乙双方在平等、互利、友好的基础上，经过共同协商,甲方和乙方签订合同如下：</w:t>
      </w:r>
    </w:p>
    <w:p>
      <w:pPr>
        <w:pStyle w:val="47"/>
        <w:spacing w:beforeLines="50" w:afterLines="50" w:line="36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rPr>
        <w:t>1.合同文件</w:t>
      </w:r>
    </w:p>
    <w:p>
      <w:pPr>
        <w:pStyle w:val="47"/>
        <w:spacing w:beforeLines="50" w:afterLines="50" w:line="360" w:lineRule="auto"/>
        <w:rPr>
          <w:rFonts w:hint="eastAsia" w:ascii="宋体" w:hAnsi="宋体" w:eastAsia="宋体" w:cs="宋体"/>
          <w:color w:val="auto"/>
          <w:highlight w:val="none"/>
        </w:rPr>
      </w:pPr>
      <w:r>
        <w:rPr>
          <w:rFonts w:hint="eastAsia" w:ascii="宋体" w:hAnsi="宋体" w:eastAsia="宋体" w:cs="宋体"/>
          <w:color w:val="auto"/>
          <w:highlight w:val="none"/>
        </w:rPr>
        <w:t>本合同包含下列文件</w:t>
      </w:r>
    </w:p>
    <w:p>
      <w:pPr>
        <w:pStyle w:val="47"/>
        <w:spacing w:beforeLines="50" w:afterLines="50"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1.1 本合同</w:t>
      </w:r>
    </w:p>
    <w:p>
      <w:pPr>
        <w:pStyle w:val="47"/>
        <w:spacing w:beforeLines="50" w:afterLines="50" w:line="360" w:lineRule="auto"/>
        <w:ind w:firstLine="360" w:firstLineChars="150"/>
        <w:rPr>
          <w:rFonts w:hint="eastAsia" w:ascii="宋体" w:hAnsi="宋体" w:eastAsia="宋体" w:cs="宋体"/>
          <w:color w:val="auto"/>
          <w:highlight w:val="none"/>
        </w:rPr>
      </w:pPr>
      <w:r>
        <w:rPr>
          <w:rFonts w:hint="eastAsia" w:ascii="宋体" w:hAnsi="宋体" w:eastAsia="宋体" w:cs="宋体"/>
          <w:color w:val="auto"/>
          <w:highlight w:val="none"/>
        </w:rPr>
        <w:t>1.2 投标文件</w:t>
      </w:r>
    </w:p>
    <w:p>
      <w:pPr>
        <w:pStyle w:val="47"/>
        <w:spacing w:beforeLines="50" w:afterLines="5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2.合同标的及价格</w:t>
      </w:r>
    </w:p>
    <w:p>
      <w:pPr>
        <w:spacing w:line="360" w:lineRule="auto"/>
        <w:ind w:firstLine="480" w:firstLineChars="200"/>
        <w:rPr>
          <w:rFonts w:hint="eastAsia" w:ascii="宋体" w:hAnsi="宋体" w:eastAsia="宋体" w:cs="宋体"/>
          <w:bCs/>
          <w:color w:val="auto"/>
          <w:sz w:val="24"/>
          <w:highlight w:val="none"/>
          <w:lang w:eastAsia="zh-CN"/>
        </w:rPr>
      </w:pPr>
      <w:r>
        <w:rPr>
          <w:rFonts w:hint="eastAsia" w:ascii="宋体" w:hAnsi="宋体" w:eastAsia="宋体" w:cs="宋体"/>
          <w:b w:val="0"/>
          <w:bCs w:val="0"/>
          <w:color w:val="auto"/>
          <w:sz w:val="24"/>
          <w:szCs w:val="24"/>
          <w:highlight w:val="none"/>
          <w:lang w:val="en-US" w:eastAsia="zh-CN"/>
        </w:rPr>
        <w:t>2.1</w:t>
      </w:r>
      <w:r>
        <w:rPr>
          <w:rFonts w:hint="eastAsia" w:ascii="宋体" w:hAnsi="宋体" w:eastAsia="宋体" w:cs="宋体"/>
          <w:b w:val="0"/>
          <w:bCs w:val="0"/>
          <w:color w:val="auto"/>
          <w:sz w:val="24"/>
          <w:szCs w:val="24"/>
          <w:highlight w:val="none"/>
          <w:lang w:eastAsia="zh-CN"/>
        </w:rPr>
        <w:t>采购清单</w:t>
      </w:r>
    </w:p>
    <w:tbl>
      <w:tblPr>
        <w:tblStyle w:val="41"/>
        <w:tblW w:w="906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1410"/>
        <w:gridCol w:w="3195"/>
        <w:gridCol w:w="765"/>
        <w:gridCol w:w="810"/>
        <w:gridCol w:w="780"/>
        <w:gridCol w:w="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3" w:hRule="atLeast"/>
          <w:jc w:val="center"/>
        </w:trPr>
        <w:tc>
          <w:tcPr>
            <w:tcW w:w="132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4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品牌</w:t>
            </w:r>
            <w:r>
              <w:rPr>
                <w:rFonts w:hint="eastAsia" w:ascii="宋体" w:hAnsi="宋体" w:eastAsia="宋体" w:cs="宋体"/>
                <w:color w:val="auto"/>
                <w:sz w:val="24"/>
                <w:szCs w:val="24"/>
                <w:highlight w:val="none"/>
                <w:lang w:val="en-US" w:eastAsia="zh-CN"/>
              </w:rPr>
              <w:t>/厂家</w:t>
            </w:r>
          </w:p>
        </w:tc>
        <w:tc>
          <w:tcPr>
            <w:tcW w:w="319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项目特征规格、技术参数、性能要求</w:t>
            </w:r>
          </w:p>
        </w:tc>
        <w:tc>
          <w:tcPr>
            <w:tcW w:w="76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8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78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tc>
        <w:tc>
          <w:tcPr>
            <w:tcW w:w="787"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132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14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319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76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8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780"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c>
          <w:tcPr>
            <w:tcW w:w="787"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2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14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319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bCs w:val="0"/>
                <w:color w:val="auto"/>
                <w:sz w:val="24"/>
                <w:szCs w:val="24"/>
                <w:highlight w:val="none"/>
                <w:lang w:eastAsia="zh-CN"/>
              </w:rPr>
            </w:pPr>
          </w:p>
        </w:tc>
        <w:tc>
          <w:tcPr>
            <w:tcW w:w="76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8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780"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c>
          <w:tcPr>
            <w:tcW w:w="787"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2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14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lang w:eastAsia="zh-CN"/>
              </w:rPr>
            </w:pPr>
          </w:p>
        </w:tc>
        <w:tc>
          <w:tcPr>
            <w:tcW w:w="319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bCs w:val="0"/>
                <w:color w:val="auto"/>
                <w:sz w:val="24"/>
                <w:szCs w:val="24"/>
                <w:highlight w:val="none"/>
                <w:lang w:eastAsia="zh-CN"/>
              </w:rPr>
            </w:pPr>
          </w:p>
        </w:tc>
        <w:tc>
          <w:tcPr>
            <w:tcW w:w="765"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810" w:type="dxa"/>
            <w:vAlign w:val="center"/>
          </w:tcPr>
          <w:p>
            <w:pPr>
              <w:keepNext w:val="0"/>
              <w:keepLines w:val="0"/>
              <w:pageBreakBefore w:val="0"/>
              <w:kinsoku/>
              <w:wordWrap/>
              <w:overflowPunct/>
              <w:topLinePunct w:val="0"/>
              <w:bidi w:val="0"/>
              <w:snapToGrid/>
              <w:spacing w:line="360" w:lineRule="auto"/>
              <w:jc w:val="center"/>
              <w:textAlignment w:val="auto"/>
              <w:rPr>
                <w:rFonts w:hint="eastAsia" w:ascii="宋体" w:hAnsi="宋体" w:eastAsia="宋体" w:cs="宋体"/>
                <w:b w:val="0"/>
                <w:color w:val="auto"/>
                <w:sz w:val="24"/>
                <w:szCs w:val="24"/>
                <w:highlight w:val="none"/>
              </w:rPr>
            </w:pPr>
          </w:p>
        </w:tc>
        <w:tc>
          <w:tcPr>
            <w:tcW w:w="780"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c>
          <w:tcPr>
            <w:tcW w:w="787" w:type="dxa"/>
            <w:vAlign w:val="top"/>
          </w:tcPr>
          <w:p>
            <w:pPr>
              <w:keepNext w:val="0"/>
              <w:keepLines w:val="0"/>
              <w:pageBreakBefore w:val="0"/>
              <w:kinsoku/>
              <w:wordWrap/>
              <w:overflowPunct/>
              <w:topLinePunct w:val="0"/>
              <w:bidi w:val="0"/>
              <w:snapToGrid/>
              <w:spacing w:line="360" w:lineRule="auto"/>
              <w:textAlignment w:val="auto"/>
              <w:rPr>
                <w:rFonts w:hint="eastAsia" w:ascii="宋体" w:hAnsi="宋体" w:eastAsia="宋体" w:cs="宋体"/>
                <w:b w:val="0"/>
                <w:color w:val="auto"/>
                <w:sz w:val="24"/>
                <w:szCs w:val="24"/>
                <w:highlight w:val="none"/>
              </w:rPr>
            </w:pPr>
          </w:p>
        </w:tc>
      </w:tr>
    </w:tbl>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2.2</w:t>
      </w:r>
      <w:r>
        <w:rPr>
          <w:rFonts w:hint="eastAsia" w:ascii="宋体" w:hAnsi="宋体"/>
          <w:bCs/>
          <w:color w:val="auto"/>
          <w:sz w:val="24"/>
          <w:highlight w:val="none"/>
        </w:rPr>
        <w:t xml:space="preserve"> 本合同设备总价为人民币</w:t>
      </w:r>
      <w:r>
        <w:rPr>
          <w:rFonts w:hint="eastAsia" w:ascii="宋体" w:hAnsi="宋体"/>
          <w:color w:val="auto"/>
          <w:sz w:val="24"/>
          <w:highlight w:val="none"/>
        </w:rPr>
        <w:t>¥</w:t>
      </w:r>
      <w:r>
        <w:rPr>
          <w:rFonts w:ascii="宋体" w:hAnsi="宋体"/>
          <w:bCs/>
          <w:color w:val="auto"/>
          <w:sz w:val="24"/>
          <w:highlight w:val="none"/>
          <w:u w:val="single"/>
        </w:rPr>
        <w:t xml:space="preserve">           </w:t>
      </w:r>
      <w:r>
        <w:rPr>
          <w:rFonts w:hint="eastAsia" w:ascii="宋体" w:hAnsi="宋体"/>
          <w:color w:val="auto"/>
          <w:sz w:val="24"/>
          <w:highlight w:val="none"/>
        </w:rPr>
        <w:t>整（大写人民币</w:t>
      </w:r>
      <w:r>
        <w:rPr>
          <w:rFonts w:ascii="宋体" w:hAnsi="宋体"/>
          <w:color w:val="auto"/>
          <w:sz w:val="24"/>
          <w:highlight w:val="none"/>
          <w:u w:val="single"/>
        </w:rPr>
        <w:t xml:space="preserve">       </w:t>
      </w:r>
      <w:r>
        <w:rPr>
          <w:rFonts w:hint="eastAsia" w:ascii="宋体" w:hAnsi="宋体"/>
          <w:color w:val="auto"/>
          <w:sz w:val="24"/>
          <w:highlight w:val="none"/>
        </w:rPr>
        <w:t>.元）</w:t>
      </w:r>
    </w:p>
    <w:p>
      <w:pPr>
        <w:keepNext w:val="0"/>
        <w:keepLines w:val="0"/>
        <w:pageBreakBefore w:val="0"/>
        <w:kinsoku/>
        <w:wordWrap/>
        <w:overflowPunct/>
        <w:topLinePunct w:val="0"/>
        <w:bidi w:val="0"/>
        <w:spacing w:line="460" w:lineRule="exact"/>
        <w:ind w:left="0" w:right="0" w:rightChars="0" w:firstLine="480" w:firstLineChars="200"/>
        <w:textAlignment w:val="auto"/>
        <w:outlineLvl w:val="9"/>
        <w:rPr>
          <w:rFonts w:ascii="宋体" w:hAnsi="宋体"/>
          <w:color w:val="auto"/>
          <w:sz w:val="24"/>
          <w:highlight w:val="none"/>
        </w:rPr>
      </w:pPr>
      <w:r>
        <w:rPr>
          <w:rFonts w:hint="eastAsia" w:ascii="宋体" w:hAnsi="宋体"/>
          <w:color w:val="auto"/>
          <w:sz w:val="24"/>
          <w:highlight w:val="none"/>
        </w:rPr>
        <w:t>上述合同总价包括：</w:t>
      </w:r>
      <w:r>
        <w:rPr>
          <w:rFonts w:hint="eastAsia" w:asciiTheme="majorEastAsia" w:hAnsiTheme="majorEastAsia" w:eastAsiaTheme="majorEastAsia" w:cstheme="majorEastAsia"/>
          <w:color w:val="auto"/>
          <w:sz w:val="24"/>
          <w:szCs w:val="24"/>
          <w:highlight w:val="none"/>
          <w:lang w:val="zh-CN" w:eastAsia="zh-CN"/>
        </w:rPr>
        <w:t>本项目</w:t>
      </w:r>
      <w:r>
        <w:rPr>
          <w:rFonts w:hint="eastAsia" w:asciiTheme="majorEastAsia" w:hAnsiTheme="majorEastAsia" w:eastAsiaTheme="majorEastAsia" w:cstheme="majorEastAsia"/>
          <w:color w:val="auto"/>
          <w:sz w:val="24"/>
          <w:szCs w:val="24"/>
          <w:highlight w:val="none"/>
          <w:lang w:val="en-US" w:eastAsia="zh-CN"/>
        </w:rPr>
        <w:t>所有</w:t>
      </w:r>
      <w:r>
        <w:rPr>
          <w:rFonts w:hint="eastAsia" w:asciiTheme="majorEastAsia" w:hAnsiTheme="majorEastAsia" w:eastAsiaTheme="majorEastAsia" w:cstheme="majorEastAsia"/>
          <w:color w:val="auto"/>
          <w:sz w:val="24"/>
          <w:szCs w:val="24"/>
          <w:highlight w:val="none"/>
          <w:lang w:val="zh-CN" w:eastAsia="zh-CN"/>
        </w:rPr>
        <w:t>产品、产品的运输装卸、安装、调试、验收、维护费、</w:t>
      </w:r>
      <w:r>
        <w:rPr>
          <w:rFonts w:hint="eastAsia" w:asciiTheme="majorEastAsia" w:hAnsiTheme="majorEastAsia" w:eastAsiaTheme="majorEastAsia" w:cstheme="majorEastAsia"/>
          <w:color w:val="auto"/>
          <w:sz w:val="24"/>
          <w:szCs w:val="24"/>
          <w:highlight w:val="none"/>
          <w:lang w:val="en-US" w:eastAsia="zh-CN"/>
        </w:rPr>
        <w:t>保险、</w:t>
      </w:r>
      <w:r>
        <w:rPr>
          <w:rFonts w:hint="eastAsia" w:asciiTheme="majorEastAsia" w:hAnsiTheme="majorEastAsia" w:eastAsiaTheme="majorEastAsia" w:cstheme="majorEastAsia"/>
          <w:color w:val="auto"/>
          <w:sz w:val="24"/>
          <w:szCs w:val="24"/>
          <w:highlight w:val="none"/>
          <w:lang w:val="zh-CN" w:eastAsia="zh-CN"/>
        </w:rPr>
        <w:t>质保、</w:t>
      </w:r>
      <w:r>
        <w:rPr>
          <w:rFonts w:hint="eastAsia" w:asciiTheme="majorEastAsia" w:hAnsiTheme="majorEastAsia" w:eastAsiaTheme="majorEastAsia" w:cstheme="majorEastAsia"/>
          <w:color w:val="auto"/>
          <w:sz w:val="24"/>
          <w:szCs w:val="24"/>
          <w:highlight w:val="none"/>
          <w:lang w:val="en-US" w:eastAsia="zh-CN"/>
        </w:rPr>
        <w:t>后续服务、</w:t>
      </w:r>
      <w:r>
        <w:rPr>
          <w:rFonts w:hint="eastAsia" w:asciiTheme="majorEastAsia" w:hAnsiTheme="majorEastAsia" w:eastAsiaTheme="majorEastAsia" w:cstheme="majorEastAsia"/>
          <w:color w:val="auto"/>
          <w:sz w:val="24"/>
          <w:szCs w:val="24"/>
          <w:highlight w:val="none"/>
          <w:lang w:val="zh-CN" w:eastAsia="zh-CN"/>
        </w:rPr>
        <w:t>各种税费、</w:t>
      </w:r>
      <w:r>
        <w:rPr>
          <w:rFonts w:hint="eastAsia" w:asciiTheme="majorEastAsia" w:hAnsiTheme="majorEastAsia" w:eastAsiaTheme="majorEastAsia" w:cstheme="majorEastAsia"/>
          <w:color w:val="auto"/>
          <w:sz w:val="24"/>
          <w:szCs w:val="24"/>
          <w:highlight w:val="none"/>
          <w:lang w:val="en-US" w:eastAsia="zh-CN"/>
        </w:rPr>
        <w:t>中标服务费</w:t>
      </w:r>
      <w:r>
        <w:rPr>
          <w:rFonts w:hint="eastAsia" w:asciiTheme="majorEastAsia" w:hAnsiTheme="majorEastAsia" w:eastAsiaTheme="majorEastAsia" w:cstheme="majorEastAsia"/>
          <w:color w:val="auto"/>
          <w:sz w:val="24"/>
          <w:szCs w:val="24"/>
          <w:highlight w:val="none"/>
          <w:lang w:val="zh-CN" w:eastAsia="zh-CN"/>
        </w:rPr>
        <w:t>等全部费用</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bidi w:val="0"/>
        <w:snapToGrid/>
        <w:spacing w:line="460" w:lineRule="exact"/>
        <w:textAlignment w:val="auto"/>
        <w:rPr>
          <w:rFonts w:ascii="宋体" w:hAnsi="宋体"/>
          <w:color w:val="auto"/>
          <w:sz w:val="24"/>
          <w:highlight w:val="none"/>
        </w:rPr>
      </w:pPr>
      <w:r>
        <w:rPr>
          <w:rFonts w:hint="eastAsia" w:ascii="宋体" w:hAnsi="宋体"/>
          <w:b/>
          <w:color w:val="auto"/>
          <w:sz w:val="24"/>
          <w:highlight w:val="none"/>
        </w:rPr>
        <w:t>3.付款方式</w:t>
      </w:r>
      <w:r>
        <w:rPr>
          <w:rFonts w:hint="eastAsia" w:ascii="宋体" w:hAnsi="宋体"/>
          <w:color w:val="auto"/>
          <w:sz w:val="24"/>
          <w:highlight w:val="none"/>
        </w:rPr>
        <w:t xml:space="preserve">    </w:t>
      </w:r>
    </w:p>
    <w:p>
      <w:pPr>
        <w:spacing w:line="360" w:lineRule="auto"/>
        <w:ind w:firstLine="477" w:firstLineChars="19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pPr>
        <w:spacing w:line="360" w:lineRule="auto"/>
        <w:ind w:left="103" w:leftChars="8" w:hanging="86" w:hangingChars="41"/>
        <w:rPr>
          <w:rFonts w:hint="eastAsia" w:ascii="宋体" w:hAnsi="宋体" w:eastAsia="宋体" w:cs="宋体"/>
          <w:iCs/>
          <w:color w:val="auto"/>
          <w:sz w:val="24"/>
          <w:highlight w:val="none"/>
        </w:rPr>
      </w:pPr>
      <w:r>
        <w:rPr>
          <w:rFonts w:hint="eastAsia" w:ascii="宋体" w:hAnsi="宋体" w:eastAsia="宋体" w:cs="宋体"/>
          <w:b/>
          <w:color w:val="auto"/>
          <w:highlight w:val="none"/>
        </w:rPr>
        <w:t xml:space="preserve">4. </w:t>
      </w:r>
      <w:r>
        <w:rPr>
          <w:rFonts w:hint="eastAsia" w:ascii="宋体" w:hAnsi="宋体" w:eastAsia="宋体" w:cs="宋体"/>
          <w:b/>
          <w:color w:val="auto"/>
          <w:sz w:val="24"/>
          <w:highlight w:val="none"/>
        </w:rPr>
        <w:t>交货、运输</w:t>
      </w:r>
    </w:p>
    <w:p>
      <w:pPr>
        <w:spacing w:line="360" w:lineRule="auto"/>
        <w:ind w:firstLine="477" w:firstLineChars="199"/>
        <w:rPr>
          <w:rFonts w:hint="eastAsia" w:ascii="宋体" w:hAnsi="宋体" w:eastAsia="宋体" w:cs="宋体"/>
          <w:color w:val="auto"/>
          <w:sz w:val="24"/>
          <w:highlight w:val="none"/>
        </w:rPr>
      </w:pPr>
      <w:r>
        <w:rPr>
          <w:rFonts w:hint="eastAsia" w:ascii="宋体" w:hAnsi="宋体" w:eastAsia="宋体" w:cs="宋体"/>
          <w:color w:val="auto"/>
          <w:sz w:val="24"/>
          <w:highlight w:val="none"/>
        </w:rPr>
        <w:t>4.1交货日期：本合同“设备”的制造、运输由乙方负责，上述工作须在合同生效后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天完成。</w:t>
      </w:r>
    </w:p>
    <w:p>
      <w:pPr>
        <w:spacing w:line="360" w:lineRule="auto"/>
        <w:ind w:firstLine="480" w:firstLineChars="2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4.2交货地点：</w:t>
      </w:r>
      <w:r>
        <w:rPr>
          <w:rFonts w:hint="eastAsia" w:ascii="宋体" w:hAnsi="宋体" w:eastAsia="宋体" w:cs="宋体"/>
          <w:color w:val="auto"/>
          <w:sz w:val="24"/>
          <w:highlight w:val="none"/>
          <w:u w:val="single"/>
        </w:rPr>
        <w:t xml:space="preserve">                 </w:t>
      </w:r>
    </w:p>
    <w:p>
      <w:pPr>
        <w:spacing w:line="360" w:lineRule="auto"/>
        <w:ind w:firstLine="479" w:firstLineChars="199"/>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4.3乙方根据装卸及搬运不同货物特点及不同要求，每一包装上应标明惯用的标志及图示，显著标明“小心轻放”、“此端向上”、“防潮”等字样或图案。每箱货应当有一份详细的装箱单，装箱单中同时标明净重和毛重。乙方应对不充分或不适当包装造成的货物损坏或灭失承担责任。对于箱内和捆内的散装部件，乙方均应系加标签并注明部件名称以及该部件在装配图上的位号和零件号。对于备件和工具，除注明上述内容外，尚需注明“备件”或“工具”字样。</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4.4</w:t>
      </w:r>
      <w:r>
        <w:rPr>
          <w:rFonts w:hint="eastAsia" w:ascii="宋体" w:hAnsi="宋体" w:eastAsia="宋体" w:cs="宋体"/>
          <w:color w:val="auto"/>
          <w:kern w:val="0"/>
          <w:sz w:val="24"/>
          <w:highlight w:val="none"/>
        </w:rPr>
        <w:t xml:space="preserve"> 乙方应在不迟于每批货物备妥待运前_____日通知甲方如下内容：</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4.4.1 合同号；</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4.4.2 货物备妥待运日；</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4.4.3 货物总体积；</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4.4.4 货物总毛重/总包数；</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4.4.5 发运站名称；</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4.4.6 发运货物的详细清单，包括合同号、分项号、合同设备的名称、规格、型号、数量、单价/总价、单位重量、单件体积/总体积，每件货物的外包装尺寸（长×宽×高）、总件数和发运站；</w:t>
      </w:r>
    </w:p>
    <w:p>
      <w:pPr>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4.4.7 有关合同设备在储存和运输中特殊注意事项的说明。</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4.5</w:t>
      </w:r>
      <w:r>
        <w:rPr>
          <w:rFonts w:hint="eastAsia" w:ascii="宋体" w:hAnsi="宋体" w:eastAsia="宋体" w:cs="宋体"/>
          <w:color w:val="auto"/>
          <w:kern w:val="0"/>
          <w:sz w:val="24"/>
          <w:highlight w:val="none"/>
        </w:rPr>
        <w:t xml:space="preserve">   在每批货物的交货清单中都应附有下列单据：</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4.5.1 装箱明细单副本一式两份；</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4.5.2 质量合格证副本一式两份；</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4.5.3 相关设备的技术资料一份；</w:t>
      </w:r>
    </w:p>
    <w:p>
      <w:pPr>
        <w:autoSpaceDE w:val="0"/>
        <w:autoSpaceDN w:val="0"/>
        <w:adjustRightInd w:val="0"/>
        <w:spacing w:line="360" w:lineRule="auto"/>
        <w:ind w:firstLine="48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4.5.4 需要组装的部件及机器的系统装配图一式两份</w:t>
      </w:r>
    </w:p>
    <w:p>
      <w:pPr>
        <w:autoSpaceDE w:val="0"/>
        <w:autoSpaceDN w:val="0"/>
        <w:adjustRightInd w:val="0"/>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 </w:t>
      </w:r>
      <w:r>
        <w:rPr>
          <w:rFonts w:hint="eastAsia" w:ascii="宋体" w:hAnsi="宋体" w:eastAsia="宋体" w:cs="宋体"/>
          <w:color w:val="auto"/>
          <w:kern w:val="0"/>
          <w:sz w:val="24"/>
          <w:highlight w:val="none"/>
        </w:rPr>
        <w:t>凡由于对货物包装不当或采取防护措施不充分致使货物损坏或丢失时，乙方均应按合同的规定负责修理、更换或赔偿。如果因乙方在包装和唛头标记方面发生的错误造成货物的误运，乙方应承担由此发生的额外费用。</w:t>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5.验收</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5.1甲方按照本合同约定的产品质量、规格、材料、数量及国家、行业的相关标准对乙方提供的设备进行验收。乙方应将所有资料、备件备品备齐，并保证</w:t>
      </w:r>
      <w:r>
        <w:rPr>
          <w:rFonts w:hint="eastAsia" w:ascii="宋体" w:hAnsi="宋体" w:eastAsia="宋体" w:cs="宋体"/>
          <w:bCs/>
          <w:color w:val="auto"/>
          <w:sz w:val="24"/>
          <w:highlight w:val="none"/>
        </w:rPr>
        <w:t>设备性能和技术参数达到合同要求。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5.2乙方保证上述所有验收项目一次性通过验收。反之，每增加一次验收程序，乙方向甲方支付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元的违约金，如果经过</w:t>
      </w:r>
      <w:r>
        <w:rPr>
          <w:rFonts w:hint="eastAsia" w:ascii="宋体" w:hAnsi="宋体" w:eastAsia="宋体" w:cs="宋体"/>
          <w:color w:val="auto"/>
          <w:sz w:val="24"/>
          <w:highlight w:val="none"/>
          <w:u w:val="single"/>
        </w:rPr>
        <w:t>3</w:t>
      </w:r>
      <w:r>
        <w:rPr>
          <w:rFonts w:hint="eastAsia" w:ascii="宋体" w:hAnsi="宋体" w:eastAsia="宋体" w:cs="宋体"/>
          <w:color w:val="auto"/>
          <w:sz w:val="24"/>
          <w:highlight w:val="none"/>
        </w:rPr>
        <w:t>次验收程序，合同设备仍不能通过验收，甲方有权拒绝接收设备并解除合同，乙方应在解除合同之日起</w:t>
      </w:r>
      <w:r>
        <w:rPr>
          <w:rFonts w:hint="eastAsia" w:ascii="宋体" w:hAnsi="宋体" w:eastAsia="宋体" w:cs="宋体"/>
          <w:color w:val="auto"/>
          <w:sz w:val="24"/>
          <w:highlight w:val="none"/>
          <w:u w:val="single"/>
        </w:rPr>
        <w:t>3</w:t>
      </w:r>
      <w:r>
        <w:rPr>
          <w:rFonts w:hint="eastAsia" w:ascii="宋体" w:hAnsi="宋体" w:eastAsia="宋体" w:cs="宋体"/>
          <w:color w:val="auto"/>
          <w:sz w:val="24"/>
          <w:highlight w:val="none"/>
        </w:rPr>
        <w:t>日内，返还甲方已付货款，并承担甲方由此造成的损失。</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5.3 双方以样品验收的，乙方应提前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日将甲方订购的设备样品封存，并将样品交甲方保管。</w:t>
      </w:r>
    </w:p>
    <w:p>
      <w:pPr>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5.4由乙方设备验收不合格所产生的费用由乙方承担，且交货期不顺延。</w:t>
      </w:r>
    </w:p>
    <w:p>
      <w:pPr>
        <w:spacing w:line="360" w:lineRule="auto"/>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6.所有权和风险的转移</w:t>
      </w:r>
    </w:p>
    <w:p>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在验收合格后，设备交付给甲方时，该设备硬件的所有权、风险从乙方转移到甲方，甲方获得该设备的所有权。</w:t>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7.设备保证、保修及售后服务</w:t>
      </w:r>
    </w:p>
    <w:p>
      <w:pPr>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7.1设备保证</w:t>
      </w:r>
    </w:p>
    <w:p>
      <w:pPr>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乙方对其出售的产品享有完整的所有权，保证不被第三人追索和占有。若因乙方权利瑕疵所产生的一切后果及给甲方造成的损失，由乙方承担。乙方须自付费用为甲方取得继续使用该产品的权利。    </w:t>
      </w:r>
    </w:p>
    <w:p>
      <w:pPr>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乙方保证其供应的本合同的“设备”的技术水平达到国家同类设备的技术指标，提供的所有设备及元器件是全新的并按最佳方案设计和制造。设备和材料的选型均符合工艺、安全运行操作以及长期使用的要求，并符合本合同附件的规定的各项运行指标及国家、行业有关的技术标准。     </w:t>
      </w:r>
    </w:p>
    <w:p>
      <w:pPr>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7.1.3 设备在验收和保修期内运行性能和质量达不到设备技术规范要求，乙方无条件满足甲方要求。更换设备的一切费用由乙方负责，且交货期不顺延。</w:t>
      </w:r>
    </w:p>
    <w:p>
      <w:pPr>
        <w:spacing w:line="360" w:lineRule="auto"/>
        <w:ind w:right="-75"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7.1.4 乙方对本合同“设备”的保修期为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月，自“设备”验收合格之日起计算。</w:t>
      </w:r>
    </w:p>
    <w:p>
      <w:pPr>
        <w:spacing w:line="360" w:lineRule="auto"/>
        <w:ind w:right="-75" w:firstLine="480" w:firstLineChars="200"/>
        <w:rPr>
          <w:rFonts w:ascii="宋体" w:hAnsi="宋体"/>
          <w:color w:val="auto"/>
          <w:sz w:val="24"/>
          <w:highlight w:val="none"/>
        </w:rPr>
      </w:pPr>
      <w:r>
        <w:rPr>
          <w:rFonts w:hint="eastAsia" w:ascii="宋体" w:hAnsi="宋体" w:eastAsia="宋体" w:cs="宋体"/>
          <w:color w:val="auto"/>
          <w:sz w:val="24"/>
          <w:highlight w:val="none"/>
        </w:rPr>
        <w:t>7.1.5  在设备保修期内如设备出现故障、乙方应立即对甲方的故障器件进行修理、更换，并应自收到甲方报修通知的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天内完成更换、修理及返件工作。新更换和补充修复部件保修期经甲方验收后重新开始计算。若由于乙方的迟延造成甲方不能正常工作或致使返修的故障设备超过保修期，则由此产</w:t>
      </w:r>
      <w:r>
        <w:rPr>
          <w:rFonts w:hint="eastAsia" w:ascii="宋体" w:hAnsi="宋体"/>
          <w:color w:val="auto"/>
          <w:sz w:val="24"/>
          <w:highlight w:val="none"/>
        </w:rPr>
        <w:t>生的修理费用及甲方损失由乙方负责。</w:t>
      </w:r>
    </w:p>
    <w:p>
      <w:pPr>
        <w:spacing w:line="360" w:lineRule="auto"/>
        <w:ind w:right="-75" w:firstLine="480" w:firstLineChars="200"/>
        <w:rPr>
          <w:rFonts w:ascii="宋体" w:hAnsi="宋体" w:cs="宋体"/>
          <w:color w:val="auto"/>
          <w:sz w:val="24"/>
          <w:highlight w:val="none"/>
        </w:rPr>
      </w:pPr>
      <w:r>
        <w:rPr>
          <w:rFonts w:hint="eastAsia" w:ascii="宋体" w:hAnsi="宋体" w:cs="宋体"/>
          <w:color w:val="auto"/>
          <w:sz w:val="24"/>
          <w:highlight w:val="none"/>
        </w:rPr>
        <w:t>7.1.6 本合同“设备”使用期间内，乙方应向甲方持续提供维护支持、技术支持和备件支持。乙方向甲方提供的备件价格不得高于当时同种型号的市场价格。</w:t>
      </w:r>
    </w:p>
    <w:p>
      <w:pPr>
        <w:spacing w:line="360" w:lineRule="auto"/>
        <w:rPr>
          <w:rFonts w:ascii="宋体" w:hAnsi="宋体" w:cs="宋体"/>
          <w:color w:val="auto"/>
          <w:sz w:val="24"/>
          <w:highlight w:val="none"/>
        </w:rPr>
      </w:pPr>
      <w:r>
        <w:rPr>
          <w:rFonts w:hint="eastAsia" w:ascii="宋体" w:hAnsi="宋体" w:cs="宋体"/>
          <w:b/>
          <w:color w:val="auto"/>
          <w:sz w:val="24"/>
          <w:highlight w:val="none"/>
        </w:rPr>
        <w:t>8.</w:t>
      </w:r>
      <w:r>
        <w:rPr>
          <w:rFonts w:hint="eastAsia" w:ascii="宋体" w:hAnsi="宋体" w:cs="宋体"/>
          <w:color w:val="auto"/>
          <w:sz w:val="24"/>
          <w:szCs w:val="32"/>
          <w:highlight w:val="none"/>
        </w:rPr>
        <w:t>索赔</w:t>
      </w:r>
    </w:p>
    <w:p>
      <w:pPr>
        <w:spacing w:line="360" w:lineRule="auto"/>
        <w:ind w:firstLine="417" w:firstLineChars="174"/>
        <w:rPr>
          <w:rFonts w:ascii="宋体" w:hAnsi="宋体" w:cs="宋体"/>
          <w:color w:val="auto"/>
          <w:sz w:val="24"/>
          <w:szCs w:val="32"/>
          <w:highlight w:val="none"/>
        </w:rPr>
      </w:pPr>
      <w:r>
        <w:rPr>
          <w:rFonts w:hint="eastAsia" w:ascii="宋体" w:hAnsi="宋体" w:cs="宋体"/>
          <w:color w:val="auto"/>
          <w:sz w:val="24"/>
          <w:szCs w:val="32"/>
          <w:highlight w:val="none"/>
        </w:rPr>
        <w:t>8.1</w:t>
      </w:r>
      <w:r>
        <w:rPr>
          <w:rFonts w:hint="eastAsia" w:ascii="宋体" w:hAnsi="宋体" w:cs="宋体"/>
          <w:color w:val="auto"/>
          <w:kern w:val="0"/>
          <w:sz w:val="24"/>
          <w:highlight w:val="none"/>
        </w:rPr>
        <w:t>如果设备在制造、验收和保证期内乙方未能履行其在本合同项下所承担的义务，甲方有权寻求本条款规定的任意或全部救济方式。</w:t>
      </w:r>
    </w:p>
    <w:p>
      <w:pPr>
        <w:spacing w:line="360" w:lineRule="auto"/>
        <w:ind w:firstLine="417" w:firstLineChars="174"/>
        <w:rPr>
          <w:rFonts w:ascii="宋体" w:hAnsi="宋体" w:cs="宋体"/>
          <w:color w:val="auto"/>
          <w:sz w:val="24"/>
          <w:szCs w:val="32"/>
          <w:highlight w:val="none"/>
        </w:rPr>
      </w:pPr>
      <w:r>
        <w:rPr>
          <w:rFonts w:hint="eastAsia" w:ascii="宋体" w:hAnsi="宋体" w:cs="宋体"/>
          <w:color w:val="auto"/>
          <w:sz w:val="24"/>
          <w:szCs w:val="32"/>
          <w:highlight w:val="none"/>
        </w:rPr>
        <w:t>8.2在本合同“设备”使用期内，如发现乙方提供的“设备”有缺陷或不符合合同规定时，甲方有权凭有关管理部门的检验证书或验收文件向乙方提出索赔。乙方应立即无偿换货或退货，并负担由此产生的费用和损失。乙方对整体设备及配件的更换期限或退款期限不迟于收到甲方通知后</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日。</w:t>
      </w:r>
      <w:r>
        <w:rPr>
          <w:rFonts w:hint="eastAsia" w:ascii="宋体" w:hAnsi="宋体" w:cs="宋体"/>
          <w:color w:val="auto"/>
          <w:sz w:val="24"/>
          <w:highlight w:val="none"/>
        </w:rPr>
        <w:t>如乙方</w:t>
      </w:r>
      <w:r>
        <w:rPr>
          <w:rFonts w:hint="eastAsia" w:ascii="宋体" w:hAnsi="宋体" w:cs="宋体"/>
          <w:color w:val="auto"/>
          <w:kern w:val="0"/>
          <w:sz w:val="24"/>
          <w:highlight w:val="none"/>
        </w:rPr>
        <w:t>不能按期派遣人员到工作现场，甲方有权自行消除缺陷或不符合合同之处，由此产生的一切费用均由乙方承担。</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sz w:val="24"/>
          <w:szCs w:val="32"/>
          <w:highlight w:val="none"/>
        </w:rPr>
        <w:t xml:space="preserve">8.3 </w:t>
      </w:r>
      <w:r>
        <w:rPr>
          <w:rFonts w:hint="eastAsia" w:ascii="宋体" w:hAnsi="宋体" w:cs="宋体"/>
          <w:color w:val="auto"/>
          <w:kern w:val="0"/>
          <w:sz w:val="24"/>
          <w:highlight w:val="none"/>
        </w:rPr>
        <w:t>由乙方自付费用以新设备替换有缺陷的合同设备，同时乙方应在重新起算的保证期内对替换后的设备作出质量保证。乙方应自负风险和费用将替换后的设备或补供的设备运抵工作现场。</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8.4 乙方按质量低劣的程度、甲方受损害的程度及损失的数额对合同设备进行降价。</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8.5 乙方赔偿由乙方违约引起的甲方所受损失。</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8.6 乙方应在收到甲方索赔要求后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日内作出回复。乙方应在甲方发出索赔通知后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日内，按照甲方同意的方法解决索赔事宜。</w:t>
      </w:r>
    </w:p>
    <w:p>
      <w:pPr>
        <w:autoSpaceDE w:val="0"/>
        <w:autoSpaceDN w:val="0"/>
        <w:adjustRightInd w:val="0"/>
        <w:spacing w:line="360" w:lineRule="auto"/>
        <w:ind w:firstLine="480"/>
        <w:jc w:val="left"/>
        <w:rPr>
          <w:rFonts w:ascii="宋体" w:hAnsi="宋体" w:cs="宋体"/>
          <w:b/>
          <w:color w:val="auto"/>
          <w:sz w:val="24"/>
          <w:highlight w:val="none"/>
        </w:rPr>
      </w:pPr>
      <w:r>
        <w:rPr>
          <w:rFonts w:hint="eastAsia" w:ascii="宋体" w:hAnsi="宋体" w:cs="宋体"/>
          <w:color w:val="auto"/>
          <w:kern w:val="0"/>
          <w:sz w:val="24"/>
          <w:highlight w:val="none"/>
        </w:rPr>
        <w:t>8.7 如果乙方在收到甲方索赔要求后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日内未能作出回复，该索赔要求将被视为已被乙方接受。如乙方未能在甲方发出索赔通知后</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日内或甲方同意的延长期限内，按照甲方同意的上述规定的方法解决索赔事宜，甲方有权从乙方开具的履约保证金及设备保修金中扣回或要求乙方支付索赔金额。</w:t>
      </w:r>
      <w:bookmarkStart w:id="365" w:name="_Toc181673968"/>
    </w:p>
    <w:p>
      <w:pPr>
        <w:spacing w:line="360" w:lineRule="auto"/>
        <w:rPr>
          <w:rFonts w:ascii="宋体" w:hAnsi="宋体" w:cs="宋体"/>
          <w:b/>
          <w:color w:val="auto"/>
          <w:sz w:val="24"/>
          <w:highlight w:val="none"/>
        </w:rPr>
      </w:pPr>
      <w:r>
        <w:rPr>
          <w:rFonts w:hint="eastAsia" w:ascii="宋体" w:hAnsi="宋体" w:cs="宋体"/>
          <w:b/>
          <w:color w:val="auto"/>
          <w:sz w:val="24"/>
          <w:highlight w:val="none"/>
        </w:rPr>
        <w:t>9</w:t>
      </w:r>
      <w:bookmarkStart w:id="366" w:name="_Toc47151588"/>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履约保证金</w:t>
      </w:r>
      <w:bookmarkEnd w:id="365"/>
      <w:bookmarkEnd w:id="366"/>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9.1 乙方应在与甲方</w:t>
      </w:r>
      <w:r>
        <w:rPr>
          <w:rFonts w:hint="eastAsia" w:ascii="宋体" w:hAnsi="宋体" w:cs="宋体"/>
          <w:color w:val="auto"/>
          <w:kern w:val="0"/>
          <w:sz w:val="24"/>
          <w:highlight w:val="none"/>
          <w:lang w:eastAsia="zh-CN"/>
        </w:rPr>
        <w:t>签订</w:t>
      </w:r>
      <w:r>
        <w:rPr>
          <w:rFonts w:hint="eastAsia" w:ascii="宋体" w:hAnsi="宋体" w:cs="宋体"/>
          <w:color w:val="auto"/>
          <w:kern w:val="0"/>
          <w:sz w:val="24"/>
          <w:highlight w:val="none"/>
        </w:rPr>
        <w:t>合同</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日内，向乙方提交履约保证金，并要求：</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9.1.1. 履约保证金金额为合同总价的百分之</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 。</w:t>
      </w:r>
    </w:p>
    <w:p>
      <w:pPr>
        <w:autoSpaceDE w:val="0"/>
        <w:autoSpaceDN w:val="0"/>
        <w:adjustRightIn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9.1.2 履约保证金采用银行保函、支票、现金方式提交。</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9.2 如果乙方在合同有效期内未能履行本合同项下乙方的义务，甲方有权从履约保证金中扣除或追索。</w:t>
      </w:r>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9.3 本合同规定的保修期期满后，履约保函失效，履约保证金甲方退还乙方。</w:t>
      </w:r>
    </w:p>
    <w:p>
      <w:pPr>
        <w:spacing w:line="360" w:lineRule="auto"/>
        <w:jc w:val="left"/>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10</w:t>
      </w:r>
      <w:r>
        <w:rPr>
          <w:rFonts w:hint="eastAsia" w:ascii="宋体" w:hAnsi="宋体" w:cs="宋体"/>
          <w:b/>
          <w:color w:val="auto"/>
          <w:sz w:val="24"/>
          <w:highlight w:val="none"/>
          <w:lang w:val="en-US" w:eastAsia="zh-CN"/>
        </w:rPr>
        <w:t>.</w:t>
      </w:r>
      <w:r>
        <w:rPr>
          <w:rFonts w:hint="eastAsia" w:ascii="宋体" w:hAnsi="宋体" w:cs="宋体"/>
          <w:b/>
          <w:color w:val="auto"/>
          <w:sz w:val="24"/>
          <w:highlight w:val="none"/>
        </w:rPr>
        <w:t>不可抗力</w:t>
      </w:r>
    </w:p>
    <w:p>
      <w:pPr>
        <w:spacing w:line="360" w:lineRule="auto"/>
        <w:jc w:val="left"/>
        <w:rPr>
          <w:rFonts w:ascii="宋体" w:hAnsi="宋体" w:cs="宋体"/>
          <w:color w:val="auto"/>
          <w:sz w:val="24"/>
          <w:szCs w:val="32"/>
          <w:highlight w:val="none"/>
        </w:rPr>
      </w:pPr>
      <w:r>
        <w:rPr>
          <w:rFonts w:hint="eastAsia" w:ascii="宋体" w:hAnsi="宋体" w:cs="宋体"/>
          <w:b/>
          <w:color w:val="auto"/>
          <w:sz w:val="24"/>
          <w:highlight w:val="none"/>
        </w:rPr>
        <w:t xml:space="preserve">    </w:t>
      </w:r>
      <w:r>
        <w:rPr>
          <w:rFonts w:hint="eastAsia" w:ascii="宋体" w:hAnsi="宋体" w:cs="宋体"/>
          <w:color w:val="auto"/>
          <w:sz w:val="24"/>
          <w:szCs w:val="32"/>
          <w:highlight w:val="none"/>
        </w:rPr>
        <w:t>如部分或者全部因下列人力不可控制的原因而致使合同义务没有或延迟履行,合同各方均不承担任何违约责任，包括且限于：战争、叛乱暴动、地震、洪水。在上述情况下，受不</w:t>
      </w:r>
      <w:r>
        <w:rPr>
          <w:rFonts w:hint="eastAsia"/>
          <w:color w:val="auto"/>
          <w:sz w:val="24"/>
          <w:szCs w:val="32"/>
          <w:highlight w:val="none"/>
        </w:rPr>
        <w:t>可抗力影响的一方应当及时将不可抗力的情况以书面方式通知本合同的另一</w:t>
      </w:r>
      <w:r>
        <w:rPr>
          <w:rFonts w:hint="eastAsia" w:ascii="宋体" w:hAnsi="宋体" w:cs="宋体"/>
          <w:color w:val="auto"/>
          <w:sz w:val="24"/>
          <w:szCs w:val="32"/>
          <w:highlight w:val="none"/>
        </w:rPr>
        <w:t>方，并将预计的或者实际延迟期限以及有关细节通知另一方。如果不可抗力导致的延迟期限达到了</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天，而且合同双方未能就本合同的进一步执行和修改达成合同的话，任何一方在向另一方提前</w:t>
      </w:r>
      <w:r>
        <w:rPr>
          <w:rFonts w:hint="eastAsia" w:ascii="宋体" w:hAnsi="宋体" w:cs="宋体"/>
          <w:color w:val="auto"/>
          <w:sz w:val="24"/>
          <w:szCs w:val="32"/>
          <w:highlight w:val="none"/>
          <w:u w:val="single"/>
        </w:rPr>
        <w:t xml:space="preserve">     </w:t>
      </w:r>
      <w:r>
        <w:rPr>
          <w:rFonts w:hint="eastAsia" w:ascii="宋体" w:hAnsi="宋体" w:cs="宋体"/>
          <w:color w:val="auto"/>
          <w:sz w:val="24"/>
          <w:szCs w:val="32"/>
          <w:highlight w:val="none"/>
        </w:rPr>
        <w:t>天发出书面通知之后，可以解除本合同。</w:t>
      </w:r>
    </w:p>
    <w:p>
      <w:pP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11.违约责任</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sz w:val="24"/>
          <w:szCs w:val="32"/>
          <w:highlight w:val="none"/>
        </w:rPr>
        <w:t xml:space="preserve">11.1 </w:t>
      </w:r>
      <w:r>
        <w:rPr>
          <w:rFonts w:hint="eastAsia" w:ascii="宋体" w:hAnsi="宋体" w:cs="宋体"/>
          <w:color w:val="auto"/>
          <w:kern w:val="0"/>
          <w:sz w:val="24"/>
          <w:highlight w:val="none"/>
        </w:rPr>
        <w:t>如果乙方有下述违约行为，在不妨碍甲方其它救济手段的情况下，甲方可以向乙方发出书面违约通知，全部或部分地终止合同，并要求乙方</w:t>
      </w:r>
      <w:r>
        <w:rPr>
          <w:rFonts w:hint="eastAsia" w:ascii="宋体" w:hAnsi="宋体" w:cs="宋体"/>
          <w:color w:val="auto"/>
          <w:sz w:val="24"/>
          <w:highlight w:val="none"/>
        </w:rPr>
        <w:t>承担合同总金额的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11.1.1 乙方在合同规定的交货期后____日内仍未能交付合同设备； </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11.1.2 乙方未能使设备达到规定的最低技术性能和保证指标；</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11.1.3 乙方未能履行合同项下任何其它义务，并且在收到甲方违约通知后____日内仍未能对其违约行为作出补救。</w:t>
      </w:r>
    </w:p>
    <w:p>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 xml:space="preserve">11.2  </w:t>
      </w:r>
      <w:r>
        <w:rPr>
          <w:rFonts w:hint="eastAsia" w:ascii="宋体" w:hAnsi="宋体" w:cs="宋体"/>
          <w:color w:val="auto"/>
          <w:sz w:val="24"/>
          <w:highlight w:val="none"/>
        </w:rPr>
        <w:t>由于乙方原因未能按期向甲方交付验收合格的“设备”时，每逾1天，乙方向甲方支付合同金额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r>
        <w:rPr>
          <w:rFonts w:hint="eastAsia" w:ascii="宋体" w:hAnsi="宋体" w:cs="宋体"/>
          <w:color w:val="auto"/>
          <w:kern w:val="0"/>
          <w:sz w:val="24"/>
          <w:highlight w:val="none"/>
        </w:rPr>
        <w:t>如果逾期</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天，乙方仍不能交付设备的，甲方有权解除合同，并要求乙方承担相应的违约责任</w:t>
      </w:r>
      <w:r>
        <w:rPr>
          <w:rFonts w:hint="eastAsia" w:ascii="宋体" w:hAnsi="宋体" w:cs="宋体"/>
          <w:color w:val="auto"/>
          <w:sz w:val="24"/>
          <w:highlight w:val="none"/>
        </w:rPr>
        <w:t>。</w:t>
      </w:r>
    </w:p>
    <w:p>
      <w:pPr>
        <w:autoSpaceDE w:val="0"/>
        <w:autoSpaceDN w:val="0"/>
        <w:adjustRightInd w:val="0"/>
        <w:spacing w:line="360" w:lineRule="auto"/>
        <w:ind w:firstLine="480"/>
        <w:jc w:val="left"/>
        <w:rPr>
          <w:rFonts w:ascii="宋体" w:hAnsi="宋体" w:cs="宋体"/>
          <w:color w:val="auto"/>
          <w:kern w:val="0"/>
          <w:sz w:val="24"/>
          <w:highlight w:val="none"/>
        </w:rPr>
      </w:pPr>
      <w:r>
        <w:rPr>
          <w:rFonts w:hint="eastAsia" w:ascii="宋体" w:hAnsi="宋体" w:cs="宋体"/>
          <w:color w:val="auto"/>
          <w:kern w:val="0"/>
          <w:sz w:val="24"/>
          <w:highlight w:val="none"/>
        </w:rPr>
        <w:t>11.3  在甲方全部或部分终止合同的情况下，甲方可以以适当的条件取得与未按合同规定交付的设备和/或服务，乙方应承担甲方由此发生的额外费用。</w:t>
      </w:r>
    </w:p>
    <w:p>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11.4</w:t>
      </w:r>
      <w:r>
        <w:rPr>
          <w:rFonts w:hint="eastAsia" w:ascii="宋体" w:hAnsi="宋体" w:cs="宋体"/>
          <w:color w:val="auto"/>
          <w:sz w:val="24"/>
          <w:highlight w:val="none"/>
        </w:rPr>
        <w:t>合同签订后，双方均不得无故更改或终止合同。若因一方原因而导致合同无法继续履行，违约方应赔偿因此而给守约方带来的损失，并承担合同金额的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的违约金。</w:t>
      </w:r>
    </w:p>
    <w:p>
      <w:pPr>
        <w:spacing w:line="360" w:lineRule="auto"/>
        <w:rPr>
          <w:rFonts w:ascii="宋体" w:hAnsi="宋体" w:cs="宋体"/>
          <w:color w:val="auto"/>
          <w:sz w:val="24"/>
          <w:szCs w:val="32"/>
          <w:highlight w:val="none"/>
        </w:rPr>
      </w:pPr>
      <w:r>
        <w:rPr>
          <w:rFonts w:hint="eastAsia" w:ascii="宋体" w:hAnsi="宋体" w:cs="宋体"/>
          <w:b/>
          <w:color w:val="auto"/>
          <w:sz w:val="24"/>
          <w:szCs w:val="32"/>
          <w:highlight w:val="none"/>
        </w:rPr>
        <w:t>12.</w:t>
      </w:r>
      <w:r>
        <w:rPr>
          <w:rFonts w:hint="eastAsia" w:ascii="宋体" w:hAnsi="宋体" w:cs="宋体"/>
          <w:color w:val="auto"/>
          <w:sz w:val="24"/>
          <w:szCs w:val="32"/>
          <w:highlight w:val="none"/>
        </w:rPr>
        <w:t>公开</w:t>
      </w:r>
    </w:p>
    <w:p>
      <w:pPr>
        <w:spacing w:line="360" w:lineRule="auto"/>
        <w:ind w:left="1" w:firstLine="477" w:firstLineChars="199"/>
        <w:rPr>
          <w:rFonts w:ascii="宋体" w:hAnsi="宋体" w:cs="宋体"/>
          <w:color w:val="auto"/>
          <w:sz w:val="24"/>
          <w:szCs w:val="32"/>
          <w:highlight w:val="none"/>
        </w:rPr>
      </w:pPr>
      <w:r>
        <w:rPr>
          <w:rFonts w:hint="eastAsia" w:ascii="宋体" w:hAnsi="宋体" w:cs="宋体"/>
          <w:color w:val="auto"/>
          <w:sz w:val="24"/>
          <w:szCs w:val="32"/>
          <w:highlight w:val="none"/>
        </w:rPr>
        <w:t>任何一方，如果没有得到另一方的书面同意，不得对外公布任何与本合同有关的消息。</w:t>
      </w:r>
    </w:p>
    <w:p>
      <w:pPr>
        <w:spacing w:line="360" w:lineRule="auto"/>
        <w:rPr>
          <w:rFonts w:hint="eastAsia" w:ascii="宋体" w:hAnsi="宋体" w:cs="宋体"/>
          <w:color w:val="auto"/>
          <w:sz w:val="24"/>
          <w:szCs w:val="32"/>
          <w:highlight w:val="none"/>
        </w:rPr>
      </w:pPr>
      <w:r>
        <w:rPr>
          <w:rFonts w:hint="eastAsia" w:ascii="宋体" w:hAnsi="宋体" w:cs="宋体"/>
          <w:b/>
          <w:color w:val="auto"/>
          <w:sz w:val="24"/>
          <w:szCs w:val="32"/>
          <w:highlight w:val="none"/>
        </w:rPr>
        <w:t>13.</w:t>
      </w:r>
      <w:r>
        <w:rPr>
          <w:rFonts w:hint="eastAsia" w:ascii="宋体" w:hAnsi="宋体" w:cs="宋体"/>
          <w:color w:val="auto"/>
          <w:sz w:val="24"/>
          <w:szCs w:val="32"/>
          <w:highlight w:val="none"/>
        </w:rPr>
        <w:t>适用法律</w:t>
      </w:r>
    </w:p>
    <w:p>
      <w:pPr>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本合同的解释和执行适用中华人民共和国法律。</w:t>
      </w:r>
    </w:p>
    <w:p>
      <w:pPr>
        <w:spacing w:line="360" w:lineRule="auto"/>
        <w:rPr>
          <w:rFonts w:hint="eastAsia" w:ascii="宋体" w:hAnsi="宋体" w:cs="宋体"/>
          <w:color w:val="auto"/>
          <w:sz w:val="24"/>
          <w:szCs w:val="32"/>
          <w:highlight w:val="none"/>
        </w:rPr>
      </w:pPr>
      <w:r>
        <w:rPr>
          <w:rFonts w:hint="eastAsia" w:ascii="宋体" w:hAnsi="宋体" w:cs="宋体"/>
          <w:b/>
          <w:color w:val="auto"/>
          <w:sz w:val="24"/>
          <w:szCs w:val="32"/>
          <w:highlight w:val="none"/>
        </w:rPr>
        <w:t>14.</w:t>
      </w:r>
      <w:r>
        <w:rPr>
          <w:rFonts w:hint="eastAsia" w:ascii="宋体" w:hAnsi="宋体" w:cs="宋体"/>
          <w:color w:val="auto"/>
          <w:sz w:val="24"/>
          <w:szCs w:val="32"/>
          <w:highlight w:val="none"/>
        </w:rPr>
        <w:t>转让</w:t>
      </w:r>
    </w:p>
    <w:p>
      <w:pPr>
        <w:spacing w:line="360" w:lineRule="auto"/>
        <w:ind w:firstLine="480" w:firstLineChars="200"/>
        <w:rPr>
          <w:rFonts w:ascii="宋体" w:hAnsi="宋体" w:cs="宋体"/>
          <w:color w:val="auto"/>
          <w:sz w:val="24"/>
          <w:szCs w:val="32"/>
          <w:highlight w:val="none"/>
        </w:rPr>
      </w:pPr>
      <w:r>
        <w:rPr>
          <w:rFonts w:hint="eastAsia" w:ascii="宋体" w:hAnsi="宋体" w:cs="宋体"/>
          <w:color w:val="auto"/>
          <w:sz w:val="24"/>
          <w:szCs w:val="32"/>
          <w:highlight w:val="none"/>
        </w:rPr>
        <w:t>除非合同双方另有约定，任何一方都不得将本合同以及本合同项下的任何权利义务，直接或者间接地转让给任何第三方。</w:t>
      </w:r>
    </w:p>
    <w:p>
      <w:pPr>
        <w:spacing w:line="360" w:lineRule="auto"/>
        <w:rPr>
          <w:rFonts w:ascii="宋体" w:hAnsi="宋体" w:cs="宋体"/>
          <w:b/>
          <w:bCs/>
          <w:color w:val="auto"/>
          <w:sz w:val="24"/>
          <w:szCs w:val="32"/>
          <w:highlight w:val="none"/>
        </w:rPr>
      </w:pPr>
      <w:r>
        <w:rPr>
          <w:rFonts w:hint="eastAsia" w:ascii="宋体" w:hAnsi="宋体" w:cs="宋体"/>
          <w:b/>
          <w:bCs/>
          <w:color w:val="auto"/>
          <w:sz w:val="24"/>
          <w:szCs w:val="32"/>
          <w:highlight w:val="none"/>
        </w:rPr>
        <w:t>15.其他约定事项</w:t>
      </w:r>
    </w:p>
    <w:p>
      <w:pPr>
        <w:spacing w:line="360" w:lineRule="auto"/>
        <w:ind w:left="2" w:firstLine="477" w:firstLineChars="199"/>
        <w:rPr>
          <w:rFonts w:ascii="宋体" w:hAnsi="宋体"/>
          <w:color w:val="auto"/>
          <w:sz w:val="24"/>
          <w:szCs w:val="32"/>
          <w:highlight w:val="none"/>
        </w:rPr>
      </w:pPr>
      <w:r>
        <w:rPr>
          <w:rFonts w:hint="eastAsia" w:ascii="宋体" w:hAnsi="宋体"/>
          <w:color w:val="auto"/>
          <w:sz w:val="24"/>
          <w:szCs w:val="32"/>
          <w:highlight w:val="none"/>
        </w:rPr>
        <w:t>15.1本合同在履行过程中如发生纠纷，双方应协商解决，协商不成，均可向人民法院起诉。</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15.2本合同双方签字盖章后正式生效。</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15.3本合同一式</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份，甲方执</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份，乙方执</w:t>
      </w:r>
      <w:r>
        <w:rPr>
          <w:rFonts w:hint="eastAsia" w:ascii="宋体" w:hAnsi="宋体"/>
          <w:color w:val="auto"/>
          <w:sz w:val="24"/>
          <w:szCs w:val="32"/>
          <w:highlight w:val="none"/>
          <w:u w:val="single"/>
        </w:rPr>
        <w:t xml:space="preserve">     </w:t>
      </w:r>
      <w:r>
        <w:rPr>
          <w:rFonts w:hint="eastAsia" w:ascii="宋体" w:hAnsi="宋体"/>
          <w:color w:val="auto"/>
          <w:sz w:val="24"/>
          <w:szCs w:val="32"/>
          <w:highlight w:val="none"/>
        </w:rPr>
        <w:t>份，均具有同等法律效力。</w:t>
      </w:r>
    </w:p>
    <w:p>
      <w:pPr>
        <w:spacing w:line="360" w:lineRule="auto"/>
        <w:ind w:firstLine="480" w:firstLineChars="200"/>
        <w:rPr>
          <w:rFonts w:ascii="宋体" w:hAnsi="宋体"/>
          <w:color w:val="auto"/>
          <w:sz w:val="24"/>
          <w:szCs w:val="32"/>
          <w:highlight w:val="none"/>
        </w:rPr>
      </w:pPr>
      <w:r>
        <w:rPr>
          <w:rFonts w:hint="eastAsia" w:ascii="宋体" w:hAnsi="宋体"/>
          <w:color w:val="auto"/>
          <w:sz w:val="24"/>
          <w:szCs w:val="32"/>
          <w:highlight w:val="none"/>
        </w:rPr>
        <w:t>15.4本合同未尽事宜，双方协商解决或另立合同，但不得与本合同抵触。</w:t>
      </w:r>
    </w:p>
    <w:p>
      <w:pPr>
        <w:spacing w:line="360" w:lineRule="auto"/>
        <w:ind w:firstLine="480" w:firstLineChars="200"/>
        <w:rPr>
          <w:color w:val="auto"/>
          <w:sz w:val="24"/>
          <w:szCs w:val="32"/>
          <w:highlight w:val="none"/>
        </w:rPr>
      </w:pPr>
      <w:r>
        <w:rPr>
          <w:rFonts w:hint="eastAsia" w:ascii="宋体" w:hAnsi="宋体"/>
          <w:color w:val="auto"/>
          <w:sz w:val="24"/>
          <w:szCs w:val="32"/>
          <w:highlight w:val="none"/>
        </w:rPr>
        <w:t>15.5本合同履行完后自动终止。</w:t>
      </w:r>
    </w:p>
    <w:p>
      <w:pPr>
        <w:spacing w:line="360" w:lineRule="auto"/>
        <w:rPr>
          <w:rFonts w:eastAsia="'宋体"/>
          <w:color w:val="auto"/>
          <w:sz w:val="24"/>
          <w:highlight w:val="none"/>
        </w:rPr>
      </w:pPr>
      <w:r>
        <w:rPr>
          <w:rFonts w:hint="eastAsia" w:eastAsia="'宋体"/>
          <w:color w:val="auto"/>
          <w:sz w:val="24"/>
          <w:highlight w:val="none"/>
        </w:rPr>
        <w:t>合同各方授权代表签字如下：</w:t>
      </w:r>
    </w:p>
    <w:p>
      <w:pPr>
        <w:spacing w:line="500" w:lineRule="exact"/>
        <w:ind w:left="279" w:leftChars="133"/>
        <w:rPr>
          <w:color w:val="auto"/>
          <w:sz w:val="24"/>
          <w:highlight w:val="none"/>
        </w:rPr>
      </w:pPr>
      <w:r>
        <w:rPr>
          <w:rFonts w:hint="eastAsia"/>
          <w:color w:val="auto"/>
          <w:sz w:val="24"/>
          <w:highlight w:val="none"/>
        </w:rPr>
        <w:t>甲方：</w:t>
      </w:r>
      <w:r>
        <w:rPr>
          <w:rFonts w:hint="eastAsia" w:hAnsi="宋体"/>
          <w:color w:val="auto"/>
          <w:sz w:val="24"/>
          <w:highlight w:val="none"/>
        </w:rPr>
        <w:t xml:space="preserve">                     </w:t>
      </w:r>
      <w:r>
        <w:rPr>
          <w:rFonts w:hint="eastAsia"/>
          <w:color w:val="auto"/>
          <w:sz w:val="24"/>
          <w:highlight w:val="none"/>
        </w:rPr>
        <w:t xml:space="preserve">                乙方： </w:t>
      </w:r>
    </w:p>
    <w:p>
      <w:pPr>
        <w:spacing w:line="500" w:lineRule="exact"/>
        <w:ind w:firstLine="240" w:firstLineChars="100"/>
        <w:rPr>
          <w:color w:val="auto"/>
          <w:sz w:val="24"/>
          <w:highlight w:val="none"/>
        </w:rPr>
      </w:pPr>
      <w:r>
        <w:rPr>
          <w:rFonts w:hint="eastAsia"/>
          <w:color w:val="auto"/>
          <w:sz w:val="24"/>
          <w:highlight w:val="none"/>
        </w:rPr>
        <w:t>法定代表人</w:t>
      </w:r>
      <w:r>
        <w:rPr>
          <w:rFonts w:hint="eastAsia"/>
          <w:color w:val="auto"/>
          <w:sz w:val="24"/>
          <w:highlight w:val="none"/>
          <w:lang w:eastAsia="zh-CN"/>
        </w:rPr>
        <w:t>签字</w:t>
      </w:r>
      <w:r>
        <w:rPr>
          <w:rFonts w:hint="eastAsia"/>
          <w:color w:val="auto"/>
          <w:sz w:val="24"/>
          <w:highlight w:val="none"/>
        </w:rPr>
        <w:t>：                           法定代表人</w:t>
      </w:r>
      <w:r>
        <w:rPr>
          <w:rFonts w:hint="eastAsia"/>
          <w:color w:val="auto"/>
          <w:sz w:val="24"/>
          <w:highlight w:val="none"/>
          <w:lang w:eastAsia="zh-CN"/>
        </w:rPr>
        <w:t>签字</w:t>
      </w:r>
      <w:r>
        <w:rPr>
          <w:rFonts w:hint="eastAsia"/>
          <w:color w:val="auto"/>
          <w:sz w:val="24"/>
          <w:highlight w:val="none"/>
        </w:rPr>
        <w:t>：</w:t>
      </w:r>
    </w:p>
    <w:p>
      <w:pPr>
        <w:spacing w:line="500" w:lineRule="exact"/>
        <w:ind w:firstLine="240" w:firstLineChars="100"/>
        <w:rPr>
          <w:color w:val="auto"/>
          <w:sz w:val="24"/>
          <w:highlight w:val="none"/>
        </w:rPr>
      </w:pPr>
      <w:r>
        <w:rPr>
          <w:rFonts w:hint="eastAsia"/>
          <w:color w:val="auto"/>
          <w:sz w:val="24"/>
          <w:highlight w:val="none"/>
        </w:rPr>
        <w:t>地址：                                     地址：</w:t>
      </w:r>
    </w:p>
    <w:p>
      <w:pPr>
        <w:spacing w:line="500" w:lineRule="exact"/>
        <w:ind w:firstLine="240" w:firstLineChars="100"/>
        <w:rPr>
          <w:color w:val="auto"/>
          <w:sz w:val="24"/>
          <w:highlight w:val="none"/>
        </w:rPr>
      </w:pPr>
      <w:r>
        <w:rPr>
          <w:rFonts w:hint="eastAsia"/>
          <w:color w:val="auto"/>
          <w:sz w:val="24"/>
          <w:highlight w:val="none"/>
        </w:rPr>
        <w:t xml:space="preserve">电话：                                     电话： </w:t>
      </w:r>
    </w:p>
    <w:p>
      <w:pPr>
        <w:spacing w:line="500" w:lineRule="exact"/>
        <w:ind w:firstLine="240" w:firstLineChars="100"/>
        <w:rPr>
          <w:color w:val="auto"/>
          <w:sz w:val="24"/>
          <w:highlight w:val="none"/>
        </w:rPr>
      </w:pPr>
      <w:r>
        <w:rPr>
          <w:rFonts w:hint="eastAsia"/>
          <w:color w:val="auto"/>
          <w:sz w:val="24"/>
          <w:highlight w:val="none"/>
        </w:rPr>
        <w:t>开户行：                                   开户行：</w:t>
      </w:r>
    </w:p>
    <w:p>
      <w:pPr>
        <w:spacing w:line="500" w:lineRule="exact"/>
        <w:ind w:firstLine="240" w:firstLineChars="100"/>
        <w:rPr>
          <w:color w:val="auto"/>
          <w:sz w:val="24"/>
          <w:highlight w:val="none"/>
        </w:rPr>
      </w:pPr>
      <w:r>
        <w:rPr>
          <w:rFonts w:hint="eastAsia"/>
          <w:color w:val="auto"/>
          <w:sz w:val="24"/>
          <w:highlight w:val="none"/>
          <w:lang w:eastAsia="zh-CN"/>
        </w:rPr>
        <w:t>账</w:t>
      </w:r>
      <w:r>
        <w:rPr>
          <w:rFonts w:hint="eastAsia"/>
          <w:color w:val="auto"/>
          <w:sz w:val="24"/>
          <w:highlight w:val="none"/>
        </w:rPr>
        <w:t xml:space="preserve">号：                                     </w:t>
      </w:r>
      <w:r>
        <w:rPr>
          <w:rFonts w:hint="eastAsia"/>
          <w:color w:val="auto"/>
          <w:sz w:val="24"/>
          <w:highlight w:val="none"/>
          <w:lang w:eastAsia="zh-CN"/>
        </w:rPr>
        <w:t>账</w:t>
      </w:r>
      <w:r>
        <w:rPr>
          <w:rFonts w:hint="eastAsia"/>
          <w:color w:val="auto"/>
          <w:sz w:val="24"/>
          <w:highlight w:val="none"/>
        </w:rPr>
        <w:t>号：</w:t>
      </w:r>
    </w:p>
    <w:p>
      <w:pPr>
        <w:spacing w:line="500" w:lineRule="exact"/>
        <w:ind w:firstLine="240" w:firstLineChars="100"/>
        <w:rPr>
          <w:color w:val="auto"/>
          <w:sz w:val="24"/>
          <w:highlight w:val="none"/>
        </w:rPr>
      </w:pPr>
      <w:r>
        <w:rPr>
          <w:rFonts w:hint="eastAsia"/>
          <w:color w:val="auto"/>
          <w:sz w:val="24"/>
          <w:highlight w:val="none"/>
        </w:rPr>
        <w:t>邮政编码：                                 邮政编码：</w:t>
      </w:r>
    </w:p>
    <w:p>
      <w:pPr>
        <w:pStyle w:val="86"/>
        <w:spacing w:before="0" w:after="0" w:line="500" w:lineRule="exact"/>
        <w:ind w:left="0" w:right="24"/>
        <w:rPr>
          <w:color w:val="auto"/>
          <w:highlight w:val="none"/>
        </w:rPr>
      </w:pPr>
      <w:r>
        <w:rPr>
          <w:rFonts w:hint="eastAsia"/>
          <w:color w:val="auto"/>
          <w:highlight w:val="none"/>
        </w:rPr>
        <w:t xml:space="preserve">  </w:t>
      </w:r>
      <w:bookmarkStart w:id="367" w:name="_Toc30039"/>
      <w:bookmarkStart w:id="368" w:name="_Toc9996"/>
      <w:r>
        <w:rPr>
          <w:rFonts w:hint="eastAsia"/>
          <w:color w:val="auto"/>
          <w:highlight w:val="none"/>
        </w:rPr>
        <w:t>签订时间：                                 签订时间：</w:t>
      </w:r>
      <w:bookmarkEnd w:id="367"/>
      <w:bookmarkEnd w:id="368"/>
    </w:p>
    <w:p>
      <w:pPr>
        <w:rPr>
          <w:rFonts w:hint="eastAsia" w:ascii="宋体" w:hAnsi="宋体" w:eastAsia="宋体" w:cs="宋体"/>
          <w:b/>
          <w:color w:val="auto"/>
          <w:sz w:val="24"/>
          <w:szCs w:val="24"/>
          <w:highlight w:val="none"/>
        </w:rPr>
        <w:sectPr>
          <w:headerReference r:id="rId8" w:type="default"/>
          <w:footerReference r:id="rId9" w:type="default"/>
          <w:pgSz w:w="11906" w:h="16838"/>
          <w:pgMar w:top="1440" w:right="1080" w:bottom="1440" w:left="1080" w:header="851" w:footer="992" w:gutter="0"/>
          <w:pgNumType w:fmt="decimal"/>
          <w:cols w:space="425" w:num="1"/>
          <w:docGrid w:type="lines" w:linePitch="312" w:charSpace="0"/>
        </w:sectPr>
      </w:pPr>
      <w:r>
        <w:rPr>
          <w:b/>
          <w:color w:val="auto"/>
          <w:sz w:val="32"/>
          <w:szCs w:val="32"/>
          <w:highlight w:val="none"/>
        </w:rPr>
        <w:br w:type="page"/>
      </w:r>
    </w:p>
    <w:bookmarkEnd w:id="336"/>
    <w:p>
      <w:pPr>
        <w:pStyle w:val="3"/>
        <w:tabs>
          <w:tab w:val="left" w:pos="0"/>
        </w:tabs>
        <w:autoSpaceDE w:val="0"/>
        <w:autoSpaceDN w:val="0"/>
        <w:adjustRightInd w:val="0"/>
        <w:spacing w:before="0" w:after="0" w:line="240" w:lineRule="auto"/>
        <w:ind w:firstLine="1807" w:firstLineChars="500"/>
        <w:jc w:val="both"/>
        <w:rPr>
          <w:rFonts w:hint="eastAsia" w:ascii="宋体" w:hAnsi="宋体" w:eastAsia="宋体" w:cs="宋体"/>
          <w:color w:val="auto"/>
          <w:spacing w:val="-6"/>
          <w:kern w:val="0"/>
          <w:sz w:val="36"/>
          <w:szCs w:val="36"/>
          <w:highlight w:val="none"/>
          <w:u w:val="single"/>
        </w:rPr>
      </w:pPr>
      <w:bookmarkStart w:id="369" w:name="_Toc12404_WPSOffice_Level1"/>
      <w:bookmarkStart w:id="370" w:name="_Toc32709"/>
      <w:r>
        <w:rPr>
          <w:rFonts w:hint="eastAsia" w:ascii="宋体" w:hAnsi="宋体" w:eastAsia="宋体" w:cs="宋体"/>
          <w:color w:val="auto"/>
          <w:sz w:val="36"/>
          <w:szCs w:val="36"/>
          <w:highlight w:val="none"/>
        </w:rPr>
        <w:t xml:space="preserve">第六章  </w:t>
      </w:r>
      <w:bookmarkEnd w:id="369"/>
      <w:r>
        <w:rPr>
          <w:rFonts w:hint="eastAsia" w:ascii="宋体" w:hAnsi="宋体" w:eastAsia="宋体" w:cs="宋体"/>
          <w:color w:val="auto"/>
          <w:sz w:val="36"/>
          <w:szCs w:val="36"/>
          <w:highlight w:val="none"/>
        </w:rPr>
        <w:t>竞争性磋商响应文件格式</w:t>
      </w:r>
      <w:bookmarkEnd w:id="370"/>
    </w:p>
    <w:p>
      <w:pPr>
        <w:spacing w:line="360" w:lineRule="auto"/>
        <w:ind w:firstLine="229" w:firstLineChars="100"/>
        <w:jc w:val="center"/>
        <w:rPr>
          <w:rFonts w:hint="eastAsia" w:ascii="宋体" w:hAnsi="宋体" w:eastAsia="宋体" w:cs="宋体"/>
          <w:b/>
          <w:color w:val="auto"/>
          <w:spacing w:val="-6"/>
          <w:kern w:val="0"/>
          <w:sz w:val="24"/>
          <w:szCs w:val="24"/>
          <w:highlight w:val="none"/>
          <w:u w:val="single"/>
        </w:rPr>
      </w:pPr>
    </w:p>
    <w:p>
      <w:pPr>
        <w:spacing w:line="360" w:lineRule="auto"/>
        <w:ind w:firstLine="229" w:firstLineChars="100"/>
        <w:jc w:val="center"/>
        <w:rPr>
          <w:rFonts w:hint="eastAsia" w:ascii="宋体" w:hAnsi="宋体" w:eastAsia="宋体" w:cs="宋体"/>
          <w:b/>
          <w:color w:val="auto"/>
          <w:spacing w:val="-6"/>
          <w:kern w:val="0"/>
          <w:sz w:val="24"/>
          <w:szCs w:val="24"/>
          <w:highlight w:val="none"/>
          <w:u w:val="single"/>
        </w:rPr>
      </w:pPr>
    </w:p>
    <w:p>
      <w:pPr>
        <w:spacing w:line="360" w:lineRule="auto"/>
        <w:jc w:val="both"/>
        <w:rPr>
          <w:rFonts w:hint="eastAsia" w:ascii="宋体" w:hAnsi="宋体" w:eastAsia="宋体" w:cs="宋体"/>
          <w:b/>
          <w:color w:val="auto"/>
          <w:spacing w:val="-6"/>
          <w:kern w:val="0"/>
          <w:sz w:val="24"/>
          <w:szCs w:val="24"/>
          <w:highlight w:val="none"/>
          <w:u w:val="single"/>
        </w:rPr>
      </w:pPr>
    </w:p>
    <w:p>
      <w:pPr>
        <w:pStyle w:val="17"/>
        <w:wordWrap w:val="0"/>
        <w:snapToGrid w:val="0"/>
        <w:spacing w:line="360" w:lineRule="auto"/>
        <w:jc w:val="center"/>
        <w:rPr>
          <w:rFonts w:hint="eastAsia" w:asciiTheme="minorEastAsia" w:hAnsiTheme="minorEastAsia" w:eastAsiaTheme="minorEastAsia" w:cstheme="minorEastAsia"/>
          <w:b/>
          <w:bCs/>
          <w:color w:val="auto"/>
          <w:sz w:val="36"/>
          <w:szCs w:val="36"/>
          <w:highlight w:val="none"/>
          <w:lang w:eastAsia="zh-CN"/>
        </w:rPr>
      </w:pPr>
      <w:r>
        <w:rPr>
          <w:rFonts w:hint="eastAsia" w:asciiTheme="minorEastAsia" w:hAnsiTheme="minorEastAsia" w:eastAsiaTheme="minorEastAsia" w:cstheme="minorEastAsia"/>
          <w:b/>
          <w:bCs/>
          <w:color w:val="auto"/>
          <w:sz w:val="36"/>
          <w:szCs w:val="36"/>
          <w:highlight w:val="none"/>
          <w:lang w:eastAsia="zh-CN"/>
        </w:rPr>
        <w:t>瑞丽市第一期示范性国门学校建设设施设备结余资金配备项目A包：监控设备</w:t>
      </w:r>
    </w:p>
    <w:p>
      <w:pPr>
        <w:pStyle w:val="13"/>
        <w:spacing w:line="360" w:lineRule="auto"/>
        <w:rPr>
          <w:rFonts w:hint="eastAsia" w:ascii="宋体" w:hAnsi="宋体" w:eastAsia="宋体" w:cs="宋体"/>
          <w:b/>
          <w:bCs/>
          <w:color w:val="auto"/>
          <w:sz w:val="24"/>
          <w:szCs w:val="24"/>
          <w:highlight w:val="none"/>
        </w:rPr>
      </w:pPr>
    </w:p>
    <w:p>
      <w:pPr>
        <w:rPr>
          <w:rFonts w:hint="eastAsia" w:ascii="宋体" w:hAnsi="宋体" w:eastAsia="宋体" w:cs="宋体"/>
          <w:b/>
          <w:color w:val="auto"/>
          <w:sz w:val="24"/>
          <w:szCs w:val="24"/>
          <w:highlight w:val="none"/>
        </w:rPr>
      </w:pPr>
    </w:p>
    <w:p>
      <w:pPr>
        <w:jc w:val="center"/>
        <w:rPr>
          <w:rFonts w:hint="eastAsia" w:ascii="宋体" w:hAnsi="宋体" w:eastAsia="宋体" w:cs="宋体"/>
          <w:b/>
          <w:color w:val="auto"/>
          <w:sz w:val="24"/>
          <w:szCs w:val="24"/>
          <w:highlight w:val="none"/>
        </w:rPr>
      </w:pP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竞争性磋商响应文件</w:t>
      </w: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pStyle w:val="2"/>
        <w:rPr>
          <w:rFonts w:hint="eastAsia"/>
        </w:rPr>
      </w:pPr>
    </w:p>
    <w:p>
      <w:pPr>
        <w:pStyle w:val="2"/>
        <w:rPr>
          <w:rFonts w:hint="eastAsia" w:ascii="宋体" w:hAnsi="宋体" w:eastAsia="宋体" w:cs="宋体"/>
          <w:color w:val="auto"/>
          <w:kern w:val="0"/>
          <w:sz w:val="24"/>
          <w:szCs w:val="24"/>
          <w:highlight w:val="none"/>
        </w:rPr>
      </w:pPr>
    </w:p>
    <w:p>
      <w:pPr>
        <w:rPr>
          <w:rFonts w:hint="eastAsia" w:ascii="宋体" w:hAnsi="宋体" w:eastAsia="宋体" w:cs="宋体"/>
          <w:color w:val="auto"/>
          <w:kern w:val="0"/>
          <w:sz w:val="24"/>
          <w:szCs w:val="24"/>
          <w:highlight w:val="none"/>
        </w:rPr>
      </w:pPr>
    </w:p>
    <w:p>
      <w:pPr>
        <w:pStyle w:val="2"/>
        <w:rPr>
          <w:rFonts w:hint="eastAsia"/>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600"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w:t>
      </w:r>
      <w:r>
        <w:rPr>
          <w:rFonts w:hint="eastAsia" w:ascii="宋体" w:hAnsi="宋体" w:eastAsia="宋体" w:cs="宋体"/>
          <w:b/>
          <w:color w:val="auto"/>
          <w:kern w:val="0"/>
          <w:sz w:val="28"/>
          <w:szCs w:val="28"/>
          <w:highlight w:val="none"/>
        </w:rPr>
        <w:t xml:space="preserve">  </w:t>
      </w:r>
      <w:bookmarkStart w:id="371" w:name="_Toc15875"/>
      <w:bookmarkStart w:id="372" w:name="_Toc25855"/>
      <w:r>
        <w:rPr>
          <w:rFonts w:hint="eastAsia" w:ascii="宋体" w:hAnsi="宋体" w:eastAsia="宋体" w:cs="宋体"/>
          <w:b/>
          <w:color w:val="auto"/>
          <w:kern w:val="0"/>
          <w:sz w:val="28"/>
          <w:szCs w:val="28"/>
          <w:highlight w:val="none"/>
        </w:rPr>
        <w:t>招标编号</w:t>
      </w:r>
      <w:bookmarkEnd w:id="371"/>
      <w:bookmarkEnd w:id="372"/>
      <w:r>
        <w:rPr>
          <w:rFonts w:hint="eastAsia" w:ascii="宋体" w:hAnsi="宋体" w:eastAsia="宋体" w:cs="宋体"/>
          <w:b/>
          <w:color w:val="auto"/>
          <w:kern w:val="0"/>
          <w:sz w:val="28"/>
          <w:szCs w:val="28"/>
          <w:highlight w:val="none"/>
          <w:lang w:eastAsia="zh-CN"/>
        </w:rPr>
        <w:t>：</w:t>
      </w:r>
      <w:r>
        <w:rPr>
          <w:rFonts w:hint="eastAsia" w:ascii="宋体" w:hAnsi="宋体" w:cs="宋体"/>
          <w:b/>
          <w:color w:val="auto"/>
          <w:kern w:val="0"/>
          <w:sz w:val="28"/>
          <w:szCs w:val="28"/>
          <w:highlight w:val="none"/>
          <w:lang w:val="en-US" w:eastAsia="zh-CN"/>
        </w:rPr>
        <w:t>_________________________</w:t>
      </w:r>
      <w:r>
        <w:rPr>
          <w:rFonts w:hint="eastAsia" w:ascii="宋体" w:hAnsi="宋体" w:eastAsia="宋体" w:cs="宋体"/>
          <w:b/>
          <w:color w:val="auto"/>
          <w:kern w:val="0"/>
          <w:sz w:val="28"/>
          <w:szCs w:val="28"/>
          <w:highlight w:val="none"/>
        </w:rPr>
        <w:t xml:space="preserve"> </w:t>
      </w:r>
      <w:r>
        <w:rPr>
          <w:rFonts w:hint="eastAsia" w:ascii="宋体" w:hAnsi="宋体" w:eastAsia="宋体" w:cs="宋体"/>
          <w:b/>
          <w:color w:val="auto"/>
          <w:kern w:val="0"/>
          <w:sz w:val="24"/>
          <w:szCs w:val="24"/>
          <w:highlight w:val="none"/>
        </w:rPr>
        <w:t xml:space="preserve">                     </w:t>
      </w:r>
    </w:p>
    <w:p>
      <w:pPr>
        <w:autoSpaceDE w:val="0"/>
        <w:autoSpaceDN w:val="0"/>
        <w:adjustRightInd w:val="0"/>
        <w:spacing w:line="600" w:lineRule="auto"/>
        <w:ind w:firstLine="964" w:firstLineChars="400"/>
        <w:jc w:val="both"/>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lang w:val="en-US" w:eastAsia="zh-CN"/>
        </w:rPr>
        <w:t>供应商名称</w:t>
      </w:r>
      <w:r>
        <w:rPr>
          <w:rFonts w:hint="eastAsia" w:ascii="宋体" w:hAnsi="宋体" w:eastAsia="宋体" w:cs="宋体"/>
          <w:b/>
          <w:color w:val="auto"/>
          <w:kern w:val="0"/>
          <w:sz w:val="24"/>
          <w:szCs w:val="24"/>
          <w:highlight w:val="none"/>
        </w:rPr>
        <w:t>：_____________________________ （加盖电子公章）</w:t>
      </w:r>
    </w:p>
    <w:p>
      <w:pPr>
        <w:autoSpaceDE w:val="0"/>
        <w:autoSpaceDN w:val="0"/>
        <w:adjustRightInd w:val="0"/>
        <w:spacing w:line="60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法定代表人或其委托代理人：_______________ （</w:t>
      </w:r>
      <w:r>
        <w:rPr>
          <w:rFonts w:hint="eastAsia" w:ascii="宋体" w:hAnsi="宋体" w:eastAsia="宋体" w:cs="宋体"/>
          <w:b/>
          <w:bCs/>
          <w:color w:val="auto"/>
          <w:sz w:val="24"/>
          <w:szCs w:val="24"/>
          <w:highlight w:val="none"/>
        </w:rPr>
        <w:t>电子签章或电子签名</w:t>
      </w:r>
      <w:r>
        <w:rPr>
          <w:rFonts w:hint="eastAsia" w:ascii="宋体" w:hAnsi="宋体" w:eastAsia="宋体" w:cs="宋体"/>
          <w:b/>
          <w:color w:val="auto"/>
          <w:kern w:val="0"/>
          <w:sz w:val="24"/>
          <w:szCs w:val="24"/>
          <w:highlight w:val="none"/>
        </w:rPr>
        <w:t>）</w:t>
      </w:r>
    </w:p>
    <w:p>
      <w:pPr>
        <w:autoSpaceDE w:val="0"/>
        <w:autoSpaceDN w:val="0"/>
        <w:adjustRightInd w:val="0"/>
        <w:spacing w:line="60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______年____月____日</w:t>
      </w:r>
    </w:p>
    <w:p>
      <w:pPr>
        <w:autoSpaceDE w:val="0"/>
        <w:autoSpaceDN w:val="0"/>
        <w:adjustRightInd w:val="0"/>
        <w:spacing w:line="360" w:lineRule="auto"/>
        <w:ind w:firstLine="482" w:firstLineChars="200"/>
        <w:jc w:val="center"/>
        <w:rPr>
          <w:rFonts w:hint="eastAsia" w:ascii="宋体" w:hAnsi="宋体" w:eastAsia="宋体" w:cs="宋体"/>
          <w:b/>
          <w:color w:val="auto"/>
          <w:kern w:val="0"/>
          <w:sz w:val="24"/>
          <w:szCs w:val="24"/>
          <w:highlight w:val="none"/>
        </w:rPr>
        <w:sectPr>
          <w:headerReference r:id="rId11" w:type="first"/>
          <w:footerReference r:id="rId13" w:type="first"/>
          <w:headerReference r:id="rId10" w:type="default"/>
          <w:footerReference r:id="rId12" w:type="default"/>
          <w:pgSz w:w="11906" w:h="16838"/>
          <w:pgMar w:top="1440" w:right="1080" w:bottom="1440" w:left="1080" w:header="851" w:footer="992" w:gutter="0"/>
          <w:pgNumType w:fmt="decimal"/>
          <w:cols w:space="720" w:num="1"/>
          <w:titlePg/>
          <w:docGrid w:type="lines" w:linePitch="312" w:charSpace="0"/>
        </w:sectPr>
      </w:pPr>
    </w:p>
    <w:p>
      <w:pPr>
        <w:jc w:val="center"/>
        <w:rPr>
          <w:rFonts w:hint="eastAsia" w:ascii="宋体" w:hAnsi="宋体" w:eastAsia="宋体" w:cs="宋体"/>
          <w:b/>
          <w:bCs/>
          <w:color w:val="auto"/>
          <w:sz w:val="36"/>
          <w:szCs w:val="36"/>
          <w:highlight w:val="none"/>
        </w:rPr>
      </w:pPr>
      <w:bookmarkStart w:id="373" w:name="_Toc488678615"/>
      <w:bookmarkStart w:id="374" w:name="_Toc199322165"/>
      <w:bookmarkStart w:id="375" w:name="_Toc491246941"/>
      <w:bookmarkStart w:id="376" w:name="_Toc255659853"/>
      <w:bookmarkStart w:id="377" w:name="_Toc265654039"/>
      <w:bookmarkStart w:id="378" w:name="_Toc490385556"/>
      <w:bookmarkStart w:id="379" w:name="_Toc1488"/>
      <w:bookmarkStart w:id="380" w:name="_Toc265955103"/>
      <w:bookmarkStart w:id="381" w:name="_Toc265954806"/>
      <w:r>
        <w:rPr>
          <w:rFonts w:hint="eastAsia" w:ascii="宋体" w:hAnsi="宋体" w:eastAsia="宋体" w:cs="宋体"/>
          <w:b/>
          <w:bCs/>
          <w:color w:val="auto"/>
          <w:sz w:val="36"/>
          <w:szCs w:val="36"/>
          <w:highlight w:val="none"/>
        </w:rPr>
        <w:t>目录</w:t>
      </w:r>
    </w:p>
    <w:p>
      <w:pPr>
        <w:pStyle w:val="3"/>
        <w:rPr>
          <w:rFonts w:hint="eastAsia" w:ascii="宋体" w:hAnsi="宋体" w:eastAsia="宋体" w:cs="宋体"/>
          <w:color w:val="auto"/>
          <w:sz w:val="24"/>
          <w:szCs w:val="24"/>
          <w:highlight w:val="none"/>
        </w:rPr>
      </w:pPr>
    </w:p>
    <w:p>
      <w:pPr>
        <w:numPr>
          <w:ilvl w:val="0"/>
          <w:numId w:val="7"/>
        </w:numPr>
        <w:spacing w:line="60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资格审查部分</w:t>
      </w:r>
    </w:p>
    <w:p>
      <w:pPr>
        <w:numPr>
          <w:ilvl w:val="0"/>
          <w:numId w:val="7"/>
        </w:numPr>
        <w:spacing w:line="60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报价部分</w:t>
      </w:r>
    </w:p>
    <w:p>
      <w:pPr>
        <w:numPr>
          <w:ilvl w:val="0"/>
          <w:numId w:val="7"/>
        </w:numPr>
        <w:spacing w:line="600" w:lineRule="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商务技术部分</w:t>
      </w: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autoSpaceDE w:val="0"/>
        <w:autoSpaceDN w:val="0"/>
        <w:adjustRightInd w:val="0"/>
        <w:spacing w:after="156" w:afterLines="50" w:line="360" w:lineRule="auto"/>
        <w:jc w:val="center"/>
        <w:rPr>
          <w:rFonts w:hint="eastAsia" w:ascii="宋体" w:hAnsi="宋体" w:eastAsia="宋体" w:cs="宋体"/>
          <w:b/>
          <w:color w:val="auto"/>
          <w:sz w:val="24"/>
          <w:szCs w:val="24"/>
          <w:highlight w:val="none"/>
        </w:rPr>
      </w:pPr>
    </w:p>
    <w:p>
      <w:pPr>
        <w:pStyle w:val="9"/>
        <w:rPr>
          <w:rFonts w:hint="eastAsia" w:ascii="宋体" w:hAnsi="宋体" w:eastAsia="宋体" w:cs="宋体"/>
          <w:b/>
          <w:color w:val="auto"/>
          <w:sz w:val="24"/>
          <w:szCs w:val="24"/>
          <w:highlight w:val="none"/>
        </w:rPr>
      </w:pPr>
    </w:p>
    <w:p>
      <w:pPr>
        <w:rPr>
          <w:rFonts w:hint="eastAsia" w:ascii="宋体" w:hAnsi="宋体" w:eastAsia="宋体" w:cs="宋体"/>
          <w:b/>
          <w:color w:val="auto"/>
          <w:sz w:val="24"/>
          <w:szCs w:val="24"/>
          <w:highlight w:val="none"/>
        </w:rPr>
      </w:pPr>
    </w:p>
    <w:p>
      <w:pPr>
        <w:pStyle w:val="9"/>
        <w:rPr>
          <w:rFonts w:hint="eastAsia" w:ascii="宋体" w:hAnsi="宋体" w:eastAsia="宋体" w:cs="宋体"/>
          <w:b/>
          <w:color w:val="auto"/>
          <w:sz w:val="24"/>
          <w:szCs w:val="24"/>
          <w:highlight w:val="none"/>
        </w:rPr>
      </w:pPr>
    </w:p>
    <w:p>
      <w:pPr>
        <w:rPr>
          <w:rFonts w:hint="eastAsia" w:ascii="宋体" w:hAnsi="宋体" w:eastAsia="宋体" w:cs="宋体"/>
          <w:b/>
          <w:color w:val="auto"/>
          <w:sz w:val="24"/>
          <w:szCs w:val="24"/>
          <w:highlight w:val="none"/>
        </w:rPr>
      </w:pPr>
    </w:p>
    <w:p>
      <w:pPr>
        <w:pStyle w:val="9"/>
        <w:rPr>
          <w:rFonts w:hint="eastAsia" w:ascii="宋体" w:hAnsi="宋体" w:eastAsia="宋体" w:cs="宋体"/>
          <w:b/>
          <w:color w:val="auto"/>
          <w:sz w:val="24"/>
          <w:szCs w:val="24"/>
          <w:highlight w:val="none"/>
        </w:rPr>
      </w:pPr>
    </w:p>
    <w:p>
      <w:pPr>
        <w:rPr>
          <w:rFonts w:hint="eastAsia" w:ascii="宋体" w:hAnsi="宋体" w:eastAsia="宋体" w:cs="宋体"/>
          <w:b/>
          <w:color w:val="auto"/>
          <w:sz w:val="24"/>
          <w:szCs w:val="24"/>
          <w:highlight w:val="none"/>
        </w:rPr>
      </w:pPr>
    </w:p>
    <w:p>
      <w:pPr>
        <w:numPr>
          <w:ilvl w:val="0"/>
          <w:numId w:val="0"/>
        </w:numPr>
        <w:spacing w:line="600" w:lineRule="auto"/>
        <w:outlineLvl w:val="2"/>
        <w:rPr>
          <w:rFonts w:hint="eastAsia" w:ascii="宋体" w:hAnsi="宋体" w:eastAsia="宋体" w:cs="宋体"/>
          <w:b/>
          <w:bCs/>
          <w:color w:val="auto"/>
          <w:sz w:val="24"/>
          <w:szCs w:val="24"/>
          <w:highlight w:val="none"/>
          <w:lang w:val="en-US" w:eastAsia="zh-CN"/>
        </w:rPr>
      </w:pPr>
    </w:p>
    <w:p>
      <w:pPr>
        <w:numPr>
          <w:ilvl w:val="0"/>
          <w:numId w:val="0"/>
        </w:numPr>
        <w:spacing w:line="600" w:lineRule="auto"/>
        <w:outlineLvl w:val="2"/>
        <w:rPr>
          <w:rFonts w:hint="eastAsia" w:ascii="宋体" w:hAnsi="宋体" w:eastAsia="宋体" w:cs="宋体"/>
          <w:b/>
          <w:bCs/>
          <w:color w:val="auto"/>
          <w:sz w:val="24"/>
          <w:szCs w:val="24"/>
          <w:highlight w:val="none"/>
          <w:lang w:val="en-US" w:eastAsia="zh-CN"/>
        </w:rPr>
      </w:pPr>
    </w:p>
    <w:p>
      <w:pPr>
        <w:numPr>
          <w:ilvl w:val="0"/>
          <w:numId w:val="0"/>
        </w:numPr>
        <w:spacing w:line="600" w:lineRule="auto"/>
        <w:outlineLvl w:val="2"/>
        <w:rPr>
          <w:rFonts w:hint="eastAsia" w:ascii="宋体" w:hAnsi="宋体" w:eastAsia="宋体" w:cs="宋体"/>
          <w:b/>
          <w:bCs/>
          <w:color w:val="auto"/>
          <w:sz w:val="24"/>
          <w:szCs w:val="24"/>
          <w:highlight w:val="none"/>
          <w:lang w:val="en-US" w:eastAsia="zh-CN"/>
        </w:rPr>
      </w:pPr>
    </w:p>
    <w:p>
      <w:pPr>
        <w:pStyle w:val="2"/>
        <w:rPr>
          <w:rFonts w:hint="eastAsia"/>
          <w:lang w:val="en-US" w:eastAsia="zh-CN"/>
        </w:rPr>
      </w:pPr>
    </w:p>
    <w:p>
      <w:pPr>
        <w:numPr>
          <w:ilvl w:val="0"/>
          <w:numId w:val="0"/>
        </w:numPr>
        <w:spacing w:line="600" w:lineRule="auto"/>
        <w:outlineLvl w:val="2"/>
        <w:rPr>
          <w:rFonts w:hint="eastAsia" w:ascii="宋体" w:hAnsi="宋体" w:eastAsia="宋体" w:cs="宋体"/>
          <w:b/>
          <w:bCs/>
          <w:color w:val="auto"/>
          <w:sz w:val="24"/>
          <w:szCs w:val="24"/>
          <w:highlight w:val="none"/>
          <w:lang w:val="en-US" w:eastAsia="zh-CN"/>
        </w:rPr>
      </w:pPr>
    </w:p>
    <w:p>
      <w:pPr>
        <w:numPr>
          <w:ilvl w:val="0"/>
          <w:numId w:val="0"/>
        </w:numPr>
        <w:spacing w:line="600" w:lineRule="auto"/>
        <w:jc w:val="center"/>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32"/>
          <w:szCs w:val="32"/>
          <w:highlight w:val="none"/>
          <w:lang w:val="en-US" w:eastAsia="zh-CN"/>
        </w:rPr>
        <w:t>一、</w:t>
      </w:r>
      <w:r>
        <w:rPr>
          <w:rFonts w:hint="eastAsia" w:ascii="宋体" w:hAnsi="宋体" w:eastAsia="宋体" w:cs="宋体"/>
          <w:b/>
          <w:bCs/>
          <w:color w:val="auto"/>
          <w:sz w:val="32"/>
          <w:szCs w:val="32"/>
          <w:highlight w:val="none"/>
        </w:rPr>
        <w:t>资格审查部分</w:t>
      </w:r>
    </w:p>
    <w:p>
      <w:pPr>
        <w:pStyle w:val="5"/>
        <w:widowControl/>
        <w:autoSpaceDE w:val="0"/>
        <w:spacing w:before="0" w:after="0" w:line="360" w:lineRule="auto"/>
        <w:ind w:left="0" w:leftChars="0" w:firstLine="0" w:firstLineChars="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供应商基本情况表</w:t>
      </w:r>
    </w:p>
    <w:tbl>
      <w:tblPr>
        <w:tblStyle w:val="41"/>
        <w:tblW w:w="963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44"/>
        <w:gridCol w:w="1275"/>
        <w:gridCol w:w="2423"/>
        <w:gridCol w:w="1368"/>
        <w:gridCol w:w="1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税号</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3698" w:type="dxa"/>
            <w:gridSpan w:val="2"/>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1929"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3698" w:type="dxa"/>
            <w:gridSpan w:val="2"/>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员工总数</w:t>
            </w:r>
          </w:p>
        </w:tc>
        <w:tc>
          <w:tcPr>
            <w:tcW w:w="1929"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vMerge w:val="restart"/>
            <w:tcBorders>
              <w:top w:val="nil"/>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1275"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423"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29"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vMerge w:val="continue"/>
            <w:tcBorders>
              <w:top w:val="nil"/>
              <w:left w:val="single" w:color="auto" w:sz="4" w:space="0"/>
              <w:bottom w:val="single" w:color="auto" w:sz="4" w:space="0"/>
              <w:right w:val="single" w:color="auto" w:sz="4" w:space="0"/>
            </w:tcBorders>
            <w:vAlign w:val="center"/>
          </w:tcPr>
          <w:p>
            <w:pPr>
              <w:rPr>
                <w:rFonts w:hint="eastAsia" w:ascii="宋体" w:hAnsi="宋体" w:eastAsia="宋体" w:cs="宋体"/>
                <w:color w:val="auto"/>
                <w:sz w:val="24"/>
                <w:szCs w:val="24"/>
                <w:highlight w:val="none"/>
              </w:rPr>
            </w:pPr>
          </w:p>
        </w:tc>
        <w:tc>
          <w:tcPr>
            <w:tcW w:w="1275"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423"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1929"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1275"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423"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c>
          <w:tcPr>
            <w:tcW w:w="1368"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929" w:type="dxa"/>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供应商须知要求供应商需具有的各类资质证书</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类型：                等级：                 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基本账户开户银行</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基本账户银行账号</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供应商关联企业情况（包括但不限于与供应商法定代表人为同一人或者存在控股、管理关系的不同单位）</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2644"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95" w:type="dxa"/>
            <w:gridSpan w:val="4"/>
            <w:tcBorders>
              <w:top w:val="single" w:color="auto" w:sz="4" w:space="0"/>
              <w:left w:val="nil"/>
              <w:bottom w:val="single" w:color="auto" w:sz="4" w:space="0"/>
              <w:right w:val="single" w:color="auto" w:sz="4" w:space="0"/>
            </w:tcBorders>
            <w:vAlign w:val="center"/>
          </w:tcPr>
          <w:p>
            <w:pPr>
              <w:spacing w:line="440" w:lineRule="exact"/>
              <w:jc w:val="center"/>
              <w:rPr>
                <w:rFonts w:hint="eastAsia" w:ascii="宋体" w:hAnsi="宋体" w:eastAsia="宋体" w:cs="宋体"/>
                <w:color w:val="auto"/>
                <w:sz w:val="24"/>
                <w:szCs w:val="24"/>
                <w:highlight w:val="none"/>
              </w:rPr>
            </w:pPr>
          </w:p>
        </w:tc>
      </w:tr>
    </w:tbl>
    <w:p>
      <w:pPr>
        <w:snapToGrid w:val="0"/>
        <w:spacing w:line="480" w:lineRule="auto"/>
        <w:ind w:left="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注：（1）投标供应商关联企业情况(说明：单位负责人为同一人或者存在控股、管理关系的不同单位，不得同时参加本项目投标)，提供相关证明材料或提供承诺书（格式自拟）。</w:t>
      </w:r>
    </w:p>
    <w:p>
      <w:pPr>
        <w:snapToGrid w:val="0"/>
        <w:spacing w:line="480" w:lineRule="auto"/>
        <w:ind w:left="42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（2）以上表格若无所填内容可以填“/”；</w:t>
      </w:r>
    </w:p>
    <w:p>
      <w:pPr>
        <w:spacing w:line="480" w:lineRule="auto"/>
        <w:ind w:firstLine="41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（3）投标供应商认为需要提供的其他材料。</w:t>
      </w:r>
    </w:p>
    <w:p>
      <w:pPr>
        <w:keepNext w:val="0"/>
        <w:keepLines w:val="0"/>
        <w:pageBreakBefore w:val="0"/>
        <w:kinsoku/>
        <w:wordWrap/>
        <w:overflowPunct/>
        <w:topLinePunct w:val="0"/>
        <w:autoSpaceDE/>
        <w:autoSpaceDN/>
        <w:bidi w:val="0"/>
        <w:adjustRightInd/>
        <w:snapToGrid/>
        <w:spacing w:line="360" w:lineRule="auto"/>
        <w:ind w:firstLine="243" w:firstLineChars="100"/>
        <w:textAlignment w:val="auto"/>
        <w:outlineLvl w:val="9"/>
        <w:rPr>
          <w:rFonts w:hint="eastAsia" w:ascii="宋体" w:hAnsi="宋体" w:eastAsia="宋体" w:cs="宋体"/>
          <w:b/>
          <w:bCs/>
          <w:color w:val="auto"/>
          <w:spacing w:val="1"/>
          <w:w w:val="100"/>
          <w:sz w:val="24"/>
          <w:szCs w:val="24"/>
          <w:highlight w:val="none"/>
          <w:lang w:val="en-US" w:eastAsia="zh-CN"/>
        </w:rPr>
      </w:pPr>
    </w:p>
    <w:p>
      <w:pPr>
        <w:pStyle w:val="2"/>
        <w:rPr>
          <w:rFonts w:hint="eastAsia" w:ascii="宋体" w:hAnsi="宋体" w:eastAsia="宋体" w:cs="宋体"/>
          <w:b/>
          <w:bCs/>
          <w:color w:val="auto"/>
          <w:spacing w:val="1"/>
          <w:w w:val="100"/>
          <w:sz w:val="24"/>
          <w:szCs w:val="24"/>
          <w:highlight w:val="none"/>
          <w:lang w:val="en-US" w:eastAsia="zh-CN"/>
        </w:rPr>
      </w:pPr>
    </w:p>
    <w:p>
      <w:pPr>
        <w:rPr>
          <w:rFonts w:hint="eastAsia"/>
          <w:lang w:val="en-US" w:eastAsia="zh-CN"/>
        </w:rPr>
      </w:pPr>
    </w:p>
    <w:p>
      <w:pPr>
        <w:rPr>
          <w:rFonts w:hint="eastAsia"/>
          <w:lang w:val="en-US" w:eastAsia="zh-CN"/>
        </w:rPr>
      </w:pPr>
    </w:p>
    <w:p>
      <w:pPr>
        <w:pageBreakBefore w:val="0"/>
        <w:kinsoku/>
        <w:overflowPunct/>
        <w:topLinePunct w:val="0"/>
        <w:autoSpaceDE w:val="0"/>
        <w:autoSpaceDN/>
        <w:bidi w:val="0"/>
        <w:adjustRightInd/>
        <w:snapToGrid/>
        <w:spacing w:line="360" w:lineRule="auto"/>
        <w:ind w:firstLine="243" w:firstLineChars="100"/>
        <w:textAlignment w:val="auto"/>
        <w:rPr>
          <w:rFonts w:hint="eastAsia" w:ascii="宋体" w:hAnsi="宋体" w:eastAsia="宋体" w:cs="宋体"/>
          <w:color w:val="auto"/>
          <w:sz w:val="24"/>
          <w:szCs w:val="24"/>
          <w:highlight w:val="none"/>
          <w:lang w:val="zh-CN"/>
        </w:rPr>
      </w:pPr>
      <w:r>
        <w:rPr>
          <w:rFonts w:hint="eastAsia" w:ascii="宋体" w:hAnsi="宋体" w:eastAsia="宋体" w:cs="宋体"/>
          <w:b/>
          <w:bCs/>
          <w:color w:val="auto"/>
          <w:spacing w:val="1"/>
          <w:w w:val="100"/>
          <w:sz w:val="24"/>
          <w:szCs w:val="24"/>
          <w:highlight w:val="none"/>
          <w:lang w:val="en-US" w:eastAsia="zh-CN"/>
        </w:rPr>
        <w:t>2.</w:t>
      </w:r>
      <w:r>
        <w:rPr>
          <w:rFonts w:hint="eastAsia" w:asciiTheme="minorEastAsia" w:hAnsiTheme="minorEastAsia" w:eastAsiaTheme="minorEastAsia" w:cstheme="minorEastAsia"/>
          <w:b/>
          <w:bCs/>
          <w:color w:val="auto"/>
          <w:spacing w:val="1"/>
          <w:sz w:val="24"/>
          <w:szCs w:val="24"/>
          <w:highlight w:val="none"/>
        </w:rPr>
        <w:t>营业执照</w:t>
      </w:r>
      <w:r>
        <w:rPr>
          <w:rFonts w:hint="eastAsia" w:ascii="宋体" w:hAnsi="宋体" w:eastAsia="宋体" w:cs="宋体"/>
          <w:b/>
          <w:bCs/>
          <w:color w:val="auto"/>
          <w:spacing w:val="1"/>
          <w:w w:val="100"/>
          <w:sz w:val="24"/>
          <w:szCs w:val="24"/>
          <w:highlight w:val="none"/>
        </w:rPr>
        <w:t>：</w:t>
      </w:r>
      <w:r>
        <w:rPr>
          <w:rFonts w:hint="eastAsia" w:ascii="宋体" w:hAnsi="宋体" w:eastAsia="宋体" w:cs="宋体"/>
          <w:sz w:val="24"/>
          <w:szCs w:val="24"/>
        </w:rPr>
        <w:t>具有独立承担民事责任的能力</w:t>
      </w:r>
      <w:r>
        <w:rPr>
          <w:rFonts w:hint="eastAsia" w:ascii="宋体" w:hAnsi="宋体" w:cs="宋体"/>
          <w:sz w:val="24"/>
          <w:szCs w:val="24"/>
          <w:lang w:eastAsia="zh-CN"/>
        </w:rPr>
        <w:t>，</w:t>
      </w:r>
      <w:r>
        <w:rPr>
          <w:rFonts w:hint="eastAsia" w:ascii="宋体" w:hAnsi="宋体" w:eastAsia="宋体" w:cs="宋体"/>
          <w:sz w:val="24"/>
          <w:szCs w:val="24"/>
        </w:rPr>
        <w:t>提供自然人有效身份证或法人或者其他组织有效的营业执照等证明文件</w:t>
      </w:r>
      <w:r>
        <w:rPr>
          <w:rFonts w:hint="eastAsia" w:ascii="宋体" w:hAnsi="宋体" w:eastAsia="宋体" w:cs="宋体"/>
          <w:color w:val="auto"/>
          <w:sz w:val="24"/>
          <w:szCs w:val="24"/>
          <w:highlight w:val="none"/>
        </w:rPr>
        <w:t>，提供相关材料的复印件或扫描件或打印件。</w:t>
      </w:r>
    </w:p>
    <w:p>
      <w:pPr>
        <w:pageBreakBefore w:val="0"/>
        <w:kinsoku/>
        <w:overflowPunct/>
        <w:topLinePunct w:val="0"/>
        <w:autoSpaceDE w:val="0"/>
        <w:autoSpaceDN/>
        <w:bidi w:val="0"/>
        <w:adjustRightInd/>
        <w:snapToGrid/>
        <w:spacing w:line="360" w:lineRule="auto"/>
        <w:ind w:firstLine="243" w:firstLineChars="100"/>
        <w:textAlignment w:val="auto"/>
        <w:rPr>
          <w:rFonts w:hint="eastAsia" w:ascii="宋体" w:hAnsi="宋体" w:eastAsia="宋体" w:cs="宋体"/>
          <w:b/>
          <w:bCs/>
          <w:color w:val="auto"/>
          <w:spacing w:val="1"/>
          <w:w w:val="100"/>
          <w:sz w:val="24"/>
          <w:szCs w:val="24"/>
          <w:highlight w:val="none"/>
          <w:lang w:val="en-US" w:eastAsia="zh-CN"/>
        </w:rPr>
      </w:pPr>
    </w:p>
    <w:p>
      <w:pPr>
        <w:pageBreakBefore w:val="0"/>
        <w:kinsoku/>
        <w:overflowPunct/>
        <w:topLinePunct w:val="0"/>
        <w:autoSpaceDE w:val="0"/>
        <w:autoSpaceDN/>
        <w:bidi w:val="0"/>
        <w:adjustRightInd/>
        <w:snapToGrid/>
        <w:spacing w:line="360" w:lineRule="auto"/>
        <w:ind w:firstLine="243" w:firstLineChars="100"/>
        <w:textAlignment w:val="auto"/>
        <w:rPr>
          <w:rFonts w:hint="eastAsia" w:ascii="宋体" w:hAnsi="宋体" w:eastAsia="宋体" w:cs="宋体"/>
          <w:caps/>
          <w:color w:val="auto"/>
          <w:spacing w:val="1"/>
          <w:sz w:val="24"/>
          <w:szCs w:val="24"/>
          <w:highlight w:val="none"/>
        </w:rPr>
      </w:pPr>
      <w:r>
        <w:rPr>
          <w:rFonts w:hint="eastAsia" w:ascii="宋体" w:hAnsi="宋体" w:eastAsia="宋体" w:cs="宋体"/>
          <w:b/>
          <w:bCs/>
          <w:color w:val="auto"/>
          <w:spacing w:val="1"/>
          <w:w w:val="100"/>
          <w:sz w:val="24"/>
          <w:szCs w:val="24"/>
          <w:highlight w:val="none"/>
          <w:lang w:val="en-US" w:eastAsia="zh-CN"/>
        </w:rPr>
        <w:t>3.</w:t>
      </w:r>
      <w:r>
        <w:rPr>
          <w:rFonts w:hint="eastAsia" w:asciiTheme="minorEastAsia" w:hAnsiTheme="minorEastAsia" w:eastAsiaTheme="minorEastAsia" w:cstheme="minorEastAsia"/>
          <w:b/>
          <w:bCs/>
          <w:color w:val="auto"/>
          <w:spacing w:val="1"/>
          <w:sz w:val="24"/>
          <w:szCs w:val="24"/>
          <w:highlight w:val="none"/>
        </w:rPr>
        <w:t>财务要求</w:t>
      </w:r>
      <w:r>
        <w:rPr>
          <w:rFonts w:hint="eastAsia" w:ascii="宋体" w:hAnsi="宋体" w:eastAsia="宋体" w:cs="宋体"/>
          <w:b/>
          <w:bCs/>
          <w:color w:val="auto"/>
          <w:spacing w:val="1"/>
          <w:w w:val="100"/>
          <w:sz w:val="24"/>
          <w:szCs w:val="24"/>
          <w:highlight w:val="none"/>
        </w:rPr>
        <w:t>：</w:t>
      </w:r>
      <w:r>
        <w:rPr>
          <w:rFonts w:hint="eastAsia" w:asciiTheme="minorEastAsia" w:hAnsiTheme="minorEastAsia" w:eastAsiaTheme="minorEastAsia" w:cstheme="minorEastAsia"/>
          <w:b w:val="0"/>
          <w:bCs w:val="0"/>
          <w:color w:val="auto"/>
          <w:spacing w:val="1"/>
          <w:sz w:val="24"/>
          <w:szCs w:val="24"/>
          <w:highlight w:val="none"/>
        </w:rPr>
        <w:t>提供202</w:t>
      </w:r>
      <w:r>
        <w:rPr>
          <w:rFonts w:hint="eastAsia" w:asciiTheme="minorEastAsia" w:hAnsiTheme="minorEastAsia" w:eastAsiaTheme="minorEastAsia" w:cstheme="minorEastAsia"/>
          <w:b w:val="0"/>
          <w:bCs w:val="0"/>
          <w:color w:val="auto"/>
          <w:spacing w:val="1"/>
          <w:sz w:val="24"/>
          <w:szCs w:val="24"/>
          <w:highlight w:val="none"/>
          <w:lang w:val="en-US" w:eastAsia="zh-CN"/>
        </w:rPr>
        <w:t>4</w:t>
      </w:r>
      <w:r>
        <w:rPr>
          <w:rFonts w:hint="eastAsia" w:asciiTheme="minorEastAsia" w:hAnsiTheme="minorEastAsia" w:eastAsiaTheme="minorEastAsia" w:cstheme="minorEastAsia"/>
          <w:b w:val="0"/>
          <w:bCs w:val="0"/>
          <w:color w:val="auto"/>
          <w:spacing w:val="1"/>
          <w:sz w:val="24"/>
          <w:szCs w:val="24"/>
          <w:highlight w:val="none"/>
        </w:rPr>
        <w:t>年度</w:t>
      </w:r>
      <w:r>
        <w:rPr>
          <w:rFonts w:hint="eastAsia" w:asciiTheme="minorEastAsia" w:hAnsiTheme="minorEastAsia" w:eastAsiaTheme="minorEastAsia" w:cstheme="minorEastAsia"/>
          <w:b w:val="0"/>
          <w:bCs w:val="0"/>
          <w:color w:val="auto"/>
          <w:spacing w:val="1"/>
          <w:sz w:val="24"/>
          <w:szCs w:val="24"/>
          <w:highlight w:val="none"/>
          <w:lang w:val="en-US" w:eastAsia="zh-CN"/>
        </w:rPr>
        <w:t>或2025年度</w:t>
      </w:r>
      <w:r>
        <w:rPr>
          <w:rFonts w:hint="eastAsia" w:asciiTheme="minorEastAsia" w:hAnsiTheme="minorEastAsia" w:eastAsiaTheme="minorEastAsia" w:cstheme="minorEastAsia"/>
          <w:b w:val="0"/>
          <w:bCs w:val="0"/>
          <w:color w:val="auto"/>
          <w:spacing w:val="1"/>
          <w:sz w:val="24"/>
          <w:szCs w:val="24"/>
          <w:highlight w:val="none"/>
        </w:rPr>
        <w:t>经非本单位专业审计机构出具的财务报表及审计报告（成立未满一年的公司，无需提供审计报告，提供公司成立至今的财务报表）。</w:t>
      </w:r>
    </w:p>
    <w:p>
      <w:pPr>
        <w:pStyle w:val="3"/>
        <w:spacing w:line="360" w:lineRule="auto"/>
        <w:ind w:firstLine="241" w:firstLineChars="100"/>
        <w:rPr>
          <w:rFonts w:hint="eastAsia" w:asciiTheme="minorEastAsia" w:hAnsiTheme="minorEastAsia" w:eastAsiaTheme="minorEastAsia" w:cstheme="minorEastAsia"/>
          <w:b w:val="0"/>
          <w:bCs w:val="0"/>
          <w:color w:val="auto"/>
          <w:sz w:val="24"/>
          <w:szCs w:val="24"/>
          <w:highlight w:val="none"/>
          <w:lang w:eastAsia="zh-CN"/>
        </w:rPr>
      </w:pPr>
      <w:bookmarkStart w:id="382" w:name="_Toc27492"/>
      <w:bookmarkStart w:id="383" w:name="_Toc22983"/>
      <w:r>
        <w:rPr>
          <w:rFonts w:hint="eastAsia" w:ascii="宋体" w:hAnsi="宋体" w:eastAsia="宋体" w:cs="宋体"/>
          <w:sz w:val="24"/>
          <w:szCs w:val="24"/>
          <w:lang w:val="en-US" w:eastAsia="zh-CN"/>
        </w:rPr>
        <w:t>4.</w:t>
      </w:r>
      <w:r>
        <w:rPr>
          <w:rFonts w:hint="eastAsia" w:ascii="宋体" w:hAnsi="宋体" w:eastAsia="宋体" w:cs="宋体"/>
          <w:sz w:val="24"/>
          <w:szCs w:val="24"/>
        </w:rPr>
        <w:t>税收和社保要</w:t>
      </w:r>
      <w:r>
        <w:rPr>
          <w:rFonts w:hint="eastAsia" w:ascii="宋体" w:hAnsi="宋体" w:eastAsia="宋体" w:cs="宋体"/>
          <w:b/>
          <w:bCs/>
          <w:color w:val="auto"/>
          <w:sz w:val="24"/>
          <w:szCs w:val="24"/>
          <w:highlight w:val="none"/>
        </w:rPr>
        <w:t>求</w:t>
      </w:r>
      <w:r>
        <w:rPr>
          <w:rFonts w:hint="eastAsia" w:ascii="宋体" w:hAnsi="宋体" w:eastAsia="宋体" w:cs="宋体"/>
          <w:b/>
          <w:bCs/>
          <w:color w:val="auto"/>
          <w:w w:val="100"/>
          <w:sz w:val="24"/>
          <w:szCs w:val="24"/>
          <w:highlight w:val="none"/>
        </w:rPr>
        <w:t>：</w:t>
      </w:r>
      <w:r>
        <w:rPr>
          <w:rFonts w:hint="eastAsia" w:asciiTheme="minorEastAsia" w:hAnsiTheme="minorEastAsia" w:eastAsiaTheme="minorEastAsia" w:cstheme="minorEastAsia"/>
          <w:b w:val="0"/>
          <w:bCs w:val="0"/>
          <w:color w:val="auto"/>
          <w:sz w:val="24"/>
          <w:szCs w:val="24"/>
          <w:highlight w:val="none"/>
        </w:rPr>
        <w:t>提供202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eastAsia" w:asciiTheme="minorEastAsia" w:hAnsiTheme="minorEastAsia" w:eastAsiaTheme="minorEastAsia" w:cstheme="minorEastAsia"/>
          <w:b w:val="0"/>
          <w:bCs w:val="0"/>
          <w:color w:val="auto"/>
          <w:sz w:val="24"/>
          <w:szCs w:val="24"/>
          <w:highlight w:val="none"/>
        </w:rPr>
        <w:t>年</w:t>
      </w:r>
      <w:r>
        <w:rPr>
          <w:rFonts w:hint="eastAsia" w:asciiTheme="minorEastAsia" w:hAnsiTheme="minorEastAsia" w:eastAsiaTheme="minorEastAsia" w:cstheme="minorEastAsia"/>
          <w:b w:val="0"/>
          <w:bCs w:val="0"/>
          <w:color w:val="auto"/>
          <w:sz w:val="24"/>
          <w:szCs w:val="24"/>
          <w:highlight w:val="none"/>
          <w:lang w:val="en-US" w:eastAsia="zh-CN"/>
        </w:rPr>
        <w:t>7月至今</w:t>
      </w:r>
      <w:r>
        <w:rPr>
          <w:rFonts w:hint="eastAsia" w:asciiTheme="minorEastAsia" w:hAnsiTheme="minorEastAsia" w:eastAsiaTheme="minorEastAsia" w:cstheme="minorEastAsia"/>
          <w:b w:val="0"/>
          <w:bCs w:val="0"/>
          <w:color w:val="auto"/>
          <w:sz w:val="24"/>
          <w:szCs w:val="24"/>
          <w:highlight w:val="none"/>
        </w:rPr>
        <w:t>任意</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个月依法缴纳税收和社会保障资金的缴纳凭证（如公司成立未满一个月的提供成立以来的税收和社会保障资金缴纳凭证或相关情况说明；依法免税或不需要缴纳社会保障资金的</w:t>
      </w:r>
      <w:r>
        <w:rPr>
          <w:rFonts w:hint="eastAsia" w:asciiTheme="minorEastAsia" w:hAnsiTheme="minorEastAsia" w:eastAsiaTheme="minorEastAsia" w:cstheme="minorEastAsia"/>
          <w:b w:val="0"/>
          <w:bCs w:val="0"/>
          <w:color w:val="auto"/>
          <w:sz w:val="24"/>
          <w:szCs w:val="24"/>
          <w:highlight w:val="none"/>
          <w:lang w:val="en-US" w:eastAsia="zh-CN"/>
        </w:rPr>
        <w:t>投标</w:t>
      </w:r>
      <w:r>
        <w:rPr>
          <w:rFonts w:hint="eastAsia" w:asciiTheme="minorEastAsia" w:hAnsiTheme="minorEastAsia" w:eastAsiaTheme="minorEastAsia" w:cstheme="minorEastAsia"/>
          <w:b w:val="0"/>
          <w:bCs w:val="0"/>
          <w:color w:val="auto"/>
          <w:sz w:val="24"/>
          <w:szCs w:val="24"/>
          <w:highlight w:val="none"/>
        </w:rPr>
        <w:t>人，应提供相应文件或情况说明证明其依法免税或不需要缴纳社会保障资金的材料</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w:t>
      </w:r>
      <w:bookmarkEnd w:id="382"/>
      <w:bookmarkEnd w:id="383"/>
      <w:bookmarkStart w:id="384" w:name="_Toc23070"/>
      <w:bookmarkStart w:id="385" w:name="_Toc1632"/>
      <w:r>
        <w:rPr>
          <w:rFonts w:hint="eastAsia" w:asciiTheme="minorEastAsia" w:hAnsiTheme="minorEastAsia" w:eastAsiaTheme="minorEastAsia" w:cstheme="minorEastAsia"/>
          <w:b w:val="0"/>
          <w:bCs w:val="0"/>
          <w:color w:val="auto"/>
          <w:sz w:val="24"/>
          <w:szCs w:val="24"/>
          <w:highlight w:val="none"/>
          <w:lang w:eastAsia="zh-CN"/>
        </w:rPr>
        <w:t>提供相关材料</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rPr>
        <w:t>复印件或扫描件或打印件</w:t>
      </w:r>
      <w:r>
        <w:rPr>
          <w:rFonts w:hint="eastAsia" w:asciiTheme="minorEastAsia" w:hAnsiTheme="minorEastAsia" w:eastAsiaTheme="minorEastAsia" w:cstheme="minorEastAsia"/>
          <w:b w:val="0"/>
          <w:bCs w:val="0"/>
          <w:color w:val="auto"/>
          <w:sz w:val="24"/>
          <w:szCs w:val="24"/>
          <w:highlight w:val="none"/>
          <w:lang w:eastAsia="zh-CN"/>
        </w:rPr>
        <w:t>。</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5.</w:t>
      </w:r>
      <w:r>
        <w:rPr>
          <w:rFonts w:hint="eastAsia" w:asciiTheme="minorEastAsia" w:hAnsiTheme="minorEastAsia" w:eastAsiaTheme="minorEastAsia" w:cstheme="minorEastAsia"/>
          <w:b/>
          <w:bCs/>
          <w:color w:val="auto"/>
          <w:sz w:val="24"/>
          <w:szCs w:val="24"/>
          <w:highlight w:val="none"/>
        </w:rPr>
        <w:t>专业技术能力：</w:t>
      </w:r>
      <w:r>
        <w:rPr>
          <w:rFonts w:hint="eastAsia" w:asciiTheme="minorEastAsia" w:hAnsiTheme="minorEastAsia" w:eastAsiaTheme="minorEastAsia" w:cstheme="minorEastAsia"/>
          <w:b w:val="0"/>
          <w:bCs w:val="0"/>
          <w:color w:val="auto"/>
          <w:sz w:val="24"/>
          <w:szCs w:val="24"/>
          <w:highlight w:val="none"/>
        </w:rPr>
        <w:t>提供具备履行合同所必需的专业技术能力的证明材料或承诺书</w:t>
      </w:r>
      <w:r>
        <w:rPr>
          <w:rFonts w:hint="eastAsia" w:asciiTheme="minorEastAsia" w:hAnsiTheme="minorEastAsia" w:eastAsiaTheme="minorEastAsia" w:cstheme="minorEastAsia"/>
          <w:b w:val="0"/>
          <w:bCs w:val="0"/>
          <w:color w:val="auto"/>
          <w:sz w:val="24"/>
          <w:szCs w:val="24"/>
          <w:highlight w:val="none"/>
          <w:lang w:eastAsia="zh-CN"/>
        </w:rPr>
        <w:t>。</w:t>
      </w:r>
    </w:p>
    <w:p>
      <w:pPr>
        <w:rPr>
          <w:rFonts w:hint="eastAsia"/>
        </w:rPr>
      </w:pPr>
    </w:p>
    <w:bookmarkEnd w:id="384"/>
    <w:bookmarkEnd w:id="385"/>
    <w:p>
      <w:pPr>
        <w:pStyle w:val="9"/>
        <w:pageBreakBefore w:val="0"/>
        <w:kinsoku/>
        <w:overflowPunct/>
        <w:topLinePunct w:val="0"/>
        <w:autoSpaceDE w:val="0"/>
        <w:autoSpaceDN/>
        <w:bidi w:val="0"/>
        <w:adjustRightInd/>
        <w:snapToGrid/>
        <w:spacing w:before="0" w:beforeAutospacing="0" w:after="0" w:line="360" w:lineRule="auto"/>
        <w:ind w:firstLine="241" w:firstLineChars="1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b/>
          <w:bCs/>
          <w:color w:val="auto"/>
          <w:sz w:val="24"/>
          <w:szCs w:val="24"/>
          <w:highlight w:val="none"/>
          <w:lang w:val="en-US" w:eastAsia="zh-CN" w:bidi="ar-SA"/>
        </w:rPr>
        <w:t>6.</w:t>
      </w:r>
      <w:r>
        <w:rPr>
          <w:rFonts w:hint="eastAsia" w:asciiTheme="minorEastAsia" w:hAnsiTheme="minorEastAsia" w:eastAsiaTheme="minorEastAsia" w:cstheme="minorEastAsia"/>
          <w:b/>
          <w:bCs/>
          <w:color w:val="auto"/>
          <w:sz w:val="24"/>
          <w:szCs w:val="24"/>
          <w:lang w:eastAsia="zh-CN"/>
        </w:rPr>
        <w:t>无重大违法记录声明：</w:t>
      </w:r>
      <w:r>
        <w:rPr>
          <w:rFonts w:hint="eastAsia" w:asciiTheme="minorEastAsia" w:hAnsiTheme="minorEastAsia" w:eastAsiaTheme="minorEastAsia" w:cstheme="minorEastAsia"/>
          <w:color w:val="auto"/>
          <w:spacing w:val="1"/>
          <w:sz w:val="24"/>
          <w:szCs w:val="24"/>
          <w:highlight w:val="none"/>
        </w:rPr>
        <w:t>提供参加</w:t>
      </w:r>
      <w:r>
        <w:rPr>
          <w:rFonts w:hint="eastAsia" w:asciiTheme="minorEastAsia" w:hAnsiTheme="minorEastAsia" w:eastAsiaTheme="minorEastAsia" w:cstheme="minorEastAsia"/>
          <w:color w:val="auto"/>
          <w:spacing w:val="1"/>
          <w:sz w:val="24"/>
          <w:szCs w:val="24"/>
          <w:highlight w:val="none"/>
          <w:lang w:val="en-US" w:eastAsia="zh-CN"/>
        </w:rPr>
        <w:t>本次</w:t>
      </w:r>
      <w:r>
        <w:rPr>
          <w:rFonts w:hint="eastAsia" w:asciiTheme="minorEastAsia" w:hAnsiTheme="minorEastAsia" w:eastAsiaTheme="minorEastAsia" w:cstheme="minorEastAsia"/>
          <w:color w:val="auto"/>
          <w:spacing w:val="1"/>
          <w:sz w:val="24"/>
          <w:szCs w:val="24"/>
          <w:highlight w:val="none"/>
        </w:rPr>
        <w:t>政府采购活动前3年内在经营活动中没有重大违法记录的书面声明（重大违法记录，是指投标人因违法经营受到刑事处罚或者责令停产停业、吊销许可证或者执照、较大数额罚款等行政处罚）。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rPr>
      </w:pPr>
      <w:r>
        <w:rPr>
          <w:rFonts w:hint="eastAsia" w:ascii="宋体" w:hAnsi="宋体" w:eastAsia="宋体" w:cs="宋体"/>
          <w:b w:val="0"/>
          <w:bCs w:val="0"/>
          <w:color w:val="auto"/>
          <w:sz w:val="24"/>
          <w:szCs w:val="24"/>
          <w:highlight w:val="none"/>
          <w:lang w:val="en-US" w:eastAsia="zh-CN" w:bidi="ar-SA"/>
        </w:rPr>
        <w:t>格式如下：</w:t>
      </w:r>
    </w:p>
    <w:p>
      <w:pPr>
        <w:spacing w:line="400" w:lineRule="exact"/>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声　　明</w:t>
      </w:r>
    </w:p>
    <w:p>
      <w:pPr>
        <w:spacing w:line="400" w:lineRule="exact"/>
        <w:jc w:val="center"/>
        <w:rPr>
          <w:rFonts w:hint="eastAsia" w:ascii="宋体" w:hAnsi="宋体" w:eastAsia="宋体" w:cs="宋体"/>
          <w:b/>
          <w:color w:val="auto"/>
          <w:kern w:val="0"/>
          <w:sz w:val="24"/>
          <w:szCs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我公司在参加此次</w:t>
      </w:r>
      <w:r>
        <w:rPr>
          <w:rFonts w:hint="eastAsia" w:ascii="宋体" w:hAnsi="宋体" w:eastAsia="宋体" w:cs="宋体"/>
          <w:color w:val="auto"/>
          <w:kern w:val="0"/>
          <w:sz w:val="24"/>
          <w:szCs w:val="24"/>
          <w:highlight w:val="none"/>
          <w:u w:val="single"/>
          <w:lang w:val="en-US" w:eastAsia="zh-CN"/>
        </w:rPr>
        <w:t>（项目名称）</w:t>
      </w:r>
      <w:r>
        <w:rPr>
          <w:rFonts w:hint="eastAsia" w:ascii="宋体" w:hAnsi="宋体" w:eastAsia="宋体" w:cs="宋体"/>
          <w:color w:val="auto"/>
          <w:kern w:val="0"/>
          <w:sz w:val="24"/>
          <w:szCs w:val="24"/>
          <w:highlight w:val="none"/>
          <w:lang w:val="en-US" w:eastAsia="zh-CN"/>
        </w:rPr>
        <w:t>公开采购前3年内没有在经营活动中因违法经营受到刑事处罚或者责令停产停业、吊销许可证或者执照、较大数额罚款等行政处罚等重大违法记录。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供应商名称（电子公章）：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日期：年  月 日</w:t>
      </w:r>
    </w:p>
    <w:p>
      <w:pPr>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eastAsia" w:ascii="宋体" w:hAnsi="宋体" w:eastAsia="宋体" w:cs="宋体"/>
          <w:b/>
          <w:bCs/>
          <w:color w:val="auto"/>
          <w:sz w:val="24"/>
          <w:szCs w:val="24"/>
          <w:highlight w:val="none"/>
          <w:lang w:val="en-US" w:eastAsia="zh-CN" w:bidi="ar-SA"/>
        </w:rPr>
      </w:pPr>
    </w:p>
    <w:p>
      <w:pPr>
        <w:pageBreakBefore w:val="0"/>
        <w:kinsoku/>
        <w:overflowPunct/>
        <w:topLinePunct w:val="0"/>
        <w:autoSpaceDE w:val="0"/>
        <w:autoSpaceDN/>
        <w:bidi w:val="0"/>
        <w:adjustRightInd/>
        <w:snapToGrid/>
        <w:spacing w:line="360" w:lineRule="auto"/>
        <w:ind w:firstLine="241" w:firstLineChars="100"/>
        <w:textAlignment w:val="auto"/>
        <w:rPr>
          <w:rFonts w:hint="eastAsia" w:asciiTheme="minorEastAsia" w:hAnsiTheme="minorEastAsia" w:eastAsiaTheme="minorEastAsia" w:cstheme="minorEastAsia"/>
          <w:b w:val="0"/>
          <w:bCs w:val="0"/>
          <w:color w:val="auto"/>
          <w:sz w:val="24"/>
          <w:szCs w:val="24"/>
          <w:highlight w:val="none"/>
          <w:lang w:eastAsia="zh-CN"/>
        </w:rPr>
      </w:pPr>
      <w:bookmarkStart w:id="386" w:name="_Toc478214728"/>
      <w:r>
        <w:rPr>
          <w:rFonts w:hint="eastAsia" w:asciiTheme="minorEastAsia" w:hAnsiTheme="minorEastAsia" w:eastAsiaTheme="minorEastAsia" w:cstheme="minorEastAsia"/>
          <w:b/>
          <w:bCs/>
          <w:color w:val="auto"/>
          <w:sz w:val="24"/>
          <w:szCs w:val="24"/>
          <w:highlight w:val="none"/>
          <w:lang w:val="en-US" w:eastAsia="zh-CN"/>
        </w:rPr>
        <w:t>7.</w:t>
      </w:r>
      <w:r>
        <w:rPr>
          <w:rFonts w:hint="eastAsia" w:asciiTheme="minorEastAsia" w:hAnsiTheme="minorEastAsia" w:eastAsiaTheme="minorEastAsia" w:cstheme="minorEastAsia"/>
          <w:b/>
          <w:bCs/>
          <w:color w:val="auto"/>
          <w:sz w:val="24"/>
          <w:szCs w:val="24"/>
          <w:highlight w:val="none"/>
        </w:rPr>
        <w:t>信誉要求：</w:t>
      </w:r>
      <w:r>
        <w:rPr>
          <w:rFonts w:hint="eastAsia" w:asciiTheme="minorEastAsia" w:hAnsiTheme="minorEastAsia" w:eastAsiaTheme="minorEastAsia" w:cstheme="minorEastAsia"/>
          <w:b w:val="0"/>
          <w:bCs w:val="0"/>
          <w:color w:val="auto"/>
          <w:sz w:val="24"/>
          <w:szCs w:val="24"/>
          <w:highlight w:val="none"/>
          <w:lang w:val="en-US" w:eastAsia="zh-CN"/>
        </w:rPr>
        <w:t>供应商应在“信用中国”网站(www.creditchina.gov.cn)未被列入失信被执行人、重大税收违法失信主体，中国政府采购网(www.ccgp.gov.cn)没有政府采购严重违法失信行为记录。</w:t>
      </w:r>
      <w:r>
        <w:rPr>
          <w:rFonts w:hint="eastAsia" w:asciiTheme="minorEastAsia" w:hAnsiTheme="minorEastAsia" w:eastAsiaTheme="minorEastAsia" w:cstheme="minorEastAsia"/>
          <w:b w:val="0"/>
          <w:bCs w:val="0"/>
          <w:color w:val="auto"/>
          <w:sz w:val="24"/>
          <w:szCs w:val="24"/>
          <w:highlight w:val="none"/>
          <w:lang w:eastAsia="zh-CN"/>
        </w:rPr>
        <w:t>（注：采购人或采购代理机构通过“信用中国”网、“中国政府采购网”等渠道查询相关主体信用记录，若供应商存在被列入失信被执行人、</w:t>
      </w:r>
      <w:r>
        <w:rPr>
          <w:rFonts w:hint="eastAsia" w:asciiTheme="minorEastAsia" w:hAnsiTheme="minorEastAsia" w:eastAsiaTheme="minorEastAsia" w:cstheme="minorEastAsia"/>
          <w:b w:val="0"/>
          <w:bCs w:val="0"/>
          <w:color w:val="auto"/>
          <w:sz w:val="24"/>
          <w:szCs w:val="24"/>
          <w:highlight w:val="none"/>
          <w:lang w:val="en-US" w:eastAsia="zh-CN"/>
        </w:rPr>
        <w:t>重大税收违法失信主体</w:t>
      </w:r>
      <w:r>
        <w:rPr>
          <w:rFonts w:hint="eastAsia" w:asciiTheme="minorEastAsia" w:hAnsiTheme="minorEastAsia" w:eastAsiaTheme="minorEastAsia" w:cstheme="minorEastAsia"/>
          <w:b w:val="0"/>
          <w:bCs w:val="0"/>
          <w:color w:val="auto"/>
          <w:sz w:val="24"/>
          <w:szCs w:val="24"/>
          <w:highlight w:val="none"/>
          <w:lang w:eastAsia="zh-CN"/>
        </w:rPr>
        <w:t>、政府采购严重违法失信行为记录名单，则投标无效。）</w:t>
      </w:r>
    </w:p>
    <w:p>
      <w:pPr>
        <w:pageBreakBefore w:val="0"/>
        <w:kinsoku/>
        <w:overflowPunct/>
        <w:topLinePunct w:val="0"/>
        <w:autoSpaceDE w:val="0"/>
        <w:autoSpaceDN/>
        <w:bidi w:val="0"/>
        <w:adjustRightInd/>
        <w:snapToGrid/>
        <w:spacing w:line="360" w:lineRule="auto"/>
        <w:ind w:firstLine="241" w:firstLineChars="100"/>
        <w:textAlignment w:val="auto"/>
        <w:rPr>
          <w:rFonts w:hint="eastAsia" w:ascii="宋体" w:hAnsi="宋体" w:eastAsia="宋体" w:cs="宋体"/>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8.其它要求</w:t>
      </w:r>
      <w:r>
        <w:rPr>
          <w:rFonts w:hint="eastAsia" w:asciiTheme="minorEastAsia" w:hAnsiTheme="minorEastAsia" w:eastAsiaTheme="minorEastAsia" w:cstheme="minorEastAsia"/>
          <w:b w:val="0"/>
          <w:bCs w:val="0"/>
          <w:color w:val="auto"/>
          <w:sz w:val="24"/>
          <w:szCs w:val="24"/>
          <w:highlight w:val="none"/>
          <w:lang w:val="en-US" w:eastAsia="zh-CN"/>
        </w:rPr>
        <w:t>：单位负责人为同一人或者存在直接控股、管理关系的不同供应商，不得参加同一合同项下的政府采购活动。</w:t>
      </w:r>
      <w:bookmarkEnd w:id="386"/>
    </w:p>
    <w:p>
      <w:pPr>
        <w:keepNext/>
        <w:keepLines/>
        <w:widowControl/>
        <w:autoSpaceDE w:val="0"/>
        <w:spacing w:beforeLines="50" w:line="360" w:lineRule="auto"/>
        <w:jc w:val="center"/>
        <w:outlineLvl w:val="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.《中小企业声明函》（货物）</w:t>
      </w:r>
    </w:p>
    <w:p>
      <w:pPr>
        <w:spacing w:line="480" w:lineRule="auto"/>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本公司（联合体</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郑重声明，根据《政府采购促进中小企业发展管理办法》</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财库</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 xml:space="preserve"> 2020 </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46号</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的规定，本公司</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联合体</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参加</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单位名称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的</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项目名称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采购活动，提供的货物全部由符合政策要求的中小企业制造。相关企业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含联合体中的中小企业、签订分包意向协议的中小企业</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rPr>
        <w:t>的具体情况如下</w:t>
      </w:r>
      <w:r>
        <w:rPr>
          <w:rFonts w:hint="eastAsia" w:ascii="宋体" w:hAnsi="宋体" w:eastAsia="宋体" w:cs="宋体"/>
          <w:color w:val="auto"/>
          <w:sz w:val="24"/>
          <w:szCs w:val="24"/>
          <w:highlight w:val="none"/>
          <w:shd w:val="clear" w:color="auto" w:fill="FFFFFF"/>
          <w:lang w:eastAsia="zh-CN"/>
        </w:rPr>
        <w:t>：</w:t>
      </w:r>
    </w:p>
    <w:p>
      <w:pPr>
        <w:spacing w:line="480" w:lineRule="auto"/>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标的名称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招标文件中明确的所属行业</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行业；制造商为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，从业人员人，营业收入为万元，资产总额为万元，属于</w:t>
      </w:r>
      <w:r>
        <w:rPr>
          <w:rFonts w:hint="eastAsia" w:ascii="宋体" w:hAnsi="宋体" w:eastAsia="宋体" w:cs="宋体"/>
          <w:color w:val="auto"/>
          <w:sz w:val="24"/>
          <w:szCs w:val="24"/>
          <w:highlight w:val="none"/>
          <w:u w:val="single"/>
          <w:shd w:val="clear" w:color="auto" w:fill="FFFFFF"/>
        </w:rPr>
        <w:t xml:space="preserve">   （中型企业、小型企业、微型企业）   </w:t>
      </w:r>
      <w:r>
        <w:rPr>
          <w:rFonts w:hint="eastAsia" w:ascii="宋体" w:hAnsi="宋体" w:eastAsia="宋体" w:cs="宋体"/>
          <w:color w:val="auto"/>
          <w:sz w:val="24"/>
          <w:szCs w:val="24"/>
          <w:highlight w:val="none"/>
          <w:shd w:val="clear" w:color="auto" w:fill="FFFFFF"/>
        </w:rPr>
        <w:t>；</w:t>
      </w:r>
    </w:p>
    <w:p>
      <w:pPr>
        <w:spacing w:line="360" w:lineRule="auto"/>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标的名称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，属于</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招标文件中明确的所属行业</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行业；制造商为</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企业名称</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，从业人员人，营业收入为万元，资产总额为万元，属于</w:t>
      </w:r>
      <w:r>
        <w:rPr>
          <w:rFonts w:hint="eastAsia" w:ascii="宋体" w:hAnsi="宋体" w:eastAsia="宋体" w:cs="宋体"/>
          <w:color w:val="auto"/>
          <w:sz w:val="24"/>
          <w:szCs w:val="24"/>
          <w:highlight w:val="none"/>
          <w:u w:val="single"/>
          <w:shd w:val="clear" w:color="auto" w:fill="FFFFFF"/>
        </w:rPr>
        <w:t xml:space="preserve">   （中型企业、小型企业、微型企业</w:t>
      </w:r>
      <w:r>
        <w:rPr>
          <w:rFonts w:hint="eastAsia" w:ascii="宋体" w:hAnsi="宋体" w:eastAsia="宋体" w:cs="宋体"/>
          <w:color w:val="auto"/>
          <w:sz w:val="24"/>
          <w:szCs w:val="24"/>
          <w:highlight w:val="none"/>
          <w:u w:val="single"/>
          <w:shd w:val="clear" w:color="auto" w:fill="FFFFFF"/>
          <w:lang w:eastAsia="zh-CN"/>
        </w:rPr>
        <w:t>）</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w:t>
      </w:r>
    </w:p>
    <w:p>
      <w:pPr>
        <w:spacing w:line="480" w:lineRule="auto"/>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eastAsia="zh-CN"/>
        </w:rPr>
        <w:t>……</w:t>
      </w:r>
    </w:p>
    <w:p>
      <w:pPr>
        <w:spacing w:line="480" w:lineRule="auto"/>
        <w:ind w:firstLine="480" w:firstLine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本企业对上述声明内容的真实性负责。如有虚假，将依法承担相应责任。</w:t>
      </w:r>
    </w:p>
    <w:p>
      <w:pPr>
        <w:pStyle w:val="47"/>
        <w:spacing w:before="120" w:line="360" w:lineRule="auto"/>
        <w:ind w:firstLine="6600" w:firstLineChars="2750"/>
        <w:rPr>
          <w:rFonts w:hint="eastAsia" w:ascii="宋体" w:hAnsi="宋体" w:eastAsia="宋体" w:cs="宋体"/>
          <w:color w:val="auto"/>
          <w:kern w:val="2"/>
          <w:sz w:val="24"/>
          <w:szCs w:val="24"/>
          <w:highlight w:val="none"/>
        </w:rPr>
      </w:pPr>
    </w:p>
    <w:p>
      <w:pPr>
        <w:pStyle w:val="47"/>
        <w:keepNext w:val="0"/>
        <w:keepLines w:val="0"/>
        <w:pageBreakBefore w:val="0"/>
        <w:widowControl w:val="0"/>
        <w:kinsoku/>
        <w:wordWrap/>
        <w:overflowPunct/>
        <w:topLinePunct w:val="0"/>
        <w:bidi w:val="0"/>
        <w:snapToGrid/>
        <w:spacing w:before="120" w:line="560" w:lineRule="exact"/>
        <w:ind w:firstLine="4320" w:firstLineChars="18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企业名称（加盖电子公章）：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keepNext w:val="0"/>
        <w:keepLines w:val="0"/>
        <w:pageBreakBefore w:val="0"/>
        <w:widowControl w:val="0"/>
        <w:kinsoku/>
        <w:wordWrap/>
        <w:overflowPunct/>
        <w:topLinePunct w:val="0"/>
        <w:bidi w:val="0"/>
        <w:snapToGrid/>
        <w:spacing w:line="560" w:lineRule="exact"/>
        <w:ind w:right="960" w:firstLine="5040" w:firstLineChars="21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日</w:t>
      </w:r>
    </w:p>
    <w:p>
      <w:pPr>
        <w:pStyle w:val="17"/>
        <w:rPr>
          <w:rFonts w:hint="eastAsia" w:ascii="宋体" w:hAnsi="宋体" w:eastAsia="宋体" w:cs="宋体"/>
          <w:color w:val="auto"/>
          <w:sz w:val="24"/>
          <w:szCs w:val="24"/>
          <w:highlight w:val="none"/>
        </w:rPr>
      </w:pPr>
    </w:p>
    <w:p>
      <w:pPr>
        <w:spacing w:line="360" w:lineRule="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注：1、从业人员、营业收入、资产总额填报上一年度数据，无上一年度数据的新成立企业可不填报；2、供应商须核对《关于印发中小企业划型标准规定的通知》（工信部联企业〔2011〕300号）规定的中小企业划型标准，如实填写声明函。如提供虚假材料的后果自负；3、如供应商不属于小微企业则不需填写，《中小企业声明函》格式保留即可。</w:t>
      </w:r>
    </w:p>
    <w:p>
      <w:pPr>
        <w:spacing w:line="360" w:lineRule="auto"/>
        <w:jc w:val="center"/>
        <w:rPr>
          <w:rFonts w:hint="eastAsia" w:ascii="宋体" w:hAnsi="宋体" w:eastAsia="宋体" w:cs="宋体"/>
          <w:b/>
          <w:color w:val="auto"/>
          <w:spacing w:val="6"/>
          <w:sz w:val="24"/>
          <w:szCs w:val="24"/>
          <w:highlight w:val="none"/>
        </w:rPr>
      </w:pP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pPr>
        <w:pStyle w:val="9"/>
        <w:spacing w:line="360" w:lineRule="auto"/>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sz w:val="28"/>
          <w:szCs w:val="28"/>
          <w:highlight w:val="none"/>
          <w:lang w:val="en-US" w:eastAsia="zh-CN"/>
        </w:rPr>
        <w:t>10</w:t>
      </w:r>
      <w:r>
        <w:rPr>
          <w:rFonts w:hint="eastAsia" w:ascii="宋体" w:hAnsi="宋体" w:eastAsia="宋体" w:cs="宋体"/>
          <w:b/>
          <w:color w:val="auto"/>
          <w:sz w:val="28"/>
          <w:szCs w:val="28"/>
          <w:highlight w:val="none"/>
        </w:rPr>
        <w:t>.</w:t>
      </w:r>
      <w:r>
        <w:rPr>
          <w:rFonts w:hint="eastAsia" w:ascii="宋体" w:hAnsi="宋体" w:eastAsia="宋体" w:cs="宋体"/>
          <w:b/>
          <w:color w:val="auto"/>
          <w:kern w:val="0"/>
          <w:sz w:val="28"/>
          <w:szCs w:val="28"/>
          <w:highlight w:val="none"/>
        </w:rPr>
        <w:t>监狱企业声明函</w:t>
      </w:r>
    </w:p>
    <w:p>
      <w:pPr>
        <w:pStyle w:val="9"/>
        <w:spacing w:line="360" w:lineRule="auto"/>
        <w:jc w:val="center"/>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不属于监狱企业的无需填写</w:t>
      </w:r>
      <w:r>
        <w:rPr>
          <w:rFonts w:hint="eastAsia" w:ascii="宋体" w:hAnsi="宋体" w:eastAsia="宋体" w:cs="宋体"/>
          <w:color w:val="auto"/>
          <w:spacing w:val="-4"/>
          <w:sz w:val="24"/>
          <w:szCs w:val="24"/>
          <w:highlight w:val="none"/>
        </w:rPr>
        <w:t>）</w:t>
      </w:r>
    </w:p>
    <w:p>
      <w:pPr>
        <w:pStyle w:val="9"/>
        <w:spacing w:line="360" w:lineRule="auto"/>
        <w:ind w:firstLine="464"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 xml:space="preserve">公司郑重声明，根据《关于政府采购支持监狱企业发展有关问题的通知》 </w:t>
      </w:r>
      <w:r>
        <w:rPr>
          <w:rFonts w:hint="eastAsia" w:ascii="宋体" w:hAnsi="宋体" w:eastAsia="宋体" w:cs="宋体"/>
          <w:color w:val="auto"/>
          <w:sz w:val="24"/>
          <w:szCs w:val="24"/>
          <w:highlight w:val="none"/>
        </w:rPr>
        <w:t>（财库[2014]68</w:t>
      </w:r>
      <w:r>
        <w:rPr>
          <w:rFonts w:hint="eastAsia" w:ascii="宋体" w:hAnsi="宋体" w:eastAsia="宋体" w:cs="宋体"/>
          <w:color w:val="auto"/>
          <w:spacing w:val="-47"/>
          <w:sz w:val="24"/>
          <w:szCs w:val="24"/>
          <w:highlight w:val="none"/>
        </w:rPr>
        <w:t xml:space="preserve"> </w:t>
      </w:r>
      <w:r>
        <w:rPr>
          <w:rFonts w:hint="eastAsia" w:ascii="宋体" w:hAnsi="宋体" w:eastAsia="宋体" w:cs="宋体"/>
          <w:color w:val="auto"/>
          <w:sz w:val="24"/>
          <w:szCs w:val="24"/>
          <w:highlight w:val="none"/>
        </w:rPr>
        <w:t xml:space="preserve">号）的规定，本公司为监狱企业。 </w:t>
      </w:r>
    </w:p>
    <w:p>
      <w:pPr>
        <w:pStyle w:val="9"/>
        <w:spacing w:line="360" w:lineRule="auto"/>
        <w:ind w:firstLine="452"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根据上述标准，我公司属于监狱企业的理由为：</w:t>
      </w:r>
      <w:r>
        <w:rPr>
          <w:rFonts w:hint="eastAsia" w:ascii="宋体" w:hAnsi="宋体" w:eastAsia="宋体" w:cs="宋体"/>
          <w:color w:val="auto"/>
          <w:spacing w:val="-7"/>
          <w:sz w:val="24"/>
          <w:szCs w:val="24"/>
          <w:highlight w:val="none"/>
          <w:u w:val="single"/>
        </w:rPr>
        <w:t xml:space="preserve">                    </w:t>
      </w:r>
      <w:r>
        <w:rPr>
          <w:rFonts w:hint="eastAsia" w:ascii="宋体" w:hAnsi="宋体" w:eastAsia="宋体" w:cs="宋体"/>
          <w:color w:val="auto"/>
          <w:spacing w:val="-7"/>
          <w:sz w:val="24"/>
          <w:szCs w:val="24"/>
          <w:highlight w:val="none"/>
        </w:rPr>
        <w:t>。</w:t>
      </w:r>
    </w:p>
    <w:p>
      <w:pPr>
        <w:pStyle w:val="9"/>
        <w:tabs>
          <w:tab w:val="left" w:pos="3120"/>
        </w:tabs>
        <w:spacing w:line="360" w:lineRule="auto"/>
        <w:ind w:firstLine="476"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本公司为参加</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pacing w:val="-1"/>
          <w:sz w:val="24"/>
          <w:szCs w:val="24"/>
          <w:highlight w:val="none"/>
          <w:u w:val="single" w:color="000000"/>
        </w:rPr>
        <w:t>（项目名称）</w:t>
      </w:r>
      <w:r>
        <w:rPr>
          <w:rFonts w:hint="eastAsia" w:ascii="宋体" w:hAnsi="宋体" w:eastAsia="宋体" w:cs="宋体"/>
          <w:color w:val="auto"/>
          <w:spacing w:val="34"/>
          <w:sz w:val="24"/>
          <w:szCs w:val="24"/>
          <w:highlight w:val="none"/>
          <w:u w:val="single" w:color="000000"/>
        </w:rPr>
        <w:t xml:space="preserve"> </w:t>
      </w:r>
      <w:r>
        <w:rPr>
          <w:rFonts w:hint="eastAsia" w:ascii="宋体" w:hAnsi="宋体" w:eastAsia="宋体" w:cs="宋体"/>
          <w:color w:val="auto"/>
          <w:spacing w:val="-6"/>
          <w:sz w:val="24"/>
          <w:szCs w:val="24"/>
          <w:highlight w:val="none"/>
        </w:rPr>
        <w:t xml:space="preserve">（项目编号： </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）采购活动提供本企业</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u w:val="single" w:color="000000"/>
        </w:rPr>
        <w:t>（填写提供的服务</w:t>
      </w:r>
      <w:r>
        <w:rPr>
          <w:rFonts w:hint="eastAsia" w:ascii="宋体" w:hAnsi="宋体" w:eastAsia="宋体" w:cs="宋体"/>
          <w:color w:val="auto"/>
          <w:spacing w:val="-8"/>
          <w:sz w:val="24"/>
          <w:szCs w:val="24"/>
          <w:highlight w:val="none"/>
          <w:u w:val="single" w:color="000000"/>
        </w:rPr>
        <w:t>，由本企业承担服务）</w:t>
      </w:r>
      <w:r>
        <w:rPr>
          <w:rFonts w:hint="eastAsia" w:ascii="宋体" w:hAnsi="宋体" w:eastAsia="宋体" w:cs="宋体"/>
          <w:color w:val="auto"/>
          <w:spacing w:val="-8"/>
          <w:sz w:val="24"/>
          <w:szCs w:val="24"/>
          <w:highlight w:val="none"/>
        </w:rPr>
        <w:t>。</w:t>
      </w:r>
    </w:p>
    <w:p>
      <w:pPr>
        <w:spacing w:line="360" w:lineRule="auto"/>
        <w:rPr>
          <w:rFonts w:hint="eastAsia" w:ascii="宋体" w:hAnsi="宋体" w:eastAsia="宋体" w:cs="宋体"/>
          <w:color w:val="auto"/>
          <w:sz w:val="24"/>
          <w:szCs w:val="24"/>
          <w:highlight w:val="none"/>
        </w:rPr>
      </w:pPr>
    </w:p>
    <w:p>
      <w:pPr>
        <w:pStyle w:val="9"/>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本条所称服务不包括使用大型企业注册商标的服务。 </w:t>
      </w:r>
    </w:p>
    <w:p>
      <w:pPr>
        <w:pStyle w:val="9"/>
        <w:spacing w:line="360" w:lineRule="auto"/>
        <w:ind w:firstLine="472"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本公司对上述声明的真实性负责。如有虚假，将依法承担相应责任。</w:t>
      </w:r>
    </w:p>
    <w:p>
      <w:pPr>
        <w:spacing w:line="360" w:lineRule="auto"/>
        <w:rPr>
          <w:rFonts w:hint="eastAsia" w:ascii="宋体" w:hAnsi="宋体" w:eastAsia="宋体" w:cs="宋体"/>
          <w:color w:val="auto"/>
          <w:sz w:val="24"/>
          <w:szCs w:val="24"/>
          <w:highlight w:val="none"/>
        </w:rPr>
      </w:pPr>
    </w:p>
    <w:p>
      <w:pPr>
        <w:spacing w:line="360" w:lineRule="auto"/>
        <w:ind w:firstLine="2" w:firstLineChars="1"/>
        <w:rPr>
          <w:rFonts w:hint="eastAsia" w:ascii="宋体" w:hAnsi="宋体" w:eastAsia="宋体" w:cs="宋体"/>
          <w:color w:val="auto"/>
          <w:sz w:val="24"/>
          <w:szCs w:val="24"/>
          <w:highlight w:val="none"/>
        </w:rPr>
      </w:pPr>
    </w:p>
    <w:p>
      <w:pPr>
        <w:spacing w:line="360" w:lineRule="auto"/>
        <w:ind w:firstLine="2" w:firstLineChars="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供应商全称（加盖电子公章）：</w:t>
      </w:r>
      <w:r>
        <w:rPr>
          <w:rFonts w:hint="eastAsia" w:ascii="宋体" w:hAnsi="宋体" w:eastAsia="宋体" w:cs="宋体"/>
          <w:color w:val="auto"/>
          <w:sz w:val="24"/>
          <w:szCs w:val="24"/>
          <w:highlight w:val="none"/>
          <w:u w:val="single"/>
        </w:rPr>
        <w:t xml:space="preserve">                </w:t>
      </w:r>
    </w:p>
    <w:p>
      <w:pPr>
        <w:adjustRightInd w:val="0"/>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aps/>
          <w:color w:val="auto"/>
          <w:sz w:val="24"/>
          <w:szCs w:val="24"/>
          <w:highlight w:val="none"/>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pStyle w:val="9"/>
        <w:spacing w:line="360" w:lineRule="auto"/>
        <w:ind w:firstLine="478" w:firstLineChars="200"/>
        <w:jc w:val="left"/>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注：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监狱企业视同小型、微型企业，享受评审中价格扣除等政府采购促进中小企业发展的政府采购政策。</w:t>
      </w:r>
    </w:p>
    <w:p>
      <w:pPr>
        <w:pStyle w:val="9"/>
        <w:spacing w:line="360"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bCs/>
          <w:color w:val="auto"/>
          <w:spacing w:val="-1"/>
          <w:sz w:val="24"/>
          <w:szCs w:val="24"/>
          <w:highlight w:val="none"/>
        </w:rPr>
        <w:br w:type="page"/>
      </w:r>
      <w:r>
        <w:rPr>
          <w:rFonts w:hint="eastAsia" w:ascii="宋体" w:hAnsi="宋体" w:eastAsia="宋体" w:cs="宋体"/>
          <w:b/>
          <w:bCs/>
          <w:color w:val="auto"/>
          <w:spacing w:val="-1"/>
          <w:sz w:val="28"/>
          <w:szCs w:val="28"/>
          <w:highlight w:val="none"/>
          <w:lang w:val="en-US" w:eastAsia="zh-CN"/>
        </w:rPr>
        <w:t>11</w:t>
      </w:r>
      <w:r>
        <w:rPr>
          <w:rFonts w:hint="eastAsia" w:ascii="宋体" w:hAnsi="宋体" w:eastAsia="宋体" w:cs="宋体"/>
          <w:b/>
          <w:bCs/>
          <w:color w:val="auto"/>
          <w:spacing w:val="-1"/>
          <w:sz w:val="28"/>
          <w:szCs w:val="28"/>
          <w:highlight w:val="none"/>
        </w:rPr>
        <w:t>.</w:t>
      </w:r>
      <w:r>
        <w:rPr>
          <w:rFonts w:hint="eastAsia" w:ascii="宋体" w:hAnsi="宋体" w:eastAsia="宋体" w:cs="宋体"/>
          <w:b/>
          <w:color w:val="auto"/>
          <w:kern w:val="0"/>
          <w:sz w:val="28"/>
          <w:szCs w:val="28"/>
          <w:highlight w:val="none"/>
        </w:rPr>
        <w:t>残疾人福利性单位声明函</w:t>
      </w:r>
    </w:p>
    <w:p>
      <w:pPr>
        <w:pStyle w:val="9"/>
        <w:spacing w:line="360" w:lineRule="auto"/>
        <w:ind w:firstLine="420"/>
        <w:jc w:val="center"/>
        <w:rPr>
          <w:rFonts w:hint="eastAsia" w:ascii="宋体" w:hAnsi="宋体" w:eastAsia="宋体" w:cs="宋体"/>
          <w:color w:val="auto"/>
          <w:sz w:val="24"/>
          <w:szCs w:val="24"/>
          <w:highlight w:val="none"/>
        </w:rPr>
      </w:pPr>
      <w:bookmarkStart w:id="387" w:name="_Toc20904"/>
      <w:bookmarkStart w:id="388" w:name="_Toc12907"/>
      <w:r>
        <w:rPr>
          <w:rFonts w:hint="eastAsia" w:ascii="宋体" w:hAnsi="宋体" w:eastAsia="宋体" w:cs="宋体"/>
          <w:color w:val="auto"/>
          <w:sz w:val="24"/>
          <w:szCs w:val="24"/>
          <w:highlight w:val="none"/>
        </w:rPr>
        <w:t>（不属于残疾人福利性单位的无需填写）</w:t>
      </w:r>
      <w:bookmarkEnd w:id="387"/>
      <w:bookmarkEnd w:id="388"/>
    </w:p>
    <w:p>
      <w:pPr>
        <w:pStyle w:val="9"/>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w:t>
      </w:r>
      <w:r>
        <w:rPr>
          <w:rFonts w:hint="eastAsia" w:ascii="宋体" w:hAnsi="宋体" w:eastAsia="宋体" w:cs="宋体"/>
          <w:color w:val="auto"/>
          <w:spacing w:val="-10"/>
          <w:sz w:val="24"/>
          <w:szCs w:val="24"/>
          <w:highlight w:val="none"/>
        </w:rPr>
        <w:t>的通知》（财库〔2017〕</w:t>
      </w:r>
      <w:r>
        <w:rPr>
          <w:rFonts w:hint="eastAsia" w:ascii="宋体" w:hAnsi="宋体" w:eastAsia="宋体" w:cs="宋体"/>
          <w:color w:val="auto"/>
          <w:sz w:val="24"/>
          <w:szCs w:val="24"/>
          <w:highlight w:val="none"/>
        </w:rPr>
        <w:t>141</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z w:val="24"/>
          <w:szCs w:val="24"/>
          <w:highlight w:val="none"/>
        </w:rPr>
        <w:t>号）的规定，本单位为符合条件的残疾人福利性单位，且本单位参加</w:t>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z w:val="24"/>
          <w:szCs w:val="24"/>
          <w:highlight w:val="none"/>
          <w:u w:val="single" w:color="000000"/>
        </w:rPr>
        <w:tab/>
      </w:r>
      <w:r>
        <w:rPr>
          <w:rFonts w:hint="eastAsia" w:ascii="宋体" w:hAnsi="宋体" w:eastAsia="宋体" w:cs="宋体"/>
          <w:color w:val="auto"/>
          <w:sz w:val="24"/>
          <w:szCs w:val="24"/>
          <w:highlight w:val="none"/>
          <w:u w:val="single" w:color="000000"/>
        </w:rPr>
        <w:t xml:space="preserve">         </w:t>
      </w:r>
      <w:r>
        <w:rPr>
          <w:rFonts w:hint="eastAsia" w:ascii="宋体" w:hAnsi="宋体" w:eastAsia="宋体" w:cs="宋体"/>
          <w:color w:val="auto"/>
          <w:spacing w:val="-1"/>
          <w:sz w:val="24"/>
          <w:szCs w:val="24"/>
          <w:highlight w:val="none"/>
        </w:rPr>
        <w:t>单位的</w:t>
      </w:r>
      <w:r>
        <w:rPr>
          <w:rFonts w:hint="eastAsia" w:ascii="宋体" w:hAnsi="宋体" w:eastAsia="宋体" w:cs="宋体"/>
          <w:color w:val="auto"/>
          <w:spacing w:val="-1"/>
          <w:sz w:val="24"/>
          <w:szCs w:val="24"/>
          <w:highlight w:val="none"/>
          <w:u w:val="single" w:color="000000"/>
        </w:rPr>
        <w:tab/>
      </w:r>
      <w:r>
        <w:rPr>
          <w:rFonts w:hint="eastAsia" w:ascii="宋体" w:hAnsi="宋体" w:eastAsia="宋体" w:cs="宋体"/>
          <w:color w:val="auto"/>
          <w:spacing w:val="-1"/>
          <w:sz w:val="24"/>
          <w:szCs w:val="24"/>
          <w:highlight w:val="none"/>
          <w:u w:val="single" w:color="000000"/>
        </w:rPr>
        <w:t xml:space="preserve">              </w:t>
      </w:r>
      <w:r>
        <w:rPr>
          <w:rFonts w:hint="eastAsia" w:ascii="宋体" w:hAnsi="宋体" w:eastAsia="宋体" w:cs="宋体"/>
          <w:color w:val="auto"/>
          <w:spacing w:val="-4"/>
          <w:sz w:val="24"/>
          <w:szCs w:val="24"/>
          <w:highlight w:val="none"/>
        </w:rPr>
        <w:t>项目采购活动提供本单位制造的货物（由本单位承担工程/提供服务），或者提供其他残疾人福利性单位制造的货物（不包括使用非残疾人福利性单位注册商标的货物）。</w:t>
      </w:r>
    </w:p>
    <w:p>
      <w:pPr>
        <w:pStyle w:val="9"/>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pacing w:line="360" w:lineRule="auto"/>
        <w:rPr>
          <w:rFonts w:hint="eastAsia" w:ascii="宋体" w:hAnsi="宋体" w:eastAsia="宋体" w:cs="宋体"/>
          <w:color w:val="auto"/>
          <w:sz w:val="24"/>
          <w:szCs w:val="24"/>
          <w:highlight w:val="none"/>
        </w:rPr>
      </w:pPr>
    </w:p>
    <w:p>
      <w:pPr>
        <w:pStyle w:val="9"/>
        <w:spacing w:line="360" w:lineRule="auto"/>
        <w:ind w:firstLine="420"/>
        <w:jc w:val="lef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注： 单独列出所供残疾人福利性单位提供的服务单价和总价。</w:t>
      </w:r>
    </w:p>
    <w:p>
      <w:pPr>
        <w:pStyle w:val="9"/>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（若投标文件中无上述材料，则在评审时不考虑对该小、微企业的相关优惠。）</w:t>
      </w:r>
    </w:p>
    <w:p>
      <w:pPr>
        <w:spacing w:line="360" w:lineRule="auto"/>
        <w:rPr>
          <w:rFonts w:hint="eastAsia" w:ascii="宋体" w:hAnsi="宋体" w:eastAsia="宋体" w:cs="宋体"/>
          <w:color w:val="auto"/>
          <w:sz w:val="24"/>
          <w:szCs w:val="24"/>
          <w:highlight w:val="none"/>
        </w:rPr>
      </w:pPr>
    </w:p>
    <w:p>
      <w:pPr>
        <w:spacing w:line="360" w:lineRule="auto"/>
        <w:ind w:firstLine="2" w:firstLineChars="1"/>
        <w:rPr>
          <w:rFonts w:hint="eastAsia" w:ascii="宋体" w:hAnsi="宋体" w:eastAsia="宋体" w:cs="宋体"/>
          <w:color w:val="auto"/>
          <w:sz w:val="24"/>
          <w:szCs w:val="24"/>
          <w:highlight w:val="none"/>
        </w:rPr>
      </w:pPr>
    </w:p>
    <w:p>
      <w:pPr>
        <w:spacing w:line="360" w:lineRule="auto"/>
        <w:ind w:firstLine="2" w:firstLineChars="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供应商全称（加盖电子公章）：</w:t>
      </w:r>
      <w:r>
        <w:rPr>
          <w:rFonts w:hint="eastAsia" w:ascii="宋体" w:hAnsi="宋体" w:eastAsia="宋体" w:cs="宋体"/>
          <w:color w:val="auto"/>
          <w:sz w:val="24"/>
          <w:szCs w:val="24"/>
          <w:highlight w:val="none"/>
          <w:u w:val="single"/>
        </w:rPr>
        <w:t xml:space="preserve">                </w:t>
      </w:r>
    </w:p>
    <w:p>
      <w:pPr>
        <w:adjustRightInd w:val="0"/>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aps/>
          <w:color w:val="auto"/>
          <w:sz w:val="24"/>
          <w:szCs w:val="24"/>
          <w:highlight w:val="none"/>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日</w:t>
      </w:r>
    </w:p>
    <w:p>
      <w:pPr>
        <w:pStyle w:val="9"/>
        <w:spacing w:line="360" w:lineRule="auto"/>
        <w:ind w:hanging="27"/>
        <w:jc w:val="left"/>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p>
    <w:p>
      <w:pPr>
        <w:pStyle w:val="15"/>
        <w:spacing w:after="0" w:line="360" w:lineRule="auto"/>
        <w:ind w:left="0" w:leftChars="0" w:firstLine="478"/>
        <w:rPr>
          <w:rFonts w:hint="eastAsia" w:ascii="宋体" w:hAnsi="宋体" w:eastAsia="宋体" w:cs="宋体"/>
          <w:b/>
          <w:bCs/>
          <w:color w:val="auto"/>
          <w:spacing w:val="-1"/>
          <w:sz w:val="24"/>
          <w:szCs w:val="24"/>
          <w:highlight w:val="none"/>
        </w:rPr>
      </w:pPr>
      <w:r>
        <w:rPr>
          <w:rFonts w:hint="eastAsia" w:ascii="宋体" w:hAnsi="宋体" w:eastAsia="宋体" w:cs="宋体"/>
          <w:b/>
          <w:bCs/>
          <w:color w:val="auto"/>
          <w:spacing w:val="-1"/>
          <w:sz w:val="24"/>
          <w:szCs w:val="24"/>
          <w:highlight w:val="none"/>
        </w:rPr>
        <w:t>注：符合条件的残疾人福利性单位在参加政府采购活动时，应当提供本通知规定的《残疾人福利性单位声明函》，并对声明的真实性负责。招标代理机构在随中标、中标结果同时公告其《残疾人福利性单位声明函》，接受社会监督。供应商提供的《残疾人福利性单位声明函》与事实不符的，依照《政府采购法》第七十七条第一款的规定追究法律责任。</w:t>
      </w:r>
    </w:p>
    <w:p>
      <w:pPr>
        <w:pStyle w:val="17"/>
        <w:spacing w:line="360" w:lineRule="auto"/>
        <w:rPr>
          <w:rFonts w:hint="eastAsia" w:ascii="宋体" w:hAnsi="宋体" w:eastAsia="宋体" w:cs="宋体"/>
          <w:b/>
          <w:color w:val="auto"/>
          <w:sz w:val="24"/>
          <w:szCs w:val="24"/>
          <w:highlight w:val="none"/>
        </w:rPr>
      </w:pPr>
    </w:p>
    <w:p>
      <w:pPr>
        <w:pStyle w:val="17"/>
        <w:spacing w:line="360" w:lineRule="auto"/>
        <w:rPr>
          <w:rFonts w:hint="eastAsia" w:ascii="宋体" w:hAnsi="宋体" w:eastAsia="宋体" w:cs="宋体"/>
          <w:b/>
          <w:color w:val="auto"/>
          <w:sz w:val="24"/>
          <w:szCs w:val="24"/>
          <w:highlight w:val="none"/>
        </w:rPr>
      </w:pPr>
    </w:p>
    <w:p>
      <w:pPr>
        <w:pStyle w:val="17"/>
        <w:spacing w:line="360" w:lineRule="auto"/>
        <w:rPr>
          <w:rFonts w:hint="eastAsia" w:ascii="宋体" w:hAnsi="宋体" w:eastAsia="宋体" w:cs="宋体"/>
          <w:b/>
          <w:color w:val="auto"/>
          <w:sz w:val="24"/>
          <w:szCs w:val="24"/>
          <w:highlight w:val="none"/>
        </w:rPr>
      </w:pPr>
    </w:p>
    <w:p>
      <w:pPr>
        <w:pStyle w:val="17"/>
        <w:spacing w:line="360" w:lineRule="auto"/>
        <w:rPr>
          <w:rFonts w:hint="eastAsia" w:ascii="宋体" w:hAnsi="宋体" w:eastAsia="宋体" w:cs="宋体"/>
          <w:b/>
          <w:color w:val="auto"/>
          <w:sz w:val="24"/>
          <w:szCs w:val="24"/>
          <w:highlight w:val="none"/>
        </w:rPr>
      </w:pPr>
    </w:p>
    <w:p>
      <w:pPr>
        <w:jc w:val="center"/>
        <w:rPr>
          <w:rFonts w:hint="eastAsia" w:ascii="宋体" w:hAnsi="宋体" w:eastAsia="宋体" w:cs="宋体"/>
          <w:b/>
          <w:bCs/>
          <w:color w:val="auto"/>
          <w:sz w:val="24"/>
          <w:szCs w:val="24"/>
          <w:highlight w:val="none"/>
        </w:rPr>
      </w:pPr>
    </w:p>
    <w:p>
      <w:pPr>
        <w:jc w:val="center"/>
        <w:rPr>
          <w:rFonts w:hint="eastAsia" w:ascii="宋体" w:hAnsi="宋体" w:eastAsia="宋体" w:cs="宋体"/>
          <w:b/>
          <w:bCs/>
          <w:color w:val="auto"/>
          <w:sz w:val="24"/>
          <w:szCs w:val="24"/>
          <w:highlight w:val="none"/>
          <w:lang w:val="en-US" w:eastAsia="zh-CN"/>
        </w:rPr>
      </w:pPr>
    </w:p>
    <w:p>
      <w:pPr>
        <w:jc w:val="center"/>
        <w:rPr>
          <w:rFonts w:hint="eastAsia" w:ascii="宋体" w:hAnsi="宋体" w:eastAsia="宋体" w:cs="宋体"/>
          <w:b/>
          <w:bCs/>
          <w:color w:val="auto"/>
          <w:sz w:val="24"/>
          <w:szCs w:val="24"/>
          <w:highlight w:val="none"/>
          <w:lang w:val="en-US" w:eastAsia="zh-CN"/>
        </w:rPr>
      </w:pPr>
    </w:p>
    <w:p>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12.</w:t>
      </w:r>
      <w:r>
        <w:rPr>
          <w:rFonts w:hint="eastAsia" w:ascii="宋体" w:hAnsi="宋体" w:eastAsia="宋体" w:cs="宋体"/>
          <w:b/>
          <w:bCs/>
          <w:color w:val="auto"/>
          <w:sz w:val="28"/>
          <w:szCs w:val="28"/>
          <w:highlight w:val="none"/>
        </w:rPr>
        <w:t>节能环保产品清单</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若有</w:t>
      </w:r>
      <w:r>
        <w:rPr>
          <w:rFonts w:hint="eastAsia" w:ascii="宋体" w:hAnsi="宋体" w:eastAsia="宋体" w:cs="宋体"/>
          <w:b/>
          <w:bCs/>
          <w:color w:val="auto"/>
          <w:sz w:val="28"/>
          <w:szCs w:val="28"/>
          <w:highlight w:val="none"/>
          <w:lang w:eastAsia="zh-CN"/>
        </w:rPr>
        <w:t>）</w:t>
      </w:r>
    </w:p>
    <w:p>
      <w:pPr>
        <w:jc w:val="center"/>
        <w:rPr>
          <w:rFonts w:hint="eastAsia" w:ascii="宋体" w:hAnsi="宋体" w:eastAsia="宋体" w:cs="宋体"/>
          <w:b/>
          <w:bCs/>
          <w:color w:val="auto"/>
          <w:sz w:val="24"/>
          <w:szCs w:val="24"/>
          <w:highlight w:val="none"/>
        </w:rPr>
      </w:pPr>
    </w:p>
    <w:tbl>
      <w:tblPr>
        <w:tblStyle w:val="41"/>
        <w:tblW w:w="952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6"/>
        <w:gridCol w:w="3119"/>
        <w:gridCol w:w="2551"/>
        <w:gridCol w:w="26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货物名称</w:t>
            </w: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依据标准</w:t>
            </w: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1176" w:type="dxa"/>
            <w:vAlign w:val="center"/>
          </w:tcPr>
          <w:p>
            <w:pPr>
              <w:pStyle w:val="2"/>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p>
        </w:tc>
        <w:tc>
          <w:tcPr>
            <w:tcW w:w="3119"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551" w:type="dxa"/>
            <w:vAlign w:val="center"/>
          </w:tcPr>
          <w:p>
            <w:pPr>
              <w:pStyle w:val="2"/>
              <w:ind w:firstLine="0" w:firstLineChars="0"/>
              <w:jc w:val="center"/>
              <w:rPr>
                <w:rFonts w:hint="eastAsia" w:ascii="宋体" w:hAnsi="宋体" w:eastAsia="宋体" w:cs="宋体"/>
                <w:b/>
                <w:color w:val="auto"/>
                <w:sz w:val="24"/>
                <w:szCs w:val="24"/>
                <w:highlight w:val="none"/>
              </w:rPr>
            </w:pPr>
          </w:p>
        </w:tc>
        <w:tc>
          <w:tcPr>
            <w:tcW w:w="2678" w:type="dxa"/>
            <w:vAlign w:val="center"/>
          </w:tcPr>
          <w:p>
            <w:pPr>
              <w:pStyle w:val="2"/>
              <w:ind w:firstLine="0" w:firstLineChars="0"/>
              <w:jc w:val="center"/>
              <w:rPr>
                <w:rFonts w:hint="eastAsia" w:ascii="宋体" w:hAnsi="宋体" w:eastAsia="宋体" w:cs="宋体"/>
                <w:b/>
                <w:color w:val="auto"/>
                <w:sz w:val="24"/>
                <w:szCs w:val="24"/>
                <w:highlight w:val="none"/>
              </w:rPr>
            </w:pPr>
          </w:p>
        </w:tc>
      </w:tr>
    </w:tbl>
    <w:p>
      <w:pPr>
        <w:pStyle w:val="2"/>
        <w:ind w:firstLine="480"/>
        <w:rPr>
          <w:rFonts w:hint="eastAsia" w:ascii="宋体" w:hAnsi="宋体" w:eastAsia="宋体" w:cs="宋体"/>
          <w:color w:val="auto"/>
          <w:sz w:val="24"/>
          <w:szCs w:val="24"/>
          <w:highlight w:val="none"/>
        </w:rPr>
      </w:pPr>
    </w:p>
    <w:p>
      <w:pPr>
        <w:pStyle w:val="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pPr>
        <w:pStyle w:val="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1、本表不填写不构成废标条款。</w:t>
      </w:r>
    </w:p>
    <w:p>
      <w:pPr>
        <w:pStyle w:val="2"/>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2、节能、环保产品认证证书附后。</w:t>
      </w:r>
    </w:p>
    <w:p>
      <w:pPr>
        <w:spacing w:line="400" w:lineRule="atLeast"/>
        <w:ind w:firstLine="360" w:firstLineChars="150"/>
        <w:rPr>
          <w:rFonts w:hint="eastAsia" w:ascii="宋体" w:hAnsi="宋体" w:eastAsia="宋体" w:cs="宋体"/>
          <w:color w:val="auto"/>
          <w:sz w:val="24"/>
          <w:szCs w:val="24"/>
          <w:highlight w:val="none"/>
        </w:rPr>
      </w:pPr>
    </w:p>
    <w:p>
      <w:pPr>
        <w:spacing w:line="400" w:lineRule="atLeast"/>
        <w:ind w:firstLine="360" w:firstLineChars="150"/>
        <w:rPr>
          <w:rFonts w:hint="eastAsia" w:ascii="宋体" w:hAnsi="宋体" w:eastAsia="宋体" w:cs="宋体"/>
          <w:color w:val="auto"/>
          <w:sz w:val="24"/>
          <w:szCs w:val="24"/>
          <w:highlight w:val="none"/>
        </w:rPr>
      </w:pPr>
    </w:p>
    <w:p>
      <w:pPr>
        <w:spacing w:before="60" w:after="60"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r>
        <w:rPr>
          <w:rFonts w:hint="eastAsia" w:ascii="宋体" w:hAnsi="宋体" w:eastAsia="宋体" w:cs="宋体"/>
          <w:color w:val="auto"/>
          <w:sz w:val="24"/>
          <w:szCs w:val="24"/>
          <w:highlight w:val="none"/>
          <w:u w:val="single"/>
        </w:rPr>
        <w:t xml:space="preserve">                                   </w:t>
      </w:r>
    </w:p>
    <w:p>
      <w:pPr>
        <w:spacing w:before="60" w:after="60"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法定代表人或委托代理人（签字或电子签名或电子签章）：</w:t>
      </w:r>
      <w:r>
        <w:rPr>
          <w:rFonts w:hint="eastAsia" w:ascii="宋体" w:hAnsi="宋体" w:eastAsia="宋体" w:cs="宋体"/>
          <w:color w:val="auto"/>
          <w:sz w:val="24"/>
          <w:szCs w:val="24"/>
          <w:highlight w:val="none"/>
          <w:u w:val="single"/>
        </w:rPr>
        <w:t xml:space="preserve">                      </w:t>
      </w:r>
    </w:p>
    <w:p>
      <w:pPr>
        <w:pStyle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jc w:val="center"/>
        <w:rPr>
          <w:rFonts w:hint="eastAsia" w:ascii="宋体" w:hAnsi="宋体" w:eastAsia="宋体" w:cs="宋体"/>
          <w:b/>
          <w:bCs/>
          <w:color w:val="auto"/>
          <w:sz w:val="24"/>
          <w:szCs w:val="24"/>
          <w:highlight w:val="none"/>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spacing w:line="360" w:lineRule="auto"/>
        <w:jc w:val="center"/>
        <w:rPr>
          <w:rFonts w:hint="eastAsia" w:ascii="宋体" w:hAnsi="宋体" w:eastAsia="宋体" w:cs="宋体"/>
          <w:b/>
          <w:color w:val="auto"/>
          <w:sz w:val="24"/>
          <w:szCs w:val="24"/>
          <w:highlight w:val="none"/>
          <w:lang w:val="en-US" w:eastAsia="zh-CN"/>
        </w:rPr>
      </w:pPr>
    </w:p>
    <w:p>
      <w:pPr>
        <w:jc w:val="both"/>
        <w:rPr>
          <w:rFonts w:hint="eastAsia" w:ascii="宋体" w:hAnsi="宋体" w:eastAsia="宋体" w:cs="宋体"/>
          <w:b/>
          <w:bCs/>
          <w:color w:val="auto"/>
          <w:sz w:val="24"/>
          <w:szCs w:val="24"/>
          <w:highlight w:val="none"/>
          <w:lang w:val="en-US" w:eastAsia="zh-CN"/>
        </w:rPr>
        <w:sectPr>
          <w:pgSz w:w="11906" w:h="16838"/>
          <w:pgMar w:top="1440" w:right="1134" w:bottom="1418" w:left="1134" w:header="851" w:footer="936" w:gutter="0"/>
          <w:pgNumType w:fmt="decimal"/>
          <w:cols w:space="720" w:num="1"/>
          <w:docGrid w:linePitch="312" w:charSpace="0"/>
        </w:sectPr>
      </w:pPr>
    </w:p>
    <w:p>
      <w:pPr>
        <w:pStyle w:val="47"/>
        <w:spacing w:after="156" w:afterLines="50"/>
        <w:ind w:firstLine="3614" w:firstLineChars="1000"/>
        <w:jc w:val="both"/>
        <w:rPr>
          <w:rFonts w:hint="eastAsia" w:ascii="宋体" w:hAnsi="宋体" w:eastAsia="宋体" w:cs="宋体"/>
          <w:b/>
          <w:color w:val="auto"/>
          <w:sz w:val="24"/>
          <w:szCs w:val="24"/>
          <w:highlight w:val="none"/>
        </w:rPr>
      </w:pPr>
      <w:r>
        <w:rPr>
          <w:rFonts w:hint="eastAsia" w:asciiTheme="minorEastAsia" w:hAnsiTheme="minorEastAsia" w:eastAsiaTheme="minorEastAsia" w:cstheme="minorEastAsia"/>
          <w:b/>
          <w:bCs/>
          <w:color w:val="auto"/>
          <w:sz w:val="36"/>
          <w:szCs w:val="36"/>
          <w:highlight w:val="none"/>
        </w:rPr>
        <w:t>第二部分</w:t>
      </w:r>
      <w:r>
        <w:rPr>
          <w:rFonts w:hint="eastAsia" w:asciiTheme="minorEastAsia" w:hAnsiTheme="minorEastAsia" w:eastAsiaTheme="minorEastAsia" w:cstheme="minorEastAsia"/>
          <w:b/>
          <w:bCs/>
          <w:color w:val="auto"/>
          <w:sz w:val="36"/>
          <w:szCs w:val="36"/>
          <w:highlight w:val="none"/>
          <w:lang w:val="en-US" w:eastAsia="zh-CN"/>
        </w:rPr>
        <w:t xml:space="preserve"> </w:t>
      </w:r>
      <w:r>
        <w:rPr>
          <w:rFonts w:hint="eastAsia" w:ascii="宋体" w:hAnsi="宋体" w:eastAsia="宋体" w:cs="宋体"/>
          <w:b/>
          <w:color w:val="auto"/>
          <w:sz w:val="36"/>
          <w:szCs w:val="36"/>
          <w:highlight w:val="none"/>
          <w:lang w:val="en-US" w:eastAsia="zh-CN"/>
        </w:rPr>
        <w:t>报价部分</w:t>
      </w:r>
    </w:p>
    <w:p>
      <w:pPr>
        <w:jc w:val="center"/>
        <w:rPr>
          <w:rFonts w:hint="eastAsia" w:ascii="宋体" w:hAnsi="宋体" w:eastAsia="宋体" w:cs="宋体"/>
          <w:b/>
          <w:color w:val="auto"/>
          <w:kern w:val="0"/>
          <w:sz w:val="30"/>
          <w:szCs w:val="30"/>
          <w:highlight w:val="none"/>
        </w:rPr>
      </w:pPr>
      <w:r>
        <w:rPr>
          <w:rFonts w:hint="eastAsia" w:ascii="宋体" w:hAnsi="宋体" w:cs="宋体"/>
          <w:b/>
          <w:color w:val="auto"/>
          <w:kern w:val="0"/>
          <w:sz w:val="30"/>
          <w:szCs w:val="30"/>
          <w:highlight w:val="none"/>
          <w:lang w:val="en-US" w:eastAsia="zh-CN"/>
        </w:rPr>
        <w:t>1.</w:t>
      </w:r>
      <w:r>
        <w:rPr>
          <w:rFonts w:hint="eastAsia" w:ascii="宋体" w:hAnsi="宋体" w:eastAsia="宋体" w:cs="宋体"/>
          <w:b/>
          <w:color w:val="auto"/>
          <w:kern w:val="0"/>
          <w:sz w:val="30"/>
          <w:szCs w:val="30"/>
          <w:highlight w:val="none"/>
          <w:lang w:val="zh-CN"/>
        </w:rPr>
        <w:t>初次报价一览表</w:t>
      </w:r>
    </w:p>
    <w:p>
      <w:pPr>
        <w:rPr>
          <w:rFonts w:hint="eastAsia" w:ascii="宋体" w:hAnsi="宋体" w:eastAsia="宋体" w:cs="宋体"/>
          <w:color w:val="auto"/>
          <w:sz w:val="24"/>
          <w:szCs w:val="24"/>
          <w:highlight w:val="none"/>
        </w:rPr>
      </w:pPr>
    </w:p>
    <w:tbl>
      <w:tblPr>
        <w:tblStyle w:val="41"/>
        <w:tblW w:w="8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2423"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33" w:type="dxa"/>
          </w:tcPr>
          <w:p>
            <w:pPr>
              <w:spacing w:line="360" w:lineRule="auto"/>
              <w:rPr>
                <w:rFonts w:hint="eastAsia" w:ascii="宋体" w:hAnsi="宋体" w:eastAsia="宋体" w:cs="宋体"/>
                <w:bCs/>
                <w:color w:val="auto"/>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jc w:val="center"/>
        </w:trPr>
        <w:tc>
          <w:tcPr>
            <w:tcW w:w="2423"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磋商</w:t>
            </w:r>
            <w:r>
              <w:rPr>
                <w:rFonts w:hint="eastAsia" w:ascii="宋体" w:hAnsi="宋体" w:eastAsia="宋体" w:cs="宋体"/>
                <w:color w:val="auto"/>
                <w:sz w:val="24"/>
                <w:szCs w:val="24"/>
                <w:highlight w:val="none"/>
              </w:rPr>
              <w:t>报价（元）</w:t>
            </w:r>
          </w:p>
        </w:tc>
        <w:tc>
          <w:tcPr>
            <w:tcW w:w="6433" w:type="dxa"/>
            <w:vAlign w:val="center"/>
          </w:tcPr>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小写：              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交货</w:t>
            </w:r>
            <w:r>
              <w:rPr>
                <w:rFonts w:hint="eastAsia" w:ascii="宋体" w:hAnsi="宋体" w:eastAsia="宋体" w:cs="宋体"/>
                <w:color w:val="auto"/>
                <w:sz w:val="24"/>
                <w:szCs w:val="24"/>
                <w:highlight w:val="none"/>
              </w:rPr>
              <w:t>地点</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质量</w:t>
            </w:r>
            <w:r>
              <w:rPr>
                <w:rFonts w:hint="eastAsia" w:ascii="宋体" w:hAnsi="宋体" w:cs="宋体"/>
                <w:color w:val="auto"/>
                <w:sz w:val="24"/>
                <w:szCs w:val="24"/>
                <w:highlight w:val="none"/>
                <w:lang w:val="en-US" w:eastAsia="zh-CN"/>
              </w:rPr>
              <w:t>标准</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2423" w:type="dxa"/>
            <w:vAlign w:val="center"/>
          </w:tcPr>
          <w:p>
            <w:pPr>
              <w:pStyle w:val="19"/>
              <w:tabs>
                <w:tab w:val="left" w:pos="720"/>
                <w:tab w:val="left" w:pos="8295"/>
              </w:tabs>
              <w:spacing w:before="120" w:after="120"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6433" w:type="dxa"/>
            <w:vAlign w:val="center"/>
          </w:tcPr>
          <w:p>
            <w:pPr>
              <w:spacing w:line="360" w:lineRule="auto"/>
              <w:rPr>
                <w:rFonts w:hint="eastAsia" w:ascii="宋体" w:hAnsi="宋体" w:eastAsia="宋体" w:cs="宋体"/>
                <w:bCs/>
                <w:color w:val="auto"/>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2423" w:type="dxa"/>
            <w:vAlign w:val="center"/>
          </w:tcPr>
          <w:p>
            <w:pPr>
              <w:pStyle w:val="19"/>
              <w:tabs>
                <w:tab w:val="left" w:pos="720"/>
                <w:tab w:val="left" w:pos="8295"/>
              </w:tabs>
              <w:spacing w:before="120" w:after="120"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433" w:type="dxa"/>
            <w:vAlign w:val="center"/>
          </w:tcPr>
          <w:p>
            <w:pPr>
              <w:spacing w:line="360" w:lineRule="auto"/>
              <w:rPr>
                <w:rFonts w:hint="eastAsia" w:ascii="宋体" w:hAnsi="宋体" w:eastAsia="宋体" w:cs="宋体"/>
                <w:bCs/>
                <w:color w:val="auto"/>
                <w:sz w:val="24"/>
                <w:szCs w:val="24"/>
                <w:highlight w:val="none"/>
                <w:u w:val="single"/>
              </w:rPr>
            </w:pPr>
          </w:p>
        </w:tc>
      </w:tr>
    </w:tbl>
    <w:p>
      <w:pPr>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注：1.投标报价为全包价（</w:t>
      </w:r>
      <w:r>
        <w:rPr>
          <w:rFonts w:hint="eastAsia" w:ascii="宋体" w:hAnsi="宋体" w:eastAsia="宋体" w:cs="宋体"/>
          <w:color w:val="auto"/>
          <w:sz w:val="24"/>
          <w:szCs w:val="24"/>
          <w:highlight w:val="none"/>
          <w:lang w:val="en-US" w:eastAsia="zh-CN"/>
        </w:rPr>
        <w:t>包括货物成本价格、运输、安装、辅材配件、培训、售后、税费、中标服务费等本项目所涉及的一切费用，以人民币为结算单位，采购人将不再另行支付其他费用。</w:t>
      </w:r>
    </w:p>
    <w:p>
      <w:pPr>
        <w:pStyle w:val="86"/>
        <w:spacing w:line="360" w:lineRule="auto"/>
        <w:ind w:left="0" w:right="0"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投标报价超过预算价（或最高限价）作无效标书处理。</w:t>
      </w:r>
    </w:p>
    <w:p>
      <w:pPr>
        <w:pStyle w:val="86"/>
        <w:spacing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小数点后保留2位，第三位四舍五入。</w:t>
      </w:r>
    </w:p>
    <w:p>
      <w:pPr>
        <w:spacing w:line="440" w:lineRule="exact"/>
        <w:ind w:firstLine="480" w:firstLineChars="200"/>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（加盖电子公章）</w:t>
      </w:r>
    </w:p>
    <w:p>
      <w:pPr>
        <w:adjustRightInd w:val="0"/>
        <w:snapToGrid w:val="0"/>
        <w:spacing w:line="360" w:lineRule="auto"/>
        <w:ind w:firstLine="3120" w:firstLineChars="1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aps/>
          <w:color w:val="auto"/>
          <w:sz w:val="24"/>
          <w:szCs w:val="24"/>
          <w:highlight w:val="none"/>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snapToGrid w:val="0"/>
        <w:spacing w:line="480" w:lineRule="auto"/>
        <w:ind w:firstLine="6000" w:firstLineChars="2500"/>
        <w:jc w:val="left"/>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rPr>
          <w:rFonts w:hint="eastAsia" w:ascii="宋体" w:hAnsi="宋体" w:eastAsia="宋体" w:cs="宋体"/>
          <w:color w:val="auto"/>
          <w:sz w:val="24"/>
          <w:szCs w:val="24"/>
          <w:highlight w:val="none"/>
        </w:rPr>
      </w:pPr>
    </w:p>
    <w:p>
      <w:pPr>
        <w:numPr>
          <w:ilvl w:val="0"/>
          <w:numId w:val="0"/>
        </w:numPr>
        <w:spacing w:line="360" w:lineRule="auto"/>
        <w:jc w:val="both"/>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附件一</w:t>
      </w:r>
    </w:p>
    <w:p>
      <w:pPr>
        <w:numPr>
          <w:ilvl w:val="0"/>
          <w:numId w:val="0"/>
        </w:numPr>
        <w:spacing w:line="360" w:lineRule="auto"/>
        <w:ind w:firstLine="1687" w:firstLineChars="600"/>
        <w:jc w:val="both"/>
        <w:rPr>
          <w:rFonts w:hint="eastAsia" w:ascii="宋体" w:hAnsi="宋体" w:eastAsia="宋体" w:cs="宋体"/>
          <w:b/>
          <w:color w:val="auto"/>
          <w:sz w:val="28"/>
          <w:szCs w:val="28"/>
          <w:highlight w:val="none"/>
          <w:lang w:val="en-US" w:eastAsia="zh-Hans"/>
        </w:rPr>
      </w:pPr>
      <w:r>
        <w:rPr>
          <w:rFonts w:hint="eastAsia" w:ascii="宋体" w:hAnsi="宋体" w:eastAsia="宋体" w:cs="宋体"/>
          <w:b/>
          <w:color w:val="auto"/>
          <w:sz w:val="28"/>
          <w:szCs w:val="28"/>
          <w:highlight w:val="none"/>
          <w:lang w:val="en-US" w:eastAsia="zh-Hans"/>
        </w:rPr>
        <w:t>关于符合本国产品标准的声明函等有关证明文件（如适用）</w:t>
      </w:r>
    </w:p>
    <w:p>
      <w:pPr>
        <w:numPr>
          <w:ilvl w:val="0"/>
          <w:numId w:val="0"/>
        </w:numPr>
        <w:spacing w:line="360" w:lineRule="auto"/>
        <w:jc w:val="both"/>
        <w:rPr>
          <w:rFonts w:hint="eastAsia" w:ascii="宋体" w:hAnsi="宋体" w:eastAsia="宋体" w:cs="宋体"/>
          <w:b/>
          <w:color w:val="auto"/>
          <w:sz w:val="24"/>
          <w:szCs w:val="24"/>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b/>
          <w:color w:val="auto"/>
          <w:sz w:val="24"/>
          <w:szCs w:val="24"/>
          <w:highlight w:val="none"/>
          <w:lang w:val="en-US" w:eastAsia="zh-Hans"/>
        </w:rPr>
        <w:t>注：</w:t>
      </w:r>
      <w:r>
        <w:rPr>
          <w:rFonts w:hint="eastAsia" w:ascii="宋体" w:hAnsi="宋体" w:eastAsia="宋体" w:cs="宋体"/>
          <w:color w:val="auto"/>
          <w:sz w:val="24"/>
          <w:szCs w:val="24"/>
          <w:highlight w:val="none"/>
          <w:lang w:val="en-US" w:eastAsia="zh-Hans"/>
        </w:rPr>
        <w:t>1. 供应商提供本国产品应符合《国务院办公厅关于在政府采购中实施本国产品标准及相关政策的通知》（国办发〔2025〕34号），在投标文件中出具《关于符合本国产品标准的声明函》或财政部会同有关部门规定的有关证明文件；</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2. 供应商提供虚假《声明函》、虚假证明文件谋取中标、成交的，依照政府采购法律法规规定追究相应责任。</w:t>
      </w: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rPr>
          <w:rFonts w:hint="eastAsia" w:ascii="宋体" w:hAnsi="宋体" w:eastAsia="宋体" w:cs="宋体"/>
          <w:b/>
          <w:color w:val="auto"/>
          <w:sz w:val="24"/>
          <w:szCs w:val="24"/>
          <w:highlight w:val="none"/>
          <w:lang w:val="en-US" w:eastAsia="zh-Hans"/>
        </w:rPr>
      </w:pPr>
    </w:p>
    <w:p>
      <w:pPr>
        <w:spacing w:line="360" w:lineRule="auto"/>
        <w:jc w:val="center"/>
        <w:rPr>
          <w:rFonts w:hint="eastAsia" w:ascii="宋体" w:hAnsi="宋体" w:eastAsia="宋体" w:cs="宋体"/>
          <w:color w:val="auto"/>
          <w:sz w:val="28"/>
          <w:szCs w:val="28"/>
          <w:highlight w:val="none"/>
          <w:lang w:val="en-US" w:eastAsia="zh-Hans"/>
        </w:rPr>
      </w:pPr>
      <w:r>
        <w:rPr>
          <w:rFonts w:hint="eastAsia" w:ascii="宋体" w:hAnsi="宋体" w:eastAsia="宋体" w:cs="宋体"/>
          <w:b/>
          <w:color w:val="auto"/>
          <w:sz w:val="28"/>
          <w:szCs w:val="28"/>
          <w:highlight w:val="none"/>
          <w:lang w:val="en-US" w:eastAsia="zh-Hans"/>
        </w:rPr>
        <w:t>关于符合本国产品标准的声明函</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本公司（单位）郑重声明，根据《国务院办公厅关于在政府采购中实施本国产品标准及相关政策的通知》（国办发〔2025〕34号）的规定，本公司（单位）提供的以下产品属于本国产品。具体情况如下：</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 1. </w:t>
      </w:r>
      <w:r>
        <w:rPr>
          <w:rFonts w:hint="eastAsia" w:ascii="宋体" w:hAnsi="宋体" w:eastAsia="宋体" w:cs="宋体"/>
          <w:color w:val="auto"/>
          <w:sz w:val="24"/>
          <w:szCs w:val="24"/>
          <w:highlight w:val="none"/>
          <w:u w:val="single"/>
          <w:lang w:val="en-US" w:eastAsia="zh-Hans"/>
        </w:rPr>
        <w:t>（产品名称1）</w:t>
      </w:r>
      <w:r>
        <w:rPr>
          <w:rFonts w:hint="eastAsia" w:ascii="宋体" w:hAnsi="宋体" w:eastAsia="宋体" w:cs="宋体"/>
          <w:color w:val="auto"/>
          <w:sz w:val="24"/>
          <w:szCs w:val="24"/>
          <w:highlight w:val="none"/>
          <w:lang w:val="en-US" w:eastAsia="zh-Hans"/>
        </w:rPr>
        <w:t>，生产厂为</w:t>
      </w:r>
      <w:r>
        <w:rPr>
          <w:rFonts w:hint="eastAsia" w:ascii="宋体" w:hAnsi="宋体" w:eastAsia="宋体" w:cs="宋体"/>
          <w:color w:val="auto"/>
          <w:sz w:val="24"/>
          <w:szCs w:val="24"/>
          <w:highlight w:val="none"/>
          <w:u w:val="single"/>
          <w:lang w:val="en-US" w:eastAsia="zh-Hans"/>
        </w:rPr>
        <w:t>（厂名）</w:t>
      </w:r>
      <w:r>
        <w:rPr>
          <w:rFonts w:hint="eastAsia" w:ascii="宋体" w:hAnsi="宋体" w:eastAsia="宋体" w:cs="宋体"/>
          <w:color w:val="auto"/>
          <w:sz w:val="24"/>
          <w:szCs w:val="24"/>
          <w:highlight w:val="none"/>
          <w:lang w:val="en-US" w:eastAsia="zh-Hans"/>
        </w:rPr>
        <w:t>，厂址为</w:t>
      </w:r>
      <w:r>
        <w:rPr>
          <w:rFonts w:hint="eastAsia" w:ascii="宋体" w:hAnsi="宋体" w:eastAsia="宋体" w:cs="宋体"/>
          <w:color w:val="auto"/>
          <w:sz w:val="24"/>
          <w:szCs w:val="24"/>
          <w:highlight w:val="none"/>
          <w:u w:val="single"/>
          <w:lang w:val="en-US" w:eastAsia="zh-Hans"/>
        </w:rPr>
        <w:t>（生产厂址）</w:t>
      </w:r>
      <w:r>
        <w:rPr>
          <w:rFonts w:hint="eastAsia" w:ascii="宋体" w:hAnsi="宋体" w:eastAsia="宋体" w:cs="宋体"/>
          <w:color w:val="auto"/>
          <w:sz w:val="24"/>
          <w:szCs w:val="24"/>
          <w:highlight w:val="none"/>
          <w:lang w:val="en-US" w:eastAsia="zh-Hans"/>
        </w:rPr>
        <w:t xml:space="preserve">。 </w:t>
      </w:r>
      <w:r>
        <w:rPr>
          <w:rFonts w:hint="eastAsia" w:ascii="宋体" w:hAnsi="宋体" w:eastAsia="宋体" w:cs="宋体"/>
          <w:color w:val="auto"/>
          <w:sz w:val="24"/>
          <w:szCs w:val="24"/>
          <w:highlight w:val="none"/>
          <w:u w:val="single"/>
          <w:lang w:val="en-US" w:eastAsia="zh-Hans"/>
        </w:rPr>
        <w:t>（产品名称1）</w:t>
      </w:r>
      <w:r>
        <w:rPr>
          <w:rFonts w:hint="eastAsia" w:ascii="宋体" w:hAnsi="宋体" w:eastAsia="宋体" w:cs="宋体"/>
          <w:color w:val="auto"/>
          <w:sz w:val="24"/>
          <w:szCs w:val="24"/>
          <w:highlight w:val="none"/>
          <w:lang w:val="en-US" w:eastAsia="zh-Hans"/>
        </w:rPr>
        <w:t>的中国境内生产的组件成本占比≥</w:t>
      </w:r>
      <w:r>
        <w:rPr>
          <w:rFonts w:hint="eastAsia" w:ascii="宋体" w:hAnsi="宋体" w:eastAsia="宋体" w:cs="宋体"/>
          <w:color w:val="auto"/>
          <w:sz w:val="24"/>
          <w:szCs w:val="24"/>
          <w:highlight w:val="none"/>
          <w:u w:val="single"/>
          <w:lang w:val="en-US" w:eastAsia="zh-Hans"/>
        </w:rPr>
        <w:t>（规定比例）</w:t>
      </w:r>
      <w:r>
        <w:rPr>
          <w:rFonts w:hint="eastAsia" w:ascii="宋体" w:hAnsi="宋体" w:eastAsia="宋体" w:cs="宋体"/>
          <w:color w:val="auto"/>
          <w:sz w:val="24"/>
          <w:szCs w:val="24"/>
          <w:highlight w:val="none"/>
          <w:lang w:val="en-US" w:eastAsia="zh-Hans"/>
        </w:rPr>
        <w:t xml:space="preserve">。 </w:t>
      </w:r>
      <w:r>
        <w:rPr>
          <w:rFonts w:hint="eastAsia" w:ascii="宋体" w:hAnsi="宋体" w:eastAsia="宋体" w:cs="宋体"/>
          <w:color w:val="auto"/>
          <w:sz w:val="24"/>
          <w:szCs w:val="24"/>
          <w:highlight w:val="none"/>
          <w:u w:val="single"/>
          <w:lang w:val="en-US" w:eastAsia="zh-Hans"/>
        </w:rPr>
        <w:t>（产品名称1）</w:t>
      </w:r>
      <w:r>
        <w:rPr>
          <w:rFonts w:hint="eastAsia" w:ascii="宋体" w:hAnsi="宋体" w:eastAsia="宋体" w:cs="宋体"/>
          <w:color w:val="auto"/>
          <w:sz w:val="24"/>
          <w:szCs w:val="24"/>
          <w:highlight w:val="none"/>
          <w:lang w:val="en-US" w:eastAsia="zh-Hans"/>
        </w:rPr>
        <w:t>的</w:t>
      </w:r>
      <w:r>
        <w:rPr>
          <w:rFonts w:hint="eastAsia" w:ascii="宋体" w:hAnsi="宋体" w:eastAsia="宋体" w:cs="宋体"/>
          <w:color w:val="auto"/>
          <w:sz w:val="24"/>
          <w:szCs w:val="24"/>
          <w:highlight w:val="none"/>
          <w:u w:val="single"/>
          <w:lang w:val="en-US" w:eastAsia="zh-Hans"/>
        </w:rPr>
        <w:t>（关键组件）</w:t>
      </w:r>
      <w:r>
        <w:rPr>
          <w:rFonts w:hint="eastAsia" w:ascii="宋体" w:hAnsi="宋体" w:eastAsia="宋体" w:cs="宋体"/>
          <w:color w:val="auto"/>
          <w:sz w:val="24"/>
          <w:szCs w:val="24"/>
          <w:highlight w:val="none"/>
          <w:lang w:val="en-US" w:eastAsia="zh-Hans"/>
        </w:rPr>
        <w:t xml:space="preserve">在中国境内生产。 </w:t>
      </w:r>
      <w:r>
        <w:rPr>
          <w:rFonts w:hint="eastAsia" w:ascii="宋体" w:hAnsi="宋体" w:eastAsia="宋体" w:cs="宋体"/>
          <w:color w:val="auto"/>
          <w:sz w:val="24"/>
          <w:szCs w:val="24"/>
          <w:highlight w:val="none"/>
          <w:u w:val="single"/>
          <w:lang w:val="en-US" w:eastAsia="zh-Hans"/>
        </w:rPr>
        <w:t>（产品名称1）</w:t>
      </w:r>
      <w:r>
        <w:rPr>
          <w:rFonts w:hint="eastAsia" w:ascii="宋体" w:hAnsi="宋体" w:eastAsia="宋体" w:cs="宋体"/>
          <w:color w:val="auto"/>
          <w:sz w:val="24"/>
          <w:szCs w:val="24"/>
          <w:highlight w:val="none"/>
          <w:lang w:val="en-US" w:eastAsia="zh-Hans"/>
        </w:rPr>
        <w:t>的</w:t>
      </w:r>
      <w:r>
        <w:rPr>
          <w:rFonts w:hint="eastAsia" w:ascii="宋体" w:hAnsi="宋体" w:eastAsia="宋体" w:cs="宋体"/>
          <w:color w:val="auto"/>
          <w:sz w:val="24"/>
          <w:szCs w:val="24"/>
          <w:highlight w:val="none"/>
          <w:u w:val="single"/>
          <w:lang w:val="en-US" w:eastAsia="zh-Hans"/>
        </w:rPr>
        <w:t>（关键工序）</w:t>
      </w:r>
      <w:r>
        <w:rPr>
          <w:rFonts w:hint="eastAsia" w:ascii="宋体" w:hAnsi="宋体" w:eastAsia="宋体" w:cs="宋体"/>
          <w:color w:val="auto"/>
          <w:sz w:val="24"/>
          <w:szCs w:val="24"/>
          <w:highlight w:val="none"/>
          <w:lang w:val="en-US" w:eastAsia="zh-Hans"/>
        </w:rPr>
        <w:t>在中国境内完成。</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 xml:space="preserve"> 2. </w:t>
      </w:r>
      <w:r>
        <w:rPr>
          <w:rFonts w:hint="eastAsia" w:ascii="宋体" w:hAnsi="宋体" w:eastAsia="宋体" w:cs="宋体"/>
          <w:color w:val="auto"/>
          <w:sz w:val="24"/>
          <w:szCs w:val="24"/>
          <w:highlight w:val="none"/>
          <w:u w:val="single"/>
          <w:lang w:val="en-US" w:eastAsia="zh-Hans"/>
        </w:rPr>
        <w:t>（产品名称2）</w:t>
      </w:r>
      <w:r>
        <w:rPr>
          <w:rFonts w:hint="eastAsia" w:ascii="宋体" w:hAnsi="宋体" w:eastAsia="宋体" w:cs="宋体"/>
          <w:color w:val="auto"/>
          <w:sz w:val="24"/>
          <w:szCs w:val="24"/>
          <w:highlight w:val="none"/>
          <w:lang w:val="en-US" w:eastAsia="zh-Hans"/>
        </w:rPr>
        <w:t>，生产厂为</w:t>
      </w:r>
      <w:r>
        <w:rPr>
          <w:rFonts w:hint="eastAsia" w:ascii="宋体" w:hAnsi="宋体" w:eastAsia="宋体" w:cs="宋体"/>
          <w:color w:val="auto"/>
          <w:sz w:val="24"/>
          <w:szCs w:val="24"/>
          <w:highlight w:val="none"/>
          <w:u w:val="single"/>
          <w:lang w:val="en-US" w:eastAsia="zh-Hans"/>
        </w:rPr>
        <w:t>（厂名）</w:t>
      </w:r>
      <w:r>
        <w:rPr>
          <w:rFonts w:hint="eastAsia" w:ascii="宋体" w:hAnsi="宋体" w:eastAsia="宋体" w:cs="宋体"/>
          <w:color w:val="auto"/>
          <w:sz w:val="24"/>
          <w:szCs w:val="24"/>
          <w:highlight w:val="none"/>
          <w:lang w:val="en-US" w:eastAsia="zh-Hans"/>
        </w:rPr>
        <w:t>，厂址为</w:t>
      </w:r>
      <w:r>
        <w:rPr>
          <w:rFonts w:hint="eastAsia" w:ascii="宋体" w:hAnsi="宋体" w:eastAsia="宋体" w:cs="宋体"/>
          <w:color w:val="auto"/>
          <w:sz w:val="24"/>
          <w:szCs w:val="24"/>
          <w:highlight w:val="none"/>
          <w:u w:val="single"/>
          <w:lang w:val="en-US" w:eastAsia="zh-Hans"/>
        </w:rPr>
        <w:t>（生产厂址）</w:t>
      </w:r>
      <w:r>
        <w:rPr>
          <w:rFonts w:hint="eastAsia" w:ascii="宋体" w:hAnsi="宋体" w:eastAsia="宋体" w:cs="宋体"/>
          <w:color w:val="auto"/>
          <w:sz w:val="24"/>
          <w:szCs w:val="24"/>
          <w:highlight w:val="none"/>
          <w:lang w:val="en-US" w:eastAsia="zh-Hans"/>
        </w:rPr>
        <w:t xml:space="preserve">。 </w:t>
      </w:r>
      <w:r>
        <w:rPr>
          <w:rFonts w:hint="eastAsia" w:ascii="宋体" w:hAnsi="宋体" w:eastAsia="宋体" w:cs="宋体"/>
          <w:color w:val="auto"/>
          <w:sz w:val="24"/>
          <w:szCs w:val="24"/>
          <w:highlight w:val="none"/>
          <w:u w:val="single"/>
          <w:lang w:val="en-US" w:eastAsia="zh-Hans"/>
        </w:rPr>
        <w:t>（产品名称2）</w:t>
      </w:r>
      <w:r>
        <w:rPr>
          <w:rFonts w:hint="eastAsia" w:ascii="宋体" w:hAnsi="宋体" w:eastAsia="宋体" w:cs="宋体"/>
          <w:color w:val="auto"/>
          <w:sz w:val="24"/>
          <w:szCs w:val="24"/>
          <w:highlight w:val="none"/>
          <w:lang w:val="en-US" w:eastAsia="zh-Hans"/>
        </w:rPr>
        <w:t>的中国境内生产的组件成本占比≥</w:t>
      </w:r>
      <w:r>
        <w:rPr>
          <w:rFonts w:hint="eastAsia" w:ascii="宋体" w:hAnsi="宋体" w:eastAsia="宋体" w:cs="宋体"/>
          <w:color w:val="auto"/>
          <w:sz w:val="24"/>
          <w:szCs w:val="24"/>
          <w:highlight w:val="none"/>
          <w:u w:val="single"/>
          <w:lang w:val="en-US" w:eastAsia="zh-Hans"/>
        </w:rPr>
        <w:t>（规定比例）</w:t>
      </w:r>
      <w:r>
        <w:rPr>
          <w:rFonts w:hint="eastAsia" w:ascii="宋体" w:hAnsi="宋体" w:eastAsia="宋体" w:cs="宋体"/>
          <w:color w:val="auto"/>
          <w:sz w:val="24"/>
          <w:szCs w:val="24"/>
          <w:highlight w:val="none"/>
          <w:lang w:val="en-US" w:eastAsia="zh-Hans"/>
        </w:rPr>
        <w:t xml:space="preserve">。 </w:t>
      </w:r>
      <w:r>
        <w:rPr>
          <w:rFonts w:hint="eastAsia" w:ascii="宋体" w:hAnsi="宋体" w:eastAsia="宋体" w:cs="宋体"/>
          <w:color w:val="auto"/>
          <w:sz w:val="24"/>
          <w:szCs w:val="24"/>
          <w:highlight w:val="none"/>
          <w:u w:val="single"/>
          <w:lang w:val="en-US" w:eastAsia="zh-Hans"/>
        </w:rPr>
        <w:t>（产品名称2）</w:t>
      </w:r>
      <w:r>
        <w:rPr>
          <w:rFonts w:hint="eastAsia" w:ascii="宋体" w:hAnsi="宋体" w:eastAsia="宋体" w:cs="宋体"/>
          <w:color w:val="auto"/>
          <w:sz w:val="24"/>
          <w:szCs w:val="24"/>
          <w:highlight w:val="none"/>
          <w:lang w:val="en-US" w:eastAsia="zh-Hans"/>
        </w:rPr>
        <w:t>的</w:t>
      </w:r>
      <w:r>
        <w:rPr>
          <w:rFonts w:hint="eastAsia" w:ascii="宋体" w:hAnsi="宋体" w:eastAsia="宋体" w:cs="宋体"/>
          <w:color w:val="auto"/>
          <w:sz w:val="24"/>
          <w:szCs w:val="24"/>
          <w:highlight w:val="none"/>
          <w:u w:val="single"/>
          <w:lang w:val="en-US" w:eastAsia="zh-Hans"/>
        </w:rPr>
        <w:t>（关键组件）</w:t>
      </w:r>
      <w:r>
        <w:rPr>
          <w:rFonts w:hint="eastAsia" w:ascii="宋体" w:hAnsi="宋体" w:eastAsia="宋体" w:cs="宋体"/>
          <w:color w:val="auto"/>
          <w:sz w:val="24"/>
          <w:szCs w:val="24"/>
          <w:highlight w:val="none"/>
          <w:lang w:val="en-US" w:eastAsia="zh-Hans"/>
        </w:rPr>
        <w:t xml:space="preserve">在中国境内生产。 </w:t>
      </w:r>
      <w:r>
        <w:rPr>
          <w:rFonts w:hint="eastAsia" w:ascii="宋体" w:hAnsi="宋体" w:eastAsia="宋体" w:cs="宋体"/>
          <w:color w:val="auto"/>
          <w:sz w:val="24"/>
          <w:szCs w:val="24"/>
          <w:highlight w:val="none"/>
          <w:u w:val="single"/>
          <w:lang w:val="en-US" w:eastAsia="zh-Hans"/>
        </w:rPr>
        <w:t>（产品名称2）</w:t>
      </w:r>
      <w:r>
        <w:rPr>
          <w:rFonts w:hint="eastAsia" w:ascii="宋体" w:hAnsi="宋体" w:eastAsia="宋体" w:cs="宋体"/>
          <w:color w:val="auto"/>
          <w:sz w:val="24"/>
          <w:szCs w:val="24"/>
          <w:highlight w:val="none"/>
          <w:lang w:val="en-US" w:eastAsia="zh-Hans"/>
        </w:rPr>
        <w:t>的</w:t>
      </w:r>
      <w:r>
        <w:rPr>
          <w:rFonts w:hint="eastAsia" w:ascii="宋体" w:hAnsi="宋体" w:eastAsia="宋体" w:cs="宋体"/>
          <w:color w:val="auto"/>
          <w:sz w:val="24"/>
          <w:szCs w:val="24"/>
          <w:highlight w:val="none"/>
          <w:u w:val="single"/>
          <w:lang w:val="en-US" w:eastAsia="zh-Hans"/>
        </w:rPr>
        <w:t>（关键工序）</w:t>
      </w:r>
      <w:r>
        <w:rPr>
          <w:rFonts w:hint="eastAsia" w:ascii="宋体" w:hAnsi="宋体" w:eastAsia="宋体" w:cs="宋体"/>
          <w:color w:val="auto"/>
          <w:sz w:val="24"/>
          <w:szCs w:val="24"/>
          <w:highlight w:val="none"/>
          <w:lang w:val="en-US" w:eastAsia="zh-Hans"/>
        </w:rPr>
        <w:t>在中国境内完成。</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3. ……</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本公司（单位）对上述声明内容的真实性负责。如有虚假，愿承担相应法律责任。</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b/>
          <w:color w:val="auto"/>
          <w:sz w:val="24"/>
          <w:szCs w:val="24"/>
          <w:highlight w:val="none"/>
          <w:lang w:val="en-US" w:eastAsia="zh-Hans"/>
        </w:rPr>
        <w:t>公司（单位）名称（</w:t>
      </w:r>
      <w:r>
        <w:rPr>
          <w:rFonts w:hint="eastAsia" w:ascii="宋体" w:hAnsi="宋体" w:eastAsia="宋体" w:cs="宋体"/>
          <w:b/>
          <w:color w:val="auto"/>
          <w:sz w:val="24"/>
          <w:szCs w:val="24"/>
          <w:highlight w:val="none"/>
          <w:lang w:val="en-US" w:eastAsia="zh-CN"/>
        </w:rPr>
        <w:t>电子公章</w:t>
      </w:r>
      <w:r>
        <w:rPr>
          <w:rFonts w:hint="eastAsia" w:ascii="宋体" w:hAnsi="宋体" w:eastAsia="宋体" w:cs="宋体"/>
          <w:b/>
          <w:color w:val="auto"/>
          <w:sz w:val="24"/>
          <w:szCs w:val="24"/>
          <w:highlight w:val="none"/>
          <w:lang w:val="en-US" w:eastAsia="zh-Hans"/>
        </w:rPr>
        <w:t>）：</w:t>
      </w:r>
      <w:r>
        <w:rPr>
          <w:rFonts w:hint="eastAsia" w:ascii="宋体" w:hAnsi="宋体" w:eastAsia="宋体" w:cs="宋体"/>
          <w:color w:val="auto"/>
          <w:sz w:val="24"/>
          <w:szCs w:val="24"/>
          <w:highlight w:val="none"/>
          <w:lang w:val="en-US" w:eastAsia="zh-Hans"/>
        </w:rPr>
        <w:t xml:space="preserve"> __________________</w:t>
      </w:r>
    </w:p>
    <w:p>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b/>
          <w:color w:val="auto"/>
          <w:sz w:val="24"/>
          <w:szCs w:val="24"/>
          <w:highlight w:val="none"/>
          <w:lang w:val="en-US" w:eastAsia="zh-Hans"/>
        </w:rPr>
        <w:t>日期：</w:t>
      </w:r>
      <w:r>
        <w:rPr>
          <w:rFonts w:hint="eastAsia" w:ascii="宋体" w:hAnsi="宋体" w:eastAsia="宋体" w:cs="宋体"/>
          <w:color w:val="auto"/>
          <w:sz w:val="24"/>
          <w:szCs w:val="24"/>
          <w:highlight w:val="none"/>
          <w:lang w:val="en-US" w:eastAsia="zh-Hans"/>
        </w:rPr>
        <w:t xml:space="preserve"> ______ 年 ______ 月 ______ 日</w:t>
      </w:r>
    </w:p>
    <w:p>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b/>
          <w:color w:val="auto"/>
          <w:sz w:val="24"/>
          <w:szCs w:val="24"/>
          <w:highlight w:val="none"/>
          <w:lang w:val="en-US" w:eastAsia="zh-Hans"/>
        </w:rPr>
        <w:t>注：</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1. 产品如有型号，请在“产品名称”栏一并填写。</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2. 生产厂名与厂址应与生产厂营业执照载明的相关信息保持一致。</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3. 该产品的中国境内生产的组件成本占比相关要求实施前，"规定比例"栏可不填，下同。</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4. 该产品的关键组件要求实施前，"关键组件"栏可不填，下同。</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5. 该产品的关键工序要求实施前，"关键工序"栏可不填，下同。</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6.当采购项目或者采购包中含有多种产品，应当逐项填写。</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7.服务采购项目中涉及的货物，也应按本函格式，逐项填写。</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8.招标代理机构将随中标、成交结果同时公告中标、成交供应商提供的《声明函》或有关证明文件，请各投标人如实进行声明。</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9.供应商提供虚假《声明函》、虚假证明文件谋取中标、成交的，依照《中华人民共和国政府采购法》等法律法规规定追究相应责任。</w:t>
      </w:r>
    </w:p>
    <w:p>
      <w:pPr>
        <w:keepNext w:val="0"/>
        <w:keepLines w:val="0"/>
        <w:pageBreakBefore w:val="0"/>
        <w:widowControl w:val="0"/>
        <w:kinsoku/>
        <w:wordWrap/>
        <w:overflowPunct/>
        <w:topLinePunct w:val="0"/>
        <w:autoSpaceDE/>
        <w:autoSpaceDN/>
        <w:bidi w:val="0"/>
        <w:adjustRightInd/>
        <w:snapToGrid/>
        <w:spacing w:line="360" w:lineRule="auto"/>
        <w:ind w:firstLine="960"/>
        <w:textAlignment w:val="auto"/>
        <w:rPr>
          <w:rFonts w:hint="eastAsia" w:ascii="宋体" w:hAnsi="宋体" w:eastAsia="宋体" w:cs="宋体"/>
          <w:b/>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10.若供应商认为提供的货物不符合本国产品标准，可以不填写声明函，不享受价格评审优惠政策。</w:t>
      </w:r>
    </w:p>
    <w:p>
      <w:pP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Hans"/>
        </w:rPr>
        <w:t>附件</w:t>
      </w:r>
      <w:r>
        <w:rPr>
          <w:rFonts w:hint="eastAsia" w:ascii="宋体" w:hAnsi="宋体" w:eastAsia="宋体" w:cs="宋体"/>
          <w:b/>
          <w:color w:val="auto"/>
          <w:sz w:val="24"/>
          <w:szCs w:val="24"/>
          <w:highlight w:val="none"/>
          <w:lang w:val="en-US" w:eastAsia="zh-CN"/>
        </w:rPr>
        <w:t>二</w:t>
      </w:r>
    </w:p>
    <w:p>
      <w:pPr>
        <w:pStyle w:val="4"/>
        <w:numPr>
          <w:ilvl w:val="0"/>
          <w:numId w:val="0"/>
        </w:numPr>
        <w:ind w:left="425"/>
        <w:jc w:val="center"/>
        <w:rPr>
          <w:rFonts w:hint="eastAsia" w:ascii="宋体" w:hAnsi="宋体" w:eastAsia="宋体" w:cs="宋体"/>
          <w:b/>
          <w:bCs w:val="0"/>
          <w:color w:val="auto"/>
          <w:sz w:val="28"/>
          <w:szCs w:val="28"/>
          <w:highlight w:val="none"/>
        </w:rPr>
      </w:pPr>
      <w:bookmarkStart w:id="389" w:name="_Toc219899150"/>
      <w:r>
        <w:rPr>
          <w:rFonts w:hint="eastAsia" w:ascii="宋体" w:hAnsi="宋体" w:eastAsia="宋体" w:cs="宋体"/>
          <w:b/>
          <w:bCs w:val="0"/>
          <w:color w:val="auto"/>
          <w:sz w:val="28"/>
          <w:szCs w:val="28"/>
          <w:highlight w:val="none"/>
          <w:lang w:val="en-US" w:eastAsia="zh-CN"/>
        </w:rPr>
        <w:t>1.</w:t>
      </w:r>
      <w:r>
        <w:rPr>
          <w:rFonts w:hint="eastAsia" w:ascii="宋体" w:hAnsi="宋体" w:eastAsia="宋体" w:cs="宋体"/>
          <w:b/>
          <w:bCs w:val="0"/>
          <w:color w:val="auto"/>
          <w:sz w:val="28"/>
          <w:szCs w:val="28"/>
          <w:highlight w:val="none"/>
        </w:rPr>
        <w:t>本国产品支持政策价格评审优惠声明函</w:t>
      </w:r>
      <w:bookmarkEnd w:id="389"/>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b/>
          <w:bCs/>
          <w:color w:val="auto"/>
          <w:sz w:val="24"/>
          <w:szCs w:val="24"/>
          <w:highlight w:val="none"/>
          <w:u w:val="double"/>
          <w:shd w:val="clear" w:color="auto" w:fill="FFFFFF"/>
        </w:rPr>
      </w:pPr>
      <w:r>
        <w:rPr>
          <w:rFonts w:hint="eastAsia" w:ascii="宋体" w:hAnsi="宋体" w:eastAsia="宋体" w:cs="宋体"/>
          <w:b/>
          <w:bCs/>
          <w:color w:val="auto"/>
          <w:sz w:val="24"/>
          <w:szCs w:val="24"/>
          <w:highlight w:val="none"/>
          <w:u w:val="double"/>
          <w:shd w:val="clear" w:color="auto" w:fill="FFFFFF"/>
        </w:rPr>
        <w:t>（本声明函适用于当采购项目或者采购包中含有多种产品或服务采购项目中包含货物时填写；单一产品采购或服务采购项目中不包含货物或符合本国产品标准的产品成本之和占全部产品成本之和的比例未达到80%的，不用填写。全部产品是指：货物或服务采购项目或采购包中包含的全部货物、服务产品。）</w:t>
      </w: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本公司（单位）郑重声明：符合本国产品标准的产品成本之和占该我公司提供的全部产品成本之和的比例及本国产品的报价具体内容如下：</w:t>
      </w: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p>
    <w:tbl>
      <w:tblPr>
        <w:tblStyle w:val="41"/>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52"/>
        <w:gridCol w:w="6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5" w:hRule="atLeast"/>
        </w:trPr>
        <w:tc>
          <w:tcPr>
            <w:tcW w:w="2952" w:type="dxa"/>
            <w:vAlign w:val="center"/>
          </w:tcPr>
          <w:p>
            <w:pPr>
              <w:pStyle w:val="29"/>
              <w:shd w:val="clear" w:color="auto" w:fill="FFFFFF"/>
              <w:spacing w:before="20" w:beforeAutospacing="0" w:after="20" w:afterAutospacing="0"/>
              <w:jc w:val="center"/>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项目名称</w:t>
            </w:r>
          </w:p>
        </w:tc>
        <w:tc>
          <w:tcPr>
            <w:tcW w:w="6654" w:type="dxa"/>
            <w:vAlign w:val="center"/>
          </w:tcPr>
          <w:p>
            <w:pPr>
              <w:pStyle w:val="29"/>
              <w:shd w:val="clear" w:color="auto" w:fill="FFFFFF"/>
              <w:spacing w:before="20" w:beforeAutospacing="0" w:after="20" w:afterAutospacing="0"/>
              <w:jc w:val="center"/>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符合本国产品标准的产品成本之和占全部产品成本之和的比例（%）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4" w:hRule="atLeast"/>
        </w:trPr>
        <w:tc>
          <w:tcPr>
            <w:tcW w:w="2952" w:type="dxa"/>
            <w:vAlign w:val="top"/>
          </w:tcPr>
          <w:p>
            <w:pPr>
              <w:pStyle w:val="29"/>
              <w:spacing w:before="20" w:beforeAutospacing="0" w:after="20" w:afterAutospacing="0" w:line="360" w:lineRule="auto"/>
              <w:jc w:val="center"/>
              <w:textAlignment w:val="baseline"/>
              <w:rPr>
                <w:rFonts w:hint="eastAsia" w:ascii="宋体" w:hAnsi="宋体" w:eastAsia="宋体" w:cs="宋体"/>
                <w:color w:val="auto"/>
                <w:sz w:val="24"/>
                <w:szCs w:val="24"/>
                <w:highlight w:val="none"/>
                <w:shd w:val="clear" w:color="auto" w:fill="FFFFFF"/>
              </w:rPr>
            </w:pPr>
          </w:p>
        </w:tc>
        <w:tc>
          <w:tcPr>
            <w:tcW w:w="6654" w:type="dxa"/>
            <w:vAlign w:val="top"/>
          </w:tcPr>
          <w:p>
            <w:pPr>
              <w:pStyle w:val="29"/>
              <w:spacing w:before="20" w:beforeAutospacing="0" w:after="20" w:afterAutospacing="0" w:line="360" w:lineRule="auto"/>
              <w:jc w:val="center"/>
              <w:textAlignment w:val="baseline"/>
              <w:rPr>
                <w:rFonts w:hint="eastAsia" w:ascii="宋体" w:hAnsi="宋体" w:eastAsia="宋体" w:cs="宋体"/>
                <w:color w:val="auto"/>
                <w:sz w:val="24"/>
                <w:szCs w:val="24"/>
                <w:highlight w:val="none"/>
                <w:shd w:val="clear" w:color="auto" w:fill="FFFFFF"/>
              </w:rPr>
            </w:pPr>
          </w:p>
        </w:tc>
      </w:tr>
    </w:tbl>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p>
    <w:p>
      <w:pPr>
        <w:pStyle w:val="29"/>
        <w:shd w:val="clear" w:color="auto" w:fill="FFFFFF"/>
        <w:spacing w:before="20" w:beforeAutospacing="0" w:after="20" w:afterAutospacing="0" w:line="360" w:lineRule="auto"/>
        <w:ind w:firstLine="420"/>
        <w:textAlignment w:val="baseline"/>
        <w:rPr>
          <w:rFonts w:hint="eastAsia" w:ascii="宋体" w:hAnsi="宋体" w:eastAsia="宋体" w:cs="宋体"/>
          <w:color w:val="auto"/>
          <w:sz w:val="24"/>
          <w:szCs w:val="24"/>
          <w:highlight w:val="none"/>
          <w:shd w:val="clear" w:color="auto" w:fill="FFFFFF"/>
        </w:rPr>
      </w:pPr>
    </w:p>
    <w:p>
      <w:pPr>
        <w:spacing w:line="360" w:lineRule="auto"/>
        <w:rPr>
          <w:rFonts w:hint="eastAsia" w:ascii="宋体" w:hAnsi="宋体" w:eastAsia="宋体" w:cs="宋体"/>
          <w:b/>
          <w:color w:val="auto"/>
          <w:sz w:val="24"/>
          <w:szCs w:val="24"/>
          <w:highlight w:val="none"/>
        </w:rPr>
      </w:pP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供应商名称</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（电子签章）</w:t>
      </w:r>
    </w:p>
    <w:p>
      <w:pPr>
        <w:spacing w:line="360" w:lineRule="auto"/>
        <w:ind w:firstLine="2" w:firstLineChars="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法定代表人或其委托代理人：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（电子签名）</w:t>
      </w:r>
    </w:p>
    <w:p>
      <w:pPr>
        <w:spacing w:line="360" w:lineRule="auto"/>
        <w:ind w:firstLine="2" w:firstLineChars="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日期：</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月</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日</w:t>
      </w:r>
    </w:p>
    <w:p>
      <w:pPr>
        <w:pStyle w:val="17"/>
        <w:spacing w:line="500" w:lineRule="exact"/>
        <w:ind w:firstLine="241" w:firstLineChars="100"/>
        <w:jc w:val="left"/>
        <w:rPr>
          <w:rFonts w:hint="eastAsia" w:ascii="宋体" w:hAnsi="宋体" w:eastAsia="宋体" w:cs="宋体"/>
          <w:b/>
          <w:color w:val="auto"/>
          <w:sz w:val="24"/>
          <w:szCs w:val="24"/>
          <w:highlight w:val="none"/>
        </w:rPr>
      </w:pPr>
    </w:p>
    <w:p>
      <w:pPr>
        <w:spacing w:before="120" w:after="120"/>
        <w:ind w:firstLine="96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br w:type="page"/>
      </w:r>
    </w:p>
    <w:p>
      <w:pPr>
        <w:rPr>
          <w:rFonts w:hint="eastAsia" w:ascii="宋体" w:hAnsi="宋体" w:eastAsia="宋体" w:cs="宋体"/>
          <w:color w:val="auto"/>
          <w:sz w:val="24"/>
          <w:szCs w:val="24"/>
          <w:highlight w:val="none"/>
        </w:rPr>
        <w:sectPr>
          <w:headerReference r:id="rId14" w:type="default"/>
          <w:footerReference r:id="rId15" w:type="default"/>
          <w:pgSz w:w="11906" w:h="16838"/>
          <w:pgMar w:top="1440" w:right="1080" w:bottom="1440" w:left="1080" w:header="851" w:footer="992" w:gutter="0"/>
          <w:pgNumType w:fmt="decimal"/>
          <w:cols w:space="720" w:num="1"/>
          <w:titlePg/>
          <w:docGrid w:type="lines" w:linePitch="312" w:charSpace="0"/>
        </w:sectPr>
      </w:pPr>
    </w:p>
    <w:p>
      <w:pPr>
        <w:numPr>
          <w:ilvl w:val="0"/>
          <w:numId w:val="0"/>
        </w:numPr>
        <w:jc w:val="center"/>
        <w:rPr>
          <w:rFonts w:hint="eastAsia" w:ascii="宋体" w:hAnsi="宋体" w:eastAsia="宋体" w:cs="宋体"/>
          <w:b/>
          <w:color w:val="auto"/>
          <w:kern w:val="0"/>
          <w:sz w:val="30"/>
          <w:szCs w:val="30"/>
          <w:highlight w:val="none"/>
        </w:rPr>
      </w:pPr>
      <w:r>
        <w:rPr>
          <w:rFonts w:hint="eastAsia" w:ascii="宋体" w:hAnsi="宋体" w:cs="宋体"/>
          <w:b/>
          <w:color w:val="auto"/>
          <w:kern w:val="0"/>
          <w:sz w:val="30"/>
          <w:szCs w:val="30"/>
          <w:highlight w:val="none"/>
          <w:lang w:val="en-US" w:eastAsia="zh-CN"/>
        </w:rPr>
        <w:t>2.</w:t>
      </w:r>
      <w:r>
        <w:rPr>
          <w:rFonts w:hint="eastAsia" w:ascii="宋体" w:hAnsi="宋体" w:eastAsia="宋体" w:cs="宋体"/>
          <w:b/>
          <w:color w:val="auto"/>
          <w:kern w:val="0"/>
          <w:sz w:val="30"/>
          <w:szCs w:val="30"/>
          <w:highlight w:val="none"/>
        </w:rPr>
        <w:t>分项报价表</w:t>
      </w:r>
    </w:p>
    <w:p>
      <w:pPr>
        <w:spacing w:after="78"/>
        <w:ind w:firstLine="480" w:firstLineChars="200"/>
        <w:rPr>
          <w:rFonts w:hint="eastAsia" w:ascii="宋体" w:hAnsi="宋体" w:eastAsia="宋体" w:cs="宋体"/>
          <w:color w:val="auto"/>
          <w:sz w:val="24"/>
          <w:szCs w:val="24"/>
          <w:highlight w:val="none"/>
        </w:rPr>
      </w:pPr>
    </w:p>
    <w:p>
      <w:pPr>
        <w:spacing w:after="78"/>
        <w:ind w:firstLine="480" w:firstLineChars="200"/>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val="en-US" w:eastAsia="zh-CN"/>
        </w:rPr>
        <w:t xml:space="preserve">                             </w:t>
      </w:r>
    </w:p>
    <w:p>
      <w:pPr>
        <w:pageBreakBefore w:val="0"/>
        <w:kinsoku/>
        <w:wordWrap w:val="0"/>
        <w:topLinePunct w:val="0"/>
        <w:bidi w:val="0"/>
        <w:ind w:left="0" w:leftChars="0" w:firstLine="480" w:firstLineChars="200"/>
        <w:jc w:val="both"/>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  </w:t>
      </w:r>
    </w:p>
    <w:tbl>
      <w:tblPr>
        <w:tblStyle w:val="41"/>
        <w:tblW w:w="97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510"/>
        <w:gridCol w:w="1954"/>
        <w:gridCol w:w="746"/>
        <w:gridCol w:w="1940"/>
        <w:gridCol w:w="1127"/>
        <w:gridCol w:w="1122"/>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510"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954"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型号和规格</w:t>
            </w:r>
          </w:p>
        </w:tc>
        <w:tc>
          <w:tcPr>
            <w:tcW w:w="746"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940"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制造商/生产厂商名称</w:t>
            </w:r>
          </w:p>
        </w:tc>
        <w:tc>
          <w:tcPr>
            <w:tcW w:w="1127"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1122"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741" w:type="dxa"/>
            <w:vAlign w:val="center"/>
          </w:tcPr>
          <w:p>
            <w:pPr>
              <w:pStyle w:val="17"/>
              <w:ind w:left="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rPr>
            </w:pPr>
          </w:p>
        </w:tc>
        <w:tc>
          <w:tcPr>
            <w:tcW w:w="1510"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rPr>
            </w:pPr>
          </w:p>
        </w:tc>
        <w:tc>
          <w:tcPr>
            <w:tcW w:w="1510"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rPr>
            </w:pPr>
          </w:p>
        </w:tc>
        <w:tc>
          <w:tcPr>
            <w:tcW w:w="1510"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rPr>
            </w:pPr>
          </w:p>
        </w:tc>
        <w:tc>
          <w:tcPr>
            <w:tcW w:w="1510"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566" w:type="dxa"/>
            <w:vAlign w:val="center"/>
          </w:tcPr>
          <w:p>
            <w:pPr>
              <w:pStyle w:val="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510"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7843" w:type="dxa"/>
            <w:gridSpan w:val="6"/>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计（总价）</w:t>
            </w:r>
          </w:p>
        </w:tc>
        <w:tc>
          <w:tcPr>
            <w:tcW w:w="1863" w:type="dxa"/>
            <w:gridSpan w:val="2"/>
            <w:vAlign w:val="center"/>
          </w:tcPr>
          <w:p>
            <w:pPr>
              <w:pStyle w:val="17"/>
              <w:jc w:val="center"/>
              <w:rPr>
                <w:rFonts w:hint="eastAsia" w:ascii="宋体" w:hAnsi="宋体" w:eastAsia="宋体" w:cs="宋体"/>
                <w:color w:val="auto"/>
                <w:sz w:val="24"/>
                <w:szCs w:val="24"/>
                <w:highlight w:val="none"/>
              </w:rPr>
            </w:pPr>
          </w:p>
        </w:tc>
      </w:tr>
    </w:tbl>
    <w:p>
      <w:pPr>
        <w:pStyle w:val="10"/>
        <w:rPr>
          <w:rFonts w:hint="eastAsia" w:ascii="宋体" w:hAnsi="宋体" w:eastAsia="宋体" w:cs="宋体"/>
          <w:color w:val="auto"/>
          <w:sz w:val="24"/>
          <w:szCs w:val="24"/>
          <w:highlight w:val="none"/>
          <w:lang w:val="zh-CN" w:eastAsia="zh-CN"/>
        </w:rPr>
      </w:pPr>
    </w:p>
    <w:p>
      <w:pPr>
        <w:pStyle w:val="10"/>
        <w:rPr>
          <w:rFonts w:hint="eastAsia" w:ascii="宋体" w:hAnsi="宋体" w:eastAsia="宋体" w:cs="宋体"/>
          <w:color w:val="auto"/>
          <w:sz w:val="24"/>
          <w:szCs w:val="24"/>
          <w:highlight w:val="none"/>
          <w:lang w:val="zh-CN" w:eastAsia="zh-CN"/>
        </w:rPr>
      </w:pPr>
    </w:p>
    <w:p>
      <w:pPr>
        <w:pStyle w:val="1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注：1.此表顺序应与采购项目清单一致，数量不能有差异，否则将被判定为无效投标。</w:t>
      </w:r>
    </w:p>
    <w:p>
      <w:pPr>
        <w:pStyle w:val="10"/>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2.可根据实际需要增加横栏。</w:t>
      </w:r>
    </w:p>
    <w:p>
      <w:pPr>
        <w:pStyle w:val="10"/>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3.《分项报价表》合计应与《初次报价一览表》投标报价相同，否则有可能被评标专家判定为投标无效的风险由投标人自行承担。</w:t>
      </w:r>
    </w:p>
    <w:p>
      <w:pPr>
        <w:pStyle w:val="10"/>
        <w:rPr>
          <w:rFonts w:hint="eastAsia" w:ascii="宋体" w:hAnsi="宋体" w:eastAsia="宋体" w:cs="宋体"/>
          <w:color w:val="auto"/>
          <w:sz w:val="24"/>
          <w:szCs w:val="24"/>
          <w:highlight w:val="none"/>
          <w:lang w:val="zh-CN" w:eastAsia="zh-CN"/>
        </w:rPr>
      </w:pPr>
    </w:p>
    <w:p>
      <w:pPr>
        <w:pStyle w:val="10"/>
        <w:rPr>
          <w:rFonts w:hint="eastAsia" w:ascii="宋体" w:hAnsi="宋体" w:eastAsia="宋体" w:cs="宋体"/>
          <w:color w:val="auto"/>
          <w:sz w:val="24"/>
          <w:szCs w:val="24"/>
          <w:highlight w:val="none"/>
          <w:lang w:val="zh-CN" w:eastAsia="zh-CN"/>
        </w:rPr>
      </w:pPr>
    </w:p>
    <w:p>
      <w:pPr>
        <w:pStyle w:val="10"/>
        <w:rPr>
          <w:rFonts w:hint="eastAsia" w:ascii="宋体" w:hAnsi="宋体" w:eastAsia="宋体" w:cs="宋体"/>
          <w:color w:val="auto"/>
          <w:sz w:val="24"/>
          <w:szCs w:val="24"/>
          <w:highlight w:val="none"/>
          <w:lang w:val="zh-CN" w:eastAsia="zh-CN"/>
        </w:rPr>
      </w:pPr>
    </w:p>
    <w:p>
      <w:pPr>
        <w:snapToGrid w:val="0"/>
        <w:spacing w:line="480" w:lineRule="auto"/>
        <w:ind w:firstLine="4320" w:firstLineChars="1800"/>
        <w:jc w:val="left"/>
        <w:rPr>
          <w:rFonts w:hint="eastAsia" w:ascii="宋体" w:hAnsi="宋体" w:eastAsia="宋体" w:cs="宋体"/>
          <w:color w:val="auto"/>
          <w:kern w:val="0"/>
          <w:sz w:val="24"/>
          <w:szCs w:val="24"/>
          <w:highlight w:val="none"/>
        </w:rPr>
      </w:pPr>
    </w:p>
    <w:p>
      <w:pPr>
        <w:snapToGrid w:val="0"/>
        <w:spacing w:line="480" w:lineRule="auto"/>
        <w:ind w:firstLine="4320" w:firstLineChars="1800"/>
        <w:jc w:val="left"/>
        <w:rPr>
          <w:rFonts w:hint="eastAsia" w:ascii="宋体" w:hAnsi="宋体" w:eastAsia="宋体" w:cs="宋体"/>
          <w:color w:val="auto"/>
          <w:kern w:val="0"/>
          <w:sz w:val="24"/>
          <w:szCs w:val="24"/>
          <w:highlight w:val="none"/>
        </w:rPr>
      </w:pPr>
    </w:p>
    <w:p>
      <w:pPr>
        <w:snapToGrid w:val="0"/>
        <w:spacing w:line="480" w:lineRule="auto"/>
        <w:ind w:firstLine="4320" w:firstLineChars="18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供应商名称：_______________________</w:t>
      </w:r>
      <w:r>
        <w:rPr>
          <w:rFonts w:hint="eastAsia" w:ascii="宋体" w:hAnsi="宋体" w:eastAsia="宋体" w:cs="宋体"/>
          <w:b w:val="0"/>
          <w:bCs/>
          <w:color w:val="auto"/>
          <w:kern w:val="0"/>
          <w:sz w:val="24"/>
          <w:szCs w:val="24"/>
          <w:highlight w:val="none"/>
          <w:u w:val="none"/>
        </w:rPr>
        <w:t>（电子签章）</w:t>
      </w:r>
    </w:p>
    <w:p>
      <w:pPr>
        <w:snapToGrid w:val="0"/>
        <w:spacing w:line="480" w:lineRule="auto"/>
        <w:ind w:firstLine="4320" w:firstLineChars="18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（电子签章）</w:t>
      </w:r>
    </w:p>
    <w:p>
      <w:pPr>
        <w:pageBreakBefore w:val="0"/>
        <w:kinsoku/>
        <w:wordWrap w:val="0"/>
        <w:topLinePunct w:val="0"/>
        <w:bidi w:val="0"/>
        <w:snapToGrid w:val="0"/>
        <w:spacing w:line="480" w:lineRule="auto"/>
        <w:ind w:firstLine="5250"/>
        <w:jc w:val="right"/>
        <w:rPr>
          <w:rFonts w:hint="eastAsia" w:ascii="宋体" w:hAnsi="宋体" w:eastAsia="宋体" w:cs="宋体"/>
          <w:color w:val="auto"/>
          <w:sz w:val="24"/>
          <w:szCs w:val="24"/>
          <w:highlight w:val="none"/>
          <w:lang w:val="en-US" w:eastAsia="zh-CN"/>
        </w:rPr>
        <w:sectPr>
          <w:pgSz w:w="11906" w:h="16838"/>
          <w:pgMar w:top="1440" w:right="1083" w:bottom="1440" w:left="1083" w:header="851" w:footer="992" w:gutter="0"/>
          <w:pgNumType w:fmt="decimal"/>
          <w:cols w:space="0" w:num="1"/>
          <w:rtlGutter w:val="0"/>
          <w:docGrid w:type="lines" w:linePitch="312" w:charSpace="0"/>
        </w:sect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日</w:t>
      </w:r>
    </w:p>
    <w:p>
      <w:pPr>
        <w:ind w:firstLine="2891" w:firstLineChars="800"/>
        <w:jc w:val="both"/>
        <w:rPr>
          <w:rFonts w:hint="eastAsia" w:ascii="宋体" w:hAnsi="宋体" w:eastAsia="宋体" w:cs="宋体"/>
          <w:b/>
          <w:bCs/>
          <w:color w:val="auto"/>
          <w:sz w:val="36"/>
          <w:szCs w:val="36"/>
          <w:highlight w:val="none"/>
        </w:rPr>
      </w:pPr>
      <w:r>
        <w:rPr>
          <w:rFonts w:hint="eastAsia" w:asciiTheme="minorEastAsia" w:hAnsiTheme="minorEastAsia" w:eastAsiaTheme="minorEastAsia" w:cstheme="minorEastAsia"/>
          <w:b/>
          <w:bCs/>
          <w:color w:val="auto"/>
          <w:sz w:val="36"/>
          <w:szCs w:val="36"/>
          <w:highlight w:val="none"/>
        </w:rPr>
        <w:t>第三部分</w:t>
      </w:r>
      <w:r>
        <w:rPr>
          <w:rFonts w:hint="eastAsia" w:ascii="宋体" w:hAnsi="宋体" w:eastAsia="宋体" w:cs="宋体"/>
          <w:b/>
          <w:bCs/>
          <w:color w:val="auto"/>
          <w:sz w:val="36"/>
          <w:szCs w:val="36"/>
          <w:highlight w:val="none"/>
        </w:rPr>
        <w:t>、商务技术部分</w:t>
      </w:r>
    </w:p>
    <w:p>
      <w:pPr>
        <w:jc w:val="both"/>
        <w:rPr>
          <w:rFonts w:hint="eastAsia" w:ascii="宋体" w:hAnsi="宋体" w:eastAsia="宋体" w:cs="宋体"/>
          <w:b/>
          <w:color w:val="auto"/>
          <w:kern w:val="0"/>
          <w:sz w:val="24"/>
          <w:szCs w:val="24"/>
          <w:highlight w:val="none"/>
        </w:rPr>
      </w:pPr>
    </w:p>
    <w:p>
      <w:pPr>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lang w:val="en-US" w:eastAsia="zh-CN"/>
        </w:rPr>
        <w:t>1</w:t>
      </w:r>
      <w:r>
        <w:rPr>
          <w:rFonts w:hint="eastAsia" w:ascii="宋体" w:hAnsi="宋体" w:eastAsia="宋体" w:cs="宋体"/>
          <w:b/>
          <w:color w:val="auto"/>
          <w:kern w:val="0"/>
          <w:sz w:val="30"/>
          <w:szCs w:val="30"/>
          <w:highlight w:val="none"/>
        </w:rPr>
        <w:t>、磋商函</w:t>
      </w:r>
      <w:bookmarkEnd w:id="373"/>
      <w:bookmarkEnd w:id="374"/>
      <w:bookmarkEnd w:id="375"/>
      <w:bookmarkEnd w:id="376"/>
      <w:bookmarkEnd w:id="377"/>
      <w:bookmarkEnd w:id="378"/>
      <w:bookmarkEnd w:id="379"/>
      <w:bookmarkEnd w:id="380"/>
      <w:bookmarkEnd w:id="381"/>
    </w:p>
    <w:p>
      <w:pPr>
        <w:jc w:val="left"/>
        <w:rPr>
          <w:rFonts w:hint="eastAsia" w:ascii="宋体" w:hAnsi="宋体" w:eastAsia="宋体" w:cs="宋体"/>
          <w:color w:val="auto"/>
          <w:kern w:val="0"/>
          <w:sz w:val="24"/>
          <w:szCs w:val="24"/>
          <w:highlight w:val="none"/>
          <w:u w:val="single"/>
        </w:rPr>
      </w:pPr>
    </w:p>
    <w:p>
      <w:p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（采购人名称):</w:t>
      </w:r>
    </w:p>
    <w:p>
      <w:pPr>
        <w:autoSpaceDE w:val="0"/>
        <w:autoSpaceDN w:val="0"/>
        <w:adjustRightInd w:val="0"/>
        <w:spacing w:line="360" w:lineRule="auto"/>
        <w:ind w:firstLine="354" w:firstLineChars="150"/>
        <w:jc w:val="left"/>
        <w:rPr>
          <w:rFonts w:hint="eastAsia" w:ascii="宋体" w:hAnsi="宋体" w:eastAsia="宋体" w:cs="宋体"/>
          <w:color w:val="auto"/>
          <w:spacing w:val="-4"/>
          <w:kern w:val="0"/>
          <w:sz w:val="24"/>
          <w:szCs w:val="24"/>
          <w:highlight w:val="none"/>
        </w:rPr>
      </w:pPr>
      <w:r>
        <w:rPr>
          <w:rFonts w:hint="eastAsia" w:ascii="宋体" w:hAnsi="宋体" w:eastAsia="宋体" w:cs="宋体"/>
          <w:color w:val="auto"/>
          <w:spacing w:val="-2"/>
          <w:kern w:val="0"/>
          <w:sz w:val="24"/>
          <w:szCs w:val="24"/>
          <w:highlight w:val="none"/>
        </w:rPr>
        <w:t>1. 我方已仔细研究了</w:t>
      </w:r>
      <w:r>
        <w:rPr>
          <w:rFonts w:hint="eastAsia" w:ascii="宋体" w:hAnsi="宋体" w:eastAsia="宋体" w:cs="宋体"/>
          <w:color w:val="auto"/>
          <w:spacing w:val="-2"/>
          <w:kern w:val="0"/>
          <w:sz w:val="24"/>
          <w:szCs w:val="24"/>
          <w:highlight w:val="none"/>
          <w:u w:val="single"/>
        </w:rPr>
        <w:t xml:space="preserve">                          </w:t>
      </w:r>
      <w:r>
        <w:rPr>
          <w:rFonts w:hint="eastAsia" w:ascii="宋体" w:hAnsi="宋体" w:eastAsia="宋体" w:cs="宋体"/>
          <w:color w:val="auto"/>
          <w:spacing w:val="-2"/>
          <w:kern w:val="0"/>
          <w:sz w:val="24"/>
          <w:szCs w:val="24"/>
          <w:highlight w:val="none"/>
        </w:rPr>
        <w:t>（项目名称）磋商文件的全部内容，愿</w:t>
      </w:r>
      <w:r>
        <w:rPr>
          <w:rFonts w:hint="eastAsia" w:ascii="宋体" w:hAnsi="宋体" w:eastAsia="宋体" w:cs="宋体"/>
          <w:color w:val="auto"/>
          <w:kern w:val="0"/>
          <w:sz w:val="24"/>
          <w:szCs w:val="24"/>
          <w:highlight w:val="none"/>
        </w:rPr>
        <w:t>意以人民币（大写）</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元)的</w:t>
      </w:r>
      <w:r>
        <w:rPr>
          <w:rFonts w:hint="eastAsia" w:ascii="宋体" w:hAnsi="宋体" w:eastAsia="宋体" w:cs="宋体"/>
          <w:color w:val="auto"/>
          <w:kern w:val="0"/>
          <w:sz w:val="24"/>
          <w:szCs w:val="24"/>
          <w:highlight w:val="none"/>
          <w:lang w:val="en-US" w:eastAsia="zh-CN"/>
        </w:rPr>
        <w:t>投标报</w:t>
      </w:r>
      <w:r>
        <w:rPr>
          <w:rFonts w:hint="eastAsia" w:ascii="宋体" w:hAnsi="宋体" w:eastAsia="宋体" w:cs="宋体"/>
          <w:color w:val="auto"/>
          <w:kern w:val="0"/>
          <w:sz w:val="24"/>
          <w:szCs w:val="24"/>
          <w:highlight w:val="none"/>
        </w:rPr>
        <w:t>价进行磋商，</w:t>
      </w:r>
      <w:r>
        <w:rPr>
          <w:rFonts w:hint="eastAsia" w:ascii="宋体" w:hAnsi="宋体" w:eastAsia="宋体" w:cs="宋体"/>
          <w:color w:val="auto"/>
          <w:kern w:val="0"/>
          <w:sz w:val="24"/>
          <w:szCs w:val="24"/>
          <w:highlight w:val="none"/>
          <w:lang w:val="en-US" w:eastAsia="zh-CN"/>
        </w:rPr>
        <w:t>交货期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，按合同约定实施，</w:t>
      </w:r>
      <w:r>
        <w:rPr>
          <w:rFonts w:hint="eastAsia" w:ascii="宋体" w:hAnsi="宋体" w:eastAsia="宋体" w:cs="宋体"/>
          <w:color w:val="auto"/>
          <w:kern w:val="0"/>
          <w:sz w:val="24"/>
          <w:szCs w:val="24"/>
          <w:highlight w:val="none"/>
          <w:lang w:eastAsia="zh-CN"/>
        </w:rPr>
        <w:t>服务</w:t>
      </w:r>
      <w:r>
        <w:rPr>
          <w:rFonts w:hint="eastAsia" w:ascii="宋体" w:hAnsi="宋体" w:eastAsia="宋体" w:cs="宋体"/>
          <w:color w:val="auto"/>
          <w:kern w:val="0"/>
          <w:sz w:val="24"/>
          <w:szCs w:val="24"/>
          <w:highlight w:val="none"/>
        </w:rPr>
        <w:t>质量符合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pacing w:val="-4"/>
          <w:kern w:val="0"/>
          <w:sz w:val="24"/>
          <w:szCs w:val="24"/>
          <w:highlight w:val="none"/>
        </w:rPr>
        <w:t>。</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我方承诺在磋商有效期内不补充、修改、替代或者撤回本磋商响应文件。</w:t>
      </w:r>
    </w:p>
    <w:p>
      <w:pPr>
        <w:autoSpaceDE w:val="0"/>
        <w:autoSpaceDN w:val="0"/>
        <w:adjustRightInd w:val="0"/>
        <w:spacing w:line="360" w:lineRule="auto"/>
        <w:ind w:firstLine="315"/>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 如我方中标：</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 我方承诺在收到磋商通知书后，在磋商通知书规定的期限内与你方签订合同；</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 随同本磋商函递交的磋商函附录属于合同文件的组成部分；</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 我方承诺在合同约定的期限内完成并移交全部合同</w:t>
      </w:r>
      <w:r>
        <w:rPr>
          <w:rFonts w:hint="eastAsia" w:ascii="宋体" w:hAnsi="宋体" w:eastAsia="宋体" w:cs="宋体"/>
          <w:color w:val="auto"/>
          <w:kern w:val="0"/>
          <w:sz w:val="24"/>
          <w:szCs w:val="24"/>
          <w:highlight w:val="none"/>
          <w:lang w:eastAsia="zh-CN"/>
        </w:rPr>
        <w:t>约定内容</w:t>
      </w:r>
      <w:r>
        <w:rPr>
          <w:rFonts w:hint="eastAsia" w:ascii="宋体" w:hAnsi="宋体" w:eastAsia="宋体" w:cs="宋体"/>
          <w:color w:val="auto"/>
          <w:kern w:val="0"/>
          <w:sz w:val="24"/>
          <w:szCs w:val="24"/>
          <w:highlight w:val="none"/>
        </w:rPr>
        <w:t>。</w:t>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 我方在此声明，所递交的磋商响应文件及有关资料内容完整、真实和准确。</w:t>
      </w:r>
      <w:r>
        <w:rPr>
          <w:rFonts w:hint="eastAsia" w:ascii="宋体" w:hAnsi="宋体" w:eastAsia="宋体" w:cs="宋体"/>
          <w:color w:val="auto"/>
          <w:kern w:val="0"/>
          <w:sz w:val="24"/>
          <w:szCs w:val="24"/>
          <w:highlight w:val="none"/>
        </w:rPr>
        <w:tab/>
      </w:r>
    </w:p>
    <w:p>
      <w:pPr>
        <w:autoSpaceDE w:val="0"/>
        <w:autoSpaceDN w:val="0"/>
        <w:adjustRightIn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(其它补充说明)。</w:t>
      </w: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供应商名称：</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r>
        <w:rPr>
          <w:rFonts w:hint="eastAsia" w:ascii="宋体" w:hAnsi="宋体" w:eastAsia="宋体" w:cs="宋体"/>
          <w:color w:val="auto"/>
          <w:sz w:val="24"/>
          <w:szCs w:val="24"/>
          <w:highlight w:val="none"/>
        </w:rPr>
        <w:t>加盖电子公章</w:t>
      </w:r>
      <w:r>
        <w:rPr>
          <w:rFonts w:hint="eastAsia" w:ascii="宋体" w:hAnsi="宋体" w:eastAsia="宋体" w:cs="宋体"/>
          <w:color w:val="auto"/>
          <w:kern w:val="0"/>
          <w:sz w:val="24"/>
          <w:szCs w:val="24"/>
          <w:highlight w:val="none"/>
        </w:rPr>
        <w:t>）</w:t>
      </w: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法定代表人或其委托代理人:</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r>
        <w:rPr>
          <w:rFonts w:hint="eastAsia" w:ascii="宋体" w:hAnsi="宋体" w:eastAsia="宋体" w:cs="宋体"/>
          <w:color w:val="auto"/>
          <w:sz w:val="24"/>
          <w:szCs w:val="24"/>
          <w:highlight w:val="none"/>
        </w:rPr>
        <w:t>电子签章或电子签名</w:t>
      </w:r>
      <w:r>
        <w:rPr>
          <w:rFonts w:hint="eastAsia" w:ascii="宋体" w:hAnsi="宋体" w:eastAsia="宋体" w:cs="宋体"/>
          <w:bCs/>
          <w:color w:val="auto"/>
          <w:kern w:val="0"/>
          <w:sz w:val="24"/>
          <w:szCs w:val="24"/>
          <w:highlight w:val="none"/>
        </w:rPr>
        <w:t>）</w:t>
      </w: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地址：</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网址：</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电话：</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ind w:firstLine="2880" w:firstLineChars="1200"/>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传真：</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ind w:firstLine="2880" w:firstLineChars="1200"/>
        <w:jc w:val="left"/>
        <w:rPr>
          <w:rFonts w:hint="eastAsia" w:ascii="宋体" w:hAnsi="宋体" w:eastAsia="宋体" w:cs="宋体"/>
          <w:b/>
          <w:color w:val="auto"/>
          <w:kern w:val="0"/>
          <w:sz w:val="24"/>
          <w:szCs w:val="24"/>
          <w:highlight w:val="none"/>
          <w:u w:val="single"/>
        </w:rPr>
      </w:pPr>
      <w:r>
        <w:rPr>
          <w:rFonts w:hint="eastAsia" w:ascii="宋体" w:hAnsi="宋体" w:eastAsia="宋体" w:cs="宋体"/>
          <w:bCs/>
          <w:color w:val="auto"/>
          <w:kern w:val="0"/>
          <w:sz w:val="24"/>
          <w:szCs w:val="24"/>
          <w:highlight w:val="none"/>
        </w:rPr>
        <w:t>邮政编码：</w:t>
      </w:r>
      <w:r>
        <w:rPr>
          <w:rFonts w:hint="eastAsia" w:ascii="宋体" w:hAnsi="宋体" w:eastAsia="宋体" w:cs="宋体"/>
          <w:b/>
          <w:color w:val="auto"/>
          <w:kern w:val="0"/>
          <w:sz w:val="24"/>
          <w:szCs w:val="24"/>
          <w:highlight w:val="none"/>
          <w:u w:val="single"/>
        </w:rPr>
        <w:t xml:space="preserve">                           </w:t>
      </w:r>
    </w:p>
    <w:p>
      <w:pPr>
        <w:snapToGrid w:val="0"/>
        <w:spacing w:line="480" w:lineRule="auto"/>
        <w:ind w:firstLine="6023" w:firstLineChars="2500"/>
        <w:jc w:val="left"/>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 xml:space="preserve">                   </w:t>
      </w:r>
    </w:p>
    <w:p>
      <w:pPr>
        <w:snapToGrid w:val="0"/>
        <w:spacing w:line="480" w:lineRule="auto"/>
        <w:ind w:firstLine="6480" w:firstLineChars="2700"/>
        <w:jc w:val="left"/>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jc w:val="center"/>
        <w:rPr>
          <w:rFonts w:hint="eastAsia" w:ascii="宋体" w:hAnsi="宋体" w:eastAsia="宋体" w:cs="宋体"/>
          <w:b/>
          <w:color w:val="auto"/>
          <w:kern w:val="0"/>
          <w:sz w:val="24"/>
          <w:szCs w:val="24"/>
          <w:highlight w:val="none"/>
        </w:rPr>
      </w:pPr>
    </w:p>
    <w:p>
      <w:pPr>
        <w:jc w:val="center"/>
        <w:rPr>
          <w:rFonts w:hint="eastAsia" w:ascii="宋体" w:hAnsi="宋体" w:eastAsia="宋体" w:cs="宋体"/>
          <w:b/>
          <w:color w:val="auto"/>
          <w:kern w:val="0"/>
          <w:sz w:val="24"/>
          <w:szCs w:val="24"/>
          <w:highlight w:val="none"/>
        </w:rPr>
      </w:pPr>
    </w:p>
    <w:p>
      <w:pPr>
        <w:jc w:val="center"/>
        <w:rPr>
          <w:rFonts w:hint="eastAsia" w:ascii="宋体" w:hAnsi="宋体" w:eastAsia="宋体" w:cs="宋体"/>
          <w:b/>
          <w:color w:val="auto"/>
          <w:kern w:val="0"/>
          <w:sz w:val="24"/>
          <w:szCs w:val="24"/>
          <w:highlight w:val="none"/>
        </w:rPr>
      </w:pPr>
    </w:p>
    <w:p>
      <w:pPr>
        <w:jc w:val="center"/>
        <w:rPr>
          <w:rFonts w:hint="eastAsia" w:ascii="宋体" w:hAnsi="宋体" w:eastAsia="宋体" w:cs="宋体"/>
          <w:b/>
          <w:color w:val="auto"/>
          <w:kern w:val="0"/>
          <w:sz w:val="24"/>
          <w:szCs w:val="24"/>
          <w:highlight w:val="none"/>
        </w:rPr>
      </w:pPr>
    </w:p>
    <w:p>
      <w:pPr>
        <w:spacing w:line="360" w:lineRule="auto"/>
        <w:jc w:val="center"/>
        <w:rPr>
          <w:rFonts w:hint="eastAsia" w:ascii="宋体" w:hAnsi="宋体" w:eastAsia="宋体" w:cs="宋体"/>
          <w:b/>
          <w:color w:val="auto"/>
          <w:sz w:val="24"/>
          <w:szCs w:val="24"/>
          <w:highlight w:val="none"/>
        </w:rPr>
        <w:sectPr>
          <w:pgSz w:w="11906" w:h="16838"/>
          <w:pgMar w:top="1440" w:right="1080" w:bottom="1440" w:left="1080" w:header="851" w:footer="992" w:gutter="0"/>
          <w:pgNumType w:fmt="decimal"/>
          <w:cols w:space="720" w:num="1"/>
          <w:titlePg/>
          <w:docGrid w:type="lines" w:linePitch="312" w:charSpace="0"/>
        </w:sectPr>
      </w:pPr>
    </w:p>
    <w:p>
      <w:pPr>
        <w:jc w:val="center"/>
        <w:rPr>
          <w:rFonts w:hint="eastAsia" w:ascii="宋体" w:hAnsi="宋体" w:eastAsia="宋体" w:cs="宋体"/>
          <w:b/>
          <w:color w:val="auto"/>
          <w:kern w:val="0"/>
          <w:sz w:val="30"/>
          <w:szCs w:val="30"/>
          <w:highlight w:val="none"/>
        </w:rPr>
      </w:pPr>
      <w:bookmarkStart w:id="390" w:name="_Toc255659854"/>
      <w:bookmarkStart w:id="391" w:name="_Toc29691"/>
      <w:bookmarkStart w:id="392" w:name="_Toc488678616"/>
      <w:bookmarkStart w:id="393" w:name="_Toc265654040"/>
      <w:bookmarkStart w:id="394" w:name="_Toc265955104"/>
      <w:bookmarkStart w:id="395" w:name="_Toc265954807"/>
      <w:bookmarkStart w:id="396" w:name="_Toc837"/>
      <w:bookmarkStart w:id="397" w:name="_Toc199322166"/>
      <w:r>
        <w:rPr>
          <w:rFonts w:hint="eastAsia" w:ascii="宋体" w:hAnsi="宋体" w:eastAsia="宋体" w:cs="宋体"/>
          <w:b/>
          <w:color w:val="auto"/>
          <w:kern w:val="0"/>
          <w:sz w:val="30"/>
          <w:szCs w:val="30"/>
          <w:highlight w:val="none"/>
          <w:lang w:val="en-US" w:eastAsia="zh-CN"/>
        </w:rPr>
        <w:t>2</w:t>
      </w:r>
      <w:r>
        <w:rPr>
          <w:rFonts w:hint="eastAsia" w:ascii="宋体" w:hAnsi="宋体" w:eastAsia="宋体" w:cs="宋体"/>
          <w:b/>
          <w:color w:val="auto"/>
          <w:kern w:val="0"/>
          <w:sz w:val="30"/>
          <w:szCs w:val="30"/>
          <w:highlight w:val="none"/>
        </w:rPr>
        <w:t>、法定代表人身份证明</w:t>
      </w:r>
      <w:bookmarkEnd w:id="390"/>
      <w:bookmarkEnd w:id="391"/>
      <w:bookmarkEnd w:id="392"/>
      <w:bookmarkEnd w:id="393"/>
      <w:bookmarkEnd w:id="394"/>
      <w:bookmarkEnd w:id="395"/>
      <w:bookmarkEnd w:id="396"/>
      <w:bookmarkEnd w:id="397"/>
    </w:p>
    <w:p>
      <w:pPr>
        <w:autoSpaceDE w:val="0"/>
        <w:autoSpaceDN w:val="0"/>
        <w:adjustRightInd w:val="0"/>
        <w:spacing w:line="360" w:lineRule="auto"/>
        <w:jc w:val="left"/>
        <w:rPr>
          <w:rFonts w:hint="eastAsia" w:ascii="宋体" w:hAnsi="宋体" w:eastAsia="宋体" w:cs="宋体"/>
          <w:b/>
          <w:color w:val="auto"/>
          <w:kern w:val="0"/>
          <w:sz w:val="24"/>
          <w:szCs w:val="24"/>
          <w:highlight w:val="none"/>
        </w:rPr>
      </w:pP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 xml:space="preserve">磋商响应人名称： </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单位性质：</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地址：</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成立时间：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日</w:t>
      </w: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经营期限：</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jc w:val="left"/>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姓名：</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性别：</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 xml:space="preserve"> 年龄：</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 xml:space="preserve">    身份证号码：</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360" w:lineRule="auto"/>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职务：</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系</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（磋商响应人名称）的法定代表人。</w:t>
      </w:r>
    </w:p>
    <w:p>
      <w:pPr>
        <w:autoSpaceDE w:val="0"/>
        <w:autoSpaceDN w:val="0"/>
        <w:adjustRightInd w:val="0"/>
        <w:spacing w:line="360" w:lineRule="auto"/>
        <w:ind w:firstLine="420"/>
        <w:jc w:val="left"/>
        <w:rPr>
          <w:rFonts w:hint="eastAsia" w:ascii="宋体" w:hAnsi="宋体" w:eastAsia="宋体" w:cs="宋体"/>
          <w:bCs/>
          <w:color w:val="auto"/>
          <w:kern w:val="0"/>
          <w:sz w:val="24"/>
          <w:szCs w:val="24"/>
          <w:highlight w:val="none"/>
        </w:rPr>
      </w:pPr>
    </w:p>
    <w:p>
      <w:pPr>
        <w:autoSpaceDE w:val="0"/>
        <w:autoSpaceDN w:val="0"/>
        <w:adjustRightInd w:val="0"/>
        <w:spacing w:line="360" w:lineRule="auto"/>
        <w:ind w:firstLine="42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特此证明。</w:t>
      </w:r>
    </w:p>
    <w:p>
      <w:pPr>
        <w:pStyle w:val="15"/>
        <w:rPr>
          <w:rFonts w:hint="eastAsia" w:ascii="宋体" w:hAnsi="宋体" w:eastAsia="宋体" w:cs="宋体"/>
          <w:bCs/>
          <w:color w:val="auto"/>
          <w:sz w:val="24"/>
          <w:szCs w:val="24"/>
          <w:highlight w:val="none"/>
        </w:rPr>
      </w:pPr>
    </w:p>
    <w:p>
      <w:pPr>
        <w:pStyle w:val="47"/>
        <w:spacing w:line="360" w:lineRule="auto"/>
        <w:rPr>
          <w:rFonts w:hint="eastAsia" w:ascii="宋体" w:hAnsi="宋体" w:eastAsia="宋体" w:cs="宋体"/>
          <w:bCs/>
          <w:color w:val="auto"/>
          <w:sz w:val="24"/>
          <w:szCs w:val="24"/>
          <w:highlight w:val="none"/>
        </w:rPr>
      </w:pP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附：法定代表人身份证的扫描件或复印件</w:t>
      </w:r>
    </w:p>
    <w:p>
      <w:pPr>
        <w:pStyle w:val="15"/>
        <w:rPr>
          <w:rFonts w:hint="eastAsia" w:ascii="宋体" w:hAnsi="宋体" w:eastAsia="宋体" w:cs="宋体"/>
          <w:bCs/>
          <w:color w:val="auto"/>
          <w:sz w:val="24"/>
          <w:szCs w:val="24"/>
          <w:highlight w:val="none"/>
        </w:rPr>
      </w:pPr>
    </w:p>
    <w:p>
      <w:pPr>
        <w:autoSpaceDE w:val="0"/>
        <w:autoSpaceDN w:val="0"/>
        <w:adjustRightInd w:val="0"/>
        <w:spacing w:line="360" w:lineRule="auto"/>
        <w:jc w:val="left"/>
        <w:rPr>
          <w:rFonts w:hint="eastAsia" w:ascii="宋体" w:hAnsi="宋体" w:eastAsia="宋体" w:cs="宋体"/>
          <w:bCs/>
          <w:color w:val="auto"/>
          <w:kern w:val="0"/>
          <w:sz w:val="24"/>
          <w:szCs w:val="24"/>
          <w:highlight w:val="none"/>
        </w:rPr>
      </w:pPr>
    </w:p>
    <w:p>
      <w:pPr>
        <w:autoSpaceDE w:val="0"/>
        <w:autoSpaceDN w:val="0"/>
        <w:adjustRightInd w:val="0"/>
        <w:spacing w:line="360" w:lineRule="auto"/>
        <w:jc w:val="left"/>
        <w:rPr>
          <w:rFonts w:hint="eastAsia" w:ascii="宋体" w:hAnsi="宋体" w:eastAsia="宋体" w:cs="宋体"/>
          <w:bCs/>
          <w:color w:val="auto"/>
          <w:kern w:val="0"/>
          <w:sz w:val="24"/>
          <w:szCs w:val="24"/>
          <w:highlight w:val="none"/>
        </w:rPr>
      </w:pPr>
    </w:p>
    <w:p>
      <w:pPr>
        <w:autoSpaceDE w:val="0"/>
        <w:autoSpaceDN w:val="0"/>
        <w:adjustRightInd w:val="0"/>
        <w:spacing w:line="360" w:lineRule="auto"/>
        <w:ind w:firstLine="5040" w:firstLineChars="2100"/>
        <w:jc w:val="left"/>
        <w:rPr>
          <w:rFonts w:hint="eastAsia" w:ascii="宋体" w:hAnsi="宋体" w:eastAsia="宋体" w:cs="宋体"/>
          <w:bCs/>
          <w:color w:val="auto"/>
          <w:kern w:val="0"/>
          <w:sz w:val="24"/>
          <w:szCs w:val="24"/>
          <w:highlight w:val="none"/>
        </w:rPr>
      </w:pPr>
      <w:bookmarkStart w:id="398" w:name="_Toc265955105"/>
      <w:bookmarkStart w:id="399" w:name="_Toc199322167"/>
      <w:bookmarkStart w:id="400" w:name="_Toc31219"/>
      <w:bookmarkStart w:id="401" w:name="_Toc2343"/>
      <w:bookmarkStart w:id="402" w:name="_Toc265654041"/>
      <w:bookmarkStart w:id="403" w:name="_Toc255659855"/>
      <w:bookmarkStart w:id="404" w:name="_Toc265954808"/>
      <w:bookmarkStart w:id="405" w:name="_Toc488678617"/>
    </w:p>
    <w:p>
      <w:pPr>
        <w:autoSpaceDE w:val="0"/>
        <w:autoSpaceDN w:val="0"/>
        <w:adjustRightInd w:val="0"/>
        <w:spacing w:line="360" w:lineRule="auto"/>
        <w:jc w:val="left"/>
        <w:rPr>
          <w:rFonts w:hint="eastAsia" w:ascii="宋体" w:hAnsi="宋体" w:eastAsia="宋体" w:cs="宋体"/>
          <w:bCs/>
          <w:color w:val="auto"/>
          <w:kern w:val="0"/>
          <w:sz w:val="24"/>
          <w:szCs w:val="24"/>
          <w:highlight w:val="none"/>
        </w:rPr>
      </w:pPr>
    </w:p>
    <w:p>
      <w:pPr>
        <w:autoSpaceDE w:val="0"/>
        <w:autoSpaceDN w:val="0"/>
        <w:adjustRightInd w:val="0"/>
        <w:spacing w:line="360" w:lineRule="auto"/>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供应商名称人：</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r>
        <w:rPr>
          <w:rFonts w:hint="eastAsia" w:ascii="宋体" w:hAnsi="宋体" w:eastAsia="宋体" w:cs="宋体"/>
          <w:color w:val="auto"/>
          <w:sz w:val="24"/>
          <w:szCs w:val="24"/>
          <w:highlight w:val="none"/>
        </w:rPr>
        <w:t>加盖电子公章</w:t>
      </w:r>
      <w:r>
        <w:rPr>
          <w:rFonts w:hint="eastAsia" w:ascii="宋体" w:hAnsi="宋体" w:eastAsia="宋体" w:cs="宋体"/>
          <w:bCs/>
          <w:color w:val="auto"/>
          <w:kern w:val="0"/>
          <w:sz w:val="24"/>
          <w:szCs w:val="24"/>
          <w:highlight w:val="none"/>
        </w:rPr>
        <w:t>）</w:t>
      </w:r>
    </w:p>
    <w:p>
      <w:pPr>
        <w:snapToGrid w:val="0"/>
        <w:spacing w:line="480" w:lineRule="auto"/>
        <w:ind w:firstLine="6480" w:firstLineChars="27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     </w:t>
      </w:r>
    </w:p>
    <w:p>
      <w:pPr>
        <w:snapToGrid w:val="0"/>
        <w:spacing w:line="480" w:lineRule="auto"/>
        <w:ind w:firstLine="6480" w:firstLineChars="2700"/>
        <w:jc w:val="left"/>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autoSpaceDE w:val="0"/>
        <w:autoSpaceDN w:val="0"/>
        <w:adjustRightInd w:val="0"/>
        <w:spacing w:line="360" w:lineRule="auto"/>
        <w:jc w:val="right"/>
        <w:rPr>
          <w:rFonts w:hint="eastAsia" w:ascii="宋体" w:hAnsi="宋体" w:eastAsia="宋体" w:cs="宋体"/>
          <w:bCs/>
          <w:color w:val="auto"/>
          <w:kern w:val="0"/>
          <w:sz w:val="24"/>
          <w:szCs w:val="24"/>
          <w:highlight w:val="none"/>
        </w:rPr>
      </w:pPr>
    </w:p>
    <w:p>
      <w:pPr>
        <w:autoSpaceDE w:val="0"/>
        <w:autoSpaceDN w:val="0"/>
        <w:adjustRightInd w:val="0"/>
        <w:spacing w:line="360" w:lineRule="auto"/>
        <w:jc w:val="right"/>
        <w:rPr>
          <w:rFonts w:hint="eastAsia" w:ascii="宋体" w:hAnsi="宋体" w:eastAsia="宋体" w:cs="宋体"/>
          <w:color w:val="auto"/>
          <w:kern w:val="0"/>
          <w:sz w:val="24"/>
          <w:szCs w:val="24"/>
          <w:highlight w:val="none"/>
        </w:rPr>
      </w:pPr>
    </w:p>
    <w:p>
      <w:pPr>
        <w:pStyle w:val="47"/>
        <w:spacing w:line="360" w:lineRule="auto"/>
        <w:rPr>
          <w:rFonts w:hint="eastAsia" w:ascii="宋体" w:hAnsi="宋体" w:eastAsia="宋体" w:cs="宋体"/>
          <w:b/>
          <w:color w:val="auto"/>
          <w:sz w:val="24"/>
          <w:szCs w:val="24"/>
          <w:highlight w:val="none"/>
        </w:rPr>
      </w:pPr>
    </w:p>
    <w:p>
      <w:pPr>
        <w:spacing w:line="360" w:lineRule="auto"/>
        <w:jc w:val="center"/>
        <w:rPr>
          <w:rFonts w:hint="eastAsia" w:ascii="宋体" w:hAnsi="宋体" w:eastAsia="宋体" w:cs="宋体"/>
          <w:b/>
          <w:color w:val="auto"/>
          <w:kern w:val="0"/>
          <w:sz w:val="24"/>
          <w:szCs w:val="24"/>
          <w:highlight w:val="none"/>
        </w:rPr>
        <w:sectPr>
          <w:pgSz w:w="11906" w:h="16838"/>
          <w:pgMar w:top="1440" w:right="1080" w:bottom="1440" w:left="1080" w:header="851" w:footer="992" w:gutter="0"/>
          <w:pgNumType w:fmt="decimal"/>
          <w:cols w:space="720" w:num="1"/>
          <w:titlePg/>
          <w:docGrid w:type="lines" w:linePitch="312" w:charSpace="0"/>
        </w:sectPr>
      </w:pPr>
    </w:p>
    <w:p>
      <w:pPr>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lang w:val="en-US" w:eastAsia="zh-CN"/>
        </w:rPr>
        <w:t>3</w:t>
      </w:r>
      <w:r>
        <w:rPr>
          <w:rFonts w:hint="eastAsia" w:ascii="宋体" w:hAnsi="宋体" w:eastAsia="宋体" w:cs="宋体"/>
          <w:b/>
          <w:color w:val="auto"/>
          <w:kern w:val="0"/>
          <w:sz w:val="30"/>
          <w:szCs w:val="30"/>
          <w:highlight w:val="none"/>
        </w:rPr>
        <w:t>、授权委托书</w:t>
      </w:r>
      <w:bookmarkEnd w:id="398"/>
      <w:bookmarkEnd w:id="399"/>
      <w:bookmarkEnd w:id="400"/>
      <w:bookmarkEnd w:id="401"/>
      <w:bookmarkEnd w:id="402"/>
      <w:bookmarkEnd w:id="403"/>
      <w:bookmarkEnd w:id="404"/>
      <w:bookmarkEnd w:id="405"/>
    </w:p>
    <w:p>
      <w:pPr>
        <w:autoSpaceDE w:val="0"/>
        <w:autoSpaceDN w:val="0"/>
        <w:adjustRightInd w:val="0"/>
        <w:spacing w:line="360" w:lineRule="auto"/>
        <w:jc w:val="center"/>
        <w:rPr>
          <w:rFonts w:hint="eastAsia" w:ascii="宋体" w:hAnsi="宋体" w:eastAsia="宋体" w:cs="宋体"/>
          <w:b/>
          <w:color w:val="auto"/>
          <w:kern w:val="0"/>
          <w:sz w:val="24"/>
          <w:szCs w:val="24"/>
          <w:highlight w:val="none"/>
        </w:rPr>
      </w:pPr>
    </w:p>
    <w:p>
      <w:pPr>
        <w:autoSpaceDE w:val="0"/>
        <w:autoSpaceDN w:val="0"/>
        <w:adjustRightInd w:val="0"/>
        <w:spacing w:line="360" w:lineRule="auto"/>
        <w:ind w:firstLine="720" w:firstLineChars="3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(姓名)系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(磋商响应人名称)的法定代表人，现委托</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 xml:space="preserve"> (姓名)为我方代理人。代理人根据授权，以我方名义签署、澄清、说明、补正、递交、撤回、修改</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(项目名称)磋商文件、签订合同和处理有关事宜，其法律后果由我方承担。</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委托期限：</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代理人无转委托权。</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附：授权委托人身份证的扫描件或复印件。</w:t>
      </w: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供应商名称：</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r>
        <w:rPr>
          <w:rFonts w:hint="eastAsia" w:ascii="宋体" w:hAnsi="宋体" w:eastAsia="宋体" w:cs="宋体"/>
          <w:color w:val="auto"/>
          <w:sz w:val="24"/>
          <w:szCs w:val="24"/>
          <w:highlight w:val="none"/>
        </w:rPr>
        <w:t>加盖电子公章</w:t>
      </w:r>
      <w:r>
        <w:rPr>
          <w:rFonts w:hint="eastAsia" w:ascii="宋体" w:hAnsi="宋体" w:eastAsia="宋体" w:cs="宋体"/>
          <w:bCs/>
          <w:color w:val="auto"/>
          <w:kern w:val="0"/>
          <w:sz w:val="24"/>
          <w:szCs w:val="24"/>
          <w:highlight w:val="none"/>
        </w:rPr>
        <w:t>）</w:t>
      </w: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法定代表人：</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w:t>
      </w:r>
      <w:r>
        <w:rPr>
          <w:rFonts w:hint="eastAsia" w:ascii="宋体" w:hAnsi="宋体" w:eastAsia="宋体" w:cs="宋体"/>
          <w:color w:val="auto"/>
          <w:sz w:val="24"/>
          <w:szCs w:val="24"/>
          <w:highlight w:val="none"/>
        </w:rPr>
        <w:t>电子签章或电子签名</w:t>
      </w:r>
      <w:r>
        <w:rPr>
          <w:rFonts w:hint="eastAsia" w:ascii="宋体" w:hAnsi="宋体" w:eastAsia="宋体" w:cs="宋体"/>
          <w:bCs/>
          <w:color w:val="auto"/>
          <w:kern w:val="0"/>
          <w:sz w:val="24"/>
          <w:szCs w:val="24"/>
          <w:highlight w:val="none"/>
        </w:rPr>
        <w:t>）</w:t>
      </w: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身份证号码：</w:t>
      </w:r>
      <w:r>
        <w:rPr>
          <w:rFonts w:hint="eastAsia" w:ascii="宋体" w:hAnsi="宋体" w:eastAsia="宋体" w:cs="宋体"/>
          <w:bCs/>
          <w:color w:val="auto"/>
          <w:kern w:val="0"/>
          <w:sz w:val="24"/>
          <w:szCs w:val="24"/>
          <w:highlight w:val="none"/>
          <w:u w:val="single"/>
        </w:rPr>
        <w:t xml:space="preserve">                         </w:t>
      </w: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委托代理人：</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（签字）</w:t>
      </w: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联系电话：</w:t>
      </w:r>
      <w:r>
        <w:rPr>
          <w:rFonts w:hint="eastAsia" w:ascii="宋体" w:hAnsi="宋体" w:eastAsia="宋体" w:cs="宋体"/>
          <w:bCs/>
          <w:color w:val="auto"/>
          <w:kern w:val="0"/>
          <w:sz w:val="24"/>
          <w:szCs w:val="24"/>
          <w:highlight w:val="none"/>
          <w:u w:val="single"/>
        </w:rPr>
        <w:t xml:space="preserve">                           </w:t>
      </w:r>
      <w:r>
        <w:rPr>
          <w:rFonts w:hint="eastAsia" w:ascii="宋体" w:hAnsi="宋体" w:eastAsia="宋体" w:cs="宋体"/>
          <w:bCs/>
          <w:color w:val="auto"/>
          <w:kern w:val="0"/>
          <w:sz w:val="24"/>
          <w:szCs w:val="24"/>
          <w:highlight w:val="none"/>
        </w:rPr>
        <w:t xml:space="preserve">           </w:t>
      </w:r>
    </w:p>
    <w:p>
      <w:pPr>
        <w:autoSpaceDE w:val="0"/>
        <w:autoSpaceDN w:val="0"/>
        <w:adjustRightInd w:val="0"/>
        <w:spacing w:line="480" w:lineRule="auto"/>
        <w:ind w:right="420" w:firstLine="480" w:firstLineChars="200"/>
        <w:rPr>
          <w:rFonts w:hint="eastAsia" w:ascii="宋体" w:hAnsi="宋体" w:eastAsia="宋体" w:cs="宋体"/>
          <w:bCs/>
          <w:color w:val="auto"/>
          <w:kern w:val="0"/>
          <w:sz w:val="24"/>
          <w:szCs w:val="24"/>
          <w:highlight w:val="none"/>
          <w:u w:val="single"/>
        </w:rPr>
      </w:pPr>
      <w:r>
        <w:rPr>
          <w:rFonts w:hint="eastAsia" w:ascii="宋体" w:hAnsi="宋体" w:eastAsia="宋体" w:cs="宋体"/>
          <w:bCs/>
          <w:color w:val="auto"/>
          <w:kern w:val="0"/>
          <w:sz w:val="24"/>
          <w:szCs w:val="24"/>
          <w:highlight w:val="none"/>
        </w:rPr>
        <w:t>身份证号码：</w:t>
      </w:r>
      <w:r>
        <w:rPr>
          <w:rFonts w:hint="eastAsia" w:ascii="宋体" w:hAnsi="宋体" w:eastAsia="宋体" w:cs="宋体"/>
          <w:bCs/>
          <w:color w:val="auto"/>
          <w:kern w:val="0"/>
          <w:sz w:val="24"/>
          <w:szCs w:val="24"/>
          <w:highlight w:val="none"/>
          <w:u w:val="single"/>
        </w:rPr>
        <w:t xml:space="preserve">                         </w:t>
      </w:r>
    </w:p>
    <w:p>
      <w:pPr>
        <w:ind w:firstLine="480" w:firstLineChars="200"/>
        <w:jc w:val="right"/>
        <w:rPr>
          <w:rFonts w:hint="eastAsia" w:ascii="宋体" w:hAnsi="宋体" w:eastAsia="宋体" w:cs="宋体"/>
          <w:bCs/>
          <w:color w:val="auto"/>
          <w:kern w:val="0"/>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注：1、供应商在整个投标活动中不得变更授权代理人，否则采购人将拒绝其参加本项目的投标活动；</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2、授权代理人必须在授权委托书上亲笔签名后扫描上传。</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3、如果供应商由授权代理人签署、澄清、说明、补正、递交、撤回、修改投标文件，则必须按本格式规定办理授权委托书，若授权委托书不符合规定要求，投标文件将不予通过；</w:t>
      </w:r>
    </w:p>
    <w:p>
      <w:pPr>
        <w:autoSpaceDE w:val="0"/>
        <w:autoSpaceDN w:val="0"/>
        <w:adjustRightInd w:val="0"/>
        <w:spacing w:line="360" w:lineRule="auto"/>
        <w:ind w:firstLine="420"/>
        <w:jc w:val="left"/>
        <w:rPr>
          <w:rFonts w:hint="eastAsia" w:ascii="宋体" w:hAnsi="宋体" w:eastAsia="宋体" w:cs="宋体"/>
          <w:color w:val="auto"/>
          <w:kern w:val="0"/>
          <w:sz w:val="24"/>
          <w:szCs w:val="24"/>
          <w:highlight w:val="none"/>
        </w:rPr>
        <w:sectPr>
          <w:headerReference r:id="rId16" w:type="default"/>
          <w:footerReference r:id="rId17" w:type="default"/>
          <w:pgSz w:w="11920" w:h="16838"/>
          <w:pgMar w:top="1580" w:right="1600" w:bottom="980" w:left="1680" w:header="0" w:footer="782" w:gutter="0"/>
          <w:pgNumType w:fmt="decimal"/>
          <w:cols w:space="720" w:num="1"/>
          <w:formProt w:val="0"/>
          <w:docGrid w:linePitch="100" w:charSpace="91954"/>
        </w:sectPr>
      </w:pPr>
      <w:r>
        <w:rPr>
          <w:rFonts w:hint="eastAsia" w:ascii="宋体" w:hAnsi="宋体" w:eastAsia="宋体" w:cs="宋体"/>
          <w:color w:val="auto"/>
          <w:kern w:val="0"/>
          <w:sz w:val="24"/>
          <w:szCs w:val="24"/>
          <w:highlight w:val="none"/>
        </w:rPr>
        <w:t>4、如果由供应商的法定代表人签署、澄清、说明、补正、递交、撤回、修改投标文件</w:t>
      </w:r>
      <w:bookmarkStart w:id="406" w:name="_Toc280207969"/>
      <w:bookmarkStart w:id="407" w:name="_Toc280207903"/>
      <w:r>
        <w:rPr>
          <w:rFonts w:hint="eastAsia" w:ascii="宋体" w:hAnsi="宋体" w:eastAsia="宋体" w:cs="宋体"/>
          <w:color w:val="auto"/>
          <w:kern w:val="0"/>
          <w:sz w:val="24"/>
          <w:szCs w:val="24"/>
          <w:highlight w:val="none"/>
        </w:rPr>
        <w:t>，则不需提交授权委托书</w:t>
      </w:r>
      <w:bookmarkEnd w:id="406"/>
      <w:bookmarkEnd w:id="407"/>
    </w:p>
    <w:p>
      <w:pPr>
        <w:adjustRightInd w:val="0"/>
        <w:snapToGrid w:val="0"/>
        <w:spacing w:line="360" w:lineRule="auto"/>
        <w:jc w:val="center"/>
        <w:rPr>
          <w:rFonts w:hint="eastAsia" w:ascii="宋体" w:hAnsi="宋体" w:eastAsia="宋体" w:cs="宋体"/>
          <w:color w:val="auto"/>
          <w:kern w:val="0"/>
          <w:sz w:val="30"/>
          <w:szCs w:val="30"/>
          <w:highlight w:val="none"/>
        </w:rPr>
      </w:pPr>
      <w:r>
        <w:rPr>
          <w:rFonts w:hint="eastAsia" w:ascii="宋体" w:hAnsi="宋体" w:eastAsia="宋体" w:cs="宋体"/>
          <w:b/>
          <w:color w:val="auto"/>
          <w:kern w:val="0"/>
          <w:sz w:val="30"/>
          <w:szCs w:val="30"/>
          <w:highlight w:val="none"/>
          <w:lang w:val="en-US" w:eastAsia="zh-CN"/>
        </w:rPr>
        <w:t>4</w:t>
      </w:r>
      <w:r>
        <w:rPr>
          <w:rFonts w:hint="eastAsia" w:ascii="宋体" w:hAnsi="宋体" w:eastAsia="宋体" w:cs="宋体"/>
          <w:b/>
          <w:color w:val="auto"/>
          <w:kern w:val="0"/>
          <w:sz w:val="30"/>
          <w:szCs w:val="30"/>
          <w:highlight w:val="none"/>
        </w:rPr>
        <w:t>、商务条款偏离表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bookmarkStart w:id="408" w:name="_Hlk478972650"/>
      <w:bookmarkStart w:id="409" w:name="OLE_LINK31"/>
      <w:bookmarkStart w:id="410" w:name="OLE_LINK37"/>
      <w:r>
        <w:rPr>
          <w:rFonts w:hint="eastAsia" w:asciiTheme="minorEastAsia" w:hAnsiTheme="minorEastAsia" w:eastAsiaTheme="minorEastAsia" w:cstheme="minorEastAsia"/>
          <w:color w:val="auto"/>
          <w:sz w:val="24"/>
          <w:szCs w:val="24"/>
          <w:highlight w:val="none"/>
        </w:rPr>
        <w:t>请对应</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文件</w:t>
      </w:r>
      <w:r>
        <w:rPr>
          <w:rFonts w:hint="eastAsia" w:asciiTheme="minorEastAsia" w:hAnsiTheme="minorEastAsia" w:eastAsiaTheme="minorEastAsia" w:cstheme="minorEastAsia"/>
          <w:color w:val="auto"/>
          <w:sz w:val="24"/>
          <w:szCs w:val="24"/>
          <w:highlight w:val="none"/>
          <w:lang w:val="en-US" w:eastAsia="zh-CN"/>
        </w:rPr>
        <w:t>中</w:t>
      </w:r>
      <w:bookmarkStart w:id="411" w:name="OLE_LINK120"/>
      <w:r>
        <w:rPr>
          <w:rFonts w:hint="eastAsia" w:asciiTheme="minorEastAsia" w:hAnsiTheme="minorEastAsia" w:eastAsiaTheme="minorEastAsia" w:cstheme="minorEastAsia"/>
          <w:b/>
          <w:color w:val="auto"/>
          <w:sz w:val="24"/>
          <w:szCs w:val="24"/>
          <w:highlight w:val="none"/>
          <w:lang w:val="en-US" w:eastAsia="zh-CN"/>
        </w:rPr>
        <w:t>第三章采购需求“三、商务需求”</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要求认真填写该表</w:t>
      </w:r>
      <w:bookmarkEnd w:id="408"/>
      <w:bookmarkEnd w:id="409"/>
      <w:bookmarkEnd w:id="411"/>
      <w:r>
        <w:rPr>
          <w:rFonts w:hint="eastAsia" w:asciiTheme="minorEastAsia" w:hAnsiTheme="minorEastAsia" w:eastAsiaTheme="minorEastAsia" w:cstheme="minorEastAsia"/>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A</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我公司已详细阅读招标文件中商务要求，所有商务要求均无偏离，中标后我公司将严格遵照执行。</w:t>
      </w:r>
    </w:p>
    <w:p>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B</w:t>
      </w:r>
      <w:r>
        <w:rPr>
          <w:rFonts w:hint="eastAsia" w:asciiTheme="minorEastAsia" w:hAnsiTheme="minorEastAsia" w:eastAsiaTheme="minorEastAsia" w:cstheme="minorEastAsia"/>
          <w:b w:val="0"/>
          <w:bCs w:val="0"/>
          <w:color w:val="auto"/>
          <w:sz w:val="24"/>
          <w:szCs w:val="24"/>
          <w:highlight w:val="none"/>
          <w:lang w:val="en-US" w:eastAsia="zh-CN"/>
        </w:rPr>
        <w:t>.</w:t>
      </w:r>
      <w:r>
        <w:rPr>
          <w:rFonts w:hint="eastAsia" w:asciiTheme="minorEastAsia" w:hAnsiTheme="minorEastAsia" w:eastAsiaTheme="minorEastAsia" w:cstheme="minorEastAsia"/>
          <w:b w:val="0"/>
          <w:bCs w:val="0"/>
          <w:color w:val="auto"/>
          <w:sz w:val="24"/>
          <w:szCs w:val="24"/>
          <w:highlight w:val="none"/>
        </w:rPr>
        <w:t>□我公司已详细阅读招标文件中商务要求，除下述条款有偏离外，其余条款我公司均予以认可，中标后将严格遵照执行。</w:t>
      </w:r>
    </w:p>
    <w:tbl>
      <w:tblPr>
        <w:tblStyle w:val="41"/>
        <w:tblW w:w="9194"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1"/>
        <w:gridCol w:w="1976"/>
        <w:gridCol w:w="2549"/>
        <w:gridCol w:w="2536"/>
        <w:gridCol w:w="140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866" w:hRule="atLeast"/>
          <w:jc w:val="center"/>
        </w:trPr>
        <w:tc>
          <w:tcPr>
            <w:tcW w:w="7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序号</w:t>
            </w:r>
          </w:p>
        </w:tc>
        <w:tc>
          <w:tcPr>
            <w:tcW w:w="197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bookmarkStart w:id="412" w:name="OLE_LINK121"/>
            <w:r>
              <w:rPr>
                <w:rFonts w:hint="eastAsia" w:asciiTheme="minorEastAsia" w:hAnsiTheme="minorEastAsia" w:eastAsiaTheme="minorEastAsia" w:cstheme="minorEastAsia"/>
                <w:b/>
                <w:bCs/>
                <w:color w:val="auto"/>
                <w:sz w:val="24"/>
                <w:szCs w:val="24"/>
                <w:highlight w:val="none"/>
                <w:lang w:val="en-US" w:eastAsia="zh-CN"/>
              </w:rPr>
              <w:t>磋商文件条目号</w:t>
            </w:r>
            <w:bookmarkEnd w:id="412"/>
          </w:p>
        </w:tc>
        <w:tc>
          <w:tcPr>
            <w:tcW w:w="254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磋商文件的商务条款</w:t>
            </w:r>
          </w:p>
        </w:tc>
        <w:tc>
          <w:tcPr>
            <w:tcW w:w="2536"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磋商响应文件的商务条款</w:t>
            </w:r>
          </w:p>
        </w:tc>
        <w:tc>
          <w:tcPr>
            <w:tcW w:w="1402"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偏离说明</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731"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97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49"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2536"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c>
          <w:tcPr>
            <w:tcW w:w="1402" w:type="dxa"/>
          </w:tcPr>
          <w:p>
            <w:pPr>
              <w:spacing w:line="600" w:lineRule="exact"/>
              <w:ind w:firstLine="0" w:firstLineChars="0"/>
              <w:rPr>
                <w:rFonts w:hint="eastAsia" w:asciiTheme="minorEastAsia" w:hAnsiTheme="minorEastAsia" w:eastAsiaTheme="minorEastAsia" w:cstheme="minorEastAsia"/>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516" w:hRule="atLeast"/>
          <w:jc w:val="center"/>
        </w:trPr>
        <w:tc>
          <w:tcPr>
            <w:tcW w:w="7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976"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2549"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2536"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1402" w:type="dxa"/>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r>
    </w:tbl>
    <w:p>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Theme="minorEastAsia" w:hAnsiTheme="minorEastAsia" w:eastAsiaTheme="minorEastAsia" w:cstheme="minorEastAsia"/>
          <w:b/>
          <w:color w:val="auto"/>
          <w:sz w:val="24"/>
          <w:szCs w:val="24"/>
          <w:highlight w:val="none"/>
        </w:rPr>
      </w:pPr>
      <w:bookmarkStart w:id="413" w:name="OLE_LINK196"/>
      <w:r>
        <w:rPr>
          <w:rFonts w:hint="eastAsia" w:asciiTheme="minorEastAsia" w:hAnsiTheme="minorEastAsia" w:eastAsiaTheme="minorEastAsia" w:cstheme="minorEastAsia"/>
          <w:b/>
          <w:color w:val="auto"/>
          <w:sz w:val="24"/>
          <w:szCs w:val="24"/>
          <w:highlight w:val="none"/>
        </w:rPr>
        <w:t>表格填写说明：</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投标人根据实际投标情况，填写本表格，若无偏离，</w:t>
      </w:r>
      <w:r>
        <w:rPr>
          <w:rFonts w:hint="eastAsia" w:asciiTheme="minorEastAsia" w:hAnsiTheme="minorEastAsia" w:eastAsiaTheme="minorEastAsia" w:cstheme="minorEastAsia"/>
          <w:b/>
          <w:bCs/>
          <w:color w:val="auto"/>
          <w:sz w:val="24"/>
          <w:szCs w:val="24"/>
          <w:highlight w:val="none"/>
        </w:rPr>
        <w:t>则勾选A项</w:t>
      </w:r>
      <w:r>
        <w:rPr>
          <w:rFonts w:hint="eastAsia" w:asciiTheme="minorEastAsia" w:hAnsiTheme="minorEastAsia" w:eastAsiaTheme="minorEastAsia" w:cstheme="minorEastAsia"/>
          <w:color w:val="auto"/>
          <w:sz w:val="24"/>
          <w:szCs w:val="24"/>
          <w:highlight w:val="none"/>
        </w:rPr>
        <w:t>。若有偏离，</w:t>
      </w:r>
      <w:r>
        <w:rPr>
          <w:rFonts w:hint="eastAsia" w:asciiTheme="minorEastAsia" w:hAnsiTheme="minorEastAsia" w:eastAsiaTheme="minorEastAsia" w:cstheme="minorEastAsia"/>
          <w:b/>
          <w:bCs/>
          <w:color w:val="auto"/>
          <w:sz w:val="24"/>
          <w:szCs w:val="24"/>
          <w:highlight w:val="none"/>
        </w:rPr>
        <w:t>则勾选B项</w:t>
      </w:r>
      <w:r>
        <w:rPr>
          <w:rFonts w:hint="eastAsia" w:asciiTheme="minorEastAsia" w:hAnsiTheme="minorEastAsia" w:eastAsiaTheme="minorEastAsia" w:cstheme="minorEastAsia"/>
          <w:color w:val="auto"/>
          <w:sz w:val="24"/>
          <w:szCs w:val="24"/>
          <w:highlight w:val="none"/>
        </w:rPr>
        <w:t>，按表格要求及实际情况填写。表格中只需填写有“偏离”部分，“无偏离”部分不用填写。</w:t>
      </w:r>
    </w:p>
    <w:p>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“偏离”系指“正偏离</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负偏离”或“无偏离”。</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勾选示例：</w:t>
      </w:r>
      <w:r>
        <w:rPr>
          <w:rFonts w:hint="eastAsia" w:asciiTheme="minorEastAsia" w:hAnsiTheme="minorEastAsia" w:eastAsiaTheme="minorEastAsia" w:cstheme="minorEastAsia"/>
          <w:b/>
          <w:bCs/>
          <w:color w:val="auto"/>
          <w:sz w:val="24"/>
          <w:szCs w:val="24"/>
          <w:highlight w:val="none"/>
        </w:rPr>
        <w:sym w:font="Wingdings 2" w:char="0052"/>
      </w:r>
      <w:bookmarkEnd w:id="410"/>
      <w:bookmarkEnd w:id="413"/>
    </w:p>
    <w:p>
      <w:pPr>
        <w:rPr>
          <w:rFonts w:hint="eastAsia" w:ascii="宋体" w:hAnsi="宋体" w:eastAsia="宋体" w:cs="宋体"/>
          <w:b/>
          <w:bCs/>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jc w:val="center"/>
        <w:rPr>
          <w:rFonts w:hint="eastAsia" w:ascii="宋体" w:hAnsi="宋体" w:eastAsia="宋体" w:cs="宋体"/>
          <w:b/>
          <w:color w:val="auto"/>
          <w:kern w:val="0"/>
          <w:sz w:val="24"/>
          <w:szCs w:val="24"/>
          <w:highlight w:val="none"/>
        </w:rPr>
      </w:pPr>
      <w:bookmarkStart w:id="414" w:name="_Toc30179"/>
      <w:bookmarkStart w:id="415" w:name="_Toc10419"/>
      <w:bookmarkStart w:id="416" w:name="_Toc18022"/>
      <w:bookmarkStart w:id="417" w:name="_Toc265955107"/>
      <w:bookmarkStart w:id="418" w:name="_Toc10055"/>
      <w:bookmarkStart w:id="419" w:name="_Toc265954810"/>
      <w:bookmarkStart w:id="420" w:name="_Toc265654043"/>
      <w:bookmarkStart w:id="421" w:name="_Toc255659857"/>
    </w:p>
    <w:p>
      <w:pPr>
        <w:pStyle w:val="17"/>
        <w:rPr>
          <w:rFonts w:hint="eastAsia" w:ascii="宋体" w:hAnsi="宋体" w:eastAsia="宋体" w:cs="宋体"/>
          <w:b/>
          <w:color w:val="auto"/>
          <w:kern w:val="0"/>
          <w:sz w:val="24"/>
          <w:szCs w:val="24"/>
          <w:highlight w:val="none"/>
        </w:rPr>
      </w:pPr>
    </w:p>
    <w:p>
      <w:pPr>
        <w:rPr>
          <w:rFonts w:hint="eastAsia" w:ascii="宋体" w:hAnsi="宋体" w:eastAsia="宋体" w:cs="宋体"/>
          <w:b/>
          <w:color w:val="auto"/>
          <w:kern w:val="0"/>
          <w:sz w:val="24"/>
          <w:szCs w:val="24"/>
          <w:highlight w:val="none"/>
        </w:rPr>
      </w:pPr>
    </w:p>
    <w:p>
      <w:pPr>
        <w:pStyle w:val="17"/>
        <w:rPr>
          <w:rFonts w:hint="eastAsia" w:ascii="宋体" w:hAnsi="宋体" w:eastAsia="宋体" w:cs="宋体"/>
          <w:b/>
          <w:color w:val="auto"/>
          <w:kern w:val="0"/>
          <w:sz w:val="24"/>
          <w:szCs w:val="24"/>
          <w:highlight w:val="none"/>
        </w:rPr>
      </w:pPr>
    </w:p>
    <w:p>
      <w:pPr>
        <w:autoSpaceDE w:val="0"/>
        <w:autoSpaceDN w:val="0"/>
        <w:adjustRightInd w:val="0"/>
        <w:spacing w:line="360" w:lineRule="auto"/>
        <w:jc w:val="left"/>
        <w:rPr>
          <w:rFonts w:hint="eastAsia" w:ascii="宋体" w:hAnsi="宋体" w:eastAsia="宋体" w:cs="宋体"/>
          <w:color w:val="auto"/>
          <w:kern w:val="0"/>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（加盖电子公章）</w:t>
      </w:r>
    </w:p>
    <w:p>
      <w:pPr>
        <w:snapToGrid w:val="0"/>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（电子签章或电子签名）</w:t>
      </w:r>
    </w:p>
    <w:p>
      <w:pPr>
        <w:spacing w:line="480" w:lineRule="auto"/>
        <w:ind w:firstLine="480" w:firstLineChars="200"/>
        <w:jc w:val="center"/>
        <w:rPr>
          <w:rFonts w:hint="eastAsia" w:ascii="宋体" w:hAnsi="宋体" w:eastAsia="宋体" w:cs="宋体"/>
          <w:b/>
          <w:bCs/>
          <w:color w:val="auto"/>
          <w:kern w:val="0"/>
          <w:sz w:val="24"/>
          <w:szCs w:val="24"/>
          <w:highlight w:val="none"/>
        </w:rPr>
        <w:sectPr>
          <w:pgSz w:w="11906" w:h="16838"/>
          <w:pgMar w:top="1440" w:right="1080" w:bottom="1440" w:left="1080" w:header="851" w:footer="992" w:gutter="0"/>
          <w:pgNumType w:fmt="decimal"/>
          <w:cols w:space="720" w:num="1"/>
          <w:titlePg/>
          <w:docGrid w:type="lines" w:linePitch="312" w:charSpace="0"/>
        </w:sectPr>
      </w:pPr>
      <w:r>
        <w:rPr>
          <w:rFonts w:hint="eastAsia" w:ascii="宋体" w:hAnsi="宋体" w:cs="宋体"/>
          <w:bCs/>
          <w:color w:val="auto"/>
          <w:kern w:val="0"/>
          <w:sz w:val="24"/>
          <w:szCs w:val="24"/>
          <w:highlight w:val="none"/>
          <w:lang w:val="en-US" w:eastAsia="zh-CN"/>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bookmarkEnd w:id="414"/>
      <w:bookmarkEnd w:id="415"/>
      <w:bookmarkEnd w:id="416"/>
    </w:p>
    <w:p>
      <w:pPr>
        <w:pStyle w:val="5"/>
        <w:ind w:right="175" w:firstLine="0" w:firstLineChars="0"/>
        <w:jc w:val="center"/>
        <w:rPr>
          <w:rFonts w:hint="eastAsia" w:ascii="宋体" w:hAnsi="宋体" w:eastAsia="宋体" w:cs="宋体"/>
          <w:bCs w:val="0"/>
          <w:color w:val="auto"/>
          <w:sz w:val="30"/>
          <w:szCs w:val="30"/>
          <w:highlight w:val="none"/>
        </w:rPr>
      </w:pPr>
      <w:r>
        <w:rPr>
          <w:rFonts w:hint="eastAsia" w:ascii="宋体" w:hAnsi="宋体" w:eastAsia="宋体" w:cs="宋体"/>
          <w:bCs w:val="0"/>
          <w:color w:val="auto"/>
          <w:sz w:val="30"/>
          <w:szCs w:val="30"/>
          <w:highlight w:val="none"/>
          <w:lang w:val="en-US" w:eastAsia="zh-CN"/>
        </w:rPr>
        <w:t>5</w:t>
      </w:r>
      <w:r>
        <w:rPr>
          <w:rFonts w:hint="eastAsia" w:ascii="宋体" w:hAnsi="宋体" w:eastAsia="宋体" w:cs="宋体"/>
          <w:bCs w:val="0"/>
          <w:color w:val="auto"/>
          <w:sz w:val="30"/>
          <w:szCs w:val="30"/>
          <w:highlight w:val="none"/>
        </w:rPr>
        <w:t>、磋商承诺书</w:t>
      </w:r>
    </w:p>
    <w:p>
      <w:pPr>
        <w:rPr>
          <w:rFonts w:hint="eastAsia" w:ascii="宋体" w:hAnsi="宋体" w:eastAsia="宋体" w:cs="宋体"/>
          <w:color w:val="auto"/>
          <w:sz w:val="24"/>
          <w:szCs w:val="24"/>
          <w:highlight w:val="none"/>
        </w:rPr>
      </w:pP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（采购人名称）       </w:t>
      </w:r>
      <w:r>
        <w:rPr>
          <w:rFonts w:hint="eastAsia" w:ascii="宋体" w:hAnsi="宋体" w:eastAsia="宋体" w:cs="宋体"/>
          <w:color w:val="auto"/>
          <w:sz w:val="24"/>
          <w:szCs w:val="24"/>
          <w:highlight w:val="none"/>
        </w:rPr>
        <w:t xml:space="preserve"> </w:t>
      </w:r>
    </w:p>
    <w:p>
      <w:pPr>
        <w:spacing w:line="48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我方认真阅读了</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的竞争性磋商文件，我方知道在采购活动中必须按照法律法规和磋商文件的规定参与磋商，如违反将会导致磋商响应文件无效、和其他违法后果。在此，我方郑重承诺，我方遵守政府采购法律法规的规定，愿意接受磋商文件的所有条款规定参与上述项目的磋商，不围标，不串通投标，提供的所有投标资料真实有效，采购人有权对提供的投标资料进行查询，一旦查出有弄虚作假或故意隐瞒行为，将取消投标资格，已经中标的中标无效，并承担一切法律责任和经济损失。</w:t>
      </w:r>
    </w:p>
    <w:p>
      <w:pPr>
        <w:spacing w:line="48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特此承诺！</w:t>
      </w:r>
    </w:p>
    <w:p>
      <w:pPr>
        <w:spacing w:line="480" w:lineRule="auto"/>
        <w:rPr>
          <w:rFonts w:hint="eastAsia" w:ascii="宋体" w:hAnsi="宋体" w:eastAsia="宋体" w:cs="宋体"/>
          <w:color w:val="auto"/>
          <w:sz w:val="24"/>
          <w:szCs w:val="24"/>
          <w:highlight w:val="none"/>
        </w:rPr>
      </w:pPr>
    </w:p>
    <w:p>
      <w:pPr>
        <w:pStyle w:val="15"/>
        <w:rPr>
          <w:rFonts w:hint="eastAsia" w:ascii="宋体" w:hAnsi="宋体" w:eastAsia="宋体" w:cs="宋体"/>
          <w:color w:val="auto"/>
          <w:sz w:val="24"/>
          <w:szCs w:val="24"/>
          <w:highlight w:val="none"/>
        </w:rPr>
      </w:pPr>
    </w:p>
    <w:p>
      <w:pPr>
        <w:snapToGrid w:val="0"/>
        <w:spacing w:line="480" w:lineRule="auto"/>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bCs/>
          <w:color w:val="auto"/>
          <w:kern w:val="0"/>
          <w:sz w:val="24"/>
          <w:szCs w:val="24"/>
          <w:highlight w:val="none"/>
        </w:rPr>
        <w:t>供应商名称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（加盖电子公章）</w:t>
      </w:r>
    </w:p>
    <w:p>
      <w:pPr>
        <w:snapToGrid w:val="0"/>
        <w:spacing w:line="480" w:lineRule="auto"/>
        <w:ind w:firstLine="3600" w:firstLineChars="15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（电子签章或电子签名）</w:t>
      </w:r>
    </w:p>
    <w:p>
      <w:pPr>
        <w:ind w:firstLine="480" w:firstLineChars="200"/>
        <w:jc w:val="right"/>
        <w:rPr>
          <w:rFonts w:hint="eastAsia" w:ascii="宋体" w:hAnsi="宋体" w:eastAsia="宋体" w:cs="宋体"/>
          <w:b/>
          <w:bCs/>
          <w:color w:val="auto"/>
          <w:kern w:val="0"/>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spacing w:line="360" w:lineRule="auto"/>
        <w:jc w:val="center"/>
        <w:rPr>
          <w:rFonts w:hint="eastAsia" w:ascii="宋体" w:hAnsi="宋体" w:eastAsia="宋体" w:cs="宋体"/>
          <w:b/>
          <w:bCs/>
          <w:color w:val="auto"/>
          <w:kern w:val="0"/>
          <w:sz w:val="24"/>
          <w:szCs w:val="24"/>
          <w:highlight w:val="none"/>
        </w:rPr>
      </w:pPr>
    </w:p>
    <w:p>
      <w:pPr>
        <w:spacing w:line="360" w:lineRule="auto"/>
        <w:jc w:val="center"/>
        <w:rPr>
          <w:rFonts w:hint="eastAsia" w:ascii="宋体" w:hAnsi="宋体" w:eastAsia="宋体" w:cs="宋体"/>
          <w:b/>
          <w:bCs/>
          <w:color w:val="auto"/>
          <w:kern w:val="0"/>
          <w:sz w:val="24"/>
          <w:szCs w:val="24"/>
          <w:highlight w:val="none"/>
        </w:rPr>
      </w:pPr>
    </w:p>
    <w:p>
      <w:pPr>
        <w:spacing w:line="360" w:lineRule="auto"/>
        <w:jc w:val="center"/>
        <w:rPr>
          <w:rFonts w:hint="eastAsia" w:ascii="宋体" w:hAnsi="宋体" w:eastAsia="宋体" w:cs="宋体"/>
          <w:b/>
          <w:bCs/>
          <w:color w:val="auto"/>
          <w:kern w:val="0"/>
          <w:sz w:val="24"/>
          <w:szCs w:val="24"/>
          <w:highlight w:val="none"/>
        </w:rPr>
      </w:pPr>
    </w:p>
    <w:p>
      <w:pPr>
        <w:spacing w:line="360" w:lineRule="auto"/>
        <w:jc w:val="center"/>
        <w:rPr>
          <w:rFonts w:hint="eastAsia" w:ascii="宋体" w:hAnsi="宋体" w:eastAsia="宋体" w:cs="宋体"/>
          <w:b/>
          <w:bCs/>
          <w:color w:val="auto"/>
          <w:kern w:val="0"/>
          <w:sz w:val="24"/>
          <w:szCs w:val="24"/>
          <w:highlight w:val="none"/>
        </w:rPr>
      </w:pPr>
    </w:p>
    <w:p>
      <w:pPr>
        <w:spacing w:line="360" w:lineRule="auto"/>
        <w:jc w:val="center"/>
        <w:rPr>
          <w:rFonts w:hint="eastAsia" w:ascii="宋体" w:hAnsi="宋体" w:eastAsia="宋体" w:cs="宋体"/>
          <w:b/>
          <w:bCs/>
          <w:color w:val="auto"/>
          <w:kern w:val="0"/>
          <w:sz w:val="24"/>
          <w:szCs w:val="24"/>
          <w:highlight w:val="none"/>
        </w:rPr>
      </w:pPr>
    </w:p>
    <w:p>
      <w:pPr>
        <w:spacing w:line="360" w:lineRule="auto"/>
        <w:jc w:val="center"/>
        <w:rPr>
          <w:rFonts w:hint="eastAsia" w:ascii="宋体" w:hAnsi="宋体" w:eastAsia="宋体" w:cs="宋体"/>
          <w:b/>
          <w:color w:val="auto"/>
          <w:kern w:val="0"/>
          <w:sz w:val="24"/>
          <w:szCs w:val="24"/>
          <w:highlight w:val="none"/>
        </w:rPr>
        <w:sectPr>
          <w:pgSz w:w="11906" w:h="16838"/>
          <w:pgMar w:top="1440" w:right="1080" w:bottom="1440" w:left="1080" w:header="851" w:footer="992" w:gutter="0"/>
          <w:pgNumType w:fmt="decimal"/>
          <w:cols w:space="720" w:num="1"/>
          <w:titlePg/>
          <w:docGrid w:type="lines" w:linePitch="312" w:charSpace="0"/>
        </w:sectPr>
      </w:pPr>
    </w:p>
    <w:bookmarkEnd w:id="417"/>
    <w:bookmarkEnd w:id="418"/>
    <w:bookmarkEnd w:id="419"/>
    <w:bookmarkEnd w:id="420"/>
    <w:bookmarkEnd w:id="421"/>
    <w:p>
      <w:pPr>
        <w:spacing w:line="500" w:lineRule="exact"/>
        <w:jc w:val="center"/>
        <w:rPr>
          <w:rFonts w:hint="eastAsia" w:ascii="宋体" w:hAnsi="宋体" w:eastAsia="宋体" w:cs="宋体"/>
          <w:b/>
          <w:bCs/>
          <w:color w:val="auto"/>
          <w:kern w:val="0"/>
          <w:sz w:val="30"/>
          <w:szCs w:val="30"/>
          <w:highlight w:val="none"/>
        </w:rPr>
      </w:pPr>
      <w:r>
        <w:rPr>
          <w:rFonts w:hint="eastAsia" w:ascii="宋体" w:hAnsi="宋体" w:eastAsia="宋体" w:cs="宋体"/>
          <w:b/>
          <w:bCs/>
          <w:color w:val="auto"/>
          <w:kern w:val="0"/>
          <w:sz w:val="30"/>
          <w:szCs w:val="30"/>
          <w:highlight w:val="none"/>
          <w:lang w:val="en-US" w:eastAsia="zh-CN"/>
        </w:rPr>
        <w:t>6.</w:t>
      </w:r>
      <w:r>
        <w:rPr>
          <w:rFonts w:hint="eastAsia" w:ascii="宋体" w:hAnsi="宋体" w:eastAsia="宋体" w:cs="宋体"/>
          <w:b/>
          <w:bCs/>
          <w:color w:val="auto"/>
          <w:kern w:val="0"/>
          <w:sz w:val="30"/>
          <w:szCs w:val="30"/>
          <w:highlight w:val="none"/>
        </w:rPr>
        <w:t>技术参数偏离表</w:t>
      </w:r>
    </w:p>
    <w:p>
      <w:pPr>
        <w:pStyle w:val="17"/>
        <w:rPr>
          <w:rFonts w:hint="eastAsia" w:ascii="宋体" w:hAnsi="宋体" w:eastAsia="宋体" w:cs="宋体"/>
          <w:color w:val="auto"/>
          <w:sz w:val="24"/>
          <w:szCs w:val="24"/>
          <w:highlight w:val="none"/>
        </w:rPr>
      </w:pPr>
    </w:p>
    <w:tbl>
      <w:tblPr>
        <w:tblStyle w:val="41"/>
        <w:tblW w:w="103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314"/>
        <w:gridCol w:w="2905"/>
        <w:gridCol w:w="2869"/>
        <w:gridCol w:w="1241"/>
        <w:gridCol w:w="1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6" w:hRule="atLeast"/>
          <w:jc w:val="center"/>
        </w:trPr>
        <w:tc>
          <w:tcPr>
            <w:tcW w:w="817" w:type="dxa"/>
          </w:tcPr>
          <w:p>
            <w:pPr>
              <w:autoSpaceDE w:val="0"/>
              <w:autoSpaceDN w:val="0"/>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1314" w:type="dxa"/>
          </w:tcPr>
          <w:p>
            <w:pPr>
              <w:autoSpaceDE w:val="0"/>
              <w:autoSpaceDN w:val="0"/>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905" w:type="dxa"/>
          </w:tcPr>
          <w:p>
            <w:pPr>
              <w:autoSpaceDE w:val="0"/>
              <w:autoSpaceDN w:val="0"/>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磋商</w:t>
            </w:r>
            <w:r>
              <w:rPr>
                <w:rFonts w:hint="eastAsia" w:ascii="宋体" w:hAnsi="宋体" w:eastAsia="宋体" w:cs="宋体"/>
                <w:b/>
                <w:bCs/>
                <w:color w:val="auto"/>
                <w:sz w:val="24"/>
                <w:szCs w:val="24"/>
                <w:highlight w:val="none"/>
              </w:rPr>
              <w:t>文件技术参数</w:t>
            </w:r>
          </w:p>
        </w:tc>
        <w:tc>
          <w:tcPr>
            <w:tcW w:w="2869" w:type="dxa"/>
          </w:tcPr>
          <w:p>
            <w:pPr>
              <w:autoSpaceDE w:val="0"/>
              <w:autoSpaceDN w:val="0"/>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文件技术参数</w:t>
            </w:r>
          </w:p>
        </w:tc>
        <w:tc>
          <w:tcPr>
            <w:tcW w:w="1241" w:type="dxa"/>
          </w:tcPr>
          <w:p>
            <w:pPr>
              <w:autoSpaceDE w:val="0"/>
              <w:autoSpaceDN w:val="0"/>
              <w:spacing w:line="5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w:t>
            </w:r>
          </w:p>
        </w:tc>
        <w:tc>
          <w:tcPr>
            <w:tcW w:w="1241" w:type="dxa"/>
          </w:tcPr>
          <w:p>
            <w:pPr>
              <w:autoSpaceDE w:val="0"/>
              <w:autoSpaceDN w:val="0"/>
              <w:spacing w:line="50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sz w:val="24"/>
                <w:szCs w:val="24"/>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17" w:type="dxa"/>
            <w:vAlign w:val="center"/>
          </w:tcPr>
          <w:p>
            <w:pPr>
              <w:autoSpaceDE w:val="0"/>
              <w:autoSpaceDN w:val="0"/>
              <w:spacing w:line="500" w:lineRule="exact"/>
              <w:jc w:val="center"/>
              <w:rPr>
                <w:rFonts w:hint="eastAsia" w:ascii="宋体" w:hAnsi="宋体" w:eastAsia="宋体" w:cs="宋体"/>
                <w:b/>
                <w:color w:val="auto"/>
                <w:sz w:val="24"/>
                <w:szCs w:val="24"/>
                <w:highlight w:val="none"/>
              </w:rPr>
            </w:pPr>
          </w:p>
        </w:tc>
        <w:tc>
          <w:tcPr>
            <w:tcW w:w="1314" w:type="dxa"/>
          </w:tcPr>
          <w:p>
            <w:pPr>
              <w:autoSpaceDE w:val="0"/>
              <w:autoSpaceDN w:val="0"/>
              <w:spacing w:line="500" w:lineRule="exact"/>
              <w:rPr>
                <w:rFonts w:hint="eastAsia" w:ascii="宋体" w:hAnsi="宋体" w:eastAsia="宋体" w:cs="宋体"/>
                <w:b/>
                <w:color w:val="auto"/>
                <w:sz w:val="24"/>
                <w:szCs w:val="24"/>
                <w:highlight w:val="none"/>
              </w:rPr>
            </w:pPr>
          </w:p>
        </w:tc>
        <w:tc>
          <w:tcPr>
            <w:tcW w:w="2905" w:type="dxa"/>
          </w:tcPr>
          <w:p>
            <w:pPr>
              <w:autoSpaceDE w:val="0"/>
              <w:autoSpaceDN w:val="0"/>
              <w:spacing w:line="500" w:lineRule="exact"/>
              <w:rPr>
                <w:rFonts w:hint="eastAsia" w:ascii="宋体" w:hAnsi="宋体" w:eastAsia="宋体" w:cs="宋体"/>
                <w:b/>
                <w:color w:val="auto"/>
                <w:sz w:val="24"/>
                <w:szCs w:val="24"/>
                <w:highlight w:val="none"/>
              </w:rPr>
            </w:pPr>
          </w:p>
        </w:tc>
        <w:tc>
          <w:tcPr>
            <w:tcW w:w="2869"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17" w:type="dxa"/>
            <w:vAlign w:val="center"/>
          </w:tcPr>
          <w:p>
            <w:pPr>
              <w:autoSpaceDE w:val="0"/>
              <w:autoSpaceDN w:val="0"/>
              <w:spacing w:line="500" w:lineRule="exact"/>
              <w:jc w:val="center"/>
              <w:rPr>
                <w:rFonts w:hint="eastAsia" w:ascii="宋体" w:hAnsi="宋体" w:eastAsia="宋体" w:cs="宋体"/>
                <w:b/>
                <w:color w:val="auto"/>
                <w:sz w:val="24"/>
                <w:szCs w:val="24"/>
                <w:highlight w:val="none"/>
              </w:rPr>
            </w:pPr>
          </w:p>
        </w:tc>
        <w:tc>
          <w:tcPr>
            <w:tcW w:w="1314" w:type="dxa"/>
          </w:tcPr>
          <w:p>
            <w:pPr>
              <w:autoSpaceDE w:val="0"/>
              <w:autoSpaceDN w:val="0"/>
              <w:spacing w:line="500" w:lineRule="exact"/>
              <w:rPr>
                <w:rFonts w:hint="eastAsia" w:ascii="宋体" w:hAnsi="宋体" w:eastAsia="宋体" w:cs="宋体"/>
                <w:b/>
                <w:color w:val="auto"/>
                <w:sz w:val="24"/>
                <w:szCs w:val="24"/>
                <w:highlight w:val="none"/>
              </w:rPr>
            </w:pPr>
          </w:p>
        </w:tc>
        <w:tc>
          <w:tcPr>
            <w:tcW w:w="2905" w:type="dxa"/>
          </w:tcPr>
          <w:p>
            <w:pPr>
              <w:autoSpaceDE w:val="0"/>
              <w:autoSpaceDN w:val="0"/>
              <w:spacing w:line="500" w:lineRule="exact"/>
              <w:rPr>
                <w:rFonts w:hint="eastAsia" w:ascii="宋体" w:hAnsi="宋体" w:eastAsia="宋体" w:cs="宋体"/>
                <w:b/>
                <w:color w:val="auto"/>
                <w:sz w:val="24"/>
                <w:szCs w:val="24"/>
                <w:highlight w:val="none"/>
              </w:rPr>
            </w:pPr>
          </w:p>
        </w:tc>
        <w:tc>
          <w:tcPr>
            <w:tcW w:w="2869"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17" w:type="dxa"/>
            <w:vAlign w:val="center"/>
          </w:tcPr>
          <w:p>
            <w:pPr>
              <w:autoSpaceDE w:val="0"/>
              <w:autoSpaceDN w:val="0"/>
              <w:spacing w:line="500" w:lineRule="exact"/>
              <w:jc w:val="center"/>
              <w:rPr>
                <w:rFonts w:hint="eastAsia" w:ascii="宋体" w:hAnsi="宋体" w:eastAsia="宋体" w:cs="宋体"/>
                <w:b/>
                <w:color w:val="auto"/>
                <w:sz w:val="24"/>
                <w:szCs w:val="24"/>
                <w:highlight w:val="none"/>
              </w:rPr>
            </w:pPr>
          </w:p>
        </w:tc>
        <w:tc>
          <w:tcPr>
            <w:tcW w:w="1314" w:type="dxa"/>
          </w:tcPr>
          <w:p>
            <w:pPr>
              <w:autoSpaceDE w:val="0"/>
              <w:autoSpaceDN w:val="0"/>
              <w:spacing w:line="500" w:lineRule="exact"/>
              <w:rPr>
                <w:rFonts w:hint="eastAsia" w:ascii="宋体" w:hAnsi="宋体" w:eastAsia="宋体" w:cs="宋体"/>
                <w:b/>
                <w:color w:val="auto"/>
                <w:sz w:val="24"/>
                <w:szCs w:val="24"/>
                <w:highlight w:val="none"/>
              </w:rPr>
            </w:pPr>
          </w:p>
        </w:tc>
        <w:tc>
          <w:tcPr>
            <w:tcW w:w="2905" w:type="dxa"/>
          </w:tcPr>
          <w:p>
            <w:pPr>
              <w:autoSpaceDE w:val="0"/>
              <w:autoSpaceDN w:val="0"/>
              <w:spacing w:line="500" w:lineRule="exact"/>
              <w:rPr>
                <w:rFonts w:hint="eastAsia" w:ascii="宋体" w:hAnsi="宋体" w:eastAsia="宋体" w:cs="宋体"/>
                <w:b/>
                <w:color w:val="auto"/>
                <w:sz w:val="24"/>
                <w:szCs w:val="24"/>
                <w:highlight w:val="none"/>
              </w:rPr>
            </w:pPr>
          </w:p>
        </w:tc>
        <w:tc>
          <w:tcPr>
            <w:tcW w:w="2869"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817" w:type="dxa"/>
            <w:vAlign w:val="center"/>
          </w:tcPr>
          <w:p>
            <w:pPr>
              <w:autoSpaceDE w:val="0"/>
              <w:autoSpaceDN w:val="0"/>
              <w:spacing w:line="500" w:lineRule="exact"/>
              <w:jc w:val="center"/>
              <w:rPr>
                <w:rFonts w:hint="eastAsia" w:ascii="宋体" w:hAnsi="宋体" w:eastAsia="宋体" w:cs="宋体"/>
                <w:b/>
                <w:bCs/>
                <w:color w:val="auto"/>
                <w:sz w:val="24"/>
                <w:szCs w:val="24"/>
                <w:highlight w:val="none"/>
              </w:rPr>
            </w:pPr>
          </w:p>
        </w:tc>
        <w:tc>
          <w:tcPr>
            <w:tcW w:w="1314" w:type="dxa"/>
          </w:tcPr>
          <w:p>
            <w:pPr>
              <w:autoSpaceDE w:val="0"/>
              <w:autoSpaceDN w:val="0"/>
              <w:spacing w:line="500" w:lineRule="exact"/>
              <w:jc w:val="center"/>
              <w:rPr>
                <w:rFonts w:hint="eastAsia" w:ascii="宋体" w:hAnsi="宋体" w:eastAsia="宋体" w:cs="宋体"/>
                <w:b/>
                <w:bCs/>
                <w:color w:val="auto"/>
                <w:sz w:val="24"/>
                <w:szCs w:val="24"/>
                <w:highlight w:val="none"/>
              </w:rPr>
            </w:pPr>
          </w:p>
        </w:tc>
        <w:tc>
          <w:tcPr>
            <w:tcW w:w="2905" w:type="dxa"/>
          </w:tcPr>
          <w:p>
            <w:pPr>
              <w:autoSpaceDE w:val="0"/>
              <w:autoSpaceDN w:val="0"/>
              <w:spacing w:line="500" w:lineRule="exact"/>
              <w:rPr>
                <w:rFonts w:hint="eastAsia" w:ascii="宋体" w:hAnsi="宋体" w:eastAsia="宋体" w:cs="宋体"/>
                <w:b/>
                <w:color w:val="auto"/>
                <w:sz w:val="24"/>
                <w:szCs w:val="24"/>
                <w:highlight w:val="none"/>
              </w:rPr>
            </w:pPr>
          </w:p>
        </w:tc>
        <w:tc>
          <w:tcPr>
            <w:tcW w:w="2869"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c>
          <w:tcPr>
            <w:tcW w:w="1241" w:type="dxa"/>
          </w:tcPr>
          <w:p>
            <w:pPr>
              <w:autoSpaceDE w:val="0"/>
              <w:autoSpaceDN w:val="0"/>
              <w:spacing w:line="500" w:lineRule="exact"/>
              <w:rPr>
                <w:rFonts w:hint="eastAsia" w:ascii="宋体" w:hAnsi="宋体" w:eastAsia="宋体" w:cs="宋体"/>
                <w:b/>
                <w:color w:val="auto"/>
                <w:sz w:val="24"/>
                <w:szCs w:val="24"/>
                <w:highlight w:val="none"/>
              </w:rPr>
            </w:pPr>
          </w:p>
        </w:tc>
      </w:tr>
    </w:tbl>
    <w:p>
      <w:pPr>
        <w:autoSpaceDE w:val="0"/>
        <w:autoSpaceDN w:val="0"/>
        <w:spacing w:line="500" w:lineRule="exact"/>
        <w:rPr>
          <w:rFonts w:hint="eastAsia" w:ascii="宋体" w:hAnsi="宋体" w:eastAsia="宋体" w:cs="宋体"/>
          <w:b w:val="0"/>
          <w:bCs w:val="0"/>
          <w:color w:val="auto"/>
          <w:sz w:val="24"/>
          <w:szCs w:val="24"/>
          <w:highlight w:val="none"/>
        </w:rPr>
      </w:pPr>
    </w:p>
    <w:p>
      <w:pPr>
        <w:autoSpaceDE w:val="0"/>
        <w:autoSpaceDN w:val="0"/>
        <w:spacing w:line="24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注：</w:t>
      </w:r>
    </w:p>
    <w:p>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必须对应</w:t>
      </w:r>
      <w:r>
        <w:rPr>
          <w:rFonts w:hint="eastAsia" w:ascii="宋体" w:hAnsi="宋体" w:eastAsia="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rPr>
        <w:t>文件第</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章采购需求中的</w:t>
      </w:r>
      <w:r>
        <w:rPr>
          <w:rFonts w:hint="eastAsia" w:ascii="宋体" w:hAnsi="宋体" w:eastAsia="宋体" w:cs="宋体"/>
          <w:b w:val="0"/>
          <w:bCs w:val="0"/>
          <w:color w:val="auto"/>
          <w:sz w:val="24"/>
          <w:szCs w:val="24"/>
          <w:highlight w:val="none"/>
          <w:lang w:val="en-US" w:eastAsia="zh-CN"/>
        </w:rPr>
        <w:t>全部货物</w:t>
      </w:r>
      <w:r>
        <w:rPr>
          <w:rFonts w:hint="eastAsia" w:ascii="宋体" w:hAnsi="宋体" w:eastAsia="宋体" w:cs="宋体"/>
          <w:b w:val="0"/>
          <w:bCs w:val="0"/>
          <w:color w:val="auto"/>
          <w:sz w:val="24"/>
          <w:szCs w:val="24"/>
          <w:highlight w:val="none"/>
        </w:rPr>
        <w:t>参数内容逐条响应。</w:t>
      </w:r>
    </w:p>
    <w:p>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应按投标货物实际数据填写实际参数。</w:t>
      </w:r>
    </w:p>
    <w:p>
      <w:pPr>
        <w:pStyle w:val="8"/>
        <w:keepNext w:val="0"/>
        <w:keepLines w:val="0"/>
        <w:pageBreakBefore w:val="0"/>
        <w:widowControl w:val="0"/>
        <w:kinsoku/>
        <w:wordWrap/>
        <w:overflowPunct/>
        <w:topLinePunct w:val="0"/>
        <w:bidi w:val="0"/>
        <w:adjustRightInd/>
        <w:snapToGrid/>
        <w:spacing w:line="360" w:lineRule="auto"/>
        <w:ind w:left="0" w:leftChars="0" w:firstLine="0" w:firstLineChars="0"/>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rPr>
        <w:t>表格中“偏离”一列，</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sz w:val="24"/>
          <w:szCs w:val="24"/>
        </w:rPr>
        <w:t>只能如实填写“正偏离”“负偏离”或“无偏离”。凡</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rPr>
        <w:t>内容高于</w:t>
      </w:r>
      <w:r>
        <w:rPr>
          <w:rFonts w:hint="eastAsia" w:ascii="宋体" w:hAnsi="宋体" w:eastAsia="宋体" w:cs="宋体"/>
          <w:b w:val="0"/>
          <w:bCs w:val="0"/>
          <w:sz w:val="24"/>
          <w:szCs w:val="24"/>
          <w:lang w:val="en-US" w:eastAsia="zh-CN"/>
        </w:rPr>
        <w:t>采购</w:t>
      </w:r>
      <w:r>
        <w:rPr>
          <w:rFonts w:hint="eastAsia" w:ascii="宋体" w:hAnsi="宋体" w:eastAsia="宋体" w:cs="宋体"/>
          <w:b w:val="0"/>
          <w:bCs w:val="0"/>
          <w:sz w:val="24"/>
          <w:szCs w:val="24"/>
        </w:rPr>
        <w:t>文件要求的，按“正偏离”填写；低于</w:t>
      </w:r>
      <w:r>
        <w:rPr>
          <w:rFonts w:hint="eastAsia" w:ascii="宋体" w:hAnsi="宋体" w:eastAsia="宋体" w:cs="宋体"/>
          <w:b w:val="0"/>
          <w:bCs w:val="0"/>
          <w:sz w:val="24"/>
          <w:szCs w:val="24"/>
          <w:lang w:val="en-US" w:eastAsia="zh-CN"/>
        </w:rPr>
        <w:t>采购</w:t>
      </w:r>
      <w:r>
        <w:rPr>
          <w:rFonts w:hint="eastAsia" w:ascii="宋体" w:hAnsi="宋体" w:eastAsia="宋体" w:cs="宋体"/>
          <w:b w:val="0"/>
          <w:bCs w:val="0"/>
          <w:sz w:val="24"/>
          <w:szCs w:val="24"/>
        </w:rPr>
        <w:t>文件要求的，按“负偏离”填写；满足</w:t>
      </w:r>
      <w:r>
        <w:rPr>
          <w:rFonts w:hint="eastAsia" w:ascii="宋体" w:hAnsi="宋体" w:eastAsia="宋体" w:cs="宋体"/>
          <w:b w:val="0"/>
          <w:bCs w:val="0"/>
          <w:sz w:val="24"/>
          <w:szCs w:val="24"/>
          <w:lang w:val="en-US" w:eastAsia="zh-CN"/>
        </w:rPr>
        <w:t>采购</w:t>
      </w:r>
      <w:r>
        <w:rPr>
          <w:rFonts w:hint="eastAsia" w:ascii="宋体" w:hAnsi="宋体" w:eastAsia="宋体" w:cs="宋体"/>
          <w:b w:val="0"/>
          <w:bCs w:val="0"/>
          <w:sz w:val="24"/>
          <w:szCs w:val="24"/>
        </w:rPr>
        <w:t>文件要求的，按“无偏离”填写。并在“响应文件技术参数”一列中写明技术参数。</w:t>
      </w:r>
    </w:p>
    <w:p>
      <w:pPr>
        <w:keepNext w:val="0"/>
        <w:keepLines w:val="0"/>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rPr>
        <w:t>表格中“说明”部分，若有偏离，则填写偏离指标。若无偏离，则不填写内容。</w:t>
      </w:r>
    </w:p>
    <w:p>
      <w:pPr>
        <w:pStyle w:val="8"/>
        <w:keepNext w:val="0"/>
        <w:keepLines w:val="0"/>
        <w:pageBreakBefore w:val="0"/>
        <w:widowControl w:val="0"/>
        <w:kinsoku/>
        <w:wordWrap/>
        <w:overflowPunct/>
        <w:topLinePunct w:val="0"/>
        <w:bidi w:val="0"/>
        <w:adjustRightInd/>
        <w:snapToGrid/>
        <w:spacing w:line="360" w:lineRule="auto"/>
        <w:ind w:left="0" w:leftChars="0" w:firstLine="0" w:firstLineChars="0"/>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投标人响应采购需求应具体、明确；含糊不清、不确切的，按照不完全响应或者完全不响应处理。</w:t>
      </w:r>
    </w:p>
    <w:p>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本表可根据实际需求自行增减行数，但内容不得擅自修改。</w:t>
      </w:r>
    </w:p>
    <w:p>
      <w:pPr>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后附相关证明材料。</w:t>
      </w:r>
    </w:p>
    <w:p>
      <w:pPr>
        <w:spacing w:line="240" w:lineRule="auto"/>
        <w:rPr>
          <w:rFonts w:hint="eastAsia" w:ascii="宋体" w:hAnsi="宋体" w:eastAsia="宋体" w:cs="宋体"/>
          <w:b w:val="0"/>
          <w:bCs w:val="0"/>
          <w:color w:val="auto"/>
          <w:sz w:val="24"/>
          <w:szCs w:val="24"/>
          <w:highlight w:val="none"/>
        </w:rPr>
      </w:pP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供应商名称（加盖电子公章）：</w:t>
      </w:r>
      <w:r>
        <w:rPr>
          <w:rFonts w:hint="eastAsia" w:ascii="宋体" w:hAnsi="宋体" w:eastAsia="宋体" w:cs="宋体"/>
          <w:color w:val="auto"/>
          <w:sz w:val="24"/>
          <w:szCs w:val="24"/>
          <w:highlight w:val="none"/>
          <w:u w:val="single"/>
        </w:rPr>
        <w:t>　　　　　　　　　　　　</w:t>
      </w:r>
    </w:p>
    <w:p>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法定代表人或其委托代理人（签字或电子签名或电子签章）：</w:t>
      </w:r>
      <w:r>
        <w:rPr>
          <w:rFonts w:hint="eastAsia" w:ascii="宋体" w:hAnsi="宋体" w:eastAsia="宋体" w:cs="宋体"/>
          <w:color w:val="auto"/>
          <w:sz w:val="24"/>
          <w:szCs w:val="24"/>
          <w:highlight w:val="none"/>
          <w:u w:val="single"/>
        </w:rPr>
        <w:t>　　　　　　　　　　</w:t>
      </w:r>
    </w:p>
    <w:p>
      <w:pPr>
        <w:adjustRightInd w:val="0"/>
        <w:spacing w:line="560" w:lineRule="exact"/>
        <w:ind w:firstLine="480" w:firstLineChars="200"/>
        <w:rPr>
          <w:rFonts w:hint="eastAsia" w:ascii="宋体" w:hAnsi="宋体" w:eastAsia="宋体" w:cs="宋体"/>
          <w:color w:val="auto"/>
          <w:sz w:val="24"/>
          <w:szCs w:val="24"/>
          <w:highlight w:val="none"/>
        </w:rPr>
        <w:sectPr>
          <w:pgSz w:w="11906" w:h="16838"/>
          <w:pgMar w:top="1440" w:right="1080" w:bottom="1440" w:left="1080" w:header="851" w:footer="992" w:gutter="0"/>
          <w:pgNumType w:fmt="decimal"/>
          <w:cols w:space="720" w:num="1"/>
          <w:docGrid w:type="lines" w:linePitch="312" w:charSpace="0"/>
        </w:sect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日</w:t>
      </w:r>
      <w:r>
        <w:rPr>
          <w:rFonts w:hint="eastAsia" w:ascii="宋体" w:hAnsi="宋体" w:eastAsia="宋体" w:cs="宋体"/>
          <w:color w:val="auto"/>
          <w:sz w:val="24"/>
          <w:szCs w:val="24"/>
          <w:highlight w:val="none"/>
          <w:lang w:val="en-US" w:eastAsia="zh-CN"/>
        </w:rPr>
        <w:t xml:space="preserve"> </w:t>
      </w:r>
    </w:p>
    <w:p>
      <w:pPr>
        <w:keepNext/>
        <w:keepLines/>
        <w:widowControl/>
        <w:autoSpaceDE w:val="0"/>
        <w:spacing w:line="360" w:lineRule="auto"/>
        <w:ind w:firstLine="3614" w:firstLineChars="1200"/>
        <w:jc w:val="both"/>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7</w:t>
      </w:r>
      <w:r>
        <w:rPr>
          <w:rFonts w:hint="eastAsia" w:ascii="宋体" w:hAnsi="宋体" w:eastAsia="宋体" w:cs="宋体"/>
          <w:b/>
          <w:color w:val="auto"/>
          <w:sz w:val="30"/>
          <w:szCs w:val="30"/>
          <w:highlight w:val="none"/>
        </w:rPr>
        <w:t>、实施方案</w:t>
      </w:r>
    </w:p>
    <w:p>
      <w:pPr>
        <w:pStyle w:val="86"/>
        <w:spacing w:before="0" w:after="0" w:line="460" w:lineRule="exact"/>
        <w:ind w:left="0" w:right="23"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注：以上内容投标人根据评标办法结合自身实际情况编写，格式自拟。</w:t>
      </w:r>
    </w:p>
    <w:p>
      <w:pPr>
        <w:keepNext/>
        <w:keepLines/>
        <w:widowControl/>
        <w:autoSpaceDE w:val="0"/>
        <w:spacing w:line="360" w:lineRule="auto"/>
        <w:jc w:val="left"/>
        <w:outlineLvl w:val="2"/>
        <w:rPr>
          <w:rFonts w:hint="eastAsia" w:ascii="宋体" w:hAnsi="宋体" w:eastAsia="宋体" w:cs="宋体"/>
          <w:b/>
          <w:color w:val="auto"/>
          <w:sz w:val="24"/>
          <w:szCs w:val="24"/>
          <w:highlight w:val="none"/>
        </w:rPr>
      </w:pPr>
    </w:p>
    <w:p>
      <w:pPr>
        <w:keepNext/>
        <w:keepLines/>
        <w:widowControl/>
        <w:numPr>
          <w:ilvl w:val="0"/>
          <w:numId w:val="0"/>
        </w:numPr>
        <w:autoSpaceDE w:val="0"/>
        <w:spacing w:line="360" w:lineRule="auto"/>
        <w:ind w:firstLine="3614" w:firstLineChars="1200"/>
        <w:jc w:val="both"/>
        <w:outlineLvl w:val="2"/>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8、售后服务</w:t>
      </w:r>
    </w:p>
    <w:p>
      <w:pPr>
        <w:pStyle w:val="86"/>
        <w:spacing w:before="0" w:after="0" w:line="460" w:lineRule="exact"/>
        <w:ind w:left="0" w:right="23"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注：以上内容投标人根据评标办法结合自身实际情况编写，格式自拟。</w:t>
      </w:r>
    </w:p>
    <w:p>
      <w:pPr>
        <w:rPr>
          <w:rFonts w:hint="eastAsia" w:ascii="宋体" w:hAnsi="宋体" w:eastAsia="宋体" w:cs="宋体"/>
          <w:b/>
          <w:color w:val="auto"/>
          <w:sz w:val="24"/>
          <w:szCs w:val="24"/>
          <w:highlight w:val="none"/>
        </w:rPr>
      </w:pPr>
    </w:p>
    <w:p>
      <w:pPr>
        <w:rPr>
          <w:rFonts w:hint="eastAsia" w:ascii="宋体" w:hAnsi="宋体" w:eastAsia="宋体" w:cs="宋体"/>
          <w:b/>
          <w:color w:val="auto"/>
          <w:sz w:val="24"/>
          <w:szCs w:val="24"/>
          <w:highlight w:val="none"/>
        </w:rPr>
      </w:pPr>
    </w:p>
    <w:p>
      <w:pPr>
        <w:pStyle w:val="47"/>
        <w:spacing w:after="156" w:afterLines="50"/>
        <w:jc w:val="center"/>
        <w:rPr>
          <w:rFonts w:hint="eastAsia" w:ascii="宋体" w:hAnsi="宋体" w:eastAsia="宋体" w:cs="宋体"/>
          <w:b/>
          <w:color w:val="auto"/>
          <w:sz w:val="24"/>
          <w:szCs w:val="24"/>
          <w:highlight w:val="none"/>
        </w:rPr>
      </w:pPr>
    </w:p>
    <w:p>
      <w:pPr>
        <w:pStyle w:val="17"/>
        <w:jc w:val="center"/>
        <w:rPr>
          <w:rFonts w:hint="eastAsia" w:ascii="宋体" w:hAnsi="宋体" w:eastAsia="宋体" w:cs="宋体"/>
          <w:b/>
          <w:color w:val="auto"/>
          <w:kern w:val="0"/>
          <w:sz w:val="30"/>
          <w:szCs w:val="30"/>
          <w:highlight w:val="none"/>
        </w:rPr>
      </w:pPr>
      <w:r>
        <w:rPr>
          <w:rFonts w:hint="eastAsia" w:hAnsi="宋体" w:cs="宋体"/>
          <w:b/>
          <w:color w:val="auto"/>
          <w:kern w:val="0"/>
          <w:sz w:val="30"/>
          <w:szCs w:val="30"/>
          <w:highlight w:val="none"/>
          <w:lang w:val="en-US" w:eastAsia="zh-CN"/>
        </w:rPr>
        <w:t>9</w:t>
      </w:r>
      <w:r>
        <w:rPr>
          <w:rFonts w:hint="eastAsia" w:ascii="宋体" w:hAnsi="宋体" w:eastAsia="宋体" w:cs="宋体"/>
          <w:b/>
          <w:color w:val="auto"/>
          <w:kern w:val="0"/>
          <w:sz w:val="30"/>
          <w:szCs w:val="30"/>
          <w:highlight w:val="none"/>
        </w:rPr>
        <w:t>、20</w:t>
      </w:r>
      <w:r>
        <w:rPr>
          <w:rFonts w:hint="eastAsia" w:ascii="宋体" w:hAnsi="宋体" w:eastAsia="宋体" w:cs="宋体"/>
          <w:b/>
          <w:color w:val="auto"/>
          <w:kern w:val="0"/>
          <w:sz w:val="30"/>
          <w:szCs w:val="30"/>
          <w:highlight w:val="none"/>
          <w:lang w:val="en-US" w:eastAsia="zh-CN"/>
        </w:rPr>
        <w:t>24</w:t>
      </w:r>
      <w:r>
        <w:rPr>
          <w:rFonts w:hint="eastAsia" w:ascii="宋体" w:hAnsi="宋体" w:eastAsia="宋体" w:cs="宋体"/>
          <w:b/>
          <w:color w:val="auto"/>
          <w:kern w:val="0"/>
          <w:sz w:val="30"/>
          <w:szCs w:val="30"/>
          <w:highlight w:val="none"/>
        </w:rPr>
        <w:t>年1月1日以来实施</w:t>
      </w:r>
      <w:r>
        <w:rPr>
          <w:rFonts w:hint="eastAsia" w:ascii="宋体" w:hAnsi="宋体" w:eastAsia="宋体" w:cs="宋体"/>
          <w:b/>
          <w:color w:val="auto"/>
          <w:kern w:val="0"/>
          <w:sz w:val="30"/>
          <w:szCs w:val="30"/>
          <w:highlight w:val="none"/>
          <w:lang w:eastAsia="zh-CN"/>
        </w:rPr>
        <w:t>类似</w:t>
      </w:r>
      <w:r>
        <w:rPr>
          <w:rFonts w:hint="eastAsia" w:ascii="宋体" w:hAnsi="宋体" w:eastAsia="宋体" w:cs="宋体"/>
          <w:b/>
          <w:color w:val="auto"/>
          <w:kern w:val="0"/>
          <w:sz w:val="30"/>
          <w:szCs w:val="30"/>
          <w:highlight w:val="none"/>
        </w:rPr>
        <w:t>项目业绩情况</w:t>
      </w:r>
    </w:p>
    <w:tbl>
      <w:tblPr>
        <w:tblStyle w:val="41"/>
        <w:tblpPr w:leftFromText="180" w:rightFromText="180" w:vertAnchor="text" w:horzAnchor="page" w:tblpX="1667" w:tblpY="311"/>
        <w:tblOverlap w:val="never"/>
        <w:tblW w:w="8740"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535"/>
        <w:gridCol w:w="6205"/>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项目所在地</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人名称</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人地址</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采购</w:t>
            </w:r>
            <w:r>
              <w:rPr>
                <w:rFonts w:hint="eastAsia" w:ascii="宋体" w:hAnsi="宋体" w:eastAsia="宋体" w:cs="宋体"/>
                <w:color w:val="auto"/>
                <w:kern w:val="0"/>
                <w:sz w:val="24"/>
                <w:szCs w:val="24"/>
                <w:highlight w:val="none"/>
              </w:rPr>
              <w:t>人电话</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合同价格</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交货期</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承担的工作</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质量要求</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600"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项目负责人</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1238"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项目描述</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Ex>
        <w:trPr>
          <w:trHeight w:val="981" w:hRule="atLeast"/>
        </w:trPr>
        <w:tc>
          <w:tcPr>
            <w:tcW w:w="2535" w:type="dxa"/>
            <w:vAlign w:val="center"/>
          </w:tcPr>
          <w:p>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c>
          <w:tcPr>
            <w:tcW w:w="6205" w:type="dxa"/>
            <w:vAlign w:val="center"/>
          </w:tcPr>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p>
            <w:pPr>
              <w:widowControl/>
              <w:jc w:val="left"/>
              <w:rPr>
                <w:rFonts w:hint="eastAsia" w:ascii="宋体" w:hAnsi="宋体" w:eastAsia="宋体" w:cs="宋体"/>
                <w:color w:val="auto"/>
                <w:kern w:val="0"/>
                <w:sz w:val="24"/>
                <w:szCs w:val="24"/>
                <w:highlight w:val="none"/>
              </w:rPr>
            </w:pPr>
          </w:p>
        </w:tc>
      </w:tr>
    </w:tbl>
    <w:p>
      <w:pPr>
        <w:pStyle w:val="17"/>
        <w:jc w:val="both"/>
        <w:rPr>
          <w:rFonts w:hint="eastAsia" w:ascii="宋体" w:hAnsi="宋体" w:eastAsia="宋体" w:cs="宋体"/>
          <w:b/>
          <w:color w:val="auto"/>
          <w:kern w:val="0"/>
          <w:sz w:val="24"/>
          <w:szCs w:val="24"/>
          <w:highlight w:val="none"/>
        </w:rPr>
      </w:pPr>
    </w:p>
    <w:p>
      <w:pPr>
        <w:pStyle w:val="5"/>
        <w:widowControl/>
        <w:numPr>
          <w:ilvl w:val="0"/>
          <w:numId w:val="0"/>
        </w:numPr>
        <w:autoSpaceDE w:val="0"/>
        <w:spacing w:before="0" w:after="0" w:line="360" w:lineRule="auto"/>
        <w:ind w:leftChars="400" w:firstLine="2409" w:firstLineChars="800"/>
        <w:jc w:val="both"/>
        <w:rPr>
          <w:rFonts w:hint="eastAsia" w:ascii="宋体" w:hAnsi="宋体" w:eastAsia="宋体" w:cs="宋体"/>
          <w:color w:val="auto"/>
          <w:sz w:val="30"/>
          <w:szCs w:val="30"/>
          <w:highlight w:val="none"/>
          <w:shd w:val="clear" w:color="auto" w:fill="auto"/>
          <w:lang w:val="zh-CN" w:eastAsia="zh-CN"/>
        </w:rPr>
      </w:pPr>
      <w:r>
        <w:rPr>
          <w:rFonts w:hint="eastAsia" w:hAnsi="宋体" w:cs="宋体"/>
          <w:color w:val="auto"/>
          <w:sz w:val="30"/>
          <w:szCs w:val="30"/>
          <w:highlight w:val="none"/>
          <w:shd w:val="clear" w:color="auto" w:fill="auto"/>
          <w:lang w:val="en-US" w:eastAsia="zh-CN"/>
        </w:rPr>
        <w:t>10、</w:t>
      </w:r>
      <w:r>
        <w:rPr>
          <w:rFonts w:hint="eastAsia" w:ascii="宋体" w:hAnsi="宋体" w:eastAsia="宋体" w:cs="宋体"/>
          <w:color w:val="auto"/>
          <w:sz w:val="30"/>
          <w:szCs w:val="30"/>
          <w:highlight w:val="none"/>
          <w:shd w:val="clear" w:color="auto" w:fill="auto"/>
          <w:lang w:val="zh-CN" w:eastAsia="zh-CN"/>
        </w:rPr>
        <w:t>最终轮磋商报价格式</w:t>
      </w:r>
    </w:p>
    <w:p>
      <w:pPr>
        <w:numPr>
          <w:ilvl w:val="0"/>
          <w:numId w:val="0"/>
        </w:numPr>
        <w:jc w:val="center"/>
        <w:rPr>
          <w:rFonts w:hint="default"/>
          <w:lang w:val="en-US" w:eastAsia="zh-CN"/>
        </w:rPr>
      </w:pPr>
    </w:p>
    <w:p>
      <w:pPr>
        <w:jc w:val="center"/>
        <w:rPr>
          <w:rFonts w:hint="default" w:ascii="宋体" w:hAnsi="宋体" w:eastAsia="宋体" w:cs="宋体"/>
          <w:color w:val="auto"/>
          <w:sz w:val="24"/>
          <w:szCs w:val="24"/>
          <w:highlight w:val="none"/>
          <w:lang w:val="en-US" w:eastAsia="zh-CN"/>
        </w:rPr>
      </w:pPr>
      <w:r>
        <w:rPr>
          <w:rFonts w:hint="eastAsia" w:ascii="宋体" w:hAnsi="宋体" w:cs="宋体"/>
          <w:b/>
          <w:bCs/>
          <w:color w:val="auto"/>
          <w:sz w:val="28"/>
          <w:szCs w:val="28"/>
          <w:highlight w:val="none"/>
          <w:lang w:val="en-US" w:eastAsia="zh-CN"/>
        </w:rPr>
        <w:t>最终报价一览表</w:t>
      </w:r>
    </w:p>
    <w:tbl>
      <w:tblPr>
        <w:tblStyle w:val="41"/>
        <w:tblW w:w="885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3"/>
        <w:gridCol w:w="64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3" w:hRule="atLeast"/>
          <w:jc w:val="center"/>
        </w:trPr>
        <w:tc>
          <w:tcPr>
            <w:tcW w:w="2423"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433" w:type="dxa"/>
          </w:tcPr>
          <w:p>
            <w:pPr>
              <w:spacing w:line="360" w:lineRule="auto"/>
              <w:rPr>
                <w:rFonts w:hint="eastAsia" w:ascii="宋体" w:hAnsi="宋体" w:eastAsia="宋体" w:cs="宋体"/>
                <w:bCs/>
                <w:color w:val="auto"/>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4" w:hRule="atLeast"/>
          <w:jc w:val="center"/>
        </w:trPr>
        <w:tc>
          <w:tcPr>
            <w:tcW w:w="2423" w:type="dxa"/>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报价（元）</w:t>
            </w:r>
          </w:p>
        </w:tc>
        <w:tc>
          <w:tcPr>
            <w:tcW w:w="6433" w:type="dxa"/>
            <w:vAlign w:val="center"/>
          </w:tcPr>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小写：              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交货期</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质保期</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交货</w:t>
            </w:r>
            <w:r>
              <w:rPr>
                <w:rFonts w:hint="eastAsia" w:ascii="宋体" w:hAnsi="宋体" w:eastAsia="宋体" w:cs="宋体"/>
                <w:color w:val="auto"/>
                <w:sz w:val="24"/>
                <w:szCs w:val="24"/>
                <w:highlight w:val="none"/>
              </w:rPr>
              <w:t>地点</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4" w:hRule="atLeast"/>
          <w:jc w:val="center"/>
        </w:trPr>
        <w:tc>
          <w:tcPr>
            <w:tcW w:w="2423" w:type="dxa"/>
            <w:vAlign w:val="center"/>
          </w:tcPr>
          <w:p>
            <w:pPr>
              <w:spacing w:line="40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w:t>
            </w:r>
            <w:r>
              <w:rPr>
                <w:rFonts w:hint="eastAsia" w:ascii="宋体" w:hAnsi="宋体" w:cs="宋体"/>
                <w:color w:val="auto"/>
                <w:sz w:val="24"/>
                <w:szCs w:val="24"/>
                <w:highlight w:val="none"/>
                <w:lang w:val="en-US" w:eastAsia="zh-CN"/>
              </w:rPr>
              <w:t>标准</w:t>
            </w:r>
          </w:p>
        </w:tc>
        <w:tc>
          <w:tcPr>
            <w:tcW w:w="6433" w:type="dxa"/>
            <w:vAlign w:val="center"/>
          </w:tcPr>
          <w:p>
            <w:pPr>
              <w:spacing w:line="360" w:lineRule="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6" w:hRule="atLeast"/>
          <w:jc w:val="center"/>
        </w:trPr>
        <w:tc>
          <w:tcPr>
            <w:tcW w:w="2423" w:type="dxa"/>
            <w:vAlign w:val="center"/>
          </w:tcPr>
          <w:p>
            <w:pPr>
              <w:pStyle w:val="19"/>
              <w:tabs>
                <w:tab w:val="left" w:pos="720"/>
                <w:tab w:val="left" w:pos="8295"/>
              </w:tabs>
              <w:spacing w:before="120" w:after="120"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6433" w:type="dxa"/>
            <w:vAlign w:val="center"/>
          </w:tcPr>
          <w:p>
            <w:pPr>
              <w:spacing w:line="360" w:lineRule="auto"/>
              <w:rPr>
                <w:rFonts w:hint="eastAsia" w:ascii="宋体" w:hAnsi="宋体" w:eastAsia="宋体" w:cs="宋体"/>
                <w:bCs/>
                <w:color w:val="auto"/>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8" w:hRule="atLeast"/>
          <w:jc w:val="center"/>
        </w:trPr>
        <w:tc>
          <w:tcPr>
            <w:tcW w:w="2423" w:type="dxa"/>
            <w:vAlign w:val="center"/>
          </w:tcPr>
          <w:p>
            <w:pPr>
              <w:pStyle w:val="19"/>
              <w:tabs>
                <w:tab w:val="left" w:pos="720"/>
                <w:tab w:val="left" w:pos="8295"/>
              </w:tabs>
              <w:spacing w:before="120" w:after="120"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433" w:type="dxa"/>
            <w:vAlign w:val="center"/>
          </w:tcPr>
          <w:p>
            <w:pPr>
              <w:spacing w:line="360" w:lineRule="auto"/>
              <w:rPr>
                <w:rFonts w:hint="eastAsia" w:ascii="宋体" w:hAnsi="宋体" w:eastAsia="宋体" w:cs="宋体"/>
                <w:bCs/>
                <w:color w:val="auto"/>
                <w:sz w:val="24"/>
                <w:szCs w:val="24"/>
                <w:highlight w:val="none"/>
                <w:u w:val="single"/>
              </w:rPr>
            </w:pPr>
          </w:p>
        </w:tc>
      </w:tr>
    </w:tbl>
    <w:p>
      <w:pPr>
        <w:spacing w:line="360" w:lineRule="auto"/>
        <w:ind w:firstLine="360" w:firstLineChars="1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spacing w:line="44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注：1.投标报价为全包价（</w:t>
      </w:r>
      <w:r>
        <w:rPr>
          <w:rFonts w:hint="eastAsia" w:ascii="宋体" w:hAnsi="宋体" w:eastAsia="宋体" w:cs="宋体"/>
          <w:color w:val="auto"/>
          <w:sz w:val="24"/>
          <w:szCs w:val="24"/>
          <w:highlight w:val="none"/>
          <w:lang w:val="en-US" w:eastAsia="zh-CN"/>
        </w:rPr>
        <w:t>包括货物成本价格、运输、安装、辅材配件、培训、售后、税费、中标服务费等本项目所涉及的一切费用，以人民币为结算单位，采购人将不再另行支付其他费用。</w:t>
      </w:r>
    </w:p>
    <w:p>
      <w:pPr>
        <w:pStyle w:val="86"/>
        <w:spacing w:line="360" w:lineRule="auto"/>
        <w:ind w:left="0" w:right="0"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最终报价可以等于一次报价，但不得</w:t>
      </w:r>
      <w:r>
        <w:rPr>
          <w:rFonts w:hint="eastAsia" w:ascii="宋体" w:hAnsi="宋体" w:cs="宋体"/>
          <w:color w:val="auto"/>
          <w:sz w:val="24"/>
          <w:szCs w:val="24"/>
          <w:highlight w:val="none"/>
          <w:lang w:val="en-US" w:eastAsia="zh-CN"/>
        </w:rPr>
        <w:t>高</w:t>
      </w:r>
      <w:r>
        <w:rPr>
          <w:rFonts w:hint="eastAsia" w:ascii="宋体" w:hAnsi="宋体" w:eastAsia="宋体" w:cs="宋体"/>
          <w:color w:val="auto"/>
          <w:sz w:val="24"/>
          <w:szCs w:val="24"/>
          <w:highlight w:val="none"/>
          <w:lang w:val="en-US" w:eastAsia="zh-CN"/>
        </w:rPr>
        <w:t>于一次报价，供应商的报价不可以超过最高限价，否则按废标处理。</w:t>
      </w:r>
    </w:p>
    <w:p>
      <w:pPr>
        <w:pStyle w:val="86"/>
        <w:spacing w:line="36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小数点后保留2位，第三位四舍五入。</w:t>
      </w:r>
    </w:p>
    <w:p>
      <w:pPr>
        <w:spacing w:line="440" w:lineRule="exact"/>
        <w:ind w:firstLine="480" w:firstLineChars="200"/>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（加盖电子公章）</w:t>
      </w:r>
    </w:p>
    <w:p>
      <w:pPr>
        <w:adjustRightInd w:val="0"/>
        <w:snapToGrid w:val="0"/>
        <w:spacing w:line="360" w:lineRule="auto"/>
        <w:ind w:firstLine="3120" w:firstLineChars="1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aps/>
          <w:color w:val="auto"/>
          <w:sz w:val="24"/>
          <w:szCs w:val="24"/>
          <w:highlight w:val="none"/>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snapToGrid w:val="0"/>
        <w:spacing w:line="480" w:lineRule="auto"/>
        <w:ind w:firstLine="6000" w:firstLineChars="250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keepNext w:val="0"/>
        <w:keepLines w:val="0"/>
        <w:pageBreakBefore w:val="0"/>
        <w:widowControl w:val="0"/>
        <w:kinsoku/>
        <w:wordWrap w:val="0"/>
        <w:overflowPunct/>
        <w:topLinePunct w:val="0"/>
        <w:autoSpaceDE/>
        <w:autoSpaceDN/>
        <w:bidi w:val="0"/>
        <w:adjustRightInd/>
        <w:snapToGrid/>
        <w:spacing w:after="156" w:afterLines="50" w:line="360" w:lineRule="auto"/>
        <w:jc w:val="center"/>
        <w:textAlignment w:val="auto"/>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lang w:val="en-US" w:eastAsia="zh-CN"/>
        </w:rPr>
        <w:t>最终分项报价表</w:t>
      </w:r>
    </w:p>
    <w:p>
      <w:pPr>
        <w:keepNext w:val="0"/>
        <w:keepLines w:val="0"/>
        <w:pageBreakBefore w:val="0"/>
        <w:widowControl w:val="0"/>
        <w:kinsoku/>
        <w:wordWrap w:val="0"/>
        <w:overflowPunct/>
        <w:topLinePunct w:val="0"/>
        <w:autoSpaceDE/>
        <w:autoSpaceDN/>
        <w:bidi w:val="0"/>
        <w:adjustRightInd/>
        <w:snapToGrid/>
        <w:spacing w:after="156" w:afterLines="50"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（采购人）</w:t>
      </w:r>
      <w:r>
        <w:rPr>
          <w:rFonts w:hint="eastAsia" w:ascii="宋体" w:hAnsi="宋体" w:eastAsia="宋体" w:cs="宋体"/>
          <w:color w:val="auto"/>
          <w:sz w:val="24"/>
          <w:szCs w:val="24"/>
          <w:highlight w:val="none"/>
          <w:u w:val="single"/>
          <w:lang w:val="en-US" w:eastAsia="zh-CN"/>
        </w:rPr>
        <w:t xml:space="preserve">     </w:t>
      </w:r>
    </w:p>
    <w:tbl>
      <w:tblPr>
        <w:tblStyle w:val="41"/>
        <w:tblW w:w="97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4"/>
        <w:gridCol w:w="1472"/>
        <w:gridCol w:w="1954"/>
        <w:gridCol w:w="746"/>
        <w:gridCol w:w="1940"/>
        <w:gridCol w:w="1127"/>
        <w:gridCol w:w="1122"/>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72"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货物名称</w:t>
            </w:r>
          </w:p>
        </w:tc>
        <w:tc>
          <w:tcPr>
            <w:tcW w:w="1954"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型号和规格</w:t>
            </w:r>
          </w:p>
        </w:tc>
        <w:tc>
          <w:tcPr>
            <w:tcW w:w="746"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940"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制造商/生产厂商名称</w:t>
            </w:r>
          </w:p>
        </w:tc>
        <w:tc>
          <w:tcPr>
            <w:tcW w:w="1127"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单价</w:t>
            </w:r>
          </w:p>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1122" w:type="dxa"/>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w:t>
            </w:r>
          </w:p>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（元）</w:t>
            </w:r>
          </w:p>
        </w:tc>
        <w:tc>
          <w:tcPr>
            <w:tcW w:w="741" w:type="dxa"/>
            <w:vAlign w:val="center"/>
          </w:tcPr>
          <w:p>
            <w:pPr>
              <w:pStyle w:val="17"/>
              <w:ind w:left="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rPr>
            </w:pPr>
          </w:p>
        </w:tc>
        <w:tc>
          <w:tcPr>
            <w:tcW w:w="1472"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rPr>
            </w:pPr>
          </w:p>
        </w:tc>
        <w:tc>
          <w:tcPr>
            <w:tcW w:w="1472"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rPr>
            </w:pPr>
          </w:p>
        </w:tc>
        <w:tc>
          <w:tcPr>
            <w:tcW w:w="1472"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rPr>
            </w:pPr>
          </w:p>
        </w:tc>
        <w:tc>
          <w:tcPr>
            <w:tcW w:w="1472"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604" w:type="dxa"/>
            <w:vAlign w:val="center"/>
          </w:tcPr>
          <w:p>
            <w:pPr>
              <w:pStyle w:val="17"/>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1472" w:type="dxa"/>
            <w:vAlign w:val="center"/>
          </w:tcPr>
          <w:p>
            <w:pPr>
              <w:pStyle w:val="17"/>
              <w:rPr>
                <w:rFonts w:hint="eastAsia" w:ascii="宋体" w:hAnsi="宋体" w:eastAsia="宋体" w:cs="宋体"/>
                <w:color w:val="auto"/>
                <w:sz w:val="24"/>
                <w:szCs w:val="24"/>
                <w:highlight w:val="none"/>
              </w:rPr>
            </w:pPr>
          </w:p>
        </w:tc>
        <w:tc>
          <w:tcPr>
            <w:tcW w:w="1954" w:type="dxa"/>
            <w:vAlign w:val="center"/>
          </w:tcPr>
          <w:p>
            <w:pPr>
              <w:pStyle w:val="17"/>
              <w:rPr>
                <w:rFonts w:hint="eastAsia" w:ascii="宋体" w:hAnsi="宋体" w:eastAsia="宋体" w:cs="宋体"/>
                <w:color w:val="auto"/>
                <w:sz w:val="24"/>
                <w:szCs w:val="24"/>
                <w:highlight w:val="none"/>
              </w:rPr>
            </w:pPr>
          </w:p>
        </w:tc>
        <w:tc>
          <w:tcPr>
            <w:tcW w:w="746" w:type="dxa"/>
            <w:vAlign w:val="center"/>
          </w:tcPr>
          <w:p>
            <w:pPr>
              <w:pStyle w:val="17"/>
              <w:rPr>
                <w:rFonts w:hint="eastAsia" w:ascii="宋体" w:hAnsi="宋体" w:eastAsia="宋体" w:cs="宋体"/>
                <w:color w:val="auto"/>
                <w:sz w:val="24"/>
                <w:szCs w:val="24"/>
                <w:highlight w:val="none"/>
              </w:rPr>
            </w:pPr>
          </w:p>
        </w:tc>
        <w:tc>
          <w:tcPr>
            <w:tcW w:w="1940" w:type="dxa"/>
            <w:vAlign w:val="center"/>
          </w:tcPr>
          <w:p>
            <w:pPr>
              <w:pStyle w:val="17"/>
              <w:rPr>
                <w:rFonts w:hint="eastAsia" w:ascii="宋体" w:hAnsi="宋体" w:eastAsia="宋体" w:cs="宋体"/>
                <w:color w:val="auto"/>
                <w:sz w:val="24"/>
                <w:szCs w:val="24"/>
                <w:highlight w:val="none"/>
              </w:rPr>
            </w:pPr>
          </w:p>
        </w:tc>
        <w:tc>
          <w:tcPr>
            <w:tcW w:w="1127" w:type="dxa"/>
            <w:vAlign w:val="center"/>
          </w:tcPr>
          <w:p>
            <w:pPr>
              <w:pStyle w:val="17"/>
              <w:rPr>
                <w:rFonts w:hint="eastAsia" w:ascii="宋体" w:hAnsi="宋体" w:eastAsia="宋体" w:cs="宋体"/>
                <w:color w:val="auto"/>
                <w:sz w:val="24"/>
                <w:szCs w:val="24"/>
                <w:highlight w:val="none"/>
              </w:rPr>
            </w:pPr>
          </w:p>
        </w:tc>
        <w:tc>
          <w:tcPr>
            <w:tcW w:w="1122" w:type="dxa"/>
            <w:vAlign w:val="center"/>
          </w:tcPr>
          <w:p>
            <w:pPr>
              <w:pStyle w:val="17"/>
              <w:rPr>
                <w:rFonts w:hint="eastAsia" w:ascii="宋体" w:hAnsi="宋体" w:eastAsia="宋体" w:cs="宋体"/>
                <w:color w:val="auto"/>
                <w:sz w:val="24"/>
                <w:szCs w:val="24"/>
                <w:highlight w:val="none"/>
              </w:rPr>
            </w:pPr>
          </w:p>
        </w:tc>
        <w:tc>
          <w:tcPr>
            <w:tcW w:w="741" w:type="dxa"/>
            <w:vAlign w:val="center"/>
          </w:tcPr>
          <w:p>
            <w:pPr>
              <w:pStyle w:val="17"/>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16" w:hRule="atLeast"/>
          <w:jc w:val="center"/>
        </w:trPr>
        <w:tc>
          <w:tcPr>
            <w:tcW w:w="7843" w:type="dxa"/>
            <w:gridSpan w:val="6"/>
            <w:vAlign w:val="center"/>
          </w:tcPr>
          <w:p>
            <w:pPr>
              <w:pStyle w:val="17"/>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   计（</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总价）</w:t>
            </w:r>
          </w:p>
        </w:tc>
        <w:tc>
          <w:tcPr>
            <w:tcW w:w="1863" w:type="dxa"/>
            <w:gridSpan w:val="2"/>
            <w:vAlign w:val="center"/>
          </w:tcPr>
          <w:p>
            <w:pPr>
              <w:pStyle w:val="17"/>
              <w:jc w:val="center"/>
              <w:rPr>
                <w:rFonts w:hint="eastAsia" w:ascii="宋体" w:hAnsi="宋体" w:eastAsia="宋体" w:cs="宋体"/>
                <w:color w:val="auto"/>
                <w:sz w:val="24"/>
                <w:szCs w:val="24"/>
                <w:highlight w:val="none"/>
              </w:rPr>
            </w:pPr>
          </w:p>
        </w:tc>
      </w:tr>
    </w:tbl>
    <w:p>
      <w:pPr>
        <w:pageBreakBefore w:val="0"/>
        <w:kinsoku/>
        <w:wordWrap w:val="0"/>
        <w:topLinePunct w:val="0"/>
        <w:bidi w:val="0"/>
        <w:spacing w:line="360" w:lineRule="auto"/>
        <w:jc w:val="center"/>
        <w:rPr>
          <w:rFonts w:hint="eastAsia" w:ascii="宋体" w:hAnsi="宋体" w:eastAsia="宋体" w:cs="宋体"/>
          <w:color w:val="auto"/>
          <w:sz w:val="24"/>
          <w:szCs w:val="24"/>
          <w:highlight w:val="none"/>
        </w:rPr>
      </w:pP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1.此表顺序应与</w:t>
      </w:r>
      <w:r>
        <w:rPr>
          <w:rFonts w:hint="eastAsia" w:ascii="宋体" w:hAnsi="宋体" w:eastAsia="宋体" w:cs="宋体"/>
          <w:color w:val="auto"/>
          <w:sz w:val="24"/>
          <w:szCs w:val="24"/>
          <w:highlight w:val="none"/>
          <w:lang w:val="en-US" w:eastAsia="zh-CN"/>
        </w:rPr>
        <w:t>第三章《采购需求》设备</w:t>
      </w:r>
      <w:r>
        <w:rPr>
          <w:rFonts w:hint="eastAsia" w:ascii="宋体" w:hAnsi="宋体" w:eastAsia="宋体" w:cs="宋体"/>
          <w:color w:val="auto"/>
          <w:sz w:val="24"/>
          <w:szCs w:val="24"/>
          <w:highlight w:val="none"/>
        </w:rPr>
        <w:t>清单一致，数量不能有差异，否则将被判定为无效投标。</w:t>
      </w:r>
    </w:p>
    <w:p>
      <w:pPr>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2.可根据实际需要增加横栏。</w:t>
      </w:r>
    </w:p>
    <w:p>
      <w:pPr>
        <w:pStyle w:val="1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hAnsi="宋体" w:cs="宋体"/>
          <w:b/>
          <w:bCs/>
          <w:color w:val="auto"/>
          <w:sz w:val="24"/>
          <w:szCs w:val="24"/>
          <w:highlight w:val="none"/>
          <w:lang w:val="en-US" w:eastAsia="zh-CN"/>
        </w:rPr>
        <w:t>最终</w:t>
      </w:r>
      <w:r>
        <w:rPr>
          <w:rFonts w:hint="eastAsia" w:ascii="宋体" w:hAnsi="宋体" w:eastAsia="宋体" w:cs="宋体"/>
          <w:b/>
          <w:bCs/>
          <w:color w:val="auto"/>
          <w:sz w:val="24"/>
          <w:szCs w:val="24"/>
          <w:highlight w:val="none"/>
          <w:lang w:val="en-US" w:eastAsia="zh-CN"/>
        </w:rPr>
        <w:t>分项报价表》合计应与《</w:t>
      </w:r>
      <w:r>
        <w:rPr>
          <w:rFonts w:hint="eastAsia" w:hAnsi="宋体" w:cs="宋体"/>
          <w:b/>
          <w:bCs/>
          <w:color w:val="auto"/>
          <w:sz w:val="24"/>
          <w:szCs w:val="24"/>
          <w:highlight w:val="none"/>
          <w:lang w:val="en-US" w:eastAsia="zh-CN"/>
        </w:rPr>
        <w:t>最终</w:t>
      </w:r>
      <w:r>
        <w:rPr>
          <w:rFonts w:hint="eastAsia" w:ascii="宋体" w:hAnsi="宋体" w:eastAsia="宋体" w:cs="宋体"/>
          <w:b/>
          <w:bCs/>
          <w:color w:val="auto"/>
          <w:sz w:val="24"/>
          <w:szCs w:val="24"/>
          <w:highlight w:val="none"/>
          <w:lang w:val="en-US" w:eastAsia="zh-CN"/>
        </w:rPr>
        <w:t>报价一览表》投标报价相同，否则有可能被</w:t>
      </w:r>
      <w:r>
        <w:rPr>
          <w:rFonts w:hint="eastAsia" w:hAnsi="宋体" w:cs="宋体"/>
          <w:b/>
          <w:bCs/>
          <w:color w:val="auto"/>
          <w:sz w:val="24"/>
          <w:szCs w:val="24"/>
          <w:highlight w:val="none"/>
          <w:lang w:val="en-US" w:eastAsia="zh-CN"/>
        </w:rPr>
        <w:t>磋商小组</w:t>
      </w:r>
      <w:r>
        <w:rPr>
          <w:rFonts w:hint="eastAsia" w:ascii="宋体" w:hAnsi="宋体" w:eastAsia="宋体" w:cs="宋体"/>
          <w:b/>
          <w:bCs/>
          <w:color w:val="auto"/>
          <w:sz w:val="24"/>
          <w:szCs w:val="24"/>
          <w:highlight w:val="none"/>
          <w:lang w:val="en-US" w:eastAsia="zh-CN"/>
        </w:rPr>
        <w:t>判定为投标无效的风险由投标人自行承担。</w:t>
      </w:r>
    </w:p>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4.报价小数点后保留2位，第三位四舍五入。</w:t>
      </w:r>
    </w:p>
    <w:p>
      <w:pPr>
        <w:keepNext w:val="0"/>
        <w:keepLines w:val="0"/>
        <w:pageBreakBefore w:val="0"/>
        <w:widowControl w:val="0"/>
        <w:kinsoku/>
        <w:wordWrap w:val="0"/>
        <w:overflowPunct/>
        <w:topLinePunct w:val="0"/>
        <w:autoSpaceDE/>
        <w:autoSpaceDN/>
        <w:bidi w:val="0"/>
        <w:adjustRightInd/>
        <w:snapToGrid/>
        <w:spacing w:after="156" w:afterLines="50" w:line="360" w:lineRule="auto"/>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5.本项目</w:t>
      </w:r>
      <w:r>
        <w:rPr>
          <w:rFonts w:hint="eastAsia" w:ascii="宋体" w:hAnsi="宋体" w:eastAsia="宋体" w:cs="宋体"/>
          <w:b/>
          <w:bCs/>
          <w:color w:val="auto"/>
          <w:sz w:val="24"/>
          <w:szCs w:val="24"/>
          <w:highlight w:val="none"/>
        </w:rPr>
        <w:t>开启</w:t>
      </w:r>
      <w:r>
        <w:rPr>
          <w:rFonts w:hint="eastAsia" w:ascii="宋体" w:hAnsi="宋体" w:eastAsia="宋体" w:cs="宋体"/>
          <w:b/>
          <w:bCs/>
          <w:color w:val="auto"/>
          <w:sz w:val="24"/>
          <w:szCs w:val="24"/>
          <w:highlight w:val="none"/>
          <w:lang w:val="en-US" w:eastAsia="zh-CN"/>
        </w:rPr>
        <w:t>最终轮磋商报价后供应商需按《</w:t>
      </w:r>
      <w:r>
        <w:rPr>
          <w:rFonts w:hint="eastAsia" w:hAnsi="宋体" w:cs="宋体"/>
          <w:b/>
          <w:bCs/>
          <w:color w:val="auto"/>
          <w:sz w:val="24"/>
          <w:szCs w:val="24"/>
          <w:highlight w:val="none"/>
          <w:lang w:val="en-US" w:eastAsia="zh-CN"/>
        </w:rPr>
        <w:t>最终</w:t>
      </w:r>
      <w:r>
        <w:rPr>
          <w:rFonts w:hint="eastAsia" w:ascii="宋体" w:hAnsi="宋体" w:eastAsia="宋体" w:cs="宋体"/>
          <w:b/>
          <w:bCs/>
          <w:color w:val="auto"/>
          <w:sz w:val="24"/>
          <w:szCs w:val="24"/>
          <w:highlight w:val="none"/>
          <w:lang w:val="en-US" w:eastAsia="zh-CN"/>
        </w:rPr>
        <w:t>报价一览表》</w:t>
      </w:r>
      <w:r>
        <w:rPr>
          <w:rFonts w:hint="eastAsia" w:ascii="宋体" w:hAnsi="宋体" w:cs="宋体"/>
          <w:b/>
          <w:bCs/>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w:t>
      </w:r>
      <w:r>
        <w:rPr>
          <w:rFonts w:hint="eastAsia" w:hAnsi="宋体" w:cs="宋体"/>
          <w:b/>
          <w:bCs/>
          <w:color w:val="auto"/>
          <w:sz w:val="24"/>
          <w:szCs w:val="24"/>
          <w:highlight w:val="none"/>
          <w:lang w:val="en-US" w:eastAsia="zh-CN"/>
        </w:rPr>
        <w:t>最终</w:t>
      </w:r>
      <w:r>
        <w:rPr>
          <w:rFonts w:hint="eastAsia" w:ascii="宋体" w:hAnsi="宋体" w:eastAsia="宋体" w:cs="宋体"/>
          <w:b/>
          <w:bCs/>
          <w:color w:val="auto"/>
          <w:sz w:val="24"/>
          <w:szCs w:val="24"/>
          <w:highlight w:val="none"/>
          <w:lang w:val="en-US" w:eastAsia="zh-CN"/>
        </w:rPr>
        <w:t>分项报价表》</w:t>
      </w:r>
    </w:p>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格式填报作为最终轮磋商报价并</w:t>
      </w:r>
      <w:r>
        <w:rPr>
          <w:rFonts w:hint="eastAsia" w:ascii="宋体" w:hAnsi="宋体" w:eastAsia="宋体" w:cs="宋体"/>
          <w:b/>
          <w:bCs/>
          <w:color w:val="auto"/>
          <w:sz w:val="24"/>
          <w:szCs w:val="24"/>
          <w:highlight w:val="none"/>
        </w:rPr>
        <w:t>上传</w:t>
      </w:r>
      <w:r>
        <w:rPr>
          <w:rFonts w:hint="eastAsia" w:ascii="宋体" w:hAnsi="宋体" w:eastAsia="宋体" w:cs="宋体"/>
          <w:b/>
          <w:bCs/>
          <w:color w:val="auto"/>
          <w:sz w:val="24"/>
          <w:szCs w:val="24"/>
          <w:highlight w:val="none"/>
          <w:lang w:val="en-US" w:eastAsia="zh-CN"/>
        </w:rPr>
        <w:t>至</w:t>
      </w:r>
      <w:r>
        <w:rPr>
          <w:rFonts w:hint="eastAsia" w:ascii="宋体" w:hAnsi="宋体" w:cs="宋体"/>
          <w:b/>
          <w:bCs/>
          <w:color w:val="auto"/>
          <w:sz w:val="24"/>
          <w:szCs w:val="24"/>
          <w:highlight w:val="none"/>
          <w:lang w:val="en-US" w:eastAsia="zh-CN"/>
        </w:rPr>
        <w:t>政采云平台</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报价模版或</w:t>
      </w:r>
      <w:r>
        <w:rPr>
          <w:rFonts w:hint="eastAsia" w:ascii="宋体" w:hAnsi="宋体" w:eastAsia="宋体" w:cs="宋体"/>
          <w:b/>
          <w:bCs/>
          <w:color w:val="auto"/>
          <w:sz w:val="24"/>
          <w:szCs w:val="24"/>
          <w:highlight w:val="none"/>
        </w:rPr>
        <w:t>其他附件”</w:t>
      </w:r>
      <w:r>
        <w:rPr>
          <w:rFonts w:hint="eastAsia" w:ascii="宋体" w:hAnsi="宋体" w:eastAsia="宋体" w:cs="宋体"/>
          <w:b/>
          <w:bCs/>
          <w:color w:val="auto"/>
          <w:sz w:val="24"/>
          <w:szCs w:val="24"/>
          <w:highlight w:val="none"/>
          <w:lang w:eastAsia="zh-CN"/>
        </w:rPr>
        <w:t>。</w:t>
      </w:r>
    </w:p>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p>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p>
    <w:p>
      <w:pPr>
        <w:keepNext w:val="0"/>
        <w:keepLines w:val="0"/>
        <w:pageBreakBefore w:val="0"/>
        <w:widowControl w:val="0"/>
        <w:kinsoku/>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p>
    <w:p>
      <w:pPr>
        <w:pageBreakBefore w:val="0"/>
        <w:kinsoku/>
        <w:wordWrap w:val="0"/>
        <w:topLinePunct w:val="0"/>
        <w:bidi w:val="0"/>
        <w:spacing w:line="360" w:lineRule="auto"/>
        <w:jc w:val="center"/>
        <w:rPr>
          <w:rFonts w:hint="eastAsia" w:ascii="宋体" w:hAnsi="宋体" w:eastAsia="宋体" w:cs="宋体"/>
          <w:color w:val="auto"/>
          <w:sz w:val="24"/>
          <w:szCs w:val="24"/>
          <w:highlight w:val="none"/>
        </w:rPr>
      </w:pPr>
    </w:p>
    <w:p>
      <w:pPr>
        <w:snapToGrid w:val="0"/>
        <w:spacing w:line="480" w:lineRule="auto"/>
        <w:ind w:firstLine="3120" w:firstLineChars="13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（加盖电子公章）</w:t>
      </w:r>
    </w:p>
    <w:p>
      <w:pPr>
        <w:adjustRightInd w:val="0"/>
        <w:snapToGrid w:val="0"/>
        <w:spacing w:line="360" w:lineRule="auto"/>
        <w:ind w:firstLine="3120" w:firstLineChars="13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aps/>
          <w:color w:val="auto"/>
          <w:sz w:val="24"/>
          <w:szCs w:val="24"/>
          <w:highlight w:val="none"/>
        </w:rPr>
        <w:t>电子签章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pPr>
        <w:snapToGrid w:val="0"/>
        <w:spacing w:line="480" w:lineRule="auto"/>
        <w:ind w:firstLine="6000" w:firstLineChars="2500"/>
        <w:jc w:val="left"/>
        <w:rPr>
          <w:rFonts w:hint="eastAsia" w:ascii="宋体" w:hAnsi="宋体" w:eastAsia="宋体" w:cs="宋体"/>
          <w:bCs/>
          <w:color w:val="auto"/>
          <w:kern w:val="0"/>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kern w:val="0"/>
          <w:sz w:val="24"/>
          <w:szCs w:val="24"/>
          <w:highlight w:val="none"/>
        </w:rPr>
        <w:t>日</w:t>
      </w:r>
    </w:p>
    <w:p>
      <w:pPr>
        <w:snapToGrid w:val="0"/>
        <w:spacing w:line="480" w:lineRule="auto"/>
        <w:jc w:val="center"/>
        <w:rPr>
          <w:rFonts w:hint="eastAsia" w:ascii="宋体" w:hAnsi="宋体" w:eastAsia="宋体" w:cs="宋体"/>
          <w:b/>
          <w:color w:val="auto"/>
          <w:kern w:val="0"/>
          <w:sz w:val="30"/>
          <w:szCs w:val="30"/>
          <w:highlight w:val="none"/>
          <w:lang w:val="en-US" w:eastAsia="zh-CN"/>
        </w:rPr>
      </w:pPr>
    </w:p>
    <w:p>
      <w:pPr>
        <w:snapToGrid w:val="0"/>
        <w:spacing w:line="480" w:lineRule="auto"/>
        <w:jc w:val="center"/>
        <w:rPr>
          <w:rFonts w:hint="eastAsia" w:ascii="宋体" w:hAnsi="宋体" w:eastAsia="宋体" w:cs="宋体"/>
          <w:b/>
          <w:color w:val="auto"/>
          <w:kern w:val="0"/>
          <w:sz w:val="30"/>
          <w:szCs w:val="30"/>
          <w:highlight w:val="none"/>
        </w:rPr>
      </w:pPr>
      <w:r>
        <w:rPr>
          <w:rFonts w:hint="eastAsia" w:ascii="宋体" w:hAnsi="宋体" w:eastAsia="宋体" w:cs="宋体"/>
          <w:b/>
          <w:color w:val="auto"/>
          <w:kern w:val="0"/>
          <w:sz w:val="30"/>
          <w:szCs w:val="30"/>
          <w:highlight w:val="none"/>
          <w:lang w:val="en-US" w:eastAsia="zh-CN"/>
        </w:rPr>
        <w:t>1</w:t>
      </w:r>
      <w:r>
        <w:rPr>
          <w:rFonts w:hint="eastAsia" w:ascii="宋体" w:hAnsi="宋体" w:cs="宋体"/>
          <w:b/>
          <w:color w:val="auto"/>
          <w:kern w:val="0"/>
          <w:sz w:val="30"/>
          <w:szCs w:val="30"/>
          <w:highlight w:val="none"/>
          <w:lang w:val="en-US" w:eastAsia="zh-CN"/>
        </w:rPr>
        <w:t>1</w:t>
      </w:r>
      <w:r>
        <w:rPr>
          <w:rFonts w:hint="eastAsia" w:ascii="宋体" w:hAnsi="宋体" w:eastAsia="宋体" w:cs="宋体"/>
          <w:b/>
          <w:color w:val="auto"/>
          <w:kern w:val="0"/>
          <w:sz w:val="30"/>
          <w:szCs w:val="30"/>
          <w:highlight w:val="none"/>
        </w:rPr>
        <w:t>、</w:t>
      </w:r>
      <w:r>
        <w:rPr>
          <w:rFonts w:hint="eastAsia" w:ascii="宋体" w:hAnsi="宋体" w:eastAsia="宋体" w:cs="宋体"/>
          <w:b/>
          <w:color w:val="auto"/>
          <w:kern w:val="0"/>
          <w:sz w:val="30"/>
          <w:szCs w:val="30"/>
          <w:highlight w:val="none"/>
          <w:lang w:val="en-US" w:eastAsia="zh-CN"/>
        </w:rPr>
        <w:t>磋商</w:t>
      </w:r>
      <w:r>
        <w:rPr>
          <w:rFonts w:hint="eastAsia" w:ascii="宋体" w:hAnsi="宋体" w:eastAsia="宋体" w:cs="宋体"/>
          <w:b/>
          <w:color w:val="auto"/>
          <w:kern w:val="0"/>
          <w:sz w:val="30"/>
          <w:szCs w:val="30"/>
          <w:highlight w:val="none"/>
        </w:rPr>
        <w:t>文件要求以及供应商认为有必要提供的资料</w:t>
      </w:r>
    </w:p>
    <w:p>
      <w:pPr>
        <w:pStyle w:val="9"/>
        <w:rPr>
          <w:rFonts w:hint="eastAsia" w:ascii="宋体" w:hAnsi="宋体" w:eastAsia="宋体" w:cs="宋体"/>
          <w:color w:val="auto"/>
          <w:sz w:val="24"/>
          <w:szCs w:val="24"/>
          <w:highlight w:val="none"/>
        </w:rPr>
      </w:pPr>
    </w:p>
    <w:sectPr>
      <w:footerReference r:id="rId18" w:type="default"/>
      <w:pgSz w:w="11906" w:h="16838"/>
      <w:pgMar w:top="1440" w:right="1080" w:bottom="1440" w:left="1080"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仿宋_GB2312">
    <w:panose1 w:val="02010609030101010101"/>
    <w:charset w:val="86"/>
    <w:family w:val="modern"/>
    <w:pitch w:val="default"/>
    <w:sig w:usb0="00000000" w:usb1="00000000" w:usb2="00000000" w:usb3="00000000" w:csb0="00000000" w:csb1="00000000"/>
    <w:embedRegular r:id="rId1" w:fontKey="{3CB82148-D6FB-4302-BB32-F7A6050D608D}"/>
  </w:font>
  <w:font w:name="MS Sans Serif">
    <w:altName w:val="Arial"/>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宋体">
    <w:altName w:val="宋体"/>
    <w:panose1 w:val="00000000000000000000"/>
    <w:charset w:val="86"/>
    <w:family w:val="swiss"/>
    <w:pitch w:val="default"/>
    <w:sig w:usb0="00000000" w:usb1="00000000" w:usb2="00000010" w:usb3="00000000" w:csb0="00040000" w:csb1="00000000"/>
    <w:embedRegular r:id="rId2" w:fontKey="{4866E354-AD01-44D2-B0D1-B8AFE69FAA69}"/>
  </w:font>
  <w:font w:name="华文中宋">
    <w:panose1 w:val="02010600040101010101"/>
    <w:charset w:val="86"/>
    <w:family w:val="auto"/>
    <w:pitch w:val="default"/>
    <w:sig w:usb0="00000000" w:usb1="00000000" w:usb2="00000000" w:usb3="00000000" w:csb0="00000000" w:csb1="00000000"/>
    <w:embedRegular r:id="rId3" w:fontKey="{C3E34B6F-C8A4-4072-87DA-E97257D9E2A1}"/>
  </w:font>
  <w:font w:name="Wingdings 2">
    <w:altName w:val="Wingdings"/>
    <w:panose1 w:val="05020102010507070707"/>
    <w:charset w:val="02"/>
    <w:family w:val="roman"/>
    <w:pitch w:val="default"/>
    <w:sig w:usb0="00000000" w:usb1="00000000" w:usb2="00000000" w:usb3="00000000" w:csb0="80000000" w:csb1="00000000"/>
    <w:embedRegular r:id="rId4" w:fontKey="{3A47B95E-D53F-4FFA-8457-DB91C0E34B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4512"/>
        <w:tab w:val="clear" w:pos="4153"/>
      </w:tabs>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TvZE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BIk72REwIAABUEAAAOAAAAAAAAAAEA&#10;IAAAAB8BAABkcnMvZTJvRG9jLnhtbFBLBQYAAAAABgAGAFkBAACkBQ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r>
      <w:rPr>
        <w:rFonts w:hint="eastAsia"/>
      </w:rPr>
      <w:tab/>
    </w:r>
  </w:p>
  <w:p>
    <w:pPr>
      <w:pStyle w:val="20"/>
      <w:tabs>
        <w:tab w:val="center" w:pos="4512"/>
        <w:tab w:val="clear" w:pos="4153"/>
      </w:tabs>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rPr>
        <w:rFonts w:eastAsia="仿宋_GB2312"/>
        <w:sz w:val="24"/>
      </w:rPr>
    </w:pPr>
    <w:r>
      <w:rPr>
        <w:sz w:val="24"/>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sz w:val="21"/>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oX50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RtKNFPY0enH99PPh9OvbwQ6ANRaP4PfxsIzdO9MB+dB76GMc3eV&#10;U/HGRAR2QH28wCu6QHgMmk6m0xwmDtvwQP7sMdw6H94Lo0gUCuqwvwQrO6x96F0Hl1hNm1UjZdqh&#10;1KQt6NXrt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B2hfnRQCAAAVBAAADgAAAAAAAAAB&#10;ACAAAAAfAQAAZHJzL2Uyb0RvYy54bWxQSwUGAAAAAAYABgBZAQAApQU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72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AyHI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vr/I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cDIchQCAAAVBAAADgAAAAAAAAAB&#10;ACAAAAAfAQAAZHJzL2Uyb0RvYy54bWxQSwUGAAAAAAYABgBZAQAApQU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72</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51560" cy="310515"/>
              <wp:effectExtent l="0" t="0" r="0" b="0"/>
              <wp:wrapNone/>
              <wp:docPr id="6" name="图像2"/>
              <wp:cNvGraphicFramePr/>
              <a:graphic xmlns:a="http://schemas.openxmlformats.org/drawingml/2006/main">
                <a:graphicData uri="http://schemas.microsoft.com/office/word/2010/wordprocessingShape">
                  <wps:wsp>
                    <wps:cNvSpPr/>
                    <wps:spPr>
                      <a:xfrm>
                        <a:off x="0" y="0"/>
                        <a:ext cx="1051560" cy="310515"/>
                      </a:xfrm>
                      <a:prstGeom prst="rect">
                        <a:avLst/>
                      </a:prstGeom>
                      <a:solidFill>
                        <a:srgbClr val="FFFFFF">
                          <a:alpha val="0"/>
                        </a:srgbClr>
                      </a:solidFill>
                      <a:ln>
                        <a:noFill/>
                      </a:ln>
                    </wps:spPr>
                    <wps:txbx>
                      <w:txbxContent>
                        <w:p>
                          <w:pPr>
                            <w:pStyle w:val="87"/>
                            <w:snapToGrid w:val="0"/>
                            <w:rPr>
                              <w:sz w:val="18"/>
                            </w:rPr>
                          </w:pPr>
                          <w:r>
                            <w:rPr>
                              <w:sz w:val="18"/>
                            </w:rPr>
                            <w:t xml:space="preserve"> </w:t>
                          </w:r>
                        </w:p>
                      </w:txbxContent>
                    </wps:txbx>
                    <wps:bodyPr lIns="0" tIns="0" rIns="0" bIns="0" upright="1"/>
                  </wps:wsp>
                </a:graphicData>
              </a:graphic>
            </wp:anchor>
          </w:drawing>
        </mc:Choice>
        <mc:Fallback>
          <w:pict>
            <v:rect id="图像2" o:spid="_x0000_s1026" o:spt="1" style="position:absolute;left:0pt;margin-top:0pt;height:24.45pt;width:82.8pt;mso-position-horizontal:center;mso-position-horizontal-relative:margin;z-index:251659264;mso-width-relative:page;mso-height-relative:page;" fillcolor="#FFFFFF" filled="t" stroked="f" coordsize="21600,21600" o:gfxdata="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hB01CNQA&#10;AAAEAQAADwAAAAAAAAABACAAAAAiAAAAZHJzL2Rvd25yZXYueG1sUEsBAhQAFAAAAAgAh07iQFWd&#10;TMGxAQAAXAMAAA4AAAAAAAAAAQAgAAAAIwEAAGRycy9lMm9Eb2MueG1sUEsFBgAAAAAGAAYAWQEA&#10;AEYFAAAAAA==&#10;">
              <v:fill on="t" opacity="0f" focussize="0,0"/>
              <v:stroke on="f"/>
              <v:imagedata o:title=""/>
              <o:lock v:ext="edit" aspectratio="f"/>
              <v:textbox inset="0mm,0mm,0mm,0mm">
                <w:txbxContent>
                  <w:p>
                    <w:pPr>
                      <w:pStyle w:val="87"/>
                      <w:snapToGrid w:val="0"/>
                      <w:rPr>
                        <w:sz w:val="18"/>
                      </w:rPr>
                    </w:pPr>
                    <w:r>
                      <w:rPr>
                        <w:sz w:val="18"/>
                      </w:rPr>
                      <w:t xml:space="preserve"> </w:t>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wj4BmRQCAAAVBAAADgAAAAAAAAAB&#10;ACAAAAAfAQAAZHJzL2Uyb0RvYy54bWxQSwUGAAAAAAYABgBZAQAApQU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78</w:t>
                    </w:r>
                    <w:r>
                      <w:fldChar w:fldCharType="end"/>
                    </w:r>
                    <w:r>
                      <w:t xml:space="preserve"> 页</w:t>
                    </w: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51560" cy="310515"/>
              <wp:effectExtent l="0" t="0" r="0" b="0"/>
              <wp:wrapNone/>
              <wp:docPr id="7" name="图像2"/>
              <wp:cNvGraphicFramePr/>
              <a:graphic xmlns:a="http://schemas.openxmlformats.org/drawingml/2006/main">
                <a:graphicData uri="http://schemas.microsoft.com/office/word/2010/wordprocessingShape">
                  <wps:wsp>
                    <wps:cNvSpPr/>
                    <wps:spPr>
                      <a:xfrm>
                        <a:off x="0" y="0"/>
                        <a:ext cx="1051560" cy="310515"/>
                      </a:xfrm>
                      <a:prstGeom prst="rect">
                        <a:avLst/>
                      </a:prstGeom>
                      <a:solidFill>
                        <a:srgbClr val="FFFFFF">
                          <a:alpha val="0"/>
                        </a:srgbClr>
                      </a:solidFill>
                      <a:ln>
                        <a:noFill/>
                      </a:ln>
                    </wps:spPr>
                    <wps:txbx>
                      <w:txbxContent>
                        <w:p>
                          <w:pPr>
                            <w:pStyle w:val="87"/>
                            <w:snapToGrid w:val="0"/>
                            <w:rPr>
                              <w:sz w:val="18"/>
                            </w:rPr>
                          </w:pPr>
                          <w:r>
                            <w:rPr>
                              <w:sz w:val="18"/>
                            </w:rPr>
                            <w:t xml:space="preserve"> </w:t>
                          </w:r>
                        </w:p>
                      </w:txbxContent>
                    </wps:txbx>
                    <wps:bodyPr lIns="0" tIns="0" rIns="0" bIns="0" upright="1"/>
                  </wps:wsp>
                </a:graphicData>
              </a:graphic>
            </wp:anchor>
          </w:drawing>
        </mc:Choice>
        <mc:Fallback>
          <w:pict>
            <v:rect id="图像2" o:spid="_x0000_s1026" o:spt="1" style="position:absolute;left:0pt;margin-top:0pt;height:24.45pt;width:82.8pt;mso-position-horizontal:center;mso-position-horizontal-relative:margin;z-index:251660288;mso-width-relative:page;mso-height-relative:page;" fillcolor="#FFFFFF" filled="t" stroked="f" coordsize="21600,21600" o:gfxdata="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QdNQjU&#10;AAAABAEAAA8AAAAAAAAAAQAgAAAAIgAAAGRycy9kb3ducmV2LnhtbFBLAQIUABQAAAAIAIdO4kDM&#10;pXHHsgEAAFwDAAAOAAAAAAAAAAEAIAAAACMBAABkcnMvZTJvRG9jLnhtbFBLBQYAAAAABgAGAFkB&#10;AABHBQAAAAA=&#10;">
              <v:fill on="t" opacity="0f" focussize="0,0"/>
              <v:stroke on="f"/>
              <v:imagedata o:title=""/>
              <o:lock v:ext="edit" aspectratio="f"/>
              <v:textbox inset="0mm,0mm,0mm,0mm">
                <w:txbxContent>
                  <w:p>
                    <w:pPr>
                      <w:pStyle w:val="87"/>
                      <w:snapToGrid w:val="0"/>
                      <w:rPr>
                        <w:sz w:val="18"/>
                      </w:rPr>
                    </w:pPr>
                    <w:r>
                      <w:rPr>
                        <w:sz w:val="18"/>
                      </w:rPr>
                      <w:t xml:space="preserve"> </w:t>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t xml:space="preserve">第 </w:t>
                          </w:r>
                          <w:r>
                            <w:fldChar w:fldCharType="begin"/>
                          </w:r>
                          <w:r>
                            <w:instrText xml:space="preserve"> PAGE  \* MERGEFORMAT </w:instrText>
                          </w:r>
                          <w:r>
                            <w:fldChar w:fldCharType="separate"/>
                          </w:r>
                          <w:r>
                            <w:t>83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CWlnYUAgAAFQQAAA4AAABkcnMvZTJvRG9jLnhtbK1Ty47TMBTdI/EP&#10;lvc0aRFD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VtKNFPY0enH99PPh9OvbwQ6ANRaP4PfxsIzdO9MB+dB76GMc3eV&#10;U/HGRAR2QH28wCu6QHgMmk6m0xwmDtvwQP7sMdw6H94Lo0gUCuqwvwQrO6x96F0Hl1hNm1UjZdqh&#10;1KQt6NXrN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gJaWdhQCAAAVBAAADgAAAAAAAAAB&#10;ACAAAAAfAQAAZHJzL2Uyb0RvYy54bWxQSwUGAAAAAAYABgBZAQAApQUAAAAA&#10;">
              <v:fill on="f" focussize="0,0"/>
              <v:stroke on="f" weight="0.5pt"/>
              <v:imagedata o:title=""/>
              <o:lock v:ext="edit" aspectratio="f"/>
              <v:textbox inset="0mm,0mm,0mm,0mm" style="mso-fit-shape-to-text:t;">
                <w:txbxContent>
                  <w:p>
                    <w:pPr>
                      <w:pStyle w:val="20"/>
                    </w:pPr>
                    <w:r>
                      <w:t xml:space="preserve">第 </w:t>
                    </w:r>
                    <w:r>
                      <w:fldChar w:fldCharType="begin"/>
                    </w:r>
                    <w:r>
                      <w:instrText xml:space="preserve"> PAGE  \* MERGEFORMAT </w:instrText>
                    </w:r>
                    <w:r>
                      <w:fldChar w:fldCharType="separate"/>
                    </w:r>
                    <w:r>
                      <w:t>83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left"/>
    </w:pPr>
    <w:r>
      <w:rPr>
        <w:rFonts w:hint="eastAsia"/>
        <w:b/>
        <w:b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mc:AlternateContent>
        <mc:Choice Requires="wps">
          <w:drawing>
            <wp:anchor distT="0" distB="0" distL="114300" distR="114300" simplePos="0" relativeHeight="251662336" behindDoc="1" locked="0" layoutInCell="1" allowOverlap="1">
              <wp:simplePos x="0" y="0"/>
              <wp:positionH relativeFrom="page">
                <wp:posOffset>5026660</wp:posOffset>
              </wp:positionH>
              <wp:positionV relativeFrom="page">
                <wp:posOffset>544830</wp:posOffset>
              </wp:positionV>
              <wp:extent cx="2124075" cy="1524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124075" cy="152400"/>
                      </a:xfrm>
                      <a:prstGeom prst="rect">
                        <a:avLst/>
                      </a:prstGeom>
                      <a:noFill/>
                      <a:ln w="9525">
                        <a:noFill/>
                      </a:ln>
                      <a:effectLst/>
                    </wps:spPr>
                    <wps:txbx>
                      <w:txbxContent>
                        <w:p/>
                      </w:txbxContent>
                    </wps:txbx>
                    <wps:bodyPr lIns="0" tIns="0" rIns="0" bIns="0" upright="1"/>
                  </wps:wsp>
                </a:graphicData>
              </a:graphic>
            </wp:anchor>
          </w:drawing>
        </mc:Choice>
        <mc:Fallback>
          <w:pict>
            <v:shape id="_x0000_s1026" o:spid="_x0000_s1026" o:spt="202" type="#_x0000_t202" style="position:absolute;left:0pt;margin-left:395.8pt;margin-top:42.9pt;height:12pt;width:167.25pt;mso-position-horizontal-relative:page;mso-position-vertical-relative:page;z-index:-251654144;mso-width-relative:page;mso-height-relative:page;" filled="f" stroked="f" coordsize="21600,21600" o:gfxdata="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BAw0BdkA&#10;AAALAQAADwAAAAAAAAABACAAAAAiAAAAZHJzL2Rvd25yZXYueG1sUEsBAhQAFAAAAAgAh07iQPAp&#10;E2msAQAAOwMAAA4AAAAAAAAAAQAgAAAAKAEAAGRycy9lMm9Eb2MueG1sUEsFBgAAAAAGAAYAWQEA&#10;AEYFAAAAAA==&#10;">
              <v:fill on="f" focussize="0,0"/>
              <v:stroke on="f"/>
              <v:imagedata o:title=""/>
              <o:lock v:ext="edit" aspectratio="f"/>
              <v:textbox inset="0mm,0mm,0mm,0mm">
                <w:txbxContent>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eastAsia="华文中宋"/>
        <w:b/>
        <w:color w:val="000000"/>
        <w:sz w:val="24"/>
      </w:rPr>
    </w:pPr>
  </w:p>
  <w:p>
    <w:pPr>
      <w:pStyle w:val="22"/>
      <w:rPr>
        <w:sz w:val="13"/>
        <w:szCs w:val="13"/>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6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00000005"/>
    <w:multiLevelType w:val="multilevel"/>
    <w:tmpl w:val="00000005"/>
    <w:lvl w:ilvl="0" w:tentative="0">
      <w:start w:val="1"/>
      <w:numFmt w:val="decimal"/>
      <w:pStyle w:val="5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00000006"/>
    <w:multiLevelType w:val="singleLevel"/>
    <w:tmpl w:val="00000006"/>
    <w:lvl w:ilvl="0" w:tentative="0">
      <w:start w:val="2"/>
      <w:numFmt w:val="decimal"/>
      <w:suff w:val="space"/>
      <w:lvlText w:val="%1."/>
      <w:lvlJc w:val="left"/>
      <w:pPr>
        <w:ind w:left="3990"/>
      </w:pPr>
    </w:lvl>
  </w:abstractNum>
  <w:abstractNum w:abstractNumId="3">
    <w:nsid w:val="07302B0E"/>
    <w:multiLevelType w:val="singleLevel"/>
    <w:tmpl w:val="07302B0E"/>
    <w:lvl w:ilvl="0" w:tentative="0">
      <w:start w:val="14"/>
      <w:numFmt w:val="decimal"/>
      <w:suff w:val="space"/>
      <w:lvlText w:val="%1."/>
      <w:lvlJc w:val="left"/>
    </w:lvl>
  </w:abstractNum>
  <w:abstractNum w:abstractNumId="4">
    <w:nsid w:val="2759E9AB"/>
    <w:multiLevelType w:val="singleLevel"/>
    <w:tmpl w:val="2759E9AB"/>
    <w:lvl w:ilvl="0" w:tentative="0">
      <w:start w:val="1"/>
      <w:numFmt w:val="decimal"/>
      <w:suff w:val="nothing"/>
      <w:lvlText w:val="（%1）"/>
      <w:lvlJc w:val="left"/>
    </w:lvl>
  </w:abstractNum>
  <w:abstractNum w:abstractNumId="5">
    <w:nsid w:val="2E7D6E5B"/>
    <w:multiLevelType w:val="singleLevel"/>
    <w:tmpl w:val="2E7D6E5B"/>
    <w:lvl w:ilvl="0" w:tentative="0">
      <w:start w:val="1"/>
      <w:numFmt w:val="chineseCounting"/>
      <w:suff w:val="nothing"/>
      <w:lvlText w:val="%1、"/>
      <w:lvlJc w:val="left"/>
      <w:rPr>
        <w:rFonts w:hint="eastAsia"/>
      </w:rPr>
    </w:lvl>
  </w:abstractNum>
  <w:abstractNum w:abstractNumId="6">
    <w:nsid w:val="70253E54"/>
    <w:multiLevelType w:val="singleLevel"/>
    <w:tmpl w:val="70253E54"/>
    <w:lvl w:ilvl="0" w:tentative="0">
      <w:start w:val="1"/>
      <w:numFmt w:val="decimal"/>
      <w:lvlText w:val="%1."/>
      <w:lvlJc w:val="left"/>
      <w:pPr>
        <w:tabs>
          <w:tab w:val="left" w:pos="312"/>
        </w:tabs>
      </w:pPr>
    </w:lvl>
  </w:abstractNum>
  <w:num w:numId="1">
    <w:abstractNumId w:val="1"/>
  </w:num>
  <w:num w:numId="2">
    <w:abstractNumId w:val="0"/>
  </w:num>
  <w:num w:numId="3">
    <w:abstractNumId w:val="4"/>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0NGEzMDk4OTViMWFmYjZkY2ZjMGFjZjJmNmNlZDQifQ=="/>
  </w:docVars>
  <w:rsids>
    <w:rsidRoot w:val="00D34DCC"/>
    <w:rsid w:val="000243FB"/>
    <w:rsid w:val="0010091E"/>
    <w:rsid w:val="001511AE"/>
    <w:rsid w:val="0018408C"/>
    <w:rsid w:val="001B2684"/>
    <w:rsid w:val="001B3AA2"/>
    <w:rsid w:val="001F503A"/>
    <w:rsid w:val="00313427"/>
    <w:rsid w:val="0035493C"/>
    <w:rsid w:val="005C7CD9"/>
    <w:rsid w:val="00712A15"/>
    <w:rsid w:val="009668F1"/>
    <w:rsid w:val="009C7F93"/>
    <w:rsid w:val="00B16C6B"/>
    <w:rsid w:val="00BC3F78"/>
    <w:rsid w:val="00C414D3"/>
    <w:rsid w:val="00CD1304"/>
    <w:rsid w:val="00D34DCC"/>
    <w:rsid w:val="00D5688F"/>
    <w:rsid w:val="00DE4384"/>
    <w:rsid w:val="00E32D5A"/>
    <w:rsid w:val="0147153B"/>
    <w:rsid w:val="01510884"/>
    <w:rsid w:val="015B6D94"/>
    <w:rsid w:val="015E4AD6"/>
    <w:rsid w:val="017157BE"/>
    <w:rsid w:val="0177377A"/>
    <w:rsid w:val="017B6504"/>
    <w:rsid w:val="01802DBB"/>
    <w:rsid w:val="01971FAC"/>
    <w:rsid w:val="01B41D79"/>
    <w:rsid w:val="01BA61B0"/>
    <w:rsid w:val="01CC5EE4"/>
    <w:rsid w:val="01CF645C"/>
    <w:rsid w:val="01E4322D"/>
    <w:rsid w:val="0217344D"/>
    <w:rsid w:val="021E0CA9"/>
    <w:rsid w:val="022121BA"/>
    <w:rsid w:val="0225728E"/>
    <w:rsid w:val="02477318"/>
    <w:rsid w:val="02484B21"/>
    <w:rsid w:val="02791088"/>
    <w:rsid w:val="02866093"/>
    <w:rsid w:val="028F6DC2"/>
    <w:rsid w:val="0293578E"/>
    <w:rsid w:val="029550BB"/>
    <w:rsid w:val="02B960C2"/>
    <w:rsid w:val="02C31530"/>
    <w:rsid w:val="02C4524D"/>
    <w:rsid w:val="02E640E1"/>
    <w:rsid w:val="02F375D1"/>
    <w:rsid w:val="030E726C"/>
    <w:rsid w:val="031269D0"/>
    <w:rsid w:val="03155B98"/>
    <w:rsid w:val="033B50CF"/>
    <w:rsid w:val="03541328"/>
    <w:rsid w:val="035E1CA7"/>
    <w:rsid w:val="036514A2"/>
    <w:rsid w:val="036E1E02"/>
    <w:rsid w:val="03821695"/>
    <w:rsid w:val="03984491"/>
    <w:rsid w:val="03B051E4"/>
    <w:rsid w:val="03C137FD"/>
    <w:rsid w:val="03E5328D"/>
    <w:rsid w:val="04085613"/>
    <w:rsid w:val="041125BD"/>
    <w:rsid w:val="041D5CBF"/>
    <w:rsid w:val="042042C5"/>
    <w:rsid w:val="042D7513"/>
    <w:rsid w:val="043216C1"/>
    <w:rsid w:val="0435684E"/>
    <w:rsid w:val="043B31E7"/>
    <w:rsid w:val="043D792D"/>
    <w:rsid w:val="044064BE"/>
    <w:rsid w:val="044516F7"/>
    <w:rsid w:val="04531FA4"/>
    <w:rsid w:val="0493047E"/>
    <w:rsid w:val="0499114E"/>
    <w:rsid w:val="04AB4BBF"/>
    <w:rsid w:val="04AE6573"/>
    <w:rsid w:val="04CD6836"/>
    <w:rsid w:val="04E978D1"/>
    <w:rsid w:val="04F13C4D"/>
    <w:rsid w:val="04F66E27"/>
    <w:rsid w:val="05011729"/>
    <w:rsid w:val="052D4222"/>
    <w:rsid w:val="0530521E"/>
    <w:rsid w:val="053C1046"/>
    <w:rsid w:val="05452235"/>
    <w:rsid w:val="055A3553"/>
    <w:rsid w:val="0580723D"/>
    <w:rsid w:val="059F222F"/>
    <w:rsid w:val="05B24C3C"/>
    <w:rsid w:val="05B61E9F"/>
    <w:rsid w:val="05B747B5"/>
    <w:rsid w:val="05CA354F"/>
    <w:rsid w:val="05CA48A1"/>
    <w:rsid w:val="05CB6B65"/>
    <w:rsid w:val="05E24F2C"/>
    <w:rsid w:val="05E72946"/>
    <w:rsid w:val="05EA2DDC"/>
    <w:rsid w:val="05F32777"/>
    <w:rsid w:val="06007F0A"/>
    <w:rsid w:val="061A5470"/>
    <w:rsid w:val="061B01C1"/>
    <w:rsid w:val="061B56EE"/>
    <w:rsid w:val="061D5EC7"/>
    <w:rsid w:val="062154C2"/>
    <w:rsid w:val="06250A5D"/>
    <w:rsid w:val="064249C6"/>
    <w:rsid w:val="06495601"/>
    <w:rsid w:val="064A387B"/>
    <w:rsid w:val="064A5629"/>
    <w:rsid w:val="06523C1F"/>
    <w:rsid w:val="06540738"/>
    <w:rsid w:val="06572776"/>
    <w:rsid w:val="067526A6"/>
    <w:rsid w:val="067641A6"/>
    <w:rsid w:val="067F620C"/>
    <w:rsid w:val="0683733C"/>
    <w:rsid w:val="06A10721"/>
    <w:rsid w:val="06EB65AE"/>
    <w:rsid w:val="06F51A39"/>
    <w:rsid w:val="06F52CAF"/>
    <w:rsid w:val="0721638A"/>
    <w:rsid w:val="076E5852"/>
    <w:rsid w:val="07732AAF"/>
    <w:rsid w:val="077363FF"/>
    <w:rsid w:val="077F55AF"/>
    <w:rsid w:val="07A84194"/>
    <w:rsid w:val="07B028E5"/>
    <w:rsid w:val="07B0770E"/>
    <w:rsid w:val="07B33531"/>
    <w:rsid w:val="07EF46DA"/>
    <w:rsid w:val="07F7358F"/>
    <w:rsid w:val="08013370"/>
    <w:rsid w:val="082C4FE6"/>
    <w:rsid w:val="0837003E"/>
    <w:rsid w:val="084237C9"/>
    <w:rsid w:val="08491062"/>
    <w:rsid w:val="084E19E7"/>
    <w:rsid w:val="085A5FF7"/>
    <w:rsid w:val="08670019"/>
    <w:rsid w:val="087049CB"/>
    <w:rsid w:val="0890384D"/>
    <w:rsid w:val="08AE16DC"/>
    <w:rsid w:val="08AE70CA"/>
    <w:rsid w:val="08D21472"/>
    <w:rsid w:val="08DE633D"/>
    <w:rsid w:val="08F22421"/>
    <w:rsid w:val="090D488B"/>
    <w:rsid w:val="091869D9"/>
    <w:rsid w:val="091C14FF"/>
    <w:rsid w:val="092E4D8E"/>
    <w:rsid w:val="0938414F"/>
    <w:rsid w:val="09512924"/>
    <w:rsid w:val="096915D0"/>
    <w:rsid w:val="097D3C0D"/>
    <w:rsid w:val="098A373E"/>
    <w:rsid w:val="09AC5091"/>
    <w:rsid w:val="09C330EC"/>
    <w:rsid w:val="09CC5F4A"/>
    <w:rsid w:val="09E57972"/>
    <w:rsid w:val="09F13B93"/>
    <w:rsid w:val="09F61D50"/>
    <w:rsid w:val="09FD482E"/>
    <w:rsid w:val="09FE6F4B"/>
    <w:rsid w:val="0A0336FB"/>
    <w:rsid w:val="0A080810"/>
    <w:rsid w:val="0A0A1357"/>
    <w:rsid w:val="0A173A74"/>
    <w:rsid w:val="0A1B313B"/>
    <w:rsid w:val="0A2704D4"/>
    <w:rsid w:val="0A3F0407"/>
    <w:rsid w:val="0A5E16A3"/>
    <w:rsid w:val="0A6F4F1B"/>
    <w:rsid w:val="0A7113D6"/>
    <w:rsid w:val="0ABB2844"/>
    <w:rsid w:val="0ABC5036"/>
    <w:rsid w:val="0AC21C87"/>
    <w:rsid w:val="0AD954E6"/>
    <w:rsid w:val="0AE47F04"/>
    <w:rsid w:val="0AE509BE"/>
    <w:rsid w:val="0AF85654"/>
    <w:rsid w:val="0B155A6C"/>
    <w:rsid w:val="0B4F5A78"/>
    <w:rsid w:val="0B505490"/>
    <w:rsid w:val="0B5C3E34"/>
    <w:rsid w:val="0B6156BB"/>
    <w:rsid w:val="0B673709"/>
    <w:rsid w:val="0B6D4294"/>
    <w:rsid w:val="0B7429D4"/>
    <w:rsid w:val="0B960F76"/>
    <w:rsid w:val="0BDE2A9B"/>
    <w:rsid w:val="0C2F6393"/>
    <w:rsid w:val="0C323867"/>
    <w:rsid w:val="0C3C1047"/>
    <w:rsid w:val="0C497205"/>
    <w:rsid w:val="0C601E79"/>
    <w:rsid w:val="0C65770C"/>
    <w:rsid w:val="0C667389"/>
    <w:rsid w:val="0C676F35"/>
    <w:rsid w:val="0C725638"/>
    <w:rsid w:val="0C8E2713"/>
    <w:rsid w:val="0C96536C"/>
    <w:rsid w:val="0CAA368D"/>
    <w:rsid w:val="0CB9564C"/>
    <w:rsid w:val="0CC23861"/>
    <w:rsid w:val="0CEC11E8"/>
    <w:rsid w:val="0D18022F"/>
    <w:rsid w:val="0D1C7A7B"/>
    <w:rsid w:val="0D31575F"/>
    <w:rsid w:val="0D34088C"/>
    <w:rsid w:val="0D495A60"/>
    <w:rsid w:val="0D572A97"/>
    <w:rsid w:val="0D6464C8"/>
    <w:rsid w:val="0D7336B7"/>
    <w:rsid w:val="0D89263E"/>
    <w:rsid w:val="0D8C5634"/>
    <w:rsid w:val="0DAD1C6A"/>
    <w:rsid w:val="0DC440B5"/>
    <w:rsid w:val="0DD82925"/>
    <w:rsid w:val="0DD86691"/>
    <w:rsid w:val="0DE744BC"/>
    <w:rsid w:val="0DED5A26"/>
    <w:rsid w:val="0E1C1E81"/>
    <w:rsid w:val="0E2A3A63"/>
    <w:rsid w:val="0E2C64A4"/>
    <w:rsid w:val="0E3C619F"/>
    <w:rsid w:val="0E465605"/>
    <w:rsid w:val="0E5F0B11"/>
    <w:rsid w:val="0E644A75"/>
    <w:rsid w:val="0E8F2A64"/>
    <w:rsid w:val="0E9A1BF0"/>
    <w:rsid w:val="0EA646CE"/>
    <w:rsid w:val="0EBA3045"/>
    <w:rsid w:val="0EC443C1"/>
    <w:rsid w:val="0EDD528C"/>
    <w:rsid w:val="0EDE0257"/>
    <w:rsid w:val="0EE1439E"/>
    <w:rsid w:val="0EE54141"/>
    <w:rsid w:val="0EED1247"/>
    <w:rsid w:val="0EED4F94"/>
    <w:rsid w:val="0EEE2ABD"/>
    <w:rsid w:val="0F0942D3"/>
    <w:rsid w:val="0F135689"/>
    <w:rsid w:val="0F16079E"/>
    <w:rsid w:val="0F2E4826"/>
    <w:rsid w:val="0F4C3CDB"/>
    <w:rsid w:val="0F7858F9"/>
    <w:rsid w:val="0FB21280"/>
    <w:rsid w:val="0FD07183"/>
    <w:rsid w:val="0FE3044B"/>
    <w:rsid w:val="0FE42C9E"/>
    <w:rsid w:val="0FEA33CD"/>
    <w:rsid w:val="0FEA71D3"/>
    <w:rsid w:val="0FED28D8"/>
    <w:rsid w:val="10262C63"/>
    <w:rsid w:val="103E32B9"/>
    <w:rsid w:val="1045133B"/>
    <w:rsid w:val="10740078"/>
    <w:rsid w:val="108242B0"/>
    <w:rsid w:val="108F536D"/>
    <w:rsid w:val="10957EFB"/>
    <w:rsid w:val="109B665C"/>
    <w:rsid w:val="10A056BC"/>
    <w:rsid w:val="10AE4F80"/>
    <w:rsid w:val="10CD1330"/>
    <w:rsid w:val="10CD200B"/>
    <w:rsid w:val="10E04294"/>
    <w:rsid w:val="11001706"/>
    <w:rsid w:val="111B02EE"/>
    <w:rsid w:val="111F7DDE"/>
    <w:rsid w:val="11213093"/>
    <w:rsid w:val="11276C93"/>
    <w:rsid w:val="113E58D7"/>
    <w:rsid w:val="1142176A"/>
    <w:rsid w:val="11484EBD"/>
    <w:rsid w:val="115045B2"/>
    <w:rsid w:val="11646177"/>
    <w:rsid w:val="117443FC"/>
    <w:rsid w:val="11BB6F3A"/>
    <w:rsid w:val="11CC5F7F"/>
    <w:rsid w:val="11CD034E"/>
    <w:rsid w:val="12174EA0"/>
    <w:rsid w:val="121D6A3F"/>
    <w:rsid w:val="123B7AC2"/>
    <w:rsid w:val="124D1DD6"/>
    <w:rsid w:val="12523BA8"/>
    <w:rsid w:val="125D0079"/>
    <w:rsid w:val="126421B8"/>
    <w:rsid w:val="126D519F"/>
    <w:rsid w:val="128A12EB"/>
    <w:rsid w:val="12955E7E"/>
    <w:rsid w:val="12A32349"/>
    <w:rsid w:val="12B22594"/>
    <w:rsid w:val="12CA5051"/>
    <w:rsid w:val="12CA5B28"/>
    <w:rsid w:val="12D32E4F"/>
    <w:rsid w:val="12D759AF"/>
    <w:rsid w:val="12DB23B0"/>
    <w:rsid w:val="130A6249"/>
    <w:rsid w:val="13586363"/>
    <w:rsid w:val="13751BC3"/>
    <w:rsid w:val="1383605D"/>
    <w:rsid w:val="139373C7"/>
    <w:rsid w:val="13983E78"/>
    <w:rsid w:val="13A51EC2"/>
    <w:rsid w:val="13AA7707"/>
    <w:rsid w:val="13D9398B"/>
    <w:rsid w:val="13DB152C"/>
    <w:rsid w:val="13E63CFD"/>
    <w:rsid w:val="14103624"/>
    <w:rsid w:val="141554C8"/>
    <w:rsid w:val="14515DD5"/>
    <w:rsid w:val="14537210"/>
    <w:rsid w:val="145E05B1"/>
    <w:rsid w:val="149A2D9E"/>
    <w:rsid w:val="14B712F0"/>
    <w:rsid w:val="14B95F3B"/>
    <w:rsid w:val="14D355DA"/>
    <w:rsid w:val="14E618A6"/>
    <w:rsid w:val="150A2521"/>
    <w:rsid w:val="1543180E"/>
    <w:rsid w:val="15570BD6"/>
    <w:rsid w:val="15665197"/>
    <w:rsid w:val="156F6E5A"/>
    <w:rsid w:val="15817E16"/>
    <w:rsid w:val="15826B8D"/>
    <w:rsid w:val="15C10C2A"/>
    <w:rsid w:val="15D74B1E"/>
    <w:rsid w:val="16253264"/>
    <w:rsid w:val="1632283F"/>
    <w:rsid w:val="165B2F3A"/>
    <w:rsid w:val="165E67AC"/>
    <w:rsid w:val="165F7050"/>
    <w:rsid w:val="16631052"/>
    <w:rsid w:val="166718DF"/>
    <w:rsid w:val="167F4F5C"/>
    <w:rsid w:val="169E1983"/>
    <w:rsid w:val="16A13043"/>
    <w:rsid w:val="16A3500D"/>
    <w:rsid w:val="16C20F1F"/>
    <w:rsid w:val="16DE2E7F"/>
    <w:rsid w:val="16E828D0"/>
    <w:rsid w:val="16EE1C77"/>
    <w:rsid w:val="16EE2289"/>
    <w:rsid w:val="16F14A1B"/>
    <w:rsid w:val="16F2389F"/>
    <w:rsid w:val="170E6FAC"/>
    <w:rsid w:val="1719707D"/>
    <w:rsid w:val="17333191"/>
    <w:rsid w:val="174961AD"/>
    <w:rsid w:val="17500C67"/>
    <w:rsid w:val="175C51BC"/>
    <w:rsid w:val="17602EFE"/>
    <w:rsid w:val="17665F75"/>
    <w:rsid w:val="176977E0"/>
    <w:rsid w:val="17A2170E"/>
    <w:rsid w:val="17AB5FED"/>
    <w:rsid w:val="17C62A74"/>
    <w:rsid w:val="17CB0880"/>
    <w:rsid w:val="17E841F0"/>
    <w:rsid w:val="17E94907"/>
    <w:rsid w:val="18024AD6"/>
    <w:rsid w:val="18290523"/>
    <w:rsid w:val="183D31A3"/>
    <w:rsid w:val="18447F9F"/>
    <w:rsid w:val="184D3056"/>
    <w:rsid w:val="185814DD"/>
    <w:rsid w:val="18665A05"/>
    <w:rsid w:val="186F4D76"/>
    <w:rsid w:val="18785F00"/>
    <w:rsid w:val="187D01CE"/>
    <w:rsid w:val="188151F0"/>
    <w:rsid w:val="189F2061"/>
    <w:rsid w:val="18A07E2B"/>
    <w:rsid w:val="18AC60A2"/>
    <w:rsid w:val="18C354F3"/>
    <w:rsid w:val="18DD04F6"/>
    <w:rsid w:val="18E079F9"/>
    <w:rsid w:val="18F54AFC"/>
    <w:rsid w:val="19102702"/>
    <w:rsid w:val="191F46F3"/>
    <w:rsid w:val="191F7ADC"/>
    <w:rsid w:val="194108A6"/>
    <w:rsid w:val="19443B69"/>
    <w:rsid w:val="19524B0B"/>
    <w:rsid w:val="19602C80"/>
    <w:rsid w:val="19977FB7"/>
    <w:rsid w:val="19BE6FC3"/>
    <w:rsid w:val="19C01025"/>
    <w:rsid w:val="19C31523"/>
    <w:rsid w:val="19DC4185"/>
    <w:rsid w:val="19E31559"/>
    <w:rsid w:val="19E915E0"/>
    <w:rsid w:val="19F82871"/>
    <w:rsid w:val="19F8548E"/>
    <w:rsid w:val="1A255D39"/>
    <w:rsid w:val="1A6E76E0"/>
    <w:rsid w:val="1A744E10"/>
    <w:rsid w:val="1A897781"/>
    <w:rsid w:val="1AA23DC5"/>
    <w:rsid w:val="1AB07CF9"/>
    <w:rsid w:val="1ACA50F4"/>
    <w:rsid w:val="1ACD08AB"/>
    <w:rsid w:val="1AD05377"/>
    <w:rsid w:val="1AD5150D"/>
    <w:rsid w:val="1AD67330"/>
    <w:rsid w:val="1AED4153"/>
    <w:rsid w:val="1B23665A"/>
    <w:rsid w:val="1B326960"/>
    <w:rsid w:val="1B367D9C"/>
    <w:rsid w:val="1B4B3D93"/>
    <w:rsid w:val="1B646037"/>
    <w:rsid w:val="1B734F35"/>
    <w:rsid w:val="1B740D26"/>
    <w:rsid w:val="1B9C7081"/>
    <w:rsid w:val="1BA333BA"/>
    <w:rsid w:val="1BC42AC7"/>
    <w:rsid w:val="1BCA35FA"/>
    <w:rsid w:val="1BE60D99"/>
    <w:rsid w:val="1BFE3286"/>
    <w:rsid w:val="1C0B143B"/>
    <w:rsid w:val="1C2107FA"/>
    <w:rsid w:val="1C224589"/>
    <w:rsid w:val="1C3861F8"/>
    <w:rsid w:val="1C392E2A"/>
    <w:rsid w:val="1C5A7005"/>
    <w:rsid w:val="1C70150E"/>
    <w:rsid w:val="1C983E4A"/>
    <w:rsid w:val="1C986C96"/>
    <w:rsid w:val="1C9A47BD"/>
    <w:rsid w:val="1CA572DC"/>
    <w:rsid w:val="1CAD0994"/>
    <w:rsid w:val="1CB449E2"/>
    <w:rsid w:val="1CB90F7C"/>
    <w:rsid w:val="1CBE087B"/>
    <w:rsid w:val="1CDE05B8"/>
    <w:rsid w:val="1CDF636E"/>
    <w:rsid w:val="1D031C82"/>
    <w:rsid w:val="1D16735D"/>
    <w:rsid w:val="1D1F1740"/>
    <w:rsid w:val="1D6001EC"/>
    <w:rsid w:val="1D6F13DB"/>
    <w:rsid w:val="1D813BCE"/>
    <w:rsid w:val="1D844DFE"/>
    <w:rsid w:val="1D8E6B61"/>
    <w:rsid w:val="1DB365E6"/>
    <w:rsid w:val="1DC8608A"/>
    <w:rsid w:val="1DCC5841"/>
    <w:rsid w:val="1DD863E8"/>
    <w:rsid w:val="1DF00E2C"/>
    <w:rsid w:val="1E23319A"/>
    <w:rsid w:val="1E3F1988"/>
    <w:rsid w:val="1E466713"/>
    <w:rsid w:val="1E675F3A"/>
    <w:rsid w:val="1E847AE1"/>
    <w:rsid w:val="1E9310E0"/>
    <w:rsid w:val="1E9F1249"/>
    <w:rsid w:val="1EA3182A"/>
    <w:rsid w:val="1EBE5978"/>
    <w:rsid w:val="1ECA6A9F"/>
    <w:rsid w:val="1EE113D3"/>
    <w:rsid w:val="1F023E4E"/>
    <w:rsid w:val="1F15637C"/>
    <w:rsid w:val="1F2E16B6"/>
    <w:rsid w:val="1F5B0159"/>
    <w:rsid w:val="1F5C3FAB"/>
    <w:rsid w:val="1F6609C9"/>
    <w:rsid w:val="1F6D7381"/>
    <w:rsid w:val="1F753B40"/>
    <w:rsid w:val="1F78680A"/>
    <w:rsid w:val="1F896EC9"/>
    <w:rsid w:val="1FB32841"/>
    <w:rsid w:val="1FBC0EEE"/>
    <w:rsid w:val="1FBC5EC0"/>
    <w:rsid w:val="1FBC7140"/>
    <w:rsid w:val="1FC92C15"/>
    <w:rsid w:val="1FCA0D89"/>
    <w:rsid w:val="1FCF0476"/>
    <w:rsid w:val="1FE10255"/>
    <w:rsid w:val="1FEC6BAE"/>
    <w:rsid w:val="1FFE3573"/>
    <w:rsid w:val="200509DE"/>
    <w:rsid w:val="201817AA"/>
    <w:rsid w:val="202A3E68"/>
    <w:rsid w:val="203A3EC5"/>
    <w:rsid w:val="203E1180"/>
    <w:rsid w:val="204B28E1"/>
    <w:rsid w:val="207215AC"/>
    <w:rsid w:val="20757D89"/>
    <w:rsid w:val="20A300D4"/>
    <w:rsid w:val="20B322F1"/>
    <w:rsid w:val="20B6486E"/>
    <w:rsid w:val="20C77FF3"/>
    <w:rsid w:val="20CB53B7"/>
    <w:rsid w:val="20CC1C90"/>
    <w:rsid w:val="20EC00BD"/>
    <w:rsid w:val="21035DC4"/>
    <w:rsid w:val="21085BF7"/>
    <w:rsid w:val="211C60E8"/>
    <w:rsid w:val="21315529"/>
    <w:rsid w:val="213B4094"/>
    <w:rsid w:val="21483611"/>
    <w:rsid w:val="216B602B"/>
    <w:rsid w:val="21812CA8"/>
    <w:rsid w:val="21824FD8"/>
    <w:rsid w:val="21AD4559"/>
    <w:rsid w:val="21B8495C"/>
    <w:rsid w:val="21D93926"/>
    <w:rsid w:val="21EE5194"/>
    <w:rsid w:val="220933E1"/>
    <w:rsid w:val="221B28B1"/>
    <w:rsid w:val="221E7997"/>
    <w:rsid w:val="22267D04"/>
    <w:rsid w:val="22421D46"/>
    <w:rsid w:val="2260751C"/>
    <w:rsid w:val="228D75CD"/>
    <w:rsid w:val="22946A32"/>
    <w:rsid w:val="22A7378F"/>
    <w:rsid w:val="22AA5CCD"/>
    <w:rsid w:val="22BE4F7D"/>
    <w:rsid w:val="22C95DFC"/>
    <w:rsid w:val="22F17229"/>
    <w:rsid w:val="23005595"/>
    <w:rsid w:val="2304785B"/>
    <w:rsid w:val="23056708"/>
    <w:rsid w:val="233B037C"/>
    <w:rsid w:val="23414FA0"/>
    <w:rsid w:val="2353724F"/>
    <w:rsid w:val="239A1E6E"/>
    <w:rsid w:val="23BE00C7"/>
    <w:rsid w:val="23D26710"/>
    <w:rsid w:val="23E801C6"/>
    <w:rsid w:val="23E9602A"/>
    <w:rsid w:val="23FE1AD5"/>
    <w:rsid w:val="244157D1"/>
    <w:rsid w:val="24482A95"/>
    <w:rsid w:val="24517416"/>
    <w:rsid w:val="24861ACA"/>
    <w:rsid w:val="249406CE"/>
    <w:rsid w:val="24AA7B03"/>
    <w:rsid w:val="24AE6144"/>
    <w:rsid w:val="24CF521F"/>
    <w:rsid w:val="24D12D46"/>
    <w:rsid w:val="24D740D4"/>
    <w:rsid w:val="24EF17A6"/>
    <w:rsid w:val="25044D27"/>
    <w:rsid w:val="25063CB1"/>
    <w:rsid w:val="25332DB9"/>
    <w:rsid w:val="255B5A58"/>
    <w:rsid w:val="255F235E"/>
    <w:rsid w:val="25600B63"/>
    <w:rsid w:val="25651D5A"/>
    <w:rsid w:val="25657932"/>
    <w:rsid w:val="258D6542"/>
    <w:rsid w:val="259B3353"/>
    <w:rsid w:val="25D2537C"/>
    <w:rsid w:val="25DB694A"/>
    <w:rsid w:val="25DE41B5"/>
    <w:rsid w:val="25E707F7"/>
    <w:rsid w:val="25F86457"/>
    <w:rsid w:val="260C4906"/>
    <w:rsid w:val="261103C4"/>
    <w:rsid w:val="261554D3"/>
    <w:rsid w:val="261B1A87"/>
    <w:rsid w:val="261C4778"/>
    <w:rsid w:val="265B763B"/>
    <w:rsid w:val="266C4FC5"/>
    <w:rsid w:val="26791BA5"/>
    <w:rsid w:val="267D5A40"/>
    <w:rsid w:val="269E65B0"/>
    <w:rsid w:val="26B26F4A"/>
    <w:rsid w:val="26E86A6C"/>
    <w:rsid w:val="26F13FC5"/>
    <w:rsid w:val="27013A4F"/>
    <w:rsid w:val="27447DDE"/>
    <w:rsid w:val="27574196"/>
    <w:rsid w:val="276249EF"/>
    <w:rsid w:val="27634CDF"/>
    <w:rsid w:val="27692F6B"/>
    <w:rsid w:val="276E605B"/>
    <w:rsid w:val="27716327"/>
    <w:rsid w:val="2786250D"/>
    <w:rsid w:val="278E2FB5"/>
    <w:rsid w:val="278F6DE2"/>
    <w:rsid w:val="2790679B"/>
    <w:rsid w:val="27A22A31"/>
    <w:rsid w:val="27EB7CAA"/>
    <w:rsid w:val="27F0677B"/>
    <w:rsid w:val="281D7244"/>
    <w:rsid w:val="282C19A2"/>
    <w:rsid w:val="288D3DAC"/>
    <w:rsid w:val="28C35286"/>
    <w:rsid w:val="28C4705F"/>
    <w:rsid w:val="28C75060"/>
    <w:rsid w:val="28C86382"/>
    <w:rsid w:val="28D23530"/>
    <w:rsid w:val="28D61E8B"/>
    <w:rsid w:val="28DE5113"/>
    <w:rsid w:val="2925637D"/>
    <w:rsid w:val="2942121D"/>
    <w:rsid w:val="29502C33"/>
    <w:rsid w:val="295F0501"/>
    <w:rsid w:val="296B092D"/>
    <w:rsid w:val="297445E7"/>
    <w:rsid w:val="297C136E"/>
    <w:rsid w:val="299F2A1A"/>
    <w:rsid w:val="29AA3514"/>
    <w:rsid w:val="29B6075C"/>
    <w:rsid w:val="29C540C7"/>
    <w:rsid w:val="29D60DFE"/>
    <w:rsid w:val="29DB0112"/>
    <w:rsid w:val="2A1A1FBD"/>
    <w:rsid w:val="2A423A44"/>
    <w:rsid w:val="2A471801"/>
    <w:rsid w:val="2A513AEC"/>
    <w:rsid w:val="2A612ECC"/>
    <w:rsid w:val="2A7D30EF"/>
    <w:rsid w:val="2A8C41C4"/>
    <w:rsid w:val="2AA73D32"/>
    <w:rsid w:val="2AB0164F"/>
    <w:rsid w:val="2ABE1216"/>
    <w:rsid w:val="2AD36DE1"/>
    <w:rsid w:val="2AF301FE"/>
    <w:rsid w:val="2B0971E3"/>
    <w:rsid w:val="2B292838"/>
    <w:rsid w:val="2B4148B6"/>
    <w:rsid w:val="2B42499D"/>
    <w:rsid w:val="2B5519AC"/>
    <w:rsid w:val="2B580D68"/>
    <w:rsid w:val="2B661CD5"/>
    <w:rsid w:val="2B6C2870"/>
    <w:rsid w:val="2B8C3E6A"/>
    <w:rsid w:val="2B8E3D5F"/>
    <w:rsid w:val="2BA6504F"/>
    <w:rsid w:val="2BAD1AD6"/>
    <w:rsid w:val="2BC67188"/>
    <w:rsid w:val="2BCC1358"/>
    <w:rsid w:val="2BDD46C6"/>
    <w:rsid w:val="2BE52041"/>
    <w:rsid w:val="2BF0264B"/>
    <w:rsid w:val="2BF74EFF"/>
    <w:rsid w:val="2C0979CF"/>
    <w:rsid w:val="2C11045C"/>
    <w:rsid w:val="2C3E5EB7"/>
    <w:rsid w:val="2C411423"/>
    <w:rsid w:val="2C462D13"/>
    <w:rsid w:val="2C4A407F"/>
    <w:rsid w:val="2C536736"/>
    <w:rsid w:val="2C595B94"/>
    <w:rsid w:val="2C5D4602"/>
    <w:rsid w:val="2CAD7CAD"/>
    <w:rsid w:val="2CB11561"/>
    <w:rsid w:val="2CB92AF2"/>
    <w:rsid w:val="2CC413E2"/>
    <w:rsid w:val="2D1504C2"/>
    <w:rsid w:val="2D1C6441"/>
    <w:rsid w:val="2D2F5E28"/>
    <w:rsid w:val="2D327471"/>
    <w:rsid w:val="2D33159F"/>
    <w:rsid w:val="2D4C14B4"/>
    <w:rsid w:val="2D4E615D"/>
    <w:rsid w:val="2D6A01DB"/>
    <w:rsid w:val="2DA9668B"/>
    <w:rsid w:val="2DB9074D"/>
    <w:rsid w:val="2DB958D9"/>
    <w:rsid w:val="2DBB614E"/>
    <w:rsid w:val="2DE320C9"/>
    <w:rsid w:val="2DF46565"/>
    <w:rsid w:val="2DF81B7A"/>
    <w:rsid w:val="2DFF2727"/>
    <w:rsid w:val="2E040AD7"/>
    <w:rsid w:val="2E083D76"/>
    <w:rsid w:val="2E2D6DC0"/>
    <w:rsid w:val="2E2E2A6E"/>
    <w:rsid w:val="2E33681F"/>
    <w:rsid w:val="2E580034"/>
    <w:rsid w:val="2E5A040A"/>
    <w:rsid w:val="2E7C08B6"/>
    <w:rsid w:val="2E9757F8"/>
    <w:rsid w:val="2EBF1128"/>
    <w:rsid w:val="2EBF4557"/>
    <w:rsid w:val="2ED3273C"/>
    <w:rsid w:val="2EDE217B"/>
    <w:rsid w:val="2EEB0EA8"/>
    <w:rsid w:val="2F2D326E"/>
    <w:rsid w:val="2F513F88"/>
    <w:rsid w:val="2F56586C"/>
    <w:rsid w:val="2F772ABD"/>
    <w:rsid w:val="2FE43D24"/>
    <w:rsid w:val="2FFB336C"/>
    <w:rsid w:val="3025488D"/>
    <w:rsid w:val="302A3C52"/>
    <w:rsid w:val="303638C9"/>
    <w:rsid w:val="303D7328"/>
    <w:rsid w:val="306A7536"/>
    <w:rsid w:val="30C64D10"/>
    <w:rsid w:val="30CC6AB7"/>
    <w:rsid w:val="30D22649"/>
    <w:rsid w:val="30EC6FB7"/>
    <w:rsid w:val="30ED0AB9"/>
    <w:rsid w:val="30F8421D"/>
    <w:rsid w:val="310A7113"/>
    <w:rsid w:val="310E6EB2"/>
    <w:rsid w:val="31151CD4"/>
    <w:rsid w:val="31151D7A"/>
    <w:rsid w:val="3150224A"/>
    <w:rsid w:val="31584276"/>
    <w:rsid w:val="31683C79"/>
    <w:rsid w:val="3194569E"/>
    <w:rsid w:val="319C7E4B"/>
    <w:rsid w:val="31A36E02"/>
    <w:rsid w:val="31A66AF8"/>
    <w:rsid w:val="31B15D29"/>
    <w:rsid w:val="31B452FE"/>
    <w:rsid w:val="31C003CA"/>
    <w:rsid w:val="31C24616"/>
    <w:rsid w:val="31C54CA2"/>
    <w:rsid w:val="31D8581B"/>
    <w:rsid w:val="31E06DBD"/>
    <w:rsid w:val="31E7004C"/>
    <w:rsid w:val="31EA3699"/>
    <w:rsid w:val="320947AD"/>
    <w:rsid w:val="32281D6B"/>
    <w:rsid w:val="32396775"/>
    <w:rsid w:val="324234D5"/>
    <w:rsid w:val="3246371D"/>
    <w:rsid w:val="324D5635"/>
    <w:rsid w:val="326E1224"/>
    <w:rsid w:val="327E1C29"/>
    <w:rsid w:val="32844FFA"/>
    <w:rsid w:val="32C97043"/>
    <w:rsid w:val="32E93950"/>
    <w:rsid w:val="3309266C"/>
    <w:rsid w:val="332E3BF5"/>
    <w:rsid w:val="33342B3C"/>
    <w:rsid w:val="33421811"/>
    <w:rsid w:val="3344327C"/>
    <w:rsid w:val="335079DD"/>
    <w:rsid w:val="336555A8"/>
    <w:rsid w:val="33877F86"/>
    <w:rsid w:val="33951252"/>
    <w:rsid w:val="339733AC"/>
    <w:rsid w:val="33AD7074"/>
    <w:rsid w:val="33CE43FC"/>
    <w:rsid w:val="33FB393B"/>
    <w:rsid w:val="34040256"/>
    <w:rsid w:val="340B78F6"/>
    <w:rsid w:val="34254027"/>
    <w:rsid w:val="34647B22"/>
    <w:rsid w:val="347A07E2"/>
    <w:rsid w:val="347A7327"/>
    <w:rsid w:val="34866E77"/>
    <w:rsid w:val="34984A51"/>
    <w:rsid w:val="34A264AC"/>
    <w:rsid w:val="34A36A44"/>
    <w:rsid w:val="34BD2692"/>
    <w:rsid w:val="34C32EDE"/>
    <w:rsid w:val="34CE6701"/>
    <w:rsid w:val="34D440FF"/>
    <w:rsid w:val="34D81ECE"/>
    <w:rsid w:val="34DB272B"/>
    <w:rsid w:val="34EF611E"/>
    <w:rsid w:val="34FA76B5"/>
    <w:rsid w:val="35013E67"/>
    <w:rsid w:val="351F5D4F"/>
    <w:rsid w:val="35242A56"/>
    <w:rsid w:val="35382942"/>
    <w:rsid w:val="353D7FAC"/>
    <w:rsid w:val="355304F3"/>
    <w:rsid w:val="35580248"/>
    <w:rsid w:val="356779FE"/>
    <w:rsid w:val="358B3EE4"/>
    <w:rsid w:val="359F12AD"/>
    <w:rsid w:val="359F7AF6"/>
    <w:rsid w:val="35A41509"/>
    <w:rsid w:val="35C07D37"/>
    <w:rsid w:val="35CB0051"/>
    <w:rsid w:val="35DA28A7"/>
    <w:rsid w:val="360F469F"/>
    <w:rsid w:val="361F15DC"/>
    <w:rsid w:val="36260A17"/>
    <w:rsid w:val="362900F1"/>
    <w:rsid w:val="363A1026"/>
    <w:rsid w:val="367B1F23"/>
    <w:rsid w:val="368340BC"/>
    <w:rsid w:val="36901785"/>
    <w:rsid w:val="369342FF"/>
    <w:rsid w:val="3699743B"/>
    <w:rsid w:val="36AF5C11"/>
    <w:rsid w:val="36CF1099"/>
    <w:rsid w:val="36D6243D"/>
    <w:rsid w:val="37173611"/>
    <w:rsid w:val="37176A95"/>
    <w:rsid w:val="3733756F"/>
    <w:rsid w:val="373A0C1E"/>
    <w:rsid w:val="373F0EC8"/>
    <w:rsid w:val="378C567A"/>
    <w:rsid w:val="3790083E"/>
    <w:rsid w:val="37BA4872"/>
    <w:rsid w:val="37BE7081"/>
    <w:rsid w:val="37C643B0"/>
    <w:rsid w:val="37CB0C4B"/>
    <w:rsid w:val="37D44BCF"/>
    <w:rsid w:val="37DE3C9F"/>
    <w:rsid w:val="37DE5A4E"/>
    <w:rsid w:val="37DF17C6"/>
    <w:rsid w:val="380840B8"/>
    <w:rsid w:val="382B0567"/>
    <w:rsid w:val="383C799F"/>
    <w:rsid w:val="383E029A"/>
    <w:rsid w:val="384A4E91"/>
    <w:rsid w:val="387E20F3"/>
    <w:rsid w:val="38AD33DC"/>
    <w:rsid w:val="38B36630"/>
    <w:rsid w:val="38B86D15"/>
    <w:rsid w:val="38D00D9A"/>
    <w:rsid w:val="38E74176"/>
    <w:rsid w:val="38F25C45"/>
    <w:rsid w:val="38FF4A19"/>
    <w:rsid w:val="390E1686"/>
    <w:rsid w:val="391159AF"/>
    <w:rsid w:val="391373CA"/>
    <w:rsid w:val="39180AEB"/>
    <w:rsid w:val="391A2AB5"/>
    <w:rsid w:val="39587CFB"/>
    <w:rsid w:val="397240B6"/>
    <w:rsid w:val="3994232D"/>
    <w:rsid w:val="39C26234"/>
    <w:rsid w:val="39CB2A6F"/>
    <w:rsid w:val="39CF3613"/>
    <w:rsid w:val="39D913B0"/>
    <w:rsid w:val="39F71049"/>
    <w:rsid w:val="39F74BA5"/>
    <w:rsid w:val="3A076929"/>
    <w:rsid w:val="3A112E8C"/>
    <w:rsid w:val="3A15327D"/>
    <w:rsid w:val="3A2321FE"/>
    <w:rsid w:val="3A2702B7"/>
    <w:rsid w:val="3A283A92"/>
    <w:rsid w:val="3A2A1F43"/>
    <w:rsid w:val="3A345DF9"/>
    <w:rsid w:val="3A8765A9"/>
    <w:rsid w:val="3AAB3437"/>
    <w:rsid w:val="3AD50EDA"/>
    <w:rsid w:val="3ADA5620"/>
    <w:rsid w:val="3AE63230"/>
    <w:rsid w:val="3AE7163C"/>
    <w:rsid w:val="3AED0905"/>
    <w:rsid w:val="3B1603EA"/>
    <w:rsid w:val="3B17124E"/>
    <w:rsid w:val="3B3E4A10"/>
    <w:rsid w:val="3B580978"/>
    <w:rsid w:val="3B6D3B0F"/>
    <w:rsid w:val="3B7124E0"/>
    <w:rsid w:val="3B727B52"/>
    <w:rsid w:val="3B8144DA"/>
    <w:rsid w:val="3B976570"/>
    <w:rsid w:val="3BA84540"/>
    <w:rsid w:val="3BF46E53"/>
    <w:rsid w:val="3BF63F71"/>
    <w:rsid w:val="3BF701A2"/>
    <w:rsid w:val="3BF910A8"/>
    <w:rsid w:val="3BFF5664"/>
    <w:rsid w:val="3C0131AD"/>
    <w:rsid w:val="3C053760"/>
    <w:rsid w:val="3C0678AA"/>
    <w:rsid w:val="3C327D77"/>
    <w:rsid w:val="3C3631DE"/>
    <w:rsid w:val="3C631FE7"/>
    <w:rsid w:val="3C7A419C"/>
    <w:rsid w:val="3C83745D"/>
    <w:rsid w:val="3C900D9A"/>
    <w:rsid w:val="3C935612"/>
    <w:rsid w:val="3C9C3D89"/>
    <w:rsid w:val="3CA95461"/>
    <w:rsid w:val="3CA97484"/>
    <w:rsid w:val="3CB75DC5"/>
    <w:rsid w:val="3CBE21B7"/>
    <w:rsid w:val="3CD059C0"/>
    <w:rsid w:val="3CD72A6B"/>
    <w:rsid w:val="3CEA74F7"/>
    <w:rsid w:val="3CFC24D2"/>
    <w:rsid w:val="3D15400D"/>
    <w:rsid w:val="3D1E069A"/>
    <w:rsid w:val="3D23467C"/>
    <w:rsid w:val="3D24616A"/>
    <w:rsid w:val="3D2771C9"/>
    <w:rsid w:val="3D2F7C1A"/>
    <w:rsid w:val="3D3C682A"/>
    <w:rsid w:val="3D3F6CE2"/>
    <w:rsid w:val="3D536596"/>
    <w:rsid w:val="3D5373BF"/>
    <w:rsid w:val="3D5F7A30"/>
    <w:rsid w:val="3D632551"/>
    <w:rsid w:val="3D6E4AB0"/>
    <w:rsid w:val="3D7224EE"/>
    <w:rsid w:val="3D793B60"/>
    <w:rsid w:val="3D970CBA"/>
    <w:rsid w:val="3D9F3F91"/>
    <w:rsid w:val="3DA821A7"/>
    <w:rsid w:val="3E122388"/>
    <w:rsid w:val="3E122F61"/>
    <w:rsid w:val="3E166A19"/>
    <w:rsid w:val="3E1978B4"/>
    <w:rsid w:val="3E255E73"/>
    <w:rsid w:val="3E3D4271"/>
    <w:rsid w:val="3E6D57BA"/>
    <w:rsid w:val="3E7C4E7E"/>
    <w:rsid w:val="3EAE3E9A"/>
    <w:rsid w:val="3EB32679"/>
    <w:rsid w:val="3ED4433B"/>
    <w:rsid w:val="3ED50CA5"/>
    <w:rsid w:val="3F087CA9"/>
    <w:rsid w:val="3F103E6F"/>
    <w:rsid w:val="3F601AF2"/>
    <w:rsid w:val="3F685265"/>
    <w:rsid w:val="3F9D072A"/>
    <w:rsid w:val="3FA30D39"/>
    <w:rsid w:val="3FEE38A1"/>
    <w:rsid w:val="3FFC13DB"/>
    <w:rsid w:val="3FFD039B"/>
    <w:rsid w:val="4004327C"/>
    <w:rsid w:val="400F3DCB"/>
    <w:rsid w:val="403221B3"/>
    <w:rsid w:val="404460E7"/>
    <w:rsid w:val="406C29EB"/>
    <w:rsid w:val="40C0232B"/>
    <w:rsid w:val="40D4097B"/>
    <w:rsid w:val="40D91322"/>
    <w:rsid w:val="40DD073E"/>
    <w:rsid w:val="40E56D02"/>
    <w:rsid w:val="4125334B"/>
    <w:rsid w:val="412E299C"/>
    <w:rsid w:val="414236A7"/>
    <w:rsid w:val="416C1574"/>
    <w:rsid w:val="418B1EC6"/>
    <w:rsid w:val="41D52631"/>
    <w:rsid w:val="41E40E7E"/>
    <w:rsid w:val="41E51F51"/>
    <w:rsid w:val="41F708CE"/>
    <w:rsid w:val="41FA7928"/>
    <w:rsid w:val="42337ADA"/>
    <w:rsid w:val="423746D8"/>
    <w:rsid w:val="4281781D"/>
    <w:rsid w:val="428D593C"/>
    <w:rsid w:val="42A26ED8"/>
    <w:rsid w:val="42E3702F"/>
    <w:rsid w:val="43091EBB"/>
    <w:rsid w:val="430C1434"/>
    <w:rsid w:val="430F11B1"/>
    <w:rsid w:val="43104CF7"/>
    <w:rsid w:val="431901C3"/>
    <w:rsid w:val="43462AA5"/>
    <w:rsid w:val="435117C9"/>
    <w:rsid w:val="43865A06"/>
    <w:rsid w:val="439953FA"/>
    <w:rsid w:val="43A26FDD"/>
    <w:rsid w:val="43AA7BAA"/>
    <w:rsid w:val="43BA5EC9"/>
    <w:rsid w:val="43C419D5"/>
    <w:rsid w:val="43CA2EE9"/>
    <w:rsid w:val="43E75C8A"/>
    <w:rsid w:val="440C3A50"/>
    <w:rsid w:val="44207DDF"/>
    <w:rsid w:val="44497291"/>
    <w:rsid w:val="44500011"/>
    <w:rsid w:val="445D7DC8"/>
    <w:rsid w:val="44697061"/>
    <w:rsid w:val="447339C1"/>
    <w:rsid w:val="44AA046E"/>
    <w:rsid w:val="44B042CE"/>
    <w:rsid w:val="44B227AF"/>
    <w:rsid w:val="44B55352"/>
    <w:rsid w:val="44B6193E"/>
    <w:rsid w:val="44C15470"/>
    <w:rsid w:val="44C44BEA"/>
    <w:rsid w:val="44CE7A88"/>
    <w:rsid w:val="44D63073"/>
    <w:rsid w:val="44FC7513"/>
    <w:rsid w:val="4504286C"/>
    <w:rsid w:val="452D21C8"/>
    <w:rsid w:val="45357383"/>
    <w:rsid w:val="453C3C64"/>
    <w:rsid w:val="45847E3D"/>
    <w:rsid w:val="459E5A72"/>
    <w:rsid w:val="459E681C"/>
    <w:rsid w:val="45B707A4"/>
    <w:rsid w:val="45B81805"/>
    <w:rsid w:val="45B84F5F"/>
    <w:rsid w:val="45BC311D"/>
    <w:rsid w:val="45C30C08"/>
    <w:rsid w:val="45C41339"/>
    <w:rsid w:val="45C43A78"/>
    <w:rsid w:val="45D03A9B"/>
    <w:rsid w:val="45D60D3D"/>
    <w:rsid w:val="45E01DCC"/>
    <w:rsid w:val="45EF52CA"/>
    <w:rsid w:val="45FD06BF"/>
    <w:rsid w:val="460101C2"/>
    <w:rsid w:val="46186DDB"/>
    <w:rsid w:val="461940F5"/>
    <w:rsid w:val="461B1C1B"/>
    <w:rsid w:val="46244521"/>
    <w:rsid w:val="46276812"/>
    <w:rsid w:val="463A18CD"/>
    <w:rsid w:val="463B406B"/>
    <w:rsid w:val="463E71C8"/>
    <w:rsid w:val="464029D9"/>
    <w:rsid w:val="465A12E5"/>
    <w:rsid w:val="46650E65"/>
    <w:rsid w:val="466E0628"/>
    <w:rsid w:val="46733805"/>
    <w:rsid w:val="468A5B17"/>
    <w:rsid w:val="46973AAC"/>
    <w:rsid w:val="46ED4F1C"/>
    <w:rsid w:val="46FF32EA"/>
    <w:rsid w:val="47005015"/>
    <w:rsid w:val="47176886"/>
    <w:rsid w:val="471B3AED"/>
    <w:rsid w:val="472E597E"/>
    <w:rsid w:val="47366A93"/>
    <w:rsid w:val="473904C3"/>
    <w:rsid w:val="474031DD"/>
    <w:rsid w:val="475518E5"/>
    <w:rsid w:val="479A7CF0"/>
    <w:rsid w:val="47A647A4"/>
    <w:rsid w:val="47E84311"/>
    <w:rsid w:val="481464EA"/>
    <w:rsid w:val="482B1817"/>
    <w:rsid w:val="48313978"/>
    <w:rsid w:val="48515DC8"/>
    <w:rsid w:val="48661D77"/>
    <w:rsid w:val="48671147"/>
    <w:rsid w:val="486B0AF3"/>
    <w:rsid w:val="488E4926"/>
    <w:rsid w:val="489068EF"/>
    <w:rsid w:val="489C3438"/>
    <w:rsid w:val="48AF40C1"/>
    <w:rsid w:val="48B776C5"/>
    <w:rsid w:val="48E110DD"/>
    <w:rsid w:val="48E171BC"/>
    <w:rsid w:val="48EB4FE0"/>
    <w:rsid w:val="491D3EFC"/>
    <w:rsid w:val="494A6335"/>
    <w:rsid w:val="49647D7D"/>
    <w:rsid w:val="4969620F"/>
    <w:rsid w:val="498112F6"/>
    <w:rsid w:val="49950194"/>
    <w:rsid w:val="49AB395C"/>
    <w:rsid w:val="49AC0022"/>
    <w:rsid w:val="49D432A0"/>
    <w:rsid w:val="49DC7E7C"/>
    <w:rsid w:val="49F64E79"/>
    <w:rsid w:val="49FA6188"/>
    <w:rsid w:val="4A0B1FA6"/>
    <w:rsid w:val="4A125DE7"/>
    <w:rsid w:val="4A143551"/>
    <w:rsid w:val="4A406F08"/>
    <w:rsid w:val="4A851B96"/>
    <w:rsid w:val="4A9274F7"/>
    <w:rsid w:val="4A9C2CFD"/>
    <w:rsid w:val="4AAB13E9"/>
    <w:rsid w:val="4AAF3487"/>
    <w:rsid w:val="4AC45C0F"/>
    <w:rsid w:val="4ADA3821"/>
    <w:rsid w:val="4AE03536"/>
    <w:rsid w:val="4AF11F40"/>
    <w:rsid w:val="4AF27193"/>
    <w:rsid w:val="4B033F28"/>
    <w:rsid w:val="4B1C435F"/>
    <w:rsid w:val="4B1F036F"/>
    <w:rsid w:val="4B315A3D"/>
    <w:rsid w:val="4B41175D"/>
    <w:rsid w:val="4B474591"/>
    <w:rsid w:val="4B612B92"/>
    <w:rsid w:val="4B690265"/>
    <w:rsid w:val="4B944F98"/>
    <w:rsid w:val="4BC726C0"/>
    <w:rsid w:val="4BCC52C8"/>
    <w:rsid w:val="4BD227ED"/>
    <w:rsid w:val="4C0D5FCD"/>
    <w:rsid w:val="4C35590F"/>
    <w:rsid w:val="4C485734"/>
    <w:rsid w:val="4C914B10"/>
    <w:rsid w:val="4C981298"/>
    <w:rsid w:val="4C99278D"/>
    <w:rsid w:val="4CA87F80"/>
    <w:rsid w:val="4CD20CF4"/>
    <w:rsid w:val="4CD47F29"/>
    <w:rsid w:val="4CD72658"/>
    <w:rsid w:val="4CD96FA7"/>
    <w:rsid w:val="4CE2021B"/>
    <w:rsid w:val="4D0866E7"/>
    <w:rsid w:val="4D135E4A"/>
    <w:rsid w:val="4D261D72"/>
    <w:rsid w:val="4D3161C8"/>
    <w:rsid w:val="4D6B3488"/>
    <w:rsid w:val="4D78512C"/>
    <w:rsid w:val="4D9D3E1A"/>
    <w:rsid w:val="4DC64783"/>
    <w:rsid w:val="4DD76D6F"/>
    <w:rsid w:val="4DE73C3A"/>
    <w:rsid w:val="4DEE40E5"/>
    <w:rsid w:val="4DFA5872"/>
    <w:rsid w:val="4E01301A"/>
    <w:rsid w:val="4E021BEE"/>
    <w:rsid w:val="4E1B258B"/>
    <w:rsid w:val="4E1E3D8B"/>
    <w:rsid w:val="4E2673D1"/>
    <w:rsid w:val="4E3358BF"/>
    <w:rsid w:val="4E3E63A2"/>
    <w:rsid w:val="4E52289A"/>
    <w:rsid w:val="4E63691F"/>
    <w:rsid w:val="4EA76C84"/>
    <w:rsid w:val="4EAA770B"/>
    <w:rsid w:val="4EB120F2"/>
    <w:rsid w:val="4EE14784"/>
    <w:rsid w:val="4EEA4D4C"/>
    <w:rsid w:val="4EF66AD9"/>
    <w:rsid w:val="4F0516BA"/>
    <w:rsid w:val="4F144117"/>
    <w:rsid w:val="4F1A038A"/>
    <w:rsid w:val="4F2B0DF3"/>
    <w:rsid w:val="4F3044D8"/>
    <w:rsid w:val="4F326382"/>
    <w:rsid w:val="4F4C0AB4"/>
    <w:rsid w:val="4F566F36"/>
    <w:rsid w:val="4F754BA6"/>
    <w:rsid w:val="4F8A3B1C"/>
    <w:rsid w:val="4F8A5B6B"/>
    <w:rsid w:val="4FA070A9"/>
    <w:rsid w:val="4FD049AE"/>
    <w:rsid w:val="4FD93AA7"/>
    <w:rsid w:val="4FDC48A1"/>
    <w:rsid w:val="4FF359B6"/>
    <w:rsid w:val="50217E90"/>
    <w:rsid w:val="50544478"/>
    <w:rsid w:val="505837AD"/>
    <w:rsid w:val="508B3FC4"/>
    <w:rsid w:val="508F56DF"/>
    <w:rsid w:val="50AE322A"/>
    <w:rsid w:val="50BC7CAF"/>
    <w:rsid w:val="50C07F8E"/>
    <w:rsid w:val="50DA12C4"/>
    <w:rsid w:val="51224847"/>
    <w:rsid w:val="51291C2F"/>
    <w:rsid w:val="51375377"/>
    <w:rsid w:val="51523F5C"/>
    <w:rsid w:val="51667392"/>
    <w:rsid w:val="51701F58"/>
    <w:rsid w:val="518823A9"/>
    <w:rsid w:val="51A22A48"/>
    <w:rsid w:val="51A74466"/>
    <w:rsid w:val="51AA5B27"/>
    <w:rsid w:val="51B967AB"/>
    <w:rsid w:val="51D7751D"/>
    <w:rsid w:val="51DF4444"/>
    <w:rsid w:val="51F71217"/>
    <w:rsid w:val="51F81A9B"/>
    <w:rsid w:val="520339B8"/>
    <w:rsid w:val="520B348B"/>
    <w:rsid w:val="521524AC"/>
    <w:rsid w:val="521E17CB"/>
    <w:rsid w:val="524E049D"/>
    <w:rsid w:val="52656794"/>
    <w:rsid w:val="52662EE7"/>
    <w:rsid w:val="526E2F16"/>
    <w:rsid w:val="527E1EAF"/>
    <w:rsid w:val="527E66EC"/>
    <w:rsid w:val="52A019BD"/>
    <w:rsid w:val="52A35000"/>
    <w:rsid w:val="52B77F0E"/>
    <w:rsid w:val="52BE0E66"/>
    <w:rsid w:val="52CF2802"/>
    <w:rsid w:val="52EC6E19"/>
    <w:rsid w:val="533F3F47"/>
    <w:rsid w:val="534C2AE0"/>
    <w:rsid w:val="534E59C0"/>
    <w:rsid w:val="535C4FE2"/>
    <w:rsid w:val="53631F80"/>
    <w:rsid w:val="536D18DC"/>
    <w:rsid w:val="537B7C4E"/>
    <w:rsid w:val="537E6369"/>
    <w:rsid w:val="53806712"/>
    <w:rsid w:val="5388595D"/>
    <w:rsid w:val="53893AF4"/>
    <w:rsid w:val="5390787E"/>
    <w:rsid w:val="539932B3"/>
    <w:rsid w:val="53B11E10"/>
    <w:rsid w:val="53D165F8"/>
    <w:rsid w:val="53EE4E13"/>
    <w:rsid w:val="53F4015A"/>
    <w:rsid w:val="53F561A1"/>
    <w:rsid w:val="5407444A"/>
    <w:rsid w:val="54164D1B"/>
    <w:rsid w:val="54282699"/>
    <w:rsid w:val="542C518A"/>
    <w:rsid w:val="54341DCF"/>
    <w:rsid w:val="54664E09"/>
    <w:rsid w:val="546A13B3"/>
    <w:rsid w:val="54716722"/>
    <w:rsid w:val="54720701"/>
    <w:rsid w:val="54803D5F"/>
    <w:rsid w:val="54817A35"/>
    <w:rsid w:val="54836F7C"/>
    <w:rsid w:val="54A3006C"/>
    <w:rsid w:val="54AB418A"/>
    <w:rsid w:val="54BD2C24"/>
    <w:rsid w:val="54BF588F"/>
    <w:rsid w:val="54CD47AC"/>
    <w:rsid w:val="54E12281"/>
    <w:rsid w:val="54FB2B8D"/>
    <w:rsid w:val="552346A9"/>
    <w:rsid w:val="552A1E7A"/>
    <w:rsid w:val="555018B1"/>
    <w:rsid w:val="55511877"/>
    <w:rsid w:val="555C7B5A"/>
    <w:rsid w:val="5583536A"/>
    <w:rsid w:val="558C761E"/>
    <w:rsid w:val="55A80D72"/>
    <w:rsid w:val="55AF05D2"/>
    <w:rsid w:val="55B16A87"/>
    <w:rsid w:val="55B32F4E"/>
    <w:rsid w:val="55C46029"/>
    <w:rsid w:val="55D43B94"/>
    <w:rsid w:val="55E301CC"/>
    <w:rsid w:val="55F33B8C"/>
    <w:rsid w:val="55F3697C"/>
    <w:rsid w:val="56112C03"/>
    <w:rsid w:val="561F12B3"/>
    <w:rsid w:val="56252770"/>
    <w:rsid w:val="562D2626"/>
    <w:rsid w:val="563642AF"/>
    <w:rsid w:val="56364809"/>
    <w:rsid w:val="56430217"/>
    <w:rsid w:val="56596AB4"/>
    <w:rsid w:val="565A053D"/>
    <w:rsid w:val="566155F1"/>
    <w:rsid w:val="56644F18"/>
    <w:rsid w:val="567E79D1"/>
    <w:rsid w:val="568A60C4"/>
    <w:rsid w:val="56C41E5B"/>
    <w:rsid w:val="56C91E0E"/>
    <w:rsid w:val="56E51D27"/>
    <w:rsid w:val="56ED412E"/>
    <w:rsid w:val="56FE35BF"/>
    <w:rsid w:val="56FF5614"/>
    <w:rsid w:val="57193F55"/>
    <w:rsid w:val="57266B82"/>
    <w:rsid w:val="57291D39"/>
    <w:rsid w:val="572C1FDF"/>
    <w:rsid w:val="57647882"/>
    <w:rsid w:val="57655120"/>
    <w:rsid w:val="576D604E"/>
    <w:rsid w:val="577F458C"/>
    <w:rsid w:val="579E4967"/>
    <w:rsid w:val="57C47E67"/>
    <w:rsid w:val="57CB053C"/>
    <w:rsid w:val="57D2100B"/>
    <w:rsid w:val="57D936E4"/>
    <w:rsid w:val="57E83927"/>
    <w:rsid w:val="57EE610C"/>
    <w:rsid w:val="580D694E"/>
    <w:rsid w:val="58223AF1"/>
    <w:rsid w:val="583B50ED"/>
    <w:rsid w:val="585B767A"/>
    <w:rsid w:val="586B0DA0"/>
    <w:rsid w:val="586B6A4E"/>
    <w:rsid w:val="58773629"/>
    <w:rsid w:val="587964E8"/>
    <w:rsid w:val="58823924"/>
    <w:rsid w:val="58987865"/>
    <w:rsid w:val="58AF704B"/>
    <w:rsid w:val="58C268D3"/>
    <w:rsid w:val="58CA7BFC"/>
    <w:rsid w:val="58DF4D2A"/>
    <w:rsid w:val="591041E6"/>
    <w:rsid w:val="591470C9"/>
    <w:rsid w:val="5924008C"/>
    <w:rsid w:val="592B6FDC"/>
    <w:rsid w:val="59643783"/>
    <w:rsid w:val="596B3D19"/>
    <w:rsid w:val="597F72CF"/>
    <w:rsid w:val="59906E1D"/>
    <w:rsid w:val="599B6EA3"/>
    <w:rsid w:val="59A86598"/>
    <w:rsid w:val="59C77C98"/>
    <w:rsid w:val="59FA2FF8"/>
    <w:rsid w:val="5A282587"/>
    <w:rsid w:val="5A401B54"/>
    <w:rsid w:val="5A8738CB"/>
    <w:rsid w:val="5A9C2CE8"/>
    <w:rsid w:val="5A9F29C3"/>
    <w:rsid w:val="5AA6485C"/>
    <w:rsid w:val="5AB634F1"/>
    <w:rsid w:val="5AC26CDD"/>
    <w:rsid w:val="5AF22625"/>
    <w:rsid w:val="5B113D25"/>
    <w:rsid w:val="5B1E16A2"/>
    <w:rsid w:val="5B331C89"/>
    <w:rsid w:val="5B4332C4"/>
    <w:rsid w:val="5B4B7D53"/>
    <w:rsid w:val="5B5A0895"/>
    <w:rsid w:val="5B7F0C70"/>
    <w:rsid w:val="5B8D6A69"/>
    <w:rsid w:val="5B9718EC"/>
    <w:rsid w:val="5BA005E1"/>
    <w:rsid w:val="5BA53E19"/>
    <w:rsid w:val="5BA84A38"/>
    <w:rsid w:val="5BC10DA0"/>
    <w:rsid w:val="5BDF3D3D"/>
    <w:rsid w:val="5BE927E9"/>
    <w:rsid w:val="5C0F1DCA"/>
    <w:rsid w:val="5C277114"/>
    <w:rsid w:val="5C32625A"/>
    <w:rsid w:val="5C3929DC"/>
    <w:rsid w:val="5C837F16"/>
    <w:rsid w:val="5C9B14CF"/>
    <w:rsid w:val="5CAF3619"/>
    <w:rsid w:val="5CBC2A3D"/>
    <w:rsid w:val="5CDA23D8"/>
    <w:rsid w:val="5CEE02F0"/>
    <w:rsid w:val="5CEE48D2"/>
    <w:rsid w:val="5D040CD8"/>
    <w:rsid w:val="5D1A26A8"/>
    <w:rsid w:val="5D3C591D"/>
    <w:rsid w:val="5D3D6229"/>
    <w:rsid w:val="5D437F7D"/>
    <w:rsid w:val="5D512D50"/>
    <w:rsid w:val="5D573A29"/>
    <w:rsid w:val="5D5D6645"/>
    <w:rsid w:val="5D73490B"/>
    <w:rsid w:val="5D8937B9"/>
    <w:rsid w:val="5D8D7935"/>
    <w:rsid w:val="5D972077"/>
    <w:rsid w:val="5DCB31FB"/>
    <w:rsid w:val="5DD12180"/>
    <w:rsid w:val="5DDC29AF"/>
    <w:rsid w:val="5DEB659F"/>
    <w:rsid w:val="5DFE20F6"/>
    <w:rsid w:val="5E0E058B"/>
    <w:rsid w:val="5E154399"/>
    <w:rsid w:val="5E184B66"/>
    <w:rsid w:val="5E186AB3"/>
    <w:rsid w:val="5E301A16"/>
    <w:rsid w:val="5E311218"/>
    <w:rsid w:val="5E5513CE"/>
    <w:rsid w:val="5E581806"/>
    <w:rsid w:val="5E685CB2"/>
    <w:rsid w:val="5E8819C0"/>
    <w:rsid w:val="5E8A2BBB"/>
    <w:rsid w:val="5E8C0FB6"/>
    <w:rsid w:val="5E8D06BE"/>
    <w:rsid w:val="5EBE5ADD"/>
    <w:rsid w:val="5F07539C"/>
    <w:rsid w:val="5F125E59"/>
    <w:rsid w:val="5F1F2324"/>
    <w:rsid w:val="5F2136D8"/>
    <w:rsid w:val="5F273A6D"/>
    <w:rsid w:val="5F376360"/>
    <w:rsid w:val="5F44142B"/>
    <w:rsid w:val="5F57066F"/>
    <w:rsid w:val="5F874639"/>
    <w:rsid w:val="5F882936"/>
    <w:rsid w:val="5FD96977"/>
    <w:rsid w:val="5FF54C37"/>
    <w:rsid w:val="60161979"/>
    <w:rsid w:val="6019406C"/>
    <w:rsid w:val="60250C5E"/>
    <w:rsid w:val="602C1292"/>
    <w:rsid w:val="60397415"/>
    <w:rsid w:val="604C495D"/>
    <w:rsid w:val="605E7A23"/>
    <w:rsid w:val="606D3048"/>
    <w:rsid w:val="6089379F"/>
    <w:rsid w:val="60A7423E"/>
    <w:rsid w:val="60B5659C"/>
    <w:rsid w:val="60F872D1"/>
    <w:rsid w:val="60FB0B6F"/>
    <w:rsid w:val="61112140"/>
    <w:rsid w:val="611679FD"/>
    <w:rsid w:val="61204131"/>
    <w:rsid w:val="61314591"/>
    <w:rsid w:val="61380774"/>
    <w:rsid w:val="6151078F"/>
    <w:rsid w:val="61710175"/>
    <w:rsid w:val="61870689"/>
    <w:rsid w:val="618B5A4F"/>
    <w:rsid w:val="619623AA"/>
    <w:rsid w:val="61AA7562"/>
    <w:rsid w:val="61AB2FC0"/>
    <w:rsid w:val="61B52D59"/>
    <w:rsid w:val="61C859AE"/>
    <w:rsid w:val="61D12784"/>
    <w:rsid w:val="61E11B13"/>
    <w:rsid w:val="61E842E1"/>
    <w:rsid w:val="61EB634E"/>
    <w:rsid w:val="61ED6B6C"/>
    <w:rsid w:val="61FE4473"/>
    <w:rsid w:val="621A4BF1"/>
    <w:rsid w:val="62210161"/>
    <w:rsid w:val="62231F03"/>
    <w:rsid w:val="622A2173"/>
    <w:rsid w:val="623E51B7"/>
    <w:rsid w:val="624031A3"/>
    <w:rsid w:val="62577FB2"/>
    <w:rsid w:val="625A6C6E"/>
    <w:rsid w:val="62654D0D"/>
    <w:rsid w:val="626F0238"/>
    <w:rsid w:val="62834C30"/>
    <w:rsid w:val="62AA3D38"/>
    <w:rsid w:val="62AA45FB"/>
    <w:rsid w:val="62AD0B0F"/>
    <w:rsid w:val="62D378CB"/>
    <w:rsid w:val="62EC72F2"/>
    <w:rsid w:val="62F840EE"/>
    <w:rsid w:val="62FD472A"/>
    <w:rsid w:val="6304295C"/>
    <w:rsid w:val="6318621B"/>
    <w:rsid w:val="635D4CE7"/>
    <w:rsid w:val="636F15F0"/>
    <w:rsid w:val="63834A10"/>
    <w:rsid w:val="63866C4F"/>
    <w:rsid w:val="638E7F62"/>
    <w:rsid w:val="63C80F5E"/>
    <w:rsid w:val="63E12D13"/>
    <w:rsid w:val="63E63410"/>
    <w:rsid w:val="63EF642D"/>
    <w:rsid w:val="64066FDC"/>
    <w:rsid w:val="641C2A38"/>
    <w:rsid w:val="64267CB1"/>
    <w:rsid w:val="6434233F"/>
    <w:rsid w:val="64354769"/>
    <w:rsid w:val="645D23BE"/>
    <w:rsid w:val="646271B0"/>
    <w:rsid w:val="646E3234"/>
    <w:rsid w:val="646E5692"/>
    <w:rsid w:val="647B3379"/>
    <w:rsid w:val="64802F30"/>
    <w:rsid w:val="648F3AA8"/>
    <w:rsid w:val="649F0C9A"/>
    <w:rsid w:val="64B61035"/>
    <w:rsid w:val="64D57148"/>
    <w:rsid w:val="64D73AB0"/>
    <w:rsid w:val="650143EE"/>
    <w:rsid w:val="6536289C"/>
    <w:rsid w:val="654621ED"/>
    <w:rsid w:val="654F6CA4"/>
    <w:rsid w:val="6553068A"/>
    <w:rsid w:val="656A3933"/>
    <w:rsid w:val="656E0581"/>
    <w:rsid w:val="65715001"/>
    <w:rsid w:val="659B022A"/>
    <w:rsid w:val="65A13CC9"/>
    <w:rsid w:val="65C72CCE"/>
    <w:rsid w:val="65C854C3"/>
    <w:rsid w:val="65CE19BE"/>
    <w:rsid w:val="65D24D07"/>
    <w:rsid w:val="65DD4CBC"/>
    <w:rsid w:val="65DD6C1C"/>
    <w:rsid w:val="65DE0457"/>
    <w:rsid w:val="65F22540"/>
    <w:rsid w:val="6635153D"/>
    <w:rsid w:val="663A2510"/>
    <w:rsid w:val="66595CEE"/>
    <w:rsid w:val="665A6A75"/>
    <w:rsid w:val="665B18BB"/>
    <w:rsid w:val="66625644"/>
    <w:rsid w:val="66740760"/>
    <w:rsid w:val="6679400C"/>
    <w:rsid w:val="668B3EDE"/>
    <w:rsid w:val="66C11BEB"/>
    <w:rsid w:val="66C63825"/>
    <w:rsid w:val="66FE4697"/>
    <w:rsid w:val="671167C3"/>
    <w:rsid w:val="671B3839"/>
    <w:rsid w:val="67550FD9"/>
    <w:rsid w:val="676236F6"/>
    <w:rsid w:val="676F0B13"/>
    <w:rsid w:val="67702502"/>
    <w:rsid w:val="677B0314"/>
    <w:rsid w:val="67AE06E9"/>
    <w:rsid w:val="67B553EB"/>
    <w:rsid w:val="67C12EBA"/>
    <w:rsid w:val="67CF6A1E"/>
    <w:rsid w:val="67D23686"/>
    <w:rsid w:val="67DD7C31"/>
    <w:rsid w:val="67E05D47"/>
    <w:rsid w:val="67F307F2"/>
    <w:rsid w:val="67FE3B46"/>
    <w:rsid w:val="67FE3CD2"/>
    <w:rsid w:val="680C61E2"/>
    <w:rsid w:val="68171BE1"/>
    <w:rsid w:val="681E6763"/>
    <w:rsid w:val="682D26F3"/>
    <w:rsid w:val="68451DB0"/>
    <w:rsid w:val="684E0D53"/>
    <w:rsid w:val="68602BD9"/>
    <w:rsid w:val="68653F89"/>
    <w:rsid w:val="686557D6"/>
    <w:rsid w:val="68694610"/>
    <w:rsid w:val="686F7E78"/>
    <w:rsid w:val="68716CE3"/>
    <w:rsid w:val="68A13690"/>
    <w:rsid w:val="68A3136D"/>
    <w:rsid w:val="68A628AC"/>
    <w:rsid w:val="68B166E3"/>
    <w:rsid w:val="68B52A4A"/>
    <w:rsid w:val="68BB2FC0"/>
    <w:rsid w:val="68C40F97"/>
    <w:rsid w:val="68ED068F"/>
    <w:rsid w:val="68EE0889"/>
    <w:rsid w:val="68F640F6"/>
    <w:rsid w:val="69091E6C"/>
    <w:rsid w:val="69252C2D"/>
    <w:rsid w:val="692858AB"/>
    <w:rsid w:val="692F7770"/>
    <w:rsid w:val="69444CC6"/>
    <w:rsid w:val="69461CA3"/>
    <w:rsid w:val="694F1A58"/>
    <w:rsid w:val="69516285"/>
    <w:rsid w:val="6956146A"/>
    <w:rsid w:val="695C625F"/>
    <w:rsid w:val="697854B3"/>
    <w:rsid w:val="697B3165"/>
    <w:rsid w:val="699509A1"/>
    <w:rsid w:val="69A022B3"/>
    <w:rsid w:val="69A73885"/>
    <w:rsid w:val="69A822B1"/>
    <w:rsid w:val="69B771E8"/>
    <w:rsid w:val="69D040E0"/>
    <w:rsid w:val="69E44896"/>
    <w:rsid w:val="69FB6FD8"/>
    <w:rsid w:val="6A042842"/>
    <w:rsid w:val="6A0A336C"/>
    <w:rsid w:val="6A4D081B"/>
    <w:rsid w:val="6A556925"/>
    <w:rsid w:val="6A671D27"/>
    <w:rsid w:val="6A9B13E9"/>
    <w:rsid w:val="6A9C1C91"/>
    <w:rsid w:val="6AB20E27"/>
    <w:rsid w:val="6ABA73A5"/>
    <w:rsid w:val="6AE45C3C"/>
    <w:rsid w:val="6AFC5C43"/>
    <w:rsid w:val="6B0012EC"/>
    <w:rsid w:val="6B241631"/>
    <w:rsid w:val="6B4A65FA"/>
    <w:rsid w:val="6B5C045C"/>
    <w:rsid w:val="6B6A5918"/>
    <w:rsid w:val="6B9F0B7B"/>
    <w:rsid w:val="6BA35F11"/>
    <w:rsid w:val="6BA65432"/>
    <w:rsid w:val="6BA74108"/>
    <w:rsid w:val="6BB91D13"/>
    <w:rsid w:val="6BBB33D4"/>
    <w:rsid w:val="6BC04E8F"/>
    <w:rsid w:val="6BD6020E"/>
    <w:rsid w:val="6BD61FBC"/>
    <w:rsid w:val="6BDE012C"/>
    <w:rsid w:val="6BF207FA"/>
    <w:rsid w:val="6C20148A"/>
    <w:rsid w:val="6C281122"/>
    <w:rsid w:val="6C322B0F"/>
    <w:rsid w:val="6C452093"/>
    <w:rsid w:val="6C56747D"/>
    <w:rsid w:val="6C6D6230"/>
    <w:rsid w:val="6C9350D8"/>
    <w:rsid w:val="6C960EA3"/>
    <w:rsid w:val="6CC510B4"/>
    <w:rsid w:val="6CE32BE3"/>
    <w:rsid w:val="6CEF2CD8"/>
    <w:rsid w:val="6CF22E26"/>
    <w:rsid w:val="6CF305CE"/>
    <w:rsid w:val="6CF52B90"/>
    <w:rsid w:val="6CF73D1C"/>
    <w:rsid w:val="6CF84761"/>
    <w:rsid w:val="6D286921"/>
    <w:rsid w:val="6D3B47CD"/>
    <w:rsid w:val="6D426B11"/>
    <w:rsid w:val="6D6A6E60"/>
    <w:rsid w:val="6D716441"/>
    <w:rsid w:val="6D7E6438"/>
    <w:rsid w:val="6D9E2FAE"/>
    <w:rsid w:val="6DBB7398"/>
    <w:rsid w:val="6DD80975"/>
    <w:rsid w:val="6DFD2828"/>
    <w:rsid w:val="6E03394E"/>
    <w:rsid w:val="6E2022BE"/>
    <w:rsid w:val="6E396833"/>
    <w:rsid w:val="6E3D6C17"/>
    <w:rsid w:val="6E427DDD"/>
    <w:rsid w:val="6E953289"/>
    <w:rsid w:val="6E9A5523"/>
    <w:rsid w:val="6EB6400B"/>
    <w:rsid w:val="6EBD3059"/>
    <w:rsid w:val="6EC01158"/>
    <w:rsid w:val="6ED74DE1"/>
    <w:rsid w:val="6EF52ABB"/>
    <w:rsid w:val="6EF56BFD"/>
    <w:rsid w:val="6EF66E10"/>
    <w:rsid w:val="6EFC61DE"/>
    <w:rsid w:val="6F21215E"/>
    <w:rsid w:val="6F234997"/>
    <w:rsid w:val="6F28035E"/>
    <w:rsid w:val="6F296491"/>
    <w:rsid w:val="6F2A385C"/>
    <w:rsid w:val="6F3F60CB"/>
    <w:rsid w:val="6F4656AB"/>
    <w:rsid w:val="6F6E3C3B"/>
    <w:rsid w:val="6F895FBD"/>
    <w:rsid w:val="6F8E6057"/>
    <w:rsid w:val="6F8F0045"/>
    <w:rsid w:val="6FA56875"/>
    <w:rsid w:val="6FB4124A"/>
    <w:rsid w:val="6FDD3F6A"/>
    <w:rsid w:val="6FF356A3"/>
    <w:rsid w:val="7004359C"/>
    <w:rsid w:val="701D465E"/>
    <w:rsid w:val="70355F30"/>
    <w:rsid w:val="704D7BB7"/>
    <w:rsid w:val="7078304D"/>
    <w:rsid w:val="70A67372"/>
    <w:rsid w:val="70B807FE"/>
    <w:rsid w:val="70EB3E10"/>
    <w:rsid w:val="710B6BAC"/>
    <w:rsid w:val="711F323D"/>
    <w:rsid w:val="713F0604"/>
    <w:rsid w:val="714A687E"/>
    <w:rsid w:val="714B6A4F"/>
    <w:rsid w:val="71503AF3"/>
    <w:rsid w:val="71A32B9D"/>
    <w:rsid w:val="71A4504D"/>
    <w:rsid w:val="71C93960"/>
    <w:rsid w:val="720D56CA"/>
    <w:rsid w:val="72415FE9"/>
    <w:rsid w:val="724A3704"/>
    <w:rsid w:val="725763EF"/>
    <w:rsid w:val="72613640"/>
    <w:rsid w:val="72623B00"/>
    <w:rsid w:val="72AC308C"/>
    <w:rsid w:val="72DA6005"/>
    <w:rsid w:val="72DD75A2"/>
    <w:rsid w:val="72EA59C5"/>
    <w:rsid w:val="72EC0317"/>
    <w:rsid w:val="72ED19A0"/>
    <w:rsid w:val="731B2E6F"/>
    <w:rsid w:val="731C096C"/>
    <w:rsid w:val="73247AB1"/>
    <w:rsid w:val="73353407"/>
    <w:rsid w:val="73522870"/>
    <w:rsid w:val="73700F48"/>
    <w:rsid w:val="73725407"/>
    <w:rsid w:val="737F13BD"/>
    <w:rsid w:val="739C2B50"/>
    <w:rsid w:val="739D6314"/>
    <w:rsid w:val="73BE0719"/>
    <w:rsid w:val="73BF4F91"/>
    <w:rsid w:val="73E45D70"/>
    <w:rsid w:val="73FD468E"/>
    <w:rsid w:val="740E7008"/>
    <w:rsid w:val="741A064D"/>
    <w:rsid w:val="746351BC"/>
    <w:rsid w:val="746A2FC3"/>
    <w:rsid w:val="74A00674"/>
    <w:rsid w:val="74A01913"/>
    <w:rsid w:val="74A03B49"/>
    <w:rsid w:val="74B54486"/>
    <w:rsid w:val="74C05603"/>
    <w:rsid w:val="74F87447"/>
    <w:rsid w:val="75267B11"/>
    <w:rsid w:val="75304F8F"/>
    <w:rsid w:val="755D07A6"/>
    <w:rsid w:val="755D3798"/>
    <w:rsid w:val="757F1917"/>
    <w:rsid w:val="75811AFA"/>
    <w:rsid w:val="75AA449C"/>
    <w:rsid w:val="75C612EF"/>
    <w:rsid w:val="75C95200"/>
    <w:rsid w:val="75D44B42"/>
    <w:rsid w:val="75E372FC"/>
    <w:rsid w:val="75EC761E"/>
    <w:rsid w:val="75F71532"/>
    <w:rsid w:val="75FA1462"/>
    <w:rsid w:val="76051E1C"/>
    <w:rsid w:val="761D471F"/>
    <w:rsid w:val="76263B40"/>
    <w:rsid w:val="763533D3"/>
    <w:rsid w:val="767474BA"/>
    <w:rsid w:val="76A213B0"/>
    <w:rsid w:val="76A944F7"/>
    <w:rsid w:val="76B67F72"/>
    <w:rsid w:val="76DC4510"/>
    <w:rsid w:val="76E45D0D"/>
    <w:rsid w:val="76E47C83"/>
    <w:rsid w:val="76F33AA1"/>
    <w:rsid w:val="77040325"/>
    <w:rsid w:val="770976EA"/>
    <w:rsid w:val="77117B6E"/>
    <w:rsid w:val="77154FB4"/>
    <w:rsid w:val="771A2869"/>
    <w:rsid w:val="771B67A1"/>
    <w:rsid w:val="77250474"/>
    <w:rsid w:val="7735124A"/>
    <w:rsid w:val="77361421"/>
    <w:rsid w:val="773B1817"/>
    <w:rsid w:val="77547615"/>
    <w:rsid w:val="778433ED"/>
    <w:rsid w:val="778C4E61"/>
    <w:rsid w:val="77A501F1"/>
    <w:rsid w:val="77B95F7C"/>
    <w:rsid w:val="77C415FD"/>
    <w:rsid w:val="77D34AB4"/>
    <w:rsid w:val="77DF1FAB"/>
    <w:rsid w:val="77E65C7D"/>
    <w:rsid w:val="77EC60CF"/>
    <w:rsid w:val="78141840"/>
    <w:rsid w:val="78240738"/>
    <w:rsid w:val="782C7B34"/>
    <w:rsid w:val="783808F1"/>
    <w:rsid w:val="7847671C"/>
    <w:rsid w:val="7863107C"/>
    <w:rsid w:val="78811025"/>
    <w:rsid w:val="788F4000"/>
    <w:rsid w:val="78904C79"/>
    <w:rsid w:val="78911745"/>
    <w:rsid w:val="789B2FF4"/>
    <w:rsid w:val="789C2912"/>
    <w:rsid w:val="78BB4A14"/>
    <w:rsid w:val="78C05146"/>
    <w:rsid w:val="78CE2999"/>
    <w:rsid w:val="78E24518"/>
    <w:rsid w:val="78FF3E4D"/>
    <w:rsid w:val="79153D17"/>
    <w:rsid w:val="791E294E"/>
    <w:rsid w:val="79376DF4"/>
    <w:rsid w:val="795F0B99"/>
    <w:rsid w:val="795F2558"/>
    <w:rsid w:val="79646868"/>
    <w:rsid w:val="79692435"/>
    <w:rsid w:val="798C5A51"/>
    <w:rsid w:val="79985233"/>
    <w:rsid w:val="79B30AA9"/>
    <w:rsid w:val="79D50178"/>
    <w:rsid w:val="79D63B23"/>
    <w:rsid w:val="7A30389F"/>
    <w:rsid w:val="7A614CA3"/>
    <w:rsid w:val="7A700894"/>
    <w:rsid w:val="7A723638"/>
    <w:rsid w:val="7A880592"/>
    <w:rsid w:val="7A9120D5"/>
    <w:rsid w:val="7A9B3B69"/>
    <w:rsid w:val="7AA82B3B"/>
    <w:rsid w:val="7AD447CE"/>
    <w:rsid w:val="7B040148"/>
    <w:rsid w:val="7B0C4611"/>
    <w:rsid w:val="7B176DAD"/>
    <w:rsid w:val="7B1F0ED1"/>
    <w:rsid w:val="7B743285"/>
    <w:rsid w:val="7B7D06A6"/>
    <w:rsid w:val="7B847686"/>
    <w:rsid w:val="7B916F5C"/>
    <w:rsid w:val="7B937FCE"/>
    <w:rsid w:val="7B942BFA"/>
    <w:rsid w:val="7B9460F1"/>
    <w:rsid w:val="7BA23C69"/>
    <w:rsid w:val="7BA33EAD"/>
    <w:rsid w:val="7BAF26F4"/>
    <w:rsid w:val="7BB0279F"/>
    <w:rsid w:val="7BCE0F02"/>
    <w:rsid w:val="7BE01039"/>
    <w:rsid w:val="7BF154C7"/>
    <w:rsid w:val="7BFD27E5"/>
    <w:rsid w:val="7C08154F"/>
    <w:rsid w:val="7C2627EE"/>
    <w:rsid w:val="7C277B4D"/>
    <w:rsid w:val="7C432C14"/>
    <w:rsid w:val="7C7C33C2"/>
    <w:rsid w:val="7C9F2136"/>
    <w:rsid w:val="7CCC179D"/>
    <w:rsid w:val="7CCF018B"/>
    <w:rsid w:val="7CD53CA7"/>
    <w:rsid w:val="7D1172F8"/>
    <w:rsid w:val="7D5176F5"/>
    <w:rsid w:val="7D605B8A"/>
    <w:rsid w:val="7D962A1C"/>
    <w:rsid w:val="7DE927A5"/>
    <w:rsid w:val="7DE92D7A"/>
    <w:rsid w:val="7E063F96"/>
    <w:rsid w:val="7E074257"/>
    <w:rsid w:val="7E100520"/>
    <w:rsid w:val="7E3B533E"/>
    <w:rsid w:val="7E3D6CB9"/>
    <w:rsid w:val="7E3E6130"/>
    <w:rsid w:val="7E4159BB"/>
    <w:rsid w:val="7E452805"/>
    <w:rsid w:val="7E643FDC"/>
    <w:rsid w:val="7E6B1212"/>
    <w:rsid w:val="7E7557F0"/>
    <w:rsid w:val="7E855CB1"/>
    <w:rsid w:val="7EA14878"/>
    <w:rsid w:val="7EAD72E1"/>
    <w:rsid w:val="7EBD7488"/>
    <w:rsid w:val="7EF96296"/>
    <w:rsid w:val="7F1A47EA"/>
    <w:rsid w:val="7F2647E5"/>
    <w:rsid w:val="7F2A6313"/>
    <w:rsid w:val="7F8E4F77"/>
    <w:rsid w:val="7F8F7CCD"/>
    <w:rsid w:val="7F9B734D"/>
    <w:rsid w:val="7F9C412C"/>
    <w:rsid w:val="7FA162FC"/>
    <w:rsid w:val="7FA31C4B"/>
    <w:rsid w:val="7FAB47FD"/>
    <w:rsid w:val="7FAF4BA7"/>
    <w:rsid w:val="7FD15E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99"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link w:val="55"/>
    <w:qFormat/>
    <w:uiPriority w:val="0"/>
    <w:pPr>
      <w:keepNext/>
      <w:keepLines/>
      <w:spacing w:before="120" w:after="120" w:line="360" w:lineRule="auto"/>
      <w:jc w:val="center"/>
      <w:outlineLvl w:val="1"/>
    </w:pPr>
    <w:rPr>
      <w:rFonts w:ascii="Arial" w:hAnsi="Arial"/>
      <w:b/>
      <w:bCs/>
      <w:kern w:val="0"/>
      <w:sz w:val="32"/>
      <w:szCs w:val="32"/>
    </w:rPr>
  </w:style>
  <w:style w:type="paragraph" w:styleId="5">
    <w:name w:val="heading 3"/>
    <w:basedOn w:val="1"/>
    <w:next w:val="1"/>
    <w:link w:val="56"/>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qFormat/>
    <w:uiPriority w:val="0"/>
    <w:pPr>
      <w:keepNext/>
      <w:keepLines/>
      <w:spacing w:before="280" w:after="290" w:line="376" w:lineRule="auto"/>
      <w:outlineLvl w:val="4"/>
    </w:pPr>
    <w:rPr>
      <w:b/>
      <w:bCs/>
      <w:sz w:val="28"/>
      <w:szCs w:val="28"/>
    </w:rPr>
  </w:style>
  <w:style w:type="character" w:default="1" w:styleId="31">
    <w:name w:val="Default Paragraph Font"/>
    <w:semiHidden/>
    <w:unhideWhenUsed/>
    <w:qFormat/>
    <w:uiPriority w:val="1"/>
  </w:style>
  <w:style w:type="table" w:default="1" w:styleId="41">
    <w:name w:val="Normal Table"/>
    <w:semiHidden/>
    <w:unhideWhenUsed/>
    <w:qFormat/>
    <w:uiPriority w:val="99"/>
    <w:tblPr>
      <w:tblLayout w:type="fixed"/>
      <w:tblCellMar>
        <w:top w:w="0" w:type="dxa"/>
        <w:left w:w="108" w:type="dxa"/>
        <w:bottom w:w="0" w:type="dxa"/>
        <w:right w:w="108" w:type="dxa"/>
      </w:tblCellMar>
    </w:tblPr>
  </w:style>
  <w:style w:type="paragraph" w:styleId="2">
    <w:name w:val="Normal Indent"/>
    <w:basedOn w:val="1"/>
    <w:next w:val="1"/>
    <w:qFormat/>
    <w:uiPriority w:val="0"/>
    <w:pPr>
      <w:ind w:firstLine="420"/>
    </w:pPr>
  </w:style>
  <w:style w:type="paragraph" w:styleId="8">
    <w:name w:val="Body Text First Indent"/>
    <w:basedOn w:val="9"/>
    <w:next w:val="1"/>
    <w:qFormat/>
    <w:uiPriority w:val="0"/>
    <w:pPr>
      <w:ind w:firstLine="420" w:firstLineChars="100"/>
    </w:pPr>
  </w:style>
  <w:style w:type="paragraph" w:styleId="9">
    <w:name w:val="Body Text"/>
    <w:basedOn w:val="1"/>
    <w:next w:val="1"/>
    <w:qFormat/>
    <w:uiPriority w:val="0"/>
    <w:pPr>
      <w:spacing w:after="120"/>
    </w:pPr>
    <w:rPr>
      <w:sz w:val="28"/>
      <w:szCs w:val="20"/>
    </w:rPr>
  </w:style>
  <w:style w:type="paragraph" w:styleId="10">
    <w:name w:val="Document Map"/>
    <w:basedOn w:val="1"/>
    <w:link w:val="54"/>
    <w:qFormat/>
    <w:uiPriority w:val="0"/>
    <w:rPr>
      <w:rFonts w:ascii="宋体"/>
      <w:sz w:val="18"/>
      <w:szCs w:val="18"/>
    </w:rPr>
  </w:style>
  <w:style w:type="paragraph" w:styleId="11">
    <w:name w:val="toa heading"/>
    <w:basedOn w:val="1"/>
    <w:next w:val="1"/>
    <w:qFormat/>
    <w:uiPriority w:val="0"/>
    <w:pPr>
      <w:spacing w:before="120"/>
    </w:pPr>
    <w:rPr>
      <w:rFonts w:ascii="Arial" w:hAnsi="Arial" w:cs="Arial"/>
      <w:sz w:val="24"/>
      <w:szCs w:val="24"/>
    </w:rPr>
  </w:style>
  <w:style w:type="paragraph" w:styleId="12">
    <w:name w:val="annotation text"/>
    <w:basedOn w:val="1"/>
    <w:qFormat/>
    <w:uiPriority w:val="0"/>
    <w:pPr>
      <w:jc w:val="left"/>
    </w:pPr>
  </w:style>
  <w:style w:type="paragraph" w:styleId="13">
    <w:name w:val="Body Text 3"/>
    <w:basedOn w:val="1"/>
    <w:qFormat/>
    <w:uiPriority w:val="0"/>
    <w:pPr>
      <w:spacing w:line="480" w:lineRule="exact"/>
      <w:jc w:val="center"/>
    </w:pPr>
  </w:style>
  <w:style w:type="paragraph" w:styleId="14">
    <w:name w:val="Body Text Indent"/>
    <w:basedOn w:val="1"/>
    <w:next w:val="15"/>
    <w:qFormat/>
    <w:uiPriority w:val="0"/>
    <w:pPr>
      <w:spacing w:after="120"/>
      <w:ind w:left="420" w:leftChars="200"/>
    </w:pPr>
  </w:style>
  <w:style w:type="paragraph" w:styleId="15">
    <w:name w:val="Body Text First Indent 2"/>
    <w:basedOn w:val="14"/>
    <w:next w:val="1"/>
    <w:qFormat/>
    <w:uiPriority w:val="0"/>
    <w:pPr>
      <w:ind w:firstLine="420" w:firstLineChars="200"/>
    </w:pPr>
  </w:style>
  <w:style w:type="paragraph" w:styleId="16">
    <w:name w:val="toc 5"/>
    <w:basedOn w:val="1"/>
    <w:next w:val="1"/>
    <w:qFormat/>
    <w:uiPriority w:val="39"/>
    <w:pPr>
      <w:ind w:left="1680" w:leftChars="800"/>
    </w:pPr>
  </w:style>
  <w:style w:type="paragraph" w:styleId="17">
    <w:name w:val="Plain Text"/>
    <w:basedOn w:val="1"/>
    <w:next w:val="18"/>
    <w:qFormat/>
    <w:uiPriority w:val="0"/>
    <w:rPr>
      <w:rFonts w:ascii="宋体" w:hAnsi="Courier New"/>
      <w:color w:val="000000"/>
      <w:szCs w:val="20"/>
    </w:rPr>
  </w:style>
  <w:style w:type="paragraph" w:styleId="18">
    <w:name w:val="index 9"/>
    <w:basedOn w:val="1"/>
    <w:next w:val="1"/>
    <w:qFormat/>
    <w:uiPriority w:val="0"/>
    <w:pPr>
      <w:widowControl w:val="0"/>
      <w:ind w:left="3360"/>
      <w:jc w:val="both"/>
    </w:pPr>
    <w:rPr>
      <w:rFonts w:ascii="Calibri" w:hAnsi="Calibri" w:eastAsia="宋体" w:cs="等线"/>
      <w:kern w:val="2"/>
      <w:sz w:val="21"/>
      <w:szCs w:val="21"/>
      <w:lang w:val="en-US" w:eastAsia="zh-CN" w:bidi="ar-SA"/>
    </w:rPr>
  </w:style>
  <w:style w:type="paragraph" w:styleId="19">
    <w:name w:val="Date"/>
    <w:basedOn w:val="1"/>
    <w:next w:val="1"/>
    <w:qFormat/>
    <w:uiPriority w:val="0"/>
    <w:pPr>
      <w:ind w:left="100" w:leftChars="2500"/>
    </w:pPr>
  </w:style>
  <w:style w:type="paragraph" w:styleId="20">
    <w:name w:val="footer"/>
    <w:basedOn w:val="1"/>
    <w:qFormat/>
    <w:uiPriority w:val="0"/>
    <w:pPr>
      <w:tabs>
        <w:tab w:val="center" w:pos="4153"/>
        <w:tab w:val="right" w:pos="8306"/>
      </w:tabs>
      <w:snapToGrid w:val="0"/>
      <w:jc w:val="left"/>
    </w:pPr>
    <w:rPr>
      <w:sz w:val="18"/>
    </w:rPr>
  </w:style>
  <w:style w:type="paragraph" w:styleId="21">
    <w:name w:val="envelope return"/>
    <w:basedOn w:val="1"/>
    <w:qFormat/>
    <w:uiPriority w:val="0"/>
    <w:pPr>
      <w:snapToGrid w:val="0"/>
    </w:pPr>
    <w:rPr>
      <w:rFonts w:ascii="Arial" w:hAnsi="Arial"/>
    </w:rPr>
  </w:style>
  <w:style w:type="paragraph" w:styleId="22">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qFormat/>
    <w:uiPriority w:val="0"/>
  </w:style>
  <w:style w:type="paragraph" w:styleId="24">
    <w:name w:val="toc 6"/>
    <w:basedOn w:val="1"/>
    <w:next w:val="1"/>
    <w:unhideWhenUsed/>
    <w:qFormat/>
    <w:uiPriority w:val="39"/>
    <w:pPr>
      <w:ind w:left="1050"/>
    </w:pPr>
    <w:rPr>
      <w:rFonts w:ascii="Calibri" w:hAnsi="Calibri" w:cs="Calibri"/>
      <w:sz w:val="18"/>
      <w:szCs w:val="18"/>
    </w:rPr>
  </w:style>
  <w:style w:type="paragraph" w:styleId="25">
    <w:name w:val="table of figures"/>
    <w:basedOn w:val="1"/>
    <w:next w:val="1"/>
    <w:semiHidden/>
    <w:qFormat/>
    <w:uiPriority w:val="99"/>
    <w:pPr>
      <w:ind w:left="840" w:hanging="420"/>
    </w:pPr>
  </w:style>
  <w:style w:type="paragraph" w:styleId="26">
    <w:name w:val="toc 2"/>
    <w:basedOn w:val="1"/>
    <w:next w:val="1"/>
    <w:qFormat/>
    <w:uiPriority w:val="0"/>
    <w:pPr>
      <w:ind w:left="420" w:leftChars="200"/>
    </w:pPr>
  </w:style>
  <w:style w:type="paragraph" w:styleId="27">
    <w:name w:val="Body Text 2"/>
    <w:basedOn w:val="1"/>
    <w:qFormat/>
    <w:uiPriority w:val="0"/>
    <w:pPr>
      <w:spacing w:before="100" w:beforeAutospacing="1" w:after="100" w:afterAutospacing="1"/>
    </w:pPr>
    <w:rPr>
      <w:sz w:val="24"/>
      <w:szCs w:val="24"/>
    </w:rPr>
  </w:style>
  <w:style w:type="paragraph" w:styleId="28">
    <w:name w:val="Message Header"/>
    <w:basedOn w:val="1"/>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0">
    <w:name w:val="Title"/>
    <w:basedOn w:val="1"/>
    <w:next w:val="1"/>
    <w:qFormat/>
    <w:uiPriority w:val="0"/>
    <w:pPr>
      <w:spacing w:before="240" w:after="60"/>
      <w:jc w:val="center"/>
      <w:outlineLvl w:val="0"/>
    </w:pPr>
    <w:rPr>
      <w:rFonts w:ascii="Cambria" w:hAnsi="Cambria"/>
      <w:b/>
      <w:bCs/>
      <w:sz w:val="32"/>
      <w:szCs w:val="32"/>
    </w:rPr>
  </w:style>
  <w:style w:type="character" w:styleId="32">
    <w:name w:val="Strong"/>
    <w:basedOn w:val="31"/>
    <w:qFormat/>
    <w:uiPriority w:val="22"/>
    <w:rPr>
      <w:b/>
      <w:bCs/>
    </w:rPr>
  </w:style>
  <w:style w:type="character" w:styleId="33">
    <w:name w:val="FollowedHyperlink"/>
    <w:basedOn w:val="31"/>
    <w:qFormat/>
    <w:uiPriority w:val="0"/>
    <w:rPr>
      <w:color w:val="337AB7"/>
      <w:u w:val="single"/>
    </w:rPr>
  </w:style>
  <w:style w:type="character" w:styleId="34">
    <w:name w:val="Emphasis"/>
    <w:basedOn w:val="31"/>
    <w:qFormat/>
    <w:uiPriority w:val="0"/>
  </w:style>
  <w:style w:type="character" w:styleId="35">
    <w:name w:val="HTML Definition"/>
    <w:basedOn w:val="31"/>
    <w:qFormat/>
    <w:uiPriority w:val="0"/>
    <w:rPr>
      <w:i/>
      <w:iCs/>
    </w:rPr>
  </w:style>
  <w:style w:type="character" w:styleId="36">
    <w:name w:val="Hyperlink"/>
    <w:basedOn w:val="31"/>
    <w:qFormat/>
    <w:uiPriority w:val="0"/>
    <w:rPr>
      <w:color w:val="337AB7"/>
      <w:u w:val="single"/>
    </w:rPr>
  </w:style>
  <w:style w:type="character" w:styleId="37">
    <w:name w:val="HTML Code"/>
    <w:basedOn w:val="31"/>
    <w:qFormat/>
    <w:uiPriority w:val="0"/>
    <w:rPr>
      <w:rFonts w:hint="default" w:ascii="Consolas" w:hAnsi="Consolas" w:eastAsia="Consolas" w:cs="Consolas"/>
      <w:color w:val="C7254E"/>
      <w:sz w:val="21"/>
      <w:szCs w:val="21"/>
      <w:shd w:val="clear" w:color="auto" w:fill="F9F2F4"/>
    </w:rPr>
  </w:style>
  <w:style w:type="character" w:styleId="38">
    <w:name w:val="annotation reference"/>
    <w:qFormat/>
    <w:uiPriority w:val="0"/>
    <w:rPr>
      <w:sz w:val="21"/>
      <w:szCs w:val="21"/>
    </w:rPr>
  </w:style>
  <w:style w:type="character" w:styleId="39">
    <w:name w:val="HTML Keyboard"/>
    <w:basedOn w:val="31"/>
    <w:qFormat/>
    <w:uiPriority w:val="0"/>
    <w:rPr>
      <w:rFonts w:ascii="Consolas" w:hAnsi="Consolas" w:eastAsia="Consolas" w:cs="Consolas"/>
      <w:color w:val="FFFFFF"/>
      <w:sz w:val="21"/>
      <w:szCs w:val="21"/>
      <w:shd w:val="clear" w:color="auto" w:fill="333333"/>
    </w:rPr>
  </w:style>
  <w:style w:type="character" w:styleId="40">
    <w:name w:val="HTML Sample"/>
    <w:basedOn w:val="31"/>
    <w:qFormat/>
    <w:uiPriority w:val="0"/>
    <w:rPr>
      <w:rFonts w:hint="default" w:ascii="Consolas" w:hAnsi="Consolas" w:eastAsia="Consolas" w:cs="Consolas"/>
      <w:sz w:val="21"/>
      <w:szCs w:val="21"/>
    </w:rPr>
  </w:style>
  <w:style w:type="table" w:styleId="42">
    <w:name w:val="Table Grid"/>
    <w:basedOn w:val="4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43">
    <w:name w:val="style4"/>
    <w:basedOn w:val="44"/>
    <w:next w:val="46"/>
    <w:qFormat/>
    <w:uiPriority w:val="0"/>
    <w:pPr>
      <w:spacing w:before="100" w:beforeAutospacing="1" w:after="100" w:afterAutospacing="1"/>
      <w:jc w:val="left"/>
    </w:pPr>
    <w:rPr>
      <w:rFonts w:ascii="宋体" w:hAnsi="宋体" w:cs="宋体"/>
      <w:kern w:val="0"/>
      <w:sz w:val="18"/>
      <w:szCs w:val="18"/>
    </w:rPr>
  </w:style>
  <w:style w:type="paragraph" w:customStyle="1" w:styleId="44">
    <w:name w:val="正文1"/>
    <w:basedOn w:val="45"/>
    <w:next w:val="8"/>
    <w:qFormat/>
    <w:uiPriority w:val="0"/>
  </w:style>
  <w:style w:type="paragraph" w:customStyle="1" w:styleId="45">
    <w:name w:val="正文2"/>
    <w:qFormat/>
    <w:uiPriority w:val="0"/>
    <w:pPr>
      <w:widowControl w:val="0"/>
      <w:jc w:val="both"/>
    </w:pPr>
    <w:rPr>
      <w:rFonts w:ascii="Calibri" w:hAnsi="Calibri" w:eastAsia="宋体" w:cs="Times New Roman"/>
      <w:kern w:val="2"/>
      <w:sz w:val="21"/>
      <w:szCs w:val="24"/>
      <w:lang w:val="en-US" w:eastAsia="zh-CN" w:bidi="ar-SA"/>
    </w:rPr>
  </w:style>
  <w:style w:type="paragraph" w:customStyle="1" w:styleId="46">
    <w:name w:val="2"/>
    <w:basedOn w:val="1"/>
    <w:next w:val="1"/>
    <w:qFormat/>
    <w:uiPriority w:val="0"/>
    <w:pPr>
      <w:spacing w:line="360" w:lineRule="auto"/>
    </w:pPr>
    <w:rPr>
      <w:rFonts w:ascii="Times New Roman" w:hAnsi="Times New Roman" w:eastAsia="仿宋_GB2312"/>
      <w:sz w:val="28"/>
      <w:szCs w:val="28"/>
    </w:rPr>
  </w:style>
  <w:style w:type="paragraph" w:customStyle="1" w:styleId="47">
    <w:name w:val="Default"/>
    <w:next w:val="22"/>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48">
    <w:name w:val="正文首行缩进 21"/>
    <w:basedOn w:val="14"/>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49">
    <w:name w:val="一级条标题"/>
    <w:basedOn w:val="50"/>
    <w:next w:val="51"/>
    <w:qFormat/>
    <w:uiPriority w:val="99"/>
    <w:pPr>
      <w:spacing w:line="240" w:lineRule="auto"/>
      <w:ind w:left="420"/>
      <w:outlineLvl w:val="2"/>
    </w:pPr>
  </w:style>
  <w:style w:type="paragraph" w:customStyle="1" w:styleId="50">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51">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2">
    <w:name w:val="正文文本缩进1"/>
    <w:basedOn w:val="1"/>
    <w:qFormat/>
    <w:uiPriority w:val="0"/>
    <w:pPr>
      <w:ind w:left="420" w:leftChars="200"/>
    </w:pPr>
  </w:style>
  <w:style w:type="paragraph" w:customStyle="1" w:styleId="53">
    <w:name w:val="Body Text Indent 21"/>
    <w:basedOn w:val="1"/>
    <w:qFormat/>
    <w:uiPriority w:val="0"/>
    <w:pPr>
      <w:spacing w:line="60" w:lineRule="auto"/>
      <w:ind w:firstLine="128" w:firstLineChars="128"/>
    </w:pPr>
    <w:rPr>
      <w:rFonts w:ascii="仿宋_GB2312" w:eastAsia="仿宋_GB2312"/>
      <w:kern w:val="0"/>
      <w:sz w:val="24"/>
    </w:rPr>
  </w:style>
  <w:style w:type="character" w:customStyle="1" w:styleId="54">
    <w:name w:val="文档结构图 字符"/>
    <w:basedOn w:val="31"/>
    <w:link w:val="10"/>
    <w:qFormat/>
    <w:uiPriority w:val="0"/>
    <w:rPr>
      <w:rFonts w:ascii="宋体" w:hAnsi="Calibri"/>
      <w:kern w:val="2"/>
      <w:sz w:val="18"/>
      <w:szCs w:val="18"/>
    </w:rPr>
  </w:style>
  <w:style w:type="character" w:customStyle="1" w:styleId="55">
    <w:name w:val="标题 2 字符"/>
    <w:link w:val="4"/>
    <w:qFormat/>
    <w:uiPriority w:val="0"/>
    <w:rPr>
      <w:rFonts w:ascii="Arial" w:hAnsi="Arial"/>
      <w:b/>
      <w:bCs/>
      <w:kern w:val="0"/>
      <w:sz w:val="32"/>
      <w:szCs w:val="32"/>
    </w:rPr>
  </w:style>
  <w:style w:type="character" w:customStyle="1" w:styleId="56">
    <w:name w:val="标题 3 字符"/>
    <w:link w:val="5"/>
    <w:qFormat/>
    <w:uiPriority w:val="0"/>
    <w:rPr>
      <w:rFonts w:ascii="宋体"/>
      <w:b/>
      <w:bCs/>
      <w:kern w:val="0"/>
      <w:sz w:val="32"/>
      <w:szCs w:val="32"/>
    </w:rPr>
  </w:style>
  <w:style w:type="paragraph" w:customStyle="1" w:styleId="57">
    <w:name w:val="3"/>
    <w:basedOn w:val="1"/>
    <w:next w:val="14"/>
    <w:qFormat/>
    <w:uiPriority w:val="0"/>
    <w:pPr>
      <w:widowControl/>
      <w:overflowPunct w:val="0"/>
      <w:autoSpaceDE w:val="0"/>
      <w:autoSpaceDN w:val="0"/>
      <w:adjustRightInd w:val="0"/>
      <w:spacing w:line="360" w:lineRule="auto"/>
      <w:ind w:firstLine="540"/>
      <w:textAlignment w:val="baseline"/>
    </w:pPr>
    <w:rPr>
      <w:rFonts w:ascii="宋体" w:hAnsi="MS Sans Serif"/>
      <w:spacing w:val="12"/>
      <w:kern w:val="0"/>
      <w:sz w:val="24"/>
      <w:szCs w:val="20"/>
    </w:rPr>
  </w:style>
  <w:style w:type="paragraph" w:customStyle="1" w:styleId="58">
    <w:name w:val="WPSOffice手动目录 1"/>
    <w:qFormat/>
    <w:uiPriority w:val="0"/>
    <w:rPr>
      <w:rFonts w:ascii="Times New Roman" w:hAnsi="Times New Roman" w:eastAsia="宋体" w:cs="Times New Roman"/>
      <w:lang w:val="en-US" w:eastAsia="zh-CN" w:bidi="ar-SA"/>
    </w:rPr>
  </w:style>
  <w:style w:type="paragraph" w:customStyle="1" w:styleId="59">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60">
    <w:name w:val="Normal_1"/>
    <w:qFormat/>
    <w:uiPriority w:val="0"/>
    <w:pPr>
      <w:widowControl w:val="0"/>
      <w:jc w:val="both"/>
    </w:pPr>
    <w:rPr>
      <w:rFonts w:ascii="Times New Roman" w:hAnsi="Times New Roman" w:eastAsia="宋体" w:cs="Times New Roman"/>
      <w:lang w:val="en-US" w:eastAsia="zh-CN" w:bidi="ar-SA"/>
    </w:rPr>
  </w:style>
  <w:style w:type="paragraph" w:customStyle="1" w:styleId="61">
    <w:name w:val="无间隔1"/>
    <w:qFormat/>
    <w:uiPriority w:val="0"/>
    <w:pPr>
      <w:adjustRightInd w:val="0"/>
      <w:snapToGrid w:val="0"/>
    </w:pPr>
    <w:rPr>
      <w:rFonts w:ascii="Tahoma" w:hAnsi="Tahoma" w:eastAsia="微软雅黑" w:cs="Times New Roman"/>
      <w:sz w:val="22"/>
      <w:szCs w:val="22"/>
      <w:lang w:val="en-US" w:eastAsia="zh-CN" w:bidi="ar-SA"/>
    </w:rPr>
  </w:style>
  <w:style w:type="paragraph" w:customStyle="1" w:styleId="62">
    <w:name w:val="附件样式"/>
    <w:basedOn w:val="1"/>
    <w:qFormat/>
    <w:uiPriority w:val="0"/>
    <w:rPr>
      <w:sz w:val="28"/>
    </w:rPr>
  </w:style>
  <w:style w:type="paragraph" w:customStyle="1" w:styleId="63">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64">
    <w:name w:val="标题 51"/>
    <w:basedOn w:val="1"/>
    <w:qFormat/>
    <w:uiPriority w:val="1"/>
    <w:pPr>
      <w:spacing w:before="26"/>
      <w:ind w:left="254"/>
      <w:jc w:val="left"/>
      <w:outlineLvl w:val="5"/>
    </w:pPr>
    <w:rPr>
      <w:rFonts w:ascii="宋体" w:hAnsi="宋体"/>
      <w:b/>
      <w:bCs/>
      <w:kern w:val="0"/>
      <w:sz w:val="24"/>
      <w:lang w:eastAsia="en-US"/>
    </w:rPr>
  </w:style>
  <w:style w:type="paragraph" w:styleId="65">
    <w:name w:val="List Paragraph"/>
    <w:basedOn w:val="1"/>
    <w:qFormat/>
    <w:uiPriority w:val="99"/>
    <w:pPr>
      <w:ind w:firstLine="420" w:firstLineChars="200"/>
    </w:pPr>
  </w:style>
  <w:style w:type="paragraph" w:customStyle="1" w:styleId="66">
    <w:name w:val="Normal_0"/>
    <w:basedOn w:val="44"/>
    <w:qFormat/>
    <w:uiPriority w:val="0"/>
  </w:style>
  <w:style w:type="paragraph" w:customStyle="1" w:styleId="67">
    <w:name w:val="Heading 3_0"/>
    <w:basedOn w:val="66"/>
    <w:qFormat/>
    <w:uiPriority w:val="0"/>
    <w:pPr>
      <w:keepNext/>
      <w:keepLines/>
      <w:widowControl/>
      <w:numPr>
        <w:ilvl w:val="2"/>
        <w:numId w:val="2"/>
      </w:numPr>
      <w:tabs>
        <w:tab w:val="clear" w:pos="720"/>
      </w:tabs>
      <w:spacing w:before="120" w:after="120" w:line="360" w:lineRule="auto"/>
      <w:jc w:val="center"/>
      <w:outlineLvl w:val="2"/>
    </w:pPr>
    <w:rPr>
      <w:b/>
      <w:sz w:val="32"/>
    </w:rPr>
  </w:style>
  <w:style w:type="paragraph" w:customStyle="1" w:styleId="68">
    <w:name w:val="Normal Indent_0"/>
    <w:basedOn w:val="66"/>
    <w:qFormat/>
    <w:uiPriority w:val="0"/>
    <w:pPr>
      <w:ind w:firstLine="420" w:firstLineChars="200"/>
    </w:pPr>
  </w:style>
  <w:style w:type="paragraph" w:customStyle="1" w:styleId="69">
    <w:name w:val="Heading 4_0"/>
    <w:basedOn w:val="66"/>
    <w:qFormat/>
    <w:uiPriority w:val="0"/>
    <w:pPr>
      <w:keepNext/>
      <w:keepLines/>
      <w:spacing w:before="280" w:after="290" w:line="376" w:lineRule="auto"/>
      <w:outlineLvl w:val="3"/>
    </w:pPr>
    <w:rPr>
      <w:rFonts w:ascii="Arial" w:hAnsi="Arial" w:eastAsia="黑体"/>
      <w:b/>
      <w:bCs/>
      <w:sz w:val="28"/>
      <w:szCs w:val="28"/>
    </w:rPr>
  </w:style>
  <w:style w:type="paragraph" w:customStyle="1" w:styleId="70">
    <w:name w:val="Normal_0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71">
    <w:name w:val="hour_am"/>
    <w:basedOn w:val="31"/>
    <w:qFormat/>
    <w:uiPriority w:val="0"/>
  </w:style>
  <w:style w:type="character" w:customStyle="1" w:styleId="72">
    <w:name w:val="old"/>
    <w:basedOn w:val="31"/>
    <w:qFormat/>
    <w:uiPriority w:val="0"/>
    <w:rPr>
      <w:color w:val="999999"/>
    </w:rPr>
  </w:style>
  <w:style w:type="character" w:customStyle="1" w:styleId="73">
    <w:name w:val="icon"/>
    <w:basedOn w:val="31"/>
    <w:qFormat/>
    <w:uiPriority w:val="0"/>
  </w:style>
  <w:style w:type="character" w:customStyle="1" w:styleId="74">
    <w:name w:val="hover1"/>
    <w:basedOn w:val="31"/>
    <w:qFormat/>
    <w:uiPriority w:val="0"/>
    <w:rPr>
      <w:shd w:val="clear" w:color="auto" w:fill="EEEEEE"/>
    </w:rPr>
  </w:style>
  <w:style w:type="character" w:customStyle="1" w:styleId="75">
    <w:name w:val="glyphicon6"/>
    <w:basedOn w:val="31"/>
    <w:qFormat/>
    <w:uiPriority w:val="0"/>
  </w:style>
  <w:style w:type="character" w:customStyle="1" w:styleId="76">
    <w:name w:val="hour_pm"/>
    <w:basedOn w:val="31"/>
    <w:qFormat/>
    <w:uiPriority w:val="0"/>
  </w:style>
  <w:style w:type="character" w:customStyle="1" w:styleId="77">
    <w:name w:val="indent"/>
    <w:basedOn w:val="31"/>
    <w:qFormat/>
    <w:uiPriority w:val="0"/>
  </w:style>
  <w:style w:type="character" w:customStyle="1" w:styleId="78">
    <w:name w:val="displayarti"/>
    <w:basedOn w:val="31"/>
    <w:qFormat/>
    <w:uiPriority w:val="0"/>
    <w:rPr>
      <w:color w:val="FFFFFF"/>
      <w:shd w:val="clear" w:color="auto" w:fill="A00000"/>
    </w:rPr>
  </w:style>
  <w:style w:type="paragraph" w:customStyle="1" w:styleId="79">
    <w:name w:val="_Style 55"/>
    <w:basedOn w:val="1"/>
    <w:next w:val="1"/>
    <w:qFormat/>
    <w:uiPriority w:val="0"/>
    <w:pPr>
      <w:pBdr>
        <w:bottom w:val="single" w:color="auto" w:sz="6" w:space="1"/>
      </w:pBdr>
      <w:jc w:val="center"/>
    </w:pPr>
    <w:rPr>
      <w:rFonts w:ascii="Arial"/>
      <w:vanish/>
      <w:sz w:val="16"/>
    </w:rPr>
  </w:style>
  <w:style w:type="paragraph" w:customStyle="1" w:styleId="80">
    <w:name w:val="_Style 56"/>
    <w:basedOn w:val="1"/>
    <w:next w:val="1"/>
    <w:qFormat/>
    <w:uiPriority w:val="0"/>
    <w:pPr>
      <w:pBdr>
        <w:top w:val="single" w:color="auto" w:sz="6" w:space="1"/>
      </w:pBdr>
      <w:jc w:val="center"/>
    </w:pPr>
    <w:rPr>
      <w:rFonts w:ascii="Arial"/>
      <w:vanish/>
      <w:sz w:val="16"/>
    </w:rPr>
  </w:style>
  <w:style w:type="character" w:customStyle="1" w:styleId="81">
    <w:name w:val="hover4"/>
    <w:basedOn w:val="31"/>
    <w:qFormat/>
    <w:uiPriority w:val="0"/>
    <w:rPr>
      <w:color w:val="999999"/>
    </w:rPr>
  </w:style>
  <w:style w:type="paragraph" w:customStyle="1" w:styleId="82">
    <w:name w:val="Table Paragraph"/>
    <w:basedOn w:val="1"/>
    <w:qFormat/>
    <w:uiPriority w:val="1"/>
    <w:rPr>
      <w:rFonts w:ascii="宋体" w:hAnsi="宋体" w:cs="宋体"/>
      <w:lang w:val="zh-CN" w:bidi="zh-CN"/>
    </w:rPr>
  </w:style>
  <w:style w:type="paragraph" w:customStyle="1" w:styleId="83">
    <w:name w:val="图表目录1"/>
    <w:basedOn w:val="84"/>
    <w:next w:val="84"/>
    <w:qFormat/>
    <w:uiPriority w:val="0"/>
    <w:pPr>
      <w:ind w:left="200" w:leftChars="200" w:hanging="200" w:hangingChars="200"/>
    </w:pPr>
  </w:style>
  <w:style w:type="paragraph" w:customStyle="1" w:styleId="84">
    <w:name w:val="正文 New New New New New New New New New New New New New New New New New New New New New New New New New New New New New New New New New New New New New New New New New New New New New New New New New New New New New New New New New New New New New New Ne"/>
    <w:next w:val="83"/>
    <w:qFormat/>
    <w:uiPriority w:val="0"/>
    <w:pPr>
      <w:widowControl w:val="0"/>
      <w:jc w:val="both"/>
    </w:pPr>
    <w:rPr>
      <w:rFonts w:ascii="Calibri" w:hAnsi="Calibri" w:eastAsia="宋体" w:cs="黑体"/>
      <w:kern w:val="2"/>
      <w:sz w:val="21"/>
      <w:szCs w:val="24"/>
      <w:lang w:val="en-US" w:eastAsia="zh-CN" w:bidi="ar-SA"/>
    </w:rPr>
  </w:style>
  <w:style w:type="paragraph" w:customStyle="1" w:styleId="85">
    <w:name w:val="_Style 7"/>
    <w:basedOn w:val="3"/>
    <w:next w:val="1"/>
    <w:qFormat/>
    <w:uiPriority w:val="0"/>
    <w:pPr>
      <w:outlineLvl w:val="9"/>
    </w:pPr>
  </w:style>
  <w:style w:type="paragraph" w:customStyle="1" w:styleId="86">
    <w:name w:val="Blockquote"/>
    <w:basedOn w:val="44"/>
    <w:qFormat/>
    <w:uiPriority w:val="0"/>
    <w:pPr>
      <w:autoSpaceDE w:val="0"/>
      <w:autoSpaceDN w:val="0"/>
      <w:adjustRightInd w:val="0"/>
      <w:spacing w:before="100" w:after="100"/>
      <w:ind w:left="360" w:right="360"/>
      <w:jc w:val="left"/>
    </w:pPr>
    <w:rPr>
      <w:kern w:val="0"/>
      <w:position w:val="-6"/>
      <w:sz w:val="24"/>
    </w:rPr>
  </w:style>
  <w:style w:type="paragraph" w:customStyle="1" w:styleId="87">
    <w:name w:val="框架内容"/>
    <w:basedOn w:val="1"/>
    <w:qFormat/>
    <w:uiPriority w:val="0"/>
  </w:style>
  <w:style w:type="paragraph" w:customStyle="1" w:styleId="88">
    <w:name w:val="批注文字1"/>
    <w:basedOn w:val="44"/>
    <w:qFormat/>
    <w:uiPriority w:val="0"/>
    <w:pPr>
      <w:jc w:val="left"/>
    </w:pPr>
    <w:rPr>
      <w:kern w:val="0"/>
      <w:sz w:val="20"/>
    </w:rPr>
  </w:style>
  <w:style w:type="paragraph" w:customStyle="1" w:styleId="89">
    <w:name w:val="正文11"/>
    <w:basedOn w:val="44"/>
    <w:qFormat/>
    <w:uiPriority w:val="0"/>
  </w:style>
  <w:style w:type="paragraph" w:customStyle="1" w:styleId="90">
    <w:name w:val="Body Text_0"/>
    <w:basedOn w:val="66"/>
    <w:qFormat/>
    <w:uiPriority w:val="0"/>
    <w:pPr>
      <w:adjustRightInd w:val="0"/>
      <w:spacing w:after="60" w:line="360" w:lineRule="atLeast"/>
      <w:ind w:left="72" w:leftChars="30" w:right="30" w:rightChars="30"/>
      <w:jc w:val="center"/>
    </w:pPr>
  </w:style>
  <w:style w:type="paragraph" w:customStyle="1" w:styleId="91">
    <w:name w:val="标题 31"/>
    <w:basedOn w:val="44"/>
    <w:next w:val="44"/>
    <w:qFormat/>
    <w:uiPriority w:val="99"/>
    <w:pPr>
      <w:keepNext/>
      <w:keepLines/>
      <w:spacing w:line="360" w:lineRule="auto"/>
      <w:outlineLvl w:val="2"/>
    </w:pPr>
    <w:rPr>
      <w:b/>
      <w:bCs/>
      <w:sz w:val="24"/>
      <w:szCs w:val="32"/>
    </w:rPr>
  </w:style>
  <w:style w:type="character" w:customStyle="1" w:styleId="92">
    <w:name w:val="NormalCharacter"/>
    <w:semiHidden/>
    <w:qFormat/>
    <w:uiPriority w:val="0"/>
    <w:rPr>
      <w:rFonts w:ascii="Times New Roman" w:hAnsi="Times New Roman" w:eastAsia="宋体" w:cs="Times New Roman"/>
      <w:kern w:val="2"/>
      <w:sz w:val="21"/>
      <w:lang w:val="en-US" w:eastAsia="zh-CN" w:bidi="ar-SA"/>
    </w:rPr>
  </w:style>
  <w:style w:type="table" w:customStyle="1" w:styleId="93">
    <w:name w:val="Table Normal"/>
    <w:semiHidden/>
    <w:unhideWhenUsed/>
    <w:qFormat/>
    <w:uiPriority w:val="0"/>
    <w:tblPr>
      <w:tblLayout w:type="fixed"/>
      <w:tblCellMar>
        <w:top w:w="0" w:type="dxa"/>
        <w:left w:w="0" w:type="dxa"/>
        <w:bottom w:w="0" w:type="dxa"/>
        <w:right w:w="0" w:type="dxa"/>
      </w:tblCellMar>
    </w:tblPr>
  </w:style>
  <w:style w:type="paragraph" w:customStyle="1" w:styleId="94">
    <w:name w:val="Body Text First Indent 21"/>
    <w:basedOn w:val="95"/>
    <w:qFormat/>
    <w:uiPriority w:val="0"/>
    <w:pPr>
      <w:spacing w:line="360" w:lineRule="auto"/>
    </w:pPr>
    <w:rPr>
      <w:rFonts w:eastAsia="宋体"/>
      <w:sz w:val="24"/>
    </w:rPr>
  </w:style>
  <w:style w:type="paragraph" w:customStyle="1" w:styleId="95">
    <w:name w:val="Body Text Indent1"/>
    <w:basedOn w:val="1"/>
    <w:qFormat/>
    <w:uiPriority w:val="0"/>
    <w:pPr>
      <w:spacing w:line="150" w:lineRule="atLeast"/>
      <w:ind w:firstLine="420" w:firstLineChars="200"/>
      <w:textAlignment w:val="baseline"/>
    </w:pPr>
    <w:rPr>
      <w:rFonts w:ascii="Times New Roman" w:hAnsi="Times New Roman" w:cs="Times New Roman"/>
      <w:szCs w:val="24"/>
    </w:rPr>
  </w:style>
  <w:style w:type="paragraph" w:customStyle="1" w:styleId="96">
    <w:name w:val="_Style 33"/>
    <w:basedOn w:val="1"/>
    <w:next w:val="9"/>
    <w:qFormat/>
    <w:uiPriority w:val="0"/>
    <w:pPr>
      <w:adjustRightInd w:val="0"/>
      <w:spacing w:line="440" w:lineRule="exact"/>
    </w:pPr>
    <w:rPr>
      <w:rFonts w:ascii="宋体" w:hAnsi="宋体"/>
      <w:bCs/>
      <w:color w:val="000000"/>
      <w:sz w:val="24"/>
      <w:szCs w:val="20"/>
    </w:rPr>
  </w:style>
  <w:style w:type="character" w:customStyle="1" w:styleId="97">
    <w:name w:val="font11"/>
    <w:basedOn w:val="31"/>
    <w:qFormat/>
    <w:uiPriority w:val="0"/>
    <w:rPr>
      <w:rFonts w:hint="eastAsia" w:ascii="宋体" w:hAnsi="宋体" w:eastAsia="宋体" w:cs="宋体"/>
      <w:color w:val="000000"/>
      <w:sz w:val="20"/>
      <w:szCs w:val="20"/>
      <w:u w:val="none"/>
    </w:rPr>
  </w:style>
  <w:style w:type="character" w:customStyle="1" w:styleId="98">
    <w:name w:val="font21"/>
    <w:basedOn w:val="31"/>
    <w:qFormat/>
    <w:uiPriority w:val="0"/>
    <w:rPr>
      <w:rFonts w:hint="eastAsia" w:ascii="等线" w:hAnsi="等线" w:eastAsia="等线" w:cs="等线"/>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85</Pages>
  <Words>14160</Words>
  <Characters>16024</Characters>
  <Lines>839</Lines>
  <Paragraphs>236</Paragraphs>
  <TotalTime>138</TotalTime>
  <ScaleCrop>false</ScaleCrop>
  <LinksUpToDate>false</LinksUpToDate>
  <CharactersWithSpaces>16273</CharactersWithSpaces>
  <Application>WPS Office_10.8.2.7119_F1E327BC-269C-435d-A152-05C5408002CA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2024-09-06T01:22:00Z</dcterms:created>
  <dc:creator>Administrator</dc:creator>
  <cp:lastModifiedBy>Administrator</cp:lastModifiedBy>
  <cp:lastPrinted>2026-06-14T11:31:53Z</cp:lastPrinted>
  <dcterms:modified xsi:type="dcterms:W3CDTF">2026-06-14T12:01:42Z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2052-10.8.2.7119</vt:lpwstr>
  </property>
  <property fmtid="{D5CDD505-2E9C-101B-9397-08002B2CF9AE}" pid="3" name="ICV">
    <vt:lpwstr>3D4F48F2339141609BE4F2EA8D9CF2A5_13</vt:lpwstr>
  </property>
  <property fmtid="{D5CDD505-2E9C-101B-9397-08002B2CF9AE}" pid="4" name="KSOTemplateDocerSaveRecord">
    <vt:lpwstr>eyJoZGlkIjoiMTczZmZiODI0ZDlkYzQxZTUyYjJlYjE5YTBlNjhlNDkiLCJ1c2VySWQiOiI0MDI1NDg5NjAifQ==</vt:lpwstr>
  </property>
</Properties>
</file>