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A72422">
      <w:pPr>
        <w:ind w:right="240"/>
        <w:jc w:val="right"/>
        <w:rPr>
          <w:rFonts w:hint="eastAsia" w:hAnsi="宋体"/>
          <w:b/>
          <w:color w:val="auto"/>
          <w:sz w:val="24"/>
          <w:highlight w:val="none"/>
        </w:rPr>
      </w:pPr>
      <w:r>
        <w:rPr>
          <w:rFonts w:hint="eastAsia" w:hAnsi="宋体" w:eastAsia="宋体"/>
          <w:b/>
          <w:bCs/>
          <w:color w:val="auto"/>
          <w:sz w:val="32"/>
          <w:szCs w:val="32"/>
          <w:highlight w:val="none"/>
          <w:lang w:eastAsia="zh-CN"/>
        </w:rPr>
        <w:drawing>
          <wp:anchor distT="0" distB="0" distL="114300" distR="114300" simplePos="0" relativeHeight="251659264" behindDoc="0" locked="0" layoutInCell="1" allowOverlap="1">
            <wp:simplePos x="0" y="0"/>
            <wp:positionH relativeFrom="column">
              <wp:posOffset>-739775</wp:posOffset>
            </wp:positionH>
            <wp:positionV relativeFrom="paragraph">
              <wp:posOffset>-887095</wp:posOffset>
            </wp:positionV>
            <wp:extent cx="7557135" cy="10691495"/>
            <wp:effectExtent l="0" t="0" r="5715" b="14605"/>
            <wp:wrapNone/>
            <wp:docPr id="3" name="图片 3" descr="20240809175352163_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20240809175352163_0001"/>
                    <pic:cNvPicPr>
                      <a:picLocks noChangeAspect="1"/>
                    </pic:cNvPicPr>
                  </pic:nvPicPr>
                  <pic:blipFill>
                    <a:blip r:embed="rId7"/>
                    <a:stretch>
                      <a:fillRect/>
                    </a:stretch>
                  </pic:blipFill>
                  <pic:spPr>
                    <a:xfrm>
                      <a:off x="0" y="0"/>
                      <a:ext cx="7557135" cy="10691495"/>
                    </a:xfrm>
                    <a:prstGeom prst="rect">
                      <a:avLst/>
                    </a:prstGeom>
                  </pic:spPr>
                </pic:pic>
              </a:graphicData>
            </a:graphic>
          </wp:anchor>
        </w:drawing>
      </w:r>
    </w:p>
    <w:p w14:paraId="7726D8ED">
      <w:pPr>
        <w:spacing w:line="720" w:lineRule="exact"/>
        <w:jc w:val="center"/>
        <w:rPr>
          <w:rFonts w:hint="eastAsia" w:hAnsi="宋体"/>
          <w:b/>
          <w:bCs/>
          <w:color w:val="auto"/>
          <w:sz w:val="44"/>
          <w:szCs w:val="44"/>
          <w:highlight w:val="none"/>
        </w:rPr>
      </w:pPr>
    </w:p>
    <w:p w14:paraId="7EEFB272">
      <w:pPr>
        <w:spacing w:line="800" w:lineRule="exact"/>
        <w:jc w:val="center"/>
        <w:rPr>
          <w:rFonts w:hint="eastAsia" w:hAnsi="宋体"/>
          <w:b/>
          <w:bCs/>
          <w:color w:val="auto"/>
          <w:sz w:val="56"/>
          <w:szCs w:val="56"/>
          <w:highlight w:val="none"/>
        </w:rPr>
      </w:pPr>
      <w:r>
        <w:rPr>
          <w:rFonts w:hint="eastAsia" w:hAnsi="宋体"/>
          <w:b/>
          <w:bCs/>
          <w:color w:val="auto"/>
          <w:sz w:val="60"/>
          <w:szCs w:val="60"/>
          <w:highlight w:val="none"/>
        </w:rPr>
        <w:t>保山市加油站流量数据采集系统建设安装项目</w:t>
      </w:r>
    </w:p>
    <w:p w14:paraId="4F928F62">
      <w:pPr>
        <w:spacing w:line="720" w:lineRule="exact"/>
        <w:jc w:val="center"/>
        <w:rPr>
          <w:rFonts w:hint="eastAsia" w:hAnsi="宋体" w:eastAsia="宋体"/>
          <w:b/>
          <w:bCs/>
          <w:color w:val="auto"/>
          <w:sz w:val="32"/>
          <w:szCs w:val="32"/>
          <w:highlight w:val="none"/>
          <w:lang w:eastAsia="zh-CN"/>
        </w:rPr>
      </w:pPr>
    </w:p>
    <w:p w14:paraId="5644B214">
      <w:pPr>
        <w:spacing w:line="720" w:lineRule="exact"/>
        <w:jc w:val="center"/>
        <w:rPr>
          <w:rFonts w:hint="eastAsia" w:hAnsi="宋体"/>
          <w:b/>
          <w:bCs/>
          <w:color w:val="auto"/>
          <w:sz w:val="32"/>
          <w:szCs w:val="32"/>
          <w:highlight w:val="none"/>
        </w:rPr>
      </w:pPr>
    </w:p>
    <w:p w14:paraId="4793A553">
      <w:pPr>
        <w:spacing w:line="720" w:lineRule="exact"/>
        <w:jc w:val="center"/>
        <w:rPr>
          <w:rFonts w:hint="eastAsia" w:hAnsi="宋体"/>
          <w:b/>
          <w:bCs/>
          <w:color w:val="auto"/>
          <w:sz w:val="32"/>
          <w:szCs w:val="32"/>
          <w:highlight w:val="none"/>
        </w:rPr>
      </w:pPr>
    </w:p>
    <w:p w14:paraId="5F681403">
      <w:pPr>
        <w:spacing w:before="120" w:line="1000" w:lineRule="exact"/>
        <w:jc w:val="center"/>
        <w:rPr>
          <w:rFonts w:hint="eastAsia" w:hAnsi="宋体"/>
          <w:b/>
          <w:color w:val="auto"/>
          <w:sz w:val="96"/>
          <w:szCs w:val="96"/>
          <w:highlight w:val="none"/>
        </w:rPr>
      </w:pPr>
      <w:r>
        <w:rPr>
          <w:rFonts w:hint="eastAsia" w:hAnsi="宋体"/>
          <w:b/>
          <w:color w:val="auto"/>
          <w:sz w:val="96"/>
          <w:szCs w:val="96"/>
          <w:highlight w:val="none"/>
        </w:rPr>
        <w:t>招 标 文 件</w:t>
      </w:r>
    </w:p>
    <w:p w14:paraId="6C62F519">
      <w:pPr>
        <w:spacing w:before="156" w:beforeLines="50" w:after="156" w:afterLines="50"/>
        <w:jc w:val="center"/>
        <w:rPr>
          <w:rFonts w:hint="eastAsia" w:hAnsi="宋体"/>
          <w:b/>
          <w:color w:val="auto"/>
          <w:sz w:val="30"/>
          <w:highlight w:val="none"/>
        </w:rPr>
      </w:pPr>
    </w:p>
    <w:p w14:paraId="282EA293">
      <w:pPr>
        <w:spacing w:before="156" w:beforeLines="50" w:after="156" w:afterLines="50"/>
        <w:jc w:val="center"/>
        <w:rPr>
          <w:rFonts w:hint="eastAsia" w:hAnsi="宋体"/>
          <w:b/>
          <w:color w:val="auto"/>
          <w:sz w:val="36"/>
          <w:szCs w:val="22"/>
          <w:highlight w:val="none"/>
        </w:rPr>
      </w:pPr>
      <w:r>
        <w:rPr>
          <w:rFonts w:hint="eastAsia" w:hAnsi="宋体"/>
          <w:b/>
          <w:color w:val="auto"/>
          <w:sz w:val="32"/>
          <w:szCs w:val="22"/>
          <w:highlight w:val="none"/>
        </w:rPr>
        <w:t>项目编号：</w:t>
      </w:r>
      <w:r>
        <w:rPr>
          <w:rFonts w:hint="eastAsia" w:hAnsi="宋体"/>
          <w:b/>
          <w:color w:val="auto"/>
          <w:sz w:val="32"/>
          <w:szCs w:val="22"/>
          <w:highlight w:val="none"/>
          <w:u w:val="single"/>
        </w:rPr>
        <w:t>TRZBC2024-81</w:t>
      </w:r>
    </w:p>
    <w:p w14:paraId="7AE37D40">
      <w:pPr>
        <w:spacing w:before="156" w:beforeLines="50" w:after="156" w:afterLines="50"/>
        <w:jc w:val="center"/>
        <w:rPr>
          <w:rFonts w:hint="eastAsia" w:hAnsi="宋体" w:eastAsia="宋体"/>
          <w:b/>
          <w:color w:val="auto"/>
          <w:sz w:val="30"/>
          <w:highlight w:val="none"/>
          <w:lang w:eastAsia="zh-CN"/>
        </w:rPr>
      </w:pPr>
      <w:r>
        <w:rPr>
          <w:rFonts w:hint="eastAsia" w:hAnsi="宋体"/>
          <w:b/>
          <w:bCs/>
          <w:color w:val="auto"/>
          <w:sz w:val="32"/>
          <w:szCs w:val="32"/>
          <w:highlight w:val="none"/>
          <w:lang w:eastAsia="zh-CN"/>
        </w:rPr>
        <w:t>政采云项目编号：BSZC2024-G3-00502-BSST-0032</w:t>
      </w:r>
    </w:p>
    <w:p w14:paraId="4C40C6B9">
      <w:pPr>
        <w:spacing w:before="156" w:beforeLines="50" w:after="156" w:afterLines="50"/>
        <w:jc w:val="center"/>
        <w:rPr>
          <w:rFonts w:hint="eastAsia" w:hAnsi="宋体"/>
          <w:b/>
          <w:color w:val="auto"/>
          <w:sz w:val="30"/>
          <w:highlight w:val="none"/>
        </w:rPr>
      </w:pPr>
    </w:p>
    <w:p w14:paraId="35FFB478">
      <w:pPr>
        <w:tabs>
          <w:tab w:val="left" w:pos="2355"/>
        </w:tabs>
        <w:spacing w:before="156" w:beforeLines="50" w:after="156" w:afterLines="50" w:line="360" w:lineRule="auto"/>
        <w:rPr>
          <w:rFonts w:hint="eastAsia" w:hAnsi="宋体"/>
          <w:b/>
          <w:color w:val="auto"/>
          <w:sz w:val="30"/>
          <w:highlight w:val="none"/>
        </w:rPr>
      </w:pPr>
      <w:r>
        <w:rPr>
          <w:rFonts w:hAnsi="宋体"/>
          <w:b/>
          <w:color w:val="auto"/>
          <w:sz w:val="30"/>
          <w:highlight w:val="none"/>
        </w:rPr>
        <w:tab/>
      </w:r>
    </w:p>
    <w:p w14:paraId="2AE2504E">
      <w:pPr>
        <w:pStyle w:val="2"/>
        <w:ind w:left="560"/>
        <w:rPr>
          <w:color w:val="auto"/>
          <w:highlight w:val="none"/>
        </w:rPr>
      </w:pPr>
    </w:p>
    <w:p w14:paraId="45C5F5FF">
      <w:pPr>
        <w:spacing w:before="156" w:beforeLines="50" w:after="156" w:afterLines="50"/>
        <w:ind w:firstLine="964" w:firstLineChars="300"/>
        <w:rPr>
          <w:rFonts w:hint="eastAsia" w:hAnsi="宋体"/>
          <w:b/>
          <w:bCs/>
          <w:color w:val="auto"/>
          <w:highlight w:val="none"/>
        </w:rPr>
      </w:pPr>
      <w:r>
        <w:rPr>
          <w:rFonts w:hint="eastAsia" w:hAnsi="宋体"/>
          <w:b/>
          <w:bCs/>
          <w:color w:val="auto"/>
          <w:sz w:val="32"/>
          <w:szCs w:val="32"/>
          <w:highlight w:val="none"/>
        </w:rPr>
        <w:t>采  购  人：保山市商务局</w:t>
      </w:r>
    </w:p>
    <w:p w14:paraId="2B573B82">
      <w:pPr>
        <w:spacing w:before="156" w:beforeLines="50" w:after="156" w:afterLines="50"/>
        <w:jc w:val="center"/>
        <w:rPr>
          <w:rFonts w:hint="eastAsia" w:hAnsi="宋体"/>
          <w:b/>
          <w:color w:val="auto"/>
          <w:highlight w:val="none"/>
          <w:u w:val="single"/>
        </w:rPr>
      </w:pPr>
      <w:r>
        <w:rPr>
          <w:rFonts w:hint="eastAsia" w:hAnsi="宋体"/>
          <w:b/>
          <w:bCs/>
          <w:color w:val="auto"/>
          <w:sz w:val="32"/>
          <w:szCs w:val="32"/>
          <w:highlight w:val="none"/>
        </w:rPr>
        <w:t>采购代理机构：保山市天瑞建设工程招标咨询有限公司</w:t>
      </w:r>
    </w:p>
    <w:p w14:paraId="1CCE6087">
      <w:pPr>
        <w:spacing w:before="156" w:beforeLines="50" w:after="156" w:afterLines="50"/>
        <w:ind w:firstLine="964" w:firstLineChars="300"/>
        <w:rPr>
          <w:rFonts w:hint="eastAsia" w:hAnsi="宋体"/>
          <w:b/>
          <w:bCs/>
          <w:color w:val="auto"/>
          <w:sz w:val="32"/>
          <w:szCs w:val="32"/>
          <w:highlight w:val="none"/>
        </w:rPr>
      </w:pPr>
      <w:r>
        <w:rPr>
          <w:rFonts w:hint="eastAsia" w:hAnsi="宋体"/>
          <w:b/>
          <w:bCs/>
          <w:color w:val="auto"/>
          <w:sz w:val="32"/>
          <w:szCs w:val="32"/>
          <w:highlight w:val="none"/>
        </w:rPr>
        <w:t>日期：2024年08月</w:t>
      </w:r>
    </w:p>
    <w:p w14:paraId="33BE9B54">
      <w:pPr>
        <w:rPr>
          <w:rFonts w:hint="eastAsia" w:hAnsi="宋体"/>
          <w:color w:val="auto"/>
          <w:highlight w:val="none"/>
        </w:rPr>
      </w:pPr>
      <w:r>
        <w:rPr>
          <w:rFonts w:hAnsi="宋体"/>
          <w:color w:val="auto"/>
          <w:highlight w:val="none"/>
        </w:rPr>
        <w:br w:type="page"/>
      </w:r>
    </w:p>
    <w:p w14:paraId="12145278">
      <w:pPr>
        <w:spacing w:line="480" w:lineRule="exact"/>
        <w:ind w:right="-215"/>
        <w:jc w:val="center"/>
        <w:rPr>
          <w:rFonts w:hint="eastAsia" w:hAnsi="宋体" w:cs="宋体"/>
          <w:b/>
          <w:color w:val="auto"/>
          <w:sz w:val="44"/>
          <w:szCs w:val="44"/>
          <w:highlight w:val="none"/>
        </w:rPr>
      </w:pPr>
      <w:r>
        <w:rPr>
          <w:rFonts w:hint="eastAsia" w:hAnsi="宋体" w:cs="宋体"/>
          <w:b/>
          <w:color w:val="auto"/>
          <w:sz w:val="44"/>
          <w:szCs w:val="44"/>
          <w:highlight w:val="none"/>
        </w:rPr>
        <w:t>目录</w:t>
      </w:r>
    </w:p>
    <w:p w14:paraId="5D6E06FF">
      <w:pPr>
        <w:pStyle w:val="33"/>
        <w:tabs>
          <w:tab w:val="right" w:leader="dot" w:pos="9800"/>
          <w:tab w:val="clear" w:pos="1260"/>
          <w:tab w:val="clear" w:pos="9218"/>
        </w:tabs>
        <w:rPr>
          <w:color w:val="auto"/>
          <w:highlight w:val="none"/>
        </w:rPr>
      </w:pPr>
      <w:r>
        <w:rPr>
          <w:rFonts w:hint="eastAsia" w:ascii="宋体" w:hAnsi="宋体" w:eastAsia="宋体" w:cs="宋体"/>
          <w:b w:val="0"/>
          <w:color w:val="auto"/>
          <w:szCs w:val="24"/>
          <w:highlight w:val="none"/>
        </w:rPr>
        <w:fldChar w:fldCharType="begin"/>
      </w:r>
      <w:r>
        <w:rPr>
          <w:rFonts w:hint="eastAsia" w:ascii="宋体" w:hAnsi="宋体" w:eastAsia="宋体" w:cs="宋体"/>
          <w:b w:val="0"/>
          <w:color w:val="auto"/>
          <w:szCs w:val="24"/>
          <w:highlight w:val="none"/>
        </w:rPr>
        <w:instrText xml:space="preserve"> TOC \o "1-3" \h \z \u </w:instrText>
      </w:r>
      <w:r>
        <w:rPr>
          <w:rFonts w:hint="eastAsia" w:ascii="宋体" w:hAnsi="宋体" w:eastAsia="宋体" w:cs="宋体"/>
          <w:b w:val="0"/>
          <w:color w:val="auto"/>
          <w:szCs w:val="24"/>
          <w:highlight w:val="none"/>
        </w:rPr>
        <w:fldChar w:fldCharType="separate"/>
      </w:r>
      <w:r>
        <w:rPr>
          <w:color w:val="auto"/>
          <w:highlight w:val="none"/>
        </w:rPr>
        <w:fldChar w:fldCharType="begin"/>
      </w:r>
      <w:r>
        <w:rPr>
          <w:color w:val="auto"/>
          <w:highlight w:val="none"/>
        </w:rPr>
        <w:instrText xml:space="preserve"> HYPERLINK \l "_Toc10450" </w:instrText>
      </w:r>
      <w:r>
        <w:rPr>
          <w:color w:val="auto"/>
          <w:highlight w:val="none"/>
        </w:rPr>
        <w:fldChar w:fldCharType="separate"/>
      </w:r>
      <w:r>
        <w:rPr>
          <w:rFonts w:hint="eastAsia" w:ascii="宋体" w:hAnsi="宋体" w:eastAsia="宋体"/>
          <w:color w:val="auto"/>
          <w:szCs w:val="44"/>
          <w:highlight w:val="none"/>
        </w:rPr>
        <w:t>第一章  招标公告</w:t>
      </w:r>
      <w:r>
        <w:rPr>
          <w:color w:val="auto"/>
          <w:highlight w:val="none"/>
        </w:rPr>
        <w:tab/>
      </w:r>
      <w:r>
        <w:rPr>
          <w:color w:val="auto"/>
          <w:highlight w:val="none"/>
        </w:rPr>
        <w:fldChar w:fldCharType="begin"/>
      </w:r>
      <w:r>
        <w:rPr>
          <w:color w:val="auto"/>
          <w:highlight w:val="none"/>
        </w:rPr>
        <w:instrText xml:space="preserve"> PAGEREF _Toc10450 \h </w:instrText>
      </w:r>
      <w:r>
        <w:rPr>
          <w:color w:val="auto"/>
          <w:highlight w:val="none"/>
        </w:rPr>
        <w:fldChar w:fldCharType="separate"/>
      </w:r>
      <w:r>
        <w:rPr>
          <w:color w:val="auto"/>
          <w:highlight w:val="none"/>
        </w:rPr>
        <w:t>3</w:t>
      </w:r>
      <w:r>
        <w:rPr>
          <w:color w:val="auto"/>
          <w:highlight w:val="none"/>
        </w:rPr>
        <w:fldChar w:fldCharType="end"/>
      </w:r>
      <w:r>
        <w:rPr>
          <w:color w:val="auto"/>
          <w:highlight w:val="none"/>
        </w:rPr>
        <w:fldChar w:fldCharType="end"/>
      </w:r>
    </w:p>
    <w:p w14:paraId="6EF338DE">
      <w:pPr>
        <w:pStyle w:val="33"/>
        <w:tabs>
          <w:tab w:val="right" w:leader="dot" w:pos="9800"/>
          <w:tab w:val="clear" w:pos="1260"/>
          <w:tab w:val="clear" w:pos="9218"/>
        </w:tabs>
        <w:rPr>
          <w:color w:val="auto"/>
          <w:highlight w:val="none"/>
        </w:rPr>
      </w:pPr>
      <w:r>
        <w:rPr>
          <w:color w:val="auto"/>
          <w:highlight w:val="none"/>
        </w:rPr>
        <w:fldChar w:fldCharType="begin"/>
      </w:r>
      <w:r>
        <w:rPr>
          <w:color w:val="auto"/>
          <w:highlight w:val="none"/>
        </w:rPr>
        <w:instrText xml:space="preserve"> HYPERLINK \l "_Toc16861" </w:instrText>
      </w:r>
      <w:r>
        <w:rPr>
          <w:color w:val="auto"/>
          <w:highlight w:val="none"/>
        </w:rPr>
        <w:fldChar w:fldCharType="separate"/>
      </w:r>
      <w:r>
        <w:rPr>
          <w:rFonts w:hint="eastAsia" w:ascii="宋体" w:hAnsi="宋体" w:eastAsia="宋体"/>
          <w:color w:val="auto"/>
          <w:szCs w:val="44"/>
          <w:highlight w:val="none"/>
        </w:rPr>
        <w:t>第二章  投标人须知</w:t>
      </w:r>
      <w:r>
        <w:rPr>
          <w:color w:val="auto"/>
          <w:highlight w:val="none"/>
        </w:rPr>
        <w:tab/>
      </w:r>
      <w:r>
        <w:rPr>
          <w:color w:val="auto"/>
          <w:highlight w:val="none"/>
        </w:rPr>
        <w:fldChar w:fldCharType="begin"/>
      </w:r>
      <w:r>
        <w:rPr>
          <w:color w:val="auto"/>
          <w:highlight w:val="none"/>
        </w:rPr>
        <w:instrText xml:space="preserve"> PAGEREF _Toc16861 \h </w:instrText>
      </w:r>
      <w:r>
        <w:rPr>
          <w:color w:val="auto"/>
          <w:highlight w:val="none"/>
        </w:rPr>
        <w:fldChar w:fldCharType="separate"/>
      </w:r>
      <w:r>
        <w:rPr>
          <w:color w:val="auto"/>
          <w:highlight w:val="none"/>
        </w:rPr>
        <w:t>7</w:t>
      </w:r>
      <w:r>
        <w:rPr>
          <w:color w:val="auto"/>
          <w:highlight w:val="none"/>
        </w:rPr>
        <w:fldChar w:fldCharType="end"/>
      </w:r>
      <w:r>
        <w:rPr>
          <w:color w:val="auto"/>
          <w:highlight w:val="none"/>
        </w:rPr>
        <w:fldChar w:fldCharType="end"/>
      </w:r>
    </w:p>
    <w:p w14:paraId="177285CE">
      <w:pPr>
        <w:pStyle w:val="23"/>
        <w:tabs>
          <w:tab w:val="right" w:leader="dot" w:pos="9800"/>
          <w:tab w:val="clear" w:pos="9218"/>
        </w:tabs>
        <w:rPr>
          <w:rFonts w:hint="eastAsia"/>
          <w:color w:val="auto"/>
          <w:highlight w:val="none"/>
        </w:rPr>
      </w:pPr>
      <w:r>
        <w:rPr>
          <w:color w:val="auto"/>
          <w:highlight w:val="none"/>
        </w:rPr>
        <w:fldChar w:fldCharType="begin"/>
      </w:r>
      <w:r>
        <w:rPr>
          <w:color w:val="auto"/>
          <w:highlight w:val="none"/>
        </w:rPr>
        <w:instrText xml:space="preserve"> HYPERLINK \l "_Toc29690" </w:instrText>
      </w:r>
      <w:r>
        <w:rPr>
          <w:color w:val="auto"/>
          <w:highlight w:val="none"/>
        </w:rPr>
        <w:fldChar w:fldCharType="separate"/>
      </w:r>
      <w:r>
        <w:rPr>
          <w:rFonts w:hint="eastAsia" w:hAnsi="宋体"/>
          <w:color w:val="auto"/>
          <w:highlight w:val="none"/>
        </w:rPr>
        <w:t>一、投标人须知前附表</w:t>
      </w:r>
      <w:r>
        <w:rPr>
          <w:color w:val="auto"/>
          <w:highlight w:val="none"/>
        </w:rPr>
        <w:tab/>
      </w:r>
      <w:r>
        <w:rPr>
          <w:color w:val="auto"/>
          <w:highlight w:val="none"/>
        </w:rPr>
        <w:fldChar w:fldCharType="begin"/>
      </w:r>
      <w:r>
        <w:rPr>
          <w:color w:val="auto"/>
          <w:highlight w:val="none"/>
        </w:rPr>
        <w:instrText xml:space="preserve"> PAGEREF _Toc29690 \h </w:instrText>
      </w:r>
      <w:r>
        <w:rPr>
          <w:color w:val="auto"/>
          <w:highlight w:val="none"/>
        </w:rPr>
        <w:fldChar w:fldCharType="separate"/>
      </w:r>
      <w:r>
        <w:rPr>
          <w:color w:val="auto"/>
          <w:highlight w:val="none"/>
        </w:rPr>
        <w:t>7</w:t>
      </w:r>
      <w:r>
        <w:rPr>
          <w:color w:val="auto"/>
          <w:highlight w:val="none"/>
        </w:rPr>
        <w:fldChar w:fldCharType="end"/>
      </w:r>
      <w:r>
        <w:rPr>
          <w:color w:val="auto"/>
          <w:highlight w:val="none"/>
        </w:rPr>
        <w:fldChar w:fldCharType="end"/>
      </w:r>
    </w:p>
    <w:p w14:paraId="4A40A07D">
      <w:pPr>
        <w:pStyle w:val="23"/>
        <w:tabs>
          <w:tab w:val="right" w:leader="dot" w:pos="9800"/>
          <w:tab w:val="clear" w:pos="9218"/>
        </w:tabs>
        <w:rPr>
          <w:rFonts w:hint="eastAsia"/>
          <w:color w:val="auto"/>
          <w:highlight w:val="none"/>
        </w:rPr>
      </w:pPr>
      <w:r>
        <w:rPr>
          <w:color w:val="auto"/>
          <w:highlight w:val="none"/>
        </w:rPr>
        <w:fldChar w:fldCharType="begin"/>
      </w:r>
      <w:r>
        <w:rPr>
          <w:color w:val="auto"/>
          <w:highlight w:val="none"/>
        </w:rPr>
        <w:instrText xml:space="preserve"> HYPERLINK \l "_Toc4634" </w:instrText>
      </w:r>
      <w:r>
        <w:rPr>
          <w:color w:val="auto"/>
          <w:highlight w:val="none"/>
        </w:rPr>
        <w:fldChar w:fldCharType="separate"/>
      </w:r>
      <w:r>
        <w:rPr>
          <w:rFonts w:hint="eastAsia" w:hAnsi="宋体"/>
          <w:color w:val="auto"/>
          <w:highlight w:val="none"/>
        </w:rPr>
        <w:t>1.总则</w:t>
      </w:r>
      <w:r>
        <w:rPr>
          <w:color w:val="auto"/>
          <w:highlight w:val="none"/>
        </w:rPr>
        <w:tab/>
      </w:r>
      <w:r>
        <w:rPr>
          <w:color w:val="auto"/>
          <w:highlight w:val="none"/>
        </w:rPr>
        <w:fldChar w:fldCharType="begin"/>
      </w:r>
      <w:r>
        <w:rPr>
          <w:color w:val="auto"/>
          <w:highlight w:val="none"/>
        </w:rPr>
        <w:instrText xml:space="preserve"> PAGEREF _Toc4634 \h </w:instrText>
      </w:r>
      <w:r>
        <w:rPr>
          <w:color w:val="auto"/>
          <w:highlight w:val="none"/>
        </w:rPr>
        <w:fldChar w:fldCharType="separate"/>
      </w:r>
      <w:r>
        <w:rPr>
          <w:color w:val="auto"/>
          <w:highlight w:val="none"/>
        </w:rPr>
        <w:t>13</w:t>
      </w:r>
      <w:r>
        <w:rPr>
          <w:color w:val="auto"/>
          <w:highlight w:val="none"/>
        </w:rPr>
        <w:fldChar w:fldCharType="end"/>
      </w:r>
      <w:r>
        <w:rPr>
          <w:color w:val="auto"/>
          <w:highlight w:val="none"/>
        </w:rPr>
        <w:fldChar w:fldCharType="end"/>
      </w:r>
    </w:p>
    <w:p w14:paraId="252E4481">
      <w:pPr>
        <w:pStyle w:val="23"/>
        <w:tabs>
          <w:tab w:val="right" w:leader="dot" w:pos="9800"/>
          <w:tab w:val="clear" w:pos="9218"/>
        </w:tabs>
        <w:rPr>
          <w:rFonts w:hint="eastAsia"/>
          <w:color w:val="auto"/>
          <w:highlight w:val="none"/>
        </w:rPr>
      </w:pPr>
      <w:r>
        <w:rPr>
          <w:color w:val="auto"/>
          <w:highlight w:val="none"/>
        </w:rPr>
        <w:fldChar w:fldCharType="begin"/>
      </w:r>
      <w:r>
        <w:rPr>
          <w:color w:val="auto"/>
          <w:highlight w:val="none"/>
        </w:rPr>
        <w:instrText xml:space="preserve"> HYPERLINK \l "_Toc21952" </w:instrText>
      </w:r>
      <w:r>
        <w:rPr>
          <w:color w:val="auto"/>
          <w:highlight w:val="none"/>
        </w:rPr>
        <w:fldChar w:fldCharType="separate"/>
      </w:r>
      <w:r>
        <w:rPr>
          <w:rFonts w:hint="eastAsia" w:hAnsi="宋体"/>
          <w:color w:val="auto"/>
          <w:highlight w:val="none"/>
        </w:rPr>
        <w:t>2.招标文件</w:t>
      </w:r>
      <w:r>
        <w:rPr>
          <w:color w:val="auto"/>
          <w:highlight w:val="none"/>
        </w:rPr>
        <w:tab/>
      </w:r>
      <w:r>
        <w:rPr>
          <w:color w:val="auto"/>
          <w:highlight w:val="none"/>
        </w:rPr>
        <w:fldChar w:fldCharType="begin"/>
      </w:r>
      <w:r>
        <w:rPr>
          <w:color w:val="auto"/>
          <w:highlight w:val="none"/>
        </w:rPr>
        <w:instrText xml:space="preserve"> PAGEREF _Toc21952 \h </w:instrText>
      </w:r>
      <w:r>
        <w:rPr>
          <w:color w:val="auto"/>
          <w:highlight w:val="none"/>
        </w:rPr>
        <w:fldChar w:fldCharType="separate"/>
      </w:r>
      <w:r>
        <w:rPr>
          <w:color w:val="auto"/>
          <w:highlight w:val="none"/>
        </w:rPr>
        <w:t>14</w:t>
      </w:r>
      <w:r>
        <w:rPr>
          <w:color w:val="auto"/>
          <w:highlight w:val="none"/>
        </w:rPr>
        <w:fldChar w:fldCharType="end"/>
      </w:r>
      <w:r>
        <w:rPr>
          <w:color w:val="auto"/>
          <w:highlight w:val="none"/>
        </w:rPr>
        <w:fldChar w:fldCharType="end"/>
      </w:r>
    </w:p>
    <w:p w14:paraId="118E59FD">
      <w:pPr>
        <w:pStyle w:val="23"/>
        <w:tabs>
          <w:tab w:val="right" w:leader="dot" w:pos="9800"/>
          <w:tab w:val="clear" w:pos="9218"/>
        </w:tabs>
        <w:rPr>
          <w:rFonts w:hint="eastAsia"/>
          <w:color w:val="auto"/>
          <w:highlight w:val="none"/>
        </w:rPr>
      </w:pPr>
      <w:r>
        <w:rPr>
          <w:color w:val="auto"/>
          <w:highlight w:val="none"/>
        </w:rPr>
        <w:fldChar w:fldCharType="begin"/>
      </w:r>
      <w:r>
        <w:rPr>
          <w:color w:val="auto"/>
          <w:highlight w:val="none"/>
        </w:rPr>
        <w:instrText xml:space="preserve"> HYPERLINK \l "_Toc15976" </w:instrText>
      </w:r>
      <w:r>
        <w:rPr>
          <w:color w:val="auto"/>
          <w:highlight w:val="none"/>
        </w:rPr>
        <w:fldChar w:fldCharType="separate"/>
      </w:r>
      <w:r>
        <w:rPr>
          <w:rFonts w:hint="eastAsia" w:hAnsi="宋体"/>
          <w:color w:val="auto"/>
          <w:highlight w:val="none"/>
        </w:rPr>
        <w:t>3.投标文件</w:t>
      </w:r>
      <w:r>
        <w:rPr>
          <w:color w:val="auto"/>
          <w:highlight w:val="none"/>
        </w:rPr>
        <w:tab/>
      </w:r>
      <w:r>
        <w:rPr>
          <w:color w:val="auto"/>
          <w:highlight w:val="none"/>
        </w:rPr>
        <w:fldChar w:fldCharType="begin"/>
      </w:r>
      <w:r>
        <w:rPr>
          <w:color w:val="auto"/>
          <w:highlight w:val="none"/>
        </w:rPr>
        <w:instrText xml:space="preserve"> PAGEREF _Toc15976 \h </w:instrText>
      </w:r>
      <w:r>
        <w:rPr>
          <w:color w:val="auto"/>
          <w:highlight w:val="none"/>
        </w:rPr>
        <w:fldChar w:fldCharType="separate"/>
      </w:r>
      <w:r>
        <w:rPr>
          <w:color w:val="auto"/>
          <w:highlight w:val="none"/>
        </w:rPr>
        <w:t>15</w:t>
      </w:r>
      <w:r>
        <w:rPr>
          <w:color w:val="auto"/>
          <w:highlight w:val="none"/>
        </w:rPr>
        <w:fldChar w:fldCharType="end"/>
      </w:r>
      <w:r>
        <w:rPr>
          <w:color w:val="auto"/>
          <w:highlight w:val="none"/>
        </w:rPr>
        <w:fldChar w:fldCharType="end"/>
      </w:r>
    </w:p>
    <w:p w14:paraId="4D7F2478">
      <w:pPr>
        <w:pStyle w:val="23"/>
        <w:tabs>
          <w:tab w:val="right" w:leader="dot" w:pos="9800"/>
          <w:tab w:val="clear" w:pos="9218"/>
        </w:tabs>
        <w:rPr>
          <w:rFonts w:hint="eastAsia"/>
          <w:color w:val="auto"/>
          <w:highlight w:val="none"/>
        </w:rPr>
      </w:pPr>
      <w:r>
        <w:rPr>
          <w:color w:val="auto"/>
          <w:highlight w:val="none"/>
        </w:rPr>
        <w:fldChar w:fldCharType="begin"/>
      </w:r>
      <w:r>
        <w:rPr>
          <w:color w:val="auto"/>
          <w:highlight w:val="none"/>
        </w:rPr>
        <w:instrText xml:space="preserve"> HYPERLINK \l "_Toc150" </w:instrText>
      </w:r>
      <w:r>
        <w:rPr>
          <w:color w:val="auto"/>
          <w:highlight w:val="none"/>
        </w:rPr>
        <w:fldChar w:fldCharType="separate"/>
      </w:r>
      <w:r>
        <w:rPr>
          <w:rFonts w:hint="eastAsia" w:ascii="宋体"/>
          <w:color w:val="auto"/>
          <w:highlight w:val="none"/>
        </w:rPr>
        <w:t>4.投标</w:t>
      </w:r>
      <w:r>
        <w:rPr>
          <w:color w:val="auto"/>
          <w:highlight w:val="none"/>
        </w:rPr>
        <w:tab/>
      </w:r>
      <w:r>
        <w:rPr>
          <w:color w:val="auto"/>
          <w:highlight w:val="none"/>
        </w:rPr>
        <w:fldChar w:fldCharType="begin"/>
      </w:r>
      <w:r>
        <w:rPr>
          <w:color w:val="auto"/>
          <w:highlight w:val="none"/>
        </w:rPr>
        <w:instrText xml:space="preserve"> PAGEREF _Toc150 \h </w:instrText>
      </w:r>
      <w:r>
        <w:rPr>
          <w:color w:val="auto"/>
          <w:highlight w:val="none"/>
        </w:rPr>
        <w:fldChar w:fldCharType="separate"/>
      </w:r>
      <w:r>
        <w:rPr>
          <w:color w:val="auto"/>
          <w:highlight w:val="none"/>
        </w:rPr>
        <w:t>18</w:t>
      </w:r>
      <w:r>
        <w:rPr>
          <w:color w:val="auto"/>
          <w:highlight w:val="none"/>
        </w:rPr>
        <w:fldChar w:fldCharType="end"/>
      </w:r>
      <w:r>
        <w:rPr>
          <w:color w:val="auto"/>
          <w:highlight w:val="none"/>
        </w:rPr>
        <w:fldChar w:fldCharType="end"/>
      </w:r>
    </w:p>
    <w:p w14:paraId="52B7DC22">
      <w:pPr>
        <w:pStyle w:val="23"/>
        <w:tabs>
          <w:tab w:val="right" w:leader="dot" w:pos="9800"/>
          <w:tab w:val="clear" w:pos="9218"/>
        </w:tabs>
        <w:rPr>
          <w:rFonts w:hint="eastAsia"/>
          <w:color w:val="auto"/>
          <w:highlight w:val="none"/>
        </w:rPr>
      </w:pPr>
      <w:r>
        <w:rPr>
          <w:color w:val="auto"/>
          <w:highlight w:val="none"/>
        </w:rPr>
        <w:fldChar w:fldCharType="begin"/>
      </w:r>
      <w:r>
        <w:rPr>
          <w:color w:val="auto"/>
          <w:highlight w:val="none"/>
        </w:rPr>
        <w:instrText xml:space="preserve"> HYPERLINK \l "_Toc16590" </w:instrText>
      </w:r>
      <w:r>
        <w:rPr>
          <w:color w:val="auto"/>
          <w:highlight w:val="none"/>
        </w:rPr>
        <w:fldChar w:fldCharType="separate"/>
      </w:r>
      <w:r>
        <w:rPr>
          <w:rFonts w:hint="eastAsia" w:ascii="宋体"/>
          <w:color w:val="auto"/>
          <w:highlight w:val="none"/>
        </w:rPr>
        <w:t>5.开标</w:t>
      </w:r>
      <w:r>
        <w:rPr>
          <w:color w:val="auto"/>
          <w:highlight w:val="none"/>
        </w:rPr>
        <w:tab/>
      </w:r>
      <w:r>
        <w:rPr>
          <w:color w:val="auto"/>
          <w:highlight w:val="none"/>
        </w:rPr>
        <w:fldChar w:fldCharType="begin"/>
      </w:r>
      <w:r>
        <w:rPr>
          <w:color w:val="auto"/>
          <w:highlight w:val="none"/>
        </w:rPr>
        <w:instrText xml:space="preserve"> PAGEREF _Toc16590 \h </w:instrText>
      </w:r>
      <w:r>
        <w:rPr>
          <w:color w:val="auto"/>
          <w:highlight w:val="none"/>
        </w:rPr>
        <w:fldChar w:fldCharType="separate"/>
      </w:r>
      <w:r>
        <w:rPr>
          <w:color w:val="auto"/>
          <w:highlight w:val="none"/>
        </w:rPr>
        <w:t>18</w:t>
      </w:r>
      <w:r>
        <w:rPr>
          <w:color w:val="auto"/>
          <w:highlight w:val="none"/>
        </w:rPr>
        <w:fldChar w:fldCharType="end"/>
      </w:r>
      <w:r>
        <w:rPr>
          <w:color w:val="auto"/>
          <w:highlight w:val="none"/>
        </w:rPr>
        <w:fldChar w:fldCharType="end"/>
      </w:r>
    </w:p>
    <w:p w14:paraId="4EDF7AE2">
      <w:pPr>
        <w:pStyle w:val="23"/>
        <w:tabs>
          <w:tab w:val="right" w:leader="dot" w:pos="9800"/>
          <w:tab w:val="clear" w:pos="9218"/>
        </w:tabs>
        <w:rPr>
          <w:rFonts w:hint="eastAsia"/>
          <w:color w:val="auto"/>
          <w:highlight w:val="none"/>
        </w:rPr>
      </w:pPr>
      <w:r>
        <w:rPr>
          <w:color w:val="auto"/>
          <w:highlight w:val="none"/>
        </w:rPr>
        <w:fldChar w:fldCharType="begin"/>
      </w:r>
      <w:r>
        <w:rPr>
          <w:color w:val="auto"/>
          <w:highlight w:val="none"/>
        </w:rPr>
        <w:instrText xml:space="preserve"> HYPERLINK \l "_Toc14931" </w:instrText>
      </w:r>
      <w:r>
        <w:rPr>
          <w:color w:val="auto"/>
          <w:highlight w:val="none"/>
        </w:rPr>
        <w:fldChar w:fldCharType="separate"/>
      </w:r>
      <w:r>
        <w:rPr>
          <w:rFonts w:hint="eastAsia" w:ascii="宋体"/>
          <w:color w:val="auto"/>
          <w:highlight w:val="none"/>
        </w:rPr>
        <w:t>6.资格审查及评标</w:t>
      </w:r>
      <w:r>
        <w:rPr>
          <w:color w:val="auto"/>
          <w:highlight w:val="none"/>
        </w:rPr>
        <w:tab/>
      </w:r>
      <w:r>
        <w:rPr>
          <w:color w:val="auto"/>
          <w:highlight w:val="none"/>
        </w:rPr>
        <w:fldChar w:fldCharType="begin"/>
      </w:r>
      <w:r>
        <w:rPr>
          <w:color w:val="auto"/>
          <w:highlight w:val="none"/>
        </w:rPr>
        <w:instrText xml:space="preserve"> PAGEREF _Toc14931 \h </w:instrText>
      </w:r>
      <w:r>
        <w:rPr>
          <w:color w:val="auto"/>
          <w:highlight w:val="none"/>
        </w:rPr>
        <w:fldChar w:fldCharType="separate"/>
      </w:r>
      <w:r>
        <w:rPr>
          <w:color w:val="auto"/>
          <w:highlight w:val="none"/>
        </w:rPr>
        <w:t>19</w:t>
      </w:r>
      <w:r>
        <w:rPr>
          <w:color w:val="auto"/>
          <w:highlight w:val="none"/>
        </w:rPr>
        <w:fldChar w:fldCharType="end"/>
      </w:r>
      <w:r>
        <w:rPr>
          <w:color w:val="auto"/>
          <w:highlight w:val="none"/>
        </w:rPr>
        <w:fldChar w:fldCharType="end"/>
      </w:r>
    </w:p>
    <w:p w14:paraId="300C6CB3">
      <w:pPr>
        <w:pStyle w:val="23"/>
        <w:tabs>
          <w:tab w:val="right" w:leader="dot" w:pos="9800"/>
          <w:tab w:val="clear" w:pos="9218"/>
        </w:tabs>
        <w:rPr>
          <w:rFonts w:hint="eastAsia"/>
          <w:color w:val="auto"/>
          <w:highlight w:val="none"/>
        </w:rPr>
      </w:pPr>
      <w:r>
        <w:rPr>
          <w:color w:val="auto"/>
          <w:highlight w:val="none"/>
        </w:rPr>
        <w:fldChar w:fldCharType="begin"/>
      </w:r>
      <w:r>
        <w:rPr>
          <w:color w:val="auto"/>
          <w:highlight w:val="none"/>
        </w:rPr>
        <w:instrText xml:space="preserve"> HYPERLINK \l "_Toc29674" </w:instrText>
      </w:r>
      <w:r>
        <w:rPr>
          <w:color w:val="auto"/>
          <w:highlight w:val="none"/>
        </w:rPr>
        <w:fldChar w:fldCharType="separate"/>
      </w:r>
      <w:r>
        <w:rPr>
          <w:rFonts w:hint="eastAsia" w:ascii="宋体"/>
          <w:color w:val="auto"/>
          <w:highlight w:val="none"/>
        </w:rPr>
        <w:t>7.合同授予</w:t>
      </w:r>
      <w:r>
        <w:rPr>
          <w:color w:val="auto"/>
          <w:highlight w:val="none"/>
        </w:rPr>
        <w:tab/>
      </w:r>
      <w:r>
        <w:rPr>
          <w:color w:val="auto"/>
          <w:highlight w:val="none"/>
        </w:rPr>
        <w:fldChar w:fldCharType="begin"/>
      </w:r>
      <w:r>
        <w:rPr>
          <w:color w:val="auto"/>
          <w:highlight w:val="none"/>
        </w:rPr>
        <w:instrText xml:space="preserve"> PAGEREF _Toc29674 \h </w:instrText>
      </w:r>
      <w:r>
        <w:rPr>
          <w:color w:val="auto"/>
          <w:highlight w:val="none"/>
        </w:rPr>
        <w:fldChar w:fldCharType="separate"/>
      </w:r>
      <w:r>
        <w:rPr>
          <w:color w:val="auto"/>
          <w:highlight w:val="none"/>
        </w:rPr>
        <w:t>19</w:t>
      </w:r>
      <w:r>
        <w:rPr>
          <w:color w:val="auto"/>
          <w:highlight w:val="none"/>
        </w:rPr>
        <w:fldChar w:fldCharType="end"/>
      </w:r>
      <w:r>
        <w:rPr>
          <w:color w:val="auto"/>
          <w:highlight w:val="none"/>
        </w:rPr>
        <w:fldChar w:fldCharType="end"/>
      </w:r>
    </w:p>
    <w:p w14:paraId="6244DE7E">
      <w:pPr>
        <w:pStyle w:val="23"/>
        <w:tabs>
          <w:tab w:val="right" w:leader="dot" w:pos="9800"/>
          <w:tab w:val="clear" w:pos="9218"/>
        </w:tabs>
        <w:rPr>
          <w:rFonts w:hint="eastAsia"/>
          <w:color w:val="auto"/>
          <w:highlight w:val="none"/>
        </w:rPr>
      </w:pPr>
      <w:r>
        <w:rPr>
          <w:color w:val="auto"/>
          <w:highlight w:val="none"/>
        </w:rPr>
        <w:fldChar w:fldCharType="begin"/>
      </w:r>
      <w:r>
        <w:rPr>
          <w:color w:val="auto"/>
          <w:highlight w:val="none"/>
        </w:rPr>
        <w:instrText xml:space="preserve"> HYPERLINK \l "_Toc5790" </w:instrText>
      </w:r>
      <w:r>
        <w:rPr>
          <w:color w:val="auto"/>
          <w:highlight w:val="none"/>
        </w:rPr>
        <w:fldChar w:fldCharType="separate"/>
      </w:r>
      <w:r>
        <w:rPr>
          <w:rFonts w:hint="eastAsia" w:ascii="宋体"/>
          <w:color w:val="auto"/>
          <w:highlight w:val="none"/>
        </w:rPr>
        <w:t>8.质疑和投诉</w:t>
      </w:r>
      <w:r>
        <w:rPr>
          <w:color w:val="auto"/>
          <w:highlight w:val="none"/>
        </w:rPr>
        <w:tab/>
      </w:r>
      <w:r>
        <w:rPr>
          <w:color w:val="auto"/>
          <w:highlight w:val="none"/>
        </w:rPr>
        <w:fldChar w:fldCharType="begin"/>
      </w:r>
      <w:r>
        <w:rPr>
          <w:color w:val="auto"/>
          <w:highlight w:val="none"/>
        </w:rPr>
        <w:instrText xml:space="preserve"> PAGEREF _Toc5790 \h </w:instrText>
      </w:r>
      <w:r>
        <w:rPr>
          <w:color w:val="auto"/>
          <w:highlight w:val="none"/>
        </w:rPr>
        <w:fldChar w:fldCharType="separate"/>
      </w:r>
      <w:r>
        <w:rPr>
          <w:color w:val="auto"/>
          <w:highlight w:val="none"/>
        </w:rPr>
        <w:t>20</w:t>
      </w:r>
      <w:r>
        <w:rPr>
          <w:color w:val="auto"/>
          <w:highlight w:val="none"/>
        </w:rPr>
        <w:fldChar w:fldCharType="end"/>
      </w:r>
      <w:r>
        <w:rPr>
          <w:color w:val="auto"/>
          <w:highlight w:val="none"/>
        </w:rPr>
        <w:fldChar w:fldCharType="end"/>
      </w:r>
    </w:p>
    <w:p w14:paraId="0E51C7B7">
      <w:pPr>
        <w:pStyle w:val="23"/>
        <w:tabs>
          <w:tab w:val="right" w:leader="dot" w:pos="9800"/>
          <w:tab w:val="clear" w:pos="9218"/>
        </w:tabs>
        <w:rPr>
          <w:rFonts w:hint="eastAsia"/>
          <w:color w:val="auto"/>
          <w:highlight w:val="none"/>
        </w:rPr>
      </w:pPr>
      <w:r>
        <w:rPr>
          <w:color w:val="auto"/>
          <w:highlight w:val="none"/>
        </w:rPr>
        <w:fldChar w:fldCharType="begin"/>
      </w:r>
      <w:r>
        <w:rPr>
          <w:color w:val="auto"/>
          <w:highlight w:val="none"/>
        </w:rPr>
        <w:instrText xml:space="preserve"> HYPERLINK \l "_Toc14921" </w:instrText>
      </w:r>
      <w:r>
        <w:rPr>
          <w:color w:val="auto"/>
          <w:highlight w:val="none"/>
        </w:rPr>
        <w:fldChar w:fldCharType="separate"/>
      </w:r>
      <w:r>
        <w:rPr>
          <w:rFonts w:hint="eastAsia" w:ascii="宋体"/>
          <w:color w:val="auto"/>
          <w:highlight w:val="none"/>
        </w:rPr>
        <w:t>9.需要补充的其他内容</w:t>
      </w:r>
      <w:r>
        <w:rPr>
          <w:color w:val="auto"/>
          <w:highlight w:val="none"/>
        </w:rPr>
        <w:tab/>
      </w:r>
      <w:r>
        <w:rPr>
          <w:color w:val="auto"/>
          <w:highlight w:val="none"/>
        </w:rPr>
        <w:fldChar w:fldCharType="begin"/>
      </w:r>
      <w:r>
        <w:rPr>
          <w:color w:val="auto"/>
          <w:highlight w:val="none"/>
        </w:rPr>
        <w:instrText xml:space="preserve"> PAGEREF _Toc14921 \h </w:instrText>
      </w:r>
      <w:r>
        <w:rPr>
          <w:color w:val="auto"/>
          <w:highlight w:val="none"/>
        </w:rPr>
        <w:fldChar w:fldCharType="separate"/>
      </w:r>
      <w:r>
        <w:rPr>
          <w:color w:val="auto"/>
          <w:highlight w:val="none"/>
        </w:rPr>
        <w:t>21</w:t>
      </w:r>
      <w:r>
        <w:rPr>
          <w:color w:val="auto"/>
          <w:highlight w:val="none"/>
        </w:rPr>
        <w:fldChar w:fldCharType="end"/>
      </w:r>
      <w:r>
        <w:rPr>
          <w:color w:val="auto"/>
          <w:highlight w:val="none"/>
        </w:rPr>
        <w:fldChar w:fldCharType="end"/>
      </w:r>
    </w:p>
    <w:p w14:paraId="0F4B6984">
      <w:pPr>
        <w:pStyle w:val="33"/>
        <w:tabs>
          <w:tab w:val="right" w:leader="dot" w:pos="9800"/>
          <w:tab w:val="clear" w:pos="1260"/>
          <w:tab w:val="clear" w:pos="9218"/>
        </w:tabs>
        <w:rPr>
          <w:color w:val="auto"/>
          <w:highlight w:val="none"/>
        </w:rPr>
      </w:pPr>
      <w:r>
        <w:rPr>
          <w:color w:val="auto"/>
          <w:highlight w:val="none"/>
        </w:rPr>
        <w:fldChar w:fldCharType="begin"/>
      </w:r>
      <w:r>
        <w:rPr>
          <w:color w:val="auto"/>
          <w:highlight w:val="none"/>
        </w:rPr>
        <w:instrText xml:space="preserve"> HYPERLINK \l "_Toc32103" </w:instrText>
      </w:r>
      <w:r>
        <w:rPr>
          <w:color w:val="auto"/>
          <w:highlight w:val="none"/>
        </w:rPr>
        <w:fldChar w:fldCharType="separate"/>
      </w:r>
      <w:r>
        <w:rPr>
          <w:rFonts w:hint="eastAsia"/>
          <w:color w:val="auto"/>
          <w:highlight w:val="none"/>
        </w:rPr>
        <w:t xml:space="preserve">第三章  </w:t>
      </w:r>
      <w:r>
        <w:rPr>
          <w:color w:val="auto"/>
          <w:highlight w:val="none"/>
        </w:rPr>
        <w:t>资格审查</w:t>
      </w:r>
      <w:r>
        <w:rPr>
          <w:color w:val="auto"/>
          <w:highlight w:val="none"/>
        </w:rPr>
        <w:tab/>
      </w:r>
      <w:r>
        <w:rPr>
          <w:color w:val="auto"/>
          <w:highlight w:val="none"/>
        </w:rPr>
        <w:fldChar w:fldCharType="begin"/>
      </w:r>
      <w:r>
        <w:rPr>
          <w:color w:val="auto"/>
          <w:highlight w:val="none"/>
        </w:rPr>
        <w:instrText xml:space="preserve"> PAGEREF _Toc32103 \h </w:instrText>
      </w:r>
      <w:r>
        <w:rPr>
          <w:color w:val="auto"/>
          <w:highlight w:val="none"/>
        </w:rPr>
        <w:fldChar w:fldCharType="separate"/>
      </w:r>
      <w:r>
        <w:rPr>
          <w:color w:val="auto"/>
          <w:highlight w:val="none"/>
        </w:rPr>
        <w:t>22</w:t>
      </w:r>
      <w:r>
        <w:rPr>
          <w:color w:val="auto"/>
          <w:highlight w:val="none"/>
        </w:rPr>
        <w:fldChar w:fldCharType="end"/>
      </w:r>
      <w:r>
        <w:rPr>
          <w:color w:val="auto"/>
          <w:highlight w:val="none"/>
        </w:rPr>
        <w:fldChar w:fldCharType="end"/>
      </w:r>
    </w:p>
    <w:p w14:paraId="2BB5F922">
      <w:pPr>
        <w:pStyle w:val="33"/>
        <w:tabs>
          <w:tab w:val="right" w:leader="dot" w:pos="9800"/>
          <w:tab w:val="clear" w:pos="1260"/>
          <w:tab w:val="clear" w:pos="9218"/>
        </w:tabs>
        <w:rPr>
          <w:color w:val="auto"/>
          <w:highlight w:val="none"/>
        </w:rPr>
      </w:pPr>
      <w:r>
        <w:rPr>
          <w:color w:val="auto"/>
          <w:highlight w:val="none"/>
        </w:rPr>
        <w:fldChar w:fldCharType="begin"/>
      </w:r>
      <w:r>
        <w:rPr>
          <w:color w:val="auto"/>
          <w:highlight w:val="none"/>
        </w:rPr>
        <w:instrText xml:space="preserve"> HYPERLINK \l "_Toc30045" </w:instrText>
      </w:r>
      <w:r>
        <w:rPr>
          <w:color w:val="auto"/>
          <w:highlight w:val="none"/>
        </w:rPr>
        <w:fldChar w:fldCharType="separate"/>
      </w:r>
      <w:r>
        <w:rPr>
          <w:rFonts w:hint="eastAsia" w:ascii="宋体" w:hAnsi="宋体" w:eastAsia="宋体"/>
          <w:color w:val="auto"/>
          <w:szCs w:val="44"/>
          <w:highlight w:val="none"/>
        </w:rPr>
        <w:t>第四章 评标方法</w:t>
      </w:r>
      <w:r>
        <w:rPr>
          <w:color w:val="auto"/>
          <w:highlight w:val="none"/>
        </w:rPr>
        <w:tab/>
      </w:r>
      <w:r>
        <w:rPr>
          <w:color w:val="auto"/>
          <w:highlight w:val="none"/>
        </w:rPr>
        <w:fldChar w:fldCharType="begin"/>
      </w:r>
      <w:r>
        <w:rPr>
          <w:color w:val="auto"/>
          <w:highlight w:val="none"/>
        </w:rPr>
        <w:instrText xml:space="preserve"> PAGEREF _Toc30045 \h </w:instrText>
      </w:r>
      <w:r>
        <w:rPr>
          <w:color w:val="auto"/>
          <w:highlight w:val="none"/>
        </w:rPr>
        <w:fldChar w:fldCharType="separate"/>
      </w:r>
      <w:r>
        <w:rPr>
          <w:color w:val="auto"/>
          <w:highlight w:val="none"/>
        </w:rPr>
        <w:t>24</w:t>
      </w:r>
      <w:r>
        <w:rPr>
          <w:color w:val="auto"/>
          <w:highlight w:val="none"/>
        </w:rPr>
        <w:fldChar w:fldCharType="end"/>
      </w:r>
      <w:r>
        <w:rPr>
          <w:color w:val="auto"/>
          <w:highlight w:val="none"/>
        </w:rPr>
        <w:fldChar w:fldCharType="end"/>
      </w:r>
    </w:p>
    <w:p w14:paraId="7B425E3F">
      <w:pPr>
        <w:pStyle w:val="23"/>
        <w:tabs>
          <w:tab w:val="right" w:leader="dot" w:pos="9800"/>
          <w:tab w:val="clear" w:pos="9218"/>
        </w:tabs>
        <w:rPr>
          <w:rFonts w:hint="eastAsia"/>
          <w:color w:val="auto"/>
          <w:highlight w:val="none"/>
        </w:rPr>
      </w:pPr>
      <w:r>
        <w:rPr>
          <w:color w:val="auto"/>
          <w:highlight w:val="none"/>
        </w:rPr>
        <w:fldChar w:fldCharType="begin"/>
      </w:r>
      <w:r>
        <w:rPr>
          <w:color w:val="auto"/>
          <w:highlight w:val="none"/>
        </w:rPr>
        <w:instrText xml:space="preserve"> HYPERLINK \l "_Toc9844" </w:instrText>
      </w:r>
      <w:r>
        <w:rPr>
          <w:color w:val="auto"/>
          <w:highlight w:val="none"/>
        </w:rPr>
        <w:fldChar w:fldCharType="separate"/>
      </w:r>
      <w:r>
        <w:rPr>
          <w:rFonts w:hint="eastAsia" w:hAnsi="宋体"/>
          <w:color w:val="auto"/>
          <w:highlight w:val="none"/>
        </w:rPr>
        <w:t>1.评审程序</w:t>
      </w:r>
      <w:r>
        <w:rPr>
          <w:color w:val="auto"/>
          <w:highlight w:val="none"/>
        </w:rPr>
        <w:tab/>
      </w:r>
      <w:r>
        <w:rPr>
          <w:color w:val="auto"/>
          <w:highlight w:val="none"/>
        </w:rPr>
        <w:fldChar w:fldCharType="begin"/>
      </w:r>
      <w:r>
        <w:rPr>
          <w:color w:val="auto"/>
          <w:highlight w:val="none"/>
        </w:rPr>
        <w:instrText xml:space="preserve"> PAGEREF _Toc9844 \h </w:instrText>
      </w:r>
      <w:r>
        <w:rPr>
          <w:color w:val="auto"/>
          <w:highlight w:val="none"/>
        </w:rPr>
        <w:fldChar w:fldCharType="separate"/>
      </w:r>
      <w:r>
        <w:rPr>
          <w:color w:val="auto"/>
          <w:highlight w:val="none"/>
        </w:rPr>
        <w:t>24</w:t>
      </w:r>
      <w:r>
        <w:rPr>
          <w:color w:val="auto"/>
          <w:highlight w:val="none"/>
        </w:rPr>
        <w:fldChar w:fldCharType="end"/>
      </w:r>
      <w:r>
        <w:rPr>
          <w:color w:val="auto"/>
          <w:highlight w:val="none"/>
        </w:rPr>
        <w:fldChar w:fldCharType="end"/>
      </w:r>
    </w:p>
    <w:p w14:paraId="1465441E">
      <w:pPr>
        <w:pStyle w:val="23"/>
        <w:tabs>
          <w:tab w:val="right" w:leader="dot" w:pos="9800"/>
          <w:tab w:val="clear" w:pos="9218"/>
        </w:tabs>
        <w:rPr>
          <w:rFonts w:hint="eastAsia"/>
          <w:color w:val="auto"/>
          <w:highlight w:val="none"/>
        </w:rPr>
      </w:pPr>
      <w:r>
        <w:rPr>
          <w:color w:val="auto"/>
          <w:highlight w:val="none"/>
        </w:rPr>
        <w:fldChar w:fldCharType="begin"/>
      </w:r>
      <w:r>
        <w:rPr>
          <w:color w:val="auto"/>
          <w:highlight w:val="none"/>
        </w:rPr>
        <w:instrText xml:space="preserve"> HYPERLINK \l "_Toc29046" </w:instrText>
      </w:r>
      <w:r>
        <w:rPr>
          <w:color w:val="auto"/>
          <w:highlight w:val="none"/>
        </w:rPr>
        <w:fldChar w:fldCharType="separate"/>
      </w:r>
      <w:r>
        <w:rPr>
          <w:rFonts w:hint="eastAsia" w:hAnsi="宋体"/>
          <w:color w:val="auto"/>
          <w:highlight w:val="none"/>
        </w:rPr>
        <w:t>2.评审标准</w:t>
      </w:r>
      <w:r>
        <w:rPr>
          <w:color w:val="auto"/>
          <w:highlight w:val="none"/>
        </w:rPr>
        <w:tab/>
      </w:r>
      <w:r>
        <w:rPr>
          <w:color w:val="auto"/>
          <w:highlight w:val="none"/>
        </w:rPr>
        <w:fldChar w:fldCharType="begin"/>
      </w:r>
      <w:r>
        <w:rPr>
          <w:color w:val="auto"/>
          <w:highlight w:val="none"/>
        </w:rPr>
        <w:instrText xml:space="preserve"> PAGEREF _Toc29046 \h </w:instrText>
      </w:r>
      <w:r>
        <w:rPr>
          <w:color w:val="auto"/>
          <w:highlight w:val="none"/>
        </w:rPr>
        <w:fldChar w:fldCharType="separate"/>
      </w:r>
      <w:r>
        <w:rPr>
          <w:color w:val="auto"/>
          <w:highlight w:val="none"/>
        </w:rPr>
        <w:t>25</w:t>
      </w:r>
      <w:r>
        <w:rPr>
          <w:color w:val="auto"/>
          <w:highlight w:val="none"/>
        </w:rPr>
        <w:fldChar w:fldCharType="end"/>
      </w:r>
      <w:r>
        <w:rPr>
          <w:color w:val="auto"/>
          <w:highlight w:val="none"/>
        </w:rPr>
        <w:fldChar w:fldCharType="end"/>
      </w:r>
    </w:p>
    <w:p w14:paraId="0B6CEA00">
      <w:pPr>
        <w:pStyle w:val="23"/>
        <w:tabs>
          <w:tab w:val="right" w:leader="dot" w:pos="9800"/>
          <w:tab w:val="clear" w:pos="9218"/>
        </w:tabs>
        <w:rPr>
          <w:rFonts w:hint="eastAsia"/>
          <w:color w:val="auto"/>
          <w:highlight w:val="none"/>
        </w:rPr>
      </w:pPr>
      <w:r>
        <w:rPr>
          <w:color w:val="auto"/>
          <w:highlight w:val="none"/>
        </w:rPr>
        <w:fldChar w:fldCharType="begin"/>
      </w:r>
      <w:r>
        <w:rPr>
          <w:color w:val="auto"/>
          <w:highlight w:val="none"/>
        </w:rPr>
        <w:instrText xml:space="preserve"> HYPERLINK \l "_Toc14861" </w:instrText>
      </w:r>
      <w:r>
        <w:rPr>
          <w:color w:val="auto"/>
          <w:highlight w:val="none"/>
        </w:rPr>
        <w:fldChar w:fldCharType="separate"/>
      </w:r>
      <w:r>
        <w:rPr>
          <w:rFonts w:hint="eastAsia" w:hAnsi="宋体"/>
          <w:color w:val="auto"/>
          <w:highlight w:val="none"/>
        </w:rPr>
        <w:t>3.评标程序</w:t>
      </w:r>
      <w:r>
        <w:rPr>
          <w:color w:val="auto"/>
          <w:highlight w:val="none"/>
        </w:rPr>
        <w:tab/>
      </w:r>
      <w:r>
        <w:rPr>
          <w:color w:val="auto"/>
          <w:highlight w:val="none"/>
        </w:rPr>
        <w:fldChar w:fldCharType="begin"/>
      </w:r>
      <w:r>
        <w:rPr>
          <w:color w:val="auto"/>
          <w:highlight w:val="none"/>
        </w:rPr>
        <w:instrText xml:space="preserve"> PAGEREF _Toc14861 \h </w:instrText>
      </w:r>
      <w:r>
        <w:rPr>
          <w:color w:val="auto"/>
          <w:highlight w:val="none"/>
        </w:rPr>
        <w:fldChar w:fldCharType="separate"/>
      </w:r>
      <w:r>
        <w:rPr>
          <w:color w:val="auto"/>
          <w:highlight w:val="none"/>
        </w:rPr>
        <w:t>34</w:t>
      </w:r>
      <w:r>
        <w:rPr>
          <w:color w:val="auto"/>
          <w:highlight w:val="none"/>
        </w:rPr>
        <w:fldChar w:fldCharType="end"/>
      </w:r>
      <w:r>
        <w:rPr>
          <w:color w:val="auto"/>
          <w:highlight w:val="none"/>
        </w:rPr>
        <w:fldChar w:fldCharType="end"/>
      </w:r>
    </w:p>
    <w:p w14:paraId="295C4C92">
      <w:pPr>
        <w:pStyle w:val="33"/>
        <w:tabs>
          <w:tab w:val="right" w:leader="dot" w:pos="9800"/>
          <w:tab w:val="clear" w:pos="1260"/>
          <w:tab w:val="clear" w:pos="9218"/>
        </w:tabs>
        <w:rPr>
          <w:color w:val="auto"/>
          <w:highlight w:val="none"/>
        </w:rPr>
      </w:pPr>
      <w:r>
        <w:rPr>
          <w:color w:val="auto"/>
          <w:highlight w:val="none"/>
        </w:rPr>
        <w:fldChar w:fldCharType="begin"/>
      </w:r>
      <w:r>
        <w:rPr>
          <w:color w:val="auto"/>
          <w:highlight w:val="none"/>
        </w:rPr>
        <w:instrText xml:space="preserve"> HYPERLINK \l "_Toc22050" </w:instrText>
      </w:r>
      <w:r>
        <w:rPr>
          <w:color w:val="auto"/>
          <w:highlight w:val="none"/>
        </w:rPr>
        <w:fldChar w:fldCharType="separate"/>
      </w:r>
      <w:r>
        <w:rPr>
          <w:rFonts w:hint="eastAsia" w:ascii="宋体" w:hAnsi="宋体" w:eastAsia="宋体"/>
          <w:color w:val="auto"/>
          <w:szCs w:val="44"/>
          <w:highlight w:val="none"/>
        </w:rPr>
        <w:t>第五章 投标文件格式</w:t>
      </w:r>
      <w:r>
        <w:rPr>
          <w:color w:val="auto"/>
          <w:highlight w:val="none"/>
        </w:rPr>
        <w:tab/>
      </w:r>
      <w:r>
        <w:rPr>
          <w:color w:val="auto"/>
          <w:highlight w:val="none"/>
        </w:rPr>
        <w:fldChar w:fldCharType="begin"/>
      </w:r>
      <w:r>
        <w:rPr>
          <w:color w:val="auto"/>
          <w:highlight w:val="none"/>
        </w:rPr>
        <w:instrText xml:space="preserve"> PAGEREF _Toc22050 \h </w:instrText>
      </w:r>
      <w:r>
        <w:rPr>
          <w:color w:val="auto"/>
          <w:highlight w:val="none"/>
        </w:rPr>
        <w:fldChar w:fldCharType="separate"/>
      </w:r>
      <w:r>
        <w:rPr>
          <w:color w:val="auto"/>
          <w:highlight w:val="none"/>
        </w:rPr>
        <w:t>35</w:t>
      </w:r>
      <w:r>
        <w:rPr>
          <w:color w:val="auto"/>
          <w:highlight w:val="none"/>
        </w:rPr>
        <w:fldChar w:fldCharType="end"/>
      </w:r>
      <w:r>
        <w:rPr>
          <w:color w:val="auto"/>
          <w:highlight w:val="none"/>
        </w:rPr>
        <w:fldChar w:fldCharType="end"/>
      </w:r>
    </w:p>
    <w:p w14:paraId="6ACE8DA6">
      <w:pPr>
        <w:pStyle w:val="33"/>
        <w:tabs>
          <w:tab w:val="right" w:leader="dot" w:pos="9800"/>
          <w:tab w:val="clear" w:pos="1260"/>
          <w:tab w:val="clear" w:pos="9218"/>
        </w:tabs>
        <w:rPr>
          <w:color w:val="auto"/>
          <w:szCs w:val="36"/>
          <w:highlight w:val="none"/>
        </w:rPr>
      </w:pPr>
      <w:r>
        <w:rPr>
          <w:color w:val="auto"/>
          <w:highlight w:val="none"/>
        </w:rPr>
        <w:fldChar w:fldCharType="begin"/>
      </w:r>
      <w:r>
        <w:rPr>
          <w:color w:val="auto"/>
          <w:highlight w:val="none"/>
        </w:rPr>
        <w:instrText xml:space="preserve"> HYPERLINK \l "_Toc2120" </w:instrText>
      </w:r>
      <w:r>
        <w:rPr>
          <w:color w:val="auto"/>
          <w:highlight w:val="none"/>
        </w:rPr>
        <w:fldChar w:fldCharType="separate"/>
      </w:r>
      <w:r>
        <w:rPr>
          <w:rFonts w:hint="eastAsia"/>
          <w:color w:val="auto"/>
          <w:szCs w:val="36"/>
          <w:highlight w:val="none"/>
        </w:rPr>
        <w:t>一、资格审查部分</w:t>
      </w:r>
      <w:r>
        <w:rPr>
          <w:rFonts w:hint="eastAsia"/>
          <w:color w:val="auto"/>
          <w:szCs w:val="36"/>
          <w:highlight w:val="none"/>
        </w:rPr>
        <w:tab/>
      </w:r>
      <w:r>
        <w:rPr>
          <w:rFonts w:hint="eastAsia"/>
          <w:color w:val="auto"/>
          <w:szCs w:val="36"/>
          <w:highlight w:val="none"/>
        </w:rPr>
        <w:fldChar w:fldCharType="begin"/>
      </w:r>
      <w:r>
        <w:rPr>
          <w:rFonts w:hint="eastAsia"/>
          <w:color w:val="auto"/>
          <w:szCs w:val="36"/>
          <w:highlight w:val="none"/>
        </w:rPr>
        <w:instrText xml:space="preserve"> PAGEREF _Toc2120 \h </w:instrText>
      </w:r>
      <w:r>
        <w:rPr>
          <w:rFonts w:hint="eastAsia"/>
          <w:color w:val="auto"/>
          <w:szCs w:val="36"/>
          <w:highlight w:val="none"/>
        </w:rPr>
        <w:fldChar w:fldCharType="separate"/>
      </w:r>
      <w:r>
        <w:rPr>
          <w:rFonts w:hint="eastAsia"/>
          <w:color w:val="auto"/>
          <w:szCs w:val="36"/>
          <w:highlight w:val="none"/>
        </w:rPr>
        <w:t>37</w:t>
      </w:r>
      <w:r>
        <w:rPr>
          <w:rFonts w:hint="eastAsia"/>
          <w:color w:val="auto"/>
          <w:szCs w:val="36"/>
          <w:highlight w:val="none"/>
        </w:rPr>
        <w:fldChar w:fldCharType="end"/>
      </w:r>
      <w:r>
        <w:rPr>
          <w:rFonts w:hint="eastAsia"/>
          <w:color w:val="auto"/>
          <w:szCs w:val="36"/>
          <w:highlight w:val="none"/>
        </w:rPr>
        <w:fldChar w:fldCharType="end"/>
      </w:r>
    </w:p>
    <w:p w14:paraId="46998E2E">
      <w:pPr>
        <w:pStyle w:val="33"/>
        <w:tabs>
          <w:tab w:val="right" w:leader="dot" w:pos="9800"/>
          <w:tab w:val="clear" w:pos="1260"/>
          <w:tab w:val="clear" w:pos="9218"/>
        </w:tabs>
        <w:rPr>
          <w:color w:val="auto"/>
          <w:highlight w:val="none"/>
        </w:rPr>
      </w:pPr>
      <w:r>
        <w:rPr>
          <w:color w:val="auto"/>
          <w:highlight w:val="none"/>
        </w:rPr>
        <w:fldChar w:fldCharType="begin"/>
      </w:r>
      <w:r>
        <w:rPr>
          <w:color w:val="auto"/>
          <w:highlight w:val="none"/>
        </w:rPr>
        <w:instrText xml:space="preserve"> HYPERLINK \l "_Toc26329" </w:instrText>
      </w:r>
      <w:r>
        <w:rPr>
          <w:color w:val="auto"/>
          <w:highlight w:val="none"/>
        </w:rPr>
        <w:fldChar w:fldCharType="separate"/>
      </w:r>
      <w:r>
        <w:rPr>
          <w:rFonts w:hint="eastAsia"/>
          <w:color w:val="auto"/>
          <w:highlight w:val="none"/>
        </w:rPr>
        <w:t>（一）资格审查申请函</w:t>
      </w:r>
      <w:r>
        <w:rPr>
          <w:color w:val="auto"/>
          <w:highlight w:val="none"/>
        </w:rPr>
        <w:tab/>
      </w:r>
      <w:r>
        <w:rPr>
          <w:color w:val="auto"/>
          <w:highlight w:val="none"/>
        </w:rPr>
        <w:fldChar w:fldCharType="begin"/>
      </w:r>
      <w:r>
        <w:rPr>
          <w:color w:val="auto"/>
          <w:highlight w:val="none"/>
        </w:rPr>
        <w:instrText xml:space="preserve"> PAGEREF _Toc26329 \h </w:instrText>
      </w:r>
      <w:r>
        <w:rPr>
          <w:color w:val="auto"/>
          <w:highlight w:val="none"/>
        </w:rPr>
        <w:fldChar w:fldCharType="separate"/>
      </w:r>
      <w:r>
        <w:rPr>
          <w:color w:val="auto"/>
          <w:highlight w:val="none"/>
        </w:rPr>
        <w:t>37</w:t>
      </w:r>
      <w:r>
        <w:rPr>
          <w:color w:val="auto"/>
          <w:highlight w:val="none"/>
        </w:rPr>
        <w:fldChar w:fldCharType="end"/>
      </w:r>
      <w:r>
        <w:rPr>
          <w:color w:val="auto"/>
          <w:highlight w:val="none"/>
        </w:rPr>
        <w:fldChar w:fldCharType="end"/>
      </w:r>
    </w:p>
    <w:p w14:paraId="016294BE">
      <w:pPr>
        <w:pStyle w:val="33"/>
        <w:tabs>
          <w:tab w:val="right" w:leader="dot" w:pos="9800"/>
          <w:tab w:val="clear" w:pos="1260"/>
          <w:tab w:val="clear" w:pos="9218"/>
        </w:tabs>
        <w:rPr>
          <w:color w:val="auto"/>
          <w:highlight w:val="none"/>
        </w:rPr>
      </w:pPr>
      <w:r>
        <w:rPr>
          <w:color w:val="auto"/>
          <w:highlight w:val="none"/>
        </w:rPr>
        <w:fldChar w:fldCharType="begin"/>
      </w:r>
      <w:r>
        <w:rPr>
          <w:color w:val="auto"/>
          <w:highlight w:val="none"/>
        </w:rPr>
        <w:instrText xml:space="preserve"> HYPERLINK \l "_Toc5003" </w:instrText>
      </w:r>
      <w:r>
        <w:rPr>
          <w:color w:val="auto"/>
          <w:highlight w:val="none"/>
        </w:rPr>
        <w:fldChar w:fldCharType="separate"/>
      </w:r>
      <w:r>
        <w:rPr>
          <w:rFonts w:hint="eastAsia"/>
          <w:color w:val="auto"/>
          <w:highlight w:val="none"/>
        </w:rPr>
        <w:t>（二）投标人应具有独立承担民事责任的能力</w:t>
      </w:r>
      <w:r>
        <w:rPr>
          <w:color w:val="auto"/>
          <w:highlight w:val="none"/>
        </w:rPr>
        <w:tab/>
      </w:r>
      <w:r>
        <w:rPr>
          <w:color w:val="auto"/>
          <w:highlight w:val="none"/>
        </w:rPr>
        <w:fldChar w:fldCharType="begin"/>
      </w:r>
      <w:r>
        <w:rPr>
          <w:color w:val="auto"/>
          <w:highlight w:val="none"/>
        </w:rPr>
        <w:instrText xml:space="preserve"> PAGEREF _Toc5003 \h </w:instrText>
      </w:r>
      <w:r>
        <w:rPr>
          <w:color w:val="auto"/>
          <w:highlight w:val="none"/>
        </w:rPr>
        <w:fldChar w:fldCharType="separate"/>
      </w:r>
      <w:r>
        <w:rPr>
          <w:color w:val="auto"/>
          <w:highlight w:val="none"/>
        </w:rPr>
        <w:t>38</w:t>
      </w:r>
      <w:r>
        <w:rPr>
          <w:color w:val="auto"/>
          <w:highlight w:val="none"/>
        </w:rPr>
        <w:fldChar w:fldCharType="end"/>
      </w:r>
      <w:r>
        <w:rPr>
          <w:color w:val="auto"/>
          <w:highlight w:val="none"/>
        </w:rPr>
        <w:fldChar w:fldCharType="end"/>
      </w:r>
    </w:p>
    <w:p w14:paraId="6B4D55EB">
      <w:pPr>
        <w:pStyle w:val="33"/>
        <w:tabs>
          <w:tab w:val="right" w:leader="dot" w:pos="9800"/>
          <w:tab w:val="clear" w:pos="1260"/>
          <w:tab w:val="clear" w:pos="9218"/>
        </w:tabs>
        <w:rPr>
          <w:color w:val="auto"/>
          <w:highlight w:val="none"/>
        </w:rPr>
      </w:pPr>
      <w:r>
        <w:rPr>
          <w:color w:val="auto"/>
          <w:highlight w:val="none"/>
        </w:rPr>
        <w:fldChar w:fldCharType="begin"/>
      </w:r>
      <w:r>
        <w:rPr>
          <w:color w:val="auto"/>
          <w:highlight w:val="none"/>
        </w:rPr>
        <w:instrText xml:space="preserve"> HYPERLINK \l "_Toc15393" </w:instrText>
      </w:r>
      <w:r>
        <w:rPr>
          <w:color w:val="auto"/>
          <w:highlight w:val="none"/>
        </w:rPr>
        <w:fldChar w:fldCharType="separate"/>
      </w:r>
      <w:r>
        <w:rPr>
          <w:rFonts w:hint="eastAsia"/>
          <w:color w:val="auto"/>
          <w:highlight w:val="none"/>
        </w:rPr>
        <w:t>（三）具有良好的商业信誉和健全的财务会计制度</w:t>
      </w:r>
      <w:r>
        <w:rPr>
          <w:color w:val="auto"/>
          <w:highlight w:val="none"/>
        </w:rPr>
        <w:tab/>
      </w:r>
      <w:r>
        <w:rPr>
          <w:color w:val="auto"/>
          <w:highlight w:val="none"/>
        </w:rPr>
        <w:fldChar w:fldCharType="begin"/>
      </w:r>
      <w:r>
        <w:rPr>
          <w:color w:val="auto"/>
          <w:highlight w:val="none"/>
        </w:rPr>
        <w:instrText xml:space="preserve"> PAGEREF _Toc15393 \h </w:instrText>
      </w:r>
      <w:r>
        <w:rPr>
          <w:color w:val="auto"/>
          <w:highlight w:val="none"/>
        </w:rPr>
        <w:fldChar w:fldCharType="separate"/>
      </w:r>
      <w:r>
        <w:rPr>
          <w:color w:val="auto"/>
          <w:highlight w:val="none"/>
        </w:rPr>
        <w:t>42</w:t>
      </w:r>
      <w:r>
        <w:rPr>
          <w:color w:val="auto"/>
          <w:highlight w:val="none"/>
        </w:rPr>
        <w:fldChar w:fldCharType="end"/>
      </w:r>
      <w:r>
        <w:rPr>
          <w:color w:val="auto"/>
          <w:highlight w:val="none"/>
        </w:rPr>
        <w:fldChar w:fldCharType="end"/>
      </w:r>
    </w:p>
    <w:p w14:paraId="4574EF57">
      <w:pPr>
        <w:pStyle w:val="33"/>
        <w:tabs>
          <w:tab w:val="right" w:leader="dot" w:pos="9800"/>
          <w:tab w:val="clear" w:pos="1260"/>
          <w:tab w:val="clear" w:pos="9218"/>
        </w:tabs>
        <w:rPr>
          <w:color w:val="auto"/>
          <w:highlight w:val="none"/>
        </w:rPr>
      </w:pPr>
      <w:r>
        <w:rPr>
          <w:color w:val="auto"/>
          <w:highlight w:val="none"/>
        </w:rPr>
        <w:fldChar w:fldCharType="begin"/>
      </w:r>
      <w:r>
        <w:rPr>
          <w:color w:val="auto"/>
          <w:highlight w:val="none"/>
        </w:rPr>
        <w:instrText xml:space="preserve"> HYPERLINK \l "_Toc19108" </w:instrText>
      </w:r>
      <w:r>
        <w:rPr>
          <w:color w:val="auto"/>
          <w:highlight w:val="none"/>
        </w:rPr>
        <w:fldChar w:fldCharType="separate"/>
      </w:r>
      <w:r>
        <w:rPr>
          <w:rFonts w:hint="eastAsia"/>
          <w:color w:val="auto"/>
          <w:highlight w:val="none"/>
        </w:rPr>
        <w:t>（四）具备履行合同所必需的产品和专业技术能力</w:t>
      </w:r>
      <w:r>
        <w:rPr>
          <w:color w:val="auto"/>
          <w:highlight w:val="none"/>
        </w:rPr>
        <w:tab/>
      </w:r>
      <w:r>
        <w:rPr>
          <w:color w:val="auto"/>
          <w:highlight w:val="none"/>
        </w:rPr>
        <w:fldChar w:fldCharType="begin"/>
      </w:r>
      <w:r>
        <w:rPr>
          <w:color w:val="auto"/>
          <w:highlight w:val="none"/>
        </w:rPr>
        <w:instrText xml:space="preserve"> PAGEREF _Toc19108 \h </w:instrText>
      </w:r>
      <w:r>
        <w:rPr>
          <w:color w:val="auto"/>
          <w:highlight w:val="none"/>
        </w:rPr>
        <w:fldChar w:fldCharType="separate"/>
      </w:r>
      <w:r>
        <w:rPr>
          <w:color w:val="auto"/>
          <w:highlight w:val="none"/>
        </w:rPr>
        <w:t>43</w:t>
      </w:r>
      <w:r>
        <w:rPr>
          <w:color w:val="auto"/>
          <w:highlight w:val="none"/>
        </w:rPr>
        <w:fldChar w:fldCharType="end"/>
      </w:r>
      <w:r>
        <w:rPr>
          <w:color w:val="auto"/>
          <w:highlight w:val="none"/>
        </w:rPr>
        <w:fldChar w:fldCharType="end"/>
      </w:r>
    </w:p>
    <w:p w14:paraId="6F5B7C51">
      <w:pPr>
        <w:pStyle w:val="33"/>
        <w:tabs>
          <w:tab w:val="right" w:leader="dot" w:pos="9800"/>
          <w:tab w:val="clear" w:pos="1260"/>
          <w:tab w:val="clear" w:pos="9218"/>
        </w:tabs>
        <w:rPr>
          <w:color w:val="auto"/>
          <w:highlight w:val="none"/>
        </w:rPr>
      </w:pPr>
      <w:r>
        <w:rPr>
          <w:color w:val="auto"/>
          <w:highlight w:val="none"/>
        </w:rPr>
        <w:fldChar w:fldCharType="begin"/>
      </w:r>
      <w:r>
        <w:rPr>
          <w:color w:val="auto"/>
          <w:highlight w:val="none"/>
        </w:rPr>
        <w:instrText xml:space="preserve"> HYPERLINK \l "_Toc30999" </w:instrText>
      </w:r>
      <w:r>
        <w:rPr>
          <w:color w:val="auto"/>
          <w:highlight w:val="none"/>
        </w:rPr>
        <w:fldChar w:fldCharType="separate"/>
      </w:r>
      <w:r>
        <w:rPr>
          <w:rFonts w:hint="eastAsia"/>
          <w:color w:val="auto"/>
          <w:highlight w:val="none"/>
        </w:rPr>
        <w:t>（五）有依法缴纳税收和社会保障资金的良好记录</w:t>
      </w:r>
      <w:r>
        <w:rPr>
          <w:color w:val="auto"/>
          <w:highlight w:val="none"/>
        </w:rPr>
        <w:tab/>
      </w:r>
      <w:r>
        <w:rPr>
          <w:color w:val="auto"/>
          <w:highlight w:val="none"/>
        </w:rPr>
        <w:fldChar w:fldCharType="begin"/>
      </w:r>
      <w:r>
        <w:rPr>
          <w:color w:val="auto"/>
          <w:highlight w:val="none"/>
        </w:rPr>
        <w:instrText xml:space="preserve"> PAGEREF _Toc30999 \h </w:instrText>
      </w:r>
      <w:r>
        <w:rPr>
          <w:color w:val="auto"/>
          <w:highlight w:val="none"/>
        </w:rPr>
        <w:fldChar w:fldCharType="separate"/>
      </w:r>
      <w:r>
        <w:rPr>
          <w:color w:val="auto"/>
          <w:highlight w:val="none"/>
        </w:rPr>
        <w:t>44</w:t>
      </w:r>
      <w:r>
        <w:rPr>
          <w:color w:val="auto"/>
          <w:highlight w:val="none"/>
        </w:rPr>
        <w:fldChar w:fldCharType="end"/>
      </w:r>
      <w:r>
        <w:rPr>
          <w:color w:val="auto"/>
          <w:highlight w:val="none"/>
        </w:rPr>
        <w:fldChar w:fldCharType="end"/>
      </w:r>
    </w:p>
    <w:p w14:paraId="4DADC396">
      <w:pPr>
        <w:pStyle w:val="33"/>
        <w:tabs>
          <w:tab w:val="right" w:leader="dot" w:pos="9800"/>
          <w:tab w:val="clear" w:pos="1260"/>
          <w:tab w:val="clear" w:pos="9218"/>
        </w:tabs>
        <w:rPr>
          <w:color w:val="auto"/>
          <w:highlight w:val="none"/>
        </w:rPr>
      </w:pPr>
      <w:r>
        <w:rPr>
          <w:color w:val="auto"/>
          <w:highlight w:val="none"/>
        </w:rPr>
        <w:fldChar w:fldCharType="begin"/>
      </w:r>
      <w:r>
        <w:rPr>
          <w:color w:val="auto"/>
          <w:highlight w:val="none"/>
        </w:rPr>
        <w:instrText xml:space="preserve"> HYPERLINK \l "_Toc11708" </w:instrText>
      </w:r>
      <w:r>
        <w:rPr>
          <w:color w:val="auto"/>
          <w:highlight w:val="none"/>
        </w:rPr>
        <w:fldChar w:fldCharType="separate"/>
      </w:r>
      <w:r>
        <w:rPr>
          <w:rFonts w:hint="eastAsia"/>
          <w:color w:val="auto"/>
          <w:highlight w:val="none"/>
        </w:rPr>
        <w:t>（六）无重大违法声明</w:t>
      </w:r>
      <w:r>
        <w:rPr>
          <w:color w:val="auto"/>
          <w:highlight w:val="none"/>
        </w:rPr>
        <w:tab/>
      </w:r>
      <w:r>
        <w:rPr>
          <w:color w:val="auto"/>
          <w:highlight w:val="none"/>
        </w:rPr>
        <w:fldChar w:fldCharType="begin"/>
      </w:r>
      <w:r>
        <w:rPr>
          <w:color w:val="auto"/>
          <w:highlight w:val="none"/>
        </w:rPr>
        <w:instrText xml:space="preserve"> PAGEREF _Toc11708 \h </w:instrText>
      </w:r>
      <w:r>
        <w:rPr>
          <w:color w:val="auto"/>
          <w:highlight w:val="none"/>
        </w:rPr>
        <w:fldChar w:fldCharType="separate"/>
      </w:r>
      <w:r>
        <w:rPr>
          <w:color w:val="auto"/>
          <w:highlight w:val="none"/>
        </w:rPr>
        <w:t>45</w:t>
      </w:r>
      <w:r>
        <w:rPr>
          <w:color w:val="auto"/>
          <w:highlight w:val="none"/>
        </w:rPr>
        <w:fldChar w:fldCharType="end"/>
      </w:r>
      <w:r>
        <w:rPr>
          <w:color w:val="auto"/>
          <w:highlight w:val="none"/>
        </w:rPr>
        <w:fldChar w:fldCharType="end"/>
      </w:r>
    </w:p>
    <w:p w14:paraId="30681335">
      <w:pPr>
        <w:pStyle w:val="33"/>
        <w:tabs>
          <w:tab w:val="right" w:leader="dot" w:pos="9800"/>
          <w:tab w:val="clear" w:pos="1260"/>
          <w:tab w:val="clear" w:pos="9218"/>
        </w:tabs>
        <w:rPr>
          <w:color w:val="auto"/>
          <w:highlight w:val="none"/>
        </w:rPr>
      </w:pPr>
      <w:r>
        <w:rPr>
          <w:color w:val="auto"/>
          <w:highlight w:val="none"/>
        </w:rPr>
        <w:fldChar w:fldCharType="begin"/>
      </w:r>
      <w:r>
        <w:rPr>
          <w:color w:val="auto"/>
          <w:highlight w:val="none"/>
        </w:rPr>
        <w:instrText xml:space="preserve"> HYPERLINK \l "_Toc9725" </w:instrText>
      </w:r>
      <w:r>
        <w:rPr>
          <w:color w:val="auto"/>
          <w:highlight w:val="none"/>
        </w:rPr>
        <w:fldChar w:fldCharType="separate"/>
      </w:r>
      <w:r>
        <w:rPr>
          <w:rFonts w:hint="eastAsia"/>
          <w:color w:val="auto"/>
          <w:highlight w:val="none"/>
        </w:rPr>
        <w:t>（七）投标人相关资质要求</w:t>
      </w:r>
      <w:r>
        <w:rPr>
          <w:color w:val="auto"/>
          <w:highlight w:val="none"/>
        </w:rPr>
        <w:tab/>
      </w:r>
      <w:r>
        <w:rPr>
          <w:color w:val="auto"/>
          <w:highlight w:val="none"/>
        </w:rPr>
        <w:fldChar w:fldCharType="begin"/>
      </w:r>
      <w:r>
        <w:rPr>
          <w:color w:val="auto"/>
          <w:highlight w:val="none"/>
        </w:rPr>
        <w:instrText xml:space="preserve"> PAGEREF _Toc9725 \h </w:instrText>
      </w:r>
      <w:r>
        <w:rPr>
          <w:color w:val="auto"/>
          <w:highlight w:val="none"/>
        </w:rPr>
        <w:fldChar w:fldCharType="separate"/>
      </w:r>
      <w:r>
        <w:rPr>
          <w:color w:val="auto"/>
          <w:highlight w:val="none"/>
        </w:rPr>
        <w:t>46</w:t>
      </w:r>
      <w:r>
        <w:rPr>
          <w:color w:val="auto"/>
          <w:highlight w:val="none"/>
        </w:rPr>
        <w:fldChar w:fldCharType="end"/>
      </w:r>
      <w:r>
        <w:rPr>
          <w:color w:val="auto"/>
          <w:highlight w:val="none"/>
        </w:rPr>
        <w:fldChar w:fldCharType="end"/>
      </w:r>
    </w:p>
    <w:p w14:paraId="3567936E">
      <w:pPr>
        <w:pStyle w:val="33"/>
        <w:tabs>
          <w:tab w:val="right" w:leader="dot" w:pos="9800"/>
          <w:tab w:val="clear" w:pos="1260"/>
          <w:tab w:val="clear" w:pos="9218"/>
        </w:tabs>
        <w:rPr>
          <w:color w:val="auto"/>
          <w:highlight w:val="none"/>
        </w:rPr>
      </w:pPr>
      <w:r>
        <w:rPr>
          <w:color w:val="auto"/>
          <w:highlight w:val="none"/>
        </w:rPr>
        <w:fldChar w:fldCharType="begin"/>
      </w:r>
      <w:r>
        <w:rPr>
          <w:color w:val="auto"/>
          <w:highlight w:val="none"/>
        </w:rPr>
        <w:instrText xml:space="preserve"> HYPERLINK \l "_Toc14361" </w:instrText>
      </w:r>
      <w:r>
        <w:rPr>
          <w:color w:val="auto"/>
          <w:highlight w:val="none"/>
        </w:rPr>
        <w:fldChar w:fldCharType="separate"/>
      </w:r>
      <w:r>
        <w:rPr>
          <w:rFonts w:hint="eastAsia"/>
          <w:color w:val="auto"/>
          <w:highlight w:val="none"/>
        </w:rPr>
        <w:t>（八）《中小企业声明函》或《残疾人福利性单位声明函》或《监狱企业声明函》（如有）</w:t>
      </w:r>
      <w:r>
        <w:rPr>
          <w:color w:val="auto"/>
          <w:highlight w:val="none"/>
        </w:rPr>
        <w:tab/>
      </w:r>
      <w:r>
        <w:rPr>
          <w:color w:val="auto"/>
          <w:highlight w:val="none"/>
        </w:rPr>
        <w:fldChar w:fldCharType="begin"/>
      </w:r>
      <w:r>
        <w:rPr>
          <w:color w:val="auto"/>
          <w:highlight w:val="none"/>
        </w:rPr>
        <w:instrText xml:space="preserve"> PAGEREF _Toc14361 \h </w:instrText>
      </w:r>
      <w:r>
        <w:rPr>
          <w:color w:val="auto"/>
          <w:highlight w:val="none"/>
        </w:rPr>
        <w:fldChar w:fldCharType="separate"/>
      </w:r>
      <w:r>
        <w:rPr>
          <w:color w:val="auto"/>
          <w:highlight w:val="none"/>
        </w:rPr>
        <w:t>47</w:t>
      </w:r>
      <w:r>
        <w:rPr>
          <w:color w:val="auto"/>
          <w:highlight w:val="none"/>
        </w:rPr>
        <w:fldChar w:fldCharType="end"/>
      </w:r>
      <w:r>
        <w:rPr>
          <w:color w:val="auto"/>
          <w:highlight w:val="none"/>
        </w:rPr>
        <w:fldChar w:fldCharType="end"/>
      </w:r>
    </w:p>
    <w:p w14:paraId="08AAB095">
      <w:pPr>
        <w:pStyle w:val="33"/>
        <w:tabs>
          <w:tab w:val="right" w:leader="dot" w:pos="9800"/>
          <w:tab w:val="clear" w:pos="1260"/>
          <w:tab w:val="clear" w:pos="9218"/>
        </w:tabs>
        <w:rPr>
          <w:color w:val="auto"/>
          <w:highlight w:val="none"/>
        </w:rPr>
      </w:pPr>
      <w:r>
        <w:rPr>
          <w:color w:val="auto"/>
          <w:highlight w:val="none"/>
        </w:rPr>
        <w:fldChar w:fldCharType="begin"/>
      </w:r>
      <w:r>
        <w:rPr>
          <w:color w:val="auto"/>
          <w:highlight w:val="none"/>
        </w:rPr>
        <w:instrText xml:space="preserve"> HYPERLINK \l "_Toc6364" </w:instrText>
      </w:r>
      <w:r>
        <w:rPr>
          <w:color w:val="auto"/>
          <w:highlight w:val="none"/>
        </w:rPr>
        <w:fldChar w:fldCharType="separate"/>
      </w:r>
      <w:r>
        <w:rPr>
          <w:rFonts w:hint="eastAsia"/>
          <w:color w:val="auto"/>
          <w:highlight w:val="none"/>
        </w:rPr>
        <w:t>（九）投标人认为需求提供的其他资格证材料</w:t>
      </w:r>
      <w:r>
        <w:rPr>
          <w:color w:val="auto"/>
          <w:highlight w:val="none"/>
        </w:rPr>
        <w:tab/>
      </w:r>
      <w:r>
        <w:rPr>
          <w:color w:val="auto"/>
          <w:highlight w:val="none"/>
        </w:rPr>
        <w:fldChar w:fldCharType="begin"/>
      </w:r>
      <w:r>
        <w:rPr>
          <w:color w:val="auto"/>
          <w:highlight w:val="none"/>
        </w:rPr>
        <w:instrText xml:space="preserve"> PAGEREF _Toc6364 \h </w:instrText>
      </w:r>
      <w:r>
        <w:rPr>
          <w:color w:val="auto"/>
          <w:highlight w:val="none"/>
        </w:rPr>
        <w:fldChar w:fldCharType="separate"/>
      </w:r>
      <w:r>
        <w:rPr>
          <w:color w:val="auto"/>
          <w:highlight w:val="none"/>
        </w:rPr>
        <w:t>50</w:t>
      </w:r>
      <w:r>
        <w:rPr>
          <w:color w:val="auto"/>
          <w:highlight w:val="none"/>
        </w:rPr>
        <w:fldChar w:fldCharType="end"/>
      </w:r>
      <w:r>
        <w:rPr>
          <w:color w:val="auto"/>
          <w:highlight w:val="none"/>
        </w:rPr>
        <w:fldChar w:fldCharType="end"/>
      </w:r>
    </w:p>
    <w:p w14:paraId="5C87333E">
      <w:pPr>
        <w:pStyle w:val="33"/>
        <w:tabs>
          <w:tab w:val="right" w:leader="dot" w:pos="9800"/>
          <w:tab w:val="clear" w:pos="1260"/>
          <w:tab w:val="clear" w:pos="9218"/>
        </w:tabs>
        <w:rPr>
          <w:color w:val="auto"/>
          <w:highlight w:val="none"/>
        </w:rPr>
      </w:pPr>
      <w:r>
        <w:rPr>
          <w:color w:val="auto"/>
          <w:highlight w:val="none"/>
        </w:rPr>
        <w:fldChar w:fldCharType="begin"/>
      </w:r>
      <w:r>
        <w:rPr>
          <w:color w:val="auto"/>
          <w:highlight w:val="none"/>
        </w:rPr>
        <w:instrText xml:space="preserve"> HYPERLINK \l "_Toc23106" </w:instrText>
      </w:r>
      <w:r>
        <w:rPr>
          <w:color w:val="auto"/>
          <w:highlight w:val="none"/>
        </w:rPr>
        <w:fldChar w:fldCharType="separate"/>
      </w:r>
      <w:r>
        <w:rPr>
          <w:rFonts w:hint="eastAsia"/>
          <w:color w:val="auto"/>
          <w:szCs w:val="36"/>
          <w:highlight w:val="none"/>
        </w:rPr>
        <w:t>二、投标报价部分</w:t>
      </w:r>
      <w:r>
        <w:rPr>
          <w:color w:val="auto"/>
          <w:highlight w:val="none"/>
        </w:rPr>
        <w:tab/>
      </w:r>
      <w:r>
        <w:rPr>
          <w:color w:val="auto"/>
          <w:highlight w:val="none"/>
        </w:rPr>
        <w:fldChar w:fldCharType="begin"/>
      </w:r>
      <w:r>
        <w:rPr>
          <w:color w:val="auto"/>
          <w:highlight w:val="none"/>
        </w:rPr>
        <w:instrText xml:space="preserve"> PAGEREF _Toc23106 \h </w:instrText>
      </w:r>
      <w:r>
        <w:rPr>
          <w:color w:val="auto"/>
          <w:highlight w:val="none"/>
        </w:rPr>
        <w:fldChar w:fldCharType="separate"/>
      </w:r>
      <w:r>
        <w:rPr>
          <w:color w:val="auto"/>
          <w:highlight w:val="none"/>
        </w:rPr>
        <w:t>51</w:t>
      </w:r>
      <w:r>
        <w:rPr>
          <w:color w:val="auto"/>
          <w:highlight w:val="none"/>
        </w:rPr>
        <w:fldChar w:fldCharType="end"/>
      </w:r>
      <w:r>
        <w:rPr>
          <w:color w:val="auto"/>
          <w:highlight w:val="none"/>
        </w:rPr>
        <w:fldChar w:fldCharType="end"/>
      </w:r>
    </w:p>
    <w:p w14:paraId="23748103">
      <w:pPr>
        <w:pStyle w:val="33"/>
        <w:tabs>
          <w:tab w:val="right" w:leader="dot" w:pos="9800"/>
          <w:tab w:val="clear" w:pos="1260"/>
          <w:tab w:val="clear" w:pos="9218"/>
        </w:tabs>
        <w:rPr>
          <w:color w:val="auto"/>
          <w:highlight w:val="none"/>
        </w:rPr>
      </w:pPr>
      <w:r>
        <w:rPr>
          <w:color w:val="auto"/>
          <w:highlight w:val="none"/>
        </w:rPr>
        <w:fldChar w:fldCharType="begin"/>
      </w:r>
      <w:r>
        <w:rPr>
          <w:color w:val="auto"/>
          <w:highlight w:val="none"/>
        </w:rPr>
        <w:instrText xml:space="preserve"> HYPERLINK \l "_Toc12337" </w:instrText>
      </w:r>
      <w:r>
        <w:rPr>
          <w:color w:val="auto"/>
          <w:highlight w:val="none"/>
        </w:rPr>
        <w:fldChar w:fldCharType="separate"/>
      </w:r>
      <w:r>
        <w:rPr>
          <w:rFonts w:hint="eastAsia"/>
          <w:color w:val="auto"/>
          <w:highlight w:val="none"/>
        </w:rPr>
        <w:t>（一）投标函</w:t>
      </w:r>
      <w:r>
        <w:rPr>
          <w:color w:val="auto"/>
          <w:highlight w:val="none"/>
        </w:rPr>
        <w:tab/>
      </w:r>
      <w:r>
        <w:rPr>
          <w:color w:val="auto"/>
          <w:highlight w:val="none"/>
        </w:rPr>
        <w:fldChar w:fldCharType="begin"/>
      </w:r>
      <w:r>
        <w:rPr>
          <w:color w:val="auto"/>
          <w:highlight w:val="none"/>
        </w:rPr>
        <w:instrText xml:space="preserve"> PAGEREF _Toc12337 \h </w:instrText>
      </w:r>
      <w:r>
        <w:rPr>
          <w:color w:val="auto"/>
          <w:highlight w:val="none"/>
        </w:rPr>
        <w:fldChar w:fldCharType="separate"/>
      </w:r>
      <w:r>
        <w:rPr>
          <w:color w:val="auto"/>
          <w:highlight w:val="none"/>
        </w:rPr>
        <w:t>51</w:t>
      </w:r>
      <w:r>
        <w:rPr>
          <w:color w:val="auto"/>
          <w:highlight w:val="none"/>
        </w:rPr>
        <w:fldChar w:fldCharType="end"/>
      </w:r>
      <w:r>
        <w:rPr>
          <w:color w:val="auto"/>
          <w:highlight w:val="none"/>
        </w:rPr>
        <w:fldChar w:fldCharType="end"/>
      </w:r>
    </w:p>
    <w:p w14:paraId="1F03C886">
      <w:pPr>
        <w:pStyle w:val="33"/>
        <w:tabs>
          <w:tab w:val="right" w:leader="dot" w:pos="9800"/>
          <w:tab w:val="clear" w:pos="1260"/>
          <w:tab w:val="clear" w:pos="9218"/>
        </w:tabs>
        <w:rPr>
          <w:color w:val="auto"/>
          <w:highlight w:val="none"/>
        </w:rPr>
      </w:pPr>
      <w:r>
        <w:rPr>
          <w:color w:val="auto"/>
          <w:highlight w:val="none"/>
        </w:rPr>
        <w:fldChar w:fldCharType="begin"/>
      </w:r>
      <w:r>
        <w:rPr>
          <w:color w:val="auto"/>
          <w:highlight w:val="none"/>
        </w:rPr>
        <w:instrText xml:space="preserve"> HYPERLINK \l "_Toc20591" </w:instrText>
      </w:r>
      <w:r>
        <w:rPr>
          <w:color w:val="auto"/>
          <w:highlight w:val="none"/>
        </w:rPr>
        <w:fldChar w:fldCharType="separate"/>
      </w:r>
      <w:r>
        <w:rPr>
          <w:rFonts w:hint="eastAsia"/>
          <w:color w:val="auto"/>
          <w:highlight w:val="none"/>
        </w:rPr>
        <w:t>（二）开标一览表</w:t>
      </w:r>
      <w:r>
        <w:rPr>
          <w:color w:val="auto"/>
          <w:highlight w:val="none"/>
        </w:rPr>
        <w:tab/>
      </w:r>
      <w:r>
        <w:rPr>
          <w:color w:val="auto"/>
          <w:highlight w:val="none"/>
        </w:rPr>
        <w:fldChar w:fldCharType="begin"/>
      </w:r>
      <w:r>
        <w:rPr>
          <w:color w:val="auto"/>
          <w:highlight w:val="none"/>
        </w:rPr>
        <w:instrText xml:space="preserve"> PAGEREF _Toc20591 \h </w:instrText>
      </w:r>
      <w:r>
        <w:rPr>
          <w:color w:val="auto"/>
          <w:highlight w:val="none"/>
        </w:rPr>
        <w:fldChar w:fldCharType="separate"/>
      </w:r>
      <w:r>
        <w:rPr>
          <w:color w:val="auto"/>
          <w:highlight w:val="none"/>
        </w:rPr>
        <w:t>52</w:t>
      </w:r>
      <w:r>
        <w:rPr>
          <w:color w:val="auto"/>
          <w:highlight w:val="none"/>
        </w:rPr>
        <w:fldChar w:fldCharType="end"/>
      </w:r>
      <w:r>
        <w:rPr>
          <w:color w:val="auto"/>
          <w:highlight w:val="none"/>
        </w:rPr>
        <w:fldChar w:fldCharType="end"/>
      </w:r>
    </w:p>
    <w:p w14:paraId="135FB5BB">
      <w:pPr>
        <w:pStyle w:val="33"/>
        <w:tabs>
          <w:tab w:val="right" w:leader="dot" w:pos="9800"/>
          <w:tab w:val="clear" w:pos="1260"/>
          <w:tab w:val="clear" w:pos="9218"/>
        </w:tabs>
        <w:rPr>
          <w:color w:val="auto"/>
          <w:highlight w:val="none"/>
        </w:rPr>
      </w:pPr>
      <w:r>
        <w:rPr>
          <w:color w:val="auto"/>
          <w:highlight w:val="none"/>
        </w:rPr>
        <w:fldChar w:fldCharType="begin"/>
      </w:r>
      <w:r>
        <w:rPr>
          <w:color w:val="auto"/>
          <w:highlight w:val="none"/>
        </w:rPr>
        <w:instrText xml:space="preserve"> HYPERLINK \l "_Toc30786" </w:instrText>
      </w:r>
      <w:r>
        <w:rPr>
          <w:color w:val="auto"/>
          <w:highlight w:val="none"/>
        </w:rPr>
        <w:fldChar w:fldCharType="separate"/>
      </w:r>
      <w:r>
        <w:rPr>
          <w:rFonts w:hint="eastAsia"/>
          <w:color w:val="auto"/>
          <w:highlight w:val="none"/>
        </w:rPr>
        <w:t>（三）投标报价详细说明</w:t>
      </w:r>
      <w:r>
        <w:rPr>
          <w:color w:val="auto"/>
          <w:highlight w:val="none"/>
        </w:rPr>
        <w:tab/>
      </w:r>
      <w:r>
        <w:rPr>
          <w:color w:val="auto"/>
          <w:highlight w:val="none"/>
        </w:rPr>
        <w:fldChar w:fldCharType="begin"/>
      </w:r>
      <w:r>
        <w:rPr>
          <w:color w:val="auto"/>
          <w:highlight w:val="none"/>
        </w:rPr>
        <w:instrText xml:space="preserve"> PAGEREF _Toc30786 \h </w:instrText>
      </w:r>
      <w:r>
        <w:rPr>
          <w:color w:val="auto"/>
          <w:highlight w:val="none"/>
        </w:rPr>
        <w:fldChar w:fldCharType="separate"/>
      </w:r>
      <w:r>
        <w:rPr>
          <w:color w:val="auto"/>
          <w:highlight w:val="none"/>
        </w:rPr>
        <w:t>53</w:t>
      </w:r>
      <w:r>
        <w:rPr>
          <w:color w:val="auto"/>
          <w:highlight w:val="none"/>
        </w:rPr>
        <w:fldChar w:fldCharType="end"/>
      </w:r>
      <w:r>
        <w:rPr>
          <w:color w:val="auto"/>
          <w:highlight w:val="none"/>
        </w:rPr>
        <w:fldChar w:fldCharType="end"/>
      </w:r>
    </w:p>
    <w:p w14:paraId="378B30EB">
      <w:pPr>
        <w:pStyle w:val="33"/>
        <w:tabs>
          <w:tab w:val="right" w:leader="dot" w:pos="9800"/>
          <w:tab w:val="clear" w:pos="1260"/>
          <w:tab w:val="clear" w:pos="9218"/>
        </w:tabs>
        <w:rPr>
          <w:color w:val="auto"/>
          <w:highlight w:val="none"/>
        </w:rPr>
      </w:pPr>
      <w:r>
        <w:rPr>
          <w:color w:val="auto"/>
          <w:highlight w:val="none"/>
        </w:rPr>
        <w:fldChar w:fldCharType="begin"/>
      </w:r>
      <w:r>
        <w:rPr>
          <w:color w:val="auto"/>
          <w:highlight w:val="none"/>
        </w:rPr>
        <w:instrText xml:space="preserve"> HYPERLINK \l "_Toc23317" </w:instrText>
      </w:r>
      <w:r>
        <w:rPr>
          <w:color w:val="auto"/>
          <w:highlight w:val="none"/>
        </w:rPr>
        <w:fldChar w:fldCharType="separate"/>
      </w:r>
      <w:r>
        <w:rPr>
          <w:rFonts w:hint="eastAsia"/>
          <w:color w:val="auto"/>
          <w:highlight w:val="none"/>
        </w:rPr>
        <w:t>（四）投标人认为需要提供的其他投标报价相关文件</w:t>
      </w:r>
      <w:r>
        <w:rPr>
          <w:color w:val="auto"/>
          <w:highlight w:val="none"/>
        </w:rPr>
        <w:tab/>
      </w:r>
      <w:r>
        <w:rPr>
          <w:color w:val="auto"/>
          <w:highlight w:val="none"/>
        </w:rPr>
        <w:fldChar w:fldCharType="begin"/>
      </w:r>
      <w:r>
        <w:rPr>
          <w:color w:val="auto"/>
          <w:highlight w:val="none"/>
        </w:rPr>
        <w:instrText xml:space="preserve"> PAGEREF _Toc23317 \h </w:instrText>
      </w:r>
      <w:r>
        <w:rPr>
          <w:color w:val="auto"/>
          <w:highlight w:val="none"/>
        </w:rPr>
        <w:fldChar w:fldCharType="separate"/>
      </w:r>
      <w:r>
        <w:rPr>
          <w:color w:val="auto"/>
          <w:highlight w:val="none"/>
        </w:rPr>
        <w:t>54</w:t>
      </w:r>
      <w:r>
        <w:rPr>
          <w:color w:val="auto"/>
          <w:highlight w:val="none"/>
        </w:rPr>
        <w:fldChar w:fldCharType="end"/>
      </w:r>
      <w:r>
        <w:rPr>
          <w:color w:val="auto"/>
          <w:highlight w:val="none"/>
        </w:rPr>
        <w:fldChar w:fldCharType="end"/>
      </w:r>
    </w:p>
    <w:p w14:paraId="1E573B79">
      <w:pPr>
        <w:pStyle w:val="33"/>
        <w:tabs>
          <w:tab w:val="right" w:leader="dot" w:pos="9800"/>
          <w:tab w:val="clear" w:pos="1260"/>
          <w:tab w:val="clear" w:pos="9218"/>
        </w:tabs>
        <w:rPr>
          <w:color w:val="auto"/>
          <w:highlight w:val="none"/>
        </w:rPr>
      </w:pPr>
      <w:r>
        <w:rPr>
          <w:color w:val="auto"/>
          <w:highlight w:val="none"/>
        </w:rPr>
        <w:fldChar w:fldCharType="begin"/>
      </w:r>
      <w:r>
        <w:rPr>
          <w:color w:val="auto"/>
          <w:highlight w:val="none"/>
        </w:rPr>
        <w:instrText xml:space="preserve"> HYPERLINK \l "_Toc2025" </w:instrText>
      </w:r>
      <w:r>
        <w:rPr>
          <w:color w:val="auto"/>
          <w:highlight w:val="none"/>
        </w:rPr>
        <w:fldChar w:fldCharType="separate"/>
      </w:r>
      <w:r>
        <w:rPr>
          <w:rFonts w:hint="eastAsia"/>
          <w:color w:val="auto"/>
          <w:szCs w:val="36"/>
          <w:highlight w:val="none"/>
        </w:rPr>
        <w:t>三、商务及技术部分</w:t>
      </w:r>
      <w:r>
        <w:rPr>
          <w:color w:val="auto"/>
          <w:highlight w:val="none"/>
        </w:rPr>
        <w:tab/>
      </w:r>
      <w:r>
        <w:rPr>
          <w:color w:val="auto"/>
          <w:highlight w:val="none"/>
        </w:rPr>
        <w:fldChar w:fldCharType="begin"/>
      </w:r>
      <w:r>
        <w:rPr>
          <w:color w:val="auto"/>
          <w:highlight w:val="none"/>
        </w:rPr>
        <w:instrText xml:space="preserve"> PAGEREF _Toc2025 \h </w:instrText>
      </w:r>
      <w:r>
        <w:rPr>
          <w:color w:val="auto"/>
          <w:highlight w:val="none"/>
        </w:rPr>
        <w:fldChar w:fldCharType="separate"/>
      </w:r>
      <w:r>
        <w:rPr>
          <w:color w:val="auto"/>
          <w:highlight w:val="none"/>
        </w:rPr>
        <w:t>55</w:t>
      </w:r>
      <w:r>
        <w:rPr>
          <w:color w:val="auto"/>
          <w:highlight w:val="none"/>
        </w:rPr>
        <w:fldChar w:fldCharType="end"/>
      </w:r>
      <w:r>
        <w:rPr>
          <w:color w:val="auto"/>
          <w:highlight w:val="none"/>
        </w:rPr>
        <w:fldChar w:fldCharType="end"/>
      </w:r>
    </w:p>
    <w:p w14:paraId="05578B22">
      <w:pPr>
        <w:pStyle w:val="33"/>
        <w:tabs>
          <w:tab w:val="right" w:leader="dot" w:pos="9800"/>
          <w:tab w:val="clear" w:pos="1260"/>
          <w:tab w:val="clear" w:pos="9218"/>
        </w:tabs>
        <w:rPr>
          <w:color w:val="auto"/>
          <w:highlight w:val="none"/>
        </w:rPr>
      </w:pPr>
      <w:r>
        <w:rPr>
          <w:color w:val="auto"/>
          <w:highlight w:val="none"/>
        </w:rPr>
        <w:fldChar w:fldCharType="begin"/>
      </w:r>
      <w:r>
        <w:rPr>
          <w:color w:val="auto"/>
          <w:highlight w:val="none"/>
        </w:rPr>
        <w:instrText xml:space="preserve"> HYPERLINK \l "_Toc5363" </w:instrText>
      </w:r>
      <w:r>
        <w:rPr>
          <w:color w:val="auto"/>
          <w:highlight w:val="none"/>
        </w:rPr>
        <w:fldChar w:fldCharType="separate"/>
      </w:r>
      <w:r>
        <w:rPr>
          <w:rFonts w:hint="eastAsia"/>
          <w:color w:val="auto"/>
          <w:highlight w:val="none"/>
        </w:rPr>
        <w:t>（一）商务条款偏离表</w:t>
      </w:r>
      <w:r>
        <w:rPr>
          <w:color w:val="auto"/>
          <w:highlight w:val="none"/>
        </w:rPr>
        <w:tab/>
      </w:r>
      <w:r>
        <w:rPr>
          <w:color w:val="auto"/>
          <w:highlight w:val="none"/>
        </w:rPr>
        <w:fldChar w:fldCharType="begin"/>
      </w:r>
      <w:r>
        <w:rPr>
          <w:color w:val="auto"/>
          <w:highlight w:val="none"/>
        </w:rPr>
        <w:instrText xml:space="preserve"> PAGEREF _Toc5363 \h </w:instrText>
      </w:r>
      <w:r>
        <w:rPr>
          <w:color w:val="auto"/>
          <w:highlight w:val="none"/>
        </w:rPr>
        <w:fldChar w:fldCharType="separate"/>
      </w:r>
      <w:r>
        <w:rPr>
          <w:color w:val="auto"/>
          <w:highlight w:val="none"/>
        </w:rPr>
        <w:t>55</w:t>
      </w:r>
      <w:r>
        <w:rPr>
          <w:color w:val="auto"/>
          <w:highlight w:val="none"/>
        </w:rPr>
        <w:fldChar w:fldCharType="end"/>
      </w:r>
      <w:r>
        <w:rPr>
          <w:color w:val="auto"/>
          <w:highlight w:val="none"/>
        </w:rPr>
        <w:fldChar w:fldCharType="end"/>
      </w:r>
    </w:p>
    <w:p w14:paraId="1D9DFA3B">
      <w:pPr>
        <w:pStyle w:val="33"/>
        <w:tabs>
          <w:tab w:val="right" w:leader="dot" w:pos="9800"/>
          <w:tab w:val="clear" w:pos="1260"/>
          <w:tab w:val="clear" w:pos="9218"/>
        </w:tabs>
        <w:rPr>
          <w:color w:val="auto"/>
          <w:highlight w:val="none"/>
        </w:rPr>
      </w:pPr>
      <w:r>
        <w:rPr>
          <w:color w:val="auto"/>
          <w:highlight w:val="none"/>
        </w:rPr>
        <w:fldChar w:fldCharType="begin"/>
      </w:r>
      <w:r>
        <w:rPr>
          <w:color w:val="auto"/>
          <w:highlight w:val="none"/>
        </w:rPr>
        <w:instrText xml:space="preserve"> HYPERLINK \l "_Toc14580" </w:instrText>
      </w:r>
      <w:r>
        <w:rPr>
          <w:color w:val="auto"/>
          <w:highlight w:val="none"/>
        </w:rPr>
        <w:fldChar w:fldCharType="separate"/>
      </w:r>
      <w:r>
        <w:rPr>
          <w:rFonts w:hint="eastAsia"/>
          <w:color w:val="auto"/>
          <w:highlight w:val="none"/>
        </w:rPr>
        <w:t>（二）投标产品介绍</w:t>
      </w:r>
      <w:r>
        <w:rPr>
          <w:color w:val="auto"/>
          <w:highlight w:val="none"/>
        </w:rPr>
        <w:tab/>
      </w:r>
      <w:r>
        <w:rPr>
          <w:color w:val="auto"/>
          <w:highlight w:val="none"/>
        </w:rPr>
        <w:fldChar w:fldCharType="begin"/>
      </w:r>
      <w:r>
        <w:rPr>
          <w:color w:val="auto"/>
          <w:highlight w:val="none"/>
        </w:rPr>
        <w:instrText xml:space="preserve"> PAGEREF _Toc14580 \h </w:instrText>
      </w:r>
      <w:r>
        <w:rPr>
          <w:color w:val="auto"/>
          <w:highlight w:val="none"/>
        </w:rPr>
        <w:fldChar w:fldCharType="separate"/>
      </w:r>
      <w:r>
        <w:rPr>
          <w:color w:val="auto"/>
          <w:highlight w:val="none"/>
        </w:rPr>
        <w:t>56</w:t>
      </w:r>
      <w:r>
        <w:rPr>
          <w:color w:val="auto"/>
          <w:highlight w:val="none"/>
        </w:rPr>
        <w:fldChar w:fldCharType="end"/>
      </w:r>
      <w:r>
        <w:rPr>
          <w:color w:val="auto"/>
          <w:highlight w:val="none"/>
        </w:rPr>
        <w:fldChar w:fldCharType="end"/>
      </w:r>
    </w:p>
    <w:p w14:paraId="3CADC54A">
      <w:pPr>
        <w:pStyle w:val="33"/>
        <w:tabs>
          <w:tab w:val="right" w:leader="dot" w:pos="9800"/>
          <w:tab w:val="clear" w:pos="1260"/>
          <w:tab w:val="clear" w:pos="9218"/>
        </w:tabs>
        <w:rPr>
          <w:color w:val="auto"/>
          <w:highlight w:val="none"/>
        </w:rPr>
      </w:pPr>
      <w:r>
        <w:rPr>
          <w:color w:val="auto"/>
          <w:highlight w:val="none"/>
        </w:rPr>
        <w:fldChar w:fldCharType="begin"/>
      </w:r>
      <w:r>
        <w:rPr>
          <w:color w:val="auto"/>
          <w:highlight w:val="none"/>
        </w:rPr>
        <w:instrText xml:space="preserve"> HYPERLINK \l "_Toc6787" </w:instrText>
      </w:r>
      <w:r>
        <w:rPr>
          <w:color w:val="auto"/>
          <w:highlight w:val="none"/>
        </w:rPr>
        <w:fldChar w:fldCharType="separate"/>
      </w:r>
      <w:r>
        <w:rPr>
          <w:rFonts w:hint="eastAsia"/>
          <w:color w:val="auto"/>
          <w:highlight w:val="none"/>
        </w:rPr>
        <w:t>（三）技术偏离表</w:t>
      </w:r>
      <w:r>
        <w:rPr>
          <w:color w:val="auto"/>
          <w:highlight w:val="none"/>
        </w:rPr>
        <w:tab/>
      </w:r>
      <w:r>
        <w:rPr>
          <w:color w:val="auto"/>
          <w:highlight w:val="none"/>
        </w:rPr>
        <w:fldChar w:fldCharType="begin"/>
      </w:r>
      <w:r>
        <w:rPr>
          <w:color w:val="auto"/>
          <w:highlight w:val="none"/>
        </w:rPr>
        <w:instrText xml:space="preserve"> PAGEREF _Toc6787 \h </w:instrText>
      </w:r>
      <w:r>
        <w:rPr>
          <w:color w:val="auto"/>
          <w:highlight w:val="none"/>
        </w:rPr>
        <w:fldChar w:fldCharType="separate"/>
      </w:r>
      <w:r>
        <w:rPr>
          <w:color w:val="auto"/>
          <w:highlight w:val="none"/>
        </w:rPr>
        <w:t>57</w:t>
      </w:r>
      <w:r>
        <w:rPr>
          <w:color w:val="auto"/>
          <w:highlight w:val="none"/>
        </w:rPr>
        <w:fldChar w:fldCharType="end"/>
      </w:r>
      <w:r>
        <w:rPr>
          <w:color w:val="auto"/>
          <w:highlight w:val="none"/>
        </w:rPr>
        <w:fldChar w:fldCharType="end"/>
      </w:r>
    </w:p>
    <w:p w14:paraId="153D9890">
      <w:pPr>
        <w:pStyle w:val="33"/>
        <w:tabs>
          <w:tab w:val="right" w:leader="dot" w:pos="9800"/>
          <w:tab w:val="clear" w:pos="1260"/>
          <w:tab w:val="clear" w:pos="9218"/>
        </w:tabs>
        <w:rPr>
          <w:color w:val="auto"/>
          <w:highlight w:val="none"/>
        </w:rPr>
      </w:pPr>
      <w:r>
        <w:rPr>
          <w:color w:val="auto"/>
          <w:highlight w:val="none"/>
        </w:rPr>
        <w:fldChar w:fldCharType="begin"/>
      </w:r>
      <w:r>
        <w:rPr>
          <w:color w:val="auto"/>
          <w:highlight w:val="none"/>
        </w:rPr>
        <w:instrText xml:space="preserve"> HYPERLINK \l "_Toc16461" </w:instrText>
      </w:r>
      <w:r>
        <w:rPr>
          <w:color w:val="auto"/>
          <w:highlight w:val="none"/>
        </w:rPr>
        <w:fldChar w:fldCharType="separate"/>
      </w:r>
      <w:r>
        <w:rPr>
          <w:rFonts w:hint="eastAsia"/>
          <w:color w:val="auto"/>
          <w:highlight w:val="none"/>
        </w:rPr>
        <w:t>（四）本次采购的加油站流量数据采集系统部署到本地云资源池的情况介绍</w:t>
      </w:r>
      <w:r>
        <w:rPr>
          <w:color w:val="auto"/>
          <w:highlight w:val="none"/>
        </w:rPr>
        <w:tab/>
      </w:r>
      <w:r>
        <w:rPr>
          <w:color w:val="auto"/>
          <w:highlight w:val="none"/>
        </w:rPr>
        <w:fldChar w:fldCharType="begin"/>
      </w:r>
      <w:r>
        <w:rPr>
          <w:color w:val="auto"/>
          <w:highlight w:val="none"/>
        </w:rPr>
        <w:instrText xml:space="preserve"> PAGEREF _Toc16461 \h </w:instrText>
      </w:r>
      <w:r>
        <w:rPr>
          <w:color w:val="auto"/>
          <w:highlight w:val="none"/>
        </w:rPr>
        <w:fldChar w:fldCharType="separate"/>
      </w:r>
      <w:r>
        <w:rPr>
          <w:color w:val="auto"/>
          <w:highlight w:val="none"/>
        </w:rPr>
        <w:t>58</w:t>
      </w:r>
      <w:r>
        <w:rPr>
          <w:color w:val="auto"/>
          <w:highlight w:val="none"/>
        </w:rPr>
        <w:fldChar w:fldCharType="end"/>
      </w:r>
      <w:r>
        <w:rPr>
          <w:color w:val="auto"/>
          <w:highlight w:val="none"/>
        </w:rPr>
        <w:fldChar w:fldCharType="end"/>
      </w:r>
    </w:p>
    <w:p w14:paraId="53201F5F">
      <w:pPr>
        <w:pStyle w:val="33"/>
        <w:tabs>
          <w:tab w:val="right" w:leader="dot" w:pos="9800"/>
          <w:tab w:val="clear" w:pos="1260"/>
          <w:tab w:val="clear" w:pos="9218"/>
        </w:tabs>
        <w:rPr>
          <w:color w:val="auto"/>
          <w:highlight w:val="none"/>
        </w:rPr>
      </w:pPr>
      <w:r>
        <w:rPr>
          <w:color w:val="auto"/>
          <w:highlight w:val="none"/>
        </w:rPr>
        <w:fldChar w:fldCharType="begin"/>
      </w:r>
      <w:r>
        <w:rPr>
          <w:color w:val="auto"/>
          <w:highlight w:val="none"/>
        </w:rPr>
        <w:instrText xml:space="preserve"> HYPERLINK \l "_Toc5628" </w:instrText>
      </w:r>
      <w:r>
        <w:rPr>
          <w:color w:val="auto"/>
          <w:highlight w:val="none"/>
        </w:rPr>
        <w:fldChar w:fldCharType="separate"/>
      </w:r>
      <w:r>
        <w:rPr>
          <w:rFonts w:hint="eastAsia"/>
          <w:color w:val="auto"/>
          <w:highlight w:val="none"/>
        </w:rPr>
        <w:t>（五）项目技术服务方案</w:t>
      </w:r>
      <w:r>
        <w:rPr>
          <w:color w:val="auto"/>
          <w:highlight w:val="none"/>
        </w:rPr>
        <w:tab/>
      </w:r>
      <w:r>
        <w:rPr>
          <w:color w:val="auto"/>
          <w:highlight w:val="none"/>
        </w:rPr>
        <w:fldChar w:fldCharType="begin"/>
      </w:r>
      <w:r>
        <w:rPr>
          <w:color w:val="auto"/>
          <w:highlight w:val="none"/>
        </w:rPr>
        <w:instrText xml:space="preserve"> PAGEREF _Toc5628 \h </w:instrText>
      </w:r>
      <w:r>
        <w:rPr>
          <w:color w:val="auto"/>
          <w:highlight w:val="none"/>
        </w:rPr>
        <w:fldChar w:fldCharType="separate"/>
      </w:r>
      <w:r>
        <w:rPr>
          <w:color w:val="auto"/>
          <w:highlight w:val="none"/>
        </w:rPr>
        <w:t>59</w:t>
      </w:r>
      <w:r>
        <w:rPr>
          <w:color w:val="auto"/>
          <w:highlight w:val="none"/>
        </w:rPr>
        <w:fldChar w:fldCharType="end"/>
      </w:r>
      <w:r>
        <w:rPr>
          <w:color w:val="auto"/>
          <w:highlight w:val="none"/>
        </w:rPr>
        <w:fldChar w:fldCharType="end"/>
      </w:r>
    </w:p>
    <w:p w14:paraId="407D579C">
      <w:pPr>
        <w:pStyle w:val="33"/>
        <w:tabs>
          <w:tab w:val="right" w:leader="dot" w:pos="9800"/>
          <w:tab w:val="clear" w:pos="1260"/>
          <w:tab w:val="clear" w:pos="9218"/>
        </w:tabs>
        <w:rPr>
          <w:color w:val="auto"/>
          <w:highlight w:val="none"/>
        </w:rPr>
      </w:pPr>
      <w:r>
        <w:rPr>
          <w:color w:val="auto"/>
          <w:highlight w:val="none"/>
        </w:rPr>
        <w:fldChar w:fldCharType="begin"/>
      </w:r>
      <w:r>
        <w:rPr>
          <w:color w:val="auto"/>
          <w:highlight w:val="none"/>
        </w:rPr>
        <w:instrText xml:space="preserve"> HYPERLINK \l "_Toc3197" </w:instrText>
      </w:r>
      <w:r>
        <w:rPr>
          <w:color w:val="auto"/>
          <w:highlight w:val="none"/>
        </w:rPr>
        <w:fldChar w:fldCharType="separate"/>
      </w:r>
      <w:r>
        <w:rPr>
          <w:rFonts w:hint="eastAsia"/>
          <w:color w:val="auto"/>
          <w:highlight w:val="none"/>
        </w:rPr>
        <w:t>（六）项目技术培训服务方案</w:t>
      </w:r>
      <w:r>
        <w:rPr>
          <w:color w:val="auto"/>
          <w:highlight w:val="none"/>
        </w:rPr>
        <w:tab/>
      </w:r>
      <w:r>
        <w:rPr>
          <w:color w:val="auto"/>
          <w:highlight w:val="none"/>
        </w:rPr>
        <w:fldChar w:fldCharType="begin"/>
      </w:r>
      <w:r>
        <w:rPr>
          <w:color w:val="auto"/>
          <w:highlight w:val="none"/>
        </w:rPr>
        <w:instrText xml:space="preserve"> PAGEREF _Toc3197 \h </w:instrText>
      </w:r>
      <w:r>
        <w:rPr>
          <w:color w:val="auto"/>
          <w:highlight w:val="none"/>
        </w:rPr>
        <w:fldChar w:fldCharType="separate"/>
      </w:r>
      <w:r>
        <w:rPr>
          <w:color w:val="auto"/>
          <w:highlight w:val="none"/>
        </w:rPr>
        <w:t>60</w:t>
      </w:r>
      <w:r>
        <w:rPr>
          <w:color w:val="auto"/>
          <w:highlight w:val="none"/>
        </w:rPr>
        <w:fldChar w:fldCharType="end"/>
      </w:r>
      <w:r>
        <w:rPr>
          <w:color w:val="auto"/>
          <w:highlight w:val="none"/>
        </w:rPr>
        <w:fldChar w:fldCharType="end"/>
      </w:r>
    </w:p>
    <w:p w14:paraId="49070112">
      <w:pPr>
        <w:pStyle w:val="33"/>
        <w:tabs>
          <w:tab w:val="right" w:leader="dot" w:pos="9800"/>
          <w:tab w:val="clear" w:pos="1260"/>
          <w:tab w:val="clear" w:pos="9218"/>
        </w:tabs>
        <w:rPr>
          <w:color w:val="auto"/>
          <w:highlight w:val="none"/>
        </w:rPr>
      </w:pPr>
      <w:r>
        <w:rPr>
          <w:color w:val="auto"/>
          <w:highlight w:val="none"/>
        </w:rPr>
        <w:fldChar w:fldCharType="begin"/>
      </w:r>
      <w:r>
        <w:rPr>
          <w:color w:val="auto"/>
          <w:highlight w:val="none"/>
        </w:rPr>
        <w:instrText xml:space="preserve"> HYPERLINK \l "_Toc7231" </w:instrText>
      </w:r>
      <w:r>
        <w:rPr>
          <w:color w:val="auto"/>
          <w:highlight w:val="none"/>
        </w:rPr>
        <w:fldChar w:fldCharType="separate"/>
      </w:r>
      <w:r>
        <w:rPr>
          <w:rFonts w:hint="eastAsia"/>
          <w:color w:val="auto"/>
          <w:highlight w:val="none"/>
        </w:rPr>
        <w:t>（七）售后服务能力介绍及售后运维服务方案</w:t>
      </w:r>
      <w:r>
        <w:rPr>
          <w:color w:val="auto"/>
          <w:highlight w:val="none"/>
        </w:rPr>
        <w:tab/>
      </w:r>
      <w:r>
        <w:rPr>
          <w:color w:val="auto"/>
          <w:highlight w:val="none"/>
        </w:rPr>
        <w:fldChar w:fldCharType="begin"/>
      </w:r>
      <w:r>
        <w:rPr>
          <w:color w:val="auto"/>
          <w:highlight w:val="none"/>
        </w:rPr>
        <w:instrText xml:space="preserve"> PAGEREF _Toc7231 \h </w:instrText>
      </w:r>
      <w:r>
        <w:rPr>
          <w:color w:val="auto"/>
          <w:highlight w:val="none"/>
        </w:rPr>
        <w:fldChar w:fldCharType="separate"/>
      </w:r>
      <w:r>
        <w:rPr>
          <w:color w:val="auto"/>
          <w:highlight w:val="none"/>
        </w:rPr>
        <w:t>61</w:t>
      </w:r>
      <w:r>
        <w:rPr>
          <w:color w:val="auto"/>
          <w:highlight w:val="none"/>
        </w:rPr>
        <w:fldChar w:fldCharType="end"/>
      </w:r>
      <w:r>
        <w:rPr>
          <w:color w:val="auto"/>
          <w:highlight w:val="none"/>
        </w:rPr>
        <w:fldChar w:fldCharType="end"/>
      </w:r>
    </w:p>
    <w:p w14:paraId="0178172C">
      <w:pPr>
        <w:pStyle w:val="33"/>
        <w:tabs>
          <w:tab w:val="right" w:leader="dot" w:pos="9800"/>
          <w:tab w:val="clear" w:pos="1260"/>
          <w:tab w:val="clear" w:pos="9218"/>
        </w:tabs>
        <w:rPr>
          <w:color w:val="auto"/>
          <w:highlight w:val="none"/>
        </w:rPr>
      </w:pPr>
      <w:r>
        <w:rPr>
          <w:color w:val="auto"/>
          <w:highlight w:val="none"/>
        </w:rPr>
        <w:fldChar w:fldCharType="begin"/>
      </w:r>
      <w:r>
        <w:rPr>
          <w:color w:val="auto"/>
          <w:highlight w:val="none"/>
        </w:rPr>
        <w:instrText xml:space="preserve"> HYPERLINK \l "_Toc17749" </w:instrText>
      </w:r>
      <w:r>
        <w:rPr>
          <w:color w:val="auto"/>
          <w:highlight w:val="none"/>
        </w:rPr>
        <w:fldChar w:fldCharType="separate"/>
      </w:r>
      <w:r>
        <w:rPr>
          <w:rFonts w:hint="eastAsia"/>
          <w:color w:val="auto"/>
          <w:highlight w:val="none"/>
        </w:rPr>
        <w:t>（八）项目服务质量保障措施和相应违约承诺</w:t>
      </w:r>
      <w:r>
        <w:rPr>
          <w:color w:val="auto"/>
          <w:highlight w:val="none"/>
        </w:rPr>
        <w:tab/>
      </w:r>
      <w:r>
        <w:rPr>
          <w:color w:val="auto"/>
          <w:highlight w:val="none"/>
        </w:rPr>
        <w:fldChar w:fldCharType="begin"/>
      </w:r>
      <w:r>
        <w:rPr>
          <w:color w:val="auto"/>
          <w:highlight w:val="none"/>
        </w:rPr>
        <w:instrText xml:space="preserve"> PAGEREF _Toc17749 \h </w:instrText>
      </w:r>
      <w:r>
        <w:rPr>
          <w:color w:val="auto"/>
          <w:highlight w:val="none"/>
        </w:rPr>
        <w:fldChar w:fldCharType="separate"/>
      </w:r>
      <w:r>
        <w:rPr>
          <w:color w:val="auto"/>
          <w:highlight w:val="none"/>
        </w:rPr>
        <w:t>62</w:t>
      </w:r>
      <w:r>
        <w:rPr>
          <w:color w:val="auto"/>
          <w:highlight w:val="none"/>
        </w:rPr>
        <w:fldChar w:fldCharType="end"/>
      </w:r>
      <w:r>
        <w:rPr>
          <w:color w:val="auto"/>
          <w:highlight w:val="none"/>
        </w:rPr>
        <w:fldChar w:fldCharType="end"/>
      </w:r>
    </w:p>
    <w:p w14:paraId="5C628174">
      <w:pPr>
        <w:pStyle w:val="33"/>
        <w:tabs>
          <w:tab w:val="right" w:leader="dot" w:pos="9800"/>
          <w:tab w:val="clear" w:pos="1260"/>
          <w:tab w:val="clear" w:pos="9218"/>
        </w:tabs>
        <w:rPr>
          <w:color w:val="auto"/>
          <w:highlight w:val="none"/>
        </w:rPr>
      </w:pPr>
      <w:r>
        <w:rPr>
          <w:color w:val="auto"/>
          <w:highlight w:val="none"/>
        </w:rPr>
        <w:fldChar w:fldCharType="begin"/>
      </w:r>
      <w:r>
        <w:rPr>
          <w:color w:val="auto"/>
          <w:highlight w:val="none"/>
        </w:rPr>
        <w:instrText xml:space="preserve"> HYPERLINK \l "_Toc27248" </w:instrText>
      </w:r>
      <w:r>
        <w:rPr>
          <w:color w:val="auto"/>
          <w:highlight w:val="none"/>
        </w:rPr>
        <w:fldChar w:fldCharType="separate"/>
      </w:r>
      <w:r>
        <w:rPr>
          <w:rFonts w:hint="eastAsia"/>
          <w:bCs/>
          <w:color w:val="auto"/>
          <w:highlight w:val="none"/>
        </w:rPr>
        <w:t>（九）拟投入本项目的综合服务力量介绍</w:t>
      </w:r>
      <w:r>
        <w:rPr>
          <w:color w:val="auto"/>
          <w:highlight w:val="none"/>
        </w:rPr>
        <w:tab/>
      </w:r>
      <w:r>
        <w:rPr>
          <w:color w:val="auto"/>
          <w:highlight w:val="none"/>
        </w:rPr>
        <w:fldChar w:fldCharType="begin"/>
      </w:r>
      <w:r>
        <w:rPr>
          <w:color w:val="auto"/>
          <w:highlight w:val="none"/>
        </w:rPr>
        <w:instrText xml:space="preserve"> PAGEREF _Toc27248 \h </w:instrText>
      </w:r>
      <w:r>
        <w:rPr>
          <w:color w:val="auto"/>
          <w:highlight w:val="none"/>
        </w:rPr>
        <w:fldChar w:fldCharType="separate"/>
      </w:r>
      <w:r>
        <w:rPr>
          <w:color w:val="auto"/>
          <w:highlight w:val="none"/>
        </w:rPr>
        <w:t>63</w:t>
      </w:r>
      <w:r>
        <w:rPr>
          <w:color w:val="auto"/>
          <w:highlight w:val="none"/>
        </w:rPr>
        <w:fldChar w:fldCharType="end"/>
      </w:r>
      <w:r>
        <w:rPr>
          <w:color w:val="auto"/>
          <w:highlight w:val="none"/>
        </w:rPr>
        <w:fldChar w:fldCharType="end"/>
      </w:r>
    </w:p>
    <w:p w14:paraId="1629F250">
      <w:pPr>
        <w:pStyle w:val="33"/>
        <w:tabs>
          <w:tab w:val="right" w:leader="dot" w:pos="9800"/>
          <w:tab w:val="clear" w:pos="1260"/>
          <w:tab w:val="clear" w:pos="9218"/>
        </w:tabs>
        <w:rPr>
          <w:color w:val="auto"/>
          <w:highlight w:val="none"/>
        </w:rPr>
      </w:pPr>
      <w:r>
        <w:rPr>
          <w:color w:val="auto"/>
          <w:highlight w:val="none"/>
        </w:rPr>
        <w:fldChar w:fldCharType="begin"/>
      </w:r>
      <w:r>
        <w:rPr>
          <w:color w:val="auto"/>
          <w:highlight w:val="none"/>
        </w:rPr>
        <w:instrText xml:space="preserve"> HYPERLINK \l "_Toc20740" </w:instrText>
      </w:r>
      <w:r>
        <w:rPr>
          <w:color w:val="auto"/>
          <w:highlight w:val="none"/>
        </w:rPr>
        <w:fldChar w:fldCharType="separate"/>
      </w:r>
      <w:r>
        <w:rPr>
          <w:rFonts w:hint="eastAsia"/>
          <w:color w:val="auto"/>
          <w:highlight w:val="none"/>
        </w:rPr>
        <w:t>（十）投标人（2021年01月01日至今）项目实施经验</w:t>
      </w:r>
      <w:r>
        <w:rPr>
          <w:color w:val="auto"/>
          <w:highlight w:val="none"/>
        </w:rPr>
        <w:tab/>
      </w:r>
      <w:r>
        <w:rPr>
          <w:color w:val="auto"/>
          <w:highlight w:val="none"/>
        </w:rPr>
        <w:fldChar w:fldCharType="begin"/>
      </w:r>
      <w:r>
        <w:rPr>
          <w:color w:val="auto"/>
          <w:highlight w:val="none"/>
        </w:rPr>
        <w:instrText xml:space="preserve"> PAGEREF _Toc20740 \h </w:instrText>
      </w:r>
      <w:r>
        <w:rPr>
          <w:color w:val="auto"/>
          <w:highlight w:val="none"/>
        </w:rPr>
        <w:fldChar w:fldCharType="separate"/>
      </w:r>
      <w:r>
        <w:rPr>
          <w:color w:val="auto"/>
          <w:highlight w:val="none"/>
        </w:rPr>
        <w:t>67</w:t>
      </w:r>
      <w:r>
        <w:rPr>
          <w:color w:val="auto"/>
          <w:highlight w:val="none"/>
        </w:rPr>
        <w:fldChar w:fldCharType="end"/>
      </w:r>
      <w:r>
        <w:rPr>
          <w:color w:val="auto"/>
          <w:highlight w:val="none"/>
        </w:rPr>
        <w:fldChar w:fldCharType="end"/>
      </w:r>
    </w:p>
    <w:p w14:paraId="52E5C219">
      <w:pPr>
        <w:pStyle w:val="33"/>
        <w:tabs>
          <w:tab w:val="right" w:leader="dot" w:pos="9800"/>
          <w:tab w:val="clear" w:pos="1260"/>
          <w:tab w:val="clear" w:pos="9218"/>
        </w:tabs>
        <w:rPr>
          <w:color w:val="auto"/>
          <w:highlight w:val="none"/>
        </w:rPr>
      </w:pPr>
      <w:r>
        <w:rPr>
          <w:color w:val="auto"/>
          <w:highlight w:val="none"/>
        </w:rPr>
        <w:fldChar w:fldCharType="begin"/>
      </w:r>
      <w:r>
        <w:rPr>
          <w:color w:val="auto"/>
          <w:highlight w:val="none"/>
        </w:rPr>
        <w:instrText xml:space="preserve"> HYPERLINK \l "_Toc28895" </w:instrText>
      </w:r>
      <w:r>
        <w:rPr>
          <w:color w:val="auto"/>
          <w:highlight w:val="none"/>
        </w:rPr>
        <w:fldChar w:fldCharType="separate"/>
      </w:r>
      <w:r>
        <w:rPr>
          <w:rFonts w:hint="eastAsia"/>
          <w:color w:val="auto"/>
          <w:highlight w:val="none"/>
        </w:rPr>
        <w:t>（十一）投标保证书</w:t>
      </w:r>
      <w:r>
        <w:rPr>
          <w:color w:val="auto"/>
          <w:highlight w:val="none"/>
        </w:rPr>
        <w:tab/>
      </w:r>
      <w:r>
        <w:rPr>
          <w:color w:val="auto"/>
          <w:highlight w:val="none"/>
        </w:rPr>
        <w:fldChar w:fldCharType="begin"/>
      </w:r>
      <w:r>
        <w:rPr>
          <w:color w:val="auto"/>
          <w:highlight w:val="none"/>
        </w:rPr>
        <w:instrText xml:space="preserve"> PAGEREF _Toc28895 \h </w:instrText>
      </w:r>
      <w:r>
        <w:rPr>
          <w:color w:val="auto"/>
          <w:highlight w:val="none"/>
        </w:rPr>
        <w:fldChar w:fldCharType="separate"/>
      </w:r>
      <w:r>
        <w:rPr>
          <w:color w:val="auto"/>
          <w:highlight w:val="none"/>
        </w:rPr>
        <w:t>68</w:t>
      </w:r>
      <w:r>
        <w:rPr>
          <w:color w:val="auto"/>
          <w:highlight w:val="none"/>
        </w:rPr>
        <w:fldChar w:fldCharType="end"/>
      </w:r>
      <w:r>
        <w:rPr>
          <w:color w:val="auto"/>
          <w:highlight w:val="none"/>
        </w:rPr>
        <w:fldChar w:fldCharType="end"/>
      </w:r>
    </w:p>
    <w:p w14:paraId="126E28DF">
      <w:pPr>
        <w:pStyle w:val="33"/>
        <w:tabs>
          <w:tab w:val="right" w:leader="dot" w:pos="9800"/>
          <w:tab w:val="clear" w:pos="1260"/>
          <w:tab w:val="clear" w:pos="9218"/>
        </w:tabs>
        <w:rPr>
          <w:color w:val="auto"/>
          <w:highlight w:val="none"/>
        </w:rPr>
      </w:pPr>
      <w:r>
        <w:rPr>
          <w:color w:val="auto"/>
          <w:highlight w:val="none"/>
        </w:rPr>
        <w:fldChar w:fldCharType="begin"/>
      </w:r>
      <w:r>
        <w:rPr>
          <w:color w:val="auto"/>
          <w:highlight w:val="none"/>
        </w:rPr>
        <w:instrText xml:space="preserve"> HYPERLINK \l "_Toc16521" </w:instrText>
      </w:r>
      <w:r>
        <w:rPr>
          <w:color w:val="auto"/>
          <w:highlight w:val="none"/>
        </w:rPr>
        <w:fldChar w:fldCharType="separate"/>
      </w:r>
      <w:r>
        <w:rPr>
          <w:rFonts w:hint="eastAsia"/>
          <w:color w:val="auto"/>
          <w:highlight w:val="none"/>
        </w:rPr>
        <w:t>（十二）投标人认为需要提供的其他技术文件</w:t>
      </w:r>
      <w:r>
        <w:rPr>
          <w:color w:val="auto"/>
          <w:highlight w:val="none"/>
        </w:rPr>
        <w:tab/>
      </w:r>
      <w:r>
        <w:rPr>
          <w:color w:val="auto"/>
          <w:highlight w:val="none"/>
        </w:rPr>
        <w:fldChar w:fldCharType="begin"/>
      </w:r>
      <w:r>
        <w:rPr>
          <w:color w:val="auto"/>
          <w:highlight w:val="none"/>
        </w:rPr>
        <w:instrText xml:space="preserve"> PAGEREF _Toc16521 \h </w:instrText>
      </w:r>
      <w:r>
        <w:rPr>
          <w:color w:val="auto"/>
          <w:highlight w:val="none"/>
        </w:rPr>
        <w:fldChar w:fldCharType="separate"/>
      </w:r>
      <w:r>
        <w:rPr>
          <w:color w:val="auto"/>
          <w:highlight w:val="none"/>
        </w:rPr>
        <w:t>70</w:t>
      </w:r>
      <w:r>
        <w:rPr>
          <w:color w:val="auto"/>
          <w:highlight w:val="none"/>
        </w:rPr>
        <w:fldChar w:fldCharType="end"/>
      </w:r>
      <w:r>
        <w:rPr>
          <w:color w:val="auto"/>
          <w:highlight w:val="none"/>
        </w:rPr>
        <w:fldChar w:fldCharType="end"/>
      </w:r>
    </w:p>
    <w:p w14:paraId="20F5F735">
      <w:pPr>
        <w:pStyle w:val="33"/>
        <w:tabs>
          <w:tab w:val="right" w:leader="dot" w:pos="9800"/>
          <w:tab w:val="clear" w:pos="1260"/>
          <w:tab w:val="clear" w:pos="9218"/>
        </w:tabs>
        <w:rPr>
          <w:color w:val="auto"/>
          <w:highlight w:val="none"/>
        </w:rPr>
      </w:pPr>
      <w:r>
        <w:rPr>
          <w:color w:val="auto"/>
          <w:highlight w:val="none"/>
        </w:rPr>
        <w:fldChar w:fldCharType="begin"/>
      </w:r>
      <w:r>
        <w:rPr>
          <w:color w:val="auto"/>
          <w:highlight w:val="none"/>
        </w:rPr>
        <w:instrText xml:space="preserve"> HYPERLINK \l "_Toc11913" </w:instrText>
      </w:r>
      <w:r>
        <w:rPr>
          <w:color w:val="auto"/>
          <w:highlight w:val="none"/>
        </w:rPr>
        <w:fldChar w:fldCharType="separate"/>
      </w:r>
      <w:r>
        <w:rPr>
          <w:rFonts w:hint="eastAsia" w:ascii="宋体" w:hAnsi="宋体" w:eastAsia="宋体"/>
          <w:color w:val="auto"/>
          <w:szCs w:val="44"/>
          <w:highlight w:val="none"/>
        </w:rPr>
        <w:t>第六章   项目技术标准和要求</w:t>
      </w:r>
      <w:r>
        <w:rPr>
          <w:color w:val="auto"/>
          <w:highlight w:val="none"/>
        </w:rPr>
        <w:tab/>
      </w:r>
      <w:r>
        <w:rPr>
          <w:color w:val="auto"/>
          <w:highlight w:val="none"/>
        </w:rPr>
        <w:fldChar w:fldCharType="begin"/>
      </w:r>
      <w:r>
        <w:rPr>
          <w:color w:val="auto"/>
          <w:highlight w:val="none"/>
        </w:rPr>
        <w:instrText xml:space="preserve"> PAGEREF _Toc11913 \h </w:instrText>
      </w:r>
      <w:r>
        <w:rPr>
          <w:color w:val="auto"/>
          <w:highlight w:val="none"/>
        </w:rPr>
        <w:fldChar w:fldCharType="separate"/>
      </w:r>
      <w:r>
        <w:rPr>
          <w:color w:val="auto"/>
          <w:highlight w:val="none"/>
        </w:rPr>
        <w:t>71</w:t>
      </w:r>
      <w:r>
        <w:rPr>
          <w:color w:val="auto"/>
          <w:highlight w:val="none"/>
        </w:rPr>
        <w:fldChar w:fldCharType="end"/>
      </w:r>
      <w:r>
        <w:rPr>
          <w:color w:val="auto"/>
          <w:highlight w:val="none"/>
        </w:rPr>
        <w:fldChar w:fldCharType="end"/>
      </w:r>
    </w:p>
    <w:p w14:paraId="4954DC86">
      <w:pPr>
        <w:pStyle w:val="33"/>
        <w:tabs>
          <w:tab w:val="right" w:leader="dot" w:pos="9800"/>
          <w:tab w:val="clear" w:pos="1260"/>
          <w:tab w:val="clear" w:pos="9218"/>
        </w:tabs>
        <w:rPr>
          <w:color w:val="auto"/>
          <w:highlight w:val="none"/>
        </w:rPr>
      </w:pPr>
      <w:r>
        <w:rPr>
          <w:color w:val="auto"/>
          <w:highlight w:val="none"/>
        </w:rPr>
        <w:fldChar w:fldCharType="begin"/>
      </w:r>
      <w:r>
        <w:rPr>
          <w:color w:val="auto"/>
          <w:highlight w:val="none"/>
        </w:rPr>
        <w:instrText xml:space="preserve"> HYPERLINK \l "_Toc19835" </w:instrText>
      </w:r>
      <w:r>
        <w:rPr>
          <w:color w:val="auto"/>
          <w:highlight w:val="none"/>
        </w:rPr>
        <w:fldChar w:fldCharType="separate"/>
      </w:r>
      <w:r>
        <w:rPr>
          <w:rFonts w:hint="eastAsia" w:ascii="宋体" w:hAnsi="宋体" w:eastAsia="宋体"/>
          <w:color w:val="auto"/>
          <w:szCs w:val="44"/>
          <w:highlight w:val="none"/>
        </w:rPr>
        <w:t>第七章 合同样本</w:t>
      </w:r>
      <w:r>
        <w:rPr>
          <w:color w:val="auto"/>
          <w:highlight w:val="none"/>
        </w:rPr>
        <w:tab/>
      </w:r>
      <w:r>
        <w:rPr>
          <w:color w:val="auto"/>
          <w:highlight w:val="none"/>
        </w:rPr>
        <w:fldChar w:fldCharType="begin"/>
      </w:r>
      <w:r>
        <w:rPr>
          <w:color w:val="auto"/>
          <w:highlight w:val="none"/>
        </w:rPr>
        <w:instrText xml:space="preserve"> PAGEREF _Toc19835 \h </w:instrText>
      </w:r>
      <w:r>
        <w:rPr>
          <w:color w:val="auto"/>
          <w:highlight w:val="none"/>
        </w:rPr>
        <w:fldChar w:fldCharType="separate"/>
      </w:r>
      <w:r>
        <w:rPr>
          <w:color w:val="auto"/>
          <w:highlight w:val="none"/>
        </w:rPr>
        <w:t>79</w:t>
      </w:r>
      <w:r>
        <w:rPr>
          <w:color w:val="auto"/>
          <w:highlight w:val="none"/>
        </w:rPr>
        <w:fldChar w:fldCharType="end"/>
      </w:r>
      <w:r>
        <w:rPr>
          <w:color w:val="auto"/>
          <w:highlight w:val="none"/>
        </w:rPr>
        <w:fldChar w:fldCharType="end"/>
      </w:r>
    </w:p>
    <w:p w14:paraId="2D6BBA07">
      <w:pPr>
        <w:tabs>
          <w:tab w:val="right" w:leader="dot" w:pos="9720"/>
        </w:tabs>
        <w:spacing w:line="480" w:lineRule="exact"/>
        <w:rPr>
          <w:rFonts w:hint="eastAsia" w:hAnsi="宋体"/>
          <w:b/>
          <w:bCs/>
          <w:color w:val="auto"/>
          <w:sz w:val="44"/>
          <w:szCs w:val="36"/>
          <w:highlight w:val="none"/>
        </w:rPr>
      </w:pPr>
      <w:r>
        <w:rPr>
          <w:rFonts w:hint="eastAsia" w:hAnsi="宋体" w:cs="宋体"/>
          <w:color w:val="auto"/>
          <w:szCs w:val="24"/>
          <w:highlight w:val="none"/>
        </w:rPr>
        <w:fldChar w:fldCharType="end"/>
      </w:r>
    </w:p>
    <w:p w14:paraId="35885F21">
      <w:pPr>
        <w:pStyle w:val="6"/>
        <w:spacing w:line="360" w:lineRule="auto"/>
        <w:jc w:val="center"/>
        <w:rPr>
          <w:rFonts w:hint="eastAsia" w:ascii="宋体" w:hAnsi="宋体" w:eastAsia="宋体"/>
          <w:bCs w:val="0"/>
          <w:color w:val="auto"/>
          <w:sz w:val="44"/>
          <w:szCs w:val="44"/>
          <w:highlight w:val="none"/>
        </w:rPr>
      </w:pPr>
      <w:r>
        <w:rPr>
          <w:rFonts w:ascii="宋体" w:hAnsi="宋体" w:eastAsia="宋体"/>
          <w:bCs w:val="0"/>
          <w:color w:val="auto"/>
          <w:sz w:val="44"/>
          <w:szCs w:val="44"/>
          <w:highlight w:val="none"/>
        </w:rPr>
        <w:br w:type="page"/>
      </w:r>
      <w:bookmarkStart w:id="0" w:name="_Toc10450"/>
      <w:r>
        <w:rPr>
          <w:rFonts w:hint="eastAsia" w:ascii="宋体" w:hAnsi="宋体" w:eastAsia="宋体"/>
          <w:bCs w:val="0"/>
          <w:color w:val="auto"/>
          <w:sz w:val="44"/>
          <w:szCs w:val="44"/>
          <w:highlight w:val="none"/>
        </w:rPr>
        <w:t>第一章  招标公告</w:t>
      </w:r>
      <w:bookmarkEnd w:id="0"/>
    </w:p>
    <w:p w14:paraId="4D63B5A2">
      <w:pPr>
        <w:spacing w:line="600" w:lineRule="exact"/>
        <w:jc w:val="center"/>
        <w:rPr>
          <w:rFonts w:hint="eastAsia" w:hAnsi="宋体" w:cs="宋体"/>
          <w:b/>
          <w:bCs/>
          <w:color w:val="auto"/>
          <w:kern w:val="36"/>
          <w:sz w:val="38"/>
          <w:szCs w:val="38"/>
          <w:highlight w:val="none"/>
        </w:rPr>
      </w:pPr>
      <w:bookmarkStart w:id="1" w:name="_Toc444848839"/>
      <w:bookmarkStart w:id="2" w:name="_Toc441049658"/>
      <w:r>
        <w:rPr>
          <w:rFonts w:hint="eastAsia" w:hAnsi="宋体" w:cs="宋体"/>
          <w:b/>
          <w:bCs/>
          <w:color w:val="auto"/>
          <w:kern w:val="36"/>
          <w:sz w:val="38"/>
          <w:szCs w:val="38"/>
          <w:highlight w:val="none"/>
        </w:rPr>
        <w:t>保山市加油站流量数据采集系统建设安装项目</w:t>
      </w:r>
    </w:p>
    <w:p w14:paraId="53CCD388">
      <w:pPr>
        <w:spacing w:line="600" w:lineRule="exact"/>
        <w:jc w:val="center"/>
        <w:rPr>
          <w:rFonts w:hint="eastAsia" w:hAnsi="宋体" w:cs="宋体"/>
          <w:b/>
          <w:bCs/>
          <w:color w:val="auto"/>
          <w:kern w:val="36"/>
          <w:sz w:val="40"/>
          <w:szCs w:val="40"/>
          <w:highlight w:val="none"/>
        </w:rPr>
      </w:pPr>
      <w:r>
        <w:rPr>
          <w:rFonts w:hint="eastAsia" w:hAnsi="宋体" w:cs="宋体"/>
          <w:b/>
          <w:bCs/>
          <w:color w:val="auto"/>
          <w:kern w:val="36"/>
          <w:sz w:val="38"/>
          <w:szCs w:val="38"/>
          <w:highlight w:val="none"/>
        </w:rPr>
        <w:t>公开招标公告</w:t>
      </w:r>
    </w:p>
    <w:p w14:paraId="38AB5050">
      <w:pPr>
        <w:widowControl/>
        <w:spacing w:line="460" w:lineRule="exact"/>
        <w:ind w:firstLine="422" w:firstLineChars="200"/>
        <w:jc w:val="left"/>
        <w:rPr>
          <w:rFonts w:hint="eastAsia" w:hAnsi="宋体" w:cs="宋体"/>
          <w:b/>
          <w:color w:val="auto"/>
          <w:sz w:val="21"/>
          <w:szCs w:val="21"/>
          <w:highlight w:val="none"/>
        </w:rPr>
      </w:pPr>
    </w:p>
    <w:p w14:paraId="3510D6C9">
      <w:pPr>
        <w:pBdr>
          <w:top w:val="single" w:color="auto" w:sz="4" w:space="1"/>
          <w:left w:val="single" w:color="auto" w:sz="4" w:space="4"/>
          <w:bottom w:val="single" w:color="auto" w:sz="4" w:space="1"/>
          <w:right w:val="single" w:color="auto" w:sz="4" w:space="4"/>
        </w:pBdr>
        <w:spacing w:line="460" w:lineRule="exact"/>
        <w:ind w:firstLine="422" w:firstLineChars="200"/>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项目概况</w:t>
      </w:r>
    </w:p>
    <w:p w14:paraId="3C852260">
      <w:pPr>
        <w:pBdr>
          <w:top w:val="single" w:color="auto" w:sz="4" w:space="1"/>
          <w:left w:val="single" w:color="auto" w:sz="4" w:space="4"/>
          <w:bottom w:val="single" w:color="auto" w:sz="4" w:space="1"/>
          <w:right w:val="single" w:color="auto" w:sz="4" w:space="4"/>
        </w:pBdr>
        <w:spacing w:line="420" w:lineRule="exact"/>
        <w:ind w:firstLine="420" w:firstLineChars="200"/>
        <w:jc w:val="left"/>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u w:val="single"/>
        </w:rPr>
        <w:t>保山市加油站流量数据采集系统建设安装项目</w:t>
      </w:r>
      <w:r>
        <w:rPr>
          <w:rFonts w:hint="eastAsia" w:asciiTheme="minorEastAsia" w:hAnsiTheme="minorEastAsia" w:eastAsiaTheme="minorEastAsia"/>
          <w:color w:val="auto"/>
          <w:sz w:val="21"/>
          <w:szCs w:val="21"/>
          <w:highlight w:val="none"/>
        </w:rPr>
        <w:t>采购项目的</w:t>
      </w:r>
      <w:r>
        <w:rPr>
          <w:rFonts w:hint="eastAsia" w:hAnsi="宋体" w:cs="宋体"/>
          <w:color w:val="auto"/>
          <w:sz w:val="21"/>
          <w:szCs w:val="21"/>
          <w:highlight w:val="none"/>
          <w:u w:val="single"/>
        </w:rPr>
        <w:t>潜在投标人应在政府采购云平台（www.zcygov.cn）获取采购文件，</w:t>
      </w:r>
      <w:r>
        <w:rPr>
          <w:rFonts w:hint="eastAsia" w:asciiTheme="minorEastAsia" w:hAnsiTheme="minorEastAsia" w:eastAsiaTheme="minorEastAsia"/>
          <w:color w:val="auto"/>
          <w:sz w:val="21"/>
          <w:szCs w:val="21"/>
          <w:highlight w:val="none"/>
        </w:rPr>
        <w:t>并于</w:t>
      </w:r>
      <w:r>
        <w:rPr>
          <w:rFonts w:hint="eastAsia" w:asciiTheme="minorEastAsia" w:hAnsiTheme="minorEastAsia" w:eastAsiaTheme="minorEastAsia"/>
          <w:color w:val="auto"/>
          <w:sz w:val="21"/>
          <w:szCs w:val="21"/>
          <w:highlight w:val="none"/>
          <w:u w:val="single"/>
        </w:rPr>
        <w:t>2024年09月02日09时00分</w:t>
      </w:r>
      <w:r>
        <w:rPr>
          <w:rFonts w:hint="eastAsia" w:asciiTheme="minorEastAsia" w:hAnsiTheme="minorEastAsia" w:eastAsiaTheme="minorEastAsia"/>
          <w:bCs/>
          <w:color w:val="auto"/>
          <w:sz w:val="21"/>
          <w:szCs w:val="21"/>
          <w:highlight w:val="none"/>
        </w:rPr>
        <w:t>（北京时间）前提交投标</w:t>
      </w:r>
      <w:r>
        <w:rPr>
          <w:rFonts w:asciiTheme="minorEastAsia" w:hAnsiTheme="minorEastAsia" w:eastAsiaTheme="minorEastAsia"/>
          <w:bCs/>
          <w:color w:val="auto"/>
          <w:sz w:val="21"/>
          <w:szCs w:val="21"/>
          <w:highlight w:val="none"/>
        </w:rPr>
        <w:t>文件</w:t>
      </w:r>
      <w:r>
        <w:rPr>
          <w:rFonts w:hint="eastAsia" w:asciiTheme="minorEastAsia" w:hAnsiTheme="minorEastAsia" w:eastAsiaTheme="minorEastAsia"/>
          <w:color w:val="auto"/>
          <w:sz w:val="21"/>
          <w:szCs w:val="21"/>
          <w:highlight w:val="none"/>
        </w:rPr>
        <w:t>。</w:t>
      </w:r>
    </w:p>
    <w:p w14:paraId="7938F6BD">
      <w:pPr>
        <w:widowControl/>
        <w:spacing w:line="460" w:lineRule="exact"/>
        <w:ind w:firstLine="424" w:firstLineChars="202"/>
        <w:rPr>
          <w:rFonts w:hint="eastAsia" w:cs="宋体" w:asciiTheme="minorEastAsia" w:hAnsiTheme="minorEastAsia" w:eastAsiaTheme="minorEastAsia"/>
          <w:color w:val="auto"/>
          <w:sz w:val="21"/>
          <w:szCs w:val="21"/>
          <w:highlight w:val="none"/>
        </w:rPr>
      </w:pPr>
    </w:p>
    <w:p w14:paraId="787BEDD9">
      <w:pPr>
        <w:widowControl/>
        <w:spacing w:line="460" w:lineRule="exact"/>
        <w:ind w:firstLine="426" w:firstLineChars="202"/>
        <w:rPr>
          <w:rFonts w:hint="eastAsia" w:cs="宋体" w:asciiTheme="minorEastAsia" w:hAnsiTheme="minorEastAsia" w:eastAsiaTheme="minorEastAsia"/>
          <w:b/>
          <w:color w:val="auto"/>
          <w:sz w:val="21"/>
          <w:szCs w:val="21"/>
          <w:highlight w:val="none"/>
        </w:rPr>
      </w:pPr>
      <w:r>
        <w:rPr>
          <w:rFonts w:hint="eastAsia" w:cs="宋体" w:asciiTheme="minorEastAsia" w:hAnsiTheme="minorEastAsia" w:eastAsiaTheme="minorEastAsia"/>
          <w:b/>
          <w:color w:val="auto"/>
          <w:sz w:val="21"/>
          <w:szCs w:val="21"/>
          <w:highlight w:val="none"/>
        </w:rPr>
        <w:t>一、项目基本情况</w:t>
      </w:r>
    </w:p>
    <w:p w14:paraId="5B3D914F">
      <w:pPr>
        <w:widowControl/>
        <w:spacing w:line="460" w:lineRule="exact"/>
        <w:ind w:firstLine="424" w:firstLineChars="202"/>
        <w:rPr>
          <w:rFonts w:hint="eastAsia" w:cs="宋体"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t>1.项目编号：</w:t>
      </w:r>
      <w:r>
        <w:rPr>
          <w:rFonts w:hint="eastAsia" w:cs="宋体" w:asciiTheme="minorEastAsia" w:hAnsiTheme="minorEastAsia" w:eastAsiaTheme="minorEastAsia"/>
          <w:color w:val="auto"/>
          <w:sz w:val="21"/>
          <w:szCs w:val="21"/>
          <w:highlight w:val="none"/>
        </w:rPr>
        <w:t>TRZBC2024-81（</w:t>
      </w:r>
      <w:r>
        <w:rPr>
          <w:rFonts w:hint="eastAsia" w:cs="宋体" w:asciiTheme="minorEastAsia" w:hAnsiTheme="minorEastAsia" w:eastAsiaTheme="minorEastAsia"/>
          <w:color w:val="auto"/>
          <w:sz w:val="21"/>
          <w:szCs w:val="21"/>
          <w:highlight w:val="none"/>
          <w:lang w:eastAsia="zh-CN"/>
        </w:rPr>
        <w:t>政采云项目编号：BSZC2024-G3-00502-BSST-0032</w:t>
      </w:r>
      <w:r>
        <w:rPr>
          <w:rFonts w:hint="eastAsia" w:cs="宋体" w:asciiTheme="minorEastAsia" w:hAnsiTheme="minorEastAsia" w:eastAsiaTheme="minorEastAsia"/>
          <w:color w:val="auto"/>
          <w:sz w:val="21"/>
          <w:szCs w:val="21"/>
          <w:highlight w:val="none"/>
        </w:rPr>
        <w:t>）</w:t>
      </w:r>
    </w:p>
    <w:p w14:paraId="14A51E38">
      <w:pPr>
        <w:widowControl/>
        <w:spacing w:line="460" w:lineRule="exact"/>
        <w:ind w:firstLine="424" w:firstLineChars="202"/>
        <w:rPr>
          <w:rFonts w:hint="eastAsia" w:cs="宋体"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t>2.项目名称：</w:t>
      </w:r>
      <w:r>
        <w:rPr>
          <w:rFonts w:hint="eastAsia" w:cs="宋体" w:asciiTheme="minorEastAsia" w:hAnsiTheme="minorEastAsia" w:eastAsiaTheme="minorEastAsia"/>
          <w:color w:val="auto"/>
          <w:sz w:val="21"/>
          <w:szCs w:val="21"/>
          <w:highlight w:val="none"/>
        </w:rPr>
        <w:t>保山市加油站流量数据采集系统建设安装项目</w:t>
      </w:r>
    </w:p>
    <w:p w14:paraId="72E64220">
      <w:pPr>
        <w:widowControl/>
        <w:spacing w:line="4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3.预算金额：¥4340000.00元。</w:t>
      </w:r>
    </w:p>
    <w:p w14:paraId="125C70BD">
      <w:pPr>
        <w:widowControl/>
        <w:spacing w:line="4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4.最高限价：¥4340000.00元。</w:t>
      </w:r>
    </w:p>
    <w:p w14:paraId="542E1269">
      <w:pPr>
        <w:widowControl/>
        <w:spacing w:line="4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5.采购需求：</w:t>
      </w:r>
    </w:p>
    <w:p w14:paraId="6167C9DB">
      <w:pPr>
        <w:widowControl/>
        <w:spacing w:line="4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5.1采购内容：搭建和部署安装加油站流量数据采集系统（纯软件式智能数据采集方式，不在加油机上加装任何硬件设备），完成加油站流量数据采集系统与采购人指定相关信息系统和平台进行数据对接（含接口开发），开展加油站流量数据采集系统部署建设和优化调整、系统集成调试和适配，部署安装完成后开展试运行和检验验收，项目技术支持和培训指导，售后运维服务（在售后运维服务期限内根据政策和项目实际情况对系统进行免费升级、漏洞修复、系统运行维护等）。</w:t>
      </w:r>
    </w:p>
    <w:p w14:paraId="3460F5F6">
      <w:pPr>
        <w:widowControl/>
        <w:spacing w:line="4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5.2项目服务地点：保山市商务局指定地点。</w:t>
      </w:r>
    </w:p>
    <w:p w14:paraId="060B96CA">
      <w:pPr>
        <w:widowControl/>
        <w:spacing w:line="4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5.3标段划分：本项目共划分为1个标段，拟参与投标的投标人必须整体投标不得拆分。</w:t>
      </w:r>
    </w:p>
    <w:p w14:paraId="6A63C650">
      <w:pPr>
        <w:widowControl/>
        <w:spacing w:line="4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5.4投标报价要求：参与本项目的投标人应按要求填报此项目投标总价报价，投标报价须包含项目实施过程中发生的软件系统的采购费，软件系统搭建部署（含软件运行环境建设）和安装费，按照采购人要求对软件系统进行优化调整费，新建系统与采购人指定相关信息系统和平台进行数据对接（含系统接口开发）费、整体软件系统调试和适配服务费，项目试运行、检验验收费，技术支持服务、技术培训及售后运维服务等全部相关费用以及保证项目顺利开展的所有费用。</w:t>
      </w:r>
    </w:p>
    <w:p w14:paraId="129C461F">
      <w:pPr>
        <w:widowControl/>
        <w:spacing w:line="4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5.5付款方式：采购人与中标人合同约定。</w:t>
      </w:r>
    </w:p>
    <w:p w14:paraId="19CAA658">
      <w:pPr>
        <w:widowControl/>
        <w:spacing w:line="4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6.合同履行期限：合同签订后1个月内完成全部建设任务工作并达到初步验收标准，并根据项目初检的要求开展相应的软件系统优化整改直至完全达标通过最终验收。项目验收合格后提供不少于1年的免费售后运维服务。</w:t>
      </w:r>
    </w:p>
    <w:p w14:paraId="07F455A2">
      <w:pPr>
        <w:widowControl/>
        <w:spacing w:line="460" w:lineRule="exact"/>
        <w:ind w:firstLine="420" w:firstLineChars="200"/>
        <w:jc w:val="left"/>
        <w:rPr>
          <w:rFonts w:hint="eastAsia" w:hAnsi="宋体" w:cs="宋体"/>
          <w:color w:val="auto"/>
          <w:sz w:val="21"/>
          <w:szCs w:val="21"/>
          <w:highlight w:val="none"/>
        </w:rPr>
      </w:pPr>
      <w:r>
        <w:rPr>
          <w:rFonts w:hint="eastAsia" w:cs="宋体" w:asciiTheme="minorEastAsia" w:hAnsiTheme="minorEastAsia" w:eastAsiaTheme="minorEastAsia"/>
          <w:color w:val="auto"/>
          <w:sz w:val="21"/>
          <w:szCs w:val="21"/>
          <w:highlight w:val="none"/>
        </w:rPr>
        <w:t>7</w:t>
      </w:r>
      <w:r>
        <w:rPr>
          <w:rFonts w:cs="宋体" w:asciiTheme="minorEastAsia" w:hAnsiTheme="minorEastAsia" w:eastAsiaTheme="minorEastAsia"/>
          <w:color w:val="auto"/>
          <w:sz w:val="21"/>
          <w:szCs w:val="21"/>
          <w:highlight w:val="none"/>
        </w:rPr>
        <w:t>.本项目不接受联合体</w:t>
      </w:r>
      <w:r>
        <w:rPr>
          <w:rFonts w:hint="eastAsia" w:cs="宋体" w:asciiTheme="minorEastAsia" w:hAnsiTheme="minorEastAsia" w:eastAsiaTheme="minorEastAsia"/>
          <w:color w:val="auto"/>
          <w:sz w:val="21"/>
          <w:szCs w:val="21"/>
          <w:highlight w:val="none"/>
        </w:rPr>
        <w:t>投标</w:t>
      </w:r>
      <w:r>
        <w:rPr>
          <w:rFonts w:cs="宋体" w:asciiTheme="minorEastAsia" w:hAnsiTheme="minorEastAsia" w:eastAsiaTheme="minorEastAsia"/>
          <w:color w:val="auto"/>
          <w:sz w:val="21"/>
          <w:szCs w:val="21"/>
          <w:highlight w:val="none"/>
        </w:rPr>
        <w:t>。</w:t>
      </w:r>
    </w:p>
    <w:p w14:paraId="34C8BBAD">
      <w:pPr>
        <w:widowControl/>
        <w:spacing w:line="460" w:lineRule="exact"/>
        <w:ind w:firstLine="426" w:firstLineChars="202"/>
        <w:rPr>
          <w:rFonts w:hint="eastAsia" w:cs="宋体" w:asciiTheme="minorEastAsia" w:hAnsiTheme="minorEastAsia" w:eastAsiaTheme="minorEastAsia"/>
          <w:b/>
          <w:color w:val="auto"/>
          <w:sz w:val="21"/>
          <w:szCs w:val="21"/>
          <w:highlight w:val="none"/>
        </w:rPr>
      </w:pPr>
      <w:r>
        <w:rPr>
          <w:rFonts w:hint="eastAsia" w:cs="宋体" w:asciiTheme="minorEastAsia" w:hAnsiTheme="minorEastAsia" w:eastAsiaTheme="minorEastAsia"/>
          <w:b/>
          <w:color w:val="auto"/>
          <w:sz w:val="21"/>
          <w:szCs w:val="21"/>
          <w:highlight w:val="none"/>
        </w:rPr>
        <w:t>二、申请人资格要求：</w:t>
      </w:r>
    </w:p>
    <w:p w14:paraId="2D989F77">
      <w:pPr>
        <w:widowControl/>
        <w:spacing w:line="4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1.满足《中华人民共和国政府采购法》第二十二条规定；</w:t>
      </w:r>
    </w:p>
    <w:p w14:paraId="76BDB1A1">
      <w:pPr>
        <w:widowControl/>
        <w:spacing w:line="4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2.落实政府采购政策需满足的资格要求：无，本项目不属于专门面向中小企业的政府采购项目。</w:t>
      </w:r>
    </w:p>
    <w:p w14:paraId="0EDD120C">
      <w:pPr>
        <w:widowControl/>
        <w:spacing w:line="4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3.本项目的特定资格要求：</w:t>
      </w:r>
    </w:p>
    <w:p w14:paraId="495769F0">
      <w:pPr>
        <w:widowControl/>
        <w:spacing w:line="4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3.1本项目不允许进行转包和分包，参与本项目的投标人须针对此事宜进行书面承诺。</w:t>
      </w:r>
    </w:p>
    <w:p w14:paraId="3746D122">
      <w:pPr>
        <w:widowControl/>
        <w:spacing w:line="4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3.2投标人在本项目采购公告发布之日之前未被列入“信用中国”网站“失信被执行人”“重大税收违法失信主体”“政府采购严重违法失信行为记录名单”，未被列入中国政府采购网“政府采购严重违法失信行为信息记录名单”，由采购人及采购代理机构将按照以上条款对参与各投标人的信用信息进行查询，有不良记录的其投标将被拒绝。</w:t>
      </w:r>
    </w:p>
    <w:p w14:paraId="43BEC94C">
      <w:pPr>
        <w:widowControl/>
        <w:spacing w:line="460" w:lineRule="exact"/>
        <w:ind w:firstLine="424" w:firstLineChars="202"/>
        <w:rPr>
          <w:rFonts w:hint="eastAsia" w:cs="宋体" w:asciiTheme="minorEastAsia" w:hAnsiTheme="minorEastAsia" w:eastAsiaTheme="minorEastAsia"/>
          <w:color w:val="auto"/>
          <w:sz w:val="21"/>
          <w:szCs w:val="21"/>
          <w:highlight w:val="none"/>
        </w:rPr>
      </w:pPr>
      <w:r>
        <w:rPr>
          <w:rFonts w:hint="eastAsia" w:hAnsi="宋体" w:cs="宋体"/>
          <w:color w:val="auto"/>
          <w:sz w:val="21"/>
          <w:szCs w:val="21"/>
          <w:highlight w:val="none"/>
        </w:rPr>
        <w:t>3.3单位负责人为同一人或者存在直接控股、管理关系的不同投标人，不得参加同一合同项下的政府采购活动。</w:t>
      </w:r>
    </w:p>
    <w:p w14:paraId="0260C8D0">
      <w:pPr>
        <w:widowControl/>
        <w:spacing w:line="460" w:lineRule="exact"/>
        <w:ind w:firstLine="426" w:firstLineChars="202"/>
        <w:rPr>
          <w:rFonts w:hint="eastAsia" w:hAnsi="宋体" w:cs="宋体"/>
          <w:b/>
          <w:color w:val="auto"/>
          <w:sz w:val="21"/>
          <w:szCs w:val="21"/>
          <w:highlight w:val="none"/>
        </w:rPr>
      </w:pPr>
      <w:r>
        <w:rPr>
          <w:rFonts w:hint="eastAsia" w:hAnsi="宋体" w:cs="宋体"/>
          <w:b/>
          <w:color w:val="auto"/>
          <w:sz w:val="21"/>
          <w:szCs w:val="21"/>
          <w:highlight w:val="none"/>
        </w:rPr>
        <w:t>三、获取招标文件：</w:t>
      </w:r>
    </w:p>
    <w:p w14:paraId="4D35840D">
      <w:pPr>
        <w:widowControl/>
        <w:spacing w:line="4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1.时间：2024年08月</w:t>
      </w:r>
      <w:r>
        <w:rPr>
          <w:rFonts w:hint="eastAsia" w:hAnsi="宋体" w:cs="宋体"/>
          <w:color w:val="auto"/>
          <w:sz w:val="21"/>
          <w:szCs w:val="21"/>
          <w:highlight w:val="none"/>
          <w:lang w:val="en-US" w:eastAsia="zh-CN"/>
        </w:rPr>
        <w:t>11</w:t>
      </w:r>
      <w:r>
        <w:rPr>
          <w:rFonts w:hint="eastAsia" w:hAnsi="宋体" w:cs="宋体"/>
          <w:color w:val="auto"/>
          <w:sz w:val="21"/>
          <w:szCs w:val="21"/>
          <w:highlight w:val="none"/>
        </w:rPr>
        <w:t>日至 2024年08月1</w:t>
      </w:r>
      <w:r>
        <w:rPr>
          <w:rFonts w:hint="eastAsia" w:hAnsi="宋体" w:cs="宋体"/>
          <w:color w:val="auto"/>
          <w:sz w:val="21"/>
          <w:szCs w:val="21"/>
          <w:highlight w:val="none"/>
          <w:lang w:val="en-US" w:eastAsia="zh-CN"/>
        </w:rPr>
        <w:t>8</w:t>
      </w:r>
      <w:r>
        <w:rPr>
          <w:rFonts w:hint="eastAsia" w:hAnsi="宋体" w:cs="宋体"/>
          <w:color w:val="auto"/>
          <w:sz w:val="21"/>
          <w:szCs w:val="21"/>
          <w:highlight w:val="none"/>
        </w:rPr>
        <w:t>日23时59分（北京时间，五个工作日）。</w:t>
      </w:r>
    </w:p>
    <w:p w14:paraId="40FB4B28">
      <w:pPr>
        <w:widowControl/>
        <w:spacing w:line="4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2.地点：政府采购云平台（www.zcygov.cn）。</w:t>
      </w:r>
      <w:bookmarkStart w:id="102" w:name="_GoBack"/>
      <w:bookmarkEnd w:id="102"/>
    </w:p>
    <w:p w14:paraId="3E11A7C4">
      <w:pPr>
        <w:widowControl/>
        <w:spacing w:line="44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3.方式：投标人请于本公告规定招标文件获取时间内登录政府采购云平台（www.zcygov.cn），采用单位数字证书（CA）登录政采云平台并进行账号与数字证书（CA）绑定后，凭数字证书（CA）进行确认参与本项目并免费获取采购文件及其他相关资料（如有）。</w:t>
      </w:r>
    </w:p>
    <w:p w14:paraId="66BF0D90">
      <w:pPr>
        <w:widowControl/>
        <w:spacing w:line="44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注：本次采购采用在政府采购云平台（www.zcygov.cn）开展电子化政府采购活动，投标人参与本项目需要使用CA（数字证书），云南支持云南壹证通CA、云南CA等，申请相关说明如下：</w:t>
      </w:r>
    </w:p>
    <w:p w14:paraId="1BE1FD1F">
      <w:pPr>
        <w:widowControl/>
        <w:spacing w:line="44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（1）云南壹证通CA申领链接：http://yzt.ynsmartcert.cn/cms/yztyzt0011.html，紧急CA办理电话：19987563037。</w:t>
      </w:r>
    </w:p>
    <w:p w14:paraId="770B6555">
      <w:pPr>
        <w:widowControl/>
        <w:spacing w:line="44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 xml:space="preserve">（2）云南CA申领链接：https://cap.yunnanca.net/login，请投标人自行注册办理，云南CA客服热线400-6727-666。 </w:t>
      </w:r>
    </w:p>
    <w:p w14:paraId="7F341A28">
      <w:pPr>
        <w:widowControl/>
        <w:spacing w:line="44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3）如果投标人已办理以上任一CA机构的数字证书（CA）且证书处于有效期内，均可直接在政府采购云平台绑定即可，无需重复办理。云南省外供应商在政采云平台办理的其他CA（汇信CA、福建CA）可直接使用，无需重复办理。</w:t>
      </w:r>
    </w:p>
    <w:p w14:paraId="2780788D">
      <w:pPr>
        <w:widowControl/>
        <w:spacing w:line="4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4.售价：¥0.00元。</w:t>
      </w:r>
    </w:p>
    <w:p w14:paraId="4625E789">
      <w:pPr>
        <w:widowControl/>
        <w:spacing w:line="460" w:lineRule="exact"/>
        <w:ind w:firstLine="426" w:firstLineChars="202"/>
        <w:rPr>
          <w:rFonts w:hint="eastAsia" w:hAnsi="宋体" w:cs="宋体"/>
          <w:b/>
          <w:color w:val="auto"/>
          <w:sz w:val="21"/>
          <w:szCs w:val="21"/>
          <w:highlight w:val="none"/>
        </w:rPr>
      </w:pPr>
      <w:r>
        <w:rPr>
          <w:rFonts w:hint="eastAsia" w:hAnsi="宋体" w:cs="宋体"/>
          <w:b/>
          <w:color w:val="auto"/>
          <w:sz w:val="21"/>
          <w:szCs w:val="21"/>
          <w:highlight w:val="none"/>
        </w:rPr>
        <w:t>四、提交投标文件截止时间、开标时间和地点：</w:t>
      </w:r>
    </w:p>
    <w:p w14:paraId="35B76BA2">
      <w:pPr>
        <w:widowControl/>
        <w:spacing w:line="4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1. 提交投标文件截止时间：</w:t>
      </w:r>
      <w:r>
        <w:rPr>
          <w:rFonts w:hint="eastAsia" w:asciiTheme="minorEastAsia" w:hAnsiTheme="minorEastAsia" w:eastAsiaTheme="minorEastAsia"/>
          <w:color w:val="auto"/>
          <w:sz w:val="21"/>
          <w:szCs w:val="21"/>
          <w:highlight w:val="none"/>
          <w:u w:val="single"/>
        </w:rPr>
        <w:t>2024年09月02日09时00分</w:t>
      </w:r>
      <w:r>
        <w:rPr>
          <w:rFonts w:hint="eastAsia" w:hAnsi="宋体" w:cs="宋体"/>
          <w:color w:val="auto"/>
          <w:sz w:val="21"/>
          <w:szCs w:val="21"/>
          <w:highlight w:val="none"/>
        </w:rPr>
        <w:t>（北京时间）。</w:t>
      </w:r>
    </w:p>
    <w:p w14:paraId="53DA0790">
      <w:pPr>
        <w:widowControl/>
        <w:spacing w:line="4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2.地点：保山市天瑞建设工程招标咨询有限公司二楼会议室（保山市隆阳区象山路5号），请各投标人登录政采云投标客户端参与采购活动并递交投标文件。</w:t>
      </w:r>
    </w:p>
    <w:p w14:paraId="50DF72BC">
      <w:pPr>
        <w:widowControl/>
        <w:spacing w:line="460" w:lineRule="exact"/>
        <w:ind w:firstLine="426" w:firstLineChars="202"/>
        <w:rPr>
          <w:rFonts w:hint="eastAsia" w:hAnsi="宋体" w:cs="宋体"/>
          <w:b/>
          <w:color w:val="auto"/>
          <w:sz w:val="21"/>
          <w:szCs w:val="21"/>
          <w:highlight w:val="none"/>
        </w:rPr>
      </w:pPr>
      <w:r>
        <w:rPr>
          <w:rFonts w:hint="eastAsia" w:hAnsi="宋体" w:cs="宋体"/>
          <w:b/>
          <w:color w:val="auto"/>
          <w:sz w:val="21"/>
          <w:szCs w:val="21"/>
          <w:highlight w:val="none"/>
        </w:rPr>
        <w:t>五、公告期限：</w:t>
      </w:r>
    </w:p>
    <w:p w14:paraId="12AD947C">
      <w:pPr>
        <w:widowControl/>
        <w:spacing w:line="4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自本公告发布之日起5个工作日。</w:t>
      </w:r>
    </w:p>
    <w:p w14:paraId="03D9BED6">
      <w:pPr>
        <w:widowControl/>
        <w:spacing w:line="460" w:lineRule="exact"/>
        <w:ind w:firstLine="426" w:firstLineChars="202"/>
        <w:rPr>
          <w:rFonts w:hint="eastAsia" w:hAnsi="宋体" w:cs="宋体"/>
          <w:b/>
          <w:color w:val="auto"/>
          <w:sz w:val="21"/>
          <w:szCs w:val="21"/>
          <w:highlight w:val="none"/>
        </w:rPr>
      </w:pPr>
      <w:r>
        <w:rPr>
          <w:rFonts w:hint="eastAsia" w:hAnsi="宋体" w:cs="宋体"/>
          <w:b/>
          <w:color w:val="auto"/>
          <w:sz w:val="21"/>
          <w:szCs w:val="21"/>
          <w:highlight w:val="none"/>
        </w:rPr>
        <w:t>六、其他补充事宜：</w:t>
      </w:r>
    </w:p>
    <w:p w14:paraId="5571A87E">
      <w:pPr>
        <w:widowControl/>
        <w:spacing w:line="4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1.本项目投标保证金金额：¥40000.00元。</w:t>
      </w:r>
    </w:p>
    <w:p w14:paraId="2D945C39">
      <w:pPr>
        <w:widowControl/>
        <w:spacing w:line="4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2.本项目投标保证金形式为转账或银行保函或保证保险或其他非现金方式（不接受现场缴纳现金），采用转账的方式提交投标保证金的，投标保证金缴纳账户如下：</w:t>
      </w:r>
    </w:p>
    <w:tbl>
      <w:tblPr>
        <w:tblStyle w:val="39"/>
        <w:tblW w:w="9455" w:type="dxa"/>
        <w:tblInd w:w="0"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
      <w:tblGrid>
        <w:gridCol w:w="9455"/>
      </w:tblGrid>
      <w:tr w14:paraId="0C45C447">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45" w:hRule="atLeast"/>
        </w:trPr>
        <w:tc>
          <w:tcPr>
            <w:tcW w:w="9455" w:type="dxa"/>
            <w:tcBorders>
              <w:top w:val="outset" w:color="auto" w:sz="6" w:space="0"/>
              <w:left w:val="outset" w:color="auto" w:sz="6" w:space="0"/>
              <w:bottom w:val="outset" w:color="auto" w:sz="6" w:space="0"/>
              <w:right w:val="outset" w:color="auto" w:sz="6" w:space="0"/>
            </w:tcBorders>
            <w:vAlign w:val="center"/>
          </w:tcPr>
          <w:p w14:paraId="4E5B4592">
            <w:pPr>
              <w:widowControl/>
              <w:spacing w:line="3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投标保证金汇款账户</w:t>
            </w:r>
          </w:p>
        </w:tc>
      </w:tr>
      <w:tr w14:paraId="69BA8F4A">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141" w:hRule="atLeast"/>
        </w:trPr>
        <w:tc>
          <w:tcPr>
            <w:tcW w:w="9455" w:type="dxa"/>
            <w:tcBorders>
              <w:top w:val="outset" w:color="auto" w:sz="6" w:space="0"/>
              <w:left w:val="outset" w:color="auto" w:sz="6" w:space="0"/>
              <w:bottom w:val="outset" w:color="auto" w:sz="6" w:space="0"/>
              <w:right w:val="outset" w:color="auto" w:sz="6" w:space="0"/>
            </w:tcBorders>
            <w:vAlign w:val="center"/>
          </w:tcPr>
          <w:p w14:paraId="0348D77C">
            <w:pPr>
              <w:widowControl/>
              <w:spacing w:line="3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开户名称：保山市天瑞建设工程招标咨询有限公司</w:t>
            </w:r>
          </w:p>
        </w:tc>
      </w:tr>
      <w:tr w14:paraId="042B8074">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4" w:hRule="atLeast"/>
        </w:trPr>
        <w:tc>
          <w:tcPr>
            <w:tcW w:w="9455" w:type="dxa"/>
            <w:tcBorders>
              <w:top w:val="outset" w:color="auto" w:sz="6" w:space="0"/>
              <w:left w:val="outset" w:color="auto" w:sz="6" w:space="0"/>
              <w:bottom w:val="outset" w:color="auto" w:sz="6" w:space="0"/>
              <w:right w:val="outset" w:color="auto" w:sz="6" w:space="0"/>
            </w:tcBorders>
            <w:vAlign w:val="center"/>
          </w:tcPr>
          <w:p w14:paraId="7843CF5F">
            <w:pPr>
              <w:widowControl/>
              <w:spacing w:line="3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开户银行：中国建设银行股份有限公司保山新村支行</w:t>
            </w:r>
          </w:p>
        </w:tc>
      </w:tr>
      <w:tr w14:paraId="650D6663">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4" w:hRule="atLeast"/>
        </w:trPr>
        <w:tc>
          <w:tcPr>
            <w:tcW w:w="9455" w:type="dxa"/>
            <w:tcBorders>
              <w:top w:val="outset" w:color="auto" w:sz="6" w:space="0"/>
              <w:left w:val="outset" w:color="auto" w:sz="6" w:space="0"/>
              <w:bottom w:val="outset" w:color="auto" w:sz="6" w:space="0"/>
              <w:right w:val="outset" w:color="auto" w:sz="6" w:space="0"/>
            </w:tcBorders>
            <w:vAlign w:val="center"/>
          </w:tcPr>
          <w:p w14:paraId="5F7757E4">
            <w:pPr>
              <w:widowControl/>
              <w:spacing w:line="3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账号：5300 1728 6420 5100 0568</w:t>
            </w:r>
          </w:p>
        </w:tc>
      </w:tr>
      <w:tr w14:paraId="2D5CC046">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4" w:hRule="atLeast"/>
        </w:trPr>
        <w:tc>
          <w:tcPr>
            <w:tcW w:w="9455" w:type="dxa"/>
            <w:tcBorders>
              <w:top w:val="outset" w:color="auto" w:sz="6" w:space="0"/>
              <w:left w:val="outset" w:color="auto" w:sz="6" w:space="0"/>
              <w:bottom w:val="outset" w:color="auto" w:sz="6" w:space="0"/>
              <w:right w:val="outset" w:color="auto" w:sz="6" w:space="0"/>
            </w:tcBorders>
            <w:vAlign w:val="center"/>
          </w:tcPr>
          <w:p w14:paraId="0049596E">
            <w:pPr>
              <w:widowControl/>
              <w:spacing w:line="3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汇入地址：云南省保山市</w:t>
            </w:r>
          </w:p>
        </w:tc>
      </w:tr>
      <w:tr w14:paraId="713E6CCA">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4" w:hRule="atLeast"/>
        </w:trPr>
        <w:tc>
          <w:tcPr>
            <w:tcW w:w="9455" w:type="dxa"/>
            <w:tcBorders>
              <w:top w:val="outset" w:color="auto" w:sz="6" w:space="0"/>
              <w:left w:val="outset" w:color="auto" w:sz="6" w:space="0"/>
              <w:bottom w:val="outset" w:color="auto" w:sz="6" w:space="0"/>
              <w:right w:val="outset" w:color="auto" w:sz="6" w:space="0"/>
            </w:tcBorders>
            <w:vAlign w:val="center"/>
          </w:tcPr>
          <w:p w14:paraId="7FD73CF0">
            <w:pPr>
              <w:widowControl/>
              <w:spacing w:line="3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汇款缴纳查询电话：0875—2147689</w:t>
            </w:r>
          </w:p>
        </w:tc>
      </w:tr>
      <w:tr w14:paraId="012292AD">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4" w:hRule="atLeast"/>
        </w:trPr>
        <w:tc>
          <w:tcPr>
            <w:tcW w:w="9455" w:type="dxa"/>
            <w:tcBorders>
              <w:top w:val="outset" w:color="auto" w:sz="6" w:space="0"/>
              <w:left w:val="outset" w:color="auto" w:sz="6" w:space="0"/>
              <w:bottom w:val="outset" w:color="auto" w:sz="6" w:space="0"/>
              <w:right w:val="outset" w:color="auto" w:sz="6" w:space="0"/>
            </w:tcBorders>
            <w:vAlign w:val="center"/>
          </w:tcPr>
          <w:p w14:paraId="01E076A4">
            <w:pPr>
              <w:widowControl/>
              <w:spacing w:line="3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联系人：寸女士</w:t>
            </w:r>
          </w:p>
        </w:tc>
      </w:tr>
      <w:tr w14:paraId="0B31D97F">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4" w:hRule="atLeast"/>
        </w:trPr>
        <w:tc>
          <w:tcPr>
            <w:tcW w:w="9455" w:type="dxa"/>
            <w:tcBorders>
              <w:top w:val="outset" w:color="auto" w:sz="6" w:space="0"/>
              <w:left w:val="outset" w:color="auto" w:sz="6" w:space="0"/>
              <w:bottom w:val="outset" w:color="auto" w:sz="6" w:space="0"/>
              <w:right w:val="outset" w:color="auto" w:sz="6" w:space="0"/>
            </w:tcBorders>
            <w:vAlign w:val="center"/>
          </w:tcPr>
          <w:p w14:paraId="2DD7D4AB">
            <w:pPr>
              <w:widowControl/>
              <w:spacing w:line="3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注：</w:t>
            </w:r>
          </w:p>
          <w:p w14:paraId="5ECC6D8F">
            <w:pPr>
              <w:widowControl/>
              <w:spacing w:line="3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1.投标保证金的缴纳：投标人缴纳保证金须从单位基本户或对公账户（自然人请使用自身合法有效账户）转出，并注明项目名称或项目编号，并明确具体参与的标段情况。参与多个标段的投标人缴纳投标保证金时，请分别针对每个标段缴纳投标保证金。</w:t>
            </w:r>
          </w:p>
          <w:p w14:paraId="5C87510F">
            <w:pPr>
              <w:widowControl/>
              <w:spacing w:line="3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2.保证金的退还：在中标公告发布后，请未中标的投标人携带保证金银行存款、汇款证明及开户许可证明发送至保山市天瑞建设工程招标咨询有限公司邮箱：bstrzb@126.com办理退保证金手续，中标人在合同签订后携带合同协议书及保证金相关凭证退保证金。</w:t>
            </w:r>
          </w:p>
        </w:tc>
      </w:tr>
    </w:tbl>
    <w:p w14:paraId="004D5EA4">
      <w:pPr>
        <w:widowControl/>
        <w:spacing w:line="44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3.公告发布媒体</w:t>
      </w:r>
    </w:p>
    <w:p w14:paraId="10D5B08E">
      <w:pPr>
        <w:widowControl/>
        <w:spacing w:line="44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3.1本项目公开招标公告发布媒体：云南省政府采购网（www.yngp.com）。</w:t>
      </w:r>
    </w:p>
    <w:p w14:paraId="599DF151">
      <w:pPr>
        <w:widowControl/>
        <w:spacing w:line="44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3.2投标人在参加投标之前务必认真阅读公开招标公告全部内容；公开招标公告或招标文件如有变更，将在以上网站或以书面形式向各投标人发布。</w:t>
      </w:r>
    </w:p>
    <w:p w14:paraId="6F584DB7">
      <w:pPr>
        <w:widowControl/>
        <w:spacing w:line="44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4.采购意向公开情况：根据《财政部关于开展政府采购意向公开工作的通知》（财库〔2020〕10号）等有关规定，采购意向公开信息于2024年07月08日在云南省政府采购网发布，采购意向公开信息网址为http://www.yngp.com/viewPurchaseInfo.html?sys_purchaseintention_id=-1d9ecf1a.1908d15a82d.-6c08。</w:t>
      </w:r>
    </w:p>
    <w:p w14:paraId="7C0F36B7">
      <w:pPr>
        <w:widowControl/>
        <w:spacing w:line="44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5.落实政府采购政策：</w:t>
      </w:r>
    </w:p>
    <w:p w14:paraId="3C0A03A2">
      <w:pPr>
        <w:widowControl/>
        <w:spacing w:line="44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扶持中小企业政策：本项目不属于专门面向中小企业的政府采购项目，在评审时小型、微型企业提供的产品（提供本企业承担的服务）价格给予10%的扣除。监狱企业、残疾人福利性单位视同小型和微型企业，其产品在评审时给予相同的价格扣除。执行政策文件：《中华人民共和国中小企业促进法》《政府采购促进中小企业发展管理办法》（财库〔2020〕46号）、 《财政部司法部关于政府采购支持监狱企业发展有关问题的通知》（财库〔2014〕68号）、《财政部民政部中国残疾人联合会关于促进残疾人就业政府采购政策的通知》（财库〔2017〕141号）、《关于进一步加大政府采购支持中小企业力度的通知》（财库〔2022〕19号）、《云南省进一步帮扶中小微企业纾困发展工作方案》（云政办发〔2022〕42号）。</w:t>
      </w:r>
    </w:p>
    <w:p w14:paraId="25CDD7CD">
      <w:pPr>
        <w:widowControl/>
        <w:spacing w:line="460" w:lineRule="exact"/>
        <w:ind w:firstLine="420" w:firstLineChars="200"/>
        <w:jc w:val="left"/>
        <w:rPr>
          <w:rFonts w:hint="eastAsia" w:hAnsi="宋体" w:cs="宋体"/>
          <w:color w:val="auto"/>
          <w:sz w:val="21"/>
          <w:szCs w:val="21"/>
          <w:highlight w:val="none"/>
        </w:rPr>
      </w:pPr>
      <w:r>
        <w:rPr>
          <w:rFonts w:hint="eastAsia" w:hAnsi="宋体" w:cs="宋体"/>
          <w:color w:val="auto"/>
          <w:sz w:val="21"/>
          <w:szCs w:val="21"/>
          <w:highlight w:val="none"/>
        </w:rPr>
        <w:t>6.本次采购采用政府采购云平台（www.zcygov.cn）组织开展采购活动，投标人根据此系统要求递交投标文件。采购过程具体操作流程请各投标人在政府采购云平台（https://www. zcygov.cn/）的网站操作指南中下载《供应商操作指南》查看操作或在该网站中采购学院中观看《政府采购电子交易供应商线上培训》相关视频。投标人在制作响应文件前，需先下载政采云电子投标客户端并进行安装，下载安装完成之后，可通过账号密码或CA登录客户端制作响应文件（客户端下载网址： https://customer.zcygov.cn/CA-driver-download ）。</w:t>
      </w:r>
    </w:p>
    <w:p w14:paraId="2CF722C5">
      <w:pPr>
        <w:widowControl/>
        <w:spacing w:line="44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7.监督电话：保山市财政局政府采购管理科：0875-2216045</w:t>
      </w:r>
    </w:p>
    <w:p w14:paraId="43E31040">
      <w:pPr>
        <w:widowControl/>
        <w:spacing w:line="440" w:lineRule="exact"/>
        <w:ind w:firstLine="426" w:firstLineChars="202"/>
        <w:rPr>
          <w:rFonts w:hint="eastAsia" w:hAnsi="宋体" w:cs="宋体"/>
          <w:b/>
          <w:bCs/>
          <w:color w:val="auto"/>
          <w:sz w:val="21"/>
          <w:szCs w:val="21"/>
          <w:highlight w:val="none"/>
        </w:rPr>
      </w:pPr>
      <w:r>
        <w:rPr>
          <w:rFonts w:hint="eastAsia" w:hAnsi="宋体" w:cs="宋体"/>
          <w:b/>
          <w:bCs/>
          <w:color w:val="auto"/>
          <w:sz w:val="21"/>
          <w:szCs w:val="21"/>
          <w:highlight w:val="none"/>
        </w:rPr>
        <w:t>七、凡对本次采购提出询问，请按以下方式联系：</w:t>
      </w:r>
    </w:p>
    <w:p w14:paraId="10D7FCD3">
      <w:pPr>
        <w:widowControl/>
        <w:spacing w:line="44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 xml:space="preserve">1.采购人信息 </w:t>
      </w:r>
    </w:p>
    <w:p w14:paraId="324E3AC3">
      <w:pPr>
        <w:widowControl/>
        <w:spacing w:line="44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名   称：保山市商务局　　</w:t>
      </w:r>
    </w:p>
    <w:p w14:paraId="5ACCCEE5">
      <w:pPr>
        <w:widowControl/>
        <w:spacing w:line="44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地   址：云南省保山市隆阳区锦溪路65号</w:t>
      </w:r>
    </w:p>
    <w:p w14:paraId="097E23C4">
      <w:pPr>
        <w:widowControl/>
        <w:spacing w:line="44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联系方式：0875-3037538</w:t>
      </w:r>
    </w:p>
    <w:p w14:paraId="1C4925F5">
      <w:pPr>
        <w:widowControl/>
        <w:spacing w:line="44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2.采购代理机构信息</w:t>
      </w:r>
    </w:p>
    <w:p w14:paraId="09EAEBD7">
      <w:pPr>
        <w:widowControl/>
        <w:spacing w:line="44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名    称：保山市天瑞建设工程招标咨询有限公司　</w:t>
      </w:r>
    </w:p>
    <w:p w14:paraId="096DF0E4">
      <w:pPr>
        <w:widowControl/>
        <w:spacing w:line="44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地　　址：云南省保山市隆阳区象山路5号　</w:t>
      </w:r>
    </w:p>
    <w:p w14:paraId="1EAEBDDE">
      <w:pPr>
        <w:widowControl/>
        <w:spacing w:line="44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联系方式： 0875-2147689　</w:t>
      </w:r>
    </w:p>
    <w:p w14:paraId="272829A1">
      <w:pPr>
        <w:widowControl/>
        <w:spacing w:line="44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3.项目联系方式</w:t>
      </w:r>
    </w:p>
    <w:p w14:paraId="74ACCC0A">
      <w:pPr>
        <w:widowControl/>
        <w:spacing w:line="44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采购人项目联系人：周先生</w:t>
      </w:r>
    </w:p>
    <w:p w14:paraId="6C526FF2">
      <w:pPr>
        <w:widowControl/>
        <w:spacing w:line="44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电　　 话：0875-3037538</w:t>
      </w:r>
    </w:p>
    <w:p w14:paraId="4587A952">
      <w:pPr>
        <w:widowControl/>
        <w:spacing w:line="44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 xml:space="preserve">采购代理机构项目联系人：王先生  </w:t>
      </w:r>
    </w:p>
    <w:p w14:paraId="2EFD818D">
      <w:pPr>
        <w:widowControl/>
        <w:spacing w:line="440" w:lineRule="exact"/>
        <w:ind w:firstLine="424" w:firstLineChars="202"/>
        <w:rPr>
          <w:rFonts w:hint="eastAsia" w:hAnsi="宋体" w:cs="宋体"/>
          <w:bCs/>
          <w:color w:val="auto"/>
          <w:sz w:val="21"/>
          <w:szCs w:val="21"/>
          <w:highlight w:val="none"/>
        </w:rPr>
      </w:pPr>
      <w:r>
        <w:rPr>
          <w:rFonts w:hint="eastAsia" w:hAnsi="宋体" w:cs="宋体"/>
          <w:color w:val="auto"/>
          <w:sz w:val="21"/>
          <w:szCs w:val="21"/>
          <w:highlight w:val="none"/>
        </w:rPr>
        <w:t>电　　 话：0875-2147689</w:t>
      </w:r>
    </w:p>
    <w:p w14:paraId="7A58E317">
      <w:pPr>
        <w:pStyle w:val="15"/>
        <w:ind w:left="3920"/>
        <w:rPr>
          <w:rFonts w:hint="eastAsia" w:hAnsi="宋体" w:cs="宋体"/>
          <w:bCs/>
          <w:color w:val="auto"/>
          <w:sz w:val="21"/>
          <w:szCs w:val="21"/>
          <w:highlight w:val="none"/>
        </w:rPr>
      </w:pPr>
    </w:p>
    <w:p w14:paraId="19F491B0">
      <w:pPr>
        <w:rPr>
          <w:color w:val="auto"/>
          <w:highlight w:val="none"/>
        </w:rPr>
        <w:sectPr>
          <w:headerReference r:id="rId3" w:type="default"/>
          <w:footerReference r:id="rId4" w:type="default"/>
          <w:pgSz w:w="11906" w:h="16838"/>
          <w:pgMar w:top="1418" w:right="972" w:bottom="1246" w:left="1134" w:header="851" w:footer="992" w:gutter="0"/>
          <w:pgNumType w:start="0"/>
          <w:cols w:space="720" w:num="1"/>
          <w:docGrid w:type="lines" w:linePitch="312" w:charSpace="0"/>
        </w:sectPr>
      </w:pPr>
    </w:p>
    <w:p w14:paraId="59EA504A">
      <w:pPr>
        <w:pStyle w:val="6"/>
        <w:spacing w:line="360" w:lineRule="auto"/>
        <w:jc w:val="center"/>
        <w:rPr>
          <w:rFonts w:hint="eastAsia" w:ascii="宋体" w:hAnsi="宋体" w:eastAsia="宋体"/>
          <w:bCs w:val="0"/>
          <w:color w:val="auto"/>
          <w:sz w:val="44"/>
          <w:szCs w:val="44"/>
          <w:highlight w:val="none"/>
        </w:rPr>
      </w:pPr>
      <w:bookmarkStart w:id="3" w:name="_Toc16861"/>
      <w:r>
        <w:rPr>
          <w:rFonts w:hint="eastAsia" w:ascii="宋体" w:hAnsi="宋体" w:eastAsia="宋体"/>
          <w:bCs w:val="0"/>
          <w:color w:val="auto"/>
          <w:sz w:val="44"/>
          <w:szCs w:val="44"/>
          <w:highlight w:val="none"/>
        </w:rPr>
        <w:t>第二章  投标人须知</w:t>
      </w:r>
      <w:bookmarkEnd w:id="1"/>
      <w:bookmarkEnd w:id="2"/>
      <w:bookmarkEnd w:id="3"/>
    </w:p>
    <w:p w14:paraId="5563834E">
      <w:pPr>
        <w:pStyle w:val="7"/>
        <w:numPr>
          <w:ilvl w:val="0"/>
          <w:numId w:val="0"/>
        </w:numPr>
        <w:spacing w:before="0" w:after="0" w:line="480" w:lineRule="exact"/>
        <w:rPr>
          <w:rFonts w:hint="eastAsia" w:hAnsi="宋体"/>
          <w:color w:val="auto"/>
          <w:highlight w:val="none"/>
        </w:rPr>
      </w:pPr>
      <w:bookmarkStart w:id="4" w:name="_Toc444848840"/>
      <w:bookmarkStart w:id="5" w:name="_Toc441049659"/>
      <w:bookmarkStart w:id="6" w:name="_Toc29690"/>
      <w:r>
        <w:rPr>
          <w:rFonts w:hint="eastAsia" w:hAnsi="宋体"/>
          <w:color w:val="auto"/>
          <w:highlight w:val="none"/>
        </w:rPr>
        <w:t>一、投标人须知前附表</w:t>
      </w:r>
      <w:bookmarkEnd w:id="4"/>
      <w:bookmarkEnd w:id="5"/>
      <w:bookmarkEnd w:id="6"/>
    </w:p>
    <w:tbl>
      <w:tblPr>
        <w:tblStyle w:val="39"/>
        <w:tblW w:w="100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2"/>
        <w:gridCol w:w="1870"/>
        <w:gridCol w:w="7049"/>
      </w:tblGrid>
      <w:tr w14:paraId="20800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blHeader/>
          <w:jc w:val="center"/>
        </w:trPr>
        <w:tc>
          <w:tcPr>
            <w:tcW w:w="1102" w:type="dxa"/>
            <w:vAlign w:val="center"/>
          </w:tcPr>
          <w:p w14:paraId="4D5C3A3D">
            <w:pPr>
              <w:spacing w:line="420" w:lineRule="exact"/>
              <w:jc w:val="center"/>
              <w:rPr>
                <w:rFonts w:hint="eastAsia" w:hAnsi="宋体"/>
                <w:b/>
                <w:color w:val="auto"/>
                <w:sz w:val="21"/>
                <w:szCs w:val="21"/>
                <w:highlight w:val="none"/>
              </w:rPr>
            </w:pPr>
            <w:r>
              <w:rPr>
                <w:rFonts w:hint="eastAsia" w:hAnsi="宋体"/>
                <w:b/>
                <w:color w:val="auto"/>
                <w:sz w:val="21"/>
                <w:szCs w:val="21"/>
                <w:highlight w:val="none"/>
              </w:rPr>
              <w:t>条款号</w:t>
            </w:r>
          </w:p>
        </w:tc>
        <w:tc>
          <w:tcPr>
            <w:tcW w:w="1870" w:type="dxa"/>
            <w:vAlign w:val="center"/>
          </w:tcPr>
          <w:p w14:paraId="3CF7BB94">
            <w:pPr>
              <w:spacing w:line="420" w:lineRule="exact"/>
              <w:jc w:val="center"/>
              <w:rPr>
                <w:rFonts w:hint="eastAsia" w:hAnsi="宋体"/>
                <w:b/>
                <w:color w:val="auto"/>
                <w:sz w:val="21"/>
                <w:szCs w:val="21"/>
                <w:highlight w:val="none"/>
              </w:rPr>
            </w:pPr>
            <w:r>
              <w:rPr>
                <w:rFonts w:hint="eastAsia" w:hAnsi="宋体"/>
                <w:b/>
                <w:color w:val="auto"/>
                <w:sz w:val="21"/>
                <w:szCs w:val="21"/>
                <w:highlight w:val="none"/>
              </w:rPr>
              <w:t>条款名称</w:t>
            </w:r>
          </w:p>
        </w:tc>
        <w:tc>
          <w:tcPr>
            <w:tcW w:w="7049" w:type="dxa"/>
            <w:vAlign w:val="center"/>
          </w:tcPr>
          <w:p w14:paraId="4E967717">
            <w:pPr>
              <w:spacing w:line="420" w:lineRule="exact"/>
              <w:jc w:val="center"/>
              <w:rPr>
                <w:rFonts w:hint="eastAsia" w:hAnsi="宋体"/>
                <w:b/>
                <w:color w:val="auto"/>
                <w:sz w:val="21"/>
                <w:szCs w:val="21"/>
                <w:highlight w:val="none"/>
              </w:rPr>
            </w:pPr>
            <w:r>
              <w:rPr>
                <w:rFonts w:hint="eastAsia" w:hAnsi="宋体"/>
                <w:b/>
                <w:color w:val="auto"/>
                <w:sz w:val="21"/>
                <w:szCs w:val="21"/>
                <w:highlight w:val="none"/>
              </w:rPr>
              <w:t>编列说明</w:t>
            </w:r>
          </w:p>
        </w:tc>
      </w:tr>
      <w:tr w14:paraId="6D4AB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2" w:hRule="atLeast"/>
          <w:jc w:val="center"/>
        </w:trPr>
        <w:tc>
          <w:tcPr>
            <w:tcW w:w="1102" w:type="dxa"/>
            <w:vAlign w:val="center"/>
          </w:tcPr>
          <w:p w14:paraId="234C9CE2">
            <w:pPr>
              <w:spacing w:line="420" w:lineRule="exact"/>
              <w:rPr>
                <w:rFonts w:hint="eastAsia" w:hAnsi="宋体"/>
                <w:color w:val="auto"/>
                <w:sz w:val="21"/>
                <w:szCs w:val="21"/>
                <w:highlight w:val="none"/>
              </w:rPr>
            </w:pPr>
            <w:r>
              <w:rPr>
                <w:rFonts w:hint="eastAsia" w:hAnsi="宋体"/>
                <w:color w:val="auto"/>
                <w:sz w:val="21"/>
                <w:szCs w:val="21"/>
                <w:highlight w:val="none"/>
              </w:rPr>
              <w:t>1.1.2</w:t>
            </w:r>
          </w:p>
        </w:tc>
        <w:tc>
          <w:tcPr>
            <w:tcW w:w="1870" w:type="dxa"/>
            <w:vAlign w:val="center"/>
          </w:tcPr>
          <w:p w14:paraId="2F00D329">
            <w:pPr>
              <w:spacing w:line="420" w:lineRule="exact"/>
              <w:jc w:val="center"/>
              <w:rPr>
                <w:rFonts w:hint="eastAsia" w:hAnsi="宋体"/>
                <w:color w:val="auto"/>
                <w:sz w:val="21"/>
                <w:szCs w:val="21"/>
                <w:highlight w:val="none"/>
              </w:rPr>
            </w:pPr>
            <w:r>
              <w:rPr>
                <w:rFonts w:hint="eastAsia" w:hAnsi="宋体"/>
                <w:color w:val="auto"/>
                <w:sz w:val="21"/>
                <w:szCs w:val="21"/>
                <w:highlight w:val="none"/>
              </w:rPr>
              <w:t>采购人</w:t>
            </w:r>
          </w:p>
        </w:tc>
        <w:tc>
          <w:tcPr>
            <w:tcW w:w="7049" w:type="dxa"/>
            <w:tcBorders>
              <w:bottom w:val="single" w:color="auto" w:sz="4" w:space="0"/>
            </w:tcBorders>
            <w:vAlign w:val="center"/>
          </w:tcPr>
          <w:p w14:paraId="414D0998">
            <w:pPr>
              <w:spacing w:line="420" w:lineRule="exact"/>
              <w:rPr>
                <w:rFonts w:hint="eastAsia" w:hAnsi="宋体"/>
                <w:color w:val="auto"/>
                <w:sz w:val="21"/>
                <w:szCs w:val="21"/>
                <w:highlight w:val="none"/>
              </w:rPr>
            </w:pPr>
            <w:r>
              <w:rPr>
                <w:rFonts w:hint="eastAsia" w:hAnsi="宋体"/>
                <w:color w:val="auto"/>
                <w:sz w:val="21"/>
                <w:szCs w:val="21"/>
                <w:highlight w:val="none"/>
              </w:rPr>
              <w:t>名称：保山市商务局</w:t>
            </w:r>
          </w:p>
          <w:p w14:paraId="7FF3FAB1">
            <w:pPr>
              <w:spacing w:line="420" w:lineRule="exact"/>
              <w:rPr>
                <w:rFonts w:hint="eastAsia" w:hAnsi="宋体"/>
                <w:color w:val="auto"/>
                <w:sz w:val="21"/>
                <w:szCs w:val="21"/>
                <w:highlight w:val="none"/>
              </w:rPr>
            </w:pPr>
            <w:r>
              <w:rPr>
                <w:rFonts w:hint="eastAsia" w:hAnsi="宋体"/>
                <w:color w:val="auto"/>
                <w:sz w:val="21"/>
                <w:szCs w:val="21"/>
                <w:highlight w:val="none"/>
              </w:rPr>
              <w:t>地址：云南省保山市隆阳区锦溪路65号</w:t>
            </w:r>
          </w:p>
          <w:p w14:paraId="3810186D">
            <w:pPr>
              <w:spacing w:line="420" w:lineRule="exact"/>
              <w:rPr>
                <w:rFonts w:hint="eastAsia" w:hAnsi="宋体"/>
                <w:color w:val="auto"/>
                <w:sz w:val="21"/>
                <w:szCs w:val="21"/>
                <w:highlight w:val="none"/>
              </w:rPr>
            </w:pPr>
            <w:r>
              <w:rPr>
                <w:rFonts w:hint="eastAsia" w:hAnsi="宋体"/>
                <w:color w:val="auto"/>
                <w:sz w:val="21"/>
                <w:szCs w:val="21"/>
                <w:highlight w:val="none"/>
              </w:rPr>
              <w:t>联系人：</w:t>
            </w:r>
            <w:r>
              <w:rPr>
                <w:rFonts w:hint="eastAsia" w:hAnsi="宋体" w:cs="宋体"/>
                <w:color w:val="auto"/>
                <w:sz w:val="21"/>
                <w:szCs w:val="21"/>
                <w:highlight w:val="none"/>
              </w:rPr>
              <w:t>周先生</w:t>
            </w:r>
          </w:p>
          <w:p w14:paraId="1B29BB62">
            <w:pPr>
              <w:spacing w:line="420" w:lineRule="exact"/>
              <w:rPr>
                <w:rFonts w:hint="eastAsia" w:hAnsi="宋体"/>
                <w:color w:val="auto"/>
                <w:sz w:val="21"/>
                <w:szCs w:val="21"/>
                <w:highlight w:val="none"/>
              </w:rPr>
            </w:pPr>
            <w:r>
              <w:rPr>
                <w:rFonts w:hint="eastAsia" w:hAnsi="宋体"/>
                <w:color w:val="auto"/>
                <w:sz w:val="21"/>
                <w:szCs w:val="21"/>
                <w:highlight w:val="none"/>
              </w:rPr>
              <w:t>联系电话：</w:t>
            </w:r>
            <w:r>
              <w:rPr>
                <w:rFonts w:hint="eastAsia" w:hAnsi="宋体" w:cs="宋体"/>
                <w:color w:val="auto"/>
                <w:sz w:val="21"/>
                <w:szCs w:val="21"/>
                <w:highlight w:val="none"/>
              </w:rPr>
              <w:t>0875-3037538</w:t>
            </w:r>
          </w:p>
        </w:tc>
      </w:tr>
      <w:tr w14:paraId="2A6A3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1102" w:type="dxa"/>
            <w:vAlign w:val="center"/>
          </w:tcPr>
          <w:p w14:paraId="215F4241">
            <w:pPr>
              <w:spacing w:line="420" w:lineRule="exact"/>
              <w:rPr>
                <w:rFonts w:hint="eastAsia" w:hAnsi="宋体"/>
                <w:color w:val="auto"/>
                <w:sz w:val="21"/>
                <w:szCs w:val="21"/>
                <w:highlight w:val="none"/>
              </w:rPr>
            </w:pPr>
            <w:r>
              <w:rPr>
                <w:rFonts w:hint="eastAsia" w:hAnsi="宋体"/>
                <w:color w:val="auto"/>
                <w:sz w:val="21"/>
                <w:szCs w:val="21"/>
                <w:highlight w:val="none"/>
              </w:rPr>
              <w:t>1.1.3</w:t>
            </w:r>
          </w:p>
        </w:tc>
        <w:tc>
          <w:tcPr>
            <w:tcW w:w="1870" w:type="dxa"/>
            <w:vAlign w:val="center"/>
          </w:tcPr>
          <w:p w14:paraId="0EE6A382">
            <w:pPr>
              <w:spacing w:line="420" w:lineRule="exact"/>
              <w:jc w:val="center"/>
              <w:rPr>
                <w:rFonts w:hint="eastAsia" w:hAnsi="宋体"/>
                <w:color w:val="auto"/>
                <w:sz w:val="21"/>
                <w:szCs w:val="21"/>
                <w:highlight w:val="none"/>
              </w:rPr>
            </w:pPr>
            <w:r>
              <w:rPr>
                <w:rFonts w:hint="eastAsia" w:hAnsi="宋体"/>
                <w:color w:val="auto"/>
                <w:sz w:val="21"/>
                <w:szCs w:val="21"/>
                <w:highlight w:val="none"/>
              </w:rPr>
              <w:t>采购代理机构</w:t>
            </w:r>
          </w:p>
        </w:tc>
        <w:tc>
          <w:tcPr>
            <w:tcW w:w="7049" w:type="dxa"/>
            <w:tcBorders>
              <w:bottom w:val="single" w:color="auto" w:sz="4" w:space="0"/>
            </w:tcBorders>
            <w:vAlign w:val="center"/>
          </w:tcPr>
          <w:p w14:paraId="3D3C441D">
            <w:pPr>
              <w:spacing w:line="420" w:lineRule="exact"/>
              <w:rPr>
                <w:rFonts w:hint="eastAsia" w:hAnsi="宋体"/>
                <w:color w:val="auto"/>
                <w:sz w:val="21"/>
                <w:szCs w:val="21"/>
                <w:highlight w:val="none"/>
              </w:rPr>
            </w:pPr>
            <w:r>
              <w:rPr>
                <w:rFonts w:hint="eastAsia" w:hAnsi="宋体"/>
                <w:color w:val="auto"/>
                <w:sz w:val="21"/>
                <w:szCs w:val="21"/>
                <w:highlight w:val="none"/>
              </w:rPr>
              <w:t>名称：保山市天瑞建设工程招标咨询有限公司</w:t>
            </w:r>
          </w:p>
          <w:p w14:paraId="26AECAC1">
            <w:pPr>
              <w:spacing w:line="420" w:lineRule="exact"/>
              <w:rPr>
                <w:rFonts w:hint="eastAsia" w:hAnsi="宋体"/>
                <w:color w:val="auto"/>
                <w:sz w:val="21"/>
                <w:szCs w:val="21"/>
                <w:highlight w:val="none"/>
              </w:rPr>
            </w:pPr>
            <w:r>
              <w:rPr>
                <w:rFonts w:hint="eastAsia" w:hAnsi="宋体"/>
                <w:color w:val="auto"/>
                <w:sz w:val="21"/>
                <w:szCs w:val="21"/>
                <w:highlight w:val="none"/>
              </w:rPr>
              <w:t>地址：云南省保山市隆阳区象山路5号</w:t>
            </w:r>
          </w:p>
          <w:p w14:paraId="604E8B43">
            <w:pPr>
              <w:spacing w:line="420" w:lineRule="exact"/>
              <w:rPr>
                <w:rFonts w:hint="eastAsia" w:hAnsi="宋体"/>
                <w:color w:val="auto"/>
                <w:sz w:val="21"/>
                <w:szCs w:val="21"/>
                <w:highlight w:val="none"/>
              </w:rPr>
            </w:pPr>
            <w:r>
              <w:rPr>
                <w:rFonts w:hint="eastAsia" w:hAnsi="宋体"/>
                <w:color w:val="auto"/>
                <w:sz w:val="21"/>
                <w:szCs w:val="21"/>
                <w:highlight w:val="none"/>
              </w:rPr>
              <w:t>联系人：杨女士  王先生</w:t>
            </w:r>
          </w:p>
          <w:p w14:paraId="215243C9">
            <w:pPr>
              <w:spacing w:line="420" w:lineRule="exact"/>
              <w:rPr>
                <w:rFonts w:hint="eastAsia" w:hAnsi="宋体"/>
                <w:color w:val="auto"/>
                <w:sz w:val="21"/>
                <w:szCs w:val="21"/>
                <w:highlight w:val="none"/>
              </w:rPr>
            </w:pPr>
            <w:r>
              <w:rPr>
                <w:rFonts w:hint="eastAsia" w:hAnsi="宋体"/>
                <w:color w:val="auto"/>
                <w:sz w:val="21"/>
                <w:szCs w:val="21"/>
                <w:highlight w:val="none"/>
              </w:rPr>
              <w:t>电话：0875-2147689</w:t>
            </w:r>
          </w:p>
        </w:tc>
      </w:tr>
      <w:tr w14:paraId="66713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2" w:hRule="atLeast"/>
          <w:jc w:val="center"/>
        </w:trPr>
        <w:tc>
          <w:tcPr>
            <w:tcW w:w="1102" w:type="dxa"/>
            <w:vAlign w:val="center"/>
          </w:tcPr>
          <w:p w14:paraId="2CBF0283">
            <w:pPr>
              <w:spacing w:line="420" w:lineRule="exact"/>
              <w:rPr>
                <w:rFonts w:hint="eastAsia" w:hAnsi="宋体"/>
                <w:color w:val="auto"/>
                <w:sz w:val="21"/>
                <w:szCs w:val="21"/>
                <w:highlight w:val="none"/>
              </w:rPr>
            </w:pPr>
            <w:r>
              <w:rPr>
                <w:rFonts w:hint="eastAsia" w:hAnsi="宋体"/>
                <w:color w:val="auto"/>
                <w:sz w:val="21"/>
                <w:szCs w:val="21"/>
                <w:highlight w:val="none"/>
              </w:rPr>
              <w:t>1.1.4</w:t>
            </w:r>
          </w:p>
        </w:tc>
        <w:tc>
          <w:tcPr>
            <w:tcW w:w="1870" w:type="dxa"/>
            <w:vAlign w:val="center"/>
          </w:tcPr>
          <w:p w14:paraId="09D93D8D">
            <w:pPr>
              <w:spacing w:line="420" w:lineRule="exact"/>
              <w:jc w:val="center"/>
              <w:rPr>
                <w:rFonts w:hint="eastAsia" w:hAnsi="宋体"/>
                <w:color w:val="auto"/>
                <w:sz w:val="21"/>
                <w:szCs w:val="21"/>
                <w:highlight w:val="none"/>
              </w:rPr>
            </w:pPr>
            <w:r>
              <w:rPr>
                <w:rFonts w:hint="eastAsia" w:hAnsi="宋体"/>
                <w:color w:val="auto"/>
                <w:sz w:val="21"/>
                <w:szCs w:val="21"/>
                <w:highlight w:val="none"/>
              </w:rPr>
              <w:t>项目名称</w:t>
            </w:r>
          </w:p>
          <w:p w14:paraId="6818134F">
            <w:pPr>
              <w:spacing w:line="420" w:lineRule="exact"/>
              <w:jc w:val="center"/>
              <w:rPr>
                <w:color w:val="auto"/>
                <w:highlight w:val="none"/>
              </w:rPr>
            </w:pPr>
            <w:r>
              <w:rPr>
                <w:rFonts w:hint="eastAsia" w:hAnsi="宋体"/>
                <w:color w:val="auto"/>
                <w:sz w:val="21"/>
                <w:szCs w:val="21"/>
                <w:highlight w:val="none"/>
              </w:rPr>
              <w:t>项目编号</w:t>
            </w:r>
          </w:p>
        </w:tc>
        <w:tc>
          <w:tcPr>
            <w:tcW w:w="7049" w:type="dxa"/>
            <w:tcBorders>
              <w:bottom w:val="single" w:color="auto" w:sz="4" w:space="0"/>
            </w:tcBorders>
            <w:vAlign w:val="center"/>
          </w:tcPr>
          <w:p w14:paraId="29D95779">
            <w:pPr>
              <w:spacing w:line="420" w:lineRule="exact"/>
              <w:rPr>
                <w:rFonts w:hint="eastAsia" w:hAnsi="宋体"/>
                <w:color w:val="auto"/>
                <w:sz w:val="21"/>
                <w:szCs w:val="21"/>
                <w:highlight w:val="none"/>
              </w:rPr>
            </w:pPr>
            <w:r>
              <w:rPr>
                <w:rFonts w:hint="eastAsia" w:hAnsi="宋体"/>
                <w:color w:val="auto"/>
                <w:sz w:val="21"/>
                <w:szCs w:val="21"/>
                <w:highlight w:val="none"/>
              </w:rPr>
              <w:t>项目名称：保山市加油站流量数据采集系统建设安装项目</w:t>
            </w:r>
          </w:p>
          <w:p w14:paraId="0131A240">
            <w:pPr>
              <w:spacing w:line="420" w:lineRule="exact"/>
              <w:rPr>
                <w:rFonts w:hint="eastAsia" w:hAnsi="宋体"/>
                <w:color w:val="auto"/>
                <w:sz w:val="21"/>
                <w:szCs w:val="21"/>
                <w:highlight w:val="none"/>
              </w:rPr>
            </w:pPr>
            <w:r>
              <w:rPr>
                <w:rFonts w:hint="eastAsia" w:hAnsi="宋体"/>
                <w:color w:val="auto"/>
                <w:sz w:val="21"/>
                <w:szCs w:val="21"/>
                <w:highlight w:val="none"/>
              </w:rPr>
              <w:t>项目编号：TRZBC2024-81</w:t>
            </w:r>
          </w:p>
          <w:p w14:paraId="52A2FAEC">
            <w:pPr>
              <w:spacing w:line="420" w:lineRule="exact"/>
              <w:rPr>
                <w:rFonts w:hint="eastAsia" w:eastAsia="宋体"/>
                <w:color w:val="auto"/>
                <w:highlight w:val="none"/>
                <w:lang w:eastAsia="zh-CN"/>
              </w:rPr>
            </w:pPr>
            <w:r>
              <w:rPr>
                <w:rFonts w:hint="eastAsia" w:hAnsi="宋体"/>
                <w:color w:val="auto"/>
                <w:sz w:val="21"/>
                <w:szCs w:val="21"/>
                <w:highlight w:val="none"/>
                <w:lang w:eastAsia="zh-CN"/>
              </w:rPr>
              <w:t>政采云项目编号：BSZC2024-G3-00502-BSST-0032</w:t>
            </w:r>
          </w:p>
        </w:tc>
      </w:tr>
      <w:tr w14:paraId="0F8BF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1102" w:type="dxa"/>
            <w:vAlign w:val="center"/>
          </w:tcPr>
          <w:p w14:paraId="423F7B91">
            <w:pPr>
              <w:spacing w:line="420" w:lineRule="exact"/>
              <w:rPr>
                <w:rFonts w:hint="eastAsia" w:hAnsi="宋体"/>
                <w:color w:val="auto"/>
                <w:sz w:val="21"/>
                <w:szCs w:val="21"/>
                <w:highlight w:val="none"/>
              </w:rPr>
            </w:pPr>
            <w:r>
              <w:rPr>
                <w:rFonts w:hint="eastAsia" w:hAnsi="宋体"/>
                <w:color w:val="auto"/>
                <w:sz w:val="21"/>
                <w:szCs w:val="21"/>
                <w:highlight w:val="none"/>
              </w:rPr>
              <w:t>1.2.1</w:t>
            </w:r>
          </w:p>
        </w:tc>
        <w:tc>
          <w:tcPr>
            <w:tcW w:w="1870" w:type="dxa"/>
            <w:vAlign w:val="center"/>
          </w:tcPr>
          <w:p w14:paraId="1A8FCEF4">
            <w:pPr>
              <w:spacing w:line="420" w:lineRule="exact"/>
              <w:jc w:val="center"/>
              <w:rPr>
                <w:rFonts w:hint="eastAsia" w:hAnsi="宋体"/>
                <w:color w:val="auto"/>
                <w:sz w:val="21"/>
                <w:szCs w:val="21"/>
                <w:highlight w:val="none"/>
              </w:rPr>
            </w:pPr>
            <w:r>
              <w:rPr>
                <w:rFonts w:hint="eastAsia" w:hAnsi="宋体"/>
                <w:color w:val="auto"/>
                <w:sz w:val="21"/>
                <w:szCs w:val="21"/>
                <w:highlight w:val="none"/>
              </w:rPr>
              <w:t>采购预算及最高限价</w:t>
            </w:r>
          </w:p>
        </w:tc>
        <w:tc>
          <w:tcPr>
            <w:tcW w:w="7049" w:type="dxa"/>
            <w:tcBorders>
              <w:top w:val="nil"/>
            </w:tcBorders>
            <w:vAlign w:val="center"/>
          </w:tcPr>
          <w:p w14:paraId="544A1450">
            <w:pPr>
              <w:spacing w:line="420" w:lineRule="exact"/>
              <w:rPr>
                <w:rFonts w:hint="eastAsia" w:hAnsi="宋体" w:cs="宋体"/>
                <w:b/>
                <w:bCs/>
                <w:color w:val="auto"/>
                <w:sz w:val="21"/>
                <w:szCs w:val="21"/>
                <w:highlight w:val="none"/>
              </w:rPr>
            </w:pPr>
            <w:r>
              <w:rPr>
                <w:rFonts w:hint="eastAsia" w:hAnsi="宋体" w:cs="宋体"/>
                <w:b/>
                <w:bCs/>
                <w:color w:val="auto"/>
                <w:sz w:val="21"/>
                <w:szCs w:val="21"/>
                <w:highlight w:val="none"/>
              </w:rPr>
              <w:t>（1）预算金额：¥4340000.00元。</w:t>
            </w:r>
          </w:p>
          <w:p w14:paraId="10B849E1">
            <w:pPr>
              <w:spacing w:line="420" w:lineRule="exact"/>
              <w:rPr>
                <w:rFonts w:hint="eastAsia" w:hAnsi="宋体" w:cs="宋体"/>
                <w:b/>
                <w:bCs/>
                <w:color w:val="auto"/>
                <w:sz w:val="21"/>
                <w:szCs w:val="21"/>
                <w:highlight w:val="none"/>
              </w:rPr>
            </w:pPr>
            <w:r>
              <w:rPr>
                <w:rFonts w:hint="eastAsia" w:hAnsi="宋体" w:cs="宋体"/>
                <w:b/>
                <w:bCs/>
                <w:color w:val="auto"/>
                <w:sz w:val="21"/>
                <w:szCs w:val="21"/>
                <w:highlight w:val="none"/>
              </w:rPr>
              <w:t>（2）最高限价：¥4340000.00元。</w:t>
            </w:r>
          </w:p>
          <w:p w14:paraId="5ACD3676">
            <w:pPr>
              <w:spacing w:line="420" w:lineRule="exact"/>
              <w:rPr>
                <w:rFonts w:hint="eastAsia" w:hAnsi="宋体"/>
                <w:b/>
                <w:color w:val="auto"/>
                <w:sz w:val="21"/>
                <w:szCs w:val="21"/>
                <w:highlight w:val="none"/>
              </w:rPr>
            </w:pPr>
            <w:r>
              <w:rPr>
                <w:rFonts w:hint="eastAsia" w:hAnsi="宋体" w:cs="宋体"/>
                <w:b/>
                <w:bCs/>
                <w:color w:val="auto"/>
                <w:sz w:val="21"/>
                <w:szCs w:val="21"/>
                <w:highlight w:val="none"/>
              </w:rPr>
              <w:t>（3）投标人所报投标报价不得超过此采购预算（最高限价），否则，将其投标文件为无效投标文件。</w:t>
            </w:r>
          </w:p>
        </w:tc>
      </w:tr>
      <w:tr w14:paraId="5911B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1102" w:type="dxa"/>
            <w:vAlign w:val="center"/>
          </w:tcPr>
          <w:p w14:paraId="1F7D5119">
            <w:pPr>
              <w:spacing w:line="420" w:lineRule="exact"/>
              <w:rPr>
                <w:rFonts w:hint="eastAsia" w:hAnsi="宋体"/>
                <w:color w:val="auto"/>
                <w:sz w:val="21"/>
                <w:szCs w:val="21"/>
                <w:highlight w:val="none"/>
              </w:rPr>
            </w:pPr>
            <w:r>
              <w:rPr>
                <w:rFonts w:hint="eastAsia" w:hAnsi="宋体"/>
                <w:color w:val="auto"/>
                <w:sz w:val="21"/>
                <w:szCs w:val="21"/>
                <w:highlight w:val="none"/>
              </w:rPr>
              <w:t>1.2.2</w:t>
            </w:r>
          </w:p>
        </w:tc>
        <w:tc>
          <w:tcPr>
            <w:tcW w:w="1870" w:type="dxa"/>
            <w:vAlign w:val="center"/>
          </w:tcPr>
          <w:p w14:paraId="642E15A7">
            <w:pPr>
              <w:spacing w:line="420" w:lineRule="exact"/>
              <w:jc w:val="center"/>
              <w:rPr>
                <w:rFonts w:hint="eastAsia" w:hAnsi="宋体"/>
                <w:color w:val="auto"/>
                <w:sz w:val="21"/>
                <w:szCs w:val="21"/>
                <w:highlight w:val="none"/>
              </w:rPr>
            </w:pPr>
            <w:r>
              <w:rPr>
                <w:rFonts w:hint="eastAsia" w:hAnsi="宋体"/>
                <w:color w:val="auto"/>
                <w:sz w:val="21"/>
                <w:szCs w:val="21"/>
                <w:highlight w:val="none"/>
              </w:rPr>
              <w:t>资金来源</w:t>
            </w:r>
          </w:p>
        </w:tc>
        <w:tc>
          <w:tcPr>
            <w:tcW w:w="7049" w:type="dxa"/>
            <w:tcBorders>
              <w:top w:val="nil"/>
            </w:tcBorders>
            <w:vAlign w:val="center"/>
          </w:tcPr>
          <w:p w14:paraId="63FD89E0">
            <w:pPr>
              <w:spacing w:line="420" w:lineRule="exact"/>
              <w:ind w:firstLine="105" w:firstLineChars="50"/>
              <w:rPr>
                <w:rFonts w:hint="eastAsia" w:hAnsi="宋体"/>
                <w:color w:val="auto"/>
                <w:sz w:val="21"/>
                <w:szCs w:val="21"/>
                <w:highlight w:val="none"/>
              </w:rPr>
            </w:pPr>
            <w:r>
              <w:rPr>
                <w:rFonts w:hint="eastAsia" w:hAnsi="宋体" w:cs="宋体"/>
                <w:color w:val="auto"/>
                <w:sz w:val="21"/>
                <w:szCs w:val="21"/>
                <w:highlight w:val="none"/>
              </w:rPr>
              <w:t>财政资金</w:t>
            </w:r>
          </w:p>
        </w:tc>
      </w:tr>
      <w:tr w14:paraId="011E2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1102" w:type="dxa"/>
            <w:vAlign w:val="center"/>
          </w:tcPr>
          <w:p w14:paraId="6AA5312F">
            <w:pPr>
              <w:spacing w:line="420" w:lineRule="exact"/>
              <w:rPr>
                <w:rFonts w:hint="eastAsia" w:hAnsi="宋体"/>
                <w:color w:val="auto"/>
                <w:sz w:val="21"/>
                <w:szCs w:val="21"/>
                <w:highlight w:val="none"/>
              </w:rPr>
            </w:pPr>
            <w:r>
              <w:rPr>
                <w:rFonts w:hint="eastAsia" w:hAnsi="宋体"/>
                <w:color w:val="auto"/>
                <w:sz w:val="21"/>
                <w:szCs w:val="21"/>
                <w:highlight w:val="none"/>
              </w:rPr>
              <w:t>1.3.1</w:t>
            </w:r>
          </w:p>
        </w:tc>
        <w:tc>
          <w:tcPr>
            <w:tcW w:w="1870" w:type="dxa"/>
            <w:vAlign w:val="center"/>
          </w:tcPr>
          <w:p w14:paraId="4AD05B4F">
            <w:pPr>
              <w:spacing w:line="420" w:lineRule="exact"/>
              <w:jc w:val="center"/>
              <w:rPr>
                <w:rFonts w:hint="eastAsia" w:hAnsi="宋体"/>
                <w:color w:val="auto"/>
                <w:sz w:val="21"/>
                <w:szCs w:val="21"/>
                <w:highlight w:val="none"/>
              </w:rPr>
            </w:pPr>
            <w:r>
              <w:rPr>
                <w:rFonts w:hint="eastAsia" w:hAnsi="宋体"/>
                <w:color w:val="auto"/>
                <w:sz w:val="21"/>
                <w:szCs w:val="21"/>
                <w:highlight w:val="none"/>
              </w:rPr>
              <w:t>项目内容</w:t>
            </w:r>
          </w:p>
        </w:tc>
        <w:tc>
          <w:tcPr>
            <w:tcW w:w="7049" w:type="dxa"/>
            <w:vAlign w:val="center"/>
          </w:tcPr>
          <w:p w14:paraId="77D729F7">
            <w:pPr>
              <w:spacing w:line="420" w:lineRule="exact"/>
              <w:rPr>
                <w:rFonts w:hint="eastAsia" w:hAnsi="宋体"/>
                <w:color w:val="auto"/>
                <w:sz w:val="21"/>
                <w:szCs w:val="21"/>
                <w:highlight w:val="none"/>
                <w:u w:val="single"/>
              </w:rPr>
            </w:pPr>
            <w:r>
              <w:rPr>
                <w:rFonts w:hint="eastAsia" w:hAnsi="宋体"/>
                <w:color w:val="auto"/>
                <w:sz w:val="21"/>
                <w:szCs w:val="21"/>
                <w:highlight w:val="none"/>
                <w:u w:val="single"/>
              </w:rPr>
              <w:t>详见招标文件第六章项目技术标准和要求</w:t>
            </w:r>
          </w:p>
        </w:tc>
      </w:tr>
      <w:tr w14:paraId="75B83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1102" w:type="dxa"/>
            <w:vAlign w:val="center"/>
          </w:tcPr>
          <w:p w14:paraId="421C5ADF">
            <w:pPr>
              <w:spacing w:line="420" w:lineRule="exact"/>
              <w:rPr>
                <w:rFonts w:hint="eastAsia" w:hAnsi="宋体"/>
                <w:color w:val="auto"/>
                <w:sz w:val="21"/>
                <w:szCs w:val="21"/>
                <w:highlight w:val="none"/>
              </w:rPr>
            </w:pPr>
            <w:r>
              <w:rPr>
                <w:rFonts w:hint="eastAsia" w:hAnsi="宋体"/>
                <w:color w:val="auto"/>
                <w:sz w:val="21"/>
                <w:szCs w:val="21"/>
                <w:highlight w:val="none"/>
              </w:rPr>
              <w:t>1.3.2</w:t>
            </w:r>
          </w:p>
        </w:tc>
        <w:tc>
          <w:tcPr>
            <w:tcW w:w="1870" w:type="dxa"/>
            <w:vAlign w:val="center"/>
          </w:tcPr>
          <w:p w14:paraId="4C3CFAEC">
            <w:pPr>
              <w:spacing w:line="420" w:lineRule="exact"/>
              <w:jc w:val="center"/>
              <w:rPr>
                <w:rFonts w:hint="eastAsia" w:hAnsi="宋体"/>
                <w:color w:val="auto"/>
                <w:sz w:val="21"/>
                <w:szCs w:val="21"/>
                <w:highlight w:val="none"/>
              </w:rPr>
            </w:pPr>
            <w:r>
              <w:rPr>
                <w:rFonts w:hint="eastAsia" w:hAnsi="宋体"/>
                <w:color w:val="auto"/>
                <w:sz w:val="21"/>
                <w:szCs w:val="21"/>
                <w:highlight w:val="none"/>
              </w:rPr>
              <w:t>项目服务地点</w:t>
            </w:r>
          </w:p>
        </w:tc>
        <w:tc>
          <w:tcPr>
            <w:tcW w:w="7049" w:type="dxa"/>
            <w:vAlign w:val="center"/>
          </w:tcPr>
          <w:p w14:paraId="018B7540">
            <w:pPr>
              <w:spacing w:line="420" w:lineRule="exact"/>
              <w:rPr>
                <w:rFonts w:hint="eastAsia" w:hAnsi="宋体"/>
                <w:color w:val="auto"/>
                <w:sz w:val="21"/>
                <w:szCs w:val="21"/>
                <w:highlight w:val="none"/>
                <w:shd w:val="clear" w:color="auto" w:fill="FFFFFF"/>
              </w:rPr>
            </w:pPr>
            <w:r>
              <w:rPr>
                <w:rFonts w:hint="eastAsia" w:hAnsi="宋体"/>
                <w:color w:val="auto"/>
                <w:sz w:val="21"/>
                <w:szCs w:val="21"/>
                <w:highlight w:val="none"/>
                <w:shd w:val="clear" w:color="auto" w:fill="FFFFFF"/>
              </w:rPr>
              <w:t>保山市商务局指定地点。</w:t>
            </w:r>
          </w:p>
        </w:tc>
      </w:tr>
      <w:tr w14:paraId="75F22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1102" w:type="dxa"/>
            <w:vAlign w:val="center"/>
          </w:tcPr>
          <w:p w14:paraId="755FC93F">
            <w:pPr>
              <w:spacing w:line="420" w:lineRule="exact"/>
              <w:rPr>
                <w:rFonts w:hint="eastAsia" w:hAnsi="宋体"/>
                <w:color w:val="auto"/>
                <w:sz w:val="21"/>
                <w:szCs w:val="21"/>
                <w:highlight w:val="none"/>
              </w:rPr>
            </w:pPr>
            <w:r>
              <w:rPr>
                <w:rFonts w:hint="eastAsia" w:hAnsi="宋体"/>
                <w:color w:val="auto"/>
                <w:sz w:val="21"/>
                <w:szCs w:val="21"/>
                <w:highlight w:val="none"/>
              </w:rPr>
              <w:t>1.3.3</w:t>
            </w:r>
          </w:p>
        </w:tc>
        <w:tc>
          <w:tcPr>
            <w:tcW w:w="1870" w:type="dxa"/>
            <w:vAlign w:val="center"/>
          </w:tcPr>
          <w:p w14:paraId="72855415">
            <w:pPr>
              <w:spacing w:line="420" w:lineRule="exact"/>
              <w:jc w:val="center"/>
              <w:rPr>
                <w:rFonts w:hint="eastAsia" w:hAnsi="宋体"/>
                <w:color w:val="auto"/>
                <w:sz w:val="21"/>
                <w:szCs w:val="21"/>
                <w:highlight w:val="none"/>
              </w:rPr>
            </w:pPr>
            <w:r>
              <w:rPr>
                <w:rFonts w:cs="宋体" w:asciiTheme="minorEastAsia" w:hAnsiTheme="minorEastAsia" w:eastAsiaTheme="minorEastAsia"/>
                <w:color w:val="auto"/>
                <w:sz w:val="21"/>
                <w:szCs w:val="21"/>
                <w:highlight w:val="none"/>
              </w:rPr>
              <w:t>合同履行期限</w:t>
            </w:r>
          </w:p>
        </w:tc>
        <w:tc>
          <w:tcPr>
            <w:tcW w:w="7049" w:type="dxa"/>
            <w:vAlign w:val="center"/>
          </w:tcPr>
          <w:p w14:paraId="257D36A0">
            <w:pPr>
              <w:spacing w:line="420" w:lineRule="exact"/>
              <w:rPr>
                <w:rFonts w:hint="eastAsia" w:hAnsi="宋体"/>
                <w:color w:val="auto"/>
                <w:sz w:val="21"/>
                <w:szCs w:val="21"/>
                <w:highlight w:val="none"/>
                <w:shd w:val="clear" w:color="auto" w:fill="FFFFFF"/>
              </w:rPr>
            </w:pPr>
            <w:r>
              <w:rPr>
                <w:rFonts w:hint="eastAsia" w:hAnsi="宋体" w:cs="宋体"/>
                <w:color w:val="auto"/>
                <w:sz w:val="21"/>
                <w:szCs w:val="21"/>
                <w:highlight w:val="none"/>
              </w:rPr>
              <w:t>合同签订后1个月内完成全部建设任务工作并达到初步验收标准，并根据项目初检的要求开展相应的软件系统优化整改直至完全达标通过最终验收。项目验收合格后提供不少于1年的免费售后运维服务。</w:t>
            </w:r>
          </w:p>
        </w:tc>
      </w:tr>
      <w:tr w14:paraId="40445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1102" w:type="dxa"/>
            <w:vAlign w:val="center"/>
          </w:tcPr>
          <w:p w14:paraId="4154E3D3">
            <w:pPr>
              <w:spacing w:line="420" w:lineRule="exact"/>
              <w:rPr>
                <w:rFonts w:hint="eastAsia" w:hAnsi="宋体"/>
                <w:color w:val="auto"/>
                <w:sz w:val="21"/>
                <w:szCs w:val="21"/>
                <w:highlight w:val="none"/>
              </w:rPr>
            </w:pPr>
            <w:r>
              <w:rPr>
                <w:rFonts w:hint="eastAsia" w:hAnsi="宋体"/>
                <w:color w:val="auto"/>
                <w:sz w:val="21"/>
                <w:szCs w:val="21"/>
                <w:highlight w:val="none"/>
              </w:rPr>
              <w:t>1.4.1</w:t>
            </w:r>
          </w:p>
        </w:tc>
        <w:tc>
          <w:tcPr>
            <w:tcW w:w="1870" w:type="dxa"/>
            <w:vAlign w:val="center"/>
          </w:tcPr>
          <w:p w14:paraId="3C43B1AE">
            <w:pPr>
              <w:spacing w:line="420" w:lineRule="exact"/>
              <w:jc w:val="center"/>
              <w:rPr>
                <w:rFonts w:hint="eastAsia" w:hAnsi="宋体"/>
                <w:color w:val="auto"/>
                <w:sz w:val="21"/>
                <w:szCs w:val="21"/>
                <w:highlight w:val="none"/>
              </w:rPr>
            </w:pPr>
            <w:r>
              <w:rPr>
                <w:rFonts w:hint="eastAsia" w:hAnsi="宋体"/>
                <w:color w:val="auto"/>
                <w:sz w:val="21"/>
                <w:szCs w:val="21"/>
                <w:highlight w:val="none"/>
              </w:rPr>
              <w:t>投标人资格要求</w:t>
            </w:r>
          </w:p>
        </w:tc>
        <w:tc>
          <w:tcPr>
            <w:tcW w:w="7049" w:type="dxa"/>
            <w:vAlign w:val="center"/>
          </w:tcPr>
          <w:p w14:paraId="068B6AB0">
            <w:pPr>
              <w:spacing w:line="420" w:lineRule="exact"/>
              <w:rPr>
                <w:rFonts w:hint="eastAsia" w:hAnsi="宋体" w:cs="宋体"/>
                <w:color w:val="auto"/>
                <w:sz w:val="21"/>
                <w:szCs w:val="21"/>
                <w:highlight w:val="none"/>
              </w:rPr>
            </w:pPr>
            <w:r>
              <w:rPr>
                <w:rFonts w:hint="eastAsia" w:hAnsi="宋体" w:cs="宋体"/>
                <w:color w:val="auto"/>
                <w:sz w:val="21"/>
                <w:szCs w:val="21"/>
                <w:highlight w:val="none"/>
              </w:rPr>
              <w:t>详见公开招标公告“三、投标人资格要求”</w:t>
            </w:r>
          </w:p>
        </w:tc>
      </w:tr>
      <w:tr w14:paraId="1DFEC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1102" w:type="dxa"/>
            <w:vAlign w:val="center"/>
          </w:tcPr>
          <w:p w14:paraId="6A87D9DE">
            <w:pPr>
              <w:spacing w:line="420" w:lineRule="exact"/>
              <w:rPr>
                <w:rFonts w:hint="eastAsia" w:hAnsi="宋体"/>
                <w:color w:val="auto"/>
                <w:sz w:val="21"/>
                <w:szCs w:val="21"/>
                <w:highlight w:val="none"/>
              </w:rPr>
            </w:pPr>
            <w:r>
              <w:rPr>
                <w:rFonts w:hint="eastAsia" w:hAnsi="宋体"/>
                <w:color w:val="auto"/>
                <w:sz w:val="21"/>
                <w:szCs w:val="21"/>
                <w:highlight w:val="none"/>
              </w:rPr>
              <w:t>1.4.2</w:t>
            </w:r>
          </w:p>
        </w:tc>
        <w:tc>
          <w:tcPr>
            <w:tcW w:w="1870" w:type="dxa"/>
            <w:vAlign w:val="center"/>
          </w:tcPr>
          <w:p w14:paraId="0BD008FD">
            <w:pPr>
              <w:spacing w:line="420" w:lineRule="exact"/>
              <w:rPr>
                <w:rFonts w:hint="eastAsia" w:hAnsi="宋体"/>
                <w:color w:val="auto"/>
                <w:sz w:val="21"/>
                <w:szCs w:val="21"/>
                <w:highlight w:val="none"/>
              </w:rPr>
            </w:pPr>
            <w:r>
              <w:rPr>
                <w:rFonts w:hint="eastAsia" w:hAnsi="宋体"/>
                <w:color w:val="auto"/>
                <w:sz w:val="21"/>
                <w:szCs w:val="21"/>
                <w:highlight w:val="none"/>
              </w:rPr>
              <w:t>是否接受联合体投标</w:t>
            </w:r>
          </w:p>
        </w:tc>
        <w:tc>
          <w:tcPr>
            <w:tcW w:w="7049" w:type="dxa"/>
            <w:vAlign w:val="center"/>
          </w:tcPr>
          <w:p w14:paraId="4F093566">
            <w:pPr>
              <w:spacing w:line="420" w:lineRule="exact"/>
              <w:rPr>
                <w:rFonts w:hint="eastAsia" w:hAnsi="宋体"/>
                <w:color w:val="auto"/>
                <w:sz w:val="21"/>
                <w:szCs w:val="21"/>
                <w:highlight w:val="none"/>
              </w:rPr>
            </w:pPr>
            <w:r>
              <w:rPr>
                <w:rFonts w:hint="eastAsia" w:hAnsi="宋体"/>
                <w:color w:val="auto"/>
                <w:sz w:val="21"/>
                <w:szCs w:val="21"/>
                <w:highlight w:val="none"/>
                <w:bdr w:val="single" w:color="auto" w:sz="4" w:space="0"/>
              </w:rPr>
              <w:t>√</w:t>
            </w:r>
            <w:r>
              <w:rPr>
                <w:rFonts w:hint="eastAsia" w:hAnsi="宋体"/>
                <w:color w:val="auto"/>
                <w:sz w:val="21"/>
                <w:szCs w:val="21"/>
                <w:highlight w:val="none"/>
              </w:rPr>
              <w:t>不接受</w:t>
            </w:r>
          </w:p>
          <w:p w14:paraId="534534E5">
            <w:pPr>
              <w:spacing w:line="420" w:lineRule="exact"/>
              <w:rPr>
                <w:rFonts w:hint="eastAsia" w:hAnsi="宋体"/>
                <w:color w:val="auto"/>
                <w:sz w:val="21"/>
                <w:szCs w:val="21"/>
                <w:highlight w:val="none"/>
              </w:rPr>
            </w:pPr>
            <w:r>
              <w:rPr>
                <w:rFonts w:hint="eastAsia" w:hAnsi="宋体"/>
                <w:color w:val="auto"/>
                <w:sz w:val="21"/>
                <w:szCs w:val="21"/>
                <w:highlight w:val="none"/>
              </w:rPr>
              <w:t>□接受，应满足下列要求：</w:t>
            </w:r>
          </w:p>
        </w:tc>
      </w:tr>
      <w:tr w14:paraId="6619E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1102" w:type="dxa"/>
            <w:vAlign w:val="center"/>
          </w:tcPr>
          <w:p w14:paraId="1C3C96B2">
            <w:pPr>
              <w:spacing w:line="420" w:lineRule="exact"/>
              <w:rPr>
                <w:rFonts w:hint="eastAsia" w:hAnsi="宋体"/>
                <w:color w:val="auto"/>
                <w:sz w:val="21"/>
                <w:szCs w:val="21"/>
                <w:highlight w:val="none"/>
              </w:rPr>
            </w:pPr>
            <w:r>
              <w:rPr>
                <w:rFonts w:hint="eastAsia" w:hAnsi="宋体"/>
                <w:color w:val="auto"/>
                <w:sz w:val="21"/>
                <w:szCs w:val="21"/>
                <w:highlight w:val="none"/>
              </w:rPr>
              <w:t>1.7.1</w:t>
            </w:r>
          </w:p>
        </w:tc>
        <w:tc>
          <w:tcPr>
            <w:tcW w:w="1870" w:type="dxa"/>
            <w:vAlign w:val="center"/>
          </w:tcPr>
          <w:p w14:paraId="759541B2">
            <w:pPr>
              <w:spacing w:line="420" w:lineRule="exact"/>
              <w:jc w:val="center"/>
              <w:rPr>
                <w:rFonts w:hint="eastAsia" w:hAnsi="宋体"/>
                <w:color w:val="auto"/>
                <w:sz w:val="21"/>
                <w:szCs w:val="21"/>
                <w:highlight w:val="none"/>
              </w:rPr>
            </w:pPr>
            <w:r>
              <w:rPr>
                <w:rFonts w:hint="eastAsia" w:hAnsi="宋体"/>
                <w:color w:val="auto"/>
                <w:sz w:val="21"/>
                <w:szCs w:val="21"/>
                <w:highlight w:val="none"/>
              </w:rPr>
              <w:t>招标澄清会</w:t>
            </w:r>
          </w:p>
        </w:tc>
        <w:tc>
          <w:tcPr>
            <w:tcW w:w="7049" w:type="dxa"/>
            <w:vAlign w:val="center"/>
          </w:tcPr>
          <w:p w14:paraId="342F7229">
            <w:pPr>
              <w:spacing w:line="420" w:lineRule="exact"/>
              <w:rPr>
                <w:rFonts w:hint="eastAsia" w:hAnsi="宋体"/>
                <w:color w:val="auto"/>
                <w:sz w:val="21"/>
                <w:szCs w:val="21"/>
                <w:highlight w:val="none"/>
              </w:rPr>
            </w:pPr>
            <w:r>
              <w:rPr>
                <w:rFonts w:hint="eastAsia" w:hAnsi="宋体"/>
                <w:color w:val="auto"/>
                <w:sz w:val="21"/>
                <w:szCs w:val="21"/>
                <w:highlight w:val="none"/>
                <w:bdr w:val="single" w:color="auto" w:sz="4" w:space="0"/>
              </w:rPr>
              <w:t>√</w:t>
            </w:r>
            <w:r>
              <w:rPr>
                <w:rFonts w:hint="eastAsia" w:hAnsi="宋体"/>
                <w:color w:val="auto"/>
                <w:sz w:val="21"/>
                <w:szCs w:val="21"/>
                <w:highlight w:val="none"/>
              </w:rPr>
              <w:t>不召开</w:t>
            </w:r>
          </w:p>
          <w:p w14:paraId="1763F954">
            <w:pPr>
              <w:spacing w:line="420" w:lineRule="exact"/>
              <w:rPr>
                <w:rFonts w:hint="eastAsia" w:hAnsi="宋体"/>
                <w:color w:val="auto"/>
                <w:sz w:val="21"/>
                <w:szCs w:val="21"/>
                <w:highlight w:val="none"/>
              </w:rPr>
            </w:pPr>
            <w:r>
              <w:rPr>
                <w:rFonts w:hint="eastAsia" w:hAnsi="宋体"/>
                <w:color w:val="auto"/>
                <w:sz w:val="21"/>
                <w:szCs w:val="21"/>
                <w:highlight w:val="none"/>
              </w:rPr>
              <w:t>□召开，召开时间：</w:t>
            </w:r>
          </w:p>
          <w:p w14:paraId="3F2A3045">
            <w:pPr>
              <w:spacing w:line="420" w:lineRule="exact"/>
              <w:rPr>
                <w:rFonts w:hint="eastAsia" w:hAnsi="宋体"/>
                <w:color w:val="auto"/>
                <w:sz w:val="21"/>
                <w:szCs w:val="21"/>
                <w:highlight w:val="none"/>
              </w:rPr>
            </w:pPr>
            <w:r>
              <w:rPr>
                <w:rFonts w:hint="eastAsia" w:hAnsi="宋体"/>
                <w:color w:val="auto"/>
                <w:sz w:val="21"/>
                <w:szCs w:val="21"/>
                <w:highlight w:val="none"/>
              </w:rPr>
              <w:t>□召开地点：</w:t>
            </w:r>
          </w:p>
        </w:tc>
      </w:tr>
      <w:tr w14:paraId="26DE1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1102" w:type="dxa"/>
            <w:vAlign w:val="center"/>
          </w:tcPr>
          <w:p w14:paraId="32033DD7">
            <w:pPr>
              <w:spacing w:line="420" w:lineRule="exact"/>
              <w:rPr>
                <w:rFonts w:hint="eastAsia" w:hAnsi="宋体"/>
                <w:color w:val="auto"/>
                <w:sz w:val="21"/>
                <w:szCs w:val="21"/>
                <w:highlight w:val="none"/>
              </w:rPr>
            </w:pPr>
            <w:r>
              <w:rPr>
                <w:rFonts w:hint="eastAsia" w:hAnsi="宋体"/>
                <w:color w:val="auto"/>
                <w:sz w:val="21"/>
                <w:szCs w:val="21"/>
                <w:highlight w:val="none"/>
              </w:rPr>
              <w:t>1.7.2</w:t>
            </w:r>
          </w:p>
        </w:tc>
        <w:tc>
          <w:tcPr>
            <w:tcW w:w="1870" w:type="dxa"/>
            <w:vAlign w:val="center"/>
          </w:tcPr>
          <w:p w14:paraId="202E3040">
            <w:pPr>
              <w:spacing w:line="420" w:lineRule="exact"/>
              <w:jc w:val="center"/>
              <w:rPr>
                <w:rFonts w:hint="eastAsia" w:hAnsi="宋体"/>
                <w:color w:val="auto"/>
                <w:sz w:val="21"/>
                <w:szCs w:val="21"/>
                <w:highlight w:val="none"/>
              </w:rPr>
            </w:pPr>
            <w:r>
              <w:rPr>
                <w:rFonts w:hint="eastAsia" w:hAnsi="宋体"/>
                <w:color w:val="auto"/>
                <w:sz w:val="21"/>
                <w:szCs w:val="21"/>
                <w:highlight w:val="none"/>
              </w:rPr>
              <w:t>投标人提出问题的截止时间</w:t>
            </w:r>
          </w:p>
        </w:tc>
        <w:tc>
          <w:tcPr>
            <w:tcW w:w="7049" w:type="dxa"/>
            <w:vAlign w:val="center"/>
          </w:tcPr>
          <w:p w14:paraId="28BE3C08">
            <w:pPr>
              <w:spacing w:line="420" w:lineRule="exact"/>
              <w:rPr>
                <w:rFonts w:hint="eastAsia" w:hAnsi="宋体"/>
                <w:color w:val="auto"/>
                <w:sz w:val="21"/>
                <w:szCs w:val="21"/>
                <w:highlight w:val="none"/>
              </w:rPr>
            </w:pPr>
            <w:r>
              <w:rPr>
                <w:rFonts w:hint="eastAsia" w:hAnsi="宋体"/>
                <w:color w:val="auto"/>
                <w:sz w:val="21"/>
                <w:szCs w:val="21"/>
                <w:highlight w:val="none"/>
              </w:rPr>
              <w:t>在投标截止时间前，所有获取了招标文件的潜在投标人通过书面形式向或政采云平台系统中向采购代理机构提问。</w:t>
            </w:r>
          </w:p>
        </w:tc>
      </w:tr>
      <w:tr w14:paraId="49C69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1102" w:type="dxa"/>
            <w:vAlign w:val="center"/>
          </w:tcPr>
          <w:p w14:paraId="6A1ED4EA">
            <w:pPr>
              <w:spacing w:line="420" w:lineRule="exact"/>
              <w:rPr>
                <w:rFonts w:hint="eastAsia" w:hAnsi="宋体"/>
                <w:color w:val="auto"/>
                <w:sz w:val="21"/>
                <w:szCs w:val="21"/>
                <w:highlight w:val="none"/>
              </w:rPr>
            </w:pPr>
            <w:r>
              <w:rPr>
                <w:rFonts w:hint="eastAsia" w:hAnsi="宋体"/>
                <w:color w:val="auto"/>
                <w:sz w:val="21"/>
                <w:szCs w:val="21"/>
                <w:highlight w:val="none"/>
              </w:rPr>
              <w:t>1.7.3</w:t>
            </w:r>
          </w:p>
        </w:tc>
        <w:tc>
          <w:tcPr>
            <w:tcW w:w="1870" w:type="dxa"/>
            <w:vAlign w:val="center"/>
          </w:tcPr>
          <w:p w14:paraId="7DE31218">
            <w:pPr>
              <w:spacing w:line="420" w:lineRule="exact"/>
              <w:jc w:val="center"/>
              <w:rPr>
                <w:rFonts w:hint="eastAsia" w:hAnsi="宋体"/>
                <w:color w:val="auto"/>
                <w:sz w:val="21"/>
                <w:szCs w:val="21"/>
                <w:highlight w:val="none"/>
              </w:rPr>
            </w:pPr>
            <w:r>
              <w:rPr>
                <w:rFonts w:hint="eastAsia" w:hAnsi="宋体"/>
                <w:color w:val="auto"/>
                <w:sz w:val="21"/>
                <w:szCs w:val="21"/>
                <w:highlight w:val="none"/>
              </w:rPr>
              <w:t>投标书面澄清的时间</w:t>
            </w:r>
          </w:p>
        </w:tc>
        <w:tc>
          <w:tcPr>
            <w:tcW w:w="7049" w:type="dxa"/>
          </w:tcPr>
          <w:p w14:paraId="76217726">
            <w:pPr>
              <w:spacing w:line="420" w:lineRule="exact"/>
              <w:rPr>
                <w:rFonts w:hint="eastAsia" w:hAnsi="宋体"/>
                <w:color w:val="auto"/>
                <w:sz w:val="21"/>
                <w:szCs w:val="21"/>
                <w:highlight w:val="none"/>
              </w:rPr>
            </w:pPr>
            <w:r>
              <w:rPr>
                <w:rFonts w:hint="eastAsia" w:hAnsi="宋体"/>
                <w:color w:val="auto"/>
                <w:sz w:val="21"/>
                <w:szCs w:val="21"/>
                <w:highlight w:val="none"/>
              </w:rPr>
              <w:t>由采购代理机构以补遗书或更正公告方式按程序报有采购人同意后，向潜在投标人发布，且投标人须回函确认。若发生实质性变更的，开标日期、投标文件递交时间顺延，顺延时间为自发布实质性变更的更正公告之日起不少于15日历天。</w:t>
            </w:r>
          </w:p>
        </w:tc>
      </w:tr>
      <w:tr w14:paraId="370D5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1102" w:type="dxa"/>
          </w:tcPr>
          <w:p w14:paraId="4E380251">
            <w:pPr>
              <w:spacing w:line="420" w:lineRule="exact"/>
              <w:rPr>
                <w:rFonts w:hint="eastAsia" w:hAnsi="宋体"/>
                <w:color w:val="auto"/>
                <w:sz w:val="21"/>
                <w:szCs w:val="21"/>
                <w:highlight w:val="none"/>
              </w:rPr>
            </w:pPr>
            <w:r>
              <w:rPr>
                <w:rFonts w:hint="eastAsia" w:hAnsi="宋体"/>
                <w:color w:val="auto"/>
                <w:sz w:val="21"/>
                <w:szCs w:val="21"/>
                <w:highlight w:val="none"/>
              </w:rPr>
              <w:t>3.2</w:t>
            </w:r>
          </w:p>
        </w:tc>
        <w:tc>
          <w:tcPr>
            <w:tcW w:w="1870" w:type="dxa"/>
            <w:vAlign w:val="center"/>
          </w:tcPr>
          <w:p w14:paraId="344B0B64">
            <w:pPr>
              <w:spacing w:line="420" w:lineRule="exact"/>
              <w:jc w:val="center"/>
              <w:rPr>
                <w:rFonts w:hint="eastAsia" w:hAnsi="宋体"/>
                <w:color w:val="auto"/>
                <w:sz w:val="21"/>
                <w:szCs w:val="21"/>
                <w:highlight w:val="none"/>
              </w:rPr>
            </w:pPr>
            <w:r>
              <w:rPr>
                <w:rFonts w:hint="eastAsia" w:hAnsi="宋体"/>
                <w:color w:val="auto"/>
                <w:sz w:val="21"/>
                <w:szCs w:val="21"/>
                <w:highlight w:val="none"/>
              </w:rPr>
              <w:t>投标截止时间和地点</w:t>
            </w:r>
          </w:p>
        </w:tc>
        <w:tc>
          <w:tcPr>
            <w:tcW w:w="7049" w:type="dxa"/>
          </w:tcPr>
          <w:p w14:paraId="69070583">
            <w:pPr>
              <w:spacing w:line="420" w:lineRule="exact"/>
              <w:rPr>
                <w:rFonts w:hint="eastAsia" w:hAnsi="宋体" w:cs="宋体"/>
                <w:color w:val="auto"/>
                <w:sz w:val="21"/>
                <w:szCs w:val="21"/>
                <w:highlight w:val="none"/>
              </w:rPr>
            </w:pPr>
            <w:r>
              <w:rPr>
                <w:rFonts w:hint="eastAsia" w:hAnsi="宋体" w:cs="宋体"/>
                <w:color w:val="auto"/>
                <w:sz w:val="21"/>
                <w:szCs w:val="21"/>
                <w:highlight w:val="none"/>
              </w:rPr>
              <w:t>投标截止时间：</w:t>
            </w:r>
            <w:r>
              <w:rPr>
                <w:rFonts w:hint="eastAsia" w:asciiTheme="minorEastAsia" w:hAnsiTheme="minorEastAsia" w:eastAsiaTheme="minorEastAsia"/>
                <w:color w:val="auto"/>
                <w:sz w:val="21"/>
                <w:szCs w:val="21"/>
                <w:highlight w:val="none"/>
                <w:u w:val="single"/>
              </w:rPr>
              <w:t>2024年09月02日09时00分</w:t>
            </w:r>
          </w:p>
          <w:p w14:paraId="65F3139C">
            <w:pPr>
              <w:spacing w:line="420" w:lineRule="exact"/>
              <w:rPr>
                <w:rFonts w:hint="eastAsia" w:hAnsi="宋体"/>
                <w:color w:val="auto"/>
                <w:sz w:val="21"/>
                <w:szCs w:val="21"/>
                <w:highlight w:val="none"/>
              </w:rPr>
            </w:pPr>
            <w:r>
              <w:rPr>
                <w:rFonts w:hint="eastAsia" w:hAnsi="宋体"/>
                <w:color w:val="auto"/>
                <w:sz w:val="21"/>
                <w:szCs w:val="21"/>
                <w:highlight w:val="none"/>
              </w:rPr>
              <w:t>地点：保山市天瑞建设工程招标咨询有限公司二楼会议室（保山市隆阳区象山路5号），请各投标人登录政采云投标客户端参与采购活动并递交投标文件。</w:t>
            </w:r>
          </w:p>
        </w:tc>
      </w:tr>
      <w:tr w14:paraId="28F01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1102" w:type="dxa"/>
          </w:tcPr>
          <w:p w14:paraId="5CDB4298">
            <w:pPr>
              <w:spacing w:line="420" w:lineRule="exact"/>
              <w:rPr>
                <w:rFonts w:hint="eastAsia" w:hAnsi="宋体"/>
                <w:color w:val="auto"/>
                <w:sz w:val="21"/>
                <w:szCs w:val="21"/>
                <w:highlight w:val="none"/>
              </w:rPr>
            </w:pPr>
            <w:r>
              <w:rPr>
                <w:rFonts w:hint="eastAsia" w:hAnsi="宋体"/>
                <w:color w:val="auto"/>
                <w:sz w:val="21"/>
                <w:szCs w:val="21"/>
                <w:highlight w:val="none"/>
              </w:rPr>
              <w:t>3.4.1</w:t>
            </w:r>
          </w:p>
        </w:tc>
        <w:tc>
          <w:tcPr>
            <w:tcW w:w="1870" w:type="dxa"/>
            <w:vAlign w:val="center"/>
          </w:tcPr>
          <w:p w14:paraId="61BBDB3A">
            <w:pPr>
              <w:spacing w:line="420" w:lineRule="exact"/>
              <w:jc w:val="center"/>
              <w:rPr>
                <w:rFonts w:hint="eastAsia" w:hAnsi="宋体"/>
                <w:color w:val="auto"/>
                <w:sz w:val="21"/>
                <w:szCs w:val="21"/>
                <w:highlight w:val="none"/>
              </w:rPr>
            </w:pPr>
            <w:r>
              <w:rPr>
                <w:rFonts w:hint="eastAsia" w:hAnsi="宋体"/>
                <w:color w:val="auto"/>
                <w:sz w:val="21"/>
                <w:szCs w:val="21"/>
                <w:highlight w:val="none"/>
              </w:rPr>
              <w:t>投标有效期</w:t>
            </w:r>
          </w:p>
        </w:tc>
        <w:tc>
          <w:tcPr>
            <w:tcW w:w="7049" w:type="dxa"/>
          </w:tcPr>
          <w:p w14:paraId="5FEA7025">
            <w:pPr>
              <w:spacing w:line="420" w:lineRule="exact"/>
              <w:rPr>
                <w:rFonts w:hint="eastAsia" w:hAnsi="宋体"/>
                <w:color w:val="auto"/>
                <w:sz w:val="21"/>
                <w:szCs w:val="21"/>
                <w:highlight w:val="none"/>
              </w:rPr>
            </w:pPr>
            <w:r>
              <w:rPr>
                <w:rFonts w:hint="eastAsia" w:hAnsi="宋体"/>
                <w:color w:val="auto"/>
                <w:sz w:val="21"/>
                <w:szCs w:val="21"/>
                <w:highlight w:val="none"/>
                <w:u w:val="single"/>
              </w:rPr>
              <w:t xml:space="preserve">  90</w:t>
            </w:r>
            <w:r>
              <w:rPr>
                <w:rFonts w:hint="eastAsia" w:hAnsi="宋体"/>
                <w:color w:val="auto"/>
                <w:sz w:val="21"/>
                <w:szCs w:val="21"/>
                <w:highlight w:val="none"/>
              </w:rPr>
              <w:t>天，从递交投标文件的截止之日起算</w:t>
            </w:r>
          </w:p>
        </w:tc>
      </w:tr>
      <w:tr w14:paraId="65D07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1102" w:type="dxa"/>
            <w:vAlign w:val="center"/>
          </w:tcPr>
          <w:p w14:paraId="3757FC20">
            <w:pPr>
              <w:spacing w:line="420" w:lineRule="exact"/>
              <w:rPr>
                <w:rFonts w:hint="eastAsia" w:hAnsi="宋体"/>
                <w:color w:val="auto"/>
                <w:sz w:val="21"/>
                <w:szCs w:val="21"/>
                <w:highlight w:val="none"/>
              </w:rPr>
            </w:pPr>
            <w:r>
              <w:rPr>
                <w:rFonts w:hint="eastAsia" w:hAnsi="宋体"/>
                <w:color w:val="auto"/>
                <w:sz w:val="21"/>
                <w:szCs w:val="21"/>
                <w:highlight w:val="none"/>
              </w:rPr>
              <w:t>3.5.1</w:t>
            </w:r>
          </w:p>
        </w:tc>
        <w:tc>
          <w:tcPr>
            <w:tcW w:w="1870" w:type="dxa"/>
            <w:vAlign w:val="center"/>
          </w:tcPr>
          <w:p w14:paraId="181B815F">
            <w:pPr>
              <w:spacing w:line="420" w:lineRule="exact"/>
              <w:jc w:val="center"/>
              <w:rPr>
                <w:rFonts w:hint="eastAsia" w:hAnsi="宋体"/>
                <w:color w:val="auto"/>
                <w:sz w:val="21"/>
                <w:szCs w:val="21"/>
                <w:highlight w:val="none"/>
              </w:rPr>
            </w:pPr>
            <w:r>
              <w:rPr>
                <w:rFonts w:hint="eastAsia" w:hAnsi="宋体"/>
                <w:color w:val="auto"/>
                <w:sz w:val="21"/>
                <w:szCs w:val="21"/>
                <w:highlight w:val="none"/>
              </w:rPr>
              <w:t>投标保证金</w:t>
            </w:r>
          </w:p>
        </w:tc>
        <w:tc>
          <w:tcPr>
            <w:tcW w:w="7049" w:type="dxa"/>
          </w:tcPr>
          <w:p w14:paraId="169B7E57">
            <w:pPr>
              <w:pStyle w:val="24"/>
              <w:spacing w:line="440" w:lineRule="exact"/>
              <w:rPr>
                <w:rFonts w:hint="eastAsia" w:hAnsi="宋体" w:cs="宋体"/>
                <w:color w:val="auto"/>
                <w:highlight w:val="none"/>
              </w:rPr>
            </w:pPr>
            <w:r>
              <w:rPr>
                <w:rFonts w:hint="eastAsia" w:hAnsi="宋体" w:cs="宋体"/>
                <w:color w:val="auto"/>
                <w:highlight w:val="none"/>
              </w:rPr>
              <w:t>（1）投标保证金相关信息</w:t>
            </w:r>
          </w:p>
          <w:p w14:paraId="5966F4D0">
            <w:pPr>
              <w:pStyle w:val="24"/>
              <w:spacing w:line="440" w:lineRule="exact"/>
              <w:rPr>
                <w:rFonts w:hint="eastAsia" w:hAnsi="宋体" w:cs="宋体"/>
                <w:color w:val="auto"/>
                <w:highlight w:val="none"/>
              </w:rPr>
            </w:pPr>
            <w:r>
              <w:rPr>
                <w:rFonts w:hint="eastAsia" w:hAnsi="宋体" w:cs="宋体"/>
                <w:color w:val="auto"/>
                <w:highlight w:val="none"/>
              </w:rPr>
              <w:t>项目名称：</w:t>
            </w:r>
            <w:r>
              <w:rPr>
                <w:rFonts w:hint="eastAsia" w:hAnsi="宋体"/>
                <w:color w:val="auto"/>
                <w:highlight w:val="none"/>
              </w:rPr>
              <w:t>保山市加油站流量数据采集系统建设安装项目</w:t>
            </w:r>
          </w:p>
          <w:p w14:paraId="3CD6A545">
            <w:pPr>
              <w:pStyle w:val="24"/>
              <w:spacing w:line="440" w:lineRule="exact"/>
              <w:rPr>
                <w:rFonts w:hint="eastAsia" w:hAnsi="宋体" w:cs="宋体"/>
                <w:color w:val="auto"/>
                <w:highlight w:val="none"/>
              </w:rPr>
            </w:pPr>
            <w:r>
              <w:rPr>
                <w:rFonts w:hint="eastAsia" w:hAnsi="宋体" w:cs="宋体"/>
                <w:color w:val="auto"/>
                <w:highlight w:val="none"/>
              </w:rPr>
              <w:t>投标保证金形式：银行转账或银行保函或保证保险或其他非现金方式（不接受现场缴纳现金）</w:t>
            </w:r>
          </w:p>
          <w:p w14:paraId="277A4366">
            <w:pPr>
              <w:pStyle w:val="24"/>
              <w:spacing w:line="440" w:lineRule="exact"/>
              <w:rPr>
                <w:rFonts w:hint="eastAsia" w:hAnsi="宋体" w:cs="宋体"/>
                <w:color w:val="auto"/>
                <w:highlight w:val="none"/>
              </w:rPr>
            </w:pPr>
            <w:r>
              <w:rPr>
                <w:rFonts w:hint="eastAsia" w:hAnsi="宋体" w:cs="宋体"/>
                <w:color w:val="auto"/>
                <w:highlight w:val="none"/>
              </w:rPr>
              <w:t>投标保证金金额：¥40000.00元。</w:t>
            </w:r>
          </w:p>
          <w:p w14:paraId="547B7EC5">
            <w:pPr>
              <w:pStyle w:val="24"/>
              <w:spacing w:line="440" w:lineRule="exact"/>
              <w:rPr>
                <w:rFonts w:hint="eastAsia" w:hAnsi="宋体" w:cs="宋体"/>
                <w:color w:val="auto"/>
                <w:highlight w:val="none"/>
              </w:rPr>
            </w:pPr>
            <w:r>
              <w:rPr>
                <w:rFonts w:hint="eastAsia" w:hAnsi="宋体" w:cs="宋体"/>
                <w:color w:val="auto"/>
                <w:highlight w:val="none"/>
              </w:rPr>
              <w:t>（2）投标保证金的提交方式</w:t>
            </w:r>
          </w:p>
          <w:p w14:paraId="5037AF1B">
            <w:pPr>
              <w:pStyle w:val="24"/>
              <w:spacing w:line="440" w:lineRule="exact"/>
              <w:ind w:firstLine="420" w:firstLineChars="200"/>
              <w:rPr>
                <w:rFonts w:hint="eastAsia" w:hAnsi="宋体" w:cs="宋体"/>
                <w:color w:val="auto"/>
                <w:highlight w:val="none"/>
              </w:rPr>
            </w:pPr>
            <w:r>
              <w:rPr>
                <w:rFonts w:hint="eastAsia" w:hAnsi="宋体" w:cs="宋体"/>
                <w:color w:val="auto"/>
                <w:highlight w:val="none"/>
              </w:rPr>
              <w:t>投标保证金形式：银行转账或银行保函或保证保险或其他非现金方式（不接受现场缴纳现金），投标人可根据实际情况，选择保证金的提供或缴纳方式，有关部门、单位和企业不得以任何方式排斥、限制或拒绝接受。</w:t>
            </w:r>
          </w:p>
          <w:p w14:paraId="54B8E08E">
            <w:pPr>
              <w:pStyle w:val="24"/>
              <w:spacing w:line="440" w:lineRule="exact"/>
              <w:rPr>
                <w:rFonts w:hint="eastAsia" w:hAnsi="宋体" w:cs="宋体"/>
                <w:color w:val="auto"/>
                <w:highlight w:val="none"/>
              </w:rPr>
            </w:pPr>
            <w:r>
              <w:rPr>
                <w:rFonts w:hint="eastAsia" w:hAnsi="宋体" w:cs="宋体"/>
                <w:color w:val="auto"/>
                <w:highlight w:val="none"/>
              </w:rPr>
              <w:t>①采用银行转账：</w:t>
            </w:r>
          </w:p>
          <w:p w14:paraId="0E2073A2">
            <w:pPr>
              <w:pStyle w:val="24"/>
              <w:spacing w:line="440" w:lineRule="exact"/>
              <w:ind w:firstLine="420" w:firstLineChars="200"/>
              <w:rPr>
                <w:rFonts w:hint="eastAsia" w:hAnsi="宋体" w:cs="宋体"/>
                <w:color w:val="auto"/>
                <w:highlight w:val="none"/>
              </w:rPr>
            </w:pPr>
            <w:r>
              <w:rPr>
                <w:rFonts w:hint="eastAsia" w:hAnsi="宋体" w:cs="宋体"/>
                <w:color w:val="auto"/>
                <w:highlight w:val="none"/>
              </w:rPr>
              <w:t>a.投标（交易）保证金应以投标人自身的名义提交，并且必须从其基本账户转出（按照规定，投标人可以为自然人的项目除外，若为联合体，保证金由联合体牵头人进行缴纳）。</w:t>
            </w:r>
          </w:p>
          <w:p w14:paraId="0C45ADFC">
            <w:pPr>
              <w:pStyle w:val="24"/>
              <w:spacing w:line="440" w:lineRule="exact"/>
              <w:ind w:firstLine="420" w:firstLineChars="200"/>
              <w:rPr>
                <w:rFonts w:hint="eastAsia" w:hAnsi="宋体" w:cs="宋体"/>
                <w:color w:val="auto"/>
                <w:highlight w:val="none"/>
              </w:rPr>
            </w:pPr>
            <w:r>
              <w:rPr>
                <w:rFonts w:hint="eastAsia" w:hAnsi="宋体" w:cs="宋体"/>
                <w:color w:val="auto"/>
                <w:highlight w:val="none"/>
              </w:rPr>
              <w:t>本次项目投标保证金专用账号转账信息如下（唯一账户）：</w:t>
            </w:r>
          </w:p>
          <w:p w14:paraId="4D1F0855">
            <w:pPr>
              <w:pStyle w:val="24"/>
              <w:spacing w:line="440" w:lineRule="exact"/>
              <w:ind w:firstLine="420" w:firstLineChars="200"/>
              <w:rPr>
                <w:rFonts w:hint="eastAsia" w:hAnsi="宋体" w:cs="宋体"/>
                <w:color w:val="auto"/>
                <w:highlight w:val="none"/>
              </w:rPr>
            </w:pPr>
            <w:r>
              <w:rPr>
                <w:rFonts w:hint="eastAsia" w:hAnsi="宋体" w:cs="宋体"/>
                <w:color w:val="auto"/>
                <w:highlight w:val="none"/>
              </w:rPr>
              <w:t>投标保证金指定账户：</w:t>
            </w:r>
          </w:p>
          <w:p w14:paraId="1ED781DF">
            <w:pPr>
              <w:pStyle w:val="24"/>
              <w:spacing w:line="440" w:lineRule="exact"/>
              <w:ind w:firstLine="420" w:firstLineChars="200"/>
              <w:rPr>
                <w:rFonts w:hint="eastAsia" w:hAnsi="宋体" w:cs="宋体"/>
                <w:color w:val="auto"/>
                <w:highlight w:val="none"/>
              </w:rPr>
            </w:pPr>
            <w:r>
              <w:rPr>
                <w:rFonts w:hint="eastAsia" w:hAnsi="宋体" w:cs="宋体"/>
                <w:color w:val="auto"/>
                <w:highlight w:val="none"/>
              </w:rPr>
              <w:t>户名：保山市天瑞建设工程招标咨询有限公司</w:t>
            </w:r>
          </w:p>
          <w:p w14:paraId="7B441C60">
            <w:pPr>
              <w:pStyle w:val="24"/>
              <w:spacing w:line="440" w:lineRule="exact"/>
              <w:ind w:firstLine="420" w:firstLineChars="200"/>
              <w:rPr>
                <w:rFonts w:hint="eastAsia" w:hAnsi="宋体" w:cs="宋体"/>
                <w:color w:val="auto"/>
                <w:highlight w:val="none"/>
              </w:rPr>
            </w:pPr>
            <w:r>
              <w:rPr>
                <w:rFonts w:hint="eastAsia" w:hAnsi="宋体" w:cs="宋体"/>
                <w:color w:val="auto"/>
                <w:highlight w:val="none"/>
              </w:rPr>
              <w:t>开户银行：中国建设银行有限公司保山新村支行</w:t>
            </w:r>
          </w:p>
          <w:p w14:paraId="2B6FFF92">
            <w:pPr>
              <w:pStyle w:val="24"/>
              <w:spacing w:line="440" w:lineRule="exact"/>
              <w:ind w:firstLine="420" w:firstLineChars="200"/>
              <w:rPr>
                <w:rFonts w:hint="eastAsia" w:hAnsi="宋体" w:cs="宋体"/>
                <w:color w:val="auto"/>
                <w:highlight w:val="none"/>
              </w:rPr>
            </w:pPr>
            <w:r>
              <w:rPr>
                <w:rFonts w:hint="eastAsia" w:hAnsi="宋体" w:cs="宋体"/>
                <w:color w:val="auto"/>
                <w:highlight w:val="none"/>
              </w:rPr>
              <w:t>账号：5300 1728 6420 5100 0568</w:t>
            </w:r>
          </w:p>
          <w:p w14:paraId="6007BEA3">
            <w:pPr>
              <w:pStyle w:val="24"/>
              <w:spacing w:line="440" w:lineRule="exact"/>
              <w:ind w:firstLine="420" w:firstLineChars="200"/>
              <w:rPr>
                <w:rFonts w:hint="eastAsia" w:hAnsi="宋体" w:cs="宋体"/>
                <w:color w:val="auto"/>
                <w:highlight w:val="none"/>
              </w:rPr>
            </w:pPr>
            <w:r>
              <w:rPr>
                <w:rFonts w:hint="eastAsia" w:hAnsi="宋体" w:cs="宋体"/>
                <w:color w:val="auto"/>
                <w:highlight w:val="none"/>
              </w:rPr>
              <w:t>汇入地址：云南省保山市</w:t>
            </w:r>
          </w:p>
          <w:p w14:paraId="63E263D8">
            <w:pPr>
              <w:pStyle w:val="24"/>
              <w:spacing w:line="440" w:lineRule="exact"/>
              <w:ind w:firstLine="420" w:firstLineChars="200"/>
              <w:rPr>
                <w:rFonts w:hint="eastAsia" w:hAnsi="宋体" w:cs="宋体"/>
                <w:color w:val="auto"/>
                <w:highlight w:val="none"/>
              </w:rPr>
            </w:pPr>
            <w:r>
              <w:rPr>
                <w:rFonts w:hint="eastAsia" w:hAnsi="宋体" w:cs="宋体"/>
                <w:color w:val="auto"/>
                <w:highlight w:val="none"/>
              </w:rPr>
              <w:t>汇款缴纳查询电话：0875—2147689</w:t>
            </w:r>
          </w:p>
          <w:p w14:paraId="05174C26">
            <w:pPr>
              <w:pStyle w:val="24"/>
              <w:spacing w:line="440" w:lineRule="exact"/>
              <w:ind w:firstLine="420" w:firstLineChars="200"/>
              <w:rPr>
                <w:rFonts w:hint="eastAsia" w:hAnsi="宋体" w:cs="宋体"/>
                <w:color w:val="auto"/>
                <w:highlight w:val="none"/>
              </w:rPr>
            </w:pPr>
            <w:r>
              <w:rPr>
                <w:rFonts w:hint="eastAsia" w:hAnsi="宋体" w:cs="宋体"/>
                <w:color w:val="auto"/>
                <w:highlight w:val="none"/>
              </w:rPr>
              <w:t>联系人：寸女士</w:t>
            </w:r>
          </w:p>
          <w:p w14:paraId="1441876E">
            <w:pPr>
              <w:pStyle w:val="24"/>
              <w:spacing w:line="440" w:lineRule="exact"/>
              <w:ind w:firstLine="420" w:firstLineChars="200"/>
              <w:rPr>
                <w:rFonts w:hint="eastAsia" w:hAnsi="宋体" w:cs="宋体"/>
                <w:color w:val="auto"/>
                <w:highlight w:val="none"/>
              </w:rPr>
            </w:pPr>
            <w:r>
              <w:rPr>
                <w:rFonts w:hint="eastAsia" w:hAnsi="宋体" w:cs="宋体"/>
                <w:color w:val="auto"/>
                <w:highlight w:val="none"/>
              </w:rPr>
              <w:t>投标人需在投标保证金缴纳截止时间前递交保证金，保证金单据内要注明项目名称或项目编号（内容须填写完整），到账时间以实际到达专用账号时间为准，未在投标保证金缴纳 截止时间前到账的保证金视为未提交，为避免由于晚到账的原因造成投标失败，请各投标人预留充足时间。在跨行转账时请考虑以下因素：1.按照人民银行相关规定，跨行转账在工作日下午四点半前办理手续，可以保证实时跨行到账；2.跨行转账尽量采用电汇方式。</w:t>
            </w:r>
          </w:p>
          <w:p w14:paraId="0F691659">
            <w:pPr>
              <w:pStyle w:val="24"/>
              <w:spacing w:line="440" w:lineRule="exact"/>
              <w:rPr>
                <w:rFonts w:hint="eastAsia" w:hAnsi="宋体" w:cs="宋体"/>
                <w:color w:val="auto"/>
                <w:highlight w:val="none"/>
              </w:rPr>
            </w:pPr>
            <w:r>
              <w:rPr>
                <w:rFonts w:hint="eastAsia" w:hAnsi="宋体" w:cs="宋体"/>
                <w:color w:val="auto"/>
                <w:highlight w:val="none"/>
              </w:rPr>
              <w:t>注意事项：</w:t>
            </w:r>
          </w:p>
          <w:p w14:paraId="5C9FBE5D">
            <w:pPr>
              <w:pStyle w:val="24"/>
              <w:spacing w:line="440" w:lineRule="exact"/>
              <w:ind w:firstLine="420" w:firstLineChars="200"/>
              <w:rPr>
                <w:rFonts w:hint="eastAsia" w:hAnsi="宋体" w:cs="宋体"/>
                <w:color w:val="auto"/>
                <w:highlight w:val="none"/>
              </w:rPr>
            </w:pPr>
            <w:r>
              <w:rPr>
                <w:rFonts w:hint="eastAsia" w:hAnsi="宋体" w:cs="宋体"/>
                <w:color w:val="auto"/>
                <w:highlight w:val="none"/>
              </w:rPr>
              <w:t>1）保证金必须从投标人的基本账户划出；</w:t>
            </w:r>
          </w:p>
          <w:p w14:paraId="36872E97">
            <w:pPr>
              <w:pStyle w:val="24"/>
              <w:spacing w:line="440" w:lineRule="exact"/>
              <w:ind w:firstLine="420" w:firstLineChars="200"/>
              <w:rPr>
                <w:rFonts w:hint="eastAsia" w:hAnsi="宋体" w:cs="宋体"/>
                <w:color w:val="auto"/>
                <w:highlight w:val="none"/>
              </w:rPr>
            </w:pPr>
            <w:r>
              <w:rPr>
                <w:rFonts w:hint="eastAsia" w:hAnsi="宋体" w:cs="宋体"/>
                <w:color w:val="auto"/>
                <w:highlight w:val="none"/>
              </w:rPr>
              <w:t>2）保证金转账仅限电汇、网银方式，其他转账方式视为无效；</w:t>
            </w:r>
          </w:p>
          <w:p w14:paraId="7D5A09E0">
            <w:pPr>
              <w:pStyle w:val="24"/>
              <w:spacing w:line="440" w:lineRule="exact"/>
              <w:ind w:firstLine="420" w:firstLineChars="200"/>
              <w:rPr>
                <w:rFonts w:hint="eastAsia" w:hAnsi="宋体" w:cs="宋体"/>
                <w:color w:val="auto"/>
                <w:highlight w:val="none"/>
              </w:rPr>
            </w:pPr>
            <w:r>
              <w:rPr>
                <w:rFonts w:hint="eastAsia" w:hAnsi="宋体" w:cs="宋体"/>
                <w:color w:val="auto"/>
                <w:highlight w:val="none"/>
              </w:rPr>
              <w:t>3）到账时间以保证金专用账户实际到账时间为准，未在缴纳保证金截止时间前到账的保证金无效。</w:t>
            </w:r>
          </w:p>
          <w:p w14:paraId="0D847FFE">
            <w:pPr>
              <w:pStyle w:val="24"/>
              <w:spacing w:line="440" w:lineRule="exact"/>
              <w:rPr>
                <w:rFonts w:hint="eastAsia" w:hAnsi="宋体" w:cs="宋体"/>
                <w:color w:val="auto"/>
                <w:highlight w:val="none"/>
              </w:rPr>
            </w:pPr>
            <w:r>
              <w:rPr>
                <w:rFonts w:hint="eastAsia" w:hAnsi="宋体" w:cs="宋体"/>
                <w:color w:val="auto"/>
                <w:highlight w:val="none"/>
              </w:rPr>
              <w:t>②采用银行保函：</w:t>
            </w:r>
          </w:p>
          <w:p w14:paraId="0F9E699F">
            <w:pPr>
              <w:pStyle w:val="24"/>
              <w:spacing w:line="440" w:lineRule="exact"/>
              <w:ind w:firstLine="420" w:firstLineChars="200"/>
              <w:rPr>
                <w:rFonts w:hint="eastAsia" w:hAnsi="宋体" w:cs="宋体"/>
                <w:color w:val="auto"/>
                <w:highlight w:val="none"/>
              </w:rPr>
            </w:pPr>
            <w:r>
              <w:rPr>
                <w:rFonts w:hint="eastAsia" w:hAnsi="宋体" w:cs="宋体"/>
                <w:color w:val="auto"/>
                <w:highlight w:val="none"/>
              </w:rPr>
              <w:t>保函申请人必须是投标人，受益人必须是采购人，保证人必须是投标人基本账户的开户银行；银行保函必须正确填写受益人和申请人的全称，并与采购文件规定的名称一致，以免造成投标无效。投标人需在投标截止时间前提供银行纸质保函。投标人持确认函参加投标。</w:t>
            </w:r>
          </w:p>
          <w:p w14:paraId="5DE6C706">
            <w:pPr>
              <w:pStyle w:val="24"/>
              <w:spacing w:line="440" w:lineRule="exact"/>
              <w:rPr>
                <w:rFonts w:hint="eastAsia" w:hAnsi="宋体" w:cs="宋体"/>
                <w:color w:val="auto"/>
                <w:highlight w:val="none"/>
              </w:rPr>
            </w:pPr>
            <w:r>
              <w:rPr>
                <w:rFonts w:hint="eastAsia" w:hAnsi="宋体" w:cs="宋体"/>
                <w:color w:val="auto"/>
                <w:highlight w:val="none"/>
              </w:rPr>
              <w:t>③采用保证保险：</w:t>
            </w:r>
          </w:p>
          <w:p w14:paraId="25409DC9">
            <w:pPr>
              <w:pStyle w:val="24"/>
              <w:spacing w:line="440" w:lineRule="exact"/>
              <w:ind w:firstLine="420" w:firstLineChars="200"/>
              <w:rPr>
                <w:rFonts w:hint="eastAsia" w:hAnsi="宋体" w:cs="宋体"/>
                <w:color w:val="auto"/>
                <w:highlight w:val="none"/>
              </w:rPr>
            </w:pPr>
            <w:r>
              <w:rPr>
                <w:rFonts w:hint="eastAsia" w:hAnsi="宋体" w:cs="宋体"/>
                <w:color w:val="auto"/>
                <w:highlight w:val="none"/>
              </w:rPr>
              <w:t>须按照国家关于保证保险的要求购买保证保险，投标人持保证保险材料参加投标。保险受益人（采购人）：保山市商务局（社会统一信用代码：11533000015255225W）。</w:t>
            </w:r>
          </w:p>
          <w:p w14:paraId="50B0AB90">
            <w:pPr>
              <w:pStyle w:val="24"/>
              <w:spacing w:line="440" w:lineRule="exact"/>
              <w:rPr>
                <w:rFonts w:hint="eastAsia" w:hAnsi="宋体" w:cs="宋体"/>
                <w:color w:val="auto"/>
                <w:highlight w:val="none"/>
              </w:rPr>
            </w:pPr>
            <w:r>
              <w:rPr>
                <w:rFonts w:hint="eastAsia" w:hAnsi="宋体" w:cs="宋体"/>
                <w:color w:val="auto"/>
                <w:highlight w:val="none"/>
              </w:rPr>
              <w:t>（3）对未足额提交投标保证金的投标人提交的投标文件，采购代理机构将视其为不响应投标条件而予以拒绝。</w:t>
            </w:r>
          </w:p>
          <w:p w14:paraId="147CC3F6">
            <w:pPr>
              <w:spacing w:line="420" w:lineRule="exact"/>
              <w:rPr>
                <w:rFonts w:hint="eastAsia" w:hAnsi="宋体"/>
                <w:color w:val="auto"/>
                <w:sz w:val="21"/>
                <w:szCs w:val="21"/>
                <w:highlight w:val="none"/>
              </w:rPr>
            </w:pPr>
            <w:r>
              <w:rPr>
                <w:rFonts w:hint="eastAsia" w:hAnsi="宋体" w:cs="宋体"/>
                <w:color w:val="auto"/>
                <w:sz w:val="21"/>
                <w:szCs w:val="21"/>
                <w:highlight w:val="none"/>
              </w:rPr>
              <w:t>（4）未中标投标人的投标保证金，将在中标公示生效后予以退还。中标人的投标保证金在合同签订后５日内予以退还。</w:t>
            </w:r>
          </w:p>
        </w:tc>
      </w:tr>
      <w:tr w14:paraId="78BFE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102" w:type="dxa"/>
            <w:vAlign w:val="center"/>
          </w:tcPr>
          <w:p w14:paraId="6FC323B4">
            <w:pPr>
              <w:spacing w:line="420" w:lineRule="exact"/>
              <w:rPr>
                <w:rFonts w:hint="eastAsia" w:hAnsi="宋体"/>
                <w:color w:val="auto"/>
                <w:sz w:val="21"/>
                <w:szCs w:val="21"/>
                <w:highlight w:val="none"/>
              </w:rPr>
            </w:pPr>
            <w:r>
              <w:rPr>
                <w:rFonts w:hint="eastAsia" w:hAnsi="宋体"/>
                <w:color w:val="auto"/>
                <w:sz w:val="21"/>
                <w:szCs w:val="21"/>
                <w:highlight w:val="none"/>
              </w:rPr>
              <w:t>3.7.4</w:t>
            </w:r>
          </w:p>
        </w:tc>
        <w:tc>
          <w:tcPr>
            <w:tcW w:w="1870" w:type="dxa"/>
            <w:vAlign w:val="center"/>
          </w:tcPr>
          <w:p w14:paraId="11E50808">
            <w:pPr>
              <w:pStyle w:val="24"/>
              <w:spacing w:line="360" w:lineRule="auto"/>
              <w:rPr>
                <w:rFonts w:hint="eastAsia" w:hAnsi="宋体"/>
                <w:color w:val="auto"/>
                <w:highlight w:val="none"/>
              </w:rPr>
            </w:pPr>
            <w:r>
              <w:rPr>
                <w:rFonts w:hint="eastAsia" w:hAnsi="宋体"/>
                <w:color w:val="auto"/>
                <w:kern w:val="0"/>
                <w:highlight w:val="none"/>
              </w:rPr>
              <w:t>投标文件上传相关要求</w:t>
            </w:r>
          </w:p>
        </w:tc>
        <w:tc>
          <w:tcPr>
            <w:tcW w:w="7049" w:type="dxa"/>
            <w:vAlign w:val="center"/>
          </w:tcPr>
          <w:p w14:paraId="37E9BF09">
            <w:pPr>
              <w:pStyle w:val="24"/>
              <w:spacing w:line="440" w:lineRule="exact"/>
              <w:rPr>
                <w:rFonts w:hint="eastAsia" w:hAnsi="宋体" w:cs="宋体"/>
                <w:color w:val="auto"/>
                <w:highlight w:val="none"/>
              </w:rPr>
            </w:pPr>
            <w:r>
              <w:rPr>
                <w:rFonts w:hint="eastAsia" w:hAnsi="宋体" w:cs="宋体"/>
                <w:color w:val="auto"/>
                <w:highlight w:val="none"/>
              </w:rPr>
              <w:t>1.本次采购采用在政府采购云平台（www.zcygov.cn）上进行采购与递交投标文件，投标文件递交要求如下：</w:t>
            </w:r>
          </w:p>
          <w:p w14:paraId="49C73790">
            <w:pPr>
              <w:widowControl/>
              <w:spacing w:line="460" w:lineRule="exact"/>
              <w:rPr>
                <w:rFonts w:hint="eastAsia" w:hAnsi="宋体" w:cs="宋体"/>
                <w:color w:val="auto"/>
                <w:sz w:val="21"/>
                <w:szCs w:val="21"/>
                <w:highlight w:val="none"/>
              </w:rPr>
            </w:pPr>
            <w:r>
              <w:rPr>
                <w:rFonts w:hint="eastAsia" w:hAnsi="宋体" w:cs="宋体"/>
                <w:color w:val="auto"/>
                <w:sz w:val="21"/>
                <w:szCs w:val="21"/>
                <w:highlight w:val="none"/>
              </w:rPr>
              <w:t>（1）网上递交：投标人网上递交需登录政府采购云平台（www.zcygov.cn），须在投标文件提交截止时间前完成所有电子投标文件的上传，投标文件递交截止时间前未完成文件上传的，视为撤回投标文件。</w:t>
            </w:r>
          </w:p>
          <w:p w14:paraId="75104D34">
            <w:pPr>
              <w:widowControl/>
              <w:spacing w:line="440" w:lineRule="exact"/>
              <w:rPr>
                <w:rFonts w:hint="eastAsia" w:hAnsi="宋体" w:cs="宋体"/>
                <w:color w:val="auto"/>
                <w:sz w:val="21"/>
                <w:szCs w:val="21"/>
                <w:highlight w:val="none"/>
              </w:rPr>
            </w:pPr>
            <w:r>
              <w:rPr>
                <w:rFonts w:hint="eastAsia" w:hAnsi="宋体" w:cs="宋体"/>
                <w:color w:val="auto"/>
                <w:sz w:val="21"/>
                <w:szCs w:val="21"/>
                <w:highlight w:val="none"/>
              </w:rPr>
              <w:t>（2）本项目采用在政府采购云平台（www.zcygov.cn）上进行采购与递交投标文件，无需现场递交纸质文件，但应在文件递交截止时间登录系统，并根据开标系统的提示操作解密文件。</w:t>
            </w:r>
          </w:p>
          <w:p w14:paraId="4F331103">
            <w:pPr>
              <w:widowControl/>
              <w:spacing w:line="460" w:lineRule="exact"/>
              <w:rPr>
                <w:rFonts w:hint="eastAsia" w:hAnsi="宋体" w:cs="宋体"/>
                <w:color w:val="auto"/>
                <w:sz w:val="21"/>
                <w:szCs w:val="21"/>
                <w:highlight w:val="none"/>
              </w:rPr>
            </w:pPr>
            <w:r>
              <w:rPr>
                <w:rFonts w:hint="eastAsia" w:hAnsi="宋体" w:cs="宋体"/>
                <w:color w:val="auto"/>
                <w:sz w:val="21"/>
                <w:szCs w:val="21"/>
                <w:highlight w:val="none"/>
              </w:rPr>
              <w:t>（3）请参与本项目投标人在使用政采云平台时，请自行配备需要的音视频等设备，做好系统的调试工作避免出现系统不能正常使用的情况。</w:t>
            </w:r>
          </w:p>
          <w:p w14:paraId="55A17707">
            <w:pPr>
              <w:pStyle w:val="24"/>
              <w:spacing w:line="440" w:lineRule="exact"/>
              <w:rPr>
                <w:rFonts w:hint="eastAsia" w:hAnsi="宋体" w:cs="宋体"/>
                <w:color w:val="auto"/>
                <w:highlight w:val="none"/>
              </w:rPr>
            </w:pPr>
            <w:r>
              <w:rPr>
                <w:rFonts w:hint="eastAsia" w:hAnsi="宋体" w:cs="宋体"/>
                <w:color w:val="auto"/>
                <w:highlight w:val="none"/>
              </w:rPr>
              <w:t>（4）提交投标文件截止时间：</w:t>
            </w:r>
            <w:r>
              <w:rPr>
                <w:rFonts w:hint="eastAsia" w:hAnsi="宋体"/>
                <w:bCs/>
                <w:color w:val="auto"/>
                <w:highlight w:val="none"/>
              </w:rPr>
              <w:t>2024年09月02日09时00分</w:t>
            </w:r>
            <w:r>
              <w:rPr>
                <w:rFonts w:hint="eastAsia" w:hAnsi="宋体" w:cs="宋体"/>
                <w:color w:val="auto"/>
                <w:highlight w:val="none"/>
              </w:rPr>
              <w:t>（北京时间）</w:t>
            </w:r>
          </w:p>
          <w:p w14:paraId="7DA51F0E">
            <w:pPr>
              <w:pStyle w:val="24"/>
              <w:spacing w:line="440" w:lineRule="exact"/>
              <w:rPr>
                <w:rFonts w:hint="eastAsia" w:hAnsi="宋体" w:cs="宋体"/>
                <w:color w:val="auto"/>
                <w:highlight w:val="none"/>
              </w:rPr>
            </w:pPr>
            <w:r>
              <w:rPr>
                <w:rFonts w:hint="eastAsia" w:hAnsi="宋体" w:cs="宋体"/>
                <w:color w:val="auto"/>
                <w:highlight w:val="none"/>
              </w:rPr>
              <w:t>（5）提交地点：政府采购云平台（www.zcygov.cn）</w:t>
            </w:r>
          </w:p>
          <w:p w14:paraId="3FD34062">
            <w:pPr>
              <w:pStyle w:val="24"/>
              <w:spacing w:line="360" w:lineRule="auto"/>
              <w:rPr>
                <w:rFonts w:hint="eastAsia" w:hAnsi="宋体" w:cs="宋体"/>
                <w:color w:val="auto"/>
                <w:highlight w:val="none"/>
              </w:rPr>
            </w:pPr>
            <w:r>
              <w:rPr>
                <w:rFonts w:hint="eastAsia" w:hAnsi="宋体" w:cs="宋体"/>
                <w:color w:val="auto"/>
                <w:highlight w:val="none"/>
              </w:rPr>
              <w:t>注：电子投标文件须在投标文件提交截止时间以前上传至上述系统平台，逾期送达或逾期上传电子投标文件或不能对投标文件进行解密的投标文件，其投标文件将被拒绝或视为不合格。</w:t>
            </w:r>
          </w:p>
          <w:p w14:paraId="21AC1F01">
            <w:pPr>
              <w:pStyle w:val="24"/>
              <w:spacing w:line="360" w:lineRule="auto"/>
              <w:rPr>
                <w:rFonts w:hint="eastAsia" w:hAnsi="宋体" w:cs="宋体"/>
                <w:color w:val="auto"/>
                <w:highlight w:val="none"/>
              </w:rPr>
            </w:pPr>
            <w:r>
              <w:rPr>
                <w:rFonts w:hint="eastAsia" w:hAnsi="宋体" w:cs="宋体"/>
                <w:color w:val="auto"/>
                <w:highlight w:val="none"/>
              </w:rPr>
              <w:t>2.本项目需要对本次采购的加油站流量数据采集系统进行系统功能演示，演示方式采用视频并配音解说进行实现（格式：MP4），视频演示须图像清晰、演示功能准确，配音解说须与视频显示内容一致。演示视频须压缩为加密的压缩包（名称：投标人名称演示视频），演示视频须在提交投标文件截止时间：</w:t>
            </w:r>
            <w:r>
              <w:rPr>
                <w:rFonts w:hint="eastAsia" w:hAnsi="宋体"/>
                <w:bCs/>
                <w:color w:val="auto"/>
                <w:highlight w:val="none"/>
              </w:rPr>
              <w:t>2024年09月02日09时00分</w:t>
            </w:r>
            <w:r>
              <w:rPr>
                <w:rFonts w:hint="eastAsia" w:hAnsi="宋体" w:cs="宋体"/>
                <w:color w:val="auto"/>
                <w:highlight w:val="none"/>
              </w:rPr>
              <w:t>（北京时间）以前发送至采购代理机构对公邮箱（bstrzb@126.com），演示视频压缩包的解密密码须在政府采购云平台开标系统中提示进行投标文件解密后发送至采购代理机构对公邮箱（bstrzb@126.com）。</w:t>
            </w:r>
          </w:p>
          <w:p w14:paraId="1592243B">
            <w:pPr>
              <w:pStyle w:val="24"/>
              <w:spacing w:line="360" w:lineRule="auto"/>
              <w:rPr>
                <w:rFonts w:hint="eastAsia" w:hAnsi="宋体"/>
                <w:color w:val="auto"/>
                <w:highlight w:val="none"/>
              </w:rPr>
            </w:pPr>
            <w:r>
              <w:rPr>
                <w:rFonts w:hint="eastAsia" w:hAnsi="宋体" w:cs="宋体"/>
                <w:color w:val="auto"/>
                <w:highlight w:val="none"/>
              </w:rPr>
              <w:t>注：逾期发送或未发送演示视频压缩包，视为投标人未提供演示视频，对应的评审内容将按0分计算。</w:t>
            </w:r>
          </w:p>
        </w:tc>
      </w:tr>
      <w:tr w14:paraId="6566B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1102" w:type="dxa"/>
            <w:vAlign w:val="center"/>
          </w:tcPr>
          <w:p w14:paraId="1B50BC06">
            <w:pPr>
              <w:spacing w:line="420" w:lineRule="exact"/>
              <w:rPr>
                <w:rFonts w:hint="eastAsia" w:hAnsi="宋体"/>
                <w:color w:val="auto"/>
                <w:sz w:val="21"/>
                <w:szCs w:val="21"/>
                <w:highlight w:val="none"/>
              </w:rPr>
            </w:pPr>
            <w:r>
              <w:rPr>
                <w:rFonts w:hint="eastAsia" w:hAnsi="宋体"/>
                <w:color w:val="auto"/>
                <w:sz w:val="21"/>
                <w:szCs w:val="21"/>
                <w:highlight w:val="none"/>
              </w:rPr>
              <w:t>3.10</w:t>
            </w:r>
          </w:p>
        </w:tc>
        <w:tc>
          <w:tcPr>
            <w:tcW w:w="1870" w:type="dxa"/>
            <w:vAlign w:val="center"/>
          </w:tcPr>
          <w:p w14:paraId="34E43079">
            <w:pPr>
              <w:spacing w:line="420" w:lineRule="exact"/>
              <w:jc w:val="center"/>
              <w:rPr>
                <w:rFonts w:hint="eastAsia" w:hAnsi="宋体"/>
                <w:color w:val="auto"/>
                <w:sz w:val="21"/>
                <w:szCs w:val="21"/>
                <w:highlight w:val="none"/>
              </w:rPr>
            </w:pPr>
            <w:r>
              <w:rPr>
                <w:rFonts w:hint="eastAsia" w:hAnsi="宋体"/>
                <w:color w:val="auto"/>
                <w:sz w:val="21"/>
                <w:szCs w:val="21"/>
                <w:highlight w:val="none"/>
              </w:rPr>
              <w:t>踏勘</w:t>
            </w:r>
          </w:p>
        </w:tc>
        <w:tc>
          <w:tcPr>
            <w:tcW w:w="7049" w:type="dxa"/>
            <w:vAlign w:val="center"/>
          </w:tcPr>
          <w:p w14:paraId="10502EA9">
            <w:pPr>
              <w:spacing w:line="420" w:lineRule="exact"/>
              <w:rPr>
                <w:rFonts w:hint="eastAsia" w:hAnsi="宋体"/>
                <w:color w:val="auto"/>
                <w:sz w:val="21"/>
                <w:szCs w:val="21"/>
                <w:highlight w:val="none"/>
              </w:rPr>
            </w:pPr>
            <w:r>
              <w:rPr>
                <w:rFonts w:hint="eastAsia" w:hAnsi="宋体"/>
                <w:color w:val="auto"/>
                <w:sz w:val="21"/>
                <w:szCs w:val="21"/>
                <w:highlight w:val="none"/>
                <w:bdr w:val="single" w:color="auto" w:sz="4" w:space="0"/>
              </w:rPr>
              <w:t>√</w:t>
            </w:r>
            <w:r>
              <w:rPr>
                <w:rFonts w:hint="eastAsia" w:hAnsi="宋体"/>
                <w:color w:val="auto"/>
                <w:sz w:val="21"/>
                <w:szCs w:val="21"/>
                <w:highlight w:val="none"/>
              </w:rPr>
              <w:t>不组织</w:t>
            </w:r>
          </w:p>
          <w:p w14:paraId="0495BBA7">
            <w:pPr>
              <w:spacing w:line="420" w:lineRule="exact"/>
              <w:rPr>
                <w:rFonts w:hint="eastAsia" w:hAnsi="宋体"/>
                <w:color w:val="auto"/>
                <w:sz w:val="21"/>
                <w:szCs w:val="21"/>
                <w:highlight w:val="none"/>
              </w:rPr>
            </w:pPr>
            <w:r>
              <w:rPr>
                <w:rFonts w:hint="eastAsia" w:hAnsi="宋体"/>
                <w:color w:val="auto"/>
                <w:sz w:val="21"/>
                <w:szCs w:val="21"/>
                <w:highlight w:val="none"/>
              </w:rPr>
              <w:t>□组织，组织时间：</w:t>
            </w:r>
          </w:p>
          <w:p w14:paraId="4252A989">
            <w:pPr>
              <w:spacing w:line="420" w:lineRule="exact"/>
              <w:rPr>
                <w:rFonts w:hint="eastAsia" w:hAnsi="宋体"/>
                <w:color w:val="auto"/>
                <w:sz w:val="21"/>
                <w:szCs w:val="21"/>
                <w:highlight w:val="none"/>
              </w:rPr>
            </w:pPr>
            <w:r>
              <w:rPr>
                <w:rFonts w:hint="eastAsia" w:hAnsi="宋体"/>
                <w:color w:val="auto"/>
                <w:sz w:val="21"/>
                <w:szCs w:val="21"/>
                <w:highlight w:val="none"/>
              </w:rPr>
              <w:t>地点：</w:t>
            </w:r>
          </w:p>
        </w:tc>
      </w:tr>
      <w:tr w14:paraId="2D834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1102" w:type="dxa"/>
            <w:vAlign w:val="center"/>
          </w:tcPr>
          <w:p w14:paraId="09B8A868">
            <w:pPr>
              <w:spacing w:line="420" w:lineRule="exact"/>
              <w:rPr>
                <w:rFonts w:hint="eastAsia" w:hAnsi="宋体"/>
                <w:color w:val="auto"/>
                <w:sz w:val="21"/>
                <w:szCs w:val="21"/>
                <w:highlight w:val="none"/>
              </w:rPr>
            </w:pPr>
            <w:r>
              <w:rPr>
                <w:rFonts w:hint="eastAsia" w:hAnsi="宋体"/>
                <w:color w:val="auto"/>
                <w:sz w:val="21"/>
                <w:szCs w:val="21"/>
                <w:highlight w:val="none"/>
              </w:rPr>
              <w:t>4.2.2</w:t>
            </w:r>
          </w:p>
        </w:tc>
        <w:tc>
          <w:tcPr>
            <w:tcW w:w="1870" w:type="dxa"/>
            <w:vAlign w:val="center"/>
          </w:tcPr>
          <w:p w14:paraId="34863A0F">
            <w:pPr>
              <w:spacing w:line="420" w:lineRule="exact"/>
              <w:jc w:val="center"/>
              <w:rPr>
                <w:rFonts w:hint="eastAsia" w:hAnsi="宋体"/>
                <w:color w:val="auto"/>
                <w:sz w:val="21"/>
                <w:szCs w:val="21"/>
                <w:highlight w:val="none"/>
              </w:rPr>
            </w:pPr>
            <w:r>
              <w:rPr>
                <w:rFonts w:hint="eastAsia" w:hAnsi="宋体"/>
                <w:color w:val="auto"/>
                <w:sz w:val="21"/>
                <w:szCs w:val="21"/>
                <w:highlight w:val="none"/>
              </w:rPr>
              <w:t>递交投标文件截止时间和方式</w:t>
            </w:r>
          </w:p>
        </w:tc>
        <w:tc>
          <w:tcPr>
            <w:tcW w:w="7049" w:type="dxa"/>
          </w:tcPr>
          <w:p w14:paraId="1B337353">
            <w:pPr>
              <w:spacing w:line="420" w:lineRule="exact"/>
              <w:rPr>
                <w:rFonts w:hint="eastAsia" w:hAnsi="宋体"/>
                <w:bCs/>
                <w:color w:val="auto"/>
                <w:sz w:val="21"/>
                <w:szCs w:val="21"/>
                <w:highlight w:val="none"/>
              </w:rPr>
            </w:pPr>
            <w:r>
              <w:rPr>
                <w:rFonts w:hint="eastAsia" w:hAnsi="宋体"/>
                <w:bCs/>
                <w:color w:val="auto"/>
                <w:sz w:val="21"/>
                <w:szCs w:val="21"/>
                <w:highlight w:val="none"/>
              </w:rPr>
              <w:t>递交投标文件的截止时间：2024年09月02日09时00分（北京时间）；</w:t>
            </w:r>
          </w:p>
          <w:p w14:paraId="17BB48E9">
            <w:pPr>
              <w:spacing w:line="420" w:lineRule="exact"/>
              <w:rPr>
                <w:rFonts w:hint="eastAsia" w:hAnsi="宋体"/>
                <w:b/>
                <w:color w:val="auto"/>
                <w:sz w:val="21"/>
                <w:szCs w:val="21"/>
                <w:highlight w:val="none"/>
              </w:rPr>
            </w:pPr>
            <w:r>
              <w:rPr>
                <w:rFonts w:hint="eastAsia" w:hAnsi="宋体"/>
                <w:bCs/>
                <w:color w:val="auto"/>
                <w:sz w:val="21"/>
                <w:szCs w:val="21"/>
                <w:highlight w:val="none"/>
              </w:rPr>
              <w:t>递交投标文件方式：投标人须在投标文件提交截止时间以前将电子投标文件上传至政府采购云平台（www.zcygov.cn）。逾期未上传电子投标文件或在规定时间内未能进行投标文件解密的，其投标文件将视为不合格并拒绝。</w:t>
            </w:r>
          </w:p>
        </w:tc>
      </w:tr>
      <w:tr w14:paraId="7C913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1102" w:type="dxa"/>
            <w:vAlign w:val="center"/>
          </w:tcPr>
          <w:p w14:paraId="4BBD6469">
            <w:pPr>
              <w:spacing w:line="420" w:lineRule="exact"/>
              <w:rPr>
                <w:rFonts w:hint="eastAsia" w:hAnsi="宋体"/>
                <w:color w:val="auto"/>
                <w:sz w:val="21"/>
                <w:szCs w:val="21"/>
                <w:highlight w:val="none"/>
              </w:rPr>
            </w:pPr>
            <w:r>
              <w:rPr>
                <w:rFonts w:hint="eastAsia" w:hAnsi="宋体"/>
                <w:color w:val="auto"/>
                <w:sz w:val="21"/>
                <w:szCs w:val="21"/>
                <w:highlight w:val="none"/>
              </w:rPr>
              <w:t>5.1</w:t>
            </w:r>
          </w:p>
        </w:tc>
        <w:tc>
          <w:tcPr>
            <w:tcW w:w="1870" w:type="dxa"/>
            <w:vAlign w:val="center"/>
          </w:tcPr>
          <w:p w14:paraId="06FC0938">
            <w:pPr>
              <w:spacing w:line="420" w:lineRule="exact"/>
              <w:jc w:val="center"/>
              <w:rPr>
                <w:rFonts w:hint="eastAsia" w:hAnsi="宋体"/>
                <w:color w:val="auto"/>
                <w:sz w:val="21"/>
                <w:szCs w:val="21"/>
                <w:highlight w:val="none"/>
              </w:rPr>
            </w:pPr>
            <w:r>
              <w:rPr>
                <w:rFonts w:hint="eastAsia" w:hAnsi="宋体"/>
                <w:color w:val="auto"/>
                <w:sz w:val="21"/>
                <w:szCs w:val="21"/>
                <w:highlight w:val="none"/>
              </w:rPr>
              <w:t>开标时间和地点</w:t>
            </w:r>
          </w:p>
        </w:tc>
        <w:tc>
          <w:tcPr>
            <w:tcW w:w="7049" w:type="dxa"/>
            <w:vAlign w:val="center"/>
          </w:tcPr>
          <w:p w14:paraId="7B4FAC00">
            <w:pPr>
              <w:spacing w:line="420" w:lineRule="exact"/>
              <w:rPr>
                <w:rFonts w:hint="eastAsia" w:hAnsi="宋体" w:cs="宋体"/>
                <w:color w:val="auto"/>
                <w:sz w:val="21"/>
                <w:szCs w:val="21"/>
                <w:highlight w:val="none"/>
              </w:rPr>
            </w:pPr>
            <w:r>
              <w:rPr>
                <w:rFonts w:hint="eastAsia" w:hAnsi="宋体" w:cs="宋体"/>
                <w:color w:val="auto"/>
                <w:sz w:val="21"/>
                <w:szCs w:val="21"/>
                <w:highlight w:val="none"/>
              </w:rPr>
              <w:t>开标时间：同投标截止时间</w:t>
            </w:r>
          </w:p>
          <w:p w14:paraId="2158B0EE">
            <w:pPr>
              <w:spacing w:line="420" w:lineRule="exact"/>
              <w:rPr>
                <w:rFonts w:hint="eastAsia" w:hAnsi="宋体" w:cs="宋体"/>
                <w:color w:val="auto"/>
                <w:sz w:val="21"/>
                <w:szCs w:val="21"/>
                <w:highlight w:val="none"/>
              </w:rPr>
            </w:pPr>
            <w:r>
              <w:rPr>
                <w:rFonts w:hint="eastAsia" w:hAnsi="宋体" w:cs="宋体"/>
                <w:color w:val="auto"/>
                <w:sz w:val="21"/>
                <w:szCs w:val="21"/>
                <w:highlight w:val="none"/>
              </w:rPr>
              <w:t>开标地点：</w:t>
            </w:r>
            <w:r>
              <w:rPr>
                <w:rFonts w:hint="eastAsia" w:cs="宋体" w:asciiTheme="minorEastAsia" w:hAnsiTheme="minorEastAsia" w:eastAsiaTheme="minorEastAsia"/>
                <w:color w:val="auto"/>
                <w:sz w:val="21"/>
                <w:szCs w:val="21"/>
                <w:highlight w:val="none"/>
              </w:rPr>
              <w:t>保山市天瑞建设工程招标咨询有限公司二楼会议室（保山市隆阳区象山路5号），请各投标人登录政采云投标客户端参与采购活动并递交投标文件。</w:t>
            </w:r>
          </w:p>
        </w:tc>
      </w:tr>
      <w:tr w14:paraId="565C8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1102" w:type="dxa"/>
            <w:vAlign w:val="center"/>
          </w:tcPr>
          <w:p w14:paraId="2EB155F2">
            <w:pPr>
              <w:spacing w:line="420" w:lineRule="exact"/>
              <w:rPr>
                <w:rFonts w:hint="eastAsia" w:hAnsi="宋体"/>
                <w:color w:val="auto"/>
                <w:sz w:val="21"/>
                <w:szCs w:val="21"/>
                <w:highlight w:val="none"/>
              </w:rPr>
            </w:pPr>
            <w:r>
              <w:rPr>
                <w:rFonts w:hint="eastAsia" w:hAnsi="宋体"/>
                <w:color w:val="auto"/>
                <w:sz w:val="21"/>
                <w:szCs w:val="21"/>
                <w:highlight w:val="none"/>
              </w:rPr>
              <w:t>6.1.1</w:t>
            </w:r>
          </w:p>
        </w:tc>
        <w:tc>
          <w:tcPr>
            <w:tcW w:w="1870" w:type="dxa"/>
            <w:vAlign w:val="center"/>
          </w:tcPr>
          <w:p w14:paraId="37CDB35F">
            <w:pPr>
              <w:spacing w:line="420" w:lineRule="exact"/>
              <w:rPr>
                <w:rFonts w:hint="eastAsia" w:hAnsi="宋体" w:cs="宋体"/>
                <w:color w:val="auto"/>
                <w:spacing w:val="9"/>
                <w:sz w:val="21"/>
                <w:szCs w:val="21"/>
                <w:highlight w:val="none"/>
              </w:rPr>
            </w:pPr>
            <w:r>
              <w:rPr>
                <w:rFonts w:hint="eastAsia" w:hAnsi="宋体" w:cs="宋体"/>
                <w:color w:val="auto"/>
                <w:spacing w:val="9"/>
                <w:sz w:val="21"/>
                <w:szCs w:val="21"/>
                <w:highlight w:val="none"/>
              </w:rPr>
              <w:t>评标委员会的组成</w:t>
            </w:r>
          </w:p>
        </w:tc>
        <w:tc>
          <w:tcPr>
            <w:tcW w:w="7049" w:type="dxa"/>
          </w:tcPr>
          <w:p w14:paraId="498385DB">
            <w:pPr>
              <w:spacing w:line="420" w:lineRule="exact"/>
              <w:rPr>
                <w:rFonts w:hint="eastAsia" w:hAnsi="宋体" w:cs="宋体"/>
                <w:color w:val="auto"/>
                <w:sz w:val="21"/>
                <w:szCs w:val="21"/>
                <w:highlight w:val="none"/>
              </w:rPr>
            </w:pPr>
            <w:r>
              <w:rPr>
                <w:rFonts w:hint="eastAsia" w:hAnsi="宋体" w:cs="宋体"/>
                <w:color w:val="auto"/>
                <w:sz w:val="21"/>
                <w:szCs w:val="21"/>
                <w:highlight w:val="none"/>
              </w:rPr>
              <w:t>由采购人按国家相关法律法规组建评标委员会，评标委员会由5人及以上单数组成。</w:t>
            </w:r>
          </w:p>
        </w:tc>
      </w:tr>
      <w:tr w14:paraId="6A5E6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1102" w:type="dxa"/>
            <w:vAlign w:val="center"/>
          </w:tcPr>
          <w:p w14:paraId="0AB103C4">
            <w:pPr>
              <w:spacing w:line="420" w:lineRule="exact"/>
              <w:rPr>
                <w:rFonts w:hint="eastAsia" w:hAnsi="宋体" w:cs="宋体"/>
                <w:color w:val="auto"/>
                <w:sz w:val="21"/>
                <w:szCs w:val="21"/>
                <w:highlight w:val="none"/>
              </w:rPr>
            </w:pPr>
            <w:r>
              <w:rPr>
                <w:rFonts w:hint="eastAsia" w:hAnsi="宋体" w:cs="宋体"/>
                <w:color w:val="auto"/>
                <w:sz w:val="21"/>
                <w:szCs w:val="21"/>
                <w:highlight w:val="none"/>
              </w:rPr>
              <w:t>6.2.1</w:t>
            </w:r>
          </w:p>
        </w:tc>
        <w:tc>
          <w:tcPr>
            <w:tcW w:w="1870" w:type="dxa"/>
            <w:vAlign w:val="center"/>
          </w:tcPr>
          <w:p w14:paraId="7F25B5B0">
            <w:pPr>
              <w:spacing w:line="420" w:lineRule="exact"/>
              <w:jc w:val="center"/>
              <w:rPr>
                <w:rFonts w:hint="eastAsia" w:hAnsi="宋体" w:cs="宋体"/>
                <w:color w:val="auto"/>
                <w:sz w:val="21"/>
                <w:szCs w:val="21"/>
                <w:highlight w:val="none"/>
              </w:rPr>
            </w:pPr>
            <w:r>
              <w:rPr>
                <w:rFonts w:hint="eastAsia" w:hAnsi="宋体" w:cs="宋体"/>
                <w:color w:val="auto"/>
                <w:sz w:val="21"/>
                <w:szCs w:val="21"/>
                <w:highlight w:val="none"/>
              </w:rPr>
              <w:t>评标办法</w:t>
            </w:r>
          </w:p>
        </w:tc>
        <w:tc>
          <w:tcPr>
            <w:tcW w:w="7049" w:type="dxa"/>
            <w:vAlign w:val="center"/>
          </w:tcPr>
          <w:p w14:paraId="1F515062">
            <w:pPr>
              <w:spacing w:line="420" w:lineRule="exact"/>
              <w:rPr>
                <w:rFonts w:hint="eastAsia" w:hAnsi="宋体" w:cs="宋体"/>
                <w:color w:val="auto"/>
                <w:sz w:val="21"/>
                <w:szCs w:val="21"/>
                <w:highlight w:val="none"/>
              </w:rPr>
            </w:pPr>
            <w:r>
              <w:rPr>
                <w:rFonts w:hint="eastAsia" w:hAnsi="宋体" w:cs="宋体"/>
                <w:color w:val="auto"/>
                <w:sz w:val="21"/>
                <w:szCs w:val="21"/>
                <w:highlight w:val="none"/>
              </w:rPr>
              <w:t>综合评分法</w:t>
            </w:r>
          </w:p>
        </w:tc>
      </w:tr>
      <w:tr w14:paraId="6E21C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8" w:hRule="atLeast"/>
          <w:jc w:val="center"/>
        </w:trPr>
        <w:tc>
          <w:tcPr>
            <w:tcW w:w="1102" w:type="dxa"/>
            <w:vMerge w:val="restart"/>
            <w:vAlign w:val="center"/>
          </w:tcPr>
          <w:p w14:paraId="48FCB36E">
            <w:pPr>
              <w:spacing w:line="420" w:lineRule="exact"/>
              <w:rPr>
                <w:rFonts w:hint="eastAsia" w:hAnsi="宋体"/>
                <w:color w:val="auto"/>
                <w:sz w:val="21"/>
                <w:szCs w:val="21"/>
                <w:highlight w:val="none"/>
              </w:rPr>
            </w:pPr>
            <w:r>
              <w:rPr>
                <w:rFonts w:hint="eastAsia" w:hAnsi="宋体"/>
                <w:color w:val="auto"/>
                <w:sz w:val="21"/>
                <w:szCs w:val="21"/>
                <w:highlight w:val="none"/>
              </w:rPr>
              <w:t>9</w:t>
            </w:r>
          </w:p>
        </w:tc>
        <w:tc>
          <w:tcPr>
            <w:tcW w:w="1870" w:type="dxa"/>
            <w:vAlign w:val="center"/>
          </w:tcPr>
          <w:p w14:paraId="6594C5A7">
            <w:pPr>
              <w:spacing w:line="420" w:lineRule="exact"/>
              <w:jc w:val="center"/>
              <w:rPr>
                <w:rFonts w:hint="eastAsia" w:hAnsi="宋体"/>
                <w:color w:val="auto"/>
                <w:sz w:val="21"/>
                <w:szCs w:val="21"/>
                <w:highlight w:val="none"/>
              </w:rPr>
            </w:pPr>
            <w:r>
              <w:rPr>
                <w:rFonts w:hint="eastAsia" w:hAnsi="宋体"/>
                <w:color w:val="auto"/>
                <w:sz w:val="21"/>
                <w:szCs w:val="21"/>
                <w:highlight w:val="none"/>
              </w:rPr>
              <w:t>需要补充的其他内容</w:t>
            </w:r>
          </w:p>
        </w:tc>
        <w:tc>
          <w:tcPr>
            <w:tcW w:w="7049" w:type="dxa"/>
            <w:vAlign w:val="center"/>
          </w:tcPr>
          <w:p w14:paraId="704B5566">
            <w:pPr>
              <w:widowControl/>
              <w:spacing w:line="420" w:lineRule="exact"/>
              <w:jc w:val="left"/>
              <w:rPr>
                <w:rFonts w:hint="eastAsia" w:hAnsi="宋体" w:cs="宋体"/>
                <w:color w:val="auto"/>
                <w:sz w:val="21"/>
                <w:szCs w:val="21"/>
                <w:highlight w:val="none"/>
              </w:rPr>
            </w:pPr>
            <w:r>
              <w:rPr>
                <w:rFonts w:hAnsi="宋体" w:cs="宋体"/>
                <w:color w:val="auto"/>
                <w:sz w:val="21"/>
                <w:szCs w:val="21"/>
                <w:highlight w:val="none"/>
              </w:rPr>
              <w:t>在合同谈判过程中，</w:t>
            </w:r>
            <w:r>
              <w:rPr>
                <w:rFonts w:hint="eastAsia" w:hAnsi="宋体" w:cs="宋体"/>
                <w:color w:val="auto"/>
                <w:sz w:val="21"/>
                <w:szCs w:val="21"/>
                <w:highlight w:val="none"/>
              </w:rPr>
              <w:t>采购人</w:t>
            </w:r>
            <w:r>
              <w:rPr>
                <w:rFonts w:hAnsi="宋体" w:cs="宋体"/>
                <w:color w:val="auto"/>
                <w:sz w:val="21"/>
                <w:szCs w:val="21"/>
                <w:highlight w:val="none"/>
              </w:rPr>
              <w:t>有对第一中标候选人的投标文件中不合理的条款要求其修改权力，第一中标候选人拒不修改的，</w:t>
            </w:r>
            <w:r>
              <w:rPr>
                <w:rFonts w:hint="eastAsia" w:hAnsi="宋体" w:cs="宋体"/>
                <w:color w:val="auto"/>
                <w:sz w:val="21"/>
                <w:szCs w:val="21"/>
                <w:highlight w:val="none"/>
              </w:rPr>
              <w:t>采购人</w:t>
            </w:r>
            <w:r>
              <w:rPr>
                <w:rFonts w:hAnsi="宋体" w:cs="宋体"/>
                <w:color w:val="auto"/>
                <w:sz w:val="21"/>
                <w:szCs w:val="21"/>
                <w:highlight w:val="none"/>
              </w:rPr>
              <w:t>有权取消其中标资格</w:t>
            </w:r>
            <w:r>
              <w:rPr>
                <w:rFonts w:hint="eastAsia" w:hAnsi="宋体" w:cs="宋体"/>
                <w:color w:val="auto"/>
                <w:sz w:val="21"/>
                <w:szCs w:val="21"/>
                <w:highlight w:val="none"/>
              </w:rPr>
              <w:t>。</w:t>
            </w:r>
          </w:p>
        </w:tc>
      </w:tr>
      <w:tr w14:paraId="4F9E0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8" w:hRule="atLeast"/>
          <w:jc w:val="center"/>
        </w:trPr>
        <w:tc>
          <w:tcPr>
            <w:tcW w:w="1102" w:type="dxa"/>
            <w:vMerge w:val="continue"/>
            <w:vAlign w:val="center"/>
          </w:tcPr>
          <w:p w14:paraId="788757EA">
            <w:pPr>
              <w:spacing w:line="420" w:lineRule="exact"/>
              <w:rPr>
                <w:rFonts w:hint="eastAsia" w:hAnsi="宋体"/>
                <w:color w:val="auto"/>
                <w:sz w:val="21"/>
                <w:szCs w:val="21"/>
                <w:highlight w:val="none"/>
              </w:rPr>
            </w:pPr>
          </w:p>
        </w:tc>
        <w:tc>
          <w:tcPr>
            <w:tcW w:w="1870" w:type="dxa"/>
            <w:vAlign w:val="center"/>
          </w:tcPr>
          <w:p w14:paraId="5BB33965">
            <w:pPr>
              <w:spacing w:line="420" w:lineRule="exact"/>
              <w:jc w:val="center"/>
              <w:rPr>
                <w:rFonts w:hint="eastAsia" w:hAnsi="宋体"/>
                <w:color w:val="auto"/>
                <w:sz w:val="21"/>
                <w:szCs w:val="21"/>
                <w:highlight w:val="none"/>
              </w:rPr>
            </w:pPr>
            <w:r>
              <w:rPr>
                <w:rFonts w:hint="eastAsia" w:hAnsi="宋体"/>
                <w:color w:val="auto"/>
                <w:sz w:val="21"/>
                <w:szCs w:val="21"/>
                <w:highlight w:val="none"/>
              </w:rPr>
              <w:t>商务条款说明</w:t>
            </w:r>
          </w:p>
        </w:tc>
        <w:tc>
          <w:tcPr>
            <w:tcW w:w="7049" w:type="dxa"/>
            <w:vAlign w:val="center"/>
          </w:tcPr>
          <w:p w14:paraId="77C25EA4">
            <w:pPr>
              <w:widowControl/>
              <w:spacing w:line="420" w:lineRule="exact"/>
              <w:jc w:val="left"/>
              <w:rPr>
                <w:rFonts w:hint="eastAsia" w:hAnsi="宋体" w:cs="宋体"/>
                <w:color w:val="auto"/>
                <w:sz w:val="21"/>
                <w:szCs w:val="21"/>
                <w:highlight w:val="none"/>
              </w:rPr>
            </w:pPr>
            <w:r>
              <w:rPr>
                <w:rFonts w:hint="eastAsia" w:hAnsi="宋体" w:cs="宋体"/>
                <w:color w:val="auto"/>
                <w:sz w:val="21"/>
                <w:szCs w:val="21"/>
                <w:highlight w:val="none"/>
              </w:rPr>
              <w:t>关于商务条款的要求：商务条款包含合同履行期限、项目服务地点、系统部署安装区域要求（招标文件第六章项目技术标准和要求“二、项目采购需求、</w:t>
            </w:r>
            <w:r>
              <w:rPr>
                <w:rFonts w:hint="eastAsia" w:hAnsi="宋体" w:cs="宋体"/>
                <w:color w:val="auto"/>
                <w:sz w:val="21"/>
                <w:szCs w:val="21"/>
                <w:highlight w:val="none"/>
                <w:lang w:eastAsia="zh-CN"/>
              </w:rPr>
              <w:t>2.3系统部署安装区域要求</w:t>
            </w:r>
            <w:r>
              <w:rPr>
                <w:rFonts w:hint="eastAsia" w:hAnsi="宋体" w:cs="宋体"/>
                <w:color w:val="auto"/>
                <w:sz w:val="21"/>
                <w:szCs w:val="21"/>
                <w:highlight w:val="none"/>
              </w:rPr>
              <w:t>”）、售后运维服务期限等非技术要求的指标。</w:t>
            </w:r>
          </w:p>
        </w:tc>
      </w:tr>
      <w:tr w14:paraId="1C1AC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jc w:val="center"/>
        </w:trPr>
        <w:tc>
          <w:tcPr>
            <w:tcW w:w="1102" w:type="dxa"/>
            <w:vMerge w:val="continue"/>
            <w:vAlign w:val="center"/>
          </w:tcPr>
          <w:p w14:paraId="7DFAF5BF">
            <w:pPr>
              <w:spacing w:line="420" w:lineRule="exact"/>
              <w:rPr>
                <w:rFonts w:hint="eastAsia" w:hAnsi="宋体"/>
                <w:color w:val="auto"/>
                <w:sz w:val="21"/>
                <w:szCs w:val="21"/>
                <w:highlight w:val="none"/>
              </w:rPr>
            </w:pPr>
          </w:p>
        </w:tc>
        <w:tc>
          <w:tcPr>
            <w:tcW w:w="1870" w:type="dxa"/>
            <w:vAlign w:val="center"/>
          </w:tcPr>
          <w:p w14:paraId="203FDD85">
            <w:pPr>
              <w:spacing w:line="420" w:lineRule="exact"/>
              <w:jc w:val="center"/>
              <w:rPr>
                <w:rFonts w:hint="eastAsia" w:hAnsi="宋体"/>
                <w:color w:val="auto"/>
                <w:sz w:val="21"/>
                <w:szCs w:val="21"/>
                <w:highlight w:val="none"/>
              </w:rPr>
            </w:pPr>
            <w:r>
              <w:rPr>
                <w:rFonts w:hint="eastAsia" w:hAnsi="宋体"/>
                <w:color w:val="auto"/>
                <w:sz w:val="21"/>
                <w:szCs w:val="21"/>
                <w:highlight w:val="none"/>
              </w:rPr>
              <w:t>本次采购的实质性要求</w:t>
            </w:r>
          </w:p>
        </w:tc>
        <w:tc>
          <w:tcPr>
            <w:tcW w:w="7049" w:type="dxa"/>
            <w:vAlign w:val="center"/>
          </w:tcPr>
          <w:p w14:paraId="05E654A2">
            <w:pPr>
              <w:widowControl/>
              <w:spacing w:line="420" w:lineRule="exact"/>
              <w:jc w:val="left"/>
              <w:rPr>
                <w:rFonts w:hint="eastAsia" w:hAnsi="宋体"/>
                <w:color w:val="auto"/>
                <w:sz w:val="21"/>
                <w:szCs w:val="21"/>
                <w:highlight w:val="none"/>
              </w:rPr>
            </w:pPr>
            <w:r>
              <w:rPr>
                <w:rFonts w:hint="eastAsia" w:hAnsi="宋体"/>
                <w:color w:val="auto"/>
                <w:sz w:val="21"/>
                <w:szCs w:val="21"/>
                <w:highlight w:val="none"/>
              </w:rPr>
              <w:t>本项目规定的实质性要求：</w:t>
            </w:r>
          </w:p>
          <w:p w14:paraId="25E80377">
            <w:pPr>
              <w:widowControl/>
              <w:spacing w:line="420" w:lineRule="exact"/>
              <w:jc w:val="left"/>
              <w:rPr>
                <w:rFonts w:hint="eastAsia" w:hAnsi="宋体"/>
                <w:color w:val="auto"/>
                <w:sz w:val="21"/>
                <w:szCs w:val="21"/>
                <w:highlight w:val="none"/>
              </w:rPr>
            </w:pPr>
            <w:r>
              <w:rPr>
                <w:rFonts w:hint="eastAsia" w:hAnsi="宋体"/>
                <w:color w:val="auto"/>
                <w:sz w:val="21"/>
                <w:szCs w:val="21"/>
                <w:highlight w:val="none"/>
              </w:rPr>
              <w:t>1.投标人响应的“商务条款”不符合项目需求的，则视为实质性不响应。</w:t>
            </w:r>
          </w:p>
          <w:p w14:paraId="7E86F0CF">
            <w:pPr>
              <w:widowControl/>
              <w:spacing w:line="420" w:lineRule="exact"/>
              <w:jc w:val="left"/>
              <w:rPr>
                <w:rFonts w:hint="eastAsia" w:hAnsi="宋体"/>
                <w:color w:val="auto"/>
                <w:sz w:val="21"/>
                <w:szCs w:val="21"/>
                <w:highlight w:val="none"/>
              </w:rPr>
            </w:pPr>
            <w:r>
              <w:rPr>
                <w:rFonts w:hint="eastAsia" w:hAnsi="宋体"/>
                <w:color w:val="auto"/>
                <w:sz w:val="21"/>
                <w:szCs w:val="21"/>
                <w:highlight w:val="none"/>
              </w:rPr>
              <w:t>2.投标文件未提供“本次采购加油站流量数据采集系统须部署到本地云资源池（不允许数据信息外流）的书面承诺”和“</w:t>
            </w:r>
            <w:r>
              <w:rPr>
                <w:rFonts w:hint="eastAsia" w:hAnsi="宋体" w:cs="宋体"/>
                <w:color w:val="auto"/>
                <w:sz w:val="21"/>
                <w:szCs w:val="21"/>
                <w:highlight w:val="none"/>
              </w:rPr>
              <w:t>本地云资源证明材料</w:t>
            </w:r>
            <w:r>
              <w:rPr>
                <w:rFonts w:hint="eastAsia" w:hAnsi="宋体"/>
                <w:color w:val="auto"/>
                <w:sz w:val="21"/>
                <w:szCs w:val="21"/>
                <w:highlight w:val="none"/>
              </w:rPr>
              <w:t>”的，视为实质性不响应。</w:t>
            </w:r>
          </w:p>
          <w:p w14:paraId="454455A7">
            <w:pPr>
              <w:widowControl/>
              <w:spacing w:line="420" w:lineRule="exact"/>
              <w:jc w:val="left"/>
              <w:rPr>
                <w:rFonts w:hint="eastAsia" w:hAnsi="宋体"/>
                <w:color w:val="auto"/>
                <w:sz w:val="21"/>
                <w:szCs w:val="21"/>
                <w:highlight w:val="none"/>
              </w:rPr>
            </w:pPr>
            <w:r>
              <w:rPr>
                <w:rFonts w:hint="eastAsia" w:hAnsi="宋体"/>
                <w:color w:val="auto"/>
                <w:sz w:val="21"/>
                <w:szCs w:val="21"/>
                <w:highlight w:val="none"/>
              </w:rPr>
              <w:t>3.投标人针对本项目提供的驻场运维人员人数低于采购需求的，则视为实质性不响应。</w:t>
            </w:r>
          </w:p>
          <w:p w14:paraId="0575BCD1">
            <w:pPr>
              <w:widowControl/>
              <w:spacing w:line="420" w:lineRule="exact"/>
              <w:jc w:val="left"/>
              <w:rPr>
                <w:rFonts w:hint="eastAsia" w:hAnsi="宋体"/>
                <w:color w:val="auto"/>
                <w:sz w:val="21"/>
                <w:szCs w:val="21"/>
                <w:highlight w:val="none"/>
              </w:rPr>
            </w:pPr>
            <w:r>
              <w:rPr>
                <w:rFonts w:hint="eastAsia" w:hAnsi="宋体"/>
                <w:color w:val="auto"/>
                <w:sz w:val="21"/>
                <w:szCs w:val="21"/>
                <w:highlight w:val="none"/>
              </w:rPr>
              <w:t>4.投标文件中如有瞒报或虚报或提供虚假材料的，则视为实质性不响应。</w:t>
            </w:r>
          </w:p>
          <w:p w14:paraId="6A193EA2">
            <w:pPr>
              <w:widowControl/>
              <w:spacing w:line="420" w:lineRule="exact"/>
              <w:jc w:val="left"/>
              <w:rPr>
                <w:rFonts w:hint="eastAsia" w:hAnsi="宋体"/>
                <w:color w:val="auto"/>
                <w:sz w:val="21"/>
                <w:szCs w:val="21"/>
                <w:highlight w:val="none"/>
              </w:rPr>
            </w:pPr>
            <w:r>
              <w:rPr>
                <w:rFonts w:hint="eastAsia" w:hAnsi="宋体"/>
                <w:color w:val="auto"/>
                <w:sz w:val="21"/>
                <w:szCs w:val="21"/>
                <w:highlight w:val="none"/>
              </w:rPr>
              <w:t>5.投标文件中有采购人不能接受的条款，则视为实质性不响应。</w:t>
            </w:r>
          </w:p>
        </w:tc>
      </w:tr>
      <w:tr w14:paraId="3DC8C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jc w:val="center"/>
        </w:trPr>
        <w:tc>
          <w:tcPr>
            <w:tcW w:w="1102" w:type="dxa"/>
            <w:vMerge w:val="continue"/>
            <w:vAlign w:val="center"/>
          </w:tcPr>
          <w:p w14:paraId="50571E97">
            <w:pPr>
              <w:spacing w:line="420" w:lineRule="exact"/>
              <w:rPr>
                <w:rFonts w:hint="eastAsia" w:hAnsi="宋体"/>
                <w:color w:val="auto"/>
                <w:sz w:val="21"/>
                <w:szCs w:val="21"/>
                <w:highlight w:val="none"/>
              </w:rPr>
            </w:pPr>
          </w:p>
        </w:tc>
        <w:tc>
          <w:tcPr>
            <w:tcW w:w="1870" w:type="dxa"/>
            <w:vAlign w:val="center"/>
          </w:tcPr>
          <w:p w14:paraId="15A400D8">
            <w:pPr>
              <w:widowControl/>
              <w:spacing w:line="460" w:lineRule="exact"/>
              <w:jc w:val="left"/>
              <w:rPr>
                <w:rFonts w:hint="eastAsia" w:hAnsi="宋体"/>
                <w:color w:val="auto"/>
                <w:sz w:val="21"/>
                <w:szCs w:val="21"/>
                <w:highlight w:val="none"/>
              </w:rPr>
            </w:pPr>
            <w:r>
              <w:rPr>
                <w:rFonts w:hint="eastAsia" w:cs="宋体"/>
                <w:color w:val="auto"/>
                <w:sz w:val="21"/>
                <w:szCs w:val="21"/>
                <w:highlight w:val="none"/>
              </w:rPr>
              <w:t>中小微型企业有关政策</w:t>
            </w:r>
          </w:p>
        </w:tc>
        <w:tc>
          <w:tcPr>
            <w:tcW w:w="7049" w:type="dxa"/>
            <w:vAlign w:val="center"/>
          </w:tcPr>
          <w:p w14:paraId="21E98063">
            <w:pPr>
              <w:widowControl/>
              <w:spacing w:line="460" w:lineRule="exact"/>
              <w:jc w:val="left"/>
              <w:rPr>
                <w:rFonts w:hint="eastAsia" w:hAnsi="宋体" w:cs="宋体"/>
                <w:color w:val="auto"/>
                <w:sz w:val="21"/>
                <w:szCs w:val="21"/>
                <w:highlight w:val="none"/>
              </w:rPr>
            </w:pPr>
            <w:r>
              <w:rPr>
                <w:rFonts w:hint="eastAsia" w:hAnsi="宋体" w:cs="宋体"/>
                <w:color w:val="auto"/>
                <w:sz w:val="21"/>
                <w:szCs w:val="21"/>
                <w:highlight w:val="none"/>
              </w:rPr>
              <w:t>中小微型企业有关政策</w:t>
            </w:r>
          </w:p>
          <w:p w14:paraId="6F339670">
            <w:pPr>
              <w:widowControl/>
              <w:spacing w:line="460" w:lineRule="exact"/>
              <w:jc w:val="left"/>
              <w:rPr>
                <w:rFonts w:hint="eastAsia" w:hAnsi="宋体" w:cs="宋体"/>
                <w:color w:val="auto"/>
                <w:sz w:val="21"/>
                <w:szCs w:val="21"/>
                <w:highlight w:val="none"/>
              </w:rPr>
            </w:pPr>
            <w:r>
              <w:rPr>
                <w:rFonts w:hint="eastAsia" w:hAnsi="宋体" w:cs="宋体"/>
                <w:color w:val="auto"/>
                <w:sz w:val="21"/>
                <w:szCs w:val="21"/>
                <w:highlight w:val="none"/>
              </w:rPr>
              <w:t>本项目不属于专门面向中小企业的政府采购项目，本项目对小微企业的评审：</w:t>
            </w:r>
            <w:r>
              <w:rPr>
                <w:rFonts w:hint="eastAsia" w:hAnsi="宋体" w:cs="宋体"/>
                <w:color w:val="auto"/>
                <w:sz w:val="21"/>
                <w:szCs w:val="21"/>
                <w:highlight w:val="none"/>
              </w:rPr>
              <w:fldChar w:fldCharType="begin"/>
            </w:r>
            <w:r>
              <w:rPr>
                <w:rFonts w:hint="eastAsia" w:hAnsi="宋体" w:cs="宋体"/>
                <w:color w:val="auto"/>
                <w:sz w:val="21"/>
                <w:szCs w:val="21"/>
                <w:highlight w:val="none"/>
              </w:rPr>
              <w:instrText xml:space="preserve"> eq \o\ac(</w:instrText>
            </w:r>
            <w:r>
              <w:rPr>
                <w:rFonts w:hint="eastAsia" w:hAnsi="宋体" w:cs="宋体"/>
                <w:color w:val="auto"/>
                <w:position w:val="-4"/>
                <w:sz w:val="31"/>
                <w:szCs w:val="21"/>
                <w:highlight w:val="none"/>
              </w:rPr>
              <w:instrText xml:space="preserve">□</w:instrText>
            </w:r>
            <w:r>
              <w:rPr>
                <w:rFonts w:hint="eastAsia" w:hAnsi="宋体" w:cs="宋体"/>
                <w:color w:val="auto"/>
                <w:sz w:val="21"/>
                <w:szCs w:val="21"/>
                <w:highlight w:val="none"/>
              </w:rPr>
              <w:instrText xml:space="preserve">,√)</w:instrText>
            </w:r>
            <w:r>
              <w:rPr>
                <w:rFonts w:hint="eastAsia" w:hAnsi="宋体" w:cs="宋体"/>
                <w:color w:val="auto"/>
                <w:sz w:val="21"/>
                <w:szCs w:val="21"/>
                <w:highlight w:val="none"/>
              </w:rPr>
              <w:fldChar w:fldCharType="end"/>
            </w:r>
            <w:r>
              <w:rPr>
                <w:rFonts w:hint="eastAsia" w:hAnsi="宋体" w:cs="宋体"/>
                <w:color w:val="auto"/>
                <w:sz w:val="21"/>
                <w:szCs w:val="21"/>
                <w:highlight w:val="none"/>
              </w:rPr>
              <w:t>适用  □不适用。</w:t>
            </w:r>
          </w:p>
          <w:p w14:paraId="253FBB1E">
            <w:pPr>
              <w:widowControl/>
              <w:spacing w:line="440" w:lineRule="exact"/>
              <w:jc w:val="left"/>
              <w:rPr>
                <w:rFonts w:hint="eastAsia" w:hAnsi="宋体" w:cs="宋体"/>
                <w:color w:val="auto"/>
                <w:sz w:val="21"/>
                <w:szCs w:val="21"/>
                <w:highlight w:val="none"/>
              </w:rPr>
            </w:pPr>
            <w:r>
              <w:rPr>
                <w:rFonts w:hint="eastAsia" w:hAnsi="宋体" w:cs="宋体"/>
                <w:color w:val="auto"/>
                <w:sz w:val="21"/>
                <w:szCs w:val="21"/>
                <w:highlight w:val="none"/>
              </w:rPr>
              <w:t>1.根据《中华人民共和国中小企业促进法》《政府采购促进中小企业发展管理办法》《关于进一步加大政府采购支持中小企业力度的通知》（财库〔2022〕19号）《云南省进一步帮扶中小微企业纾困发展工作方案》（云政办发〔2022〕42号） 规定执行；</w:t>
            </w:r>
          </w:p>
          <w:p w14:paraId="51B38A1D">
            <w:pPr>
              <w:widowControl/>
              <w:spacing w:line="460" w:lineRule="exact"/>
              <w:jc w:val="left"/>
              <w:rPr>
                <w:rFonts w:hint="eastAsia" w:hAnsi="宋体" w:cs="宋体"/>
                <w:color w:val="auto"/>
                <w:sz w:val="21"/>
                <w:szCs w:val="21"/>
                <w:highlight w:val="none"/>
              </w:rPr>
            </w:pPr>
            <w:r>
              <w:rPr>
                <w:rFonts w:hint="eastAsia" w:hAnsi="宋体" w:cs="宋体"/>
                <w:color w:val="auto"/>
                <w:sz w:val="21"/>
                <w:szCs w:val="21"/>
                <w:highlight w:val="none"/>
              </w:rPr>
              <w:t>2.根据工信部等部委发布的《关于印发中小企业划型标准规定的通知》（工信部联企业〔2011〕300号）规定执行；</w:t>
            </w:r>
            <w:r>
              <w:rPr>
                <w:rFonts w:hint="eastAsia" w:hAnsi="宋体" w:cs="宋体"/>
                <w:b/>
                <w:bCs/>
                <w:color w:val="auto"/>
                <w:sz w:val="21"/>
                <w:szCs w:val="21"/>
                <w:highlight w:val="none"/>
              </w:rPr>
              <w:t>本项目属于服务类项目，行业为软件和信息技术服务业。</w:t>
            </w:r>
          </w:p>
          <w:p w14:paraId="67FE78B6">
            <w:pPr>
              <w:widowControl/>
              <w:spacing w:line="440" w:lineRule="exact"/>
              <w:jc w:val="left"/>
              <w:rPr>
                <w:rFonts w:hint="eastAsia" w:hAnsi="宋体" w:cs="宋体"/>
                <w:color w:val="auto"/>
                <w:sz w:val="21"/>
                <w:szCs w:val="21"/>
                <w:highlight w:val="none"/>
              </w:rPr>
            </w:pPr>
            <w:r>
              <w:rPr>
                <w:rFonts w:hint="eastAsia" w:hAnsi="宋体" w:cs="宋体"/>
                <w:color w:val="auto"/>
                <w:sz w:val="21"/>
                <w:szCs w:val="21"/>
                <w:highlight w:val="none"/>
              </w:rPr>
              <w:t>3.按照《财政部司法部关于政府采购支持监狱企业发展有关问题的通知》（财库〔2014〕68号）文件规定，在政府采购活动中，监狱企业视同小型、微型企业，享受评审中价格扣除的政府采购政策；</w:t>
            </w:r>
          </w:p>
          <w:p w14:paraId="4584B6C8">
            <w:pPr>
              <w:widowControl/>
              <w:spacing w:line="440" w:lineRule="exact"/>
              <w:jc w:val="left"/>
              <w:rPr>
                <w:rFonts w:hint="eastAsia" w:hAnsi="宋体" w:cs="宋体"/>
                <w:color w:val="auto"/>
                <w:sz w:val="21"/>
                <w:szCs w:val="21"/>
                <w:highlight w:val="none"/>
              </w:rPr>
            </w:pPr>
            <w:r>
              <w:rPr>
                <w:rFonts w:hint="eastAsia" w:hAnsi="宋体" w:cs="宋体"/>
                <w:color w:val="auto"/>
                <w:sz w:val="21"/>
                <w:szCs w:val="21"/>
                <w:highlight w:val="none"/>
              </w:rPr>
              <w:t>4.按照《财政部民政部中国残疾人联合会关于促进残疾人就业政府采购政策的通知》，残疾人福利性单位视同小型、微型企业，享受评审中价格扣除的政府采购政策，残疾人福利性单位属于小型、微型企业的，不重复享受政策；</w:t>
            </w:r>
          </w:p>
          <w:p w14:paraId="292DFE6B">
            <w:pPr>
              <w:widowControl/>
              <w:spacing w:line="440" w:lineRule="exact"/>
              <w:jc w:val="left"/>
              <w:rPr>
                <w:rFonts w:hint="eastAsia" w:hAnsi="宋体" w:cs="宋体"/>
                <w:color w:val="auto"/>
                <w:sz w:val="21"/>
                <w:szCs w:val="21"/>
                <w:highlight w:val="none"/>
              </w:rPr>
            </w:pPr>
            <w:r>
              <w:rPr>
                <w:rFonts w:hint="eastAsia" w:hAnsi="宋体" w:cs="宋体"/>
                <w:color w:val="auto"/>
                <w:sz w:val="21"/>
                <w:szCs w:val="21"/>
                <w:highlight w:val="none"/>
              </w:rPr>
              <w:t>5.价格扣除幅度：小型、微型企业产品（提供本企业制造的货物、承担的工程或者服务，或者提供其他小型、微型企业制造的货物）价格给予10%（工程类的3%）的扣除。在货物采购项目中，供应商提供的货物既有中小企业制造货物，也有大型企业制造货物的，不享受本办法规定的中小企业扶持政策。</w:t>
            </w:r>
          </w:p>
          <w:p w14:paraId="423D0387">
            <w:pPr>
              <w:pStyle w:val="24"/>
              <w:spacing w:line="440" w:lineRule="exact"/>
              <w:rPr>
                <w:rFonts w:hint="eastAsia" w:hAnsi="宋体"/>
                <w:color w:val="auto"/>
                <w:highlight w:val="none"/>
              </w:rPr>
            </w:pPr>
            <w:r>
              <w:rPr>
                <w:rFonts w:hint="eastAsia" w:hAnsi="宋体" w:cs="宋体"/>
                <w:color w:val="auto"/>
                <w:highlight w:val="none"/>
              </w:rPr>
              <w:t>6.如果联合协议中约定，小型、微型企业和监狱企业的协议合同金额占到联合体协议合同总金额30%以上的，可给予联合体4 %（工程类的1%）的价格扣除。联合体各方均为小型、微型企业和监狱企业的，联合体视同为小型、微型企业和监狱企业。组成联合体或者接受分包的小微企业与联合体内其他企业、分包企业之间存在直接控股、管理关系的，不享受价格扣除优惠政策。</w:t>
            </w:r>
            <w:r>
              <w:rPr>
                <w:rFonts w:hint="eastAsia" w:hAnsi="宋体" w:cs="宋体"/>
                <w:b/>
                <w:bCs/>
                <w:color w:val="auto"/>
                <w:highlight w:val="none"/>
              </w:rPr>
              <w:t>本项目不接受分包，不接受联合体，此条不适用。</w:t>
            </w:r>
          </w:p>
        </w:tc>
      </w:tr>
      <w:tr w14:paraId="64462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jc w:val="center"/>
        </w:trPr>
        <w:tc>
          <w:tcPr>
            <w:tcW w:w="1102" w:type="dxa"/>
            <w:vMerge w:val="continue"/>
            <w:vAlign w:val="center"/>
          </w:tcPr>
          <w:p w14:paraId="5211B0F4">
            <w:pPr>
              <w:spacing w:line="420" w:lineRule="exact"/>
              <w:rPr>
                <w:rFonts w:hint="eastAsia" w:hAnsi="宋体"/>
                <w:color w:val="auto"/>
                <w:sz w:val="21"/>
                <w:szCs w:val="21"/>
                <w:highlight w:val="none"/>
              </w:rPr>
            </w:pPr>
          </w:p>
        </w:tc>
        <w:tc>
          <w:tcPr>
            <w:tcW w:w="1870" w:type="dxa"/>
            <w:vAlign w:val="center"/>
          </w:tcPr>
          <w:p w14:paraId="4C95A963">
            <w:pPr>
              <w:widowControl/>
              <w:spacing w:line="460" w:lineRule="exact"/>
              <w:jc w:val="left"/>
              <w:rPr>
                <w:rFonts w:hint="eastAsia" w:hAnsi="宋体"/>
                <w:color w:val="auto"/>
                <w:sz w:val="21"/>
                <w:szCs w:val="21"/>
                <w:highlight w:val="none"/>
              </w:rPr>
            </w:pPr>
            <w:r>
              <w:rPr>
                <w:rFonts w:hint="eastAsia" w:cs="宋体"/>
                <w:color w:val="auto"/>
                <w:sz w:val="21"/>
                <w:szCs w:val="21"/>
                <w:highlight w:val="none"/>
              </w:rPr>
              <w:t>环境标志产品及节能产品有关政策</w:t>
            </w:r>
          </w:p>
        </w:tc>
        <w:tc>
          <w:tcPr>
            <w:tcW w:w="7049" w:type="dxa"/>
            <w:vAlign w:val="center"/>
          </w:tcPr>
          <w:p w14:paraId="522B6DA6">
            <w:pPr>
              <w:widowControl/>
              <w:spacing w:line="460" w:lineRule="exact"/>
              <w:jc w:val="left"/>
              <w:rPr>
                <w:rFonts w:cs="宋体"/>
                <w:color w:val="auto"/>
                <w:kern w:val="2"/>
                <w:sz w:val="21"/>
                <w:szCs w:val="21"/>
                <w:highlight w:val="none"/>
              </w:rPr>
            </w:pPr>
            <w:r>
              <w:rPr>
                <w:rFonts w:hint="eastAsia"/>
                <w:color w:val="auto"/>
                <w:sz w:val="21"/>
                <w:szCs w:val="21"/>
                <w:highlight w:val="none"/>
              </w:rPr>
              <w:t xml:space="preserve">本项目对环境标志产品及节能产品的评审：□适用   </w:t>
            </w:r>
            <w:r>
              <w:rPr>
                <w:rFonts w:hint="eastAsia" w:cs="宋体"/>
                <w:color w:val="auto"/>
                <w:position w:val="2"/>
                <w:sz w:val="21"/>
                <w:szCs w:val="21"/>
                <w:highlight w:val="none"/>
              </w:rPr>
              <w:fldChar w:fldCharType="begin"/>
            </w:r>
            <w:r>
              <w:rPr>
                <w:rFonts w:hint="eastAsia" w:cs="宋体"/>
                <w:color w:val="auto"/>
                <w:position w:val="2"/>
                <w:sz w:val="21"/>
                <w:szCs w:val="21"/>
                <w:highlight w:val="none"/>
              </w:rPr>
              <w:instrText xml:space="preserve">eq \o\ac(□,√)</w:instrText>
            </w:r>
            <w:r>
              <w:rPr>
                <w:rFonts w:hint="eastAsia" w:cs="宋体"/>
                <w:color w:val="auto"/>
                <w:position w:val="2"/>
                <w:sz w:val="21"/>
                <w:szCs w:val="21"/>
                <w:highlight w:val="none"/>
              </w:rPr>
              <w:fldChar w:fldCharType="end"/>
            </w:r>
            <w:r>
              <w:rPr>
                <w:rFonts w:hint="eastAsia"/>
                <w:color w:val="auto"/>
                <w:sz w:val="21"/>
                <w:szCs w:val="21"/>
                <w:highlight w:val="none"/>
              </w:rPr>
              <w:t>不适用。</w:t>
            </w:r>
          </w:p>
          <w:p w14:paraId="5DCEB69F">
            <w:pPr>
              <w:pStyle w:val="24"/>
              <w:spacing w:line="440" w:lineRule="exact"/>
              <w:rPr>
                <w:rFonts w:hint="eastAsia" w:hAnsi="宋体" w:cs="宋体"/>
                <w:color w:val="auto"/>
                <w:kern w:val="0"/>
                <w:highlight w:val="none"/>
              </w:rPr>
            </w:pPr>
            <w:r>
              <w:rPr>
                <w:rFonts w:hint="eastAsia" w:hAnsi="宋体" w:cs="宋体"/>
                <w:color w:val="auto"/>
                <w:kern w:val="0"/>
                <w:highlight w:val="none"/>
              </w:rPr>
              <w:t>1.落实强制采购节能产品、鼓励节能政策：对国家公布的节能产品政府采购清单中属于强制采购的产品，予以强制采购。属于非强制采购的产品，在技术、服务等指标同等条件下，予以优先采购。执行政策文件：《国务院办公厅关于建立政府强制采购节能产品制度的通知》（国办发〔2007〕5号）。</w:t>
            </w:r>
          </w:p>
          <w:p w14:paraId="6E9924F8">
            <w:pPr>
              <w:pStyle w:val="24"/>
              <w:spacing w:line="440" w:lineRule="exact"/>
              <w:rPr>
                <w:rFonts w:hint="eastAsia" w:hAnsi="宋体" w:cs="宋体"/>
                <w:color w:val="auto"/>
                <w:kern w:val="0"/>
                <w:highlight w:val="none"/>
              </w:rPr>
            </w:pPr>
            <w:r>
              <w:rPr>
                <w:rFonts w:hint="eastAsia" w:hAnsi="宋体" w:cs="宋体"/>
                <w:color w:val="auto"/>
                <w:kern w:val="0"/>
                <w:highlight w:val="none"/>
              </w:rPr>
              <w:t>2.鼓励环保政策：在技术、服务等指标同等条件下，优先采购国家公布的属于环境标志产品政府采购清单中产品。执行政策文件：《财政部 发展改革委 生态环境部 市场监管总局 关于调整优化节能产品、环境标志产品政府采购执行机制的通知》（财库〔2019〕9号）。</w:t>
            </w:r>
          </w:p>
          <w:p w14:paraId="63913F06">
            <w:pPr>
              <w:pStyle w:val="24"/>
              <w:spacing w:line="440" w:lineRule="exact"/>
              <w:rPr>
                <w:rFonts w:hint="eastAsia" w:hAnsi="宋体" w:cs="宋体"/>
                <w:color w:val="auto"/>
                <w:kern w:val="0"/>
                <w:highlight w:val="none"/>
              </w:rPr>
            </w:pPr>
            <w:r>
              <w:rPr>
                <w:rFonts w:hint="eastAsia" w:hAnsi="宋体" w:cs="宋体"/>
                <w:color w:val="auto"/>
                <w:kern w:val="0"/>
                <w:highlight w:val="none"/>
              </w:rPr>
              <w:t>3.根据</w:t>
            </w:r>
            <w:r>
              <w:rPr>
                <w:rFonts w:hint="eastAsia" w:hAnsi="宋体" w:cs="宋体"/>
                <w:color w:val="auto"/>
                <w:highlight w:val="none"/>
              </w:rPr>
              <w:t>《关于印发节能产品政府采购品目清单的通知》（财库〔2019〕19号）</w:t>
            </w:r>
            <w:r>
              <w:rPr>
                <w:rFonts w:hint="eastAsia" w:hAnsi="宋体" w:cs="宋体"/>
                <w:color w:val="auto"/>
                <w:kern w:val="0"/>
                <w:highlight w:val="none"/>
              </w:rPr>
              <w:t>，如果投标人拟提供的产品属于“节能产品政府采购清单”中的，按照评标办法中要求给予加分。投标人须提供证明材料（请提供在中国政府采购网“节能产品清单”中产品查询结果截图），否则评标时不予认可。</w:t>
            </w:r>
          </w:p>
          <w:p w14:paraId="4D32B186">
            <w:pPr>
              <w:widowControl/>
              <w:spacing w:line="460" w:lineRule="exact"/>
              <w:jc w:val="left"/>
              <w:rPr>
                <w:rFonts w:hint="eastAsia" w:hAnsi="宋体"/>
                <w:color w:val="auto"/>
                <w:sz w:val="21"/>
                <w:szCs w:val="21"/>
                <w:highlight w:val="none"/>
              </w:rPr>
            </w:pPr>
            <w:r>
              <w:rPr>
                <w:rFonts w:hint="eastAsia" w:hAnsi="宋体" w:cs="宋体"/>
                <w:color w:val="auto"/>
                <w:sz w:val="21"/>
                <w:szCs w:val="21"/>
                <w:highlight w:val="none"/>
              </w:rPr>
              <w:t>4.根据《关于印发环境标志产品政府采购品目清单的通知》（财库〔2019〕18号），如果投标人拟提供的产品属于“环境标志产品政府采购清单”中的，按照评标办法中要求给予加分。投标人须提供证明材料（必须提供在中国政府采购网“环保标志产品清单” 中产品查询结果截图），否则评标时不予认可。</w:t>
            </w:r>
          </w:p>
        </w:tc>
      </w:tr>
      <w:tr w14:paraId="6B2D5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jc w:val="center"/>
        </w:trPr>
        <w:tc>
          <w:tcPr>
            <w:tcW w:w="1102" w:type="dxa"/>
            <w:vMerge w:val="continue"/>
            <w:vAlign w:val="center"/>
          </w:tcPr>
          <w:p w14:paraId="16C998AA">
            <w:pPr>
              <w:spacing w:line="420" w:lineRule="exact"/>
              <w:rPr>
                <w:rFonts w:hint="eastAsia" w:hAnsi="宋体"/>
                <w:color w:val="auto"/>
                <w:sz w:val="21"/>
                <w:szCs w:val="21"/>
                <w:highlight w:val="none"/>
              </w:rPr>
            </w:pPr>
          </w:p>
        </w:tc>
        <w:tc>
          <w:tcPr>
            <w:tcW w:w="1870" w:type="dxa"/>
            <w:vAlign w:val="center"/>
          </w:tcPr>
          <w:p w14:paraId="52B87A53">
            <w:pPr>
              <w:spacing w:line="420" w:lineRule="atLeast"/>
              <w:jc w:val="center"/>
              <w:rPr>
                <w:rFonts w:hint="eastAsia" w:hAnsi="宋体"/>
                <w:color w:val="auto"/>
                <w:sz w:val="21"/>
                <w:szCs w:val="21"/>
                <w:highlight w:val="none"/>
              </w:rPr>
            </w:pPr>
            <w:r>
              <w:rPr>
                <w:rFonts w:hint="eastAsia"/>
                <w:color w:val="auto"/>
                <w:sz w:val="21"/>
                <w:szCs w:val="21"/>
                <w:highlight w:val="none"/>
              </w:rPr>
              <w:t>其他</w:t>
            </w:r>
          </w:p>
        </w:tc>
        <w:tc>
          <w:tcPr>
            <w:tcW w:w="7049" w:type="dxa"/>
            <w:vAlign w:val="center"/>
          </w:tcPr>
          <w:p w14:paraId="00F2D836">
            <w:pPr>
              <w:pStyle w:val="24"/>
              <w:spacing w:line="420" w:lineRule="exact"/>
              <w:rPr>
                <w:rFonts w:hint="eastAsia" w:hAnsi="宋体" w:cs="宋体"/>
                <w:color w:val="auto"/>
                <w:kern w:val="0"/>
                <w:highlight w:val="none"/>
              </w:rPr>
            </w:pPr>
            <w:r>
              <w:rPr>
                <w:rFonts w:hint="eastAsia" w:hAnsi="宋体" w:cs="宋体"/>
                <w:color w:val="auto"/>
                <w:kern w:val="0"/>
                <w:highlight w:val="none"/>
              </w:rPr>
              <w:t>其   它：</w:t>
            </w:r>
          </w:p>
          <w:p w14:paraId="029AC322">
            <w:pPr>
              <w:pStyle w:val="24"/>
              <w:spacing w:line="420" w:lineRule="exact"/>
              <w:rPr>
                <w:rFonts w:hint="eastAsia" w:hAnsi="宋体" w:cs="宋体"/>
                <w:color w:val="auto"/>
                <w:kern w:val="0"/>
                <w:highlight w:val="none"/>
              </w:rPr>
            </w:pPr>
            <w:r>
              <w:rPr>
                <w:rFonts w:hint="eastAsia" w:hAnsi="宋体" w:cs="宋体"/>
                <w:color w:val="auto"/>
                <w:kern w:val="0"/>
                <w:highlight w:val="none"/>
              </w:rPr>
              <w:t>a本招标文件中所提到的公章：指公安部门备案的行政公章或合法电子公章；签字：指亲笔签字或电子签名。</w:t>
            </w:r>
          </w:p>
          <w:p w14:paraId="033F1540">
            <w:pPr>
              <w:pStyle w:val="24"/>
              <w:spacing w:line="420" w:lineRule="exact"/>
              <w:rPr>
                <w:rFonts w:hint="eastAsia" w:hAnsi="宋体" w:cs="宋体"/>
                <w:color w:val="auto"/>
                <w:kern w:val="0"/>
                <w:highlight w:val="none"/>
              </w:rPr>
            </w:pPr>
            <w:r>
              <w:rPr>
                <w:rFonts w:hint="eastAsia" w:hAnsi="宋体" w:cs="宋体"/>
                <w:color w:val="auto"/>
                <w:kern w:val="0"/>
                <w:highlight w:val="none"/>
              </w:rPr>
              <w:t>b采购人有权对被推荐为第一中标候选人的投标文件中不合理的条款在进行合同谈判时要求其进行修正的权力，否则，采购人有权拒绝与之签订合同并选择下一排序的候选人进行合同谈判，以此类推。</w:t>
            </w:r>
          </w:p>
          <w:p w14:paraId="4B02C62E">
            <w:pPr>
              <w:widowControl/>
              <w:spacing w:line="420" w:lineRule="atLeast"/>
              <w:jc w:val="left"/>
              <w:rPr>
                <w:rFonts w:hint="eastAsia" w:hAnsi="宋体" w:cs="宋体"/>
                <w:color w:val="auto"/>
                <w:sz w:val="21"/>
                <w:szCs w:val="21"/>
                <w:highlight w:val="none"/>
              </w:rPr>
            </w:pPr>
            <w:r>
              <w:rPr>
                <w:rFonts w:hint="eastAsia" w:hAnsi="宋体" w:cs="宋体"/>
                <w:color w:val="auto"/>
                <w:sz w:val="21"/>
                <w:szCs w:val="21"/>
                <w:highlight w:val="none"/>
              </w:rPr>
              <w:t>c 招标代理费（中标服务费）：详见第二章 投标人须知及前附表“3.12.2中标人须向采购代理机构按如下标准和规定缴纳招标代理服务费。”</w:t>
            </w:r>
          </w:p>
        </w:tc>
      </w:tr>
    </w:tbl>
    <w:p w14:paraId="64F287D0">
      <w:pPr>
        <w:pStyle w:val="7"/>
        <w:numPr>
          <w:ilvl w:val="0"/>
          <w:numId w:val="0"/>
        </w:numPr>
        <w:spacing w:before="0" w:after="0" w:line="480" w:lineRule="exact"/>
        <w:rPr>
          <w:rFonts w:hint="eastAsia" w:hAnsi="宋体"/>
          <w:color w:val="auto"/>
          <w:highlight w:val="none"/>
        </w:rPr>
      </w:pPr>
      <w:bookmarkStart w:id="7" w:name="_Toc444848841"/>
      <w:bookmarkStart w:id="8" w:name="_Toc248031886"/>
      <w:bookmarkStart w:id="9" w:name="_Toc441049661"/>
      <w:r>
        <w:rPr>
          <w:rFonts w:hAnsi="宋体"/>
          <w:color w:val="auto"/>
          <w:highlight w:val="none"/>
        </w:rPr>
        <w:br w:type="page"/>
      </w:r>
      <w:bookmarkStart w:id="10" w:name="_Toc4634"/>
      <w:r>
        <w:rPr>
          <w:rFonts w:hint="eastAsia" w:hAnsi="宋体"/>
          <w:color w:val="auto"/>
          <w:highlight w:val="none"/>
        </w:rPr>
        <w:t>1.总则</w:t>
      </w:r>
      <w:bookmarkEnd w:id="7"/>
      <w:bookmarkEnd w:id="8"/>
      <w:bookmarkEnd w:id="9"/>
      <w:bookmarkEnd w:id="10"/>
    </w:p>
    <w:p w14:paraId="50362430">
      <w:pPr>
        <w:spacing w:line="470" w:lineRule="exact"/>
        <w:ind w:firstLine="472" w:firstLineChars="225"/>
        <w:rPr>
          <w:rFonts w:hint="eastAsia" w:hAnsi="宋体"/>
          <w:color w:val="auto"/>
          <w:sz w:val="21"/>
          <w:szCs w:val="21"/>
          <w:highlight w:val="none"/>
        </w:rPr>
      </w:pPr>
      <w:r>
        <w:rPr>
          <w:rFonts w:hint="eastAsia" w:hAnsi="宋体"/>
          <w:color w:val="auto"/>
          <w:sz w:val="21"/>
          <w:szCs w:val="21"/>
          <w:highlight w:val="none"/>
        </w:rPr>
        <w:t>1.1招标概况</w:t>
      </w:r>
    </w:p>
    <w:p w14:paraId="41BAD1D3">
      <w:pPr>
        <w:spacing w:line="470" w:lineRule="exact"/>
        <w:ind w:firstLine="472" w:firstLineChars="225"/>
        <w:rPr>
          <w:rFonts w:hint="eastAsia" w:hAnsi="宋体"/>
          <w:color w:val="auto"/>
          <w:sz w:val="21"/>
          <w:szCs w:val="21"/>
          <w:highlight w:val="none"/>
        </w:rPr>
      </w:pPr>
      <w:r>
        <w:rPr>
          <w:rFonts w:hint="eastAsia" w:hAnsi="宋体"/>
          <w:color w:val="auto"/>
          <w:sz w:val="21"/>
          <w:szCs w:val="21"/>
          <w:highlight w:val="none"/>
        </w:rPr>
        <w:t>1.1.1 根据《中华人民共和国政府采购法》《中华人民共和国政府采购法实施条例》《财政部令第87号、第94号、第101号、第102号》等有关法律法规和规章的规定，本采购项目已具备招标条件，现对本项目进行国内公开招标。</w:t>
      </w:r>
    </w:p>
    <w:p w14:paraId="34A997EB">
      <w:pPr>
        <w:spacing w:line="470" w:lineRule="exact"/>
        <w:ind w:firstLine="472" w:firstLineChars="225"/>
        <w:rPr>
          <w:rFonts w:hint="eastAsia" w:hAnsi="宋体"/>
          <w:color w:val="auto"/>
          <w:sz w:val="21"/>
          <w:szCs w:val="21"/>
          <w:highlight w:val="none"/>
        </w:rPr>
      </w:pPr>
      <w:r>
        <w:rPr>
          <w:rFonts w:hint="eastAsia" w:hAnsi="宋体"/>
          <w:color w:val="auto"/>
          <w:sz w:val="21"/>
          <w:szCs w:val="21"/>
          <w:highlight w:val="none"/>
        </w:rPr>
        <w:t>1.1.2 本招标项目采购人：见投标人须知前附表。</w:t>
      </w:r>
    </w:p>
    <w:p w14:paraId="107F9AFD">
      <w:pPr>
        <w:spacing w:line="470" w:lineRule="exact"/>
        <w:ind w:firstLine="472" w:firstLineChars="225"/>
        <w:rPr>
          <w:rFonts w:hint="eastAsia" w:hAnsi="宋体"/>
          <w:color w:val="auto"/>
          <w:sz w:val="21"/>
          <w:szCs w:val="21"/>
          <w:highlight w:val="none"/>
        </w:rPr>
      </w:pPr>
      <w:r>
        <w:rPr>
          <w:rFonts w:hint="eastAsia" w:hAnsi="宋体"/>
          <w:color w:val="auto"/>
          <w:sz w:val="21"/>
          <w:szCs w:val="21"/>
          <w:highlight w:val="none"/>
        </w:rPr>
        <w:t>1.1.3本招标项目采购代理机构：见投标人须知前附表。</w:t>
      </w:r>
    </w:p>
    <w:p w14:paraId="366819BD">
      <w:pPr>
        <w:spacing w:line="470" w:lineRule="exact"/>
        <w:ind w:firstLine="472" w:firstLineChars="225"/>
        <w:rPr>
          <w:rFonts w:hint="eastAsia" w:hAnsi="宋体"/>
          <w:color w:val="auto"/>
          <w:sz w:val="21"/>
          <w:szCs w:val="21"/>
          <w:highlight w:val="none"/>
        </w:rPr>
      </w:pPr>
      <w:r>
        <w:rPr>
          <w:rFonts w:hint="eastAsia" w:hAnsi="宋体"/>
          <w:color w:val="auto"/>
          <w:sz w:val="21"/>
          <w:szCs w:val="21"/>
          <w:highlight w:val="none"/>
        </w:rPr>
        <w:t>1.1.4 本招标项目名称、项目编号和标段情况：见投标人须知前附表。</w:t>
      </w:r>
    </w:p>
    <w:p w14:paraId="377F5F0E">
      <w:pPr>
        <w:spacing w:line="470" w:lineRule="exact"/>
        <w:ind w:firstLine="472" w:firstLineChars="225"/>
        <w:rPr>
          <w:rFonts w:hint="eastAsia" w:hAnsi="宋体"/>
          <w:color w:val="auto"/>
          <w:sz w:val="21"/>
          <w:szCs w:val="21"/>
          <w:highlight w:val="none"/>
        </w:rPr>
      </w:pPr>
      <w:r>
        <w:rPr>
          <w:rFonts w:hint="eastAsia" w:hAnsi="宋体"/>
          <w:color w:val="auto"/>
          <w:sz w:val="21"/>
          <w:szCs w:val="21"/>
          <w:highlight w:val="none"/>
        </w:rPr>
        <w:t>1.2 资金来源</w:t>
      </w:r>
    </w:p>
    <w:p w14:paraId="27BDB355">
      <w:pPr>
        <w:spacing w:line="470" w:lineRule="exact"/>
        <w:ind w:firstLine="472" w:firstLineChars="225"/>
        <w:rPr>
          <w:rFonts w:hint="eastAsia" w:hAnsi="宋体"/>
          <w:color w:val="auto"/>
          <w:sz w:val="21"/>
          <w:szCs w:val="21"/>
          <w:highlight w:val="none"/>
        </w:rPr>
      </w:pPr>
      <w:r>
        <w:rPr>
          <w:rFonts w:hint="eastAsia" w:hAnsi="宋体"/>
          <w:color w:val="auto"/>
          <w:sz w:val="21"/>
          <w:szCs w:val="21"/>
          <w:highlight w:val="none"/>
        </w:rPr>
        <w:t>1.2.1本招标项目的采购预算：见投标人须知前附表。</w:t>
      </w:r>
    </w:p>
    <w:p w14:paraId="17D0DC06">
      <w:pPr>
        <w:spacing w:line="470" w:lineRule="exact"/>
        <w:ind w:firstLine="472" w:firstLineChars="225"/>
        <w:rPr>
          <w:rFonts w:hint="eastAsia" w:hAnsi="宋体"/>
          <w:color w:val="auto"/>
          <w:sz w:val="21"/>
          <w:szCs w:val="21"/>
          <w:highlight w:val="none"/>
        </w:rPr>
      </w:pPr>
      <w:r>
        <w:rPr>
          <w:rFonts w:hint="eastAsia" w:hAnsi="宋体"/>
          <w:color w:val="auto"/>
          <w:sz w:val="21"/>
          <w:szCs w:val="21"/>
          <w:highlight w:val="none"/>
        </w:rPr>
        <w:t>1.2.2本招标项目的资金来源：见投标人须知前附表。</w:t>
      </w:r>
    </w:p>
    <w:p w14:paraId="0C6EBA42">
      <w:pPr>
        <w:spacing w:line="470" w:lineRule="exact"/>
        <w:ind w:firstLine="472" w:firstLineChars="225"/>
        <w:rPr>
          <w:rFonts w:hint="eastAsia" w:hAnsi="宋体"/>
          <w:color w:val="auto"/>
          <w:sz w:val="21"/>
          <w:szCs w:val="21"/>
          <w:highlight w:val="none"/>
        </w:rPr>
      </w:pPr>
      <w:r>
        <w:rPr>
          <w:rFonts w:hint="eastAsia" w:hAnsi="宋体"/>
          <w:color w:val="auto"/>
          <w:sz w:val="21"/>
          <w:szCs w:val="21"/>
          <w:highlight w:val="none"/>
        </w:rPr>
        <w:t>1.3  项目内容、项目服务地点</w:t>
      </w:r>
    </w:p>
    <w:p w14:paraId="273C0576">
      <w:pPr>
        <w:spacing w:line="470" w:lineRule="exact"/>
        <w:ind w:firstLine="472" w:firstLineChars="225"/>
        <w:rPr>
          <w:rFonts w:hint="eastAsia" w:hAnsi="宋体"/>
          <w:color w:val="auto"/>
          <w:sz w:val="21"/>
          <w:szCs w:val="21"/>
          <w:highlight w:val="none"/>
        </w:rPr>
      </w:pPr>
      <w:r>
        <w:rPr>
          <w:rFonts w:hint="eastAsia" w:hAnsi="宋体"/>
          <w:color w:val="auto"/>
          <w:sz w:val="21"/>
          <w:szCs w:val="21"/>
          <w:highlight w:val="none"/>
        </w:rPr>
        <w:t>1.3.1本招标项目内容：见投标人须知前附表。</w:t>
      </w:r>
    </w:p>
    <w:p w14:paraId="68B020D6">
      <w:pPr>
        <w:spacing w:line="470" w:lineRule="exact"/>
        <w:ind w:firstLine="472" w:firstLineChars="225"/>
        <w:rPr>
          <w:rFonts w:hint="eastAsia" w:hAnsi="宋体"/>
          <w:color w:val="auto"/>
          <w:sz w:val="21"/>
          <w:szCs w:val="21"/>
          <w:highlight w:val="none"/>
        </w:rPr>
      </w:pPr>
      <w:r>
        <w:rPr>
          <w:rFonts w:hint="eastAsia" w:hAnsi="宋体"/>
          <w:color w:val="auto"/>
          <w:sz w:val="21"/>
          <w:szCs w:val="21"/>
          <w:highlight w:val="none"/>
        </w:rPr>
        <w:t>1.3.2 本招标项目实施地点：见投标人须知前附表。</w:t>
      </w:r>
    </w:p>
    <w:p w14:paraId="636AE1AD">
      <w:pPr>
        <w:spacing w:line="470" w:lineRule="exact"/>
        <w:ind w:firstLine="472" w:firstLineChars="225"/>
        <w:rPr>
          <w:rFonts w:hint="eastAsia" w:hAnsi="宋体"/>
          <w:color w:val="auto"/>
          <w:sz w:val="21"/>
          <w:szCs w:val="21"/>
          <w:highlight w:val="none"/>
        </w:rPr>
      </w:pPr>
      <w:r>
        <w:rPr>
          <w:rFonts w:hint="eastAsia" w:hAnsi="宋体"/>
          <w:color w:val="auto"/>
          <w:sz w:val="21"/>
          <w:szCs w:val="21"/>
          <w:highlight w:val="none"/>
        </w:rPr>
        <w:t>1.3.3合同履行期限：见投标人须知前附表。</w:t>
      </w:r>
    </w:p>
    <w:p w14:paraId="292B6B8E">
      <w:pPr>
        <w:spacing w:line="470" w:lineRule="exact"/>
        <w:ind w:firstLine="472" w:firstLineChars="225"/>
        <w:rPr>
          <w:rFonts w:hint="eastAsia" w:hAnsi="宋体"/>
          <w:color w:val="auto"/>
          <w:sz w:val="21"/>
          <w:szCs w:val="21"/>
          <w:highlight w:val="none"/>
        </w:rPr>
      </w:pPr>
      <w:r>
        <w:rPr>
          <w:rFonts w:hint="eastAsia" w:hAnsi="宋体"/>
          <w:color w:val="auto"/>
          <w:sz w:val="21"/>
          <w:szCs w:val="21"/>
          <w:highlight w:val="none"/>
        </w:rPr>
        <w:t>1.4投标人资格要求</w:t>
      </w:r>
    </w:p>
    <w:p w14:paraId="05E1BFDA">
      <w:pPr>
        <w:spacing w:line="470" w:lineRule="exact"/>
        <w:ind w:firstLine="420" w:firstLineChars="200"/>
        <w:rPr>
          <w:rFonts w:hint="eastAsia" w:hAnsi="宋体"/>
          <w:color w:val="auto"/>
          <w:sz w:val="21"/>
          <w:szCs w:val="21"/>
          <w:highlight w:val="none"/>
        </w:rPr>
      </w:pPr>
      <w:r>
        <w:rPr>
          <w:rFonts w:hint="eastAsia" w:hAnsi="宋体"/>
          <w:color w:val="auto"/>
          <w:sz w:val="21"/>
          <w:szCs w:val="21"/>
          <w:highlight w:val="none"/>
        </w:rPr>
        <w:t>1.4.1 合格的投标人应具备的资质条件、能力和信誉，见投标人须知前附表。</w:t>
      </w:r>
    </w:p>
    <w:p w14:paraId="1C1D84AA">
      <w:pPr>
        <w:spacing w:line="470" w:lineRule="exact"/>
        <w:ind w:firstLine="420" w:firstLineChars="200"/>
        <w:rPr>
          <w:rFonts w:hint="eastAsia" w:hAnsi="宋体"/>
          <w:color w:val="auto"/>
          <w:sz w:val="21"/>
          <w:szCs w:val="21"/>
          <w:highlight w:val="none"/>
        </w:rPr>
      </w:pPr>
      <w:r>
        <w:rPr>
          <w:rFonts w:hint="eastAsia" w:hAnsi="宋体"/>
          <w:color w:val="auto"/>
          <w:sz w:val="21"/>
          <w:szCs w:val="21"/>
          <w:highlight w:val="none"/>
        </w:rPr>
        <w:t xml:space="preserve">1.4.2 投标人须知前附表规定接受联合体投标的，除应符合本章第1.4.1须和投标人须知前附表的要求外，还应遵守下列规定； </w:t>
      </w:r>
    </w:p>
    <w:p w14:paraId="09B17C12">
      <w:pPr>
        <w:numPr>
          <w:ilvl w:val="0"/>
          <w:numId w:val="3"/>
        </w:numPr>
        <w:spacing w:line="470" w:lineRule="exact"/>
        <w:ind w:firstLine="420" w:firstLineChars="200"/>
        <w:rPr>
          <w:rFonts w:hint="eastAsia" w:hAnsi="宋体"/>
          <w:color w:val="auto"/>
          <w:sz w:val="21"/>
          <w:szCs w:val="21"/>
          <w:highlight w:val="none"/>
        </w:rPr>
      </w:pPr>
      <w:r>
        <w:rPr>
          <w:rFonts w:hint="eastAsia" w:hAnsi="宋体"/>
          <w:color w:val="auto"/>
          <w:sz w:val="21"/>
          <w:szCs w:val="21"/>
          <w:highlight w:val="none"/>
        </w:rPr>
        <w:t>联合体各方应按招标文件提供的格式签订《联合体投标协议》，明确主办方和各方的分工与职责，明确中标后联合体各方将向投标人承担连带责任。</w:t>
      </w:r>
    </w:p>
    <w:p w14:paraId="245A7DAA">
      <w:pPr>
        <w:numPr>
          <w:ilvl w:val="0"/>
          <w:numId w:val="3"/>
        </w:numPr>
        <w:spacing w:line="470" w:lineRule="exact"/>
        <w:ind w:firstLine="420" w:firstLineChars="200"/>
        <w:rPr>
          <w:rFonts w:hint="eastAsia" w:hAnsi="宋体"/>
          <w:color w:val="auto"/>
          <w:sz w:val="21"/>
          <w:szCs w:val="21"/>
          <w:highlight w:val="none"/>
        </w:rPr>
      </w:pPr>
      <w:r>
        <w:rPr>
          <w:rFonts w:hint="eastAsia" w:hAnsi="宋体"/>
          <w:color w:val="auto"/>
          <w:sz w:val="21"/>
          <w:szCs w:val="21"/>
          <w:highlight w:val="none"/>
        </w:rPr>
        <w:t>由同一专业的单位组成的联合体，按照资质等级较低的单位确定联合体资质等级。</w:t>
      </w:r>
    </w:p>
    <w:p w14:paraId="3CE6F3D0">
      <w:pPr>
        <w:numPr>
          <w:ilvl w:val="0"/>
          <w:numId w:val="3"/>
        </w:numPr>
        <w:spacing w:line="470" w:lineRule="exact"/>
        <w:ind w:firstLine="420" w:firstLineChars="200"/>
        <w:rPr>
          <w:rFonts w:hint="eastAsia" w:hAnsi="宋体"/>
          <w:color w:val="auto"/>
          <w:sz w:val="21"/>
          <w:szCs w:val="21"/>
          <w:highlight w:val="none"/>
        </w:rPr>
      </w:pPr>
      <w:r>
        <w:rPr>
          <w:rFonts w:hint="eastAsia" w:hAnsi="宋体"/>
          <w:color w:val="auto"/>
          <w:sz w:val="21"/>
          <w:szCs w:val="21"/>
          <w:highlight w:val="none"/>
        </w:rPr>
        <w:t>采购人根据采购项目的特殊要求规定投标人特定条件的，联合体各方中至少应当有一方符合采购规定的特殊条件。</w:t>
      </w:r>
    </w:p>
    <w:p w14:paraId="4358D604">
      <w:pPr>
        <w:spacing w:line="470" w:lineRule="exact"/>
        <w:rPr>
          <w:rFonts w:hint="eastAsia" w:hAnsi="宋体"/>
          <w:color w:val="auto"/>
          <w:sz w:val="21"/>
          <w:szCs w:val="21"/>
          <w:highlight w:val="none"/>
        </w:rPr>
      </w:pPr>
      <w:r>
        <w:rPr>
          <w:rFonts w:hint="eastAsia" w:hAnsi="宋体"/>
          <w:color w:val="auto"/>
          <w:sz w:val="21"/>
          <w:szCs w:val="21"/>
          <w:highlight w:val="none"/>
        </w:rPr>
        <w:t xml:space="preserve">    （4）联合体各方不得再以自己名义单独或参加其他联合体在同一标段中投标。</w:t>
      </w:r>
    </w:p>
    <w:p w14:paraId="56C6BADE">
      <w:pPr>
        <w:spacing w:line="470" w:lineRule="exact"/>
        <w:rPr>
          <w:rFonts w:hint="eastAsia" w:hAnsi="宋体"/>
          <w:color w:val="auto"/>
          <w:sz w:val="21"/>
          <w:szCs w:val="21"/>
          <w:highlight w:val="none"/>
        </w:rPr>
      </w:pPr>
      <w:r>
        <w:rPr>
          <w:rFonts w:hint="eastAsia" w:hAnsi="宋体"/>
          <w:color w:val="auto"/>
          <w:sz w:val="21"/>
          <w:szCs w:val="21"/>
          <w:highlight w:val="none"/>
        </w:rPr>
        <w:t xml:space="preserve">    1.4.3 投标人不得存在下列情形之一：</w:t>
      </w:r>
    </w:p>
    <w:p w14:paraId="0F626146">
      <w:pPr>
        <w:spacing w:line="470" w:lineRule="exact"/>
        <w:rPr>
          <w:rFonts w:hint="eastAsia" w:hAnsi="宋体"/>
          <w:color w:val="auto"/>
          <w:sz w:val="21"/>
          <w:szCs w:val="21"/>
          <w:highlight w:val="none"/>
        </w:rPr>
      </w:pPr>
      <w:r>
        <w:rPr>
          <w:rFonts w:hint="eastAsia" w:hAnsi="宋体"/>
          <w:color w:val="auto"/>
          <w:sz w:val="21"/>
          <w:szCs w:val="21"/>
          <w:highlight w:val="none"/>
        </w:rPr>
        <w:t xml:space="preserve">     （1）为本项目前期准备提供设计或咨询服务的；</w:t>
      </w:r>
    </w:p>
    <w:p w14:paraId="50B5CECB">
      <w:pPr>
        <w:spacing w:line="470" w:lineRule="exact"/>
        <w:rPr>
          <w:rFonts w:hint="eastAsia" w:hAnsi="宋体"/>
          <w:color w:val="auto"/>
          <w:sz w:val="21"/>
          <w:szCs w:val="21"/>
          <w:highlight w:val="none"/>
        </w:rPr>
      </w:pPr>
      <w:r>
        <w:rPr>
          <w:rFonts w:hint="eastAsia" w:hAnsi="宋体"/>
          <w:color w:val="auto"/>
          <w:sz w:val="21"/>
          <w:szCs w:val="21"/>
          <w:highlight w:val="none"/>
        </w:rPr>
        <w:t xml:space="preserve">     （2）参加采购活动前三年内有重大违法记录的；</w:t>
      </w:r>
    </w:p>
    <w:p w14:paraId="3904299E">
      <w:pPr>
        <w:spacing w:line="470" w:lineRule="exact"/>
        <w:rPr>
          <w:rFonts w:hint="eastAsia" w:hAnsi="宋体"/>
          <w:color w:val="auto"/>
          <w:sz w:val="21"/>
          <w:szCs w:val="21"/>
          <w:highlight w:val="none"/>
        </w:rPr>
      </w:pPr>
      <w:r>
        <w:rPr>
          <w:rFonts w:hint="eastAsia" w:hAnsi="宋体"/>
          <w:color w:val="auto"/>
          <w:sz w:val="21"/>
          <w:szCs w:val="21"/>
          <w:highlight w:val="none"/>
        </w:rPr>
        <w:t xml:space="preserve">     （3）投标人之间或投标人与采购人之间相互串通的；</w:t>
      </w:r>
    </w:p>
    <w:p w14:paraId="146BE86A">
      <w:pPr>
        <w:spacing w:line="470" w:lineRule="exact"/>
        <w:ind w:firstLine="525" w:firstLineChars="250"/>
        <w:rPr>
          <w:rFonts w:hint="eastAsia" w:hAnsi="宋体"/>
          <w:color w:val="auto"/>
          <w:sz w:val="21"/>
          <w:szCs w:val="21"/>
          <w:highlight w:val="none"/>
        </w:rPr>
      </w:pPr>
      <w:r>
        <w:rPr>
          <w:rFonts w:hint="eastAsia" w:hAnsi="宋体"/>
          <w:color w:val="auto"/>
          <w:sz w:val="21"/>
          <w:szCs w:val="21"/>
          <w:highlight w:val="none"/>
        </w:rPr>
        <w:t>（4）</w:t>
      </w:r>
      <w:r>
        <w:rPr>
          <w:rFonts w:hAnsi="宋体"/>
          <w:color w:val="auto"/>
          <w:sz w:val="21"/>
          <w:szCs w:val="21"/>
          <w:highlight w:val="none"/>
        </w:rPr>
        <w:t>为</w:t>
      </w:r>
      <w:r>
        <w:rPr>
          <w:rFonts w:hint="eastAsia" w:hAnsi="宋体"/>
          <w:color w:val="auto"/>
          <w:sz w:val="21"/>
          <w:szCs w:val="21"/>
          <w:highlight w:val="none"/>
        </w:rPr>
        <w:t>本</w:t>
      </w:r>
      <w:r>
        <w:rPr>
          <w:rFonts w:hAnsi="宋体"/>
          <w:color w:val="auto"/>
          <w:sz w:val="21"/>
          <w:szCs w:val="21"/>
          <w:highlight w:val="none"/>
        </w:rPr>
        <w:t>项目提供整体设计、规范编制或者项目管理、检测等服务</w:t>
      </w:r>
      <w:r>
        <w:rPr>
          <w:rFonts w:hint="eastAsia" w:hAnsi="宋体"/>
          <w:color w:val="auto"/>
          <w:sz w:val="21"/>
          <w:szCs w:val="21"/>
          <w:highlight w:val="none"/>
        </w:rPr>
        <w:t>或参与本项目第三标段监理服务</w:t>
      </w:r>
      <w:r>
        <w:rPr>
          <w:rFonts w:hAnsi="宋体"/>
          <w:color w:val="auto"/>
          <w:sz w:val="21"/>
          <w:szCs w:val="21"/>
          <w:highlight w:val="none"/>
        </w:rPr>
        <w:t>的投标人。</w:t>
      </w:r>
    </w:p>
    <w:p w14:paraId="185FFCCE">
      <w:pPr>
        <w:spacing w:line="470" w:lineRule="exact"/>
        <w:ind w:firstLine="420" w:firstLineChars="200"/>
        <w:rPr>
          <w:rFonts w:hint="eastAsia" w:hAnsi="宋体"/>
          <w:color w:val="auto"/>
          <w:sz w:val="21"/>
          <w:szCs w:val="21"/>
          <w:highlight w:val="none"/>
        </w:rPr>
      </w:pPr>
      <w:r>
        <w:rPr>
          <w:rFonts w:hint="eastAsia" w:hAnsi="宋体"/>
          <w:color w:val="auto"/>
          <w:sz w:val="21"/>
          <w:szCs w:val="21"/>
          <w:highlight w:val="none"/>
        </w:rPr>
        <w:t>（5）投标人存在失信记录的；</w:t>
      </w:r>
    </w:p>
    <w:p w14:paraId="64788796">
      <w:pPr>
        <w:spacing w:line="470" w:lineRule="exact"/>
        <w:ind w:firstLine="420" w:firstLineChars="200"/>
        <w:rPr>
          <w:rFonts w:hint="eastAsia" w:hAnsi="宋体" w:cs="宋体"/>
          <w:color w:val="auto"/>
          <w:sz w:val="21"/>
          <w:szCs w:val="21"/>
          <w:highlight w:val="none"/>
        </w:rPr>
      </w:pPr>
      <w:r>
        <w:rPr>
          <w:rFonts w:hint="eastAsia" w:hAnsi="宋体"/>
          <w:color w:val="auto"/>
          <w:sz w:val="21"/>
          <w:szCs w:val="21"/>
          <w:highlight w:val="none"/>
        </w:rPr>
        <w:t>（6）</w:t>
      </w:r>
      <w:r>
        <w:rPr>
          <w:rFonts w:hint="eastAsia" w:hAnsi="宋体" w:cs="宋体"/>
          <w:color w:val="auto"/>
          <w:sz w:val="21"/>
          <w:szCs w:val="21"/>
          <w:highlight w:val="none"/>
        </w:rPr>
        <w:t>投标人</w:t>
      </w:r>
      <w:r>
        <w:rPr>
          <w:rFonts w:hAnsi="宋体" w:cs="宋体"/>
          <w:color w:val="auto"/>
          <w:sz w:val="21"/>
          <w:szCs w:val="21"/>
          <w:highlight w:val="none"/>
        </w:rPr>
        <w:t>为同一人或者存在直接控股、管理关系的不同投标人，不得参加同一合同项下的采购活动。</w:t>
      </w:r>
    </w:p>
    <w:p w14:paraId="0C37AAD1">
      <w:pPr>
        <w:spacing w:line="470" w:lineRule="exact"/>
        <w:rPr>
          <w:rFonts w:hint="eastAsia" w:hAnsi="宋体"/>
          <w:color w:val="auto"/>
          <w:sz w:val="21"/>
          <w:szCs w:val="21"/>
          <w:highlight w:val="none"/>
        </w:rPr>
      </w:pPr>
      <w:r>
        <w:rPr>
          <w:rFonts w:hint="eastAsia" w:hAnsi="宋体"/>
          <w:color w:val="auto"/>
          <w:sz w:val="21"/>
          <w:szCs w:val="21"/>
          <w:highlight w:val="none"/>
        </w:rPr>
        <w:t xml:space="preserve">     1.5合格的货物和相关服务</w:t>
      </w:r>
    </w:p>
    <w:p w14:paraId="31AAB840">
      <w:pPr>
        <w:spacing w:line="470" w:lineRule="exact"/>
        <w:rPr>
          <w:rFonts w:hint="eastAsia" w:hAnsi="宋体"/>
          <w:color w:val="auto"/>
          <w:sz w:val="21"/>
          <w:szCs w:val="21"/>
          <w:highlight w:val="none"/>
        </w:rPr>
      </w:pPr>
      <w:r>
        <w:rPr>
          <w:rFonts w:hint="eastAsia" w:hAnsi="宋体"/>
          <w:color w:val="auto"/>
          <w:sz w:val="21"/>
          <w:szCs w:val="21"/>
          <w:highlight w:val="none"/>
        </w:rPr>
        <w:t xml:space="preserve">     1.5.1投标人投标的货物应当说明货物的来源地。</w:t>
      </w:r>
    </w:p>
    <w:p w14:paraId="226B4AF0">
      <w:pPr>
        <w:spacing w:line="470" w:lineRule="exact"/>
        <w:rPr>
          <w:rFonts w:hint="eastAsia" w:hAnsi="宋体"/>
          <w:color w:val="auto"/>
          <w:sz w:val="21"/>
          <w:szCs w:val="21"/>
          <w:highlight w:val="none"/>
        </w:rPr>
      </w:pPr>
      <w:r>
        <w:rPr>
          <w:rFonts w:hint="eastAsia" w:hAnsi="宋体"/>
          <w:color w:val="auto"/>
          <w:sz w:val="21"/>
          <w:szCs w:val="21"/>
          <w:highlight w:val="none"/>
        </w:rPr>
        <w:t xml:space="preserve">     1.6 保密</w:t>
      </w:r>
    </w:p>
    <w:p w14:paraId="038FB51D">
      <w:pPr>
        <w:spacing w:line="470" w:lineRule="exact"/>
        <w:rPr>
          <w:rFonts w:hint="eastAsia" w:hAnsi="宋体"/>
          <w:color w:val="auto"/>
          <w:sz w:val="21"/>
          <w:szCs w:val="21"/>
          <w:highlight w:val="none"/>
        </w:rPr>
      </w:pPr>
      <w:r>
        <w:rPr>
          <w:rFonts w:hint="eastAsia" w:hAnsi="宋体"/>
          <w:color w:val="auto"/>
          <w:sz w:val="21"/>
          <w:szCs w:val="21"/>
          <w:highlight w:val="none"/>
        </w:rPr>
        <w:t xml:space="preserve">    参与招标投标活动的各方应对招标文件和投标文件中的商业和技术等秘密保密，违者应对由此造成的后果承担法律责任。</w:t>
      </w:r>
    </w:p>
    <w:p w14:paraId="337C27BB">
      <w:pPr>
        <w:spacing w:line="470" w:lineRule="exact"/>
        <w:rPr>
          <w:rFonts w:hint="eastAsia" w:hAnsi="宋体"/>
          <w:color w:val="auto"/>
          <w:sz w:val="21"/>
          <w:szCs w:val="21"/>
          <w:highlight w:val="none"/>
        </w:rPr>
      </w:pPr>
      <w:r>
        <w:rPr>
          <w:rFonts w:hint="eastAsia" w:hAnsi="宋体"/>
          <w:color w:val="auto"/>
          <w:sz w:val="21"/>
          <w:szCs w:val="21"/>
          <w:highlight w:val="none"/>
        </w:rPr>
        <w:t xml:space="preserve">     1.7招标澄清会</w:t>
      </w:r>
    </w:p>
    <w:p w14:paraId="59FFFF9F">
      <w:pPr>
        <w:spacing w:line="470" w:lineRule="exact"/>
        <w:ind w:firstLine="525" w:firstLineChars="250"/>
        <w:rPr>
          <w:rFonts w:hint="eastAsia" w:hAnsi="宋体"/>
          <w:color w:val="auto"/>
          <w:sz w:val="21"/>
          <w:szCs w:val="21"/>
          <w:highlight w:val="none"/>
        </w:rPr>
      </w:pPr>
      <w:r>
        <w:rPr>
          <w:rFonts w:hint="eastAsia" w:hAnsi="宋体"/>
          <w:color w:val="auto"/>
          <w:sz w:val="21"/>
          <w:szCs w:val="21"/>
          <w:highlight w:val="none"/>
        </w:rPr>
        <w:t>1.7.1 招标澄清会召开：见投标人须知前附表。</w:t>
      </w:r>
    </w:p>
    <w:p w14:paraId="652169F1">
      <w:pPr>
        <w:spacing w:line="470" w:lineRule="exact"/>
        <w:ind w:firstLine="525" w:firstLineChars="250"/>
        <w:rPr>
          <w:rFonts w:hint="eastAsia" w:hAnsi="宋体"/>
          <w:color w:val="auto"/>
          <w:sz w:val="21"/>
          <w:szCs w:val="21"/>
          <w:highlight w:val="none"/>
        </w:rPr>
      </w:pPr>
      <w:r>
        <w:rPr>
          <w:rFonts w:hint="eastAsia" w:hAnsi="宋体"/>
          <w:color w:val="auto"/>
          <w:sz w:val="21"/>
          <w:szCs w:val="21"/>
          <w:highlight w:val="none"/>
        </w:rPr>
        <w:t>1.7.2 投标人提出问题的截止时间：见投标人须知前附表。</w:t>
      </w:r>
    </w:p>
    <w:p w14:paraId="2D0A803D">
      <w:pPr>
        <w:spacing w:line="470" w:lineRule="exact"/>
        <w:ind w:firstLine="525" w:firstLineChars="250"/>
        <w:rPr>
          <w:rFonts w:hint="eastAsia" w:hAnsi="宋体"/>
          <w:color w:val="auto"/>
          <w:sz w:val="21"/>
          <w:szCs w:val="21"/>
          <w:highlight w:val="none"/>
        </w:rPr>
      </w:pPr>
      <w:r>
        <w:rPr>
          <w:rFonts w:hint="eastAsia" w:hAnsi="宋体"/>
          <w:color w:val="auto"/>
          <w:sz w:val="21"/>
          <w:szCs w:val="21"/>
          <w:highlight w:val="none"/>
        </w:rPr>
        <w:t>1.7.3采购人书面澄清的时间：见投标人须知前附表。</w:t>
      </w:r>
    </w:p>
    <w:p w14:paraId="60DF87F2">
      <w:pPr>
        <w:pStyle w:val="51"/>
        <w:rPr>
          <w:color w:val="auto"/>
          <w:highlight w:val="none"/>
        </w:rPr>
      </w:pPr>
    </w:p>
    <w:p w14:paraId="161EA67C">
      <w:pPr>
        <w:pStyle w:val="7"/>
        <w:numPr>
          <w:ilvl w:val="0"/>
          <w:numId w:val="0"/>
        </w:numPr>
        <w:spacing w:before="0" w:after="0" w:line="470" w:lineRule="exact"/>
        <w:rPr>
          <w:rFonts w:hint="eastAsia" w:hAnsi="宋体"/>
          <w:color w:val="auto"/>
          <w:highlight w:val="none"/>
        </w:rPr>
      </w:pPr>
      <w:bookmarkStart w:id="11" w:name="_Toc21952"/>
      <w:r>
        <w:rPr>
          <w:rFonts w:hint="eastAsia" w:hAnsi="宋体"/>
          <w:color w:val="auto"/>
          <w:highlight w:val="none"/>
        </w:rPr>
        <w:t>2.招标文件</w:t>
      </w:r>
      <w:bookmarkEnd w:id="11"/>
    </w:p>
    <w:p w14:paraId="777A2BB1">
      <w:pPr>
        <w:pStyle w:val="9"/>
        <w:spacing w:before="0" w:after="0" w:line="470" w:lineRule="exact"/>
        <w:ind w:left="719" w:leftChars="257"/>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2.1招标文件的组成</w:t>
      </w:r>
    </w:p>
    <w:p w14:paraId="4CEFAEE0">
      <w:pPr>
        <w:spacing w:line="470" w:lineRule="exact"/>
        <w:ind w:firstLine="472" w:firstLineChars="225"/>
        <w:rPr>
          <w:rFonts w:hint="eastAsia" w:hAnsi="宋体"/>
          <w:color w:val="auto"/>
          <w:sz w:val="21"/>
          <w:szCs w:val="21"/>
          <w:highlight w:val="none"/>
        </w:rPr>
      </w:pPr>
      <w:r>
        <w:rPr>
          <w:rFonts w:hint="eastAsia" w:hAnsi="宋体"/>
          <w:color w:val="auto"/>
          <w:sz w:val="21"/>
          <w:szCs w:val="21"/>
          <w:highlight w:val="none"/>
        </w:rPr>
        <w:t>本招标文件包括：</w:t>
      </w:r>
    </w:p>
    <w:p w14:paraId="594BDFC2">
      <w:pPr>
        <w:numPr>
          <w:ilvl w:val="0"/>
          <w:numId w:val="4"/>
        </w:numPr>
        <w:spacing w:line="470" w:lineRule="exact"/>
        <w:ind w:firstLine="472" w:firstLineChars="225"/>
        <w:rPr>
          <w:rFonts w:hint="eastAsia" w:hAnsi="宋体"/>
          <w:color w:val="auto"/>
          <w:sz w:val="21"/>
          <w:szCs w:val="21"/>
          <w:highlight w:val="none"/>
        </w:rPr>
      </w:pPr>
      <w:r>
        <w:rPr>
          <w:rFonts w:hint="eastAsia" w:hAnsi="宋体"/>
          <w:color w:val="auto"/>
          <w:sz w:val="21"/>
          <w:szCs w:val="21"/>
          <w:highlight w:val="none"/>
        </w:rPr>
        <w:t>招标公告；</w:t>
      </w:r>
    </w:p>
    <w:p w14:paraId="465EE41A">
      <w:pPr>
        <w:numPr>
          <w:ilvl w:val="0"/>
          <w:numId w:val="4"/>
        </w:numPr>
        <w:spacing w:line="470" w:lineRule="exact"/>
        <w:ind w:firstLine="472" w:firstLineChars="225"/>
        <w:rPr>
          <w:rFonts w:hint="eastAsia" w:hAnsi="宋体"/>
          <w:color w:val="auto"/>
          <w:sz w:val="21"/>
          <w:szCs w:val="21"/>
          <w:highlight w:val="none"/>
        </w:rPr>
      </w:pPr>
      <w:r>
        <w:rPr>
          <w:rFonts w:hint="eastAsia" w:hAnsi="宋体"/>
          <w:color w:val="auto"/>
          <w:sz w:val="21"/>
          <w:szCs w:val="21"/>
          <w:highlight w:val="none"/>
        </w:rPr>
        <w:t>投标人须知及投标人须知前附表；</w:t>
      </w:r>
    </w:p>
    <w:p w14:paraId="05146570">
      <w:pPr>
        <w:numPr>
          <w:ilvl w:val="0"/>
          <w:numId w:val="4"/>
        </w:numPr>
        <w:spacing w:line="470" w:lineRule="exact"/>
        <w:ind w:firstLine="472" w:firstLineChars="225"/>
        <w:rPr>
          <w:rFonts w:hint="eastAsia" w:hAnsi="宋体"/>
          <w:color w:val="auto"/>
          <w:sz w:val="21"/>
          <w:szCs w:val="21"/>
          <w:highlight w:val="none"/>
        </w:rPr>
      </w:pPr>
      <w:r>
        <w:rPr>
          <w:rFonts w:hint="eastAsia" w:hAnsi="宋体"/>
          <w:color w:val="auto"/>
          <w:sz w:val="21"/>
          <w:szCs w:val="21"/>
          <w:highlight w:val="none"/>
        </w:rPr>
        <w:t>评标办法；</w:t>
      </w:r>
    </w:p>
    <w:p w14:paraId="50B3E528">
      <w:pPr>
        <w:numPr>
          <w:ilvl w:val="0"/>
          <w:numId w:val="4"/>
        </w:numPr>
        <w:spacing w:line="470" w:lineRule="exact"/>
        <w:ind w:firstLine="472" w:firstLineChars="225"/>
        <w:rPr>
          <w:rFonts w:hint="eastAsia" w:hAnsi="宋体"/>
          <w:color w:val="auto"/>
          <w:sz w:val="21"/>
          <w:szCs w:val="21"/>
          <w:highlight w:val="none"/>
        </w:rPr>
      </w:pPr>
      <w:r>
        <w:rPr>
          <w:rFonts w:hint="eastAsia" w:hAnsi="宋体"/>
          <w:color w:val="auto"/>
          <w:sz w:val="21"/>
          <w:szCs w:val="21"/>
          <w:highlight w:val="none"/>
        </w:rPr>
        <w:t>投标文件格式；</w:t>
      </w:r>
    </w:p>
    <w:p w14:paraId="32FDF4EE">
      <w:pPr>
        <w:numPr>
          <w:ilvl w:val="0"/>
          <w:numId w:val="4"/>
        </w:numPr>
        <w:spacing w:line="470" w:lineRule="exact"/>
        <w:ind w:firstLine="472" w:firstLineChars="225"/>
        <w:rPr>
          <w:rFonts w:hint="eastAsia" w:hAnsi="宋体"/>
          <w:color w:val="auto"/>
          <w:sz w:val="21"/>
          <w:szCs w:val="21"/>
          <w:highlight w:val="none"/>
        </w:rPr>
      </w:pPr>
      <w:r>
        <w:rPr>
          <w:rFonts w:hint="eastAsia" w:hAnsi="宋体"/>
          <w:color w:val="auto"/>
          <w:sz w:val="21"/>
          <w:szCs w:val="21"/>
          <w:highlight w:val="none"/>
        </w:rPr>
        <w:t>采购项目需求；</w:t>
      </w:r>
    </w:p>
    <w:p w14:paraId="360E1E46">
      <w:pPr>
        <w:numPr>
          <w:ilvl w:val="0"/>
          <w:numId w:val="4"/>
        </w:numPr>
        <w:spacing w:line="470" w:lineRule="exact"/>
        <w:ind w:firstLine="472" w:firstLineChars="225"/>
        <w:rPr>
          <w:rFonts w:hint="eastAsia" w:hAnsi="宋体"/>
          <w:color w:val="auto"/>
          <w:sz w:val="21"/>
          <w:szCs w:val="21"/>
          <w:highlight w:val="none"/>
        </w:rPr>
      </w:pPr>
      <w:r>
        <w:rPr>
          <w:rFonts w:hint="eastAsia" w:hAnsi="宋体"/>
          <w:color w:val="auto"/>
          <w:sz w:val="21"/>
          <w:szCs w:val="21"/>
          <w:highlight w:val="none"/>
        </w:rPr>
        <w:t>合同条款及格式；</w:t>
      </w:r>
    </w:p>
    <w:p w14:paraId="685E01B3">
      <w:pPr>
        <w:numPr>
          <w:ilvl w:val="0"/>
          <w:numId w:val="4"/>
        </w:numPr>
        <w:spacing w:line="470" w:lineRule="exact"/>
        <w:ind w:firstLine="472" w:firstLineChars="225"/>
        <w:rPr>
          <w:rFonts w:hint="eastAsia" w:hAnsi="宋体"/>
          <w:color w:val="auto"/>
          <w:sz w:val="21"/>
          <w:szCs w:val="21"/>
          <w:highlight w:val="none"/>
        </w:rPr>
      </w:pPr>
      <w:r>
        <w:rPr>
          <w:rFonts w:hint="eastAsia" w:hAnsi="宋体"/>
          <w:color w:val="auto"/>
          <w:sz w:val="21"/>
          <w:szCs w:val="21"/>
          <w:highlight w:val="none"/>
        </w:rPr>
        <w:t>其他。</w:t>
      </w:r>
    </w:p>
    <w:p w14:paraId="52AE10A0">
      <w:pPr>
        <w:spacing w:line="470" w:lineRule="exact"/>
        <w:ind w:firstLine="420" w:firstLineChars="200"/>
        <w:rPr>
          <w:rFonts w:hint="eastAsia" w:hAnsi="宋体"/>
          <w:color w:val="auto"/>
          <w:sz w:val="21"/>
          <w:szCs w:val="21"/>
          <w:highlight w:val="none"/>
        </w:rPr>
      </w:pPr>
      <w:r>
        <w:rPr>
          <w:rFonts w:hint="eastAsia" w:hAnsi="宋体"/>
          <w:color w:val="auto"/>
          <w:sz w:val="21"/>
          <w:szCs w:val="21"/>
          <w:highlight w:val="none"/>
        </w:rPr>
        <w:t>根据本章第1.7款、第2.2款和第2.3款对招标文件所做的澄清、修改，构成招标文件的组成部分。</w:t>
      </w:r>
    </w:p>
    <w:p w14:paraId="7D062879">
      <w:pPr>
        <w:pStyle w:val="9"/>
        <w:spacing w:before="0" w:after="0" w:line="470" w:lineRule="exact"/>
        <w:ind w:firstLine="525" w:firstLineChars="250"/>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2.2招标文件的澄清</w:t>
      </w:r>
    </w:p>
    <w:p w14:paraId="01355D7E">
      <w:pPr>
        <w:spacing w:line="470" w:lineRule="exact"/>
        <w:ind w:firstLine="472" w:firstLineChars="225"/>
        <w:rPr>
          <w:rFonts w:hint="eastAsia" w:hAnsi="宋体"/>
          <w:color w:val="auto"/>
          <w:sz w:val="21"/>
          <w:szCs w:val="21"/>
          <w:highlight w:val="none"/>
        </w:rPr>
      </w:pPr>
      <w:r>
        <w:rPr>
          <w:rFonts w:hint="eastAsia" w:hAnsi="宋体"/>
          <w:color w:val="auto"/>
          <w:sz w:val="21"/>
          <w:szCs w:val="21"/>
          <w:highlight w:val="none"/>
        </w:rPr>
        <w:t xml:space="preserve">2.2.1投标人对招标文件如有疑问，应在投标人须知前附表规定的时间前以书面形式向采购人询问，要求采购人对招标文件予以澄清。 </w:t>
      </w:r>
    </w:p>
    <w:p w14:paraId="04BED3BA">
      <w:pPr>
        <w:spacing w:line="470" w:lineRule="exact"/>
        <w:ind w:firstLine="472" w:firstLineChars="225"/>
        <w:rPr>
          <w:rFonts w:hint="eastAsia" w:hAnsi="宋体"/>
          <w:color w:val="auto"/>
          <w:sz w:val="21"/>
          <w:szCs w:val="21"/>
          <w:highlight w:val="none"/>
        </w:rPr>
      </w:pPr>
      <w:r>
        <w:rPr>
          <w:rFonts w:hint="eastAsia" w:hAnsi="宋体"/>
          <w:color w:val="auto"/>
          <w:sz w:val="21"/>
          <w:szCs w:val="21"/>
          <w:highlight w:val="none"/>
        </w:rPr>
        <w:t>2.2.2采购人</w:t>
      </w:r>
      <w:r>
        <w:rPr>
          <w:rFonts w:hAnsi="宋体"/>
          <w:color w:val="auto"/>
          <w:sz w:val="21"/>
          <w:szCs w:val="21"/>
          <w:highlight w:val="none"/>
        </w:rPr>
        <w:t>可以对已发出的招标文件进行必要的澄清。澄清的内容可能影响投标文件编制的，</w:t>
      </w:r>
      <w:r>
        <w:rPr>
          <w:rFonts w:hint="eastAsia" w:hAnsi="宋体"/>
          <w:color w:val="auto"/>
          <w:sz w:val="21"/>
          <w:szCs w:val="21"/>
          <w:highlight w:val="none"/>
        </w:rPr>
        <w:t>采购人</w:t>
      </w:r>
      <w:r>
        <w:rPr>
          <w:rFonts w:hAnsi="宋体"/>
          <w:color w:val="auto"/>
          <w:sz w:val="21"/>
          <w:szCs w:val="21"/>
          <w:highlight w:val="none"/>
        </w:rPr>
        <w:t>应当在投标截止时间至少15日前，以书面形式通知所有获取招标文件的潜在投标人；不足15日的，</w:t>
      </w:r>
      <w:r>
        <w:rPr>
          <w:rFonts w:hint="eastAsia" w:hAnsi="宋体"/>
          <w:color w:val="auto"/>
          <w:sz w:val="21"/>
          <w:szCs w:val="21"/>
          <w:highlight w:val="none"/>
        </w:rPr>
        <w:t>采购人</w:t>
      </w:r>
      <w:r>
        <w:rPr>
          <w:rFonts w:hAnsi="宋体"/>
          <w:color w:val="auto"/>
          <w:sz w:val="21"/>
          <w:szCs w:val="21"/>
          <w:highlight w:val="none"/>
        </w:rPr>
        <w:t>应当顺延提交投标文件的截止时间。</w:t>
      </w:r>
    </w:p>
    <w:p w14:paraId="54EADC00">
      <w:pPr>
        <w:spacing w:line="470" w:lineRule="exact"/>
        <w:ind w:firstLine="472" w:firstLineChars="225"/>
        <w:rPr>
          <w:rFonts w:hint="eastAsia" w:hAnsi="宋体"/>
          <w:color w:val="auto"/>
          <w:sz w:val="21"/>
          <w:szCs w:val="21"/>
          <w:highlight w:val="none"/>
        </w:rPr>
      </w:pPr>
      <w:r>
        <w:rPr>
          <w:rFonts w:hint="eastAsia" w:hAnsi="宋体"/>
          <w:color w:val="auto"/>
          <w:sz w:val="21"/>
          <w:szCs w:val="21"/>
          <w:highlight w:val="none"/>
        </w:rPr>
        <w:t>2.2.3 招标文件的澄清将以书面形式发给所有购买招标文件的投标人，但不指明澄清问题的来源。投标人在收到答复后应以书面形式予以确认。投标人未在招标文件规定时间内提出疑问的，则视为对招标文件的澄清无异议。</w:t>
      </w:r>
    </w:p>
    <w:p w14:paraId="58EFDFF9">
      <w:pPr>
        <w:spacing w:line="470" w:lineRule="exact"/>
        <w:ind w:firstLine="472" w:firstLineChars="225"/>
        <w:rPr>
          <w:rFonts w:hint="eastAsia" w:hAnsi="宋体"/>
          <w:color w:val="auto"/>
          <w:sz w:val="21"/>
          <w:szCs w:val="21"/>
          <w:highlight w:val="none"/>
        </w:rPr>
      </w:pPr>
      <w:r>
        <w:rPr>
          <w:rFonts w:hint="eastAsia" w:hAnsi="宋体"/>
          <w:color w:val="auto"/>
          <w:sz w:val="21"/>
          <w:szCs w:val="21"/>
          <w:highlight w:val="none"/>
        </w:rPr>
        <w:t>2.2.4此类澄清文件将构成招标文件的一部分，对投标人有约束力。</w:t>
      </w:r>
    </w:p>
    <w:p w14:paraId="1B0EB615">
      <w:pPr>
        <w:spacing w:line="470" w:lineRule="exact"/>
        <w:ind w:firstLine="472" w:firstLineChars="225"/>
        <w:rPr>
          <w:rFonts w:hint="eastAsia" w:hAnsi="宋体"/>
          <w:color w:val="auto"/>
          <w:sz w:val="21"/>
          <w:szCs w:val="21"/>
          <w:highlight w:val="none"/>
        </w:rPr>
      </w:pPr>
      <w:r>
        <w:rPr>
          <w:rFonts w:hint="eastAsia" w:hAnsi="宋体"/>
          <w:color w:val="auto"/>
          <w:sz w:val="21"/>
          <w:szCs w:val="21"/>
          <w:highlight w:val="none"/>
        </w:rPr>
        <w:t>2.2.5当后发的澄清文件与原招标文件或此前发出的澄清文件之间存在不一致时，应以后发的澄清文件为准。</w:t>
      </w:r>
    </w:p>
    <w:p w14:paraId="3EF2CD39">
      <w:pPr>
        <w:spacing w:line="470" w:lineRule="exact"/>
        <w:ind w:firstLine="472" w:firstLineChars="225"/>
        <w:rPr>
          <w:rFonts w:hint="eastAsia" w:hAnsi="宋体"/>
          <w:color w:val="auto"/>
          <w:sz w:val="21"/>
          <w:szCs w:val="21"/>
          <w:highlight w:val="none"/>
        </w:rPr>
      </w:pPr>
      <w:r>
        <w:rPr>
          <w:rFonts w:hint="eastAsia" w:hAnsi="宋体"/>
          <w:color w:val="auto"/>
          <w:sz w:val="21"/>
          <w:szCs w:val="21"/>
          <w:highlight w:val="none"/>
        </w:rPr>
        <w:t>2.3  招标文件的修改</w:t>
      </w:r>
    </w:p>
    <w:p w14:paraId="685EF210">
      <w:pPr>
        <w:spacing w:line="470" w:lineRule="exact"/>
        <w:ind w:firstLine="472" w:firstLineChars="225"/>
        <w:rPr>
          <w:rFonts w:hint="eastAsia" w:hAnsi="宋体"/>
          <w:color w:val="auto"/>
          <w:sz w:val="21"/>
          <w:szCs w:val="21"/>
          <w:highlight w:val="none"/>
        </w:rPr>
      </w:pPr>
      <w:r>
        <w:rPr>
          <w:rFonts w:hint="eastAsia" w:hAnsi="宋体"/>
          <w:color w:val="auto"/>
          <w:sz w:val="21"/>
          <w:szCs w:val="21"/>
          <w:highlight w:val="none"/>
        </w:rPr>
        <w:t>2.3.1采购人</w:t>
      </w:r>
      <w:r>
        <w:rPr>
          <w:rFonts w:hAnsi="宋体"/>
          <w:color w:val="auto"/>
          <w:sz w:val="21"/>
          <w:szCs w:val="21"/>
          <w:highlight w:val="none"/>
        </w:rPr>
        <w:t>可以对已发出的招标文件进行必要的</w:t>
      </w:r>
      <w:r>
        <w:rPr>
          <w:rFonts w:hint="eastAsia" w:hAnsi="宋体"/>
          <w:color w:val="auto"/>
          <w:sz w:val="21"/>
          <w:szCs w:val="21"/>
          <w:highlight w:val="none"/>
        </w:rPr>
        <w:t>修改</w:t>
      </w:r>
      <w:r>
        <w:rPr>
          <w:rFonts w:hAnsi="宋体"/>
          <w:color w:val="auto"/>
          <w:sz w:val="21"/>
          <w:szCs w:val="21"/>
          <w:highlight w:val="none"/>
        </w:rPr>
        <w:t>。</w:t>
      </w:r>
      <w:r>
        <w:rPr>
          <w:rFonts w:hint="eastAsia" w:hAnsi="宋体"/>
          <w:color w:val="auto"/>
          <w:sz w:val="21"/>
          <w:szCs w:val="21"/>
          <w:highlight w:val="none"/>
        </w:rPr>
        <w:t>修改</w:t>
      </w:r>
      <w:r>
        <w:rPr>
          <w:rFonts w:hAnsi="宋体"/>
          <w:color w:val="auto"/>
          <w:sz w:val="21"/>
          <w:szCs w:val="21"/>
          <w:highlight w:val="none"/>
        </w:rPr>
        <w:t>的内容可能影响投标文件编制的，</w:t>
      </w:r>
      <w:r>
        <w:rPr>
          <w:rFonts w:hint="eastAsia" w:hAnsi="宋体"/>
          <w:color w:val="auto"/>
          <w:sz w:val="21"/>
          <w:szCs w:val="21"/>
          <w:highlight w:val="none"/>
        </w:rPr>
        <w:t>采购人</w:t>
      </w:r>
      <w:r>
        <w:rPr>
          <w:rFonts w:hAnsi="宋体"/>
          <w:color w:val="auto"/>
          <w:sz w:val="21"/>
          <w:szCs w:val="21"/>
          <w:highlight w:val="none"/>
        </w:rPr>
        <w:t>应当在投标截止时间至少15日前，以书面形式通知所有获取招标文件的潜在投标人；不足15日的，</w:t>
      </w:r>
      <w:r>
        <w:rPr>
          <w:rFonts w:hint="eastAsia" w:hAnsi="宋体"/>
          <w:color w:val="auto"/>
          <w:sz w:val="21"/>
          <w:szCs w:val="21"/>
          <w:highlight w:val="none"/>
        </w:rPr>
        <w:t>采购人</w:t>
      </w:r>
      <w:r>
        <w:rPr>
          <w:rFonts w:hAnsi="宋体"/>
          <w:color w:val="auto"/>
          <w:sz w:val="21"/>
          <w:szCs w:val="21"/>
          <w:highlight w:val="none"/>
        </w:rPr>
        <w:t>应当顺延提交投标文件的截止时间。</w:t>
      </w:r>
    </w:p>
    <w:p w14:paraId="7B071861">
      <w:pPr>
        <w:spacing w:line="470" w:lineRule="exact"/>
        <w:ind w:firstLine="472" w:firstLineChars="225"/>
        <w:rPr>
          <w:rFonts w:hint="eastAsia" w:hAnsi="宋体"/>
          <w:color w:val="auto"/>
          <w:sz w:val="21"/>
          <w:szCs w:val="21"/>
          <w:highlight w:val="none"/>
        </w:rPr>
      </w:pPr>
      <w:r>
        <w:rPr>
          <w:rFonts w:hint="eastAsia" w:hAnsi="宋体"/>
          <w:color w:val="auto"/>
          <w:sz w:val="21"/>
          <w:szCs w:val="21"/>
          <w:highlight w:val="none"/>
        </w:rPr>
        <w:t>2.3.2招标文件的修改将以书面形式发给所有购买招标文件的投标人，投标人在收到修改文件后应以书面形式予以确认。投标人未在招标文件规定时间内提出疑问的，则视为对招标文件的修改无异议。</w:t>
      </w:r>
    </w:p>
    <w:p w14:paraId="392B20B3">
      <w:pPr>
        <w:spacing w:line="470" w:lineRule="exact"/>
        <w:ind w:firstLine="472" w:firstLineChars="225"/>
        <w:rPr>
          <w:rFonts w:hint="eastAsia" w:hAnsi="宋体"/>
          <w:color w:val="auto"/>
          <w:sz w:val="21"/>
          <w:szCs w:val="21"/>
          <w:highlight w:val="none"/>
        </w:rPr>
      </w:pPr>
      <w:r>
        <w:rPr>
          <w:rFonts w:hint="eastAsia" w:hAnsi="宋体"/>
          <w:color w:val="auto"/>
          <w:sz w:val="21"/>
          <w:szCs w:val="21"/>
          <w:highlight w:val="none"/>
        </w:rPr>
        <w:t>2.3.3此类修改文件将构成招标文件的一部分，对投标人有约束力。</w:t>
      </w:r>
    </w:p>
    <w:p w14:paraId="55D65F55">
      <w:pPr>
        <w:spacing w:line="470" w:lineRule="exact"/>
        <w:ind w:firstLine="472" w:firstLineChars="225"/>
        <w:rPr>
          <w:rFonts w:hint="eastAsia" w:hAnsi="宋体"/>
          <w:color w:val="auto"/>
          <w:sz w:val="24"/>
          <w:highlight w:val="none"/>
        </w:rPr>
      </w:pPr>
      <w:r>
        <w:rPr>
          <w:rFonts w:hint="eastAsia" w:hAnsi="宋体"/>
          <w:color w:val="auto"/>
          <w:sz w:val="21"/>
          <w:szCs w:val="21"/>
          <w:highlight w:val="none"/>
        </w:rPr>
        <w:t>2.3.4 当后发的修改文件与原招标文件或此前发出的修改文件之间存在不一致时，应以后发的文件为准。</w:t>
      </w:r>
    </w:p>
    <w:p w14:paraId="348B640D">
      <w:pPr>
        <w:pStyle w:val="7"/>
        <w:numPr>
          <w:ilvl w:val="0"/>
          <w:numId w:val="0"/>
        </w:numPr>
        <w:spacing w:before="0" w:after="0" w:line="470" w:lineRule="exact"/>
        <w:rPr>
          <w:rFonts w:hint="eastAsia" w:hAnsi="宋体"/>
          <w:color w:val="auto"/>
          <w:highlight w:val="none"/>
        </w:rPr>
      </w:pPr>
      <w:bookmarkStart w:id="12" w:name="_Toc15976"/>
      <w:r>
        <w:rPr>
          <w:rFonts w:hint="eastAsia" w:hAnsi="宋体"/>
          <w:color w:val="auto"/>
          <w:highlight w:val="none"/>
        </w:rPr>
        <w:t>3.投标文件</w:t>
      </w:r>
      <w:bookmarkEnd w:id="12"/>
    </w:p>
    <w:p w14:paraId="6EC75100">
      <w:pPr>
        <w:spacing w:line="47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3.1 投标文件的组成</w:t>
      </w:r>
    </w:p>
    <w:p w14:paraId="6930AB55">
      <w:pPr>
        <w:spacing w:line="47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投标文件至少应包括下列内容：</w:t>
      </w:r>
    </w:p>
    <w:p w14:paraId="27D1DE74">
      <w:pPr>
        <w:spacing w:line="40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1.资格审查部分</w:t>
      </w:r>
    </w:p>
    <w:p w14:paraId="31A688FA">
      <w:pPr>
        <w:spacing w:line="40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2.投标报价部分</w:t>
      </w:r>
    </w:p>
    <w:p w14:paraId="3E6CE535">
      <w:pPr>
        <w:spacing w:line="40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3.商务及技术部分</w:t>
      </w:r>
    </w:p>
    <w:p w14:paraId="74AA13C9">
      <w:pPr>
        <w:spacing w:line="40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详细内容详见投标文件格式部分。</w:t>
      </w:r>
    </w:p>
    <w:p w14:paraId="78DC4BB9">
      <w:pPr>
        <w:spacing w:line="40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（提交满足招标公告投标人资格要求的证明文件，如是复印件均应加盖鲜公章）。</w:t>
      </w:r>
    </w:p>
    <w:p w14:paraId="1138BF8E">
      <w:pPr>
        <w:spacing w:line="47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3.2 投标截止时间和地点</w:t>
      </w:r>
    </w:p>
    <w:p w14:paraId="16D289CC">
      <w:pPr>
        <w:spacing w:line="47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投标截止时间和地点：见投标人须知前附表。</w:t>
      </w:r>
    </w:p>
    <w:p w14:paraId="779098A9">
      <w:pPr>
        <w:spacing w:line="47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3.3 投标报价</w:t>
      </w:r>
    </w:p>
    <w:p w14:paraId="7CFDC9A4">
      <w:pPr>
        <w:widowControl/>
        <w:spacing w:line="4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3.3.1投标报价要求：参与本项目的投标人应按要求填报此项目投标总价报价，投标报价须包含项目实施过程中发生的软件系统的采购费，软件系统搭建部署（含软件运行环境建设）和安装费，按照采购人要求对软件系统进行优化调整费，新建系统与采购人指定相关信息系统和平台进行数据对接（含系统接口开发）费、整体软件系统调试和适配服务费，项目试运行、检验验收费，技术支持服务、技术培训及售后运维服务等全部相关费用以及保证项目顺利开展的所有费用。</w:t>
      </w:r>
    </w:p>
    <w:p w14:paraId="0233F3B5">
      <w:pPr>
        <w:spacing w:line="47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3.3.2投标人应按照第四章投标文件格式完整地填写投标报价表和开标一览表，说明其拟提供货物（服务）的名称、简介（包括主要技术服务要求）、数量、价格、服务时间、合同履行期限等。</w:t>
      </w:r>
    </w:p>
    <w:p w14:paraId="5D660FA8">
      <w:pPr>
        <w:spacing w:line="47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3.3.3除投标人须知前附表中说明并允许外，每种货物和服务只允许有一个报价，任何有选择的报价将不予接受。</w:t>
      </w:r>
    </w:p>
    <w:p w14:paraId="13ED69E0">
      <w:pPr>
        <w:spacing w:line="47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3.3.4投标报价大小写金额不一致的，以</w:t>
      </w:r>
      <w:r>
        <w:rPr>
          <w:rFonts w:hint="eastAsia" w:hAnsi="宋体" w:cs="宋体"/>
          <w:b/>
          <w:color w:val="auto"/>
          <w:sz w:val="21"/>
          <w:szCs w:val="21"/>
          <w:highlight w:val="none"/>
        </w:rPr>
        <w:t>大写</w:t>
      </w:r>
      <w:r>
        <w:rPr>
          <w:rFonts w:hint="eastAsia" w:hAnsi="宋体" w:cs="宋体"/>
          <w:color w:val="auto"/>
          <w:sz w:val="21"/>
          <w:szCs w:val="21"/>
          <w:highlight w:val="none"/>
        </w:rPr>
        <w:t>金额为准；总价金额与按单价汇总金额不一致的，以</w:t>
      </w:r>
      <w:r>
        <w:rPr>
          <w:rFonts w:hint="eastAsia" w:hAnsi="宋体" w:cs="宋体"/>
          <w:b/>
          <w:color w:val="auto"/>
          <w:sz w:val="21"/>
          <w:szCs w:val="21"/>
          <w:highlight w:val="none"/>
        </w:rPr>
        <w:t>单价</w:t>
      </w:r>
      <w:r>
        <w:rPr>
          <w:rFonts w:hint="eastAsia" w:hAnsi="宋体" w:cs="宋体"/>
          <w:color w:val="auto"/>
          <w:sz w:val="21"/>
          <w:szCs w:val="21"/>
          <w:highlight w:val="none"/>
        </w:rPr>
        <w:t>金额计算结果为准；单价金额小数点有明显错位的，应以</w:t>
      </w:r>
      <w:r>
        <w:rPr>
          <w:rFonts w:hint="eastAsia" w:hAnsi="宋体" w:cs="宋体"/>
          <w:b/>
          <w:color w:val="auto"/>
          <w:sz w:val="21"/>
          <w:szCs w:val="21"/>
          <w:highlight w:val="none"/>
        </w:rPr>
        <w:t>总价</w:t>
      </w:r>
      <w:r>
        <w:rPr>
          <w:rFonts w:hint="eastAsia" w:hAnsi="宋体" w:cs="宋体"/>
          <w:color w:val="auto"/>
          <w:sz w:val="21"/>
          <w:szCs w:val="21"/>
          <w:highlight w:val="none"/>
        </w:rPr>
        <w:t>为准，并修改单价。</w:t>
      </w:r>
    </w:p>
    <w:p w14:paraId="572F093C">
      <w:pPr>
        <w:spacing w:line="47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3.3.5投标人不得哄抬报价，也不应低于成本价报价，否则一经查实，其投标将被否决投标。</w:t>
      </w:r>
    </w:p>
    <w:p w14:paraId="5AB8A790">
      <w:pPr>
        <w:spacing w:line="470" w:lineRule="exact"/>
        <w:ind w:firstLine="420" w:firstLineChars="200"/>
        <w:rPr>
          <w:rFonts w:hint="eastAsia" w:hAnsi="宋体" w:cs="宋体"/>
          <w:b/>
          <w:color w:val="auto"/>
          <w:sz w:val="21"/>
          <w:szCs w:val="21"/>
          <w:highlight w:val="none"/>
        </w:rPr>
      </w:pPr>
      <w:r>
        <w:rPr>
          <w:rFonts w:hint="eastAsia" w:hAnsi="宋体" w:cs="宋体"/>
          <w:b/>
          <w:color w:val="auto"/>
          <w:sz w:val="21"/>
          <w:szCs w:val="21"/>
          <w:highlight w:val="none"/>
        </w:rPr>
        <w:t>3.3.6本项目不承诺最低价一定中标。</w:t>
      </w:r>
    </w:p>
    <w:p w14:paraId="3BF0B8F7">
      <w:pPr>
        <w:spacing w:line="47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3.4 投标有效期</w:t>
      </w:r>
    </w:p>
    <w:p w14:paraId="14F37C48">
      <w:pPr>
        <w:spacing w:line="47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3.4.1 投标有效期见投标人须知前附表。</w:t>
      </w:r>
    </w:p>
    <w:p w14:paraId="25486B5B">
      <w:pPr>
        <w:spacing w:line="47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3.4.2 在投标有效期内，投标人不得要求撤销或修改其投标文件。</w:t>
      </w:r>
    </w:p>
    <w:p w14:paraId="0725C300">
      <w:pPr>
        <w:spacing w:line="47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3.4.3 出现特殊情况需要延长投标有效期的，采购人以书面形式通知所有投标人延长投标有效期但不得要求或被允许修改投标文件；投标人拒绝延长的，其投标失效，但投标人有权收回其投标保证金。</w:t>
      </w:r>
    </w:p>
    <w:p w14:paraId="6CFE35BE">
      <w:pPr>
        <w:spacing w:line="47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3.5投标保证金</w:t>
      </w:r>
    </w:p>
    <w:p w14:paraId="099736D1">
      <w:pPr>
        <w:spacing w:line="47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3.5.1 投标保证金金额和形式见投标人须知前附表。</w:t>
      </w:r>
    </w:p>
    <w:p w14:paraId="05810911">
      <w:pPr>
        <w:spacing w:line="47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3.5.2 投标人在递交投标文件的同时，应按投标人须知前附表规定的金额、形式和第五章“投标文件格式”规定的投标保证金格式递交投标保证金，并作为其投标文件的组成部分。联合体投标的，其投标保证金可以联合体中的一方或共同提交投标保证金，以一方名义提交投标保证金的，对联合体各方均具有约束力。</w:t>
      </w:r>
    </w:p>
    <w:p w14:paraId="1352D8E1">
      <w:pPr>
        <w:spacing w:line="47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3.5.3 投标人不按本章第3.5.1项要求提交投标保证金的，其投标文件作否决投标处理。</w:t>
      </w:r>
    </w:p>
    <w:p w14:paraId="688A0149">
      <w:pPr>
        <w:spacing w:line="47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3.5.4 采购人在中标通知书发出后退还未中标人的投标保证金，在签订合同后5个工作日内，向中标人退还投标保证金。</w:t>
      </w:r>
    </w:p>
    <w:p w14:paraId="387E0ECD">
      <w:pPr>
        <w:spacing w:line="47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3.5.5有下列情形之一的，投标保证金将不予退还；</w:t>
      </w:r>
    </w:p>
    <w:p w14:paraId="281D3D10">
      <w:pPr>
        <w:spacing w:line="47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（1）投标截止时间后，投标方撤销其投标书的；</w:t>
      </w:r>
    </w:p>
    <w:p w14:paraId="54DE726E">
      <w:pPr>
        <w:autoSpaceDE w:val="0"/>
        <w:autoSpaceDN w:val="0"/>
        <w:adjustRightInd w:val="0"/>
        <w:spacing w:line="47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（2） 投标人提供虚假材料谋取中标的；</w:t>
      </w:r>
    </w:p>
    <w:p w14:paraId="708F1317">
      <w:pPr>
        <w:autoSpaceDE w:val="0"/>
        <w:autoSpaceDN w:val="0"/>
        <w:adjustRightInd w:val="0"/>
        <w:spacing w:line="47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（3）投标人有围标、串标行为的；</w:t>
      </w:r>
    </w:p>
    <w:p w14:paraId="742B7437">
      <w:pPr>
        <w:autoSpaceDE w:val="0"/>
        <w:autoSpaceDN w:val="0"/>
        <w:adjustRightInd w:val="0"/>
        <w:spacing w:line="47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（4）中标人无正当理由不与采购人订立合同，在签订合同时向采购人提出附加条件，或者不按照招标文件要求提交履约保证金的；</w:t>
      </w:r>
    </w:p>
    <w:p w14:paraId="396CFDFF">
      <w:pPr>
        <w:autoSpaceDE w:val="0"/>
        <w:autoSpaceDN w:val="0"/>
        <w:adjustRightInd w:val="0"/>
        <w:spacing w:line="47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（5）国家法律法规及招标文件规定的其他情形。</w:t>
      </w:r>
    </w:p>
    <w:p w14:paraId="61C59130">
      <w:pPr>
        <w:numPr>
          <w:ilvl w:val="1"/>
          <w:numId w:val="5"/>
        </w:numPr>
        <w:spacing w:line="470" w:lineRule="exact"/>
        <w:rPr>
          <w:rFonts w:hint="eastAsia" w:hAnsi="宋体" w:cs="宋体"/>
          <w:color w:val="auto"/>
          <w:sz w:val="21"/>
          <w:szCs w:val="21"/>
          <w:highlight w:val="none"/>
        </w:rPr>
      </w:pPr>
      <w:r>
        <w:rPr>
          <w:rFonts w:hint="eastAsia" w:hAnsi="宋体" w:cs="宋体"/>
          <w:color w:val="auto"/>
          <w:sz w:val="21"/>
          <w:szCs w:val="21"/>
          <w:highlight w:val="none"/>
        </w:rPr>
        <w:t>资格审查资料</w:t>
      </w:r>
    </w:p>
    <w:p w14:paraId="32441241">
      <w:pPr>
        <w:spacing w:line="470" w:lineRule="exact"/>
        <w:ind w:left="480"/>
        <w:rPr>
          <w:rFonts w:hint="eastAsia" w:hAnsi="宋体" w:cs="宋体"/>
          <w:color w:val="auto"/>
          <w:sz w:val="21"/>
          <w:szCs w:val="21"/>
          <w:highlight w:val="none"/>
        </w:rPr>
      </w:pPr>
      <w:r>
        <w:rPr>
          <w:rFonts w:hint="eastAsia" w:hAnsi="宋体" w:cs="宋体"/>
          <w:color w:val="auto"/>
          <w:sz w:val="21"/>
          <w:szCs w:val="21"/>
          <w:highlight w:val="none"/>
        </w:rPr>
        <w:t>3.6.1 “投标人基本情况”应附投标人营业执照副本及其资质证书副本等材料的复印件。</w:t>
      </w:r>
    </w:p>
    <w:p w14:paraId="47AAE755">
      <w:pPr>
        <w:spacing w:line="470" w:lineRule="exact"/>
        <w:ind w:left="480"/>
        <w:rPr>
          <w:rFonts w:hint="eastAsia" w:hAnsi="宋体" w:cs="宋体"/>
          <w:color w:val="auto"/>
          <w:sz w:val="21"/>
          <w:szCs w:val="21"/>
          <w:highlight w:val="none"/>
        </w:rPr>
      </w:pPr>
      <w:r>
        <w:rPr>
          <w:rFonts w:hint="eastAsia" w:hAnsi="宋体" w:cs="宋体"/>
          <w:color w:val="auto"/>
          <w:sz w:val="21"/>
          <w:szCs w:val="21"/>
          <w:highlight w:val="none"/>
        </w:rPr>
        <w:t>3.6.2 投标人须知前附表规定接受联合体投标的，本章第3.6.1项规定的表格和资料应包括联合体各方相关情况。</w:t>
      </w:r>
    </w:p>
    <w:p w14:paraId="46CC0D5E">
      <w:pPr>
        <w:spacing w:line="470" w:lineRule="exact"/>
        <w:ind w:left="480"/>
        <w:rPr>
          <w:rFonts w:hint="eastAsia" w:hAnsi="宋体" w:cs="宋体"/>
          <w:color w:val="auto"/>
          <w:sz w:val="21"/>
          <w:szCs w:val="21"/>
          <w:highlight w:val="none"/>
        </w:rPr>
      </w:pPr>
      <w:r>
        <w:rPr>
          <w:rFonts w:hint="eastAsia" w:hAnsi="宋体" w:cs="宋体"/>
          <w:color w:val="auto"/>
          <w:sz w:val="21"/>
          <w:szCs w:val="21"/>
          <w:highlight w:val="none"/>
        </w:rPr>
        <w:t>3.7 投标文件的编制</w:t>
      </w:r>
    </w:p>
    <w:p w14:paraId="720E02AA">
      <w:pPr>
        <w:spacing w:line="470" w:lineRule="exact"/>
        <w:ind w:left="480"/>
        <w:rPr>
          <w:rFonts w:hint="eastAsia" w:hAnsi="宋体" w:cs="宋体"/>
          <w:color w:val="auto"/>
          <w:sz w:val="21"/>
          <w:szCs w:val="21"/>
          <w:highlight w:val="none"/>
        </w:rPr>
      </w:pPr>
      <w:r>
        <w:rPr>
          <w:rFonts w:hint="eastAsia" w:hAnsi="宋体" w:cs="宋体"/>
          <w:color w:val="auto"/>
          <w:sz w:val="21"/>
          <w:szCs w:val="21"/>
          <w:highlight w:val="none"/>
        </w:rPr>
        <w:t>3.7.1 投标文件应按第五章“投标文件格式”进行编写。</w:t>
      </w:r>
    </w:p>
    <w:p w14:paraId="2062722A">
      <w:pPr>
        <w:spacing w:line="470" w:lineRule="exact"/>
        <w:ind w:firstLine="315" w:firstLineChars="150"/>
        <w:rPr>
          <w:rFonts w:hint="eastAsia" w:hAnsi="宋体" w:cs="宋体"/>
          <w:b/>
          <w:color w:val="auto"/>
          <w:sz w:val="21"/>
          <w:szCs w:val="21"/>
          <w:highlight w:val="none"/>
        </w:rPr>
      </w:pPr>
      <w:r>
        <w:rPr>
          <w:rFonts w:hint="eastAsia" w:hAnsi="宋体" w:cs="宋体"/>
          <w:b/>
          <w:color w:val="auto"/>
          <w:sz w:val="21"/>
          <w:szCs w:val="21"/>
          <w:highlight w:val="none"/>
        </w:rPr>
        <w:t xml:space="preserve"> 3.7.2 投标文件应当对招标文件所载明的实质性要求和内容作出响应。</w:t>
      </w:r>
    </w:p>
    <w:p w14:paraId="193F4A0F">
      <w:pPr>
        <w:spacing w:line="470" w:lineRule="exact"/>
        <w:ind w:firstLine="315" w:firstLineChars="150"/>
        <w:rPr>
          <w:rFonts w:hint="eastAsia" w:hAnsi="宋体" w:cs="宋体"/>
          <w:color w:val="auto"/>
          <w:sz w:val="21"/>
          <w:szCs w:val="21"/>
          <w:highlight w:val="none"/>
        </w:rPr>
      </w:pPr>
      <w:r>
        <w:rPr>
          <w:rFonts w:hint="eastAsia" w:hAnsi="宋体" w:cs="宋体"/>
          <w:color w:val="auto"/>
          <w:sz w:val="21"/>
          <w:szCs w:val="21"/>
          <w:highlight w:val="none"/>
        </w:rPr>
        <w:t xml:space="preserve"> 3.7.3投标文件应用不褪色的材料书写或打印，并由投标人的法定代表人或其委托代理人按照招标文件要求进行签字或盖单位公章。委托代理人签字的，投标文件应附法定代表人（负责人）签署的授权委托书。</w:t>
      </w:r>
    </w:p>
    <w:p w14:paraId="4927B301">
      <w:pPr>
        <w:spacing w:line="470" w:lineRule="exact"/>
        <w:ind w:firstLine="315" w:firstLineChars="150"/>
        <w:rPr>
          <w:rFonts w:hint="eastAsia" w:hAnsi="宋体" w:cs="宋体"/>
          <w:color w:val="auto"/>
          <w:sz w:val="21"/>
          <w:szCs w:val="21"/>
          <w:highlight w:val="none"/>
        </w:rPr>
      </w:pPr>
      <w:r>
        <w:rPr>
          <w:rFonts w:hint="eastAsia" w:hAnsi="宋体" w:cs="宋体"/>
          <w:color w:val="auto"/>
          <w:sz w:val="21"/>
          <w:szCs w:val="21"/>
          <w:highlight w:val="none"/>
        </w:rPr>
        <w:t xml:space="preserve"> 3.7.4投标文件份数：本次采购采用在政府采购云平台上进行参与开标会议与递交投标文件，投标人若有幸成交，须在签收采购合同前向采购人提交纸质投标文件一份。</w:t>
      </w:r>
    </w:p>
    <w:p w14:paraId="529E5ECF">
      <w:pPr>
        <w:spacing w:line="470" w:lineRule="exact"/>
        <w:ind w:firstLine="315" w:firstLineChars="150"/>
        <w:rPr>
          <w:rFonts w:hint="eastAsia" w:hAnsi="宋体" w:cs="宋体"/>
          <w:color w:val="auto"/>
          <w:sz w:val="21"/>
          <w:szCs w:val="21"/>
          <w:highlight w:val="none"/>
        </w:rPr>
      </w:pPr>
      <w:r>
        <w:rPr>
          <w:rFonts w:hint="eastAsia" w:hAnsi="宋体" w:cs="宋体"/>
          <w:color w:val="auto"/>
          <w:sz w:val="21"/>
          <w:szCs w:val="21"/>
          <w:highlight w:val="none"/>
        </w:rPr>
        <w:t>3.8 语言文字</w:t>
      </w:r>
    </w:p>
    <w:p w14:paraId="0FCA65E2">
      <w:pPr>
        <w:spacing w:line="470" w:lineRule="exact"/>
        <w:rPr>
          <w:rFonts w:hint="eastAsia" w:hAnsi="宋体" w:cs="宋体"/>
          <w:color w:val="auto"/>
          <w:sz w:val="21"/>
          <w:szCs w:val="21"/>
          <w:highlight w:val="none"/>
        </w:rPr>
      </w:pPr>
      <w:r>
        <w:rPr>
          <w:rFonts w:hint="eastAsia" w:hAnsi="宋体" w:cs="宋体"/>
          <w:color w:val="auto"/>
          <w:sz w:val="21"/>
          <w:szCs w:val="21"/>
          <w:highlight w:val="none"/>
        </w:rPr>
        <w:t xml:space="preserve">    除专用术语外，与招标投标文件有关的语言均使用中文。必要时专用术语应附有中文注释。</w:t>
      </w:r>
    </w:p>
    <w:p w14:paraId="1DFA43BF">
      <w:pPr>
        <w:spacing w:line="470" w:lineRule="exact"/>
        <w:rPr>
          <w:rFonts w:hint="eastAsia" w:hAnsi="宋体" w:cs="宋体"/>
          <w:color w:val="auto"/>
          <w:sz w:val="21"/>
          <w:szCs w:val="21"/>
          <w:highlight w:val="none"/>
        </w:rPr>
      </w:pPr>
      <w:r>
        <w:rPr>
          <w:rFonts w:hint="eastAsia" w:hAnsi="宋体" w:cs="宋体"/>
          <w:color w:val="auto"/>
          <w:sz w:val="21"/>
          <w:szCs w:val="21"/>
          <w:highlight w:val="none"/>
        </w:rPr>
        <w:t xml:space="preserve">    3.9 计量单位</w:t>
      </w:r>
    </w:p>
    <w:p w14:paraId="2C42095C">
      <w:pPr>
        <w:spacing w:line="470" w:lineRule="exact"/>
        <w:rPr>
          <w:rFonts w:hint="eastAsia" w:hAnsi="宋体" w:cs="宋体"/>
          <w:color w:val="auto"/>
          <w:sz w:val="21"/>
          <w:szCs w:val="21"/>
          <w:highlight w:val="none"/>
        </w:rPr>
      </w:pPr>
      <w:r>
        <w:rPr>
          <w:rFonts w:hint="eastAsia" w:hAnsi="宋体" w:cs="宋体"/>
          <w:color w:val="auto"/>
          <w:sz w:val="21"/>
          <w:szCs w:val="21"/>
          <w:highlight w:val="none"/>
        </w:rPr>
        <w:t xml:space="preserve">    所有计量均采用中华人民共和国法定计量单位。</w:t>
      </w:r>
    </w:p>
    <w:p w14:paraId="2063ED37">
      <w:pPr>
        <w:spacing w:line="470" w:lineRule="exact"/>
        <w:rPr>
          <w:rFonts w:hint="eastAsia" w:hAnsi="宋体" w:cs="宋体"/>
          <w:color w:val="auto"/>
          <w:sz w:val="21"/>
          <w:szCs w:val="21"/>
          <w:highlight w:val="none"/>
        </w:rPr>
      </w:pPr>
      <w:r>
        <w:rPr>
          <w:rFonts w:hint="eastAsia" w:hAnsi="宋体" w:cs="宋体"/>
          <w:color w:val="auto"/>
          <w:sz w:val="21"/>
          <w:szCs w:val="21"/>
          <w:highlight w:val="none"/>
        </w:rPr>
        <w:t xml:space="preserve">    3.10 踏勘现场</w:t>
      </w:r>
    </w:p>
    <w:p w14:paraId="239E0929">
      <w:pPr>
        <w:spacing w:line="470" w:lineRule="exact"/>
        <w:rPr>
          <w:rFonts w:hint="eastAsia" w:hAnsi="宋体" w:cs="宋体"/>
          <w:color w:val="auto"/>
          <w:sz w:val="21"/>
          <w:szCs w:val="21"/>
          <w:highlight w:val="none"/>
        </w:rPr>
      </w:pPr>
      <w:r>
        <w:rPr>
          <w:rFonts w:hint="eastAsia" w:hAnsi="宋体" w:cs="宋体"/>
          <w:color w:val="auto"/>
          <w:sz w:val="21"/>
          <w:szCs w:val="21"/>
          <w:highlight w:val="none"/>
        </w:rPr>
        <w:t xml:space="preserve">    3.10.1 投标人须知前附表规定组织踏勘现场的，采购人按投标人须知前附表规定的时间、地点组织投标人踏勘项目现场。</w:t>
      </w:r>
    </w:p>
    <w:p w14:paraId="1CA15251">
      <w:pPr>
        <w:spacing w:line="470" w:lineRule="exact"/>
        <w:rPr>
          <w:rFonts w:hint="eastAsia" w:hAnsi="宋体" w:cs="宋体"/>
          <w:color w:val="auto"/>
          <w:sz w:val="21"/>
          <w:szCs w:val="21"/>
          <w:highlight w:val="none"/>
        </w:rPr>
      </w:pPr>
      <w:r>
        <w:rPr>
          <w:rFonts w:hint="eastAsia" w:hAnsi="宋体" w:cs="宋体"/>
          <w:color w:val="auto"/>
          <w:sz w:val="21"/>
          <w:szCs w:val="21"/>
          <w:highlight w:val="none"/>
        </w:rPr>
        <w:t xml:space="preserve">    3.10.2 投标人踏勘现场发生的费用自理。</w:t>
      </w:r>
    </w:p>
    <w:p w14:paraId="18D666CC">
      <w:pPr>
        <w:spacing w:line="470" w:lineRule="exact"/>
        <w:rPr>
          <w:rFonts w:hint="eastAsia" w:hAnsi="宋体" w:cs="宋体"/>
          <w:color w:val="auto"/>
          <w:sz w:val="21"/>
          <w:szCs w:val="21"/>
          <w:highlight w:val="none"/>
        </w:rPr>
      </w:pPr>
      <w:r>
        <w:rPr>
          <w:rFonts w:hint="eastAsia" w:hAnsi="宋体" w:cs="宋体"/>
          <w:color w:val="auto"/>
          <w:sz w:val="21"/>
          <w:szCs w:val="21"/>
          <w:highlight w:val="none"/>
        </w:rPr>
        <w:t xml:space="preserve">    3.10.3 采购人在踏勘现场中介绍的情况，供投标人在编制投标文件时参考，采购人不对投标人据此作出的谈判和决策负责。</w:t>
      </w:r>
    </w:p>
    <w:p w14:paraId="6FDE7089">
      <w:pPr>
        <w:spacing w:line="470" w:lineRule="exact"/>
        <w:rPr>
          <w:rFonts w:hint="eastAsia" w:hAnsi="宋体" w:cs="宋体"/>
          <w:color w:val="auto"/>
          <w:sz w:val="21"/>
          <w:szCs w:val="21"/>
          <w:highlight w:val="none"/>
        </w:rPr>
      </w:pPr>
      <w:r>
        <w:rPr>
          <w:rFonts w:hint="eastAsia" w:hAnsi="宋体" w:cs="宋体"/>
          <w:color w:val="auto"/>
          <w:sz w:val="21"/>
          <w:szCs w:val="21"/>
          <w:highlight w:val="none"/>
        </w:rPr>
        <w:t xml:space="preserve">   3.11 投标澄清会</w:t>
      </w:r>
    </w:p>
    <w:p w14:paraId="0205E2D3">
      <w:pPr>
        <w:spacing w:line="470" w:lineRule="exact"/>
        <w:rPr>
          <w:rFonts w:hint="eastAsia" w:hAnsi="宋体" w:cs="宋体"/>
          <w:color w:val="auto"/>
          <w:sz w:val="21"/>
          <w:szCs w:val="21"/>
          <w:highlight w:val="none"/>
        </w:rPr>
      </w:pPr>
      <w:r>
        <w:rPr>
          <w:rFonts w:hint="eastAsia" w:hAnsi="宋体" w:cs="宋体"/>
          <w:color w:val="auto"/>
          <w:sz w:val="21"/>
          <w:szCs w:val="21"/>
          <w:highlight w:val="none"/>
        </w:rPr>
        <w:t xml:space="preserve">   3.11.1 投标人须知前附表规定召开投标文件澄清会的，采购人按投标人须知前附表规定的时间和地点召开投标澄清会，澄清投标人提出的问题。</w:t>
      </w:r>
    </w:p>
    <w:p w14:paraId="11A80B56">
      <w:pPr>
        <w:spacing w:line="470" w:lineRule="exact"/>
        <w:rPr>
          <w:rFonts w:hint="eastAsia" w:hAnsi="宋体" w:cs="宋体"/>
          <w:color w:val="auto"/>
          <w:sz w:val="21"/>
          <w:szCs w:val="21"/>
          <w:highlight w:val="none"/>
        </w:rPr>
      </w:pPr>
      <w:r>
        <w:rPr>
          <w:rFonts w:hint="eastAsia" w:hAnsi="宋体" w:cs="宋体"/>
          <w:color w:val="auto"/>
          <w:sz w:val="21"/>
          <w:szCs w:val="21"/>
          <w:highlight w:val="none"/>
        </w:rPr>
        <w:t xml:space="preserve">   3.11.2 投标人应在投标人须知前附表规定的时间前，以书面形式将提出的问题送达采购人，以便采购人在会议期间澄清。</w:t>
      </w:r>
    </w:p>
    <w:p w14:paraId="28310E8E">
      <w:pPr>
        <w:spacing w:line="470" w:lineRule="exact"/>
        <w:rPr>
          <w:rFonts w:hint="eastAsia" w:hAnsi="宋体" w:cs="宋体"/>
          <w:color w:val="auto"/>
          <w:sz w:val="21"/>
          <w:szCs w:val="21"/>
          <w:highlight w:val="none"/>
        </w:rPr>
      </w:pPr>
      <w:r>
        <w:rPr>
          <w:rFonts w:hint="eastAsia" w:hAnsi="宋体" w:cs="宋体"/>
          <w:color w:val="auto"/>
          <w:sz w:val="21"/>
          <w:szCs w:val="21"/>
          <w:highlight w:val="none"/>
        </w:rPr>
        <w:t xml:space="preserve">    3.11.3 投标澄清会后，采购人在投标须知前附表规定的时间内，将对投标人所提出问题的澄清，以书面方式通知所有购买招标文件的投标人。该澄清内容为招标文件的组成部分。</w:t>
      </w:r>
    </w:p>
    <w:p w14:paraId="61C65107">
      <w:pPr>
        <w:spacing w:line="470" w:lineRule="exact"/>
        <w:rPr>
          <w:rFonts w:hint="eastAsia" w:hAnsi="宋体" w:cs="宋体"/>
          <w:color w:val="auto"/>
          <w:sz w:val="21"/>
          <w:szCs w:val="21"/>
          <w:highlight w:val="none"/>
        </w:rPr>
      </w:pPr>
      <w:r>
        <w:rPr>
          <w:rFonts w:hint="eastAsia" w:hAnsi="宋体" w:cs="宋体"/>
          <w:color w:val="auto"/>
          <w:sz w:val="21"/>
          <w:szCs w:val="21"/>
          <w:highlight w:val="none"/>
        </w:rPr>
        <w:t xml:space="preserve">    3.12 费用承担</w:t>
      </w:r>
    </w:p>
    <w:p w14:paraId="69FF198C">
      <w:pPr>
        <w:spacing w:line="470" w:lineRule="exact"/>
        <w:rPr>
          <w:rFonts w:hint="eastAsia" w:hAnsi="宋体" w:cs="宋体"/>
          <w:color w:val="auto"/>
          <w:sz w:val="21"/>
          <w:szCs w:val="21"/>
          <w:highlight w:val="none"/>
        </w:rPr>
      </w:pPr>
      <w:r>
        <w:rPr>
          <w:rFonts w:hint="eastAsia" w:hAnsi="宋体" w:cs="宋体"/>
          <w:color w:val="auto"/>
          <w:sz w:val="21"/>
          <w:szCs w:val="21"/>
          <w:highlight w:val="none"/>
        </w:rPr>
        <w:t xml:space="preserve">    3.12.1投标人应承担其编制投标文件与递交投标文件所涉及的一切费用，不论投标结果如何，采购人在任何情况下无义务和也无责任承担这些费用。</w:t>
      </w:r>
    </w:p>
    <w:p w14:paraId="2B227679">
      <w:pPr>
        <w:spacing w:line="47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3.12.2中标人须向采购代理机构按如下标准和规定缴纳招标代理服务费。</w:t>
      </w:r>
    </w:p>
    <w:p w14:paraId="3960AAED">
      <w:pPr>
        <w:spacing w:line="47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招标代理费（中标服务费）：采购代理机构按向中标人收取中标服务费，并以此标段中标金额为计算费用基数，以下计费规则按差额定率累进法计算计取：</w:t>
      </w:r>
    </w:p>
    <w:p w14:paraId="6909DBB6">
      <w:pPr>
        <w:spacing w:line="47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（1）若中标金额≥100万元，招标代理服务费（万元）=【100万元×1.5%+（中标金额-100万元）×0.8%】×60%；若中标金额＜100万元，招标代理服务费（万元）=中标金额×1.5%×60%。</w:t>
      </w:r>
    </w:p>
    <w:p w14:paraId="08C670ED">
      <w:pPr>
        <w:spacing w:line="47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（2）在领取中标通知书时一次性向采购代理机构支付。除上述费用外，不再收取其他任何费用。</w:t>
      </w:r>
    </w:p>
    <w:p w14:paraId="33768C9D">
      <w:pPr>
        <w:spacing w:line="47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（3）招标代理服务费及招标文件费以现金方式或转账方式直接缴纳；</w:t>
      </w:r>
    </w:p>
    <w:p w14:paraId="67C46865">
      <w:pPr>
        <w:spacing w:line="47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户名：保山市天瑞建设工程招标咨询有限公司</w:t>
      </w:r>
    </w:p>
    <w:p w14:paraId="2F31DEA7">
      <w:pPr>
        <w:spacing w:line="47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开户银行：中国建设银行有限公司保山新村支行</w:t>
      </w:r>
    </w:p>
    <w:p w14:paraId="2E80A7C6">
      <w:pPr>
        <w:spacing w:line="47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账号：5300 1728 6420 5100 0568</w:t>
      </w:r>
    </w:p>
    <w:p w14:paraId="7F0221B9">
      <w:pPr>
        <w:spacing w:line="470" w:lineRule="exact"/>
        <w:ind w:firstLine="420" w:firstLineChars="200"/>
        <w:rPr>
          <w:rFonts w:hint="eastAsia" w:hAnsi="宋体" w:cs="宋体"/>
          <w:color w:val="auto"/>
          <w:sz w:val="21"/>
          <w:szCs w:val="21"/>
          <w:highlight w:val="none"/>
        </w:rPr>
      </w:pPr>
    </w:p>
    <w:p w14:paraId="577F0C09">
      <w:pPr>
        <w:pStyle w:val="7"/>
        <w:numPr>
          <w:ilvl w:val="0"/>
          <w:numId w:val="0"/>
        </w:numPr>
        <w:spacing w:before="0" w:after="0" w:line="470" w:lineRule="exact"/>
        <w:rPr>
          <w:rFonts w:ascii="宋体"/>
          <w:color w:val="auto"/>
          <w:highlight w:val="none"/>
        </w:rPr>
      </w:pPr>
      <w:bookmarkStart w:id="13" w:name="_Toc15825"/>
    </w:p>
    <w:p w14:paraId="05B1B774">
      <w:pPr>
        <w:pStyle w:val="7"/>
        <w:numPr>
          <w:ilvl w:val="0"/>
          <w:numId w:val="0"/>
        </w:numPr>
        <w:spacing w:before="0" w:after="0" w:line="470" w:lineRule="exact"/>
        <w:rPr>
          <w:rFonts w:ascii="宋体"/>
          <w:b w:val="0"/>
          <w:color w:val="auto"/>
          <w:sz w:val="24"/>
          <w:highlight w:val="none"/>
        </w:rPr>
      </w:pPr>
      <w:bookmarkStart w:id="14" w:name="_Toc150"/>
      <w:r>
        <w:rPr>
          <w:rFonts w:hint="eastAsia" w:ascii="宋体"/>
          <w:color w:val="auto"/>
          <w:highlight w:val="none"/>
        </w:rPr>
        <w:t>4.投标</w:t>
      </w:r>
      <w:bookmarkEnd w:id="13"/>
      <w:bookmarkEnd w:id="14"/>
    </w:p>
    <w:p w14:paraId="2DB032BA">
      <w:pPr>
        <w:spacing w:line="470" w:lineRule="exact"/>
        <w:ind w:firstLine="420" w:firstLineChars="200"/>
        <w:rPr>
          <w:color w:val="auto"/>
          <w:sz w:val="21"/>
          <w:szCs w:val="21"/>
          <w:highlight w:val="none"/>
        </w:rPr>
      </w:pPr>
      <w:r>
        <w:rPr>
          <w:rFonts w:hint="eastAsia"/>
          <w:color w:val="auto"/>
          <w:sz w:val="21"/>
          <w:szCs w:val="21"/>
          <w:highlight w:val="none"/>
        </w:rPr>
        <w:t>4.1本次采购采用在政府采购云平台（www.zcygov.cn）上进行采购与递交投标文件，投标文件递交要求见投标人须知前附表。</w:t>
      </w:r>
    </w:p>
    <w:p w14:paraId="074E0E7A">
      <w:pPr>
        <w:spacing w:line="470" w:lineRule="exact"/>
        <w:rPr>
          <w:color w:val="auto"/>
          <w:sz w:val="21"/>
          <w:szCs w:val="21"/>
          <w:highlight w:val="none"/>
        </w:rPr>
      </w:pPr>
      <w:r>
        <w:rPr>
          <w:rFonts w:hint="eastAsia"/>
          <w:color w:val="auto"/>
          <w:sz w:val="21"/>
          <w:szCs w:val="21"/>
          <w:highlight w:val="none"/>
        </w:rPr>
        <w:t xml:space="preserve">    4.2 投标文件的递交</w:t>
      </w:r>
    </w:p>
    <w:p w14:paraId="6F77B4C1">
      <w:pPr>
        <w:spacing w:line="470" w:lineRule="exact"/>
        <w:rPr>
          <w:color w:val="auto"/>
          <w:sz w:val="21"/>
          <w:szCs w:val="21"/>
          <w:highlight w:val="none"/>
        </w:rPr>
      </w:pPr>
      <w:r>
        <w:rPr>
          <w:rFonts w:hint="eastAsia"/>
          <w:color w:val="auto"/>
          <w:sz w:val="21"/>
          <w:szCs w:val="21"/>
          <w:highlight w:val="none"/>
        </w:rPr>
        <w:t xml:space="preserve">    4.2.1 投标人应在本章第3.2项规定的投标截止时间之前递交投标文件。</w:t>
      </w:r>
    </w:p>
    <w:p w14:paraId="137B9EBE">
      <w:pPr>
        <w:spacing w:line="470" w:lineRule="exact"/>
        <w:rPr>
          <w:color w:val="auto"/>
          <w:sz w:val="21"/>
          <w:szCs w:val="21"/>
          <w:highlight w:val="none"/>
        </w:rPr>
      </w:pPr>
      <w:r>
        <w:rPr>
          <w:rFonts w:hint="eastAsia"/>
          <w:color w:val="auto"/>
          <w:sz w:val="21"/>
          <w:szCs w:val="21"/>
          <w:highlight w:val="none"/>
        </w:rPr>
        <w:t xml:space="preserve">    4.2.2 投标人递交投标文件的地点和方式：见投标人须知前附表。</w:t>
      </w:r>
    </w:p>
    <w:p w14:paraId="76F80BB5">
      <w:pPr>
        <w:spacing w:line="470" w:lineRule="exact"/>
        <w:rPr>
          <w:color w:val="auto"/>
          <w:sz w:val="21"/>
          <w:szCs w:val="21"/>
          <w:highlight w:val="none"/>
        </w:rPr>
      </w:pPr>
      <w:r>
        <w:rPr>
          <w:rFonts w:hint="eastAsia"/>
          <w:color w:val="auto"/>
          <w:sz w:val="21"/>
          <w:szCs w:val="21"/>
          <w:highlight w:val="none"/>
        </w:rPr>
        <w:t xml:space="preserve">    4.2.3投标人所递交的投标文件不予退还。</w:t>
      </w:r>
    </w:p>
    <w:p w14:paraId="5C7B8CBD">
      <w:pPr>
        <w:spacing w:line="470" w:lineRule="exact"/>
        <w:rPr>
          <w:color w:val="auto"/>
          <w:sz w:val="21"/>
          <w:szCs w:val="21"/>
          <w:highlight w:val="none"/>
        </w:rPr>
      </w:pPr>
      <w:r>
        <w:rPr>
          <w:rFonts w:hint="eastAsia"/>
          <w:color w:val="auto"/>
          <w:sz w:val="21"/>
          <w:szCs w:val="21"/>
          <w:highlight w:val="none"/>
        </w:rPr>
        <w:t xml:space="preserve">    4.2.4逾期送达的或者未送达指定地点的投标文件，采购人不予受理。</w:t>
      </w:r>
    </w:p>
    <w:p w14:paraId="0EE40800">
      <w:pPr>
        <w:spacing w:line="470" w:lineRule="exact"/>
        <w:rPr>
          <w:color w:val="auto"/>
          <w:sz w:val="21"/>
          <w:szCs w:val="21"/>
          <w:highlight w:val="none"/>
        </w:rPr>
      </w:pPr>
      <w:r>
        <w:rPr>
          <w:rFonts w:hint="eastAsia"/>
          <w:color w:val="auto"/>
          <w:sz w:val="21"/>
          <w:szCs w:val="21"/>
          <w:highlight w:val="none"/>
        </w:rPr>
        <w:t xml:space="preserve">    4.3 投标文件的修改与撤回</w:t>
      </w:r>
    </w:p>
    <w:p w14:paraId="26EF6FAB">
      <w:pPr>
        <w:spacing w:line="470" w:lineRule="exact"/>
        <w:ind w:firstLine="480"/>
        <w:rPr>
          <w:color w:val="auto"/>
          <w:sz w:val="21"/>
          <w:szCs w:val="21"/>
          <w:highlight w:val="none"/>
        </w:rPr>
      </w:pPr>
      <w:r>
        <w:rPr>
          <w:rFonts w:hint="eastAsia"/>
          <w:color w:val="auto"/>
          <w:sz w:val="21"/>
          <w:szCs w:val="21"/>
          <w:highlight w:val="none"/>
        </w:rPr>
        <w:t>4.3.1 在本章第3.2项规定的投标截止时间前，投标人可以修改或撤回已递交的投标文件，但应以书面形式通知采购人，该通知须有经正式授权的投标方代表签字，同时应出具投标人法定代表人（负责人）的授权书。</w:t>
      </w:r>
    </w:p>
    <w:p w14:paraId="020C9E9B">
      <w:pPr>
        <w:spacing w:line="470" w:lineRule="exact"/>
        <w:ind w:firstLine="480"/>
        <w:rPr>
          <w:color w:val="auto"/>
          <w:sz w:val="21"/>
          <w:szCs w:val="21"/>
          <w:highlight w:val="none"/>
        </w:rPr>
      </w:pPr>
      <w:r>
        <w:rPr>
          <w:rFonts w:hint="eastAsia"/>
          <w:color w:val="auto"/>
          <w:sz w:val="21"/>
          <w:szCs w:val="21"/>
          <w:highlight w:val="none"/>
        </w:rPr>
        <w:t>4.3.2在投标截止时间至投标有效期结束前，投标人不得撤回其投标文件，否则其投标保证金将不予退还。</w:t>
      </w:r>
    </w:p>
    <w:p w14:paraId="78654CE2">
      <w:pPr>
        <w:spacing w:line="470" w:lineRule="exact"/>
        <w:ind w:firstLine="420" w:firstLineChars="200"/>
        <w:rPr>
          <w:color w:val="auto"/>
          <w:sz w:val="24"/>
          <w:highlight w:val="none"/>
        </w:rPr>
      </w:pPr>
      <w:r>
        <w:rPr>
          <w:rFonts w:hint="eastAsia"/>
          <w:color w:val="auto"/>
          <w:sz w:val="21"/>
          <w:szCs w:val="21"/>
          <w:highlight w:val="none"/>
        </w:rPr>
        <w:t>4.3.3投标截止时间以后不得修改投标文件。</w:t>
      </w:r>
    </w:p>
    <w:p w14:paraId="378863D4">
      <w:pPr>
        <w:pStyle w:val="7"/>
        <w:numPr>
          <w:ilvl w:val="0"/>
          <w:numId w:val="0"/>
        </w:numPr>
        <w:spacing w:before="0" w:after="0" w:line="470" w:lineRule="exact"/>
        <w:rPr>
          <w:rFonts w:ascii="宋体"/>
          <w:color w:val="auto"/>
          <w:highlight w:val="none"/>
        </w:rPr>
      </w:pPr>
      <w:bookmarkStart w:id="15" w:name="_Toc20563"/>
    </w:p>
    <w:p w14:paraId="056DBE16">
      <w:pPr>
        <w:pStyle w:val="7"/>
        <w:numPr>
          <w:ilvl w:val="0"/>
          <w:numId w:val="0"/>
        </w:numPr>
        <w:spacing w:before="0" w:after="0" w:line="470" w:lineRule="exact"/>
        <w:rPr>
          <w:rFonts w:ascii="宋体"/>
          <w:color w:val="auto"/>
          <w:highlight w:val="none"/>
        </w:rPr>
      </w:pPr>
      <w:bookmarkStart w:id="16" w:name="_Toc16590"/>
      <w:r>
        <w:rPr>
          <w:rFonts w:hint="eastAsia" w:ascii="宋体"/>
          <w:color w:val="auto"/>
          <w:highlight w:val="none"/>
        </w:rPr>
        <w:t>5.开标</w:t>
      </w:r>
      <w:bookmarkEnd w:id="15"/>
      <w:bookmarkEnd w:id="16"/>
    </w:p>
    <w:p w14:paraId="463AD6B9">
      <w:pPr>
        <w:spacing w:line="470" w:lineRule="exact"/>
        <w:ind w:firstLine="420" w:firstLineChars="200"/>
        <w:rPr>
          <w:color w:val="auto"/>
          <w:sz w:val="21"/>
          <w:szCs w:val="21"/>
          <w:highlight w:val="none"/>
        </w:rPr>
      </w:pPr>
      <w:r>
        <w:rPr>
          <w:rFonts w:hint="eastAsia"/>
          <w:color w:val="auto"/>
          <w:sz w:val="21"/>
          <w:szCs w:val="21"/>
          <w:highlight w:val="none"/>
        </w:rPr>
        <w:t>5.1开标时间、地点和方式</w:t>
      </w:r>
    </w:p>
    <w:p w14:paraId="7804EDE4">
      <w:pPr>
        <w:spacing w:line="470" w:lineRule="exact"/>
        <w:ind w:firstLine="420" w:firstLineChars="200"/>
        <w:rPr>
          <w:color w:val="auto"/>
          <w:sz w:val="21"/>
          <w:szCs w:val="21"/>
          <w:highlight w:val="none"/>
        </w:rPr>
      </w:pPr>
      <w:r>
        <w:rPr>
          <w:rFonts w:hint="eastAsia"/>
          <w:color w:val="auto"/>
          <w:sz w:val="21"/>
          <w:szCs w:val="21"/>
          <w:highlight w:val="none"/>
        </w:rPr>
        <w:t>采购人在本章投标人须知前附表规定的投标截止时间（开标时间）通过政府采购云平台举行开标会议，并请各投标人通过政府采购云平台参加开标会议。</w:t>
      </w:r>
    </w:p>
    <w:p w14:paraId="76433D80">
      <w:pPr>
        <w:spacing w:line="470" w:lineRule="exact"/>
        <w:ind w:firstLine="420" w:firstLineChars="200"/>
        <w:rPr>
          <w:color w:val="auto"/>
          <w:sz w:val="21"/>
          <w:szCs w:val="21"/>
          <w:highlight w:val="none"/>
        </w:rPr>
      </w:pPr>
      <w:r>
        <w:rPr>
          <w:rFonts w:hint="eastAsia"/>
          <w:color w:val="auto"/>
          <w:sz w:val="21"/>
          <w:szCs w:val="21"/>
          <w:highlight w:val="none"/>
        </w:rPr>
        <w:t>5.2 开标程序</w:t>
      </w:r>
    </w:p>
    <w:p w14:paraId="3559EF34">
      <w:pPr>
        <w:spacing w:line="470" w:lineRule="exact"/>
        <w:ind w:firstLine="315" w:firstLineChars="150"/>
        <w:rPr>
          <w:color w:val="auto"/>
          <w:sz w:val="21"/>
          <w:szCs w:val="21"/>
          <w:highlight w:val="none"/>
        </w:rPr>
      </w:pPr>
      <w:r>
        <w:rPr>
          <w:rFonts w:hint="eastAsia"/>
          <w:color w:val="auto"/>
          <w:sz w:val="21"/>
          <w:szCs w:val="21"/>
          <w:highlight w:val="none"/>
        </w:rPr>
        <w:t>（1）开标时，由系统自动显示各投标人的相关开标报价信息。</w:t>
      </w:r>
    </w:p>
    <w:p w14:paraId="2E41F8FE">
      <w:pPr>
        <w:spacing w:line="470" w:lineRule="exact"/>
        <w:ind w:firstLine="315" w:firstLineChars="150"/>
        <w:rPr>
          <w:color w:val="auto"/>
          <w:sz w:val="21"/>
          <w:szCs w:val="21"/>
          <w:highlight w:val="none"/>
        </w:rPr>
      </w:pPr>
      <w:r>
        <w:rPr>
          <w:rFonts w:hint="eastAsia"/>
          <w:color w:val="auto"/>
          <w:sz w:val="21"/>
          <w:szCs w:val="21"/>
          <w:highlight w:val="none"/>
        </w:rPr>
        <w:t>（2）系统自动显示开标记录（包含投标人名称、投标报价、项目服务质量承诺、合同履行期限、项目负责人等信息），并由所有投标人在政府采购云平台中确认，以示公平。</w:t>
      </w:r>
    </w:p>
    <w:p w14:paraId="7E73112E">
      <w:pPr>
        <w:spacing w:line="470" w:lineRule="exact"/>
        <w:ind w:firstLine="315" w:firstLineChars="150"/>
        <w:rPr>
          <w:color w:val="auto"/>
          <w:sz w:val="21"/>
          <w:szCs w:val="21"/>
          <w:highlight w:val="none"/>
        </w:rPr>
      </w:pPr>
      <w:r>
        <w:rPr>
          <w:rFonts w:hint="eastAsia"/>
          <w:color w:val="auto"/>
          <w:sz w:val="21"/>
          <w:szCs w:val="21"/>
          <w:highlight w:val="none"/>
        </w:rPr>
        <w:t>（3）开标结束。</w:t>
      </w:r>
    </w:p>
    <w:p w14:paraId="64532545">
      <w:pPr>
        <w:pStyle w:val="7"/>
        <w:numPr>
          <w:ilvl w:val="0"/>
          <w:numId w:val="0"/>
        </w:numPr>
        <w:spacing w:before="0" w:after="0" w:line="470" w:lineRule="exact"/>
        <w:rPr>
          <w:rFonts w:ascii="宋体"/>
          <w:color w:val="auto"/>
          <w:highlight w:val="none"/>
        </w:rPr>
      </w:pPr>
      <w:bookmarkStart w:id="17" w:name="_Toc1615"/>
    </w:p>
    <w:p w14:paraId="562C440B">
      <w:pPr>
        <w:pStyle w:val="7"/>
        <w:numPr>
          <w:ilvl w:val="0"/>
          <w:numId w:val="0"/>
        </w:numPr>
        <w:spacing w:before="0" w:after="0" w:line="470" w:lineRule="exact"/>
        <w:rPr>
          <w:rFonts w:ascii="宋体"/>
          <w:color w:val="auto"/>
          <w:highlight w:val="none"/>
        </w:rPr>
      </w:pPr>
      <w:bookmarkStart w:id="18" w:name="_Toc14931"/>
      <w:r>
        <w:rPr>
          <w:rFonts w:hint="eastAsia" w:ascii="宋体"/>
          <w:color w:val="auto"/>
          <w:highlight w:val="none"/>
        </w:rPr>
        <w:t>6.资格审查及评标</w:t>
      </w:r>
      <w:bookmarkEnd w:id="17"/>
      <w:bookmarkEnd w:id="18"/>
    </w:p>
    <w:p w14:paraId="3A539222">
      <w:pPr>
        <w:spacing w:line="470" w:lineRule="exact"/>
        <w:ind w:firstLine="420" w:firstLineChars="200"/>
        <w:rPr>
          <w:color w:val="auto"/>
          <w:sz w:val="21"/>
          <w:szCs w:val="21"/>
          <w:highlight w:val="none"/>
        </w:rPr>
      </w:pPr>
      <w:r>
        <w:rPr>
          <w:rFonts w:hint="eastAsia"/>
          <w:color w:val="auto"/>
          <w:sz w:val="21"/>
          <w:szCs w:val="21"/>
          <w:highlight w:val="none"/>
        </w:rPr>
        <w:t>6.1资格审查：采购人及采购代理机构按照第三章“资格审查”规定的评标因素、标准和程序对投标文件进行评审。第三章“资格审查”有规定的评审因素和标准，不作为评标依据。</w:t>
      </w:r>
    </w:p>
    <w:p w14:paraId="7D16FA69">
      <w:pPr>
        <w:spacing w:line="470" w:lineRule="exact"/>
        <w:ind w:firstLine="420" w:firstLineChars="200"/>
        <w:rPr>
          <w:color w:val="auto"/>
          <w:sz w:val="21"/>
          <w:szCs w:val="21"/>
          <w:highlight w:val="none"/>
        </w:rPr>
      </w:pPr>
      <w:r>
        <w:rPr>
          <w:rFonts w:hint="eastAsia"/>
          <w:color w:val="auto"/>
          <w:sz w:val="21"/>
          <w:szCs w:val="21"/>
          <w:highlight w:val="none"/>
        </w:rPr>
        <w:t>6.2 评标委员会</w:t>
      </w:r>
    </w:p>
    <w:p w14:paraId="06247A7E">
      <w:pPr>
        <w:spacing w:line="470" w:lineRule="exact"/>
        <w:ind w:left="420" w:hanging="420" w:hangingChars="200"/>
        <w:rPr>
          <w:color w:val="auto"/>
          <w:sz w:val="21"/>
          <w:szCs w:val="21"/>
          <w:highlight w:val="none"/>
        </w:rPr>
      </w:pPr>
      <w:r>
        <w:rPr>
          <w:rFonts w:hint="eastAsia"/>
          <w:color w:val="auto"/>
          <w:sz w:val="21"/>
          <w:szCs w:val="21"/>
          <w:highlight w:val="none"/>
        </w:rPr>
        <w:t xml:space="preserve">    评标由采购人依法组建的评标委员会负责，评标委员会人数由7人及以上单数组成。</w:t>
      </w:r>
    </w:p>
    <w:p w14:paraId="28F55D62">
      <w:pPr>
        <w:spacing w:line="470" w:lineRule="exact"/>
        <w:ind w:left="525" w:leftChars="150" w:hanging="105" w:hangingChars="50"/>
        <w:rPr>
          <w:color w:val="auto"/>
          <w:sz w:val="21"/>
          <w:szCs w:val="21"/>
          <w:highlight w:val="none"/>
        </w:rPr>
      </w:pPr>
      <w:r>
        <w:rPr>
          <w:rFonts w:hint="eastAsia"/>
          <w:color w:val="auto"/>
          <w:sz w:val="21"/>
          <w:szCs w:val="21"/>
          <w:highlight w:val="none"/>
        </w:rPr>
        <w:t>6.3评标原则</w:t>
      </w:r>
    </w:p>
    <w:p w14:paraId="4BDD3EAE">
      <w:pPr>
        <w:spacing w:line="470" w:lineRule="exact"/>
        <w:ind w:left="638" w:leftChars="228"/>
        <w:rPr>
          <w:color w:val="auto"/>
          <w:sz w:val="21"/>
          <w:szCs w:val="21"/>
          <w:highlight w:val="none"/>
        </w:rPr>
      </w:pPr>
      <w:r>
        <w:rPr>
          <w:rFonts w:hint="eastAsia"/>
          <w:color w:val="auto"/>
          <w:sz w:val="21"/>
          <w:szCs w:val="21"/>
          <w:highlight w:val="none"/>
        </w:rPr>
        <w:t>依照“公平、公正、科学、择优、合法、保密”原则。</w:t>
      </w:r>
    </w:p>
    <w:p w14:paraId="77227CEE">
      <w:pPr>
        <w:spacing w:line="470" w:lineRule="exact"/>
        <w:ind w:firstLine="420" w:firstLineChars="200"/>
        <w:rPr>
          <w:color w:val="auto"/>
          <w:sz w:val="21"/>
          <w:szCs w:val="21"/>
          <w:highlight w:val="none"/>
        </w:rPr>
      </w:pPr>
      <w:r>
        <w:rPr>
          <w:rFonts w:hint="eastAsia"/>
          <w:color w:val="auto"/>
          <w:sz w:val="21"/>
          <w:szCs w:val="21"/>
          <w:highlight w:val="none"/>
        </w:rPr>
        <w:t>6.4评标办法和标准</w:t>
      </w:r>
    </w:p>
    <w:p w14:paraId="20C25F0A">
      <w:pPr>
        <w:spacing w:line="470" w:lineRule="exact"/>
        <w:ind w:firstLine="420" w:firstLineChars="200"/>
        <w:rPr>
          <w:color w:val="auto"/>
          <w:sz w:val="21"/>
          <w:szCs w:val="21"/>
          <w:highlight w:val="none"/>
        </w:rPr>
      </w:pPr>
      <w:r>
        <w:rPr>
          <w:rFonts w:hint="eastAsia"/>
          <w:color w:val="auto"/>
          <w:sz w:val="21"/>
          <w:szCs w:val="21"/>
          <w:highlight w:val="none"/>
        </w:rPr>
        <w:t>6.4.1评标办法：综合评分法</w:t>
      </w:r>
      <w:r>
        <w:rPr>
          <w:color w:val="auto"/>
          <w:sz w:val="21"/>
          <w:szCs w:val="21"/>
          <w:highlight w:val="none"/>
        </w:rPr>
        <w:t>，是指在最大限度地满足招标文件实质性要求前提下，按照招标文件中规定的各项因素进行综合评审后，按评标总得分的高低顺序推荐出中标候选人。</w:t>
      </w:r>
    </w:p>
    <w:p w14:paraId="18CED240">
      <w:pPr>
        <w:spacing w:line="470" w:lineRule="exact"/>
        <w:ind w:firstLine="420" w:firstLineChars="200"/>
        <w:rPr>
          <w:color w:val="auto"/>
          <w:sz w:val="24"/>
          <w:highlight w:val="none"/>
        </w:rPr>
      </w:pPr>
      <w:r>
        <w:rPr>
          <w:rFonts w:hint="eastAsia"/>
          <w:color w:val="auto"/>
          <w:sz w:val="21"/>
          <w:szCs w:val="21"/>
          <w:highlight w:val="none"/>
        </w:rPr>
        <w:t>6.4.2 评标委员会按照本章第6.4.1项规定评标方法和第四章“评标办法”规定的评标因素、标准和程序对投标文件进行评审。第四章“评标办法”没有规定的评审因素和标准，不作为评标依据。</w:t>
      </w:r>
    </w:p>
    <w:p w14:paraId="19798B3A">
      <w:pPr>
        <w:pStyle w:val="7"/>
        <w:numPr>
          <w:ilvl w:val="0"/>
          <w:numId w:val="0"/>
        </w:numPr>
        <w:spacing w:before="0" w:after="0" w:line="470" w:lineRule="exact"/>
        <w:rPr>
          <w:rFonts w:ascii="宋体"/>
          <w:color w:val="auto"/>
          <w:highlight w:val="none"/>
        </w:rPr>
      </w:pPr>
      <w:bookmarkStart w:id="19" w:name="_Toc28606"/>
    </w:p>
    <w:p w14:paraId="26D4E703">
      <w:pPr>
        <w:pStyle w:val="7"/>
        <w:numPr>
          <w:ilvl w:val="0"/>
          <w:numId w:val="0"/>
        </w:numPr>
        <w:spacing w:before="0" w:after="0" w:line="470" w:lineRule="exact"/>
        <w:rPr>
          <w:rFonts w:ascii="宋体"/>
          <w:color w:val="auto"/>
          <w:highlight w:val="none"/>
        </w:rPr>
      </w:pPr>
      <w:bookmarkStart w:id="20" w:name="_Toc29674"/>
      <w:r>
        <w:rPr>
          <w:rFonts w:hint="eastAsia" w:ascii="宋体"/>
          <w:color w:val="auto"/>
          <w:highlight w:val="none"/>
        </w:rPr>
        <w:t>7.合同授予</w:t>
      </w:r>
      <w:bookmarkEnd w:id="19"/>
      <w:bookmarkEnd w:id="20"/>
    </w:p>
    <w:p w14:paraId="6C0C2B28">
      <w:pPr>
        <w:spacing w:line="470" w:lineRule="exact"/>
        <w:ind w:firstLine="315" w:firstLineChars="150"/>
        <w:rPr>
          <w:color w:val="auto"/>
          <w:sz w:val="21"/>
          <w:szCs w:val="21"/>
          <w:highlight w:val="none"/>
        </w:rPr>
      </w:pPr>
      <w:r>
        <w:rPr>
          <w:rFonts w:hint="eastAsia"/>
          <w:color w:val="auto"/>
          <w:sz w:val="21"/>
          <w:szCs w:val="21"/>
          <w:highlight w:val="none"/>
        </w:rPr>
        <w:t>7.1 中标人的确定</w:t>
      </w:r>
    </w:p>
    <w:p w14:paraId="3EAE3590">
      <w:pPr>
        <w:spacing w:line="46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7.1.1 采购代理机构在评审结束后2个工作日内将评审报告送采购人确认。采购人应当在收到评审报告后5个工作日内，根据评审报告提出的中标候选人情况，按照综合得分由高到低的原则确定中标人。采购代理机构将在中标人确定后2个工作日内将中标结果在招标公告发布媒体进行发布。</w:t>
      </w:r>
    </w:p>
    <w:p w14:paraId="731B8BC0">
      <w:pPr>
        <w:spacing w:line="46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 xml:space="preserve">7.1.2排名第一的中标候选人放弃中标、因不可抗力提出不能履行合同，或者招标文件规定应当提交履约保证金而在规定的期限内未能提交的，采购人可以确定排名第二的中标候选人为中标人。 </w:t>
      </w:r>
    </w:p>
    <w:p w14:paraId="1FA2BB6A">
      <w:pPr>
        <w:spacing w:line="46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7.1.3排名第二的中标候选人因前款规定的同样原因不能签订合同的，采购人可以确定排名第三的中标候选人为中标人，以此类推。</w:t>
      </w:r>
    </w:p>
    <w:p w14:paraId="4BB5F482">
      <w:pPr>
        <w:spacing w:line="46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7.1.4采购人不能保证最低报价的投标人最终中标。</w:t>
      </w:r>
    </w:p>
    <w:p w14:paraId="04C901A6">
      <w:pPr>
        <w:spacing w:line="470" w:lineRule="exact"/>
        <w:ind w:firstLine="210" w:firstLineChars="100"/>
        <w:rPr>
          <w:color w:val="auto"/>
          <w:sz w:val="21"/>
          <w:szCs w:val="21"/>
          <w:highlight w:val="none"/>
        </w:rPr>
      </w:pPr>
      <w:r>
        <w:rPr>
          <w:rFonts w:hint="eastAsia"/>
          <w:color w:val="auto"/>
          <w:sz w:val="21"/>
          <w:szCs w:val="21"/>
          <w:highlight w:val="none"/>
        </w:rPr>
        <w:t>7.2投标补偿</w:t>
      </w:r>
    </w:p>
    <w:p w14:paraId="25D9D87D">
      <w:pPr>
        <w:spacing w:line="470" w:lineRule="exact"/>
        <w:ind w:firstLine="210" w:firstLineChars="100"/>
        <w:rPr>
          <w:b/>
          <w:color w:val="auto"/>
          <w:sz w:val="21"/>
          <w:szCs w:val="21"/>
          <w:highlight w:val="none"/>
        </w:rPr>
      </w:pPr>
      <w:r>
        <w:rPr>
          <w:rFonts w:hint="eastAsia"/>
          <w:b/>
          <w:color w:val="auto"/>
          <w:sz w:val="21"/>
          <w:szCs w:val="21"/>
          <w:highlight w:val="none"/>
        </w:rPr>
        <w:t xml:space="preserve"> 本采购项目对未中标的投标人不予补偿。</w:t>
      </w:r>
    </w:p>
    <w:p w14:paraId="2A6F1742">
      <w:pPr>
        <w:spacing w:line="470" w:lineRule="exact"/>
        <w:ind w:firstLine="420" w:firstLineChars="200"/>
        <w:rPr>
          <w:color w:val="auto"/>
          <w:sz w:val="21"/>
          <w:szCs w:val="21"/>
          <w:highlight w:val="none"/>
        </w:rPr>
      </w:pPr>
      <w:r>
        <w:rPr>
          <w:rFonts w:hint="eastAsia"/>
          <w:color w:val="auto"/>
          <w:sz w:val="21"/>
          <w:szCs w:val="21"/>
          <w:highlight w:val="none"/>
        </w:rPr>
        <w:t>7.3 中标通知书</w:t>
      </w:r>
    </w:p>
    <w:p w14:paraId="61A68082">
      <w:pPr>
        <w:spacing w:line="470" w:lineRule="exact"/>
        <w:ind w:firstLine="420" w:firstLineChars="200"/>
        <w:rPr>
          <w:color w:val="auto"/>
          <w:sz w:val="21"/>
          <w:szCs w:val="21"/>
          <w:highlight w:val="none"/>
        </w:rPr>
      </w:pPr>
      <w:r>
        <w:rPr>
          <w:rFonts w:hint="eastAsia"/>
          <w:color w:val="auto"/>
          <w:sz w:val="21"/>
          <w:szCs w:val="21"/>
          <w:highlight w:val="none"/>
        </w:rPr>
        <w:t>7.3.1在本章第3.4款规定的投标有效期内，采购人在发布招标公告的媒介公布中标结果，并以书面形式向中标人发出中标通知书，同时将中标结果通知未中标的投标人。</w:t>
      </w:r>
    </w:p>
    <w:p w14:paraId="49336642">
      <w:pPr>
        <w:spacing w:line="46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7.3.2 除不可抗力等因素外，中标通知书发出后，采购人或中标人拒绝签订政府采购合同的，应当承担相应的法律责任。</w:t>
      </w:r>
    </w:p>
    <w:p w14:paraId="3EB58DD9">
      <w:pPr>
        <w:spacing w:line="470" w:lineRule="exact"/>
        <w:ind w:firstLine="420" w:firstLineChars="200"/>
        <w:rPr>
          <w:color w:val="auto"/>
          <w:sz w:val="21"/>
          <w:szCs w:val="21"/>
          <w:highlight w:val="none"/>
        </w:rPr>
      </w:pPr>
      <w:r>
        <w:rPr>
          <w:rFonts w:hint="eastAsia" w:hAnsi="宋体" w:cs="宋体"/>
          <w:color w:val="auto"/>
          <w:sz w:val="21"/>
          <w:szCs w:val="21"/>
          <w:highlight w:val="none"/>
        </w:rPr>
        <w:t>7.3.3 《中标通知书》将作为合同的一个组成部分。</w:t>
      </w:r>
    </w:p>
    <w:p w14:paraId="2226BCE1">
      <w:pPr>
        <w:spacing w:line="470" w:lineRule="exact"/>
        <w:ind w:firstLine="420" w:firstLineChars="200"/>
        <w:rPr>
          <w:color w:val="auto"/>
          <w:sz w:val="21"/>
          <w:szCs w:val="21"/>
          <w:highlight w:val="none"/>
        </w:rPr>
      </w:pPr>
      <w:r>
        <w:rPr>
          <w:rFonts w:hint="eastAsia"/>
          <w:color w:val="auto"/>
          <w:sz w:val="21"/>
          <w:szCs w:val="21"/>
          <w:highlight w:val="none"/>
        </w:rPr>
        <w:t>7.4履约保证金（采购人与中标人自行约定）</w:t>
      </w:r>
    </w:p>
    <w:p w14:paraId="046A1726">
      <w:pPr>
        <w:spacing w:line="470" w:lineRule="exact"/>
        <w:ind w:firstLine="420" w:firstLineChars="200"/>
        <w:rPr>
          <w:color w:val="auto"/>
          <w:sz w:val="21"/>
          <w:szCs w:val="21"/>
          <w:highlight w:val="none"/>
        </w:rPr>
      </w:pPr>
      <w:r>
        <w:rPr>
          <w:rFonts w:hint="eastAsia"/>
          <w:color w:val="auto"/>
          <w:sz w:val="21"/>
          <w:szCs w:val="21"/>
          <w:highlight w:val="none"/>
        </w:rPr>
        <w:t>7.4.1 在签订合同前，中标人应按投标人须知前附表规定的金额，担保形式和招标文件第六章“合同条款及格式”规定的履约担保格式向采购人提交履约担保。</w:t>
      </w:r>
    </w:p>
    <w:p w14:paraId="5EE17458">
      <w:pPr>
        <w:spacing w:line="470" w:lineRule="exact"/>
        <w:ind w:firstLine="420" w:firstLineChars="200"/>
        <w:rPr>
          <w:color w:val="auto"/>
          <w:sz w:val="21"/>
          <w:szCs w:val="21"/>
          <w:highlight w:val="none"/>
        </w:rPr>
      </w:pPr>
      <w:r>
        <w:rPr>
          <w:rFonts w:hint="eastAsia"/>
          <w:color w:val="auto"/>
          <w:sz w:val="21"/>
          <w:szCs w:val="21"/>
          <w:highlight w:val="none"/>
        </w:rPr>
        <w:t>7.4.2 中标人不能按本章第7.4项要求提交履约保证金的，视为放弃中标，其投标保证金不予退还，给采购人造成的损失超过投标保证金数额的，中标人还应当对超过部分予以赔偿。</w:t>
      </w:r>
    </w:p>
    <w:p w14:paraId="2859C392">
      <w:pPr>
        <w:spacing w:line="470" w:lineRule="exact"/>
        <w:ind w:firstLine="420" w:firstLineChars="200"/>
        <w:rPr>
          <w:color w:val="auto"/>
          <w:sz w:val="21"/>
          <w:szCs w:val="21"/>
          <w:highlight w:val="none"/>
        </w:rPr>
      </w:pPr>
      <w:r>
        <w:rPr>
          <w:rFonts w:hint="eastAsia"/>
          <w:color w:val="auto"/>
          <w:sz w:val="21"/>
          <w:szCs w:val="21"/>
          <w:highlight w:val="none"/>
        </w:rPr>
        <w:t>7.5 签订合同</w:t>
      </w:r>
    </w:p>
    <w:p w14:paraId="6C1D4294">
      <w:pPr>
        <w:spacing w:line="470" w:lineRule="exact"/>
        <w:ind w:firstLine="420" w:firstLineChars="200"/>
        <w:rPr>
          <w:color w:val="auto"/>
          <w:sz w:val="21"/>
          <w:szCs w:val="21"/>
          <w:highlight w:val="none"/>
        </w:rPr>
      </w:pPr>
      <w:r>
        <w:rPr>
          <w:rFonts w:hint="eastAsia"/>
          <w:color w:val="auto"/>
          <w:sz w:val="21"/>
          <w:szCs w:val="21"/>
          <w:highlight w:val="none"/>
        </w:rPr>
        <w:t>7.5.1 采购人和中标人应当自中标通知书发出之日起30天内，根据招标文件和中标人的投标文件订立书面合同。中标人无正当理由拒签合同的，采购人取消其中标资格，其投标保证金不予退还；</w:t>
      </w:r>
    </w:p>
    <w:p w14:paraId="3DA15A58">
      <w:pPr>
        <w:spacing w:line="470" w:lineRule="exact"/>
        <w:ind w:firstLine="420" w:firstLineChars="200"/>
        <w:rPr>
          <w:color w:val="auto"/>
          <w:sz w:val="21"/>
          <w:szCs w:val="21"/>
          <w:highlight w:val="none"/>
        </w:rPr>
      </w:pPr>
      <w:r>
        <w:rPr>
          <w:rFonts w:hint="eastAsia"/>
          <w:color w:val="auto"/>
          <w:sz w:val="21"/>
          <w:szCs w:val="21"/>
          <w:highlight w:val="none"/>
        </w:rPr>
        <w:t>7.5.2 发出中标通知书后，采购人无正当理由拒签合同的，采购人向中标人退还投标保证金；给中标人造成损失的，还应当赔偿损失。</w:t>
      </w:r>
    </w:p>
    <w:p w14:paraId="47649EE3">
      <w:pPr>
        <w:spacing w:line="470" w:lineRule="exact"/>
        <w:ind w:firstLine="420" w:firstLineChars="200"/>
        <w:rPr>
          <w:color w:val="auto"/>
          <w:sz w:val="21"/>
          <w:szCs w:val="21"/>
          <w:highlight w:val="none"/>
        </w:rPr>
      </w:pPr>
      <w:r>
        <w:rPr>
          <w:rFonts w:hint="eastAsia"/>
          <w:color w:val="auto"/>
          <w:sz w:val="21"/>
          <w:szCs w:val="21"/>
          <w:highlight w:val="none"/>
        </w:rPr>
        <w:t>7.5.3合同价：以中标人所报总价作为合同价，总价包干，在合同实施过程中总价保持不变，总价须包括完成采购需求内全部服务内容及为完成本项目而需发生的相关服务工作发生的全部费用。</w:t>
      </w:r>
    </w:p>
    <w:p w14:paraId="78E6DECB">
      <w:pPr>
        <w:pStyle w:val="7"/>
        <w:numPr>
          <w:ilvl w:val="0"/>
          <w:numId w:val="0"/>
        </w:numPr>
        <w:spacing w:before="0" w:after="0" w:line="470" w:lineRule="exact"/>
        <w:rPr>
          <w:rFonts w:ascii="宋体"/>
          <w:color w:val="auto"/>
          <w:highlight w:val="none"/>
        </w:rPr>
      </w:pPr>
      <w:bookmarkStart w:id="21" w:name="_Toc21879"/>
    </w:p>
    <w:p w14:paraId="32E28122">
      <w:pPr>
        <w:pStyle w:val="7"/>
        <w:numPr>
          <w:ilvl w:val="0"/>
          <w:numId w:val="0"/>
        </w:numPr>
        <w:spacing w:before="0" w:after="0" w:line="470" w:lineRule="exact"/>
        <w:rPr>
          <w:rFonts w:ascii="宋体"/>
          <w:color w:val="auto"/>
          <w:highlight w:val="none"/>
        </w:rPr>
      </w:pPr>
      <w:bookmarkStart w:id="22" w:name="_Toc5790"/>
      <w:r>
        <w:rPr>
          <w:rFonts w:hint="eastAsia" w:ascii="宋体"/>
          <w:color w:val="auto"/>
          <w:highlight w:val="none"/>
        </w:rPr>
        <w:t>8.质疑和投诉</w:t>
      </w:r>
      <w:bookmarkEnd w:id="21"/>
      <w:bookmarkEnd w:id="22"/>
    </w:p>
    <w:p w14:paraId="56096039">
      <w:pPr>
        <w:spacing w:line="470" w:lineRule="exact"/>
        <w:ind w:firstLine="420" w:firstLineChars="200"/>
        <w:rPr>
          <w:color w:val="auto"/>
          <w:sz w:val="21"/>
          <w:szCs w:val="21"/>
          <w:highlight w:val="none"/>
        </w:rPr>
      </w:pPr>
      <w:r>
        <w:rPr>
          <w:rFonts w:hint="eastAsia"/>
          <w:color w:val="auto"/>
          <w:sz w:val="21"/>
          <w:szCs w:val="21"/>
          <w:highlight w:val="none"/>
        </w:rPr>
        <w:t>8.1投标人认为招标文件、招标过程和成交结果使自己的合法权益受到损害的，应当在知道或者应知其权益受到损害之日起七个工作日内，以书面形式向下列部门或采购人提出质疑。质疑内容不得含有虚假、恶意成分。当事人对自己提出的主张，有责任提供证据，提出质疑时应同时提交相关证据材料和注明事实的确切来源。</w:t>
      </w:r>
    </w:p>
    <w:p w14:paraId="59022BD9">
      <w:pPr>
        <w:spacing w:line="470" w:lineRule="exact"/>
        <w:ind w:firstLine="420" w:firstLineChars="200"/>
        <w:rPr>
          <w:color w:val="auto"/>
          <w:sz w:val="21"/>
          <w:szCs w:val="21"/>
          <w:highlight w:val="none"/>
        </w:rPr>
      </w:pPr>
      <w:r>
        <w:rPr>
          <w:rFonts w:hint="eastAsia"/>
          <w:color w:val="auto"/>
          <w:sz w:val="21"/>
          <w:szCs w:val="21"/>
          <w:highlight w:val="none"/>
        </w:rPr>
        <w:t>受理质疑部门：保山市天瑞建设工程招标咨询有限公司</w:t>
      </w:r>
    </w:p>
    <w:p w14:paraId="595B517A">
      <w:pPr>
        <w:spacing w:line="470" w:lineRule="exact"/>
        <w:ind w:firstLine="420" w:firstLineChars="200"/>
        <w:rPr>
          <w:color w:val="auto"/>
          <w:sz w:val="21"/>
          <w:szCs w:val="21"/>
          <w:highlight w:val="none"/>
        </w:rPr>
      </w:pPr>
      <w:r>
        <w:rPr>
          <w:rFonts w:hint="eastAsia"/>
          <w:color w:val="auto"/>
          <w:sz w:val="21"/>
          <w:szCs w:val="21"/>
          <w:highlight w:val="none"/>
        </w:rPr>
        <w:t>联系人：杨女士、王先生</w:t>
      </w:r>
    </w:p>
    <w:p w14:paraId="5DBF9083">
      <w:pPr>
        <w:spacing w:line="470" w:lineRule="exact"/>
        <w:ind w:firstLine="420" w:firstLineChars="200"/>
        <w:rPr>
          <w:color w:val="auto"/>
          <w:sz w:val="21"/>
          <w:szCs w:val="21"/>
          <w:highlight w:val="none"/>
        </w:rPr>
      </w:pPr>
      <w:r>
        <w:rPr>
          <w:rFonts w:hint="eastAsia"/>
          <w:color w:val="auto"/>
          <w:sz w:val="21"/>
          <w:szCs w:val="21"/>
          <w:highlight w:val="none"/>
        </w:rPr>
        <w:t>电话：0875-2147689</w:t>
      </w:r>
    </w:p>
    <w:p w14:paraId="6DD2C8D9">
      <w:pPr>
        <w:spacing w:line="470" w:lineRule="exact"/>
        <w:ind w:firstLine="420" w:firstLineChars="200"/>
        <w:rPr>
          <w:color w:val="auto"/>
          <w:sz w:val="21"/>
          <w:szCs w:val="21"/>
          <w:highlight w:val="none"/>
        </w:rPr>
      </w:pPr>
      <w:r>
        <w:rPr>
          <w:rFonts w:hint="eastAsia"/>
          <w:color w:val="auto"/>
          <w:sz w:val="21"/>
          <w:szCs w:val="21"/>
          <w:highlight w:val="none"/>
        </w:rPr>
        <w:t>传真：0875-2147689</w:t>
      </w:r>
    </w:p>
    <w:p w14:paraId="7DCCFC62">
      <w:pPr>
        <w:spacing w:line="470" w:lineRule="exact"/>
        <w:ind w:firstLine="420" w:firstLineChars="200"/>
        <w:rPr>
          <w:color w:val="auto"/>
          <w:sz w:val="21"/>
          <w:szCs w:val="21"/>
          <w:highlight w:val="none"/>
        </w:rPr>
      </w:pPr>
      <w:r>
        <w:rPr>
          <w:rFonts w:hint="eastAsia"/>
          <w:color w:val="auto"/>
          <w:sz w:val="21"/>
          <w:szCs w:val="21"/>
          <w:highlight w:val="none"/>
        </w:rPr>
        <w:t>8.2投标人提供的质疑书应符合中华人民共和国财政部令第94号《政府采购质疑和投诉办法》的规定。投标人提供的质疑书（如材料中有外文资料应同时附上中文译本）应当包括以下主要内容：</w:t>
      </w:r>
    </w:p>
    <w:p w14:paraId="1001952D">
      <w:pPr>
        <w:spacing w:line="470" w:lineRule="exact"/>
        <w:ind w:firstLine="420" w:firstLineChars="200"/>
        <w:rPr>
          <w:color w:val="auto"/>
          <w:sz w:val="21"/>
          <w:szCs w:val="21"/>
          <w:highlight w:val="none"/>
        </w:rPr>
      </w:pPr>
      <w:r>
        <w:rPr>
          <w:rFonts w:hint="eastAsia"/>
          <w:color w:val="auto"/>
          <w:sz w:val="21"/>
          <w:szCs w:val="21"/>
          <w:highlight w:val="none"/>
        </w:rPr>
        <w:t>（1）质疑项目名称；</w:t>
      </w:r>
    </w:p>
    <w:p w14:paraId="4EDE876B">
      <w:pPr>
        <w:spacing w:line="470" w:lineRule="exact"/>
        <w:ind w:firstLine="420" w:firstLineChars="200"/>
        <w:rPr>
          <w:color w:val="auto"/>
          <w:sz w:val="21"/>
          <w:szCs w:val="21"/>
          <w:highlight w:val="none"/>
        </w:rPr>
      </w:pPr>
      <w:r>
        <w:rPr>
          <w:rFonts w:hint="eastAsia"/>
          <w:color w:val="auto"/>
          <w:sz w:val="21"/>
          <w:szCs w:val="21"/>
          <w:highlight w:val="none"/>
        </w:rPr>
        <w:t>（2）质疑理由及事实依据；</w:t>
      </w:r>
    </w:p>
    <w:p w14:paraId="31F76BFF">
      <w:pPr>
        <w:spacing w:line="470" w:lineRule="exact"/>
        <w:ind w:firstLine="420" w:firstLineChars="200"/>
        <w:rPr>
          <w:color w:val="auto"/>
          <w:sz w:val="21"/>
          <w:szCs w:val="21"/>
          <w:highlight w:val="none"/>
        </w:rPr>
      </w:pPr>
      <w:r>
        <w:rPr>
          <w:rFonts w:hint="eastAsia"/>
          <w:color w:val="auto"/>
          <w:sz w:val="21"/>
          <w:szCs w:val="21"/>
          <w:highlight w:val="none"/>
        </w:rPr>
        <w:t>（3）质疑对象；</w:t>
      </w:r>
    </w:p>
    <w:p w14:paraId="2391B794">
      <w:pPr>
        <w:spacing w:line="470" w:lineRule="exact"/>
        <w:ind w:firstLine="420" w:firstLineChars="200"/>
        <w:rPr>
          <w:color w:val="auto"/>
          <w:sz w:val="21"/>
          <w:szCs w:val="21"/>
          <w:highlight w:val="none"/>
        </w:rPr>
      </w:pPr>
      <w:r>
        <w:rPr>
          <w:rFonts w:hint="eastAsia"/>
          <w:color w:val="auto"/>
          <w:sz w:val="21"/>
          <w:szCs w:val="21"/>
          <w:highlight w:val="none"/>
        </w:rPr>
        <w:t>（4）联系电话和地址；</w:t>
      </w:r>
    </w:p>
    <w:p w14:paraId="1FF127AA">
      <w:pPr>
        <w:spacing w:line="470" w:lineRule="exact"/>
        <w:ind w:firstLine="420" w:firstLineChars="200"/>
        <w:rPr>
          <w:color w:val="auto"/>
          <w:sz w:val="21"/>
          <w:szCs w:val="21"/>
          <w:highlight w:val="none"/>
        </w:rPr>
      </w:pPr>
      <w:r>
        <w:rPr>
          <w:rFonts w:hint="eastAsia"/>
          <w:color w:val="auto"/>
          <w:sz w:val="21"/>
          <w:szCs w:val="21"/>
          <w:highlight w:val="none"/>
        </w:rPr>
        <w:t>（5）质疑的日期；</w:t>
      </w:r>
    </w:p>
    <w:p w14:paraId="4B45198E">
      <w:pPr>
        <w:spacing w:line="470" w:lineRule="exact"/>
        <w:ind w:firstLine="420" w:firstLineChars="200"/>
        <w:rPr>
          <w:color w:val="auto"/>
          <w:sz w:val="21"/>
          <w:szCs w:val="21"/>
          <w:highlight w:val="none"/>
        </w:rPr>
      </w:pPr>
      <w:r>
        <w:rPr>
          <w:rFonts w:hint="eastAsia"/>
          <w:color w:val="auto"/>
          <w:sz w:val="21"/>
          <w:szCs w:val="21"/>
          <w:highlight w:val="none"/>
        </w:rPr>
        <w:t>（6）质疑人署名。</w:t>
      </w:r>
    </w:p>
    <w:p w14:paraId="71D74BD5">
      <w:pPr>
        <w:spacing w:line="470" w:lineRule="exact"/>
        <w:ind w:firstLine="420" w:firstLineChars="200"/>
        <w:rPr>
          <w:color w:val="auto"/>
          <w:sz w:val="21"/>
          <w:szCs w:val="21"/>
          <w:highlight w:val="none"/>
        </w:rPr>
      </w:pPr>
      <w:r>
        <w:rPr>
          <w:rFonts w:hint="eastAsia"/>
          <w:color w:val="auto"/>
          <w:sz w:val="21"/>
          <w:szCs w:val="21"/>
          <w:highlight w:val="none"/>
        </w:rPr>
        <w:t>质疑书实行实名制，并提交由法定代表人（负责人）或其授权代理人签字并加盖单位章的原件。</w:t>
      </w:r>
    </w:p>
    <w:p w14:paraId="31E30027">
      <w:pPr>
        <w:spacing w:line="470" w:lineRule="exact"/>
        <w:ind w:firstLine="420" w:firstLineChars="200"/>
        <w:rPr>
          <w:color w:val="auto"/>
          <w:sz w:val="21"/>
          <w:szCs w:val="21"/>
          <w:highlight w:val="none"/>
        </w:rPr>
      </w:pPr>
      <w:r>
        <w:rPr>
          <w:rFonts w:hint="eastAsia"/>
          <w:color w:val="auto"/>
          <w:sz w:val="21"/>
          <w:szCs w:val="21"/>
          <w:highlight w:val="none"/>
        </w:rPr>
        <w:t>8.3 采购人、采购代理机构将在收到投标人的书面质疑后七个工作日内作出书面答复，但答复的内容不涉及商业秘密。</w:t>
      </w:r>
    </w:p>
    <w:p w14:paraId="195B69B3">
      <w:pPr>
        <w:spacing w:line="470" w:lineRule="exact"/>
        <w:ind w:firstLine="420" w:firstLineChars="200"/>
        <w:rPr>
          <w:color w:val="auto"/>
          <w:sz w:val="21"/>
          <w:szCs w:val="21"/>
          <w:highlight w:val="none"/>
        </w:rPr>
      </w:pPr>
      <w:r>
        <w:rPr>
          <w:rFonts w:hint="eastAsia"/>
          <w:color w:val="auto"/>
          <w:sz w:val="21"/>
          <w:szCs w:val="21"/>
          <w:highlight w:val="none"/>
        </w:rPr>
        <w:t>8.4参与政府采购活动的投标人对招标过程或者结果提出质疑的，采购人或采购代理机构可以组织原评标委员会协助处理质疑事项，并依据评标委员会出具的意见进行答复。质疑答复导致成交结果改变的，采购人或采购代理机构应当将相关情况报财政部门备案。</w:t>
      </w:r>
    </w:p>
    <w:p w14:paraId="457A323F">
      <w:pPr>
        <w:spacing w:line="470" w:lineRule="exact"/>
        <w:ind w:firstLine="420" w:firstLineChars="200"/>
        <w:rPr>
          <w:color w:val="auto"/>
          <w:sz w:val="24"/>
          <w:highlight w:val="none"/>
        </w:rPr>
      </w:pPr>
      <w:r>
        <w:rPr>
          <w:rFonts w:hint="eastAsia"/>
          <w:color w:val="auto"/>
          <w:sz w:val="21"/>
          <w:szCs w:val="21"/>
          <w:highlight w:val="none"/>
        </w:rPr>
        <w:t>8.5投诉人必须首先经过质疑程序，在对采购人、采购代理机构的答复不满意，或者采购人、采购代理机构未在规定的时间内作出答复的，可以在答复期满后十五个工作日内书面向保山市政府采购监督管理部门投诉。</w:t>
      </w:r>
    </w:p>
    <w:p w14:paraId="54139DE4">
      <w:pPr>
        <w:spacing w:line="470" w:lineRule="exact"/>
        <w:ind w:firstLine="480" w:firstLineChars="200"/>
        <w:rPr>
          <w:color w:val="auto"/>
          <w:sz w:val="24"/>
          <w:highlight w:val="none"/>
        </w:rPr>
      </w:pPr>
    </w:p>
    <w:p w14:paraId="59C0AA17">
      <w:pPr>
        <w:pStyle w:val="7"/>
        <w:numPr>
          <w:ilvl w:val="0"/>
          <w:numId w:val="0"/>
        </w:numPr>
        <w:spacing w:before="0" w:after="0" w:line="470" w:lineRule="exact"/>
        <w:rPr>
          <w:rFonts w:ascii="宋体"/>
          <w:color w:val="auto"/>
          <w:highlight w:val="none"/>
        </w:rPr>
      </w:pPr>
      <w:bookmarkStart w:id="23" w:name="_Toc23206"/>
      <w:bookmarkStart w:id="24" w:name="_Toc14921"/>
      <w:r>
        <w:rPr>
          <w:rFonts w:hint="eastAsia" w:ascii="宋体"/>
          <w:color w:val="auto"/>
          <w:highlight w:val="none"/>
        </w:rPr>
        <w:t>9.需要补充的其他内容</w:t>
      </w:r>
      <w:bookmarkEnd w:id="23"/>
      <w:bookmarkEnd w:id="24"/>
    </w:p>
    <w:p w14:paraId="068E66A0">
      <w:pPr>
        <w:spacing w:line="470" w:lineRule="exact"/>
        <w:ind w:firstLine="315" w:firstLineChars="150"/>
        <w:rPr>
          <w:rFonts w:hint="eastAsia" w:hAnsi="宋体"/>
          <w:color w:val="auto"/>
          <w:sz w:val="24"/>
          <w:highlight w:val="none"/>
        </w:rPr>
      </w:pPr>
      <w:r>
        <w:rPr>
          <w:rFonts w:hint="eastAsia"/>
          <w:color w:val="auto"/>
          <w:sz w:val="21"/>
          <w:szCs w:val="21"/>
          <w:highlight w:val="none"/>
        </w:rPr>
        <w:t>需要补充的其他内容：见投标人须知前附表。</w:t>
      </w:r>
    </w:p>
    <w:p w14:paraId="26F3B224">
      <w:pPr>
        <w:pStyle w:val="24"/>
        <w:spacing w:line="440" w:lineRule="exact"/>
        <w:jc w:val="center"/>
        <w:rPr>
          <w:color w:val="auto"/>
          <w:highlight w:val="none"/>
        </w:rPr>
      </w:pPr>
      <w:r>
        <w:rPr>
          <w:rFonts w:hAnsi="宋体" w:cs="宋体"/>
          <w:bCs/>
          <w:color w:val="auto"/>
          <w:highlight w:val="none"/>
        </w:rPr>
        <w:br w:type="page"/>
      </w:r>
      <w:bookmarkStart w:id="25" w:name="_Toc24466342"/>
      <w:bookmarkStart w:id="26" w:name="_Toc32103"/>
      <w:bookmarkStart w:id="27" w:name="_Toc13756186"/>
      <w:r>
        <w:rPr>
          <w:rStyle w:val="75"/>
          <w:rFonts w:hint="eastAsia"/>
          <w:color w:val="auto"/>
          <w:highlight w:val="none"/>
        </w:rPr>
        <w:t xml:space="preserve">第三章  </w:t>
      </w:r>
      <w:r>
        <w:rPr>
          <w:rStyle w:val="75"/>
          <w:color w:val="auto"/>
          <w:highlight w:val="none"/>
        </w:rPr>
        <w:t>资格审查</w:t>
      </w:r>
      <w:bookmarkEnd w:id="25"/>
      <w:bookmarkEnd w:id="26"/>
      <w:bookmarkEnd w:id="27"/>
    </w:p>
    <w:p w14:paraId="2D95F9BE">
      <w:pPr>
        <w:widowControl/>
        <w:spacing w:line="360" w:lineRule="auto"/>
        <w:ind w:firstLine="420" w:firstLineChars="200"/>
        <w:jc w:val="left"/>
        <w:rPr>
          <w:rFonts w:hint="eastAsia" w:hAnsi="宋体"/>
          <w:color w:val="auto"/>
          <w:sz w:val="21"/>
          <w:szCs w:val="21"/>
          <w:highlight w:val="none"/>
        </w:rPr>
      </w:pPr>
    </w:p>
    <w:p w14:paraId="7F231826">
      <w:pPr>
        <w:widowControl/>
        <w:spacing w:line="360" w:lineRule="auto"/>
        <w:ind w:firstLine="420" w:firstLineChars="200"/>
        <w:jc w:val="left"/>
        <w:rPr>
          <w:rFonts w:hint="eastAsia" w:hAnsi="宋体"/>
          <w:color w:val="auto"/>
          <w:sz w:val="21"/>
          <w:szCs w:val="21"/>
          <w:highlight w:val="none"/>
        </w:rPr>
      </w:pPr>
      <w:r>
        <w:rPr>
          <w:rFonts w:hint="eastAsia" w:hAnsi="宋体"/>
          <w:color w:val="auto"/>
          <w:sz w:val="21"/>
          <w:szCs w:val="21"/>
          <w:highlight w:val="none"/>
        </w:rPr>
        <w:t>依据法律法规和招标文件的规定，采购人或采购代理机构或二者共同对投标人提交的资格证明进行审查，以确认投标人是否具备投标的资格，资格审查为通过性评审，投标人按招标公告第二条及投标须知前附表规定提供能满足本条要求的相关证件、证明文件参与资格审查评审内容详见下表：</w:t>
      </w:r>
    </w:p>
    <w:tbl>
      <w:tblPr>
        <w:tblStyle w:val="39"/>
        <w:tblW w:w="98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42"/>
        <w:gridCol w:w="5392"/>
        <w:gridCol w:w="2655"/>
      </w:tblGrid>
      <w:tr w14:paraId="2C71E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9889" w:type="dxa"/>
            <w:gridSpan w:val="3"/>
            <w:noWrap/>
            <w:vAlign w:val="center"/>
          </w:tcPr>
          <w:p w14:paraId="1ABE1147">
            <w:pPr>
              <w:spacing w:line="380" w:lineRule="exact"/>
              <w:jc w:val="center"/>
              <w:rPr>
                <w:rFonts w:hint="eastAsia" w:hAnsi="宋体" w:cs="宋体"/>
                <w:b/>
                <w:color w:val="auto"/>
                <w:sz w:val="21"/>
                <w:szCs w:val="21"/>
                <w:highlight w:val="none"/>
              </w:rPr>
            </w:pPr>
            <w:r>
              <w:rPr>
                <w:rFonts w:hint="eastAsia" w:hAnsi="宋体" w:cs="宋体"/>
                <w:b/>
                <w:color w:val="auto"/>
                <w:sz w:val="21"/>
                <w:szCs w:val="21"/>
                <w:highlight w:val="none"/>
              </w:rPr>
              <w:t>投标人资格审查内容及相关因素</w:t>
            </w:r>
          </w:p>
        </w:tc>
      </w:tr>
      <w:tr w14:paraId="0DB4D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1842" w:type="dxa"/>
            <w:noWrap/>
            <w:vAlign w:val="center"/>
          </w:tcPr>
          <w:p w14:paraId="6B6733CD">
            <w:pPr>
              <w:spacing w:line="380" w:lineRule="exact"/>
              <w:jc w:val="center"/>
              <w:rPr>
                <w:rFonts w:hint="eastAsia" w:hAnsi="宋体" w:cs="宋体"/>
                <w:b/>
                <w:color w:val="auto"/>
                <w:sz w:val="21"/>
                <w:szCs w:val="21"/>
                <w:highlight w:val="none"/>
              </w:rPr>
            </w:pPr>
            <w:r>
              <w:rPr>
                <w:rFonts w:hint="eastAsia" w:hAnsi="宋体" w:cs="宋体"/>
                <w:b/>
                <w:color w:val="auto"/>
                <w:sz w:val="21"/>
                <w:szCs w:val="21"/>
                <w:highlight w:val="none"/>
              </w:rPr>
              <w:t>评 审 内容</w:t>
            </w:r>
          </w:p>
        </w:tc>
        <w:tc>
          <w:tcPr>
            <w:tcW w:w="8047" w:type="dxa"/>
            <w:gridSpan w:val="2"/>
            <w:noWrap/>
            <w:vAlign w:val="center"/>
          </w:tcPr>
          <w:p w14:paraId="043E8884">
            <w:pPr>
              <w:spacing w:line="380" w:lineRule="exact"/>
              <w:jc w:val="center"/>
              <w:rPr>
                <w:rFonts w:hint="eastAsia" w:hAnsi="宋体" w:cs="宋体"/>
                <w:b/>
                <w:color w:val="auto"/>
                <w:sz w:val="21"/>
                <w:szCs w:val="21"/>
                <w:highlight w:val="none"/>
              </w:rPr>
            </w:pPr>
            <w:r>
              <w:rPr>
                <w:rFonts w:hint="eastAsia" w:hAnsi="宋体" w:cs="宋体"/>
                <w:b/>
                <w:color w:val="auto"/>
                <w:sz w:val="21"/>
                <w:szCs w:val="21"/>
                <w:highlight w:val="none"/>
              </w:rPr>
              <w:t>评审因素</w:t>
            </w:r>
          </w:p>
        </w:tc>
      </w:tr>
      <w:tr w14:paraId="72245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dxa"/>
            <w:vMerge w:val="restart"/>
            <w:noWrap/>
            <w:vAlign w:val="center"/>
          </w:tcPr>
          <w:p w14:paraId="55A951CB">
            <w:pPr>
              <w:widowControl/>
              <w:spacing w:line="380" w:lineRule="exact"/>
              <w:jc w:val="left"/>
              <w:rPr>
                <w:rFonts w:hint="eastAsia" w:hAnsi="宋体" w:cs="宋体"/>
                <w:color w:val="auto"/>
                <w:sz w:val="21"/>
                <w:szCs w:val="21"/>
                <w:highlight w:val="none"/>
                <w:shd w:val="clear" w:color="auto" w:fill="FFFFFF"/>
              </w:rPr>
            </w:pPr>
            <w:r>
              <w:rPr>
                <w:rFonts w:hint="eastAsia" w:hAnsi="宋体" w:cs="宋体"/>
                <w:color w:val="auto"/>
                <w:sz w:val="21"/>
                <w:szCs w:val="21"/>
                <w:highlight w:val="none"/>
                <w:shd w:val="clear" w:color="auto" w:fill="FFFFFF"/>
              </w:rPr>
              <w:t>投标人应具有独立承担民事责任的能力</w:t>
            </w:r>
          </w:p>
        </w:tc>
        <w:tc>
          <w:tcPr>
            <w:tcW w:w="5392" w:type="dxa"/>
            <w:noWrap/>
            <w:vAlign w:val="center"/>
          </w:tcPr>
          <w:p w14:paraId="0404AA91">
            <w:pPr>
              <w:spacing w:line="380" w:lineRule="exact"/>
              <w:rPr>
                <w:rFonts w:hint="eastAsia" w:hAnsi="宋体" w:cs="宋体"/>
                <w:color w:val="auto"/>
                <w:sz w:val="21"/>
                <w:szCs w:val="21"/>
                <w:highlight w:val="none"/>
              </w:rPr>
            </w:pPr>
            <w:r>
              <w:rPr>
                <w:rFonts w:hint="eastAsia" w:hAnsi="宋体" w:cs="宋体"/>
                <w:b/>
                <w:color w:val="auto"/>
                <w:sz w:val="21"/>
                <w:szCs w:val="21"/>
                <w:highlight w:val="none"/>
              </w:rPr>
              <w:t>有效营业执照：</w:t>
            </w:r>
            <w:r>
              <w:rPr>
                <w:rFonts w:hint="eastAsia" w:hAnsi="宋体" w:cs="宋体"/>
                <w:color w:val="auto"/>
                <w:sz w:val="21"/>
                <w:szCs w:val="21"/>
                <w:highlight w:val="none"/>
              </w:rPr>
              <w:t>投标人有效的《营业执照》或《统一社会信用代码证》或其他组织证件或自然人身份证明等能证明投标人具有独立承担民事责任能力的证明材料。</w:t>
            </w:r>
          </w:p>
        </w:tc>
        <w:tc>
          <w:tcPr>
            <w:tcW w:w="2655" w:type="dxa"/>
            <w:noWrap/>
            <w:vAlign w:val="center"/>
          </w:tcPr>
          <w:p w14:paraId="6BA1A75E">
            <w:pPr>
              <w:spacing w:line="380" w:lineRule="exact"/>
              <w:rPr>
                <w:rFonts w:hint="eastAsia" w:hAnsi="宋体" w:cs="宋体"/>
                <w:color w:val="auto"/>
                <w:sz w:val="21"/>
                <w:szCs w:val="21"/>
                <w:highlight w:val="none"/>
              </w:rPr>
            </w:pPr>
            <w:r>
              <w:rPr>
                <w:rFonts w:hint="eastAsia" w:hAnsi="宋体" w:cs="宋体"/>
                <w:color w:val="auto"/>
                <w:sz w:val="21"/>
                <w:szCs w:val="21"/>
                <w:highlight w:val="none"/>
              </w:rPr>
              <w:t>审查其提供材料的完整性及有效性</w:t>
            </w:r>
          </w:p>
        </w:tc>
      </w:tr>
      <w:tr w14:paraId="7080D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dxa"/>
            <w:vMerge w:val="continue"/>
            <w:noWrap/>
            <w:vAlign w:val="center"/>
          </w:tcPr>
          <w:p w14:paraId="4DD22C88">
            <w:pPr>
              <w:widowControl/>
              <w:spacing w:line="380" w:lineRule="exact"/>
              <w:jc w:val="left"/>
              <w:rPr>
                <w:rFonts w:hint="eastAsia" w:hAnsi="宋体" w:cs="宋体"/>
                <w:color w:val="auto"/>
                <w:sz w:val="21"/>
                <w:szCs w:val="21"/>
                <w:highlight w:val="none"/>
                <w:shd w:val="clear" w:color="auto" w:fill="FFFFFF"/>
              </w:rPr>
            </w:pPr>
          </w:p>
        </w:tc>
        <w:tc>
          <w:tcPr>
            <w:tcW w:w="5392" w:type="dxa"/>
            <w:noWrap/>
            <w:vAlign w:val="center"/>
          </w:tcPr>
          <w:p w14:paraId="0A0C3F47">
            <w:pPr>
              <w:spacing w:line="380" w:lineRule="exact"/>
              <w:rPr>
                <w:rFonts w:hint="eastAsia" w:hAnsi="宋体" w:cs="宋体"/>
                <w:b/>
                <w:color w:val="auto"/>
                <w:sz w:val="21"/>
                <w:szCs w:val="21"/>
                <w:highlight w:val="none"/>
              </w:rPr>
            </w:pPr>
            <w:r>
              <w:rPr>
                <w:rFonts w:hint="eastAsia" w:hAnsi="宋体" w:cs="宋体"/>
                <w:color w:val="auto"/>
                <w:sz w:val="21"/>
                <w:szCs w:val="21"/>
                <w:highlight w:val="none"/>
              </w:rPr>
              <w:t>法定代表人（负责人或自然人）及其身份证明。</w:t>
            </w:r>
          </w:p>
        </w:tc>
        <w:tc>
          <w:tcPr>
            <w:tcW w:w="2655" w:type="dxa"/>
            <w:noWrap/>
            <w:vAlign w:val="center"/>
          </w:tcPr>
          <w:p w14:paraId="182B3327">
            <w:pPr>
              <w:spacing w:line="380" w:lineRule="exact"/>
              <w:rPr>
                <w:rFonts w:hint="eastAsia" w:hAnsi="宋体" w:cs="宋体"/>
                <w:b/>
                <w:color w:val="auto"/>
                <w:sz w:val="21"/>
                <w:szCs w:val="21"/>
                <w:highlight w:val="none"/>
              </w:rPr>
            </w:pPr>
            <w:r>
              <w:rPr>
                <w:rFonts w:hint="eastAsia" w:hAnsi="宋体" w:cs="宋体"/>
                <w:color w:val="auto"/>
                <w:sz w:val="21"/>
                <w:szCs w:val="21"/>
                <w:highlight w:val="none"/>
              </w:rPr>
              <w:t>审查法定代表人（负责人或自然人）是否与提供的营业执照载明事项保持一致及身份证有效期限</w:t>
            </w:r>
          </w:p>
        </w:tc>
      </w:tr>
      <w:tr w14:paraId="34711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dxa"/>
            <w:vMerge w:val="continue"/>
            <w:noWrap/>
            <w:vAlign w:val="center"/>
          </w:tcPr>
          <w:p w14:paraId="4321C8EF">
            <w:pPr>
              <w:widowControl/>
              <w:spacing w:line="380" w:lineRule="exact"/>
              <w:jc w:val="left"/>
              <w:rPr>
                <w:rFonts w:hint="eastAsia" w:hAnsi="宋体" w:cs="宋体"/>
                <w:color w:val="auto"/>
                <w:sz w:val="21"/>
                <w:szCs w:val="21"/>
                <w:highlight w:val="none"/>
                <w:shd w:val="clear" w:color="auto" w:fill="FFFFFF"/>
              </w:rPr>
            </w:pPr>
          </w:p>
        </w:tc>
        <w:tc>
          <w:tcPr>
            <w:tcW w:w="5392" w:type="dxa"/>
            <w:noWrap/>
            <w:vAlign w:val="center"/>
          </w:tcPr>
          <w:p w14:paraId="5BA1715D">
            <w:pPr>
              <w:spacing w:line="380" w:lineRule="exact"/>
              <w:rPr>
                <w:rFonts w:hint="eastAsia" w:hAnsi="宋体" w:cs="宋体"/>
                <w:b/>
                <w:bCs/>
                <w:color w:val="auto"/>
                <w:sz w:val="21"/>
                <w:szCs w:val="21"/>
                <w:highlight w:val="none"/>
              </w:rPr>
            </w:pPr>
            <w:r>
              <w:rPr>
                <w:rFonts w:hint="eastAsia" w:hAnsi="宋体" w:cs="宋体"/>
                <w:b/>
                <w:color w:val="auto"/>
                <w:sz w:val="21"/>
                <w:szCs w:val="21"/>
                <w:highlight w:val="none"/>
              </w:rPr>
              <w:t>联合体：本项目不接受，投标人须提供申明文件。</w:t>
            </w:r>
          </w:p>
        </w:tc>
        <w:tc>
          <w:tcPr>
            <w:tcW w:w="2655" w:type="dxa"/>
            <w:noWrap/>
            <w:vAlign w:val="center"/>
          </w:tcPr>
          <w:p w14:paraId="7031F07F">
            <w:pPr>
              <w:spacing w:line="380" w:lineRule="exact"/>
              <w:rPr>
                <w:rFonts w:hint="eastAsia" w:hAnsi="宋体" w:cs="宋体"/>
                <w:b/>
                <w:bCs/>
                <w:color w:val="auto"/>
                <w:sz w:val="21"/>
                <w:szCs w:val="21"/>
                <w:highlight w:val="none"/>
              </w:rPr>
            </w:pPr>
            <w:r>
              <w:rPr>
                <w:rFonts w:hint="eastAsia" w:hAnsi="宋体" w:cs="宋体"/>
                <w:color w:val="auto"/>
                <w:sz w:val="21"/>
                <w:szCs w:val="21"/>
                <w:highlight w:val="none"/>
              </w:rPr>
              <w:t>审查其是否提出承诺</w:t>
            </w:r>
          </w:p>
        </w:tc>
      </w:tr>
      <w:tr w14:paraId="1C3DA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dxa"/>
            <w:vMerge w:val="restart"/>
            <w:noWrap/>
            <w:vAlign w:val="center"/>
          </w:tcPr>
          <w:p w14:paraId="282ED57A">
            <w:pPr>
              <w:spacing w:line="380" w:lineRule="exact"/>
              <w:rPr>
                <w:rFonts w:hint="eastAsia" w:hAnsi="宋体" w:cs="宋体"/>
                <w:color w:val="auto"/>
                <w:sz w:val="21"/>
                <w:szCs w:val="21"/>
                <w:highlight w:val="none"/>
              </w:rPr>
            </w:pPr>
            <w:r>
              <w:rPr>
                <w:rFonts w:hint="eastAsia" w:hAnsi="宋体" w:cs="宋体"/>
                <w:color w:val="auto"/>
                <w:sz w:val="21"/>
                <w:szCs w:val="21"/>
                <w:highlight w:val="none"/>
              </w:rPr>
              <w:t>具有良好的商业信誉和健全的财务会计制度</w:t>
            </w:r>
          </w:p>
        </w:tc>
        <w:tc>
          <w:tcPr>
            <w:tcW w:w="5392" w:type="dxa"/>
            <w:noWrap/>
            <w:vAlign w:val="center"/>
          </w:tcPr>
          <w:p w14:paraId="4950E617">
            <w:pPr>
              <w:spacing w:line="380" w:lineRule="exact"/>
              <w:ind w:firstLine="210" w:firstLineChars="100"/>
              <w:rPr>
                <w:rFonts w:hint="eastAsia" w:hAnsi="宋体" w:cs="宋体"/>
                <w:color w:val="auto"/>
                <w:sz w:val="21"/>
                <w:szCs w:val="21"/>
                <w:highlight w:val="none"/>
              </w:rPr>
            </w:pPr>
            <w:r>
              <w:rPr>
                <w:rFonts w:hint="eastAsia" w:hAnsi="宋体" w:cs="宋体"/>
                <w:color w:val="auto"/>
                <w:sz w:val="21"/>
                <w:szCs w:val="21"/>
                <w:highlight w:val="none"/>
              </w:rPr>
              <w:t>提供具有良好商业信誉和声明函</w:t>
            </w:r>
          </w:p>
        </w:tc>
        <w:tc>
          <w:tcPr>
            <w:tcW w:w="2655" w:type="dxa"/>
            <w:noWrap/>
            <w:vAlign w:val="center"/>
          </w:tcPr>
          <w:p w14:paraId="3C5BB5D2">
            <w:pPr>
              <w:spacing w:line="380" w:lineRule="exact"/>
              <w:ind w:firstLine="210" w:firstLineChars="100"/>
              <w:rPr>
                <w:rFonts w:hint="eastAsia" w:hAnsi="宋体" w:cs="宋体"/>
                <w:color w:val="auto"/>
                <w:sz w:val="21"/>
                <w:szCs w:val="21"/>
                <w:highlight w:val="none"/>
              </w:rPr>
            </w:pPr>
            <w:r>
              <w:rPr>
                <w:rFonts w:hint="eastAsia" w:hAnsi="宋体" w:cs="宋体"/>
                <w:color w:val="auto"/>
                <w:sz w:val="21"/>
                <w:szCs w:val="21"/>
                <w:highlight w:val="none"/>
              </w:rPr>
              <w:t>审查其是否提供</w:t>
            </w:r>
          </w:p>
        </w:tc>
      </w:tr>
      <w:tr w14:paraId="2A6F1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dxa"/>
            <w:vMerge w:val="continue"/>
            <w:noWrap/>
            <w:vAlign w:val="center"/>
          </w:tcPr>
          <w:p w14:paraId="73DD8D4E">
            <w:pPr>
              <w:spacing w:line="380" w:lineRule="exact"/>
              <w:rPr>
                <w:rFonts w:hint="eastAsia" w:hAnsi="宋体" w:cs="宋体"/>
                <w:color w:val="auto"/>
                <w:sz w:val="21"/>
                <w:szCs w:val="21"/>
                <w:highlight w:val="none"/>
              </w:rPr>
            </w:pPr>
          </w:p>
        </w:tc>
        <w:tc>
          <w:tcPr>
            <w:tcW w:w="5392" w:type="dxa"/>
            <w:noWrap/>
            <w:vAlign w:val="center"/>
          </w:tcPr>
          <w:p w14:paraId="476FAB76">
            <w:pPr>
              <w:spacing w:line="380" w:lineRule="exact"/>
              <w:rPr>
                <w:rFonts w:hint="eastAsia" w:hAnsi="宋体" w:cs="宋体"/>
                <w:color w:val="auto"/>
                <w:sz w:val="21"/>
                <w:szCs w:val="21"/>
                <w:highlight w:val="none"/>
              </w:rPr>
            </w:pPr>
            <w:r>
              <w:rPr>
                <w:rFonts w:hint="eastAsia" w:hAnsi="宋体" w:cs="宋体"/>
                <w:color w:val="auto"/>
                <w:sz w:val="21"/>
                <w:szCs w:val="21"/>
                <w:highlight w:val="none"/>
              </w:rPr>
              <w:t>提供投标人2022年度或2023年度经审计的财务报告（提供最新年度的）；投标人（含新成立的单位）无法提供2022年度或2023年度经审计的财务报告的，提供银行出具的资信证明或担保机构出具的投标担保函等能证明具有健全的财务会计制度的证明材料。</w:t>
            </w:r>
          </w:p>
        </w:tc>
        <w:tc>
          <w:tcPr>
            <w:tcW w:w="2655" w:type="dxa"/>
            <w:noWrap/>
            <w:vAlign w:val="center"/>
          </w:tcPr>
          <w:p w14:paraId="7B63C14F">
            <w:pPr>
              <w:spacing w:line="380" w:lineRule="exact"/>
              <w:rPr>
                <w:rFonts w:hint="eastAsia" w:hAnsi="宋体" w:cs="宋体"/>
                <w:color w:val="auto"/>
                <w:sz w:val="21"/>
                <w:szCs w:val="21"/>
                <w:highlight w:val="none"/>
              </w:rPr>
            </w:pPr>
            <w:r>
              <w:rPr>
                <w:rFonts w:hint="eastAsia" w:hAnsi="宋体" w:cs="宋体"/>
                <w:color w:val="auto"/>
                <w:sz w:val="21"/>
                <w:szCs w:val="21"/>
                <w:highlight w:val="none"/>
              </w:rPr>
              <w:t>审查其是否提供</w:t>
            </w:r>
          </w:p>
        </w:tc>
      </w:tr>
      <w:tr w14:paraId="7E28F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dxa"/>
            <w:noWrap/>
            <w:vAlign w:val="center"/>
          </w:tcPr>
          <w:p w14:paraId="424B5FB6">
            <w:pPr>
              <w:spacing w:line="380" w:lineRule="exact"/>
              <w:rPr>
                <w:rFonts w:hint="eastAsia" w:hAnsi="宋体" w:cs="宋体"/>
                <w:color w:val="auto"/>
                <w:sz w:val="21"/>
                <w:szCs w:val="21"/>
                <w:highlight w:val="none"/>
              </w:rPr>
            </w:pPr>
            <w:r>
              <w:rPr>
                <w:rFonts w:hint="eastAsia" w:hAnsi="宋体" w:cs="宋体"/>
                <w:color w:val="auto"/>
                <w:sz w:val="21"/>
                <w:szCs w:val="21"/>
                <w:highlight w:val="none"/>
              </w:rPr>
              <w:t>具备履行合同所必需的产品和专业技术能力</w:t>
            </w:r>
          </w:p>
        </w:tc>
        <w:tc>
          <w:tcPr>
            <w:tcW w:w="5392" w:type="dxa"/>
            <w:noWrap/>
            <w:vAlign w:val="center"/>
          </w:tcPr>
          <w:p w14:paraId="7F5FB719">
            <w:pPr>
              <w:spacing w:line="380" w:lineRule="exact"/>
              <w:rPr>
                <w:rFonts w:hint="eastAsia" w:hAnsi="宋体" w:cs="宋体"/>
                <w:color w:val="auto"/>
                <w:sz w:val="21"/>
                <w:szCs w:val="21"/>
                <w:highlight w:val="none"/>
              </w:rPr>
            </w:pPr>
            <w:r>
              <w:rPr>
                <w:rFonts w:hint="eastAsia" w:hAnsi="宋体" w:cs="宋体"/>
                <w:color w:val="auto"/>
                <w:sz w:val="21"/>
                <w:szCs w:val="21"/>
                <w:highlight w:val="none"/>
              </w:rPr>
              <w:t>提供投标人具备履行合同所必需的产品和专业技术能力证明材料或书面承诺。</w:t>
            </w:r>
          </w:p>
        </w:tc>
        <w:tc>
          <w:tcPr>
            <w:tcW w:w="2655" w:type="dxa"/>
            <w:noWrap/>
            <w:vAlign w:val="center"/>
          </w:tcPr>
          <w:p w14:paraId="1DB0446E">
            <w:pPr>
              <w:spacing w:line="380" w:lineRule="exact"/>
              <w:rPr>
                <w:rFonts w:hint="eastAsia" w:hAnsi="宋体" w:cs="宋体"/>
                <w:color w:val="auto"/>
                <w:sz w:val="21"/>
                <w:szCs w:val="21"/>
                <w:highlight w:val="none"/>
              </w:rPr>
            </w:pPr>
            <w:r>
              <w:rPr>
                <w:rFonts w:hint="eastAsia" w:hAnsi="宋体" w:cs="宋体"/>
                <w:color w:val="auto"/>
                <w:sz w:val="21"/>
                <w:szCs w:val="21"/>
                <w:highlight w:val="none"/>
              </w:rPr>
              <w:t>审查其是否提供</w:t>
            </w:r>
          </w:p>
        </w:tc>
      </w:tr>
      <w:tr w14:paraId="3D357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dxa"/>
            <w:noWrap/>
            <w:vAlign w:val="center"/>
          </w:tcPr>
          <w:p w14:paraId="7ECEE459">
            <w:pPr>
              <w:spacing w:line="380" w:lineRule="exact"/>
              <w:rPr>
                <w:rFonts w:hint="eastAsia" w:hAnsi="宋体" w:cs="宋体"/>
                <w:color w:val="auto"/>
                <w:sz w:val="21"/>
                <w:szCs w:val="21"/>
                <w:highlight w:val="none"/>
              </w:rPr>
            </w:pPr>
            <w:r>
              <w:rPr>
                <w:rFonts w:hint="eastAsia" w:hAnsi="宋体" w:cs="宋体"/>
                <w:color w:val="auto"/>
                <w:sz w:val="21"/>
                <w:szCs w:val="21"/>
                <w:highlight w:val="none"/>
              </w:rPr>
              <w:t>有依法缴纳税收和社会保障资金的良好记录</w:t>
            </w:r>
          </w:p>
        </w:tc>
        <w:tc>
          <w:tcPr>
            <w:tcW w:w="5392" w:type="dxa"/>
            <w:noWrap/>
            <w:vAlign w:val="center"/>
          </w:tcPr>
          <w:p w14:paraId="70C19061">
            <w:pPr>
              <w:spacing w:line="380" w:lineRule="exact"/>
              <w:rPr>
                <w:rFonts w:hint="eastAsia" w:hAnsi="宋体" w:cs="宋体"/>
                <w:color w:val="auto"/>
                <w:sz w:val="21"/>
                <w:szCs w:val="21"/>
                <w:highlight w:val="none"/>
              </w:rPr>
            </w:pPr>
            <w:r>
              <w:rPr>
                <w:rFonts w:hint="eastAsia" w:hAnsi="宋体" w:cs="宋体"/>
                <w:color w:val="auto"/>
                <w:sz w:val="21"/>
                <w:szCs w:val="21"/>
                <w:highlight w:val="none"/>
              </w:rPr>
              <w:t>提供投标人近一年（2023年07月至今）任意一个月份的依法缴纳税收凭证及社会保险证明材料。</w:t>
            </w:r>
          </w:p>
        </w:tc>
        <w:tc>
          <w:tcPr>
            <w:tcW w:w="2655" w:type="dxa"/>
            <w:noWrap/>
            <w:vAlign w:val="center"/>
          </w:tcPr>
          <w:p w14:paraId="01002285">
            <w:pPr>
              <w:spacing w:line="380" w:lineRule="exact"/>
              <w:rPr>
                <w:rFonts w:hint="eastAsia" w:hAnsi="宋体" w:cs="宋体"/>
                <w:color w:val="auto"/>
                <w:sz w:val="21"/>
                <w:szCs w:val="21"/>
                <w:highlight w:val="none"/>
              </w:rPr>
            </w:pPr>
            <w:r>
              <w:rPr>
                <w:rFonts w:hint="eastAsia" w:hAnsi="宋体" w:cs="宋体"/>
                <w:color w:val="auto"/>
                <w:sz w:val="21"/>
                <w:szCs w:val="21"/>
                <w:highlight w:val="none"/>
              </w:rPr>
              <w:t>审查其是否提供</w:t>
            </w:r>
          </w:p>
        </w:tc>
      </w:tr>
      <w:tr w14:paraId="4B6BE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dxa"/>
            <w:noWrap/>
            <w:vAlign w:val="center"/>
          </w:tcPr>
          <w:p w14:paraId="040074D1">
            <w:pPr>
              <w:spacing w:line="380" w:lineRule="exact"/>
              <w:rPr>
                <w:rFonts w:hint="eastAsia" w:hAnsi="宋体" w:cs="宋体"/>
                <w:color w:val="auto"/>
                <w:sz w:val="21"/>
                <w:szCs w:val="21"/>
                <w:highlight w:val="none"/>
              </w:rPr>
            </w:pPr>
            <w:r>
              <w:rPr>
                <w:rFonts w:hint="eastAsia" w:hAnsi="宋体" w:cs="宋体"/>
                <w:color w:val="auto"/>
                <w:sz w:val="21"/>
                <w:szCs w:val="21"/>
                <w:highlight w:val="none"/>
              </w:rPr>
              <w:t>无重大违法记录声明</w:t>
            </w:r>
          </w:p>
        </w:tc>
        <w:tc>
          <w:tcPr>
            <w:tcW w:w="5392" w:type="dxa"/>
            <w:noWrap/>
            <w:vAlign w:val="center"/>
          </w:tcPr>
          <w:p w14:paraId="67C9B92F">
            <w:pPr>
              <w:spacing w:line="380" w:lineRule="exact"/>
              <w:rPr>
                <w:rFonts w:hint="eastAsia" w:hAnsi="宋体" w:cs="宋体"/>
                <w:color w:val="auto"/>
                <w:sz w:val="21"/>
                <w:szCs w:val="21"/>
                <w:highlight w:val="none"/>
              </w:rPr>
            </w:pPr>
            <w:r>
              <w:rPr>
                <w:rFonts w:hint="eastAsia" w:hAnsi="宋体" w:cs="宋体"/>
                <w:color w:val="auto"/>
                <w:sz w:val="21"/>
                <w:szCs w:val="21"/>
                <w:highlight w:val="none"/>
              </w:rPr>
              <w:t>参加政府采购活动前3年内在经营活动中没有重大违法记录的书面声明</w:t>
            </w:r>
          </w:p>
        </w:tc>
        <w:tc>
          <w:tcPr>
            <w:tcW w:w="2655" w:type="dxa"/>
            <w:noWrap/>
            <w:vAlign w:val="center"/>
          </w:tcPr>
          <w:p w14:paraId="4C1AA0A2">
            <w:pPr>
              <w:spacing w:line="380" w:lineRule="exact"/>
              <w:rPr>
                <w:rFonts w:hint="eastAsia" w:hAnsi="宋体" w:cs="宋体"/>
                <w:color w:val="auto"/>
                <w:sz w:val="21"/>
                <w:szCs w:val="21"/>
                <w:highlight w:val="none"/>
              </w:rPr>
            </w:pPr>
            <w:r>
              <w:rPr>
                <w:rFonts w:hint="eastAsia" w:hAnsi="宋体" w:cs="宋体"/>
                <w:color w:val="auto"/>
                <w:sz w:val="21"/>
                <w:szCs w:val="21"/>
                <w:highlight w:val="none"/>
              </w:rPr>
              <w:t>审查其是否提供</w:t>
            </w:r>
          </w:p>
        </w:tc>
      </w:tr>
      <w:tr w14:paraId="7A354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dxa"/>
            <w:noWrap/>
            <w:vAlign w:val="center"/>
          </w:tcPr>
          <w:p w14:paraId="6C0F1D65">
            <w:pPr>
              <w:spacing w:line="380" w:lineRule="exact"/>
              <w:rPr>
                <w:rFonts w:hint="eastAsia" w:hAnsi="宋体" w:cs="宋体"/>
                <w:color w:val="auto"/>
                <w:sz w:val="21"/>
                <w:szCs w:val="21"/>
                <w:highlight w:val="none"/>
              </w:rPr>
            </w:pPr>
            <w:r>
              <w:rPr>
                <w:rFonts w:hint="eastAsia" w:hAnsi="宋体" w:cs="宋体"/>
                <w:color w:val="auto"/>
                <w:sz w:val="21"/>
                <w:szCs w:val="21"/>
                <w:highlight w:val="none"/>
              </w:rPr>
              <w:t>投标人资质要求</w:t>
            </w:r>
          </w:p>
        </w:tc>
        <w:tc>
          <w:tcPr>
            <w:tcW w:w="5392" w:type="dxa"/>
            <w:noWrap/>
            <w:vAlign w:val="center"/>
          </w:tcPr>
          <w:p w14:paraId="1BB33310">
            <w:pPr>
              <w:spacing w:line="380" w:lineRule="exact"/>
              <w:rPr>
                <w:rFonts w:hint="eastAsia" w:hAnsi="宋体" w:cs="宋体"/>
                <w:color w:val="auto"/>
                <w:sz w:val="21"/>
                <w:szCs w:val="21"/>
                <w:highlight w:val="none"/>
              </w:rPr>
            </w:pPr>
            <w:r>
              <w:rPr>
                <w:rFonts w:hint="eastAsia" w:hAnsi="宋体" w:cs="宋体"/>
                <w:color w:val="auto"/>
                <w:sz w:val="21"/>
                <w:szCs w:val="21"/>
                <w:highlight w:val="none"/>
              </w:rPr>
              <w:t>本项目不允许进行转包和分包，参与本项目的投标人须针对此事宜进行书面承诺。</w:t>
            </w:r>
          </w:p>
        </w:tc>
        <w:tc>
          <w:tcPr>
            <w:tcW w:w="2655" w:type="dxa"/>
            <w:noWrap/>
            <w:vAlign w:val="center"/>
          </w:tcPr>
          <w:p w14:paraId="6B502B93">
            <w:pPr>
              <w:spacing w:line="380" w:lineRule="exact"/>
              <w:rPr>
                <w:rFonts w:hint="eastAsia" w:hAnsi="宋体" w:cs="宋体"/>
                <w:color w:val="auto"/>
                <w:sz w:val="21"/>
                <w:szCs w:val="21"/>
                <w:highlight w:val="none"/>
              </w:rPr>
            </w:pPr>
            <w:r>
              <w:rPr>
                <w:rFonts w:hint="eastAsia" w:hAnsi="宋体" w:cs="宋体"/>
                <w:color w:val="auto"/>
                <w:sz w:val="21"/>
                <w:szCs w:val="21"/>
                <w:highlight w:val="none"/>
              </w:rPr>
              <w:t>审查其是否提供</w:t>
            </w:r>
          </w:p>
        </w:tc>
      </w:tr>
      <w:tr w14:paraId="6A6F9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dxa"/>
            <w:noWrap/>
            <w:vAlign w:val="center"/>
          </w:tcPr>
          <w:p w14:paraId="7300EB38">
            <w:pPr>
              <w:spacing w:line="380" w:lineRule="exact"/>
              <w:rPr>
                <w:rFonts w:hint="eastAsia" w:hAnsi="宋体" w:cs="宋体"/>
                <w:color w:val="auto"/>
                <w:sz w:val="21"/>
                <w:szCs w:val="21"/>
                <w:highlight w:val="none"/>
              </w:rPr>
            </w:pPr>
            <w:r>
              <w:rPr>
                <w:rFonts w:hint="eastAsia" w:hAnsi="宋体" w:cs="宋体"/>
                <w:color w:val="auto"/>
                <w:sz w:val="21"/>
                <w:szCs w:val="21"/>
                <w:highlight w:val="none"/>
              </w:rPr>
              <w:t>信用评价</w:t>
            </w:r>
          </w:p>
        </w:tc>
        <w:tc>
          <w:tcPr>
            <w:tcW w:w="5392" w:type="dxa"/>
            <w:noWrap/>
            <w:vAlign w:val="center"/>
          </w:tcPr>
          <w:p w14:paraId="36594489">
            <w:pPr>
              <w:spacing w:line="380" w:lineRule="exact"/>
              <w:rPr>
                <w:rFonts w:hint="eastAsia" w:hAnsi="宋体" w:cs="宋体"/>
                <w:color w:val="auto"/>
                <w:sz w:val="21"/>
                <w:szCs w:val="21"/>
                <w:highlight w:val="none"/>
              </w:rPr>
            </w:pPr>
            <w:r>
              <w:rPr>
                <w:rFonts w:hint="eastAsia" w:hAnsi="宋体" w:cs="宋体"/>
                <w:color w:val="auto"/>
                <w:sz w:val="21"/>
                <w:szCs w:val="21"/>
                <w:highlight w:val="none"/>
              </w:rPr>
              <w:t>投标人在本项目采购公告发布之日之前未被列入“信用中国”网站“失信被执行人”“重大税收违法失信主体”“政府采购严重违法失信行为记录名单”，未被列入中国政府采购网“政府采购严重违法失信行为信息记录名单”，由采购人及采购代理机构将按照以上条款对参与各投标人的信用信息进行查询，有不良记录的其投标将被拒绝。</w:t>
            </w:r>
          </w:p>
        </w:tc>
        <w:tc>
          <w:tcPr>
            <w:tcW w:w="2655" w:type="dxa"/>
            <w:noWrap/>
            <w:vAlign w:val="center"/>
          </w:tcPr>
          <w:p w14:paraId="5F2DDC1A">
            <w:pPr>
              <w:spacing w:line="380" w:lineRule="exact"/>
              <w:rPr>
                <w:rFonts w:hint="eastAsia" w:hAnsi="宋体" w:cs="宋体"/>
                <w:color w:val="auto"/>
                <w:sz w:val="21"/>
                <w:szCs w:val="21"/>
                <w:highlight w:val="none"/>
              </w:rPr>
            </w:pPr>
            <w:r>
              <w:rPr>
                <w:rFonts w:hint="eastAsia" w:hAnsi="宋体" w:cs="宋体"/>
                <w:color w:val="auto"/>
                <w:sz w:val="21"/>
                <w:szCs w:val="21"/>
                <w:highlight w:val="none"/>
              </w:rPr>
              <w:t>由采购人及采购代理机构将按照以上条款对参与投标的各投标人的信用信息进行查询，有不良记录者其资格审查不通过。</w:t>
            </w:r>
          </w:p>
        </w:tc>
      </w:tr>
      <w:tr w14:paraId="0B931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89" w:type="dxa"/>
            <w:gridSpan w:val="3"/>
            <w:noWrap/>
            <w:vAlign w:val="center"/>
          </w:tcPr>
          <w:p w14:paraId="3DF391B3">
            <w:pPr>
              <w:spacing w:line="380" w:lineRule="exact"/>
              <w:rPr>
                <w:rFonts w:hint="eastAsia" w:hAnsi="宋体" w:cs="宋体"/>
                <w:color w:val="auto"/>
                <w:sz w:val="21"/>
                <w:szCs w:val="21"/>
                <w:highlight w:val="none"/>
              </w:rPr>
            </w:pPr>
            <w:r>
              <w:rPr>
                <w:rFonts w:hint="eastAsia" w:hAnsi="宋体" w:cs="宋体"/>
                <w:color w:val="auto"/>
                <w:sz w:val="21"/>
                <w:szCs w:val="21"/>
                <w:highlight w:val="none"/>
              </w:rPr>
              <w:t>特别提示：1.本表中所列内容均提供彩色扫描件或加盖投标人行政章（公章或电子章）的复印件；</w:t>
            </w:r>
          </w:p>
          <w:p w14:paraId="6A4A2F4E">
            <w:pPr>
              <w:spacing w:line="380" w:lineRule="exact"/>
              <w:ind w:firstLine="1050" w:firstLineChars="500"/>
              <w:rPr>
                <w:rFonts w:hint="eastAsia" w:hAnsi="宋体" w:cs="宋体"/>
                <w:color w:val="auto"/>
                <w:sz w:val="21"/>
                <w:szCs w:val="21"/>
                <w:highlight w:val="none"/>
              </w:rPr>
            </w:pPr>
            <w:r>
              <w:rPr>
                <w:rFonts w:hint="eastAsia" w:hAnsi="宋体" w:cs="宋体"/>
                <w:color w:val="auto"/>
                <w:sz w:val="21"/>
                <w:szCs w:val="21"/>
                <w:highlight w:val="none"/>
              </w:rPr>
              <w:t>2.投标申请须按本表要求提供能充分证明其有资格投标的证明材料；</w:t>
            </w:r>
          </w:p>
          <w:p w14:paraId="55667BAE">
            <w:pPr>
              <w:spacing w:line="380" w:lineRule="exact"/>
              <w:ind w:firstLine="1050" w:firstLineChars="500"/>
              <w:rPr>
                <w:rFonts w:hint="eastAsia" w:hAnsi="宋体" w:cs="宋体"/>
                <w:color w:val="auto"/>
                <w:sz w:val="21"/>
                <w:szCs w:val="21"/>
                <w:highlight w:val="none"/>
              </w:rPr>
            </w:pPr>
            <w:r>
              <w:rPr>
                <w:rFonts w:hint="eastAsia" w:hAnsi="宋体" w:cs="宋体"/>
                <w:color w:val="auto"/>
                <w:sz w:val="21"/>
                <w:szCs w:val="21"/>
                <w:highlight w:val="none"/>
              </w:rPr>
              <w:t>3.投标人须对所提供的全部证明材料的真实性及合法性负全部责任；</w:t>
            </w:r>
          </w:p>
          <w:p w14:paraId="015AD75E">
            <w:pPr>
              <w:spacing w:line="380" w:lineRule="exact"/>
              <w:ind w:firstLine="1050" w:firstLineChars="500"/>
              <w:rPr>
                <w:rFonts w:hint="eastAsia" w:hAnsi="宋体" w:cs="宋体"/>
                <w:color w:val="auto"/>
                <w:sz w:val="21"/>
                <w:szCs w:val="21"/>
                <w:highlight w:val="none"/>
              </w:rPr>
            </w:pPr>
            <w:r>
              <w:rPr>
                <w:rFonts w:hint="eastAsia" w:hAnsi="宋体" w:cs="宋体"/>
                <w:color w:val="auto"/>
                <w:sz w:val="21"/>
                <w:szCs w:val="21"/>
                <w:highlight w:val="none"/>
              </w:rPr>
              <w:t>4.本表所列内容任何一项缺失或不通过，其投标资格将被取消，只有通过资格审查的投标人提交的投标文件才能进入下一阶段（第四章评标办法）的评审。</w:t>
            </w:r>
          </w:p>
        </w:tc>
      </w:tr>
    </w:tbl>
    <w:p w14:paraId="2668B095">
      <w:pPr>
        <w:widowControl/>
        <w:jc w:val="left"/>
        <w:rPr>
          <w:rFonts w:hint="eastAsia" w:hAnsi="宋体"/>
          <w:b/>
          <w:color w:val="auto"/>
          <w:sz w:val="44"/>
          <w:szCs w:val="44"/>
          <w:highlight w:val="none"/>
        </w:rPr>
      </w:pPr>
      <w:r>
        <w:rPr>
          <w:rFonts w:hAnsi="宋体"/>
          <w:bCs/>
          <w:color w:val="auto"/>
          <w:sz w:val="44"/>
          <w:szCs w:val="44"/>
          <w:highlight w:val="none"/>
        </w:rPr>
        <w:br w:type="page"/>
      </w:r>
    </w:p>
    <w:p w14:paraId="3FD5B3DF">
      <w:pPr>
        <w:pStyle w:val="6"/>
        <w:spacing w:line="360" w:lineRule="auto"/>
        <w:jc w:val="center"/>
        <w:rPr>
          <w:rFonts w:hint="eastAsia" w:ascii="宋体" w:hAnsi="宋体" w:eastAsia="宋体"/>
          <w:bCs w:val="0"/>
          <w:color w:val="auto"/>
          <w:sz w:val="44"/>
          <w:szCs w:val="44"/>
          <w:highlight w:val="none"/>
        </w:rPr>
      </w:pPr>
      <w:bookmarkStart w:id="28" w:name="_Toc30045"/>
      <w:r>
        <w:rPr>
          <w:rFonts w:hint="eastAsia" w:ascii="宋体" w:hAnsi="宋体" w:eastAsia="宋体"/>
          <w:bCs w:val="0"/>
          <w:color w:val="auto"/>
          <w:sz w:val="44"/>
          <w:szCs w:val="44"/>
          <w:highlight w:val="none"/>
        </w:rPr>
        <w:t>第四章 评标方法</w:t>
      </w:r>
      <w:bookmarkEnd w:id="28"/>
    </w:p>
    <w:p w14:paraId="2DC79113">
      <w:pPr>
        <w:pStyle w:val="7"/>
        <w:numPr>
          <w:ilvl w:val="0"/>
          <w:numId w:val="0"/>
        </w:numPr>
        <w:spacing w:before="0" w:after="0" w:line="500" w:lineRule="exact"/>
        <w:rPr>
          <w:rFonts w:hint="eastAsia" w:hAnsi="宋体"/>
          <w:color w:val="auto"/>
          <w:highlight w:val="none"/>
        </w:rPr>
      </w:pPr>
      <w:bookmarkStart w:id="29" w:name="_Toc9844"/>
      <w:r>
        <w:rPr>
          <w:rFonts w:hint="eastAsia" w:hAnsi="宋体"/>
          <w:color w:val="auto"/>
          <w:highlight w:val="none"/>
        </w:rPr>
        <w:t>1.评审程序</w:t>
      </w:r>
      <w:bookmarkEnd w:id="29"/>
    </w:p>
    <w:p w14:paraId="44D3076C">
      <w:pPr>
        <w:spacing w:line="500" w:lineRule="exact"/>
        <w:ind w:firstLine="480"/>
        <w:rPr>
          <w:rFonts w:hint="eastAsia" w:hAnsi="宋体"/>
          <w:color w:val="auto"/>
          <w:sz w:val="21"/>
          <w:szCs w:val="21"/>
          <w:highlight w:val="none"/>
        </w:rPr>
      </w:pPr>
      <w:r>
        <w:rPr>
          <w:rFonts w:hint="eastAsia" w:hAnsi="宋体"/>
          <w:color w:val="auto"/>
          <w:sz w:val="21"/>
          <w:szCs w:val="21"/>
          <w:highlight w:val="none"/>
        </w:rPr>
        <w:t>1.1 评标过程将遵循</w:t>
      </w:r>
      <w:r>
        <w:rPr>
          <w:rFonts w:hint="eastAsia"/>
          <w:color w:val="auto"/>
          <w:sz w:val="21"/>
          <w:szCs w:val="21"/>
          <w:highlight w:val="none"/>
        </w:rPr>
        <w:t>“公平、公正、科学、择优、合法、保密”</w:t>
      </w:r>
      <w:r>
        <w:rPr>
          <w:rFonts w:hint="eastAsia" w:hAnsi="宋体"/>
          <w:color w:val="auto"/>
          <w:sz w:val="21"/>
          <w:szCs w:val="21"/>
          <w:highlight w:val="none"/>
        </w:rPr>
        <w:t>的原则进行。</w:t>
      </w:r>
    </w:p>
    <w:p w14:paraId="6A30F62C">
      <w:pPr>
        <w:spacing w:line="500" w:lineRule="exact"/>
        <w:ind w:firstLine="480"/>
        <w:rPr>
          <w:rFonts w:hint="eastAsia" w:hAnsi="宋体"/>
          <w:color w:val="auto"/>
          <w:sz w:val="21"/>
          <w:szCs w:val="21"/>
          <w:highlight w:val="none"/>
        </w:rPr>
      </w:pPr>
      <w:r>
        <w:rPr>
          <w:rFonts w:hint="eastAsia" w:hAnsi="宋体"/>
          <w:color w:val="auto"/>
          <w:sz w:val="21"/>
          <w:szCs w:val="21"/>
          <w:highlight w:val="none"/>
        </w:rPr>
        <w:t>1.2 评标纪律</w:t>
      </w:r>
    </w:p>
    <w:p w14:paraId="28C539A1">
      <w:pPr>
        <w:spacing w:line="500" w:lineRule="exact"/>
        <w:ind w:firstLine="420" w:firstLineChars="200"/>
        <w:rPr>
          <w:rFonts w:hint="eastAsia" w:hAnsi="宋体"/>
          <w:color w:val="auto"/>
          <w:sz w:val="21"/>
          <w:szCs w:val="21"/>
          <w:highlight w:val="none"/>
        </w:rPr>
      </w:pPr>
      <w:r>
        <w:rPr>
          <w:rFonts w:hint="eastAsia" w:hAnsi="宋体"/>
          <w:color w:val="auto"/>
          <w:sz w:val="21"/>
          <w:szCs w:val="21"/>
          <w:highlight w:val="none"/>
        </w:rPr>
        <w:t>（1）对评标内容要严格保密，不得向投标人或与该过程无关的其他人员泄露；</w:t>
      </w:r>
    </w:p>
    <w:p w14:paraId="42A3A243">
      <w:pPr>
        <w:spacing w:line="500" w:lineRule="exact"/>
        <w:ind w:firstLine="420" w:firstLineChars="200"/>
        <w:rPr>
          <w:rFonts w:hint="eastAsia" w:hAnsi="宋体"/>
          <w:color w:val="auto"/>
          <w:sz w:val="21"/>
          <w:szCs w:val="21"/>
          <w:highlight w:val="none"/>
        </w:rPr>
      </w:pPr>
      <w:r>
        <w:rPr>
          <w:rFonts w:hint="eastAsia" w:hAnsi="宋体"/>
          <w:color w:val="auto"/>
          <w:sz w:val="21"/>
          <w:szCs w:val="21"/>
          <w:highlight w:val="none"/>
        </w:rPr>
        <w:t>（2）评标期间的一切资料，包括评标意见、评标记录和评标结论，一律不得向外传和泄露；</w:t>
      </w:r>
    </w:p>
    <w:p w14:paraId="0F44F495">
      <w:pPr>
        <w:spacing w:line="500" w:lineRule="exact"/>
        <w:ind w:firstLine="420" w:firstLineChars="200"/>
        <w:rPr>
          <w:rFonts w:hint="eastAsia" w:hAnsi="宋体"/>
          <w:color w:val="auto"/>
          <w:sz w:val="21"/>
          <w:szCs w:val="21"/>
          <w:highlight w:val="none"/>
        </w:rPr>
      </w:pPr>
      <w:r>
        <w:rPr>
          <w:rFonts w:hint="eastAsia" w:hAnsi="宋体"/>
          <w:color w:val="auto"/>
          <w:sz w:val="21"/>
          <w:szCs w:val="21"/>
          <w:highlight w:val="none"/>
        </w:rPr>
        <w:t>（3）任何属于投标文件审查、澄清、评价和比较的资料，不得向投标人或与该过程无关的其他人员泄露；</w:t>
      </w:r>
    </w:p>
    <w:p w14:paraId="1BEB4A5C">
      <w:pPr>
        <w:spacing w:line="500" w:lineRule="exact"/>
        <w:ind w:firstLine="420" w:firstLineChars="200"/>
        <w:rPr>
          <w:rFonts w:hint="eastAsia" w:hAnsi="宋体"/>
          <w:color w:val="auto"/>
          <w:sz w:val="21"/>
          <w:szCs w:val="21"/>
          <w:highlight w:val="none"/>
        </w:rPr>
      </w:pPr>
      <w:r>
        <w:rPr>
          <w:rFonts w:hint="eastAsia" w:hAnsi="宋体"/>
          <w:color w:val="auto"/>
          <w:sz w:val="21"/>
          <w:szCs w:val="21"/>
          <w:highlight w:val="none"/>
        </w:rPr>
        <w:t>（4）所有资料（包括招标文件、投标文件、评标表格及各种文字记录）在评标结束后均应分别整理、存档备查，任何人不得复制和保留；</w:t>
      </w:r>
    </w:p>
    <w:p w14:paraId="0AB5FC4D">
      <w:pPr>
        <w:spacing w:line="500" w:lineRule="exact"/>
        <w:ind w:firstLine="420" w:firstLineChars="200"/>
        <w:rPr>
          <w:rFonts w:hint="eastAsia" w:hAnsi="宋体"/>
          <w:color w:val="auto"/>
          <w:sz w:val="21"/>
          <w:szCs w:val="21"/>
          <w:highlight w:val="none"/>
        </w:rPr>
      </w:pPr>
      <w:r>
        <w:rPr>
          <w:rFonts w:hint="eastAsia" w:hAnsi="宋体"/>
          <w:color w:val="auto"/>
          <w:sz w:val="21"/>
          <w:szCs w:val="21"/>
          <w:highlight w:val="none"/>
        </w:rPr>
        <w:t>（5）评标期间，评标人员不得外出，确需外出时应事先请假；</w:t>
      </w:r>
    </w:p>
    <w:p w14:paraId="5BFC3B59">
      <w:pPr>
        <w:spacing w:line="500" w:lineRule="exact"/>
        <w:ind w:firstLine="420" w:firstLineChars="200"/>
        <w:rPr>
          <w:rFonts w:hint="eastAsia" w:hAnsi="宋体"/>
          <w:color w:val="auto"/>
          <w:sz w:val="21"/>
          <w:szCs w:val="21"/>
          <w:highlight w:val="none"/>
        </w:rPr>
      </w:pPr>
      <w:r>
        <w:rPr>
          <w:rFonts w:hint="eastAsia" w:hAnsi="宋体"/>
          <w:color w:val="auto"/>
          <w:sz w:val="21"/>
          <w:szCs w:val="21"/>
          <w:highlight w:val="none"/>
        </w:rPr>
        <w:t>（6）评标期间，所有与会人员均不得私自以任何方式和投标人进行联系，需询问、澄清的问题由评委会统一组织办理；</w:t>
      </w:r>
    </w:p>
    <w:p w14:paraId="2A095EF2">
      <w:pPr>
        <w:spacing w:line="500" w:lineRule="exact"/>
        <w:ind w:firstLine="420" w:firstLineChars="200"/>
        <w:rPr>
          <w:rFonts w:hint="eastAsia" w:hAnsi="宋体"/>
          <w:color w:val="auto"/>
          <w:sz w:val="21"/>
          <w:szCs w:val="21"/>
          <w:highlight w:val="none"/>
        </w:rPr>
      </w:pPr>
      <w:r>
        <w:rPr>
          <w:rFonts w:hint="eastAsia" w:hAnsi="宋体"/>
          <w:color w:val="auto"/>
          <w:sz w:val="21"/>
          <w:szCs w:val="21"/>
          <w:highlight w:val="none"/>
        </w:rPr>
        <w:t>（7）评标期间，未经允许评标委员会以外的任何单位或个人不得参加评标和采访评标工作；</w:t>
      </w:r>
    </w:p>
    <w:p w14:paraId="5BDD84A6">
      <w:pPr>
        <w:spacing w:line="500" w:lineRule="exact"/>
        <w:ind w:firstLine="420" w:firstLineChars="200"/>
        <w:rPr>
          <w:rFonts w:hint="eastAsia" w:hAnsi="宋体"/>
          <w:color w:val="auto"/>
          <w:sz w:val="21"/>
          <w:szCs w:val="21"/>
          <w:highlight w:val="none"/>
        </w:rPr>
      </w:pPr>
      <w:r>
        <w:rPr>
          <w:rFonts w:hint="eastAsia" w:hAnsi="宋体"/>
          <w:color w:val="auto"/>
          <w:sz w:val="21"/>
          <w:szCs w:val="21"/>
          <w:highlight w:val="none"/>
        </w:rPr>
        <w:t>（8）评标结束后，与会人员不得向外界透露评标人员的评标意见，如因此造成的后果由责任者承担。</w:t>
      </w:r>
    </w:p>
    <w:p w14:paraId="00CA0094">
      <w:pPr>
        <w:spacing w:line="500" w:lineRule="exact"/>
        <w:ind w:firstLine="480"/>
        <w:rPr>
          <w:rFonts w:hint="eastAsia" w:hAnsi="宋体"/>
          <w:color w:val="auto"/>
          <w:sz w:val="21"/>
          <w:szCs w:val="21"/>
          <w:highlight w:val="none"/>
        </w:rPr>
      </w:pPr>
      <w:r>
        <w:rPr>
          <w:rFonts w:hint="eastAsia" w:hAnsi="宋体"/>
          <w:color w:val="auto"/>
          <w:sz w:val="21"/>
          <w:szCs w:val="21"/>
          <w:highlight w:val="none"/>
        </w:rPr>
        <w:t>1.3评标严格按照招标文件规定的评审因素和标准进行。</w:t>
      </w:r>
    </w:p>
    <w:p w14:paraId="6005BD8F">
      <w:pPr>
        <w:spacing w:line="500" w:lineRule="exact"/>
        <w:ind w:firstLine="480"/>
        <w:rPr>
          <w:rFonts w:hint="eastAsia" w:hAnsi="宋体"/>
          <w:b/>
          <w:color w:val="auto"/>
          <w:sz w:val="21"/>
          <w:szCs w:val="21"/>
          <w:highlight w:val="none"/>
        </w:rPr>
      </w:pPr>
      <w:r>
        <w:rPr>
          <w:rFonts w:hint="eastAsia" w:hAnsi="宋体"/>
          <w:b/>
          <w:color w:val="auto"/>
          <w:sz w:val="21"/>
          <w:szCs w:val="21"/>
          <w:highlight w:val="none"/>
        </w:rPr>
        <w:t>1.4 本次评标采用综合评分法。评标委员会对满足招标文件实质性要求的投标文件按照本章第2.2款规定的评分标准进行打分，并按得分由高到低的顺序推荐中标候选人；得分相同的，按投标报价由低到高顺序排列。得分且投标报价相同的，按技术评分由高到低的顺序推荐中标候选人。</w:t>
      </w:r>
    </w:p>
    <w:p w14:paraId="5E0E0F61">
      <w:pPr>
        <w:spacing w:line="500" w:lineRule="exact"/>
        <w:ind w:firstLine="480"/>
        <w:rPr>
          <w:rFonts w:hint="eastAsia" w:hAnsi="宋体"/>
          <w:b/>
          <w:color w:val="auto"/>
          <w:sz w:val="24"/>
          <w:highlight w:val="none"/>
        </w:rPr>
      </w:pPr>
    </w:p>
    <w:p w14:paraId="171EB74B">
      <w:pPr>
        <w:pStyle w:val="7"/>
        <w:numPr>
          <w:ilvl w:val="0"/>
          <w:numId w:val="0"/>
        </w:numPr>
        <w:spacing w:before="0" w:after="0" w:line="500" w:lineRule="exact"/>
        <w:rPr>
          <w:rFonts w:hint="eastAsia" w:hAnsi="宋体"/>
          <w:color w:val="auto"/>
          <w:highlight w:val="none"/>
        </w:rPr>
      </w:pPr>
      <w:r>
        <w:rPr>
          <w:rFonts w:hAnsi="宋体"/>
          <w:color w:val="auto"/>
          <w:highlight w:val="none"/>
        </w:rPr>
        <w:br w:type="page"/>
      </w:r>
      <w:bookmarkStart w:id="30" w:name="_Toc29046"/>
      <w:bookmarkStart w:id="31" w:name="_Toc446762716"/>
      <w:r>
        <w:rPr>
          <w:rFonts w:hint="eastAsia" w:hAnsi="宋体"/>
          <w:color w:val="auto"/>
          <w:highlight w:val="none"/>
        </w:rPr>
        <w:t>2.评审标准</w:t>
      </w:r>
      <w:bookmarkEnd w:id="30"/>
      <w:bookmarkEnd w:id="31"/>
    </w:p>
    <w:p w14:paraId="7392528C">
      <w:pPr>
        <w:spacing w:line="500" w:lineRule="exact"/>
        <w:ind w:firstLine="480"/>
        <w:rPr>
          <w:rFonts w:hint="eastAsia" w:hAnsi="宋体"/>
          <w:b/>
          <w:color w:val="auto"/>
          <w:sz w:val="24"/>
          <w:highlight w:val="none"/>
        </w:rPr>
      </w:pPr>
      <w:r>
        <w:rPr>
          <w:rFonts w:hint="eastAsia" w:hAnsi="宋体"/>
          <w:b/>
          <w:color w:val="auto"/>
          <w:sz w:val="24"/>
          <w:highlight w:val="none"/>
        </w:rPr>
        <w:t>2.1初步评审标准</w:t>
      </w:r>
    </w:p>
    <w:tbl>
      <w:tblPr>
        <w:tblStyle w:val="39"/>
        <w:tblW w:w="101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8"/>
        <w:gridCol w:w="1188"/>
        <w:gridCol w:w="1863"/>
        <w:gridCol w:w="5945"/>
      </w:tblGrid>
      <w:tr w14:paraId="5DD7B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376" w:type="dxa"/>
            <w:gridSpan w:val="2"/>
          </w:tcPr>
          <w:p w14:paraId="19855512">
            <w:pPr>
              <w:spacing w:line="400" w:lineRule="exact"/>
              <w:jc w:val="center"/>
              <w:rPr>
                <w:rFonts w:hint="eastAsia" w:hAnsi="宋体" w:cs="宋体"/>
                <w:color w:val="auto"/>
                <w:sz w:val="21"/>
                <w:szCs w:val="21"/>
                <w:highlight w:val="none"/>
              </w:rPr>
            </w:pPr>
            <w:r>
              <w:rPr>
                <w:rFonts w:hint="eastAsia" w:hAnsi="宋体" w:cs="宋体"/>
                <w:color w:val="auto"/>
                <w:sz w:val="21"/>
                <w:szCs w:val="21"/>
                <w:highlight w:val="none"/>
              </w:rPr>
              <w:t>条款号</w:t>
            </w:r>
          </w:p>
        </w:tc>
        <w:tc>
          <w:tcPr>
            <w:tcW w:w="1863" w:type="dxa"/>
          </w:tcPr>
          <w:p w14:paraId="76EAC0BE">
            <w:pPr>
              <w:spacing w:line="400" w:lineRule="exact"/>
              <w:rPr>
                <w:rFonts w:hint="eastAsia" w:hAnsi="宋体" w:cs="宋体"/>
                <w:color w:val="auto"/>
                <w:sz w:val="21"/>
                <w:szCs w:val="21"/>
                <w:highlight w:val="none"/>
              </w:rPr>
            </w:pPr>
            <w:r>
              <w:rPr>
                <w:rFonts w:hint="eastAsia" w:hAnsi="宋体" w:cs="宋体"/>
                <w:color w:val="auto"/>
                <w:sz w:val="21"/>
                <w:szCs w:val="21"/>
                <w:highlight w:val="none"/>
              </w:rPr>
              <w:t>评审因素</w:t>
            </w:r>
          </w:p>
        </w:tc>
        <w:tc>
          <w:tcPr>
            <w:tcW w:w="5945" w:type="dxa"/>
          </w:tcPr>
          <w:p w14:paraId="4AEFC9EF">
            <w:pPr>
              <w:spacing w:line="400" w:lineRule="exact"/>
              <w:rPr>
                <w:rFonts w:hint="eastAsia" w:hAnsi="宋体" w:cs="宋体"/>
                <w:color w:val="auto"/>
                <w:sz w:val="21"/>
                <w:szCs w:val="21"/>
                <w:highlight w:val="none"/>
              </w:rPr>
            </w:pPr>
            <w:r>
              <w:rPr>
                <w:rFonts w:hint="eastAsia" w:hAnsi="宋体" w:cs="宋体"/>
                <w:color w:val="auto"/>
                <w:sz w:val="21"/>
                <w:szCs w:val="21"/>
                <w:highlight w:val="none"/>
              </w:rPr>
              <w:t>评审标准</w:t>
            </w:r>
          </w:p>
        </w:tc>
      </w:tr>
      <w:tr w14:paraId="30659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188" w:type="dxa"/>
            <w:vMerge w:val="restart"/>
          </w:tcPr>
          <w:p w14:paraId="5EC42165">
            <w:pPr>
              <w:spacing w:line="400" w:lineRule="exact"/>
              <w:rPr>
                <w:rFonts w:hint="eastAsia" w:hAnsi="宋体" w:cs="宋体"/>
                <w:color w:val="auto"/>
                <w:sz w:val="21"/>
                <w:szCs w:val="21"/>
                <w:highlight w:val="none"/>
              </w:rPr>
            </w:pPr>
            <w:r>
              <w:rPr>
                <w:rFonts w:hint="eastAsia" w:hAnsi="宋体" w:cs="宋体"/>
                <w:color w:val="auto"/>
                <w:sz w:val="21"/>
                <w:szCs w:val="21"/>
                <w:highlight w:val="none"/>
              </w:rPr>
              <w:t xml:space="preserve"> 2.1</w:t>
            </w:r>
          </w:p>
        </w:tc>
        <w:tc>
          <w:tcPr>
            <w:tcW w:w="1188" w:type="dxa"/>
            <w:vMerge w:val="restart"/>
            <w:vAlign w:val="center"/>
          </w:tcPr>
          <w:p w14:paraId="5BFB110A">
            <w:pPr>
              <w:spacing w:line="400" w:lineRule="exact"/>
              <w:jc w:val="center"/>
              <w:rPr>
                <w:rFonts w:hint="eastAsia" w:hAnsi="宋体" w:cs="宋体"/>
                <w:color w:val="auto"/>
                <w:sz w:val="21"/>
                <w:szCs w:val="21"/>
                <w:highlight w:val="none"/>
              </w:rPr>
            </w:pPr>
            <w:r>
              <w:rPr>
                <w:rFonts w:hint="eastAsia" w:hAnsi="宋体" w:cs="宋体"/>
                <w:color w:val="auto"/>
                <w:sz w:val="21"/>
                <w:szCs w:val="21"/>
                <w:highlight w:val="none"/>
              </w:rPr>
              <w:t>符合性评审标准</w:t>
            </w:r>
          </w:p>
        </w:tc>
        <w:tc>
          <w:tcPr>
            <w:tcW w:w="1863" w:type="dxa"/>
            <w:vAlign w:val="center"/>
          </w:tcPr>
          <w:p w14:paraId="6E73BC36">
            <w:pPr>
              <w:spacing w:line="420" w:lineRule="exact"/>
              <w:jc w:val="center"/>
              <w:rPr>
                <w:rFonts w:hint="eastAsia" w:hAnsi="宋体" w:cs="宋体"/>
                <w:color w:val="auto"/>
                <w:kern w:val="2"/>
                <w:sz w:val="21"/>
                <w:szCs w:val="21"/>
                <w:highlight w:val="none"/>
              </w:rPr>
            </w:pPr>
            <w:r>
              <w:rPr>
                <w:rFonts w:hint="eastAsia" w:hAnsi="宋体" w:cs="宋体"/>
                <w:bCs/>
                <w:color w:val="auto"/>
                <w:sz w:val="21"/>
                <w:szCs w:val="21"/>
                <w:highlight w:val="none"/>
              </w:rPr>
              <w:t>签字盖章</w:t>
            </w:r>
          </w:p>
        </w:tc>
        <w:tc>
          <w:tcPr>
            <w:tcW w:w="5945" w:type="dxa"/>
            <w:vAlign w:val="center"/>
          </w:tcPr>
          <w:p w14:paraId="704CCD75">
            <w:pPr>
              <w:spacing w:before="100" w:beforeAutospacing="1" w:after="100" w:afterAutospacing="1" w:line="420" w:lineRule="exact"/>
              <w:rPr>
                <w:rFonts w:hint="eastAsia" w:hAnsi="宋体" w:cs="宋体"/>
                <w:color w:val="auto"/>
                <w:kern w:val="2"/>
                <w:sz w:val="21"/>
                <w:szCs w:val="21"/>
                <w:highlight w:val="none"/>
              </w:rPr>
            </w:pPr>
            <w:r>
              <w:rPr>
                <w:rFonts w:hint="eastAsia" w:hAnsi="宋体" w:cs="宋体"/>
                <w:bCs/>
                <w:color w:val="auto"/>
                <w:sz w:val="21"/>
                <w:szCs w:val="21"/>
                <w:highlight w:val="none"/>
              </w:rPr>
              <w:t>单位盖章、法定代表人（负责人）或法定代表人（负责人）授权的代理人进行签字或盖章，符合招标文件要求的，招标文件未作要求的，不作为评审内容。</w:t>
            </w:r>
          </w:p>
        </w:tc>
      </w:tr>
      <w:tr w14:paraId="5F7CD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188" w:type="dxa"/>
            <w:vMerge w:val="continue"/>
          </w:tcPr>
          <w:p w14:paraId="0208ECFE">
            <w:pPr>
              <w:spacing w:line="400" w:lineRule="exact"/>
              <w:rPr>
                <w:rFonts w:hint="eastAsia" w:hAnsi="宋体" w:cs="宋体"/>
                <w:color w:val="auto"/>
                <w:sz w:val="21"/>
                <w:szCs w:val="21"/>
                <w:highlight w:val="none"/>
              </w:rPr>
            </w:pPr>
          </w:p>
        </w:tc>
        <w:tc>
          <w:tcPr>
            <w:tcW w:w="1188" w:type="dxa"/>
            <w:vMerge w:val="continue"/>
          </w:tcPr>
          <w:p w14:paraId="1843E928">
            <w:pPr>
              <w:spacing w:line="400" w:lineRule="exact"/>
              <w:rPr>
                <w:rFonts w:hint="eastAsia" w:hAnsi="宋体" w:cs="宋体"/>
                <w:color w:val="auto"/>
                <w:sz w:val="21"/>
                <w:szCs w:val="21"/>
                <w:highlight w:val="none"/>
              </w:rPr>
            </w:pPr>
          </w:p>
        </w:tc>
        <w:tc>
          <w:tcPr>
            <w:tcW w:w="1863" w:type="dxa"/>
            <w:vAlign w:val="center"/>
          </w:tcPr>
          <w:p w14:paraId="6A9067F5">
            <w:pPr>
              <w:spacing w:line="420" w:lineRule="exact"/>
              <w:jc w:val="center"/>
              <w:rPr>
                <w:rFonts w:hint="eastAsia" w:hAnsi="宋体" w:cs="宋体"/>
                <w:bCs/>
                <w:color w:val="auto"/>
                <w:sz w:val="21"/>
                <w:szCs w:val="21"/>
                <w:highlight w:val="none"/>
              </w:rPr>
            </w:pPr>
            <w:r>
              <w:rPr>
                <w:rFonts w:hint="eastAsia" w:hAnsi="宋体" w:cs="宋体"/>
                <w:bCs/>
                <w:color w:val="auto"/>
                <w:sz w:val="21"/>
                <w:szCs w:val="21"/>
                <w:highlight w:val="none"/>
              </w:rPr>
              <w:t>投标报价</w:t>
            </w:r>
          </w:p>
        </w:tc>
        <w:tc>
          <w:tcPr>
            <w:tcW w:w="5945" w:type="dxa"/>
          </w:tcPr>
          <w:p w14:paraId="2CEFA60B">
            <w:pPr>
              <w:spacing w:line="420" w:lineRule="exact"/>
              <w:rPr>
                <w:rFonts w:hint="eastAsia" w:hAnsi="宋体" w:cs="宋体"/>
                <w:bCs/>
                <w:color w:val="auto"/>
                <w:sz w:val="21"/>
                <w:szCs w:val="21"/>
                <w:highlight w:val="none"/>
              </w:rPr>
            </w:pPr>
            <w:r>
              <w:rPr>
                <w:rFonts w:hint="eastAsia" w:hAnsi="宋体" w:cs="宋体"/>
                <w:bCs/>
                <w:color w:val="auto"/>
                <w:sz w:val="21"/>
                <w:szCs w:val="21"/>
                <w:highlight w:val="none"/>
              </w:rPr>
              <w:t>投标报价认定为超过预算金额或认定不合理价格的情况，其投标文件将被否决，相关要求如下：</w:t>
            </w:r>
          </w:p>
          <w:p w14:paraId="53FE56C7">
            <w:pPr>
              <w:spacing w:line="420" w:lineRule="exact"/>
              <w:rPr>
                <w:rFonts w:hint="eastAsia" w:hAnsi="宋体" w:cs="宋体"/>
                <w:bCs/>
                <w:color w:val="auto"/>
                <w:sz w:val="21"/>
                <w:szCs w:val="21"/>
                <w:highlight w:val="none"/>
              </w:rPr>
            </w:pPr>
            <w:r>
              <w:rPr>
                <w:rFonts w:hint="eastAsia" w:hAnsi="宋体" w:cs="宋体"/>
                <w:bCs/>
                <w:color w:val="auto"/>
                <w:sz w:val="21"/>
                <w:szCs w:val="21"/>
                <w:highlight w:val="none"/>
              </w:rPr>
              <w:t>1.投标人出现不按要求填报投标报价的，或投标报价超过预算金额的，其投标文件将被否决。</w:t>
            </w:r>
          </w:p>
          <w:p w14:paraId="09052D66">
            <w:pPr>
              <w:spacing w:line="420" w:lineRule="exact"/>
              <w:rPr>
                <w:rFonts w:hint="eastAsia" w:hAnsi="宋体" w:cs="宋体"/>
                <w:bCs/>
                <w:color w:val="auto"/>
                <w:sz w:val="21"/>
                <w:szCs w:val="21"/>
                <w:highlight w:val="none"/>
              </w:rPr>
            </w:pPr>
            <w:r>
              <w:rPr>
                <w:rFonts w:hint="eastAsia" w:hAnsi="宋体" w:cs="宋体"/>
                <w:bCs/>
                <w:color w:val="auto"/>
                <w:sz w:val="21"/>
                <w:szCs w:val="21"/>
                <w:highlight w:val="none"/>
              </w:rPr>
              <w:t>2.评标委员会认为投标人的投标报价明显低于其他通过符合性审查投标人的报价，有可能影响产品、服务质量或者不能诚信履约的，且投标人不能在合理的时间内提供书面说明或证明材料或相应材料不能证明其报价合理性的，其投标文件将被否决。</w:t>
            </w:r>
          </w:p>
          <w:p w14:paraId="73A760CD">
            <w:pPr>
              <w:spacing w:line="420" w:lineRule="exact"/>
              <w:rPr>
                <w:rFonts w:hint="eastAsia" w:hAnsi="宋体" w:cs="宋体"/>
                <w:bCs/>
                <w:color w:val="auto"/>
                <w:sz w:val="21"/>
                <w:szCs w:val="21"/>
                <w:highlight w:val="none"/>
              </w:rPr>
            </w:pPr>
            <w:r>
              <w:rPr>
                <w:rFonts w:hint="eastAsia" w:hAnsi="宋体" w:cs="宋体"/>
                <w:bCs/>
                <w:color w:val="auto"/>
                <w:sz w:val="21"/>
                <w:szCs w:val="21"/>
                <w:highlight w:val="none"/>
              </w:rPr>
              <w:t>3.投标人没有递交两份或多份内容不同的投标文件；或没有在一份投标文件中对同一采购项目报有两个，或多个报价，且未声明哪一个为最终报价的，评标委员会依法要求投标人进行澄清，但澄清内容评标委员会不予认可的，其投标文件将被否决。</w:t>
            </w:r>
          </w:p>
        </w:tc>
      </w:tr>
      <w:tr w14:paraId="354E4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188" w:type="dxa"/>
            <w:vMerge w:val="continue"/>
          </w:tcPr>
          <w:p w14:paraId="245BDF20">
            <w:pPr>
              <w:spacing w:line="400" w:lineRule="exact"/>
              <w:rPr>
                <w:rFonts w:hint="eastAsia" w:hAnsi="宋体" w:cs="宋体"/>
                <w:color w:val="auto"/>
                <w:sz w:val="21"/>
                <w:szCs w:val="21"/>
                <w:highlight w:val="none"/>
              </w:rPr>
            </w:pPr>
          </w:p>
        </w:tc>
        <w:tc>
          <w:tcPr>
            <w:tcW w:w="1188" w:type="dxa"/>
            <w:vMerge w:val="continue"/>
          </w:tcPr>
          <w:p w14:paraId="648C3D08">
            <w:pPr>
              <w:spacing w:line="400" w:lineRule="exact"/>
              <w:rPr>
                <w:rFonts w:hint="eastAsia" w:hAnsi="宋体" w:cs="宋体"/>
                <w:color w:val="auto"/>
                <w:sz w:val="21"/>
                <w:szCs w:val="21"/>
                <w:highlight w:val="none"/>
              </w:rPr>
            </w:pPr>
          </w:p>
        </w:tc>
        <w:tc>
          <w:tcPr>
            <w:tcW w:w="1863" w:type="dxa"/>
            <w:vAlign w:val="center"/>
          </w:tcPr>
          <w:p w14:paraId="065C11C9">
            <w:pPr>
              <w:spacing w:before="100" w:beforeAutospacing="1" w:after="100" w:afterAutospacing="1" w:line="420" w:lineRule="exact"/>
              <w:jc w:val="center"/>
              <w:rPr>
                <w:rFonts w:hint="eastAsia" w:hAnsi="宋体" w:cs="宋体"/>
                <w:bCs/>
                <w:color w:val="auto"/>
                <w:sz w:val="21"/>
                <w:szCs w:val="21"/>
                <w:highlight w:val="none"/>
              </w:rPr>
            </w:pPr>
            <w:r>
              <w:rPr>
                <w:rFonts w:hint="eastAsia" w:hAnsi="宋体" w:cs="宋体"/>
                <w:color w:val="auto"/>
                <w:sz w:val="21"/>
                <w:szCs w:val="21"/>
                <w:highlight w:val="none"/>
              </w:rPr>
              <w:t>投标有效期</w:t>
            </w:r>
          </w:p>
        </w:tc>
        <w:tc>
          <w:tcPr>
            <w:tcW w:w="5945" w:type="dxa"/>
            <w:vAlign w:val="center"/>
          </w:tcPr>
          <w:p w14:paraId="360E1534">
            <w:pPr>
              <w:spacing w:before="100" w:beforeAutospacing="1" w:after="100" w:afterAutospacing="1" w:line="420" w:lineRule="exact"/>
              <w:rPr>
                <w:rFonts w:hint="eastAsia" w:hAnsi="宋体" w:cs="宋体"/>
                <w:bCs/>
                <w:color w:val="auto"/>
                <w:sz w:val="21"/>
                <w:szCs w:val="21"/>
                <w:highlight w:val="none"/>
              </w:rPr>
            </w:pPr>
            <w:r>
              <w:rPr>
                <w:rFonts w:hint="eastAsia" w:hAnsi="宋体" w:cs="宋体"/>
                <w:color w:val="auto"/>
                <w:sz w:val="21"/>
                <w:szCs w:val="21"/>
                <w:highlight w:val="none"/>
              </w:rPr>
              <w:t>投标有效期满足招标文件要求的；</w:t>
            </w:r>
          </w:p>
        </w:tc>
      </w:tr>
      <w:tr w14:paraId="50F66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188" w:type="dxa"/>
            <w:vMerge w:val="continue"/>
          </w:tcPr>
          <w:p w14:paraId="22A0D1E6">
            <w:pPr>
              <w:spacing w:line="400" w:lineRule="exact"/>
              <w:rPr>
                <w:rFonts w:hint="eastAsia" w:hAnsi="宋体" w:cs="宋体"/>
                <w:color w:val="auto"/>
                <w:sz w:val="21"/>
                <w:szCs w:val="21"/>
                <w:highlight w:val="none"/>
              </w:rPr>
            </w:pPr>
          </w:p>
        </w:tc>
        <w:tc>
          <w:tcPr>
            <w:tcW w:w="1188" w:type="dxa"/>
            <w:vMerge w:val="continue"/>
          </w:tcPr>
          <w:p w14:paraId="6F0CEE6B">
            <w:pPr>
              <w:spacing w:line="400" w:lineRule="exact"/>
              <w:rPr>
                <w:rFonts w:hint="eastAsia" w:hAnsi="宋体" w:cs="宋体"/>
                <w:color w:val="auto"/>
                <w:sz w:val="21"/>
                <w:szCs w:val="21"/>
                <w:highlight w:val="none"/>
              </w:rPr>
            </w:pPr>
          </w:p>
        </w:tc>
        <w:tc>
          <w:tcPr>
            <w:tcW w:w="1863" w:type="dxa"/>
            <w:vAlign w:val="center"/>
          </w:tcPr>
          <w:p w14:paraId="6E66107A">
            <w:pPr>
              <w:spacing w:before="100" w:beforeAutospacing="1" w:after="100" w:afterAutospacing="1" w:line="420" w:lineRule="exact"/>
              <w:jc w:val="center"/>
              <w:rPr>
                <w:rFonts w:hint="eastAsia" w:hAnsi="宋体" w:cs="宋体"/>
                <w:bCs/>
                <w:color w:val="auto"/>
                <w:sz w:val="21"/>
                <w:szCs w:val="21"/>
                <w:highlight w:val="none"/>
              </w:rPr>
            </w:pPr>
            <w:r>
              <w:rPr>
                <w:rFonts w:hint="eastAsia" w:hAnsi="宋体" w:cs="宋体"/>
                <w:color w:val="auto"/>
                <w:sz w:val="21"/>
                <w:szCs w:val="21"/>
                <w:highlight w:val="none"/>
              </w:rPr>
              <w:t>投标保证金</w:t>
            </w:r>
          </w:p>
        </w:tc>
        <w:tc>
          <w:tcPr>
            <w:tcW w:w="5945" w:type="dxa"/>
            <w:vAlign w:val="center"/>
          </w:tcPr>
          <w:p w14:paraId="60844468">
            <w:pPr>
              <w:spacing w:before="100" w:beforeAutospacing="1" w:after="100" w:afterAutospacing="1" w:line="420" w:lineRule="exact"/>
              <w:rPr>
                <w:rFonts w:hint="eastAsia" w:hAnsi="宋体" w:cs="宋体"/>
                <w:bCs/>
                <w:color w:val="auto"/>
                <w:sz w:val="21"/>
                <w:szCs w:val="21"/>
                <w:highlight w:val="none"/>
              </w:rPr>
            </w:pPr>
            <w:r>
              <w:rPr>
                <w:rFonts w:hint="eastAsia" w:hAnsi="宋体" w:cs="宋体"/>
                <w:color w:val="auto"/>
                <w:sz w:val="21"/>
                <w:szCs w:val="21"/>
                <w:highlight w:val="none"/>
              </w:rPr>
              <w:t>按招标文件要求提交足额的投标保证金；</w:t>
            </w:r>
          </w:p>
        </w:tc>
      </w:tr>
      <w:tr w14:paraId="0F3E1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188" w:type="dxa"/>
            <w:vMerge w:val="continue"/>
          </w:tcPr>
          <w:p w14:paraId="67F965D5">
            <w:pPr>
              <w:spacing w:line="400" w:lineRule="exact"/>
              <w:rPr>
                <w:rFonts w:hint="eastAsia" w:hAnsi="宋体" w:cs="宋体"/>
                <w:color w:val="auto"/>
                <w:sz w:val="21"/>
                <w:szCs w:val="21"/>
                <w:highlight w:val="none"/>
              </w:rPr>
            </w:pPr>
          </w:p>
        </w:tc>
        <w:tc>
          <w:tcPr>
            <w:tcW w:w="1188" w:type="dxa"/>
            <w:vMerge w:val="continue"/>
          </w:tcPr>
          <w:p w14:paraId="223EEBBB">
            <w:pPr>
              <w:spacing w:line="400" w:lineRule="exact"/>
              <w:rPr>
                <w:rFonts w:hint="eastAsia" w:hAnsi="宋体" w:cs="宋体"/>
                <w:color w:val="auto"/>
                <w:sz w:val="21"/>
                <w:szCs w:val="21"/>
                <w:highlight w:val="none"/>
              </w:rPr>
            </w:pPr>
          </w:p>
        </w:tc>
        <w:tc>
          <w:tcPr>
            <w:tcW w:w="1863" w:type="dxa"/>
            <w:vAlign w:val="center"/>
          </w:tcPr>
          <w:p w14:paraId="12BF34C1">
            <w:pPr>
              <w:spacing w:line="420" w:lineRule="exact"/>
              <w:jc w:val="center"/>
              <w:rPr>
                <w:rFonts w:hint="eastAsia" w:hAnsi="宋体" w:cs="宋体"/>
                <w:color w:val="auto"/>
                <w:kern w:val="2"/>
                <w:sz w:val="21"/>
                <w:szCs w:val="21"/>
                <w:highlight w:val="none"/>
              </w:rPr>
            </w:pPr>
            <w:r>
              <w:rPr>
                <w:rFonts w:hint="eastAsia" w:hAnsi="宋体" w:cs="宋体"/>
                <w:bCs/>
                <w:color w:val="auto"/>
                <w:sz w:val="21"/>
                <w:szCs w:val="21"/>
                <w:highlight w:val="none"/>
              </w:rPr>
              <w:t>澄清说明</w:t>
            </w:r>
          </w:p>
        </w:tc>
        <w:tc>
          <w:tcPr>
            <w:tcW w:w="5945" w:type="dxa"/>
          </w:tcPr>
          <w:p w14:paraId="22E2F03B">
            <w:pPr>
              <w:pStyle w:val="109"/>
              <w:spacing w:line="420" w:lineRule="exact"/>
              <w:ind w:firstLine="0"/>
              <w:rPr>
                <w:rFonts w:hint="eastAsia" w:hAnsi="宋体" w:cs="宋体"/>
                <w:color w:val="auto"/>
                <w:kern w:val="2"/>
                <w:sz w:val="21"/>
                <w:szCs w:val="21"/>
                <w:highlight w:val="none"/>
              </w:rPr>
            </w:pPr>
            <w:r>
              <w:rPr>
                <w:rFonts w:hint="eastAsia" w:ascii="宋体" w:hAnsi="宋体" w:cs="宋体"/>
                <w:color w:val="auto"/>
                <w:sz w:val="21"/>
                <w:szCs w:val="21"/>
                <w:highlight w:val="none"/>
              </w:rPr>
              <w:t>投标人按照要求对投标文件进行澄清、说明或者补正的（如有澄清事项，评标委员会须对本项目进行审查，若无澄清事项的则认定为符合招标文件要求）；</w:t>
            </w:r>
          </w:p>
        </w:tc>
      </w:tr>
      <w:tr w14:paraId="50072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188" w:type="dxa"/>
            <w:vMerge w:val="continue"/>
          </w:tcPr>
          <w:p w14:paraId="7F53716A">
            <w:pPr>
              <w:spacing w:line="400" w:lineRule="exact"/>
              <w:rPr>
                <w:rFonts w:hint="eastAsia" w:hAnsi="宋体" w:cs="宋体"/>
                <w:color w:val="auto"/>
                <w:sz w:val="21"/>
                <w:szCs w:val="21"/>
                <w:highlight w:val="none"/>
              </w:rPr>
            </w:pPr>
          </w:p>
        </w:tc>
        <w:tc>
          <w:tcPr>
            <w:tcW w:w="1188" w:type="dxa"/>
            <w:vMerge w:val="continue"/>
          </w:tcPr>
          <w:p w14:paraId="56A47147">
            <w:pPr>
              <w:spacing w:line="400" w:lineRule="exact"/>
              <w:rPr>
                <w:rFonts w:hint="eastAsia" w:hAnsi="宋体" w:cs="宋体"/>
                <w:color w:val="auto"/>
                <w:sz w:val="21"/>
                <w:szCs w:val="21"/>
                <w:highlight w:val="none"/>
              </w:rPr>
            </w:pPr>
          </w:p>
        </w:tc>
        <w:tc>
          <w:tcPr>
            <w:tcW w:w="1863" w:type="dxa"/>
            <w:vAlign w:val="center"/>
          </w:tcPr>
          <w:p w14:paraId="1096C931">
            <w:pPr>
              <w:spacing w:before="100" w:beforeAutospacing="1" w:after="100" w:afterAutospacing="1" w:line="400" w:lineRule="exact"/>
              <w:jc w:val="center"/>
              <w:rPr>
                <w:rFonts w:hint="eastAsia" w:hAnsi="宋体" w:cs="宋体"/>
                <w:bCs/>
                <w:color w:val="auto"/>
                <w:sz w:val="21"/>
                <w:szCs w:val="21"/>
                <w:highlight w:val="none"/>
              </w:rPr>
            </w:pPr>
            <w:r>
              <w:rPr>
                <w:rFonts w:hint="eastAsia" w:hAnsi="宋体" w:cs="宋体"/>
                <w:color w:val="auto"/>
                <w:sz w:val="21"/>
                <w:szCs w:val="21"/>
                <w:highlight w:val="none"/>
              </w:rPr>
              <w:t>实质性响应</w:t>
            </w:r>
          </w:p>
        </w:tc>
        <w:tc>
          <w:tcPr>
            <w:tcW w:w="5945" w:type="dxa"/>
            <w:vAlign w:val="center"/>
          </w:tcPr>
          <w:p w14:paraId="2C9FD498">
            <w:pPr>
              <w:spacing w:line="400" w:lineRule="exact"/>
              <w:rPr>
                <w:rFonts w:hint="eastAsia" w:hAnsi="宋体" w:cs="宋体"/>
                <w:bCs/>
                <w:color w:val="auto"/>
                <w:sz w:val="21"/>
                <w:szCs w:val="21"/>
                <w:highlight w:val="none"/>
              </w:rPr>
            </w:pPr>
            <w:r>
              <w:rPr>
                <w:rFonts w:hint="eastAsia" w:hAnsi="宋体" w:cs="宋体"/>
                <w:color w:val="auto"/>
                <w:sz w:val="21"/>
                <w:szCs w:val="21"/>
                <w:highlight w:val="none"/>
              </w:rPr>
              <w:t>投标人对招标文件作出实质性响应的，实质性要求详见招标文件“投标人须知前附表：9条”。</w:t>
            </w:r>
          </w:p>
        </w:tc>
      </w:tr>
      <w:tr w14:paraId="0FC83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188" w:type="dxa"/>
            <w:vMerge w:val="continue"/>
          </w:tcPr>
          <w:p w14:paraId="5CA42330">
            <w:pPr>
              <w:spacing w:line="400" w:lineRule="exact"/>
              <w:rPr>
                <w:rFonts w:hint="eastAsia" w:hAnsi="宋体" w:cs="宋体"/>
                <w:color w:val="auto"/>
                <w:sz w:val="21"/>
                <w:szCs w:val="21"/>
                <w:highlight w:val="none"/>
              </w:rPr>
            </w:pPr>
          </w:p>
        </w:tc>
        <w:tc>
          <w:tcPr>
            <w:tcW w:w="1188" w:type="dxa"/>
            <w:vMerge w:val="continue"/>
          </w:tcPr>
          <w:p w14:paraId="1B2F7367">
            <w:pPr>
              <w:spacing w:line="400" w:lineRule="exact"/>
              <w:rPr>
                <w:rFonts w:hint="eastAsia" w:hAnsi="宋体" w:cs="宋体"/>
                <w:color w:val="auto"/>
                <w:sz w:val="21"/>
                <w:szCs w:val="21"/>
                <w:highlight w:val="none"/>
              </w:rPr>
            </w:pPr>
          </w:p>
        </w:tc>
        <w:tc>
          <w:tcPr>
            <w:tcW w:w="1863" w:type="dxa"/>
            <w:vAlign w:val="center"/>
          </w:tcPr>
          <w:p w14:paraId="43179232">
            <w:pPr>
              <w:spacing w:line="400" w:lineRule="exact"/>
              <w:jc w:val="center"/>
              <w:rPr>
                <w:rFonts w:hint="eastAsia" w:hAnsi="宋体" w:cs="宋体"/>
                <w:color w:val="auto"/>
                <w:kern w:val="2"/>
                <w:sz w:val="21"/>
                <w:szCs w:val="21"/>
                <w:highlight w:val="none"/>
              </w:rPr>
            </w:pPr>
            <w:r>
              <w:rPr>
                <w:rFonts w:hint="eastAsia" w:hAnsi="宋体" w:cs="宋体"/>
                <w:bCs/>
                <w:color w:val="auto"/>
                <w:sz w:val="21"/>
                <w:szCs w:val="21"/>
                <w:highlight w:val="none"/>
              </w:rPr>
              <w:t>其他要求</w:t>
            </w:r>
          </w:p>
        </w:tc>
        <w:tc>
          <w:tcPr>
            <w:tcW w:w="5945" w:type="dxa"/>
            <w:vAlign w:val="center"/>
          </w:tcPr>
          <w:p w14:paraId="12A34CCB">
            <w:pPr>
              <w:spacing w:line="400" w:lineRule="exact"/>
              <w:rPr>
                <w:rFonts w:hint="eastAsia" w:hAnsi="宋体" w:cs="宋体"/>
                <w:bCs/>
                <w:color w:val="auto"/>
                <w:sz w:val="21"/>
                <w:szCs w:val="21"/>
                <w:highlight w:val="none"/>
              </w:rPr>
            </w:pPr>
            <w:r>
              <w:rPr>
                <w:rFonts w:hint="eastAsia" w:hAnsi="宋体" w:cs="宋体"/>
                <w:bCs/>
                <w:color w:val="auto"/>
                <w:sz w:val="21"/>
                <w:szCs w:val="21"/>
                <w:highlight w:val="none"/>
              </w:rPr>
              <w:t>1.投标文件没有采购人不能接受的条件；</w:t>
            </w:r>
          </w:p>
          <w:p w14:paraId="0B4A0709">
            <w:pPr>
              <w:spacing w:line="400" w:lineRule="exact"/>
              <w:rPr>
                <w:rFonts w:hint="eastAsia" w:hAnsi="宋体" w:cs="宋体"/>
                <w:color w:val="auto"/>
                <w:kern w:val="2"/>
                <w:sz w:val="21"/>
                <w:szCs w:val="21"/>
                <w:highlight w:val="none"/>
              </w:rPr>
            </w:pPr>
            <w:r>
              <w:rPr>
                <w:rFonts w:hint="eastAsia" w:hAnsi="宋体" w:cs="宋体"/>
                <w:bCs/>
                <w:color w:val="auto"/>
                <w:sz w:val="21"/>
                <w:szCs w:val="21"/>
                <w:highlight w:val="none"/>
              </w:rPr>
              <w:t>2.不符合法律法规和招标文件中规定的其他要求的。</w:t>
            </w:r>
          </w:p>
        </w:tc>
      </w:tr>
    </w:tbl>
    <w:p w14:paraId="148DD0E4">
      <w:pPr>
        <w:spacing w:line="480" w:lineRule="exact"/>
        <w:ind w:firstLine="480"/>
        <w:rPr>
          <w:rFonts w:hint="eastAsia" w:hAnsi="宋体"/>
          <w:b/>
          <w:color w:val="auto"/>
          <w:sz w:val="24"/>
          <w:highlight w:val="none"/>
        </w:rPr>
      </w:pPr>
      <w:r>
        <w:rPr>
          <w:rFonts w:hAnsi="宋体"/>
          <w:color w:val="auto"/>
          <w:sz w:val="24"/>
          <w:highlight w:val="none"/>
        </w:rPr>
        <w:br w:type="page"/>
      </w:r>
      <w:r>
        <w:rPr>
          <w:rFonts w:hint="eastAsia" w:hAnsi="宋体"/>
          <w:b/>
          <w:color w:val="auto"/>
          <w:sz w:val="24"/>
          <w:highlight w:val="none"/>
        </w:rPr>
        <w:t>2.2分值构成及详细评分因素与标准</w:t>
      </w:r>
    </w:p>
    <w:tbl>
      <w:tblPr>
        <w:tblStyle w:val="39"/>
        <w:tblW w:w="9920"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1"/>
        <w:gridCol w:w="894"/>
        <w:gridCol w:w="1250"/>
        <w:gridCol w:w="7035"/>
      </w:tblGrid>
      <w:tr w14:paraId="15D44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1635" w:type="dxa"/>
            <w:gridSpan w:val="2"/>
          </w:tcPr>
          <w:p w14:paraId="1F2AA1E9">
            <w:pPr>
              <w:spacing w:line="400" w:lineRule="exact"/>
              <w:jc w:val="center"/>
              <w:rPr>
                <w:rFonts w:hint="eastAsia" w:hAnsi="宋体" w:cs="宋体"/>
                <w:color w:val="auto"/>
                <w:sz w:val="21"/>
                <w:szCs w:val="21"/>
                <w:highlight w:val="none"/>
              </w:rPr>
            </w:pPr>
            <w:r>
              <w:rPr>
                <w:rFonts w:hint="eastAsia" w:hAnsi="宋体" w:cs="宋体"/>
                <w:color w:val="auto"/>
                <w:sz w:val="21"/>
                <w:szCs w:val="21"/>
                <w:highlight w:val="none"/>
              </w:rPr>
              <w:t>条款号</w:t>
            </w:r>
          </w:p>
        </w:tc>
        <w:tc>
          <w:tcPr>
            <w:tcW w:w="1250" w:type="dxa"/>
          </w:tcPr>
          <w:p w14:paraId="6C6D42E3">
            <w:pPr>
              <w:spacing w:line="400" w:lineRule="exact"/>
              <w:jc w:val="center"/>
              <w:rPr>
                <w:rFonts w:hint="eastAsia" w:hAnsi="宋体" w:cs="宋体"/>
                <w:color w:val="auto"/>
                <w:sz w:val="21"/>
                <w:szCs w:val="21"/>
                <w:highlight w:val="none"/>
              </w:rPr>
            </w:pPr>
            <w:r>
              <w:rPr>
                <w:rFonts w:hint="eastAsia" w:hAnsi="宋体" w:cs="宋体"/>
                <w:color w:val="auto"/>
                <w:sz w:val="21"/>
                <w:szCs w:val="21"/>
                <w:highlight w:val="none"/>
              </w:rPr>
              <w:t>评审因素</w:t>
            </w:r>
          </w:p>
        </w:tc>
        <w:tc>
          <w:tcPr>
            <w:tcW w:w="7035" w:type="dxa"/>
          </w:tcPr>
          <w:p w14:paraId="49AADF49">
            <w:pPr>
              <w:spacing w:line="400" w:lineRule="exact"/>
              <w:jc w:val="center"/>
              <w:rPr>
                <w:rFonts w:hint="eastAsia" w:hAnsi="宋体" w:cs="宋体"/>
                <w:b/>
                <w:color w:val="auto"/>
                <w:sz w:val="21"/>
                <w:szCs w:val="21"/>
                <w:highlight w:val="none"/>
              </w:rPr>
            </w:pPr>
            <w:r>
              <w:rPr>
                <w:rFonts w:hint="eastAsia" w:hAnsi="宋体" w:cs="宋体"/>
                <w:color w:val="auto"/>
                <w:sz w:val="21"/>
                <w:szCs w:val="21"/>
                <w:highlight w:val="none"/>
              </w:rPr>
              <w:t>评审标准</w:t>
            </w:r>
          </w:p>
        </w:tc>
      </w:tr>
      <w:tr w14:paraId="2E147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restart"/>
            <w:vAlign w:val="center"/>
          </w:tcPr>
          <w:p w14:paraId="6881E08D">
            <w:pPr>
              <w:spacing w:line="400" w:lineRule="exact"/>
              <w:rPr>
                <w:rFonts w:hint="eastAsia" w:hAnsi="宋体" w:cs="宋体"/>
                <w:color w:val="auto"/>
                <w:sz w:val="21"/>
                <w:szCs w:val="21"/>
                <w:highlight w:val="none"/>
              </w:rPr>
            </w:pPr>
            <w:r>
              <w:rPr>
                <w:rFonts w:hint="eastAsia" w:hAnsi="宋体" w:cs="宋体"/>
                <w:color w:val="auto"/>
                <w:sz w:val="21"/>
                <w:szCs w:val="21"/>
                <w:highlight w:val="none"/>
              </w:rPr>
              <w:t>2.2</w:t>
            </w:r>
          </w:p>
        </w:tc>
        <w:tc>
          <w:tcPr>
            <w:tcW w:w="894" w:type="dxa"/>
            <w:vMerge w:val="restart"/>
            <w:vAlign w:val="center"/>
          </w:tcPr>
          <w:p w14:paraId="782391A8">
            <w:pPr>
              <w:spacing w:line="400" w:lineRule="exact"/>
              <w:jc w:val="center"/>
              <w:rPr>
                <w:rFonts w:hint="eastAsia" w:hAnsi="宋体" w:cs="宋体"/>
                <w:color w:val="auto"/>
                <w:sz w:val="21"/>
                <w:szCs w:val="21"/>
                <w:highlight w:val="none"/>
              </w:rPr>
            </w:pPr>
            <w:r>
              <w:rPr>
                <w:rFonts w:hint="eastAsia" w:hAnsi="宋体" w:cs="宋体"/>
                <w:color w:val="auto"/>
                <w:sz w:val="21"/>
                <w:szCs w:val="21"/>
                <w:highlight w:val="none"/>
              </w:rPr>
              <w:t>详细评审标准</w:t>
            </w:r>
          </w:p>
        </w:tc>
        <w:tc>
          <w:tcPr>
            <w:tcW w:w="1250" w:type="dxa"/>
            <w:vMerge w:val="restart"/>
            <w:vAlign w:val="center"/>
          </w:tcPr>
          <w:p w14:paraId="28CA92BC">
            <w:pPr>
              <w:spacing w:line="400" w:lineRule="exact"/>
              <w:jc w:val="center"/>
              <w:rPr>
                <w:rFonts w:hint="eastAsia" w:hAnsi="宋体" w:cs="宋体"/>
                <w:color w:val="auto"/>
                <w:sz w:val="21"/>
                <w:szCs w:val="21"/>
                <w:highlight w:val="none"/>
              </w:rPr>
            </w:pPr>
            <w:r>
              <w:rPr>
                <w:rFonts w:hint="eastAsia" w:hAnsi="宋体" w:cs="宋体"/>
                <w:color w:val="auto"/>
                <w:sz w:val="21"/>
                <w:szCs w:val="21"/>
                <w:highlight w:val="none"/>
              </w:rPr>
              <w:t>1）综合技术实力部分得分F1</w:t>
            </w:r>
          </w:p>
          <w:p w14:paraId="078EB1B4">
            <w:pPr>
              <w:spacing w:line="400" w:lineRule="exact"/>
              <w:jc w:val="center"/>
              <w:rPr>
                <w:rFonts w:hint="eastAsia" w:hAnsi="宋体" w:cs="宋体"/>
                <w:color w:val="auto"/>
                <w:sz w:val="21"/>
                <w:szCs w:val="21"/>
                <w:highlight w:val="none"/>
              </w:rPr>
            </w:pPr>
            <w:r>
              <w:rPr>
                <w:rFonts w:hint="eastAsia" w:hAnsi="宋体" w:cs="宋体"/>
                <w:color w:val="auto"/>
                <w:sz w:val="21"/>
                <w:szCs w:val="21"/>
                <w:highlight w:val="none"/>
              </w:rPr>
              <w:t>（满分90分）</w:t>
            </w:r>
          </w:p>
        </w:tc>
        <w:tc>
          <w:tcPr>
            <w:tcW w:w="7035" w:type="dxa"/>
            <w:vAlign w:val="center"/>
          </w:tcPr>
          <w:p w14:paraId="3C23B7A4">
            <w:pPr>
              <w:spacing w:line="420" w:lineRule="exact"/>
              <w:rPr>
                <w:rFonts w:hint="eastAsia" w:hAnsi="宋体" w:cs="宋体"/>
                <w:b/>
                <w:bCs/>
                <w:color w:val="auto"/>
                <w:sz w:val="21"/>
                <w:szCs w:val="21"/>
                <w:highlight w:val="none"/>
              </w:rPr>
            </w:pPr>
            <w:r>
              <w:rPr>
                <w:rFonts w:hint="eastAsia" w:hAnsi="宋体" w:cs="宋体"/>
                <w:b/>
                <w:bCs/>
                <w:color w:val="auto"/>
                <w:sz w:val="21"/>
                <w:szCs w:val="21"/>
                <w:highlight w:val="none"/>
              </w:rPr>
              <w:t>产品参数的响应程度（满分10分）</w:t>
            </w:r>
          </w:p>
          <w:p w14:paraId="199AAEFB">
            <w:pPr>
              <w:spacing w:line="420" w:lineRule="exact"/>
              <w:rPr>
                <w:rFonts w:hint="eastAsia" w:hAnsi="宋体" w:cs="宋体"/>
                <w:color w:val="auto"/>
                <w:sz w:val="21"/>
                <w:szCs w:val="21"/>
                <w:highlight w:val="none"/>
              </w:rPr>
            </w:pPr>
            <w:r>
              <w:rPr>
                <w:rFonts w:hint="eastAsia" w:hAnsi="宋体" w:cs="宋体"/>
                <w:color w:val="auto"/>
                <w:sz w:val="21"/>
                <w:szCs w:val="21"/>
                <w:highlight w:val="none"/>
              </w:rPr>
              <w:t>评标委员会根据项目采购需求所载明的产品技术要求并结合投标人递交的投标文件中“投标产品介绍”和“技术偏离表”所载明的拟提供产品技术指标和相应的技术参数佐证材料进行综合评审。</w:t>
            </w:r>
          </w:p>
          <w:p w14:paraId="3289828F">
            <w:pPr>
              <w:spacing w:line="420" w:lineRule="exact"/>
              <w:rPr>
                <w:rFonts w:hint="eastAsia" w:hAnsi="宋体" w:cs="宋体"/>
                <w:color w:val="auto"/>
                <w:sz w:val="21"/>
                <w:szCs w:val="21"/>
                <w:highlight w:val="none"/>
              </w:rPr>
            </w:pPr>
            <w:r>
              <w:rPr>
                <w:rFonts w:hint="eastAsia" w:hAnsi="宋体" w:cs="宋体"/>
                <w:color w:val="auto"/>
                <w:sz w:val="21"/>
                <w:szCs w:val="21"/>
                <w:highlight w:val="none"/>
              </w:rPr>
              <w:t>1.技术参数无偏离：投标人拟提供产品所显示的技术参数均无任何负偏离，并对产品的功能描述合理、完整的，得基本分10分。</w:t>
            </w:r>
          </w:p>
          <w:p w14:paraId="7B79C590">
            <w:pPr>
              <w:spacing w:line="420" w:lineRule="exact"/>
              <w:rPr>
                <w:rFonts w:hint="eastAsia" w:hAnsi="宋体" w:cs="宋体"/>
                <w:color w:val="auto"/>
                <w:sz w:val="21"/>
                <w:szCs w:val="21"/>
                <w:highlight w:val="none"/>
              </w:rPr>
            </w:pPr>
            <w:r>
              <w:rPr>
                <w:rFonts w:hint="eastAsia" w:hAnsi="宋体" w:cs="宋体"/>
                <w:color w:val="auto"/>
                <w:sz w:val="21"/>
                <w:szCs w:val="21"/>
                <w:highlight w:val="none"/>
              </w:rPr>
              <w:t>2.技术参数负偏离：本项目公布的采购产品技术要求中带“▲”的技术指标为重要技术指标</w:t>
            </w:r>
            <w:r>
              <w:rPr>
                <w:rFonts w:hint="eastAsia" w:hAnsi="宋体" w:cs="宋体"/>
                <w:b/>
                <w:bCs/>
                <w:color w:val="auto"/>
                <w:sz w:val="21"/>
                <w:szCs w:val="21"/>
                <w:highlight w:val="none"/>
              </w:rPr>
              <w:t>。</w:t>
            </w:r>
          </w:p>
          <w:p w14:paraId="6D87FDE1">
            <w:pPr>
              <w:spacing w:line="420" w:lineRule="exact"/>
              <w:rPr>
                <w:rFonts w:hint="eastAsia" w:hAnsi="宋体" w:cs="宋体"/>
                <w:color w:val="auto"/>
                <w:sz w:val="21"/>
                <w:szCs w:val="21"/>
                <w:highlight w:val="none"/>
              </w:rPr>
            </w:pPr>
            <w:r>
              <w:rPr>
                <w:rFonts w:hint="eastAsia" w:hAnsi="宋体" w:cs="宋体"/>
                <w:color w:val="auto"/>
                <w:sz w:val="21"/>
                <w:szCs w:val="21"/>
                <w:highlight w:val="none"/>
              </w:rPr>
              <w:t>投标人拟提供产品所显示带“▲”的技术参数中每存在一项负偏离扣2分，投标人拟提供产品所显示未带“▲”的技术参数中每存在一项负偏离扣1分，分数扣完为止。投标人拟提供产品所显示技术参数为负偏离的，无论是否提供相关技术证明材料，均按负偏离数量进行扣分。</w:t>
            </w:r>
          </w:p>
          <w:p w14:paraId="12A56B0A">
            <w:pPr>
              <w:spacing w:line="420" w:lineRule="exact"/>
              <w:rPr>
                <w:rFonts w:hint="eastAsia" w:hAnsi="宋体" w:cs="宋体"/>
                <w:color w:val="auto"/>
                <w:sz w:val="21"/>
                <w:szCs w:val="21"/>
                <w:highlight w:val="none"/>
              </w:rPr>
            </w:pPr>
            <w:r>
              <w:rPr>
                <w:rFonts w:hint="eastAsia" w:hAnsi="宋体" w:cs="宋体"/>
                <w:color w:val="auto"/>
                <w:sz w:val="21"/>
                <w:szCs w:val="21"/>
                <w:highlight w:val="none"/>
              </w:rPr>
              <w:t>3.技术参数正偏离：本项目正偏离不加分。</w:t>
            </w:r>
          </w:p>
          <w:p w14:paraId="6E01F10D">
            <w:pPr>
              <w:spacing w:line="420" w:lineRule="exact"/>
              <w:rPr>
                <w:rFonts w:hint="eastAsia" w:hAnsi="宋体" w:cs="宋体"/>
                <w:color w:val="auto"/>
                <w:sz w:val="21"/>
                <w:szCs w:val="21"/>
                <w:highlight w:val="none"/>
              </w:rPr>
            </w:pPr>
            <w:r>
              <w:rPr>
                <w:rFonts w:hint="eastAsia" w:hAnsi="宋体" w:cs="宋体"/>
                <w:color w:val="auto"/>
                <w:sz w:val="21"/>
                <w:szCs w:val="21"/>
                <w:highlight w:val="none"/>
              </w:rPr>
              <w:t>注：</w:t>
            </w:r>
          </w:p>
          <w:p w14:paraId="2743C560">
            <w:pPr>
              <w:spacing w:line="420" w:lineRule="exact"/>
              <w:rPr>
                <w:rFonts w:hint="eastAsia" w:hAnsi="宋体" w:cs="宋体"/>
                <w:color w:val="auto"/>
                <w:sz w:val="21"/>
                <w:szCs w:val="21"/>
                <w:highlight w:val="none"/>
              </w:rPr>
            </w:pPr>
            <w:r>
              <w:rPr>
                <w:rFonts w:hint="eastAsia" w:hAnsi="宋体" w:cs="宋体"/>
                <w:color w:val="auto"/>
                <w:sz w:val="21"/>
                <w:szCs w:val="21"/>
                <w:highlight w:val="none"/>
              </w:rPr>
              <w:t>1.技术偏离包括无偏离、正偏离、负偏离，正偏离指投标人的响应高于招标文件要求，存在技术指标偏离时必须做出相应说明。负偏离指投标人拟提供软件系统技术性能指标不能实现采购需求中技术要求（非功能缺失），对单一产品中单一技术指标出现不能实现采购需求中技术要求（非功能缺失）的情况做出偏离说明，并与产品检验报告（软件测试报告）或软件产品技术性能介绍证明材料（针对采购需求中每一项功能模块中单项技术要求提供详细的技术性能介绍和技术性能实现方式介绍以及对应的软件系统操作界面截图）中载明详细的产品技术指标相呼应，否则评审时不予认可。无偏离指投标人拟提供产品的技术响应情况满足招标文件公布的产品技术要求；正偏离指投标人拟提供产品的技术响应情况优于招标文件公布的产品技术要求或针对采购需求属于技术性能配置实质性有效扩增的情况（属于技术优越或技术性能配置有效实质性扩增的应提供相应正偏离说明和技术证明材料，否则不予认可）。</w:t>
            </w:r>
          </w:p>
          <w:p w14:paraId="2C8D059B">
            <w:pPr>
              <w:spacing w:line="420" w:lineRule="exact"/>
              <w:rPr>
                <w:rFonts w:hint="eastAsia" w:hAnsi="宋体" w:cs="宋体"/>
                <w:color w:val="auto"/>
                <w:sz w:val="21"/>
                <w:szCs w:val="21"/>
                <w:highlight w:val="none"/>
              </w:rPr>
            </w:pPr>
            <w:r>
              <w:rPr>
                <w:rFonts w:hint="eastAsia" w:hAnsi="宋体" w:cs="宋体"/>
                <w:color w:val="auto"/>
                <w:sz w:val="21"/>
                <w:szCs w:val="21"/>
                <w:highlight w:val="none"/>
              </w:rPr>
              <w:t>2.产品参数响应程度评审应结合所列产品技术参数偏离情况、产品技术性能证明材料</w:t>
            </w:r>
            <w:r>
              <w:rPr>
                <w:rFonts w:hint="eastAsia" w:hAnsi="宋体" w:cs="宋体"/>
                <w:b/>
                <w:bCs/>
                <w:color w:val="auto"/>
                <w:sz w:val="21"/>
                <w:szCs w:val="21"/>
                <w:highlight w:val="none"/>
              </w:rPr>
              <w:t>【产品检测报告（软件测试报告）、软件产品技术性能介绍证明材料（针对采购需求中每一项功能模块和技术性能指标中单项技术要求提供详细的技术性能介绍和技术性能实现方式介绍以及对应的软件系统操作界面截图）】</w:t>
            </w:r>
            <w:r>
              <w:rPr>
                <w:rFonts w:hint="eastAsia" w:hAnsi="宋体" w:cs="宋体"/>
                <w:color w:val="auto"/>
                <w:sz w:val="21"/>
                <w:szCs w:val="21"/>
                <w:highlight w:val="none"/>
              </w:rPr>
              <w:t>等证明材料，以下凡“产品技术性能证明材料”均指此类证明材料）载明的产品技术指标等情况进行综合评审。</w:t>
            </w:r>
          </w:p>
          <w:p w14:paraId="1DFC9DE6">
            <w:pPr>
              <w:spacing w:line="420" w:lineRule="exact"/>
              <w:rPr>
                <w:rFonts w:hint="eastAsia" w:hAnsi="宋体" w:cs="宋体"/>
                <w:color w:val="auto"/>
                <w:sz w:val="21"/>
                <w:szCs w:val="21"/>
                <w:highlight w:val="none"/>
              </w:rPr>
            </w:pPr>
            <w:r>
              <w:rPr>
                <w:rFonts w:hint="eastAsia" w:hAnsi="宋体" w:cs="宋体"/>
                <w:color w:val="auto"/>
                <w:sz w:val="21"/>
                <w:szCs w:val="21"/>
                <w:highlight w:val="none"/>
              </w:rPr>
              <w:t>在产品技术参数评审时，若投标人递交的投标文件所提供的产品技术性能证明材料不能验证投标产品技术参数符合采购需求的，则视为对应的技术参数偏离情况评审不予认可，并按负偏离扣除相应的分数。</w:t>
            </w:r>
          </w:p>
          <w:p w14:paraId="0A8A0685">
            <w:pPr>
              <w:spacing w:line="420" w:lineRule="exact"/>
              <w:rPr>
                <w:rFonts w:hint="eastAsia" w:hAnsi="宋体" w:cs="宋体"/>
                <w:color w:val="auto"/>
                <w:sz w:val="21"/>
                <w:szCs w:val="21"/>
                <w:highlight w:val="none"/>
              </w:rPr>
            </w:pPr>
            <w:r>
              <w:rPr>
                <w:rFonts w:hint="eastAsia" w:hAnsi="宋体" w:cs="宋体"/>
                <w:color w:val="auto"/>
                <w:sz w:val="21"/>
                <w:szCs w:val="21"/>
                <w:highlight w:val="none"/>
              </w:rPr>
              <w:t>3.若投标人递交的投标文件未提供相应产品技术性能证明材料的，则扣除此部分的全部分数。但投标文件中未提供技术性能证明材料的，不认定投标文件其实质性不响应。</w:t>
            </w:r>
          </w:p>
        </w:tc>
      </w:tr>
      <w:tr w14:paraId="06491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vAlign w:val="center"/>
          </w:tcPr>
          <w:p w14:paraId="653453D8">
            <w:pPr>
              <w:spacing w:line="400" w:lineRule="exact"/>
              <w:rPr>
                <w:rFonts w:hint="eastAsia" w:hAnsi="宋体" w:cs="宋体"/>
                <w:color w:val="auto"/>
                <w:sz w:val="21"/>
                <w:szCs w:val="21"/>
                <w:highlight w:val="none"/>
              </w:rPr>
            </w:pPr>
          </w:p>
        </w:tc>
        <w:tc>
          <w:tcPr>
            <w:tcW w:w="894" w:type="dxa"/>
            <w:vMerge w:val="continue"/>
            <w:vAlign w:val="center"/>
          </w:tcPr>
          <w:p w14:paraId="27D155F2">
            <w:pPr>
              <w:spacing w:line="400" w:lineRule="exact"/>
              <w:jc w:val="center"/>
              <w:rPr>
                <w:rFonts w:hint="eastAsia" w:hAnsi="宋体" w:cs="宋体"/>
                <w:color w:val="auto"/>
                <w:sz w:val="21"/>
                <w:szCs w:val="21"/>
                <w:highlight w:val="none"/>
              </w:rPr>
            </w:pPr>
          </w:p>
        </w:tc>
        <w:tc>
          <w:tcPr>
            <w:tcW w:w="1250" w:type="dxa"/>
            <w:vMerge w:val="continue"/>
            <w:vAlign w:val="center"/>
          </w:tcPr>
          <w:p w14:paraId="45789D8C">
            <w:pPr>
              <w:spacing w:line="400" w:lineRule="exact"/>
              <w:jc w:val="center"/>
              <w:rPr>
                <w:rFonts w:hint="eastAsia" w:hAnsi="宋体" w:cs="宋体"/>
                <w:color w:val="auto"/>
                <w:sz w:val="21"/>
                <w:szCs w:val="21"/>
                <w:highlight w:val="none"/>
              </w:rPr>
            </w:pPr>
          </w:p>
        </w:tc>
        <w:tc>
          <w:tcPr>
            <w:tcW w:w="7035" w:type="dxa"/>
            <w:vAlign w:val="center"/>
          </w:tcPr>
          <w:p w14:paraId="259B7A96">
            <w:pPr>
              <w:spacing w:line="420" w:lineRule="exact"/>
              <w:rPr>
                <w:rFonts w:hint="eastAsia" w:hAnsi="宋体" w:cs="宋体"/>
                <w:b/>
                <w:bCs/>
                <w:color w:val="auto"/>
                <w:sz w:val="21"/>
                <w:szCs w:val="21"/>
                <w:highlight w:val="none"/>
              </w:rPr>
            </w:pPr>
            <w:r>
              <w:rPr>
                <w:rFonts w:hint="eastAsia" w:hAnsi="宋体" w:cs="宋体"/>
                <w:b/>
                <w:bCs/>
                <w:color w:val="auto"/>
                <w:sz w:val="21"/>
                <w:szCs w:val="21"/>
                <w:highlight w:val="none"/>
              </w:rPr>
              <w:t>产品安全、可靠性评价（满分4分）</w:t>
            </w:r>
          </w:p>
          <w:p w14:paraId="06E0A86C">
            <w:pPr>
              <w:spacing w:line="420" w:lineRule="exact"/>
              <w:rPr>
                <w:rFonts w:hint="eastAsia" w:hAnsi="宋体" w:cs="宋体"/>
                <w:color w:val="auto"/>
                <w:sz w:val="21"/>
                <w:szCs w:val="21"/>
                <w:highlight w:val="none"/>
              </w:rPr>
            </w:pPr>
            <w:r>
              <w:rPr>
                <w:rFonts w:hint="eastAsia" w:hAnsi="宋体" w:cs="宋体"/>
                <w:color w:val="auto"/>
                <w:sz w:val="21"/>
                <w:szCs w:val="21"/>
                <w:highlight w:val="none"/>
              </w:rPr>
              <w:t>1、为保障采购人在使用本次采购的软件不受第三方侵害，本次采购的软件具有软件著作权证明的得2分，未提供证明材料得此项不得分。</w:t>
            </w:r>
          </w:p>
          <w:p w14:paraId="0EAAAC34">
            <w:pPr>
              <w:spacing w:line="420" w:lineRule="exact"/>
              <w:rPr>
                <w:color w:val="auto"/>
                <w:highlight w:val="none"/>
              </w:rPr>
            </w:pPr>
            <w:r>
              <w:rPr>
                <w:rFonts w:hint="eastAsia" w:hAnsi="宋体" w:cs="宋体"/>
                <w:color w:val="auto"/>
                <w:sz w:val="21"/>
                <w:szCs w:val="21"/>
                <w:highlight w:val="none"/>
              </w:rPr>
              <w:t>2、为保障本次采购的软件质量安全，提供第三方检测机构出具的产品功能性能测试报告的得2分，未提供证明材料得此项不得分。</w:t>
            </w:r>
          </w:p>
        </w:tc>
      </w:tr>
      <w:tr w14:paraId="75E97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vAlign w:val="center"/>
          </w:tcPr>
          <w:p w14:paraId="4B569B0A">
            <w:pPr>
              <w:spacing w:line="400" w:lineRule="exact"/>
              <w:rPr>
                <w:rFonts w:hint="eastAsia" w:hAnsi="宋体" w:cs="宋体"/>
                <w:color w:val="auto"/>
                <w:sz w:val="21"/>
                <w:szCs w:val="21"/>
                <w:highlight w:val="none"/>
              </w:rPr>
            </w:pPr>
          </w:p>
        </w:tc>
        <w:tc>
          <w:tcPr>
            <w:tcW w:w="894" w:type="dxa"/>
            <w:vMerge w:val="continue"/>
            <w:vAlign w:val="center"/>
          </w:tcPr>
          <w:p w14:paraId="715E9372">
            <w:pPr>
              <w:spacing w:line="400" w:lineRule="exact"/>
              <w:rPr>
                <w:rFonts w:hint="eastAsia" w:hAnsi="宋体" w:cs="宋体"/>
                <w:color w:val="auto"/>
                <w:sz w:val="21"/>
                <w:szCs w:val="21"/>
                <w:highlight w:val="none"/>
              </w:rPr>
            </w:pPr>
          </w:p>
        </w:tc>
        <w:tc>
          <w:tcPr>
            <w:tcW w:w="1250" w:type="dxa"/>
            <w:vMerge w:val="continue"/>
            <w:vAlign w:val="center"/>
          </w:tcPr>
          <w:p w14:paraId="6B906248">
            <w:pPr>
              <w:spacing w:line="400" w:lineRule="exact"/>
              <w:jc w:val="center"/>
              <w:rPr>
                <w:rFonts w:hint="eastAsia" w:hAnsi="宋体" w:cs="宋体"/>
                <w:color w:val="auto"/>
                <w:sz w:val="21"/>
                <w:szCs w:val="21"/>
                <w:highlight w:val="none"/>
              </w:rPr>
            </w:pPr>
          </w:p>
        </w:tc>
        <w:tc>
          <w:tcPr>
            <w:tcW w:w="7035" w:type="dxa"/>
            <w:vAlign w:val="center"/>
          </w:tcPr>
          <w:p w14:paraId="12CF5052">
            <w:pPr>
              <w:spacing w:line="420" w:lineRule="exact"/>
              <w:rPr>
                <w:rFonts w:hint="eastAsia" w:hAnsi="宋体" w:cs="宋体"/>
                <w:b/>
                <w:bCs/>
                <w:color w:val="auto"/>
                <w:sz w:val="21"/>
                <w:szCs w:val="21"/>
                <w:highlight w:val="none"/>
              </w:rPr>
            </w:pPr>
            <w:r>
              <w:rPr>
                <w:rFonts w:hint="eastAsia" w:hAnsi="宋体" w:cs="宋体"/>
                <w:b/>
                <w:bCs/>
                <w:color w:val="auto"/>
                <w:sz w:val="21"/>
                <w:szCs w:val="21"/>
                <w:highlight w:val="none"/>
              </w:rPr>
              <w:t>系统演示评价（满分30分）</w:t>
            </w:r>
          </w:p>
          <w:p w14:paraId="7F2B8F78">
            <w:pPr>
              <w:spacing w:line="420" w:lineRule="exact"/>
              <w:rPr>
                <w:rFonts w:hint="eastAsia" w:hAnsi="宋体" w:cs="宋体"/>
                <w:color w:val="auto"/>
                <w:sz w:val="21"/>
                <w:szCs w:val="21"/>
                <w:highlight w:val="none"/>
              </w:rPr>
            </w:pPr>
            <w:r>
              <w:rPr>
                <w:rFonts w:hint="eastAsia" w:hAnsi="宋体" w:cs="宋体"/>
                <w:color w:val="auto"/>
                <w:sz w:val="21"/>
                <w:szCs w:val="21"/>
                <w:highlight w:val="none"/>
              </w:rPr>
              <w:t>评标委员会根据项目采购需求并结合投标人递交演示视频所展示的内容进行综合评审。</w:t>
            </w:r>
          </w:p>
          <w:p w14:paraId="70239E34">
            <w:pPr>
              <w:spacing w:line="420" w:lineRule="exact"/>
              <w:rPr>
                <w:rFonts w:hint="eastAsia" w:hAnsi="宋体" w:cs="宋体"/>
                <w:color w:val="auto"/>
                <w:sz w:val="21"/>
                <w:szCs w:val="21"/>
                <w:highlight w:val="none"/>
              </w:rPr>
            </w:pPr>
            <w:r>
              <w:rPr>
                <w:rFonts w:hint="eastAsia" w:hAnsi="宋体" w:cs="宋体"/>
                <w:color w:val="auto"/>
                <w:sz w:val="21"/>
                <w:szCs w:val="21"/>
                <w:highlight w:val="none"/>
              </w:rPr>
              <w:t>（一）演示要求：</w:t>
            </w:r>
          </w:p>
          <w:p w14:paraId="448933FA">
            <w:pPr>
              <w:spacing w:line="420" w:lineRule="exact"/>
              <w:rPr>
                <w:rFonts w:hint="eastAsia" w:hAnsi="宋体" w:cs="宋体"/>
                <w:color w:val="auto"/>
                <w:sz w:val="21"/>
                <w:szCs w:val="21"/>
                <w:highlight w:val="none"/>
              </w:rPr>
            </w:pPr>
            <w:r>
              <w:rPr>
                <w:rFonts w:hint="eastAsia" w:hAnsi="宋体" w:cs="宋体"/>
                <w:color w:val="auto"/>
                <w:sz w:val="21"/>
                <w:szCs w:val="21"/>
                <w:highlight w:val="none"/>
              </w:rPr>
              <w:t>具有成型系统，能够根据功能需求，对加油站流量数据采集系统相关功能模块进行演示，系统演示应结合实情案例，本项目需要对本次采购的加油站流量数据采集系统进行系统功能演示，演示方式采用视频并配音解说进行实现（文件格式MP4），演示时长不超过20分钟，演示相关案例或原型，无需系统开发。视频演示须图像清晰、演示功能准确，配音解说须与视频显示内容一致。演示视频演示无法读取数据、无法演示或未按要求演示要求响应的不得分。</w:t>
            </w:r>
          </w:p>
          <w:p w14:paraId="13F3AB78">
            <w:pPr>
              <w:spacing w:line="420" w:lineRule="exact"/>
              <w:rPr>
                <w:rFonts w:hint="eastAsia" w:hAnsi="宋体" w:cs="宋体"/>
                <w:color w:val="auto"/>
                <w:sz w:val="21"/>
                <w:szCs w:val="21"/>
                <w:highlight w:val="none"/>
              </w:rPr>
            </w:pPr>
            <w:r>
              <w:rPr>
                <w:rFonts w:hint="eastAsia" w:hAnsi="宋体" w:cs="宋体"/>
                <w:color w:val="auto"/>
                <w:sz w:val="21"/>
                <w:szCs w:val="21"/>
                <w:highlight w:val="none"/>
              </w:rPr>
              <w:t>（二）评分标准：</w:t>
            </w:r>
          </w:p>
          <w:p w14:paraId="116E119A">
            <w:pPr>
              <w:spacing w:line="420" w:lineRule="exact"/>
              <w:rPr>
                <w:rFonts w:hint="eastAsia" w:hAnsi="宋体" w:cs="宋体"/>
                <w:color w:val="auto"/>
                <w:sz w:val="21"/>
                <w:szCs w:val="21"/>
                <w:highlight w:val="none"/>
              </w:rPr>
            </w:pPr>
            <w:r>
              <w:rPr>
                <w:rFonts w:hint="eastAsia" w:hAnsi="宋体" w:cs="宋体"/>
                <w:color w:val="auto"/>
                <w:sz w:val="21"/>
                <w:szCs w:val="21"/>
                <w:highlight w:val="none"/>
              </w:rPr>
              <w:t>1.加油站数据采集工具（满分3分）</w:t>
            </w:r>
          </w:p>
          <w:p w14:paraId="5A0E2992">
            <w:pPr>
              <w:spacing w:line="420" w:lineRule="exact"/>
              <w:rPr>
                <w:rFonts w:hint="eastAsia" w:hAnsi="宋体" w:cs="宋体"/>
                <w:color w:val="auto"/>
                <w:sz w:val="21"/>
                <w:szCs w:val="21"/>
                <w:highlight w:val="none"/>
              </w:rPr>
            </w:pPr>
            <w:r>
              <w:rPr>
                <w:rFonts w:hint="eastAsia" w:hAnsi="宋体" w:cs="宋体"/>
                <w:color w:val="auto"/>
                <w:sz w:val="21"/>
                <w:szCs w:val="21"/>
                <w:highlight w:val="none"/>
              </w:rPr>
              <w:t>演示要求：此部分必须使用实物加油机、加油站电脑系统等实物进行加油站数据采集工具演示并录制视频。</w:t>
            </w:r>
          </w:p>
          <w:p w14:paraId="2E6CFE67">
            <w:pPr>
              <w:spacing w:line="420" w:lineRule="exact"/>
              <w:rPr>
                <w:rFonts w:hint="eastAsia" w:hAnsi="宋体" w:cs="宋体"/>
                <w:color w:val="auto"/>
                <w:sz w:val="21"/>
                <w:szCs w:val="21"/>
                <w:highlight w:val="none"/>
              </w:rPr>
            </w:pPr>
            <w:r>
              <w:rPr>
                <w:rFonts w:hint="eastAsia" w:hAnsi="宋体" w:cs="宋体"/>
                <w:color w:val="auto"/>
                <w:sz w:val="21"/>
                <w:szCs w:val="21"/>
                <w:highlight w:val="none"/>
              </w:rPr>
              <w:t>①数据采集方式，提供自动化采集演示；</w:t>
            </w:r>
          </w:p>
          <w:p w14:paraId="6A61D09D">
            <w:pPr>
              <w:spacing w:line="420" w:lineRule="exact"/>
              <w:rPr>
                <w:rFonts w:hint="eastAsia" w:hAnsi="宋体" w:cs="宋体"/>
                <w:color w:val="auto"/>
                <w:sz w:val="21"/>
                <w:szCs w:val="21"/>
                <w:highlight w:val="none"/>
              </w:rPr>
            </w:pPr>
            <w:r>
              <w:rPr>
                <w:rFonts w:hint="eastAsia" w:hAnsi="宋体" w:cs="宋体"/>
                <w:color w:val="auto"/>
                <w:sz w:val="21"/>
                <w:szCs w:val="21"/>
                <w:highlight w:val="none"/>
              </w:rPr>
              <w:t>②状态监测，提供客户端监测、通信链路监测；</w:t>
            </w:r>
          </w:p>
          <w:p w14:paraId="16D204F9">
            <w:pPr>
              <w:spacing w:line="420" w:lineRule="exact"/>
              <w:rPr>
                <w:rFonts w:hint="eastAsia" w:hAnsi="宋体" w:cs="宋体"/>
                <w:color w:val="auto"/>
                <w:sz w:val="21"/>
                <w:szCs w:val="21"/>
                <w:highlight w:val="none"/>
              </w:rPr>
            </w:pPr>
            <w:r>
              <w:rPr>
                <w:rFonts w:hint="eastAsia" w:hAnsi="宋体" w:cs="宋体"/>
                <w:color w:val="auto"/>
                <w:sz w:val="21"/>
                <w:szCs w:val="21"/>
                <w:highlight w:val="none"/>
              </w:rPr>
              <w:t>③采集任务，提供采集相关任务配置。</w:t>
            </w:r>
          </w:p>
          <w:p w14:paraId="2075BE5D">
            <w:pPr>
              <w:spacing w:line="420" w:lineRule="exact"/>
              <w:rPr>
                <w:rFonts w:hint="eastAsia" w:hAnsi="宋体" w:cs="宋体"/>
                <w:color w:val="auto"/>
                <w:sz w:val="21"/>
                <w:szCs w:val="21"/>
                <w:highlight w:val="none"/>
              </w:rPr>
            </w:pPr>
            <w:r>
              <w:rPr>
                <w:rFonts w:hint="eastAsia" w:hAnsi="宋体" w:cs="宋体"/>
                <w:color w:val="auto"/>
                <w:sz w:val="21"/>
                <w:szCs w:val="21"/>
                <w:highlight w:val="none"/>
              </w:rPr>
              <w:t>评审说明：演示讲解第①②③项基本功能每项计1分，不具备不得分。</w:t>
            </w:r>
          </w:p>
          <w:p w14:paraId="404A1E98">
            <w:pPr>
              <w:spacing w:line="420" w:lineRule="exact"/>
              <w:rPr>
                <w:rFonts w:hint="eastAsia" w:hAnsi="宋体" w:cs="宋体"/>
                <w:color w:val="auto"/>
                <w:sz w:val="21"/>
                <w:szCs w:val="21"/>
                <w:highlight w:val="none"/>
              </w:rPr>
            </w:pPr>
            <w:r>
              <w:rPr>
                <w:rFonts w:hint="eastAsia" w:hAnsi="宋体" w:cs="宋体"/>
                <w:color w:val="auto"/>
                <w:sz w:val="21"/>
                <w:szCs w:val="21"/>
                <w:highlight w:val="none"/>
              </w:rPr>
              <w:t>2.预警系统演示：（满分27分）</w:t>
            </w:r>
          </w:p>
          <w:p w14:paraId="00C4498D">
            <w:pPr>
              <w:spacing w:line="420" w:lineRule="exact"/>
              <w:rPr>
                <w:rFonts w:hint="eastAsia" w:hAnsi="宋体" w:cs="宋体"/>
                <w:color w:val="auto"/>
                <w:sz w:val="21"/>
                <w:szCs w:val="21"/>
                <w:highlight w:val="none"/>
              </w:rPr>
            </w:pPr>
            <w:r>
              <w:rPr>
                <w:rFonts w:hint="eastAsia" w:hAnsi="宋体" w:cs="宋体"/>
                <w:color w:val="auto"/>
                <w:sz w:val="21"/>
                <w:szCs w:val="21"/>
                <w:highlight w:val="none"/>
              </w:rPr>
              <w:t>①演示预警系统（政府端和油站端）基本功能</w:t>
            </w:r>
          </w:p>
          <w:p w14:paraId="1B050B04">
            <w:pPr>
              <w:spacing w:line="420" w:lineRule="exact"/>
              <w:rPr>
                <w:rFonts w:hint="eastAsia" w:hAnsi="宋体" w:cs="宋体"/>
                <w:color w:val="auto"/>
                <w:sz w:val="21"/>
                <w:szCs w:val="21"/>
                <w:highlight w:val="none"/>
              </w:rPr>
            </w:pPr>
            <w:r>
              <w:rPr>
                <w:rFonts w:hint="eastAsia" w:hAnsi="宋体" w:cs="宋体"/>
                <w:color w:val="auto"/>
                <w:sz w:val="21"/>
                <w:szCs w:val="21"/>
                <w:highlight w:val="none"/>
              </w:rPr>
              <w:t>②演示预警系统（政府端）数据分析功能</w:t>
            </w:r>
          </w:p>
          <w:p w14:paraId="5840C617">
            <w:pPr>
              <w:spacing w:line="420" w:lineRule="exact"/>
              <w:rPr>
                <w:rFonts w:hint="eastAsia" w:hAnsi="宋体" w:cs="宋体"/>
                <w:color w:val="auto"/>
                <w:sz w:val="21"/>
                <w:szCs w:val="21"/>
                <w:highlight w:val="none"/>
              </w:rPr>
            </w:pPr>
            <w:r>
              <w:rPr>
                <w:rFonts w:hint="eastAsia" w:hAnsi="宋体" w:cs="宋体"/>
                <w:color w:val="auto"/>
                <w:sz w:val="21"/>
                <w:szCs w:val="21"/>
                <w:highlight w:val="none"/>
              </w:rPr>
              <w:t>③演示预警系统（政府端）统计功能</w:t>
            </w:r>
          </w:p>
          <w:p w14:paraId="70EEC196">
            <w:pPr>
              <w:spacing w:line="420" w:lineRule="exact"/>
              <w:rPr>
                <w:rFonts w:hint="eastAsia" w:hAnsi="宋体" w:cs="宋体"/>
                <w:color w:val="auto"/>
                <w:sz w:val="21"/>
                <w:szCs w:val="21"/>
                <w:highlight w:val="none"/>
              </w:rPr>
            </w:pPr>
            <w:r>
              <w:rPr>
                <w:rFonts w:hint="eastAsia" w:hAnsi="宋体" w:cs="宋体"/>
                <w:color w:val="auto"/>
                <w:sz w:val="21"/>
                <w:szCs w:val="21"/>
                <w:highlight w:val="none"/>
              </w:rPr>
              <w:t>④演示预警类型及对应案例（共7项对应案例）</w:t>
            </w:r>
          </w:p>
          <w:p w14:paraId="5A35FB7F">
            <w:pPr>
              <w:spacing w:line="420" w:lineRule="exact"/>
              <w:rPr>
                <w:rFonts w:hint="eastAsia" w:hAnsi="宋体" w:cs="宋体"/>
                <w:color w:val="auto"/>
                <w:sz w:val="21"/>
                <w:szCs w:val="21"/>
                <w:highlight w:val="none"/>
              </w:rPr>
            </w:pPr>
            <w:r>
              <w:rPr>
                <w:rFonts w:hint="eastAsia" w:hAnsi="宋体" w:cs="宋体"/>
                <w:color w:val="auto"/>
                <w:sz w:val="21"/>
                <w:szCs w:val="21"/>
                <w:highlight w:val="none"/>
              </w:rPr>
              <w:t>评审说明：演示讲解第①②③项基本功能每项计2分，不具备不得分。满分6分。演示讲解第④项演示预警类型及对应案例，每增加一种不同预警类型案例计3分，最高不超21分。其中预警类型需说明预警逻辑和详细的数据对比，涉及作弊时需有详细的作弊指向说明。信息内容完整的每一种预警类型计3分，有预警但指向内容不完整的得1分；满分21分。</w:t>
            </w:r>
          </w:p>
        </w:tc>
      </w:tr>
      <w:tr w14:paraId="6309C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vAlign w:val="center"/>
          </w:tcPr>
          <w:p w14:paraId="447CF00B">
            <w:pPr>
              <w:spacing w:line="400" w:lineRule="exact"/>
              <w:rPr>
                <w:rFonts w:hint="eastAsia" w:hAnsi="宋体" w:cs="宋体"/>
                <w:color w:val="auto"/>
                <w:sz w:val="21"/>
                <w:szCs w:val="21"/>
                <w:highlight w:val="none"/>
              </w:rPr>
            </w:pPr>
          </w:p>
        </w:tc>
        <w:tc>
          <w:tcPr>
            <w:tcW w:w="894" w:type="dxa"/>
            <w:vMerge w:val="continue"/>
            <w:vAlign w:val="center"/>
          </w:tcPr>
          <w:p w14:paraId="70050291">
            <w:pPr>
              <w:spacing w:line="400" w:lineRule="exact"/>
              <w:rPr>
                <w:rFonts w:hint="eastAsia" w:hAnsi="宋体" w:cs="宋体"/>
                <w:color w:val="auto"/>
                <w:sz w:val="21"/>
                <w:szCs w:val="21"/>
                <w:highlight w:val="none"/>
              </w:rPr>
            </w:pPr>
          </w:p>
        </w:tc>
        <w:tc>
          <w:tcPr>
            <w:tcW w:w="1250" w:type="dxa"/>
            <w:vMerge w:val="continue"/>
            <w:vAlign w:val="center"/>
          </w:tcPr>
          <w:p w14:paraId="387E0062">
            <w:pPr>
              <w:spacing w:line="400" w:lineRule="exact"/>
              <w:jc w:val="center"/>
              <w:rPr>
                <w:rFonts w:hint="eastAsia" w:hAnsi="宋体" w:cs="宋体"/>
                <w:color w:val="auto"/>
                <w:sz w:val="21"/>
                <w:szCs w:val="21"/>
                <w:highlight w:val="none"/>
              </w:rPr>
            </w:pPr>
          </w:p>
        </w:tc>
        <w:tc>
          <w:tcPr>
            <w:tcW w:w="7035" w:type="dxa"/>
            <w:vAlign w:val="center"/>
          </w:tcPr>
          <w:p w14:paraId="67F6112F">
            <w:pPr>
              <w:spacing w:line="420" w:lineRule="exact"/>
              <w:rPr>
                <w:rFonts w:hint="eastAsia" w:hAnsi="宋体" w:cs="宋体"/>
                <w:b/>
                <w:bCs/>
                <w:color w:val="auto"/>
                <w:sz w:val="21"/>
                <w:szCs w:val="21"/>
                <w:highlight w:val="none"/>
              </w:rPr>
            </w:pPr>
            <w:r>
              <w:rPr>
                <w:rFonts w:hAnsi="宋体" w:cs="宋体"/>
                <w:b/>
                <w:bCs/>
                <w:color w:val="auto"/>
                <w:sz w:val="21"/>
                <w:szCs w:val="21"/>
                <w:highlight w:val="none"/>
              </w:rPr>
              <w:t>本次采购的加油站流量数据采集系统部署到本地云资源池情况</w:t>
            </w:r>
            <w:r>
              <w:rPr>
                <w:rFonts w:hint="eastAsia" w:hAnsi="宋体" w:cs="宋体"/>
                <w:b/>
                <w:bCs/>
                <w:color w:val="auto"/>
                <w:sz w:val="21"/>
                <w:szCs w:val="21"/>
                <w:highlight w:val="none"/>
              </w:rPr>
              <w:t>评价（满分5分）</w:t>
            </w:r>
          </w:p>
          <w:p w14:paraId="2D36526F">
            <w:pPr>
              <w:spacing w:line="420" w:lineRule="exact"/>
              <w:rPr>
                <w:rFonts w:hint="eastAsia" w:hAnsi="宋体" w:cs="宋体"/>
                <w:color w:val="auto"/>
                <w:sz w:val="21"/>
                <w:szCs w:val="21"/>
                <w:highlight w:val="none"/>
              </w:rPr>
            </w:pPr>
            <w:r>
              <w:rPr>
                <w:rFonts w:hint="eastAsia" w:hAnsi="宋体" w:cs="宋体"/>
                <w:color w:val="auto"/>
                <w:sz w:val="21"/>
                <w:szCs w:val="21"/>
                <w:highlight w:val="none"/>
              </w:rPr>
              <w:t>加油站流量数据属于商业机密，为保障数据信息的安全，本次采购加油站流量数据采集系统须部署到本地云资源池（不允许数据信息外流）。</w:t>
            </w:r>
            <w:r>
              <w:rPr>
                <w:rFonts w:hint="eastAsia" w:asciiTheme="minorEastAsia" w:hAnsiTheme="minorEastAsia" w:eastAsiaTheme="minorEastAsia" w:cstheme="minorEastAsia"/>
                <w:bCs/>
                <w:color w:val="auto"/>
                <w:sz w:val="21"/>
                <w:szCs w:val="21"/>
                <w:highlight w:val="none"/>
              </w:rPr>
              <w:t>评标委员会对所有投标文件的“本次采购的加油站流量数据采集系统部署到本地云资源池的情况介绍”进行详细的审查评价评分，具体评审细则如下：</w:t>
            </w:r>
          </w:p>
          <w:p w14:paraId="1757821E">
            <w:pPr>
              <w:spacing w:line="420" w:lineRule="exact"/>
              <w:rPr>
                <w:rFonts w:hint="eastAsia" w:hAnsi="宋体" w:cs="宋体"/>
                <w:color w:val="auto"/>
                <w:sz w:val="21"/>
                <w:szCs w:val="21"/>
                <w:highlight w:val="none"/>
              </w:rPr>
            </w:pPr>
            <w:r>
              <w:rPr>
                <w:rFonts w:hint="eastAsia" w:hAnsi="宋体" w:cs="宋体"/>
                <w:color w:val="auto"/>
                <w:sz w:val="21"/>
                <w:szCs w:val="21"/>
                <w:highlight w:val="none"/>
              </w:rPr>
              <w:t>1、投标人投入本项目的云资源（平台）通过等保三级安全测评并提供具备信息系统安全等级测评资质的认证机构出具的国家信息系统安全等级保护三级测评报告及平台所在地网安部门出具的信息系统安全等级保护备案证明的得2分，未提供证明材料的此项不得分。</w:t>
            </w:r>
          </w:p>
          <w:p w14:paraId="3D8E9AE2">
            <w:pPr>
              <w:spacing w:line="420" w:lineRule="exact"/>
              <w:rPr>
                <w:color w:val="auto"/>
                <w:highlight w:val="none"/>
              </w:rPr>
            </w:pPr>
            <w:r>
              <w:rPr>
                <w:rFonts w:hint="eastAsia" w:hAnsi="宋体" w:cs="宋体"/>
                <w:color w:val="auto"/>
                <w:sz w:val="21"/>
                <w:szCs w:val="21"/>
                <w:highlight w:val="none"/>
              </w:rPr>
              <w:t>2、投标人投入本项目的云资源（平台）通过商用密码测评并提供具备测评资质的认证机构出具的测评报告及相关证明资料的得3分，未提供证明材料的此项不得分。</w:t>
            </w:r>
          </w:p>
        </w:tc>
      </w:tr>
      <w:tr w14:paraId="5A439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vAlign w:val="center"/>
          </w:tcPr>
          <w:p w14:paraId="73B5C8E7">
            <w:pPr>
              <w:spacing w:line="400" w:lineRule="exact"/>
              <w:rPr>
                <w:rFonts w:hint="eastAsia" w:hAnsi="宋体" w:cs="宋体"/>
                <w:color w:val="auto"/>
                <w:sz w:val="21"/>
                <w:szCs w:val="21"/>
                <w:highlight w:val="none"/>
              </w:rPr>
            </w:pPr>
          </w:p>
        </w:tc>
        <w:tc>
          <w:tcPr>
            <w:tcW w:w="894" w:type="dxa"/>
            <w:vMerge w:val="continue"/>
            <w:vAlign w:val="center"/>
          </w:tcPr>
          <w:p w14:paraId="7BEBAB89">
            <w:pPr>
              <w:spacing w:line="400" w:lineRule="exact"/>
              <w:rPr>
                <w:rFonts w:hint="eastAsia" w:hAnsi="宋体" w:cs="宋体"/>
                <w:color w:val="auto"/>
                <w:sz w:val="21"/>
                <w:szCs w:val="21"/>
                <w:highlight w:val="none"/>
              </w:rPr>
            </w:pPr>
          </w:p>
        </w:tc>
        <w:tc>
          <w:tcPr>
            <w:tcW w:w="1250" w:type="dxa"/>
            <w:vMerge w:val="continue"/>
            <w:vAlign w:val="center"/>
          </w:tcPr>
          <w:p w14:paraId="1B9163DF">
            <w:pPr>
              <w:spacing w:line="400" w:lineRule="exact"/>
              <w:jc w:val="center"/>
              <w:rPr>
                <w:rFonts w:hint="eastAsia" w:hAnsi="宋体" w:cs="宋体"/>
                <w:color w:val="auto"/>
                <w:sz w:val="21"/>
                <w:szCs w:val="21"/>
                <w:highlight w:val="none"/>
              </w:rPr>
            </w:pPr>
          </w:p>
        </w:tc>
        <w:tc>
          <w:tcPr>
            <w:tcW w:w="7035" w:type="dxa"/>
            <w:vAlign w:val="center"/>
          </w:tcPr>
          <w:p w14:paraId="013F7D76">
            <w:pPr>
              <w:kinsoku w:val="0"/>
              <w:overflowPunct w:val="0"/>
              <w:autoSpaceDE w:val="0"/>
              <w:autoSpaceDN w:val="0"/>
              <w:adjustRightInd w:val="0"/>
              <w:snapToGrid w:val="0"/>
              <w:spacing w:line="420" w:lineRule="exact"/>
              <w:jc w:val="left"/>
              <w:rPr>
                <w:rFonts w:hint="eastAsia" w:hAnsi="宋体" w:cs="宋体"/>
                <w:b/>
                <w:bCs/>
                <w:color w:val="auto"/>
                <w:sz w:val="21"/>
                <w:szCs w:val="21"/>
                <w:highlight w:val="none"/>
              </w:rPr>
            </w:pPr>
            <w:r>
              <w:rPr>
                <w:rFonts w:hint="eastAsia" w:hAnsi="宋体" w:cs="宋体"/>
                <w:b/>
                <w:bCs/>
                <w:color w:val="auto"/>
                <w:sz w:val="21"/>
                <w:szCs w:val="21"/>
                <w:highlight w:val="none"/>
              </w:rPr>
              <w:t>项目技术服务方案（满分12分）</w:t>
            </w:r>
          </w:p>
          <w:p w14:paraId="121B5168">
            <w:pPr>
              <w:spacing w:line="400" w:lineRule="exac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此部分内容应充分结合招标文件中本项目采购需求的全部内容以及评标办法的评审要求进行综合分析后进行编制，此部分内容包含但不限于：①加油站流量数据采集系统建设、系统数据信息集成与调试适配技术服务方案；②项目实施进度计划安排；③软件测试、数据系统与试运行技术方案；④项目检验验收及针对项目初验和终验提出相关问题的整改优化工作预案；⑤相关数据信息和档案管理机制技术服务方案；⑥项目风险控制方案和应急措施（至少包含：风险和应急事项预见、风险和应急处理程序、相应的处置预案）。</w:t>
            </w:r>
          </w:p>
          <w:p w14:paraId="571D3D27">
            <w:pPr>
              <w:spacing w:line="400" w:lineRule="exac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评标委员会对所有投标文件的“项目技术方案”中6类单项内容进行详细的审查评价评分，本项总分不超过该12分（每类单项内容最高2分），具体评审细则如下：</w:t>
            </w:r>
          </w:p>
          <w:p w14:paraId="7E0572C2">
            <w:pPr>
              <w:spacing w:line="400" w:lineRule="exac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（1）每一单项内容是基于采购需求和项目建设服务的标准和要求进行编制，对应部分描述详细、齐全完整，内容描述科学合理、可行性强，对开展项目建设服务工作开展有指导意义的得2分。</w:t>
            </w:r>
          </w:p>
          <w:p w14:paraId="4D8CFB82">
            <w:pPr>
              <w:spacing w:line="400" w:lineRule="exac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（2）每一单项内容是基于采购需求</w:t>
            </w:r>
            <w:r>
              <w:rPr>
                <w:rFonts w:hint="eastAsia" w:hAnsi="宋体" w:cs="宋体"/>
                <w:color w:val="auto"/>
                <w:sz w:val="21"/>
                <w:szCs w:val="21"/>
                <w:highlight w:val="none"/>
              </w:rPr>
              <w:t>和</w:t>
            </w:r>
            <w:r>
              <w:rPr>
                <w:rFonts w:hint="eastAsia" w:asciiTheme="minorEastAsia" w:hAnsiTheme="minorEastAsia" w:eastAsiaTheme="minorEastAsia" w:cstheme="minorEastAsia"/>
                <w:bCs/>
                <w:color w:val="auto"/>
                <w:sz w:val="21"/>
                <w:szCs w:val="21"/>
                <w:highlight w:val="none"/>
              </w:rPr>
              <w:t>项目建设服务的标准和要求进行编制，对应部分描述较为详细、完整，内容合理、可行性一般，对开展项目建设服务工作开展的指导意义一般的得1.5分。</w:t>
            </w:r>
          </w:p>
          <w:p w14:paraId="17836C94">
            <w:pPr>
              <w:spacing w:line="400" w:lineRule="exac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（3）每一单项内容是基于采购需求和项目建设服务的标准和要求进行编制，对应部分描述较为简单、基本完整，内容基本合理、可行性较差，对开展项目建设服务工作的指导意义较差的得1分。</w:t>
            </w:r>
          </w:p>
          <w:p w14:paraId="0B2B4778">
            <w:pPr>
              <w:spacing w:line="400" w:lineRule="exac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（4）每一单项内容基本符合采购需求和项目建设服务的标准和要求，对应部分描述简单，且存在瑕疵或存在前后逻辑错误，对应的内容存在缺陷、可行性差的得0.5分。</w:t>
            </w:r>
          </w:p>
          <w:p w14:paraId="163C36DB">
            <w:pPr>
              <w:spacing w:line="400" w:lineRule="exact"/>
              <w:rPr>
                <w:color w:val="auto"/>
                <w:highlight w:val="none"/>
              </w:rPr>
            </w:pPr>
            <w:r>
              <w:rPr>
                <w:rFonts w:hint="eastAsia" w:asciiTheme="minorEastAsia" w:hAnsiTheme="minorEastAsia" w:eastAsiaTheme="minorEastAsia" w:cstheme="minorEastAsia"/>
                <w:bCs/>
                <w:color w:val="auto"/>
                <w:sz w:val="21"/>
                <w:szCs w:val="21"/>
                <w:highlight w:val="none"/>
              </w:rPr>
              <w:t>（5）“项目技术方案”中单项内容的描述与本项目对应的内容无关或未提供的得0分。</w:t>
            </w:r>
          </w:p>
        </w:tc>
      </w:tr>
      <w:tr w14:paraId="14F81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vAlign w:val="center"/>
          </w:tcPr>
          <w:p w14:paraId="3CB3D0B7">
            <w:pPr>
              <w:spacing w:line="400" w:lineRule="exact"/>
              <w:rPr>
                <w:rFonts w:hint="eastAsia" w:hAnsi="宋体" w:cs="宋体"/>
                <w:color w:val="auto"/>
                <w:sz w:val="21"/>
                <w:szCs w:val="21"/>
                <w:highlight w:val="none"/>
              </w:rPr>
            </w:pPr>
          </w:p>
        </w:tc>
        <w:tc>
          <w:tcPr>
            <w:tcW w:w="894" w:type="dxa"/>
            <w:vMerge w:val="continue"/>
            <w:vAlign w:val="center"/>
          </w:tcPr>
          <w:p w14:paraId="009F19B1">
            <w:pPr>
              <w:spacing w:line="400" w:lineRule="exact"/>
              <w:rPr>
                <w:rFonts w:hint="eastAsia" w:hAnsi="宋体" w:cs="宋体"/>
                <w:color w:val="auto"/>
                <w:sz w:val="21"/>
                <w:szCs w:val="21"/>
                <w:highlight w:val="none"/>
              </w:rPr>
            </w:pPr>
          </w:p>
        </w:tc>
        <w:tc>
          <w:tcPr>
            <w:tcW w:w="1250" w:type="dxa"/>
            <w:vMerge w:val="continue"/>
            <w:vAlign w:val="center"/>
          </w:tcPr>
          <w:p w14:paraId="7D99A82A">
            <w:pPr>
              <w:spacing w:line="400" w:lineRule="exact"/>
              <w:jc w:val="center"/>
              <w:rPr>
                <w:rFonts w:hint="eastAsia" w:hAnsi="宋体" w:cs="宋体"/>
                <w:color w:val="auto"/>
                <w:sz w:val="21"/>
                <w:szCs w:val="21"/>
                <w:highlight w:val="none"/>
              </w:rPr>
            </w:pPr>
          </w:p>
        </w:tc>
        <w:tc>
          <w:tcPr>
            <w:tcW w:w="7035" w:type="dxa"/>
            <w:vAlign w:val="center"/>
          </w:tcPr>
          <w:p w14:paraId="2FC253D7">
            <w:pPr>
              <w:kinsoku w:val="0"/>
              <w:overflowPunct w:val="0"/>
              <w:autoSpaceDE w:val="0"/>
              <w:autoSpaceDN w:val="0"/>
              <w:adjustRightInd w:val="0"/>
              <w:snapToGrid w:val="0"/>
              <w:spacing w:line="420" w:lineRule="exact"/>
              <w:jc w:val="left"/>
              <w:rPr>
                <w:rFonts w:hint="eastAsia" w:hAnsi="宋体" w:cs="宋体"/>
                <w:b/>
                <w:bCs/>
                <w:color w:val="auto"/>
                <w:sz w:val="21"/>
                <w:szCs w:val="21"/>
                <w:highlight w:val="none"/>
              </w:rPr>
            </w:pPr>
            <w:r>
              <w:rPr>
                <w:rFonts w:hint="eastAsia" w:hAnsi="宋体" w:cs="宋体"/>
                <w:b/>
                <w:bCs/>
                <w:color w:val="auto"/>
                <w:sz w:val="21"/>
                <w:szCs w:val="21"/>
                <w:highlight w:val="none"/>
              </w:rPr>
              <w:t>项目技术培训服务方案（满分3分）</w:t>
            </w:r>
          </w:p>
          <w:p w14:paraId="31B6C085">
            <w:pPr>
              <w:spacing w:line="400" w:lineRule="exact"/>
              <w:rPr>
                <w:rFonts w:hint="eastAsia" w:asciiTheme="minorEastAsia" w:hAnsiTheme="minorEastAsia" w:eastAsiaTheme="minorEastAsia" w:cstheme="minorEastAsia"/>
                <w:bCs/>
                <w:color w:val="auto"/>
                <w:sz w:val="21"/>
                <w:szCs w:val="21"/>
                <w:highlight w:val="none"/>
              </w:rPr>
            </w:pPr>
            <w:r>
              <w:rPr>
                <w:rFonts w:hint="eastAsia" w:hAnsi="宋体" w:cs="宋体"/>
                <w:color w:val="auto"/>
                <w:sz w:val="21"/>
                <w:szCs w:val="21"/>
                <w:highlight w:val="none"/>
              </w:rPr>
              <w:t>此部分内容应充分结合招标文件中本项目采购需求的全部内容以及评标办法的评审要求进行综合分析后进行编制，此部分内容包含但不限于：①项目技术培训内容和培训课程设置；②项目技术培训计划安排（明确具体培训工作时间安排和具体各项课程安排等）。</w:t>
            </w:r>
          </w:p>
          <w:p w14:paraId="18F4C9FD">
            <w:pPr>
              <w:spacing w:line="400" w:lineRule="exac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评标委员会对所有投标文件的“项目技术培训服务方案”中2类单项内容进行详细的审查评价评分，本项总分不超过该3分（每类单项内容最高1.5分），具体评审细则如下：</w:t>
            </w:r>
          </w:p>
          <w:p w14:paraId="12A14344">
            <w:pPr>
              <w:spacing w:line="400" w:lineRule="exac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（1）每一单项内容是基于采购需求和开展技术培训服务的标准和要求进行编制，对应部分描述详细、齐全完整，内容描述科学合理、可行性强，对开展技术培训服务工作开展有指导意义的得1.5分。</w:t>
            </w:r>
          </w:p>
          <w:p w14:paraId="589C672E">
            <w:pPr>
              <w:spacing w:line="400" w:lineRule="exac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（2）每一单项内容是基于采购需求和开展技术培训服务的标准和要求进行编制，对应部分描述较为详细、完整，内容合理、可行性一般，对开展数据分析服务工作开展的指导意义一般的得1分。</w:t>
            </w:r>
          </w:p>
          <w:p w14:paraId="71443C30">
            <w:pPr>
              <w:spacing w:line="400" w:lineRule="exac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（3）每一单项内容基本符合采购需求和开展技术培训服务的标准和要求，对应部分描述简单，且存在瑕疵或存在前后逻辑错误，对应的内容存在缺陷、可行性差的得0.5分。</w:t>
            </w:r>
          </w:p>
          <w:p w14:paraId="3749C978">
            <w:pPr>
              <w:spacing w:line="400" w:lineRule="exact"/>
              <w:rPr>
                <w:color w:val="auto"/>
                <w:highlight w:val="none"/>
              </w:rPr>
            </w:pPr>
            <w:r>
              <w:rPr>
                <w:rFonts w:hint="eastAsia" w:asciiTheme="minorEastAsia" w:hAnsiTheme="minorEastAsia" w:eastAsiaTheme="minorEastAsia" w:cstheme="minorEastAsia"/>
                <w:bCs/>
                <w:color w:val="auto"/>
                <w:sz w:val="21"/>
                <w:szCs w:val="21"/>
                <w:highlight w:val="none"/>
              </w:rPr>
              <w:t>（4）“项目技术培训服务方案”中单项内容的描述与本项目对应的内容无关或未提供的得0分。</w:t>
            </w:r>
          </w:p>
        </w:tc>
      </w:tr>
      <w:tr w14:paraId="55EAD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vAlign w:val="center"/>
          </w:tcPr>
          <w:p w14:paraId="58C8CB5B">
            <w:pPr>
              <w:spacing w:line="400" w:lineRule="exact"/>
              <w:rPr>
                <w:rFonts w:hint="eastAsia" w:hAnsi="宋体" w:cs="宋体"/>
                <w:color w:val="auto"/>
                <w:sz w:val="21"/>
                <w:szCs w:val="21"/>
                <w:highlight w:val="none"/>
              </w:rPr>
            </w:pPr>
          </w:p>
        </w:tc>
        <w:tc>
          <w:tcPr>
            <w:tcW w:w="894" w:type="dxa"/>
            <w:vMerge w:val="continue"/>
            <w:vAlign w:val="center"/>
          </w:tcPr>
          <w:p w14:paraId="57861A93">
            <w:pPr>
              <w:spacing w:line="400" w:lineRule="exact"/>
              <w:rPr>
                <w:rFonts w:hint="eastAsia" w:hAnsi="宋体" w:cs="宋体"/>
                <w:color w:val="auto"/>
                <w:sz w:val="21"/>
                <w:szCs w:val="21"/>
                <w:highlight w:val="none"/>
              </w:rPr>
            </w:pPr>
          </w:p>
        </w:tc>
        <w:tc>
          <w:tcPr>
            <w:tcW w:w="1250" w:type="dxa"/>
            <w:vMerge w:val="continue"/>
            <w:vAlign w:val="center"/>
          </w:tcPr>
          <w:p w14:paraId="4615CCC1">
            <w:pPr>
              <w:spacing w:line="400" w:lineRule="exact"/>
              <w:jc w:val="center"/>
              <w:rPr>
                <w:rFonts w:hint="eastAsia" w:hAnsi="宋体" w:cs="宋体"/>
                <w:color w:val="auto"/>
                <w:sz w:val="21"/>
                <w:szCs w:val="21"/>
                <w:highlight w:val="none"/>
              </w:rPr>
            </w:pPr>
          </w:p>
        </w:tc>
        <w:tc>
          <w:tcPr>
            <w:tcW w:w="7035" w:type="dxa"/>
            <w:vAlign w:val="center"/>
          </w:tcPr>
          <w:p w14:paraId="0BE96D23">
            <w:pPr>
              <w:keepNext/>
              <w:autoSpaceDE w:val="0"/>
              <w:autoSpaceDN w:val="0"/>
              <w:adjustRightInd w:val="0"/>
              <w:snapToGrid w:val="0"/>
              <w:spacing w:line="420" w:lineRule="exact"/>
              <w:jc w:val="left"/>
              <w:rPr>
                <w:rFonts w:hint="eastAsia" w:hAnsi="宋体" w:cs="宋体"/>
                <w:b/>
                <w:bCs/>
                <w:color w:val="auto"/>
                <w:sz w:val="21"/>
                <w:szCs w:val="21"/>
                <w:highlight w:val="none"/>
              </w:rPr>
            </w:pPr>
            <w:r>
              <w:rPr>
                <w:rFonts w:hint="eastAsia" w:hAnsi="宋体" w:cs="宋体"/>
                <w:b/>
                <w:bCs/>
                <w:color w:val="auto"/>
                <w:sz w:val="21"/>
                <w:szCs w:val="21"/>
                <w:highlight w:val="none"/>
              </w:rPr>
              <w:t>售后服务能力介绍及售后运维服务方案（满分10分）</w:t>
            </w:r>
          </w:p>
          <w:p w14:paraId="6B28C0B3">
            <w:pPr>
              <w:spacing w:line="400" w:lineRule="exact"/>
              <w:rPr>
                <w:rFonts w:hint="eastAsia" w:asciiTheme="minorEastAsia" w:hAnsiTheme="minorEastAsia" w:eastAsiaTheme="minorEastAsia" w:cstheme="minorEastAsia"/>
                <w:bCs/>
                <w:color w:val="auto"/>
                <w:sz w:val="21"/>
                <w:szCs w:val="21"/>
                <w:highlight w:val="none"/>
              </w:rPr>
            </w:pPr>
            <w:r>
              <w:rPr>
                <w:rFonts w:hint="eastAsia" w:hAnsi="宋体" w:cs="宋体"/>
                <w:color w:val="auto"/>
                <w:sz w:val="21"/>
                <w:szCs w:val="21"/>
                <w:highlight w:val="none"/>
              </w:rPr>
              <w:t>此部分内容应充分结合招标文件中本项目采购需求的全部内容以及评标办法的评审要求进行综合分析后进行编制，此部分内容包含但不限于：①售后服务体系介绍和售后运维服务期限承诺（提供售后服务机构设置情况介绍和证明材料、针对本项目的售后运维服务期限承诺）；②售后运维技术团队设置情况（含售后管理技术人员数量、技术分工和岗位情况介绍）；③驻场运维和日常巡检服务技术服务方案；④针对可能发生各类售后服务问题提出详细的售后服务工作机制和处理办法；⑤加油站流量数据采集系统出现或者因外部原因形成的各类漏洞、BUG进行系统修复、整改技术方案。</w:t>
            </w:r>
          </w:p>
          <w:p w14:paraId="65834D47">
            <w:pPr>
              <w:spacing w:line="400" w:lineRule="exac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评标委员会对所有投标文件的“售后服务能力介绍及售后运维服务方案”中5类单项内容进行详细的审查评价评分，本项总分不超过该10分（每类单项内容最高2分），每类单项内容具体评审细则如下：</w:t>
            </w:r>
          </w:p>
          <w:p w14:paraId="7FFDC707">
            <w:pPr>
              <w:spacing w:line="400" w:lineRule="exac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（1）每一单项内容是基于采购需求和项目售后服务要求进行编制，对应部分描述详细、齐全完整，投标人具有完善的售后服务体系、售后服务便捷性优，</w:t>
            </w:r>
            <w:r>
              <w:rPr>
                <w:rFonts w:hint="eastAsia" w:hAnsi="宋体" w:cs="宋体"/>
                <w:color w:val="auto"/>
                <w:sz w:val="21"/>
                <w:szCs w:val="21"/>
                <w:highlight w:val="none"/>
              </w:rPr>
              <w:t>驻场运维服务技术支持方案工作任务计划和责任分工明确、运维服务保障能力强，</w:t>
            </w:r>
            <w:r>
              <w:rPr>
                <w:rFonts w:hint="eastAsia" w:asciiTheme="minorEastAsia" w:hAnsiTheme="minorEastAsia" w:eastAsiaTheme="minorEastAsia" w:cstheme="minorEastAsia"/>
                <w:bCs/>
                <w:color w:val="auto"/>
                <w:sz w:val="21"/>
                <w:szCs w:val="21"/>
                <w:highlight w:val="none"/>
              </w:rPr>
              <w:t>售后服务方案针对可能发生各类售后服务问题提出详细的售后服务工作机制和处理办法，提出的售后维护和相应技术支持作出的响应和维护时间短，对开展售后服务工作开展有指导意义的得2分。</w:t>
            </w:r>
          </w:p>
          <w:p w14:paraId="7AEAFB52">
            <w:pPr>
              <w:spacing w:line="400" w:lineRule="exact"/>
              <w:rPr>
                <w:rFonts w:hint="eastAsia" w:hAnsi="宋体" w:cs="宋体"/>
                <w:color w:val="auto"/>
                <w:sz w:val="21"/>
                <w:szCs w:val="21"/>
                <w:highlight w:val="none"/>
              </w:rPr>
            </w:pPr>
            <w:r>
              <w:rPr>
                <w:rFonts w:hint="eastAsia" w:asciiTheme="minorEastAsia" w:hAnsiTheme="minorEastAsia" w:eastAsiaTheme="minorEastAsia" w:cstheme="minorEastAsia"/>
                <w:bCs/>
                <w:color w:val="auto"/>
                <w:sz w:val="21"/>
                <w:szCs w:val="21"/>
                <w:highlight w:val="none"/>
              </w:rPr>
              <w:t>（2）每一单项内容是基于采购需求和项目售后服务要求进行编制，对应部分描述较为详细、完整，投标人具有较为完善的售后服务体系、售后服务便捷性良好，</w:t>
            </w:r>
            <w:r>
              <w:rPr>
                <w:rFonts w:hint="eastAsia" w:hAnsi="宋体" w:cs="宋体"/>
                <w:color w:val="auto"/>
                <w:sz w:val="21"/>
                <w:szCs w:val="21"/>
                <w:highlight w:val="none"/>
              </w:rPr>
              <w:t>驻场运维服务技术支持方案工作任务计划和责任分工较为明确、运维服务保障能力一般，</w:t>
            </w:r>
            <w:r>
              <w:rPr>
                <w:rFonts w:hint="eastAsia" w:asciiTheme="minorEastAsia" w:hAnsiTheme="minorEastAsia" w:eastAsiaTheme="minorEastAsia" w:cstheme="minorEastAsia"/>
                <w:bCs/>
                <w:color w:val="auto"/>
                <w:sz w:val="21"/>
                <w:szCs w:val="21"/>
                <w:highlight w:val="none"/>
              </w:rPr>
              <w:t>售后服务方案针对可能发生各类售后服务问题提出较为详细的售后服务工作机制和处理办法</w:t>
            </w:r>
            <w:r>
              <w:rPr>
                <w:rFonts w:hint="eastAsia" w:hAnsi="宋体" w:cs="宋体"/>
                <w:color w:val="auto"/>
                <w:sz w:val="21"/>
                <w:szCs w:val="21"/>
                <w:highlight w:val="none"/>
              </w:rPr>
              <w:t>，提出的售后维护和相应技术支持作出的响应和维护时间较短，对开展服务工作开展的指导意义一般的得1分。</w:t>
            </w:r>
          </w:p>
          <w:p w14:paraId="5ECAABF1">
            <w:pPr>
              <w:spacing w:line="400" w:lineRule="exact"/>
              <w:rPr>
                <w:rFonts w:hint="eastAsia" w:hAnsi="宋体" w:cs="宋体"/>
                <w:color w:val="auto"/>
                <w:sz w:val="21"/>
                <w:szCs w:val="21"/>
                <w:highlight w:val="none"/>
              </w:rPr>
            </w:pPr>
            <w:r>
              <w:rPr>
                <w:rFonts w:hint="eastAsia" w:hAnsi="宋体" w:cs="宋体"/>
                <w:color w:val="auto"/>
                <w:sz w:val="21"/>
                <w:szCs w:val="21"/>
                <w:highlight w:val="none"/>
              </w:rPr>
              <w:t>（3）每一单项内容是基于采购需求和项目售后服务要求和要求进行编制，对应部分描述较为简单、基本完整，投标人具有的售后服务体系证明材料不完善（存在部分缺失）、售后服务便捷性较差，驻场运维服务技术支持方案工作任务计划和责任分工不明确、运维服务保障能力较差，售后服务方案针对可能发生各类售后服务问题提出的售后服务工作机制和处理办法存在瑕疵，提出的售后维护和相应技术支持作出的响应和维护时间符合采购需求，整体方案可行性差的得0.5分。</w:t>
            </w:r>
          </w:p>
          <w:p w14:paraId="22D12B98">
            <w:pPr>
              <w:spacing w:line="400" w:lineRule="exact"/>
              <w:rPr>
                <w:color w:val="auto"/>
                <w:highlight w:val="none"/>
              </w:rPr>
            </w:pPr>
            <w:r>
              <w:rPr>
                <w:rFonts w:hint="eastAsia" w:hAnsi="宋体" w:cs="宋体"/>
                <w:color w:val="auto"/>
                <w:sz w:val="21"/>
                <w:szCs w:val="21"/>
                <w:highlight w:val="none"/>
              </w:rPr>
              <w:t>（4）“售后服务能力介绍及售后运维服务方案”中单项内容的描述与本项目对应的内容无关或未提供的得0分。</w:t>
            </w:r>
          </w:p>
        </w:tc>
      </w:tr>
      <w:tr w14:paraId="7EFF0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vAlign w:val="center"/>
          </w:tcPr>
          <w:p w14:paraId="4AF67827">
            <w:pPr>
              <w:spacing w:line="400" w:lineRule="exact"/>
              <w:rPr>
                <w:rFonts w:hint="eastAsia" w:hAnsi="宋体" w:cs="宋体"/>
                <w:color w:val="auto"/>
                <w:sz w:val="21"/>
                <w:szCs w:val="21"/>
                <w:highlight w:val="none"/>
              </w:rPr>
            </w:pPr>
          </w:p>
        </w:tc>
        <w:tc>
          <w:tcPr>
            <w:tcW w:w="894" w:type="dxa"/>
            <w:vMerge w:val="continue"/>
            <w:vAlign w:val="center"/>
          </w:tcPr>
          <w:p w14:paraId="69CCB442">
            <w:pPr>
              <w:spacing w:line="400" w:lineRule="exact"/>
              <w:rPr>
                <w:rFonts w:hint="eastAsia" w:hAnsi="宋体" w:cs="宋体"/>
                <w:color w:val="auto"/>
                <w:sz w:val="21"/>
                <w:szCs w:val="21"/>
                <w:highlight w:val="none"/>
              </w:rPr>
            </w:pPr>
          </w:p>
        </w:tc>
        <w:tc>
          <w:tcPr>
            <w:tcW w:w="1250" w:type="dxa"/>
            <w:vMerge w:val="continue"/>
            <w:vAlign w:val="center"/>
          </w:tcPr>
          <w:p w14:paraId="7F81C48F">
            <w:pPr>
              <w:spacing w:line="400" w:lineRule="exact"/>
              <w:jc w:val="center"/>
              <w:rPr>
                <w:rFonts w:hint="eastAsia" w:hAnsi="宋体" w:cs="宋体"/>
                <w:color w:val="auto"/>
                <w:sz w:val="21"/>
                <w:szCs w:val="21"/>
                <w:highlight w:val="none"/>
              </w:rPr>
            </w:pPr>
          </w:p>
        </w:tc>
        <w:tc>
          <w:tcPr>
            <w:tcW w:w="7035" w:type="dxa"/>
            <w:vAlign w:val="center"/>
          </w:tcPr>
          <w:p w14:paraId="5B572FB9">
            <w:pPr>
              <w:kinsoku w:val="0"/>
              <w:overflowPunct w:val="0"/>
              <w:autoSpaceDE w:val="0"/>
              <w:autoSpaceDN w:val="0"/>
              <w:adjustRightInd w:val="0"/>
              <w:snapToGrid w:val="0"/>
              <w:spacing w:line="420" w:lineRule="exact"/>
              <w:jc w:val="left"/>
              <w:rPr>
                <w:rFonts w:hint="eastAsia" w:hAnsi="宋体" w:cs="宋体"/>
                <w:b/>
                <w:bCs/>
                <w:color w:val="auto"/>
                <w:sz w:val="21"/>
                <w:szCs w:val="21"/>
                <w:highlight w:val="none"/>
              </w:rPr>
            </w:pPr>
            <w:r>
              <w:rPr>
                <w:rFonts w:hint="eastAsia" w:hAnsi="宋体" w:cs="宋体"/>
                <w:b/>
                <w:bCs/>
                <w:color w:val="auto"/>
                <w:sz w:val="21"/>
                <w:szCs w:val="21"/>
                <w:highlight w:val="none"/>
              </w:rPr>
              <w:t>项目服务质量保障措施和相应违约承诺（满分6分）</w:t>
            </w:r>
          </w:p>
          <w:p w14:paraId="68CF2303">
            <w:pPr>
              <w:kinsoku w:val="0"/>
              <w:overflowPunct w:val="0"/>
              <w:autoSpaceDE w:val="0"/>
              <w:autoSpaceDN w:val="0"/>
              <w:adjustRightInd w:val="0"/>
              <w:snapToGrid w:val="0"/>
              <w:spacing w:line="400" w:lineRule="exact"/>
              <w:jc w:val="left"/>
              <w:rPr>
                <w:rFonts w:hint="eastAsia" w:hAnsi="宋体" w:cs="宋体"/>
                <w:color w:val="auto"/>
                <w:sz w:val="21"/>
                <w:szCs w:val="21"/>
                <w:highlight w:val="none"/>
              </w:rPr>
            </w:pPr>
            <w:r>
              <w:rPr>
                <w:rFonts w:hint="eastAsia" w:hAnsi="宋体" w:cs="宋体"/>
                <w:color w:val="auto"/>
                <w:sz w:val="21"/>
                <w:szCs w:val="21"/>
                <w:highlight w:val="none"/>
              </w:rPr>
              <w:t>此部分内容应充分结合招标文件中本项目采购需求的全部内容以及评标办法的评审要求进行综合分析后进行编制，此部分内容包含但不限于：①针对合同履行期限按时完成工作的保障措施和违约承诺；②针对本项目服务质量达标的保障措施和违约承诺；③针对售后运维服务工作质量保障措施和违约承诺；④针对项目安全（如项目安全、信息数据安全和商业机密保密等方面）管理工作质量保障措施和违约承诺。</w:t>
            </w:r>
          </w:p>
          <w:p w14:paraId="4159F0E9">
            <w:pPr>
              <w:kinsoku w:val="0"/>
              <w:overflowPunct w:val="0"/>
              <w:autoSpaceDE w:val="0"/>
              <w:autoSpaceDN w:val="0"/>
              <w:adjustRightInd w:val="0"/>
              <w:snapToGrid w:val="0"/>
              <w:spacing w:line="400" w:lineRule="exact"/>
              <w:jc w:val="left"/>
              <w:rPr>
                <w:rFonts w:hint="eastAsia" w:hAnsi="宋体" w:cs="宋体"/>
                <w:color w:val="auto"/>
                <w:sz w:val="21"/>
                <w:szCs w:val="21"/>
                <w:highlight w:val="none"/>
              </w:rPr>
            </w:pPr>
            <w:r>
              <w:rPr>
                <w:rFonts w:hint="eastAsia" w:hAnsi="宋体" w:cs="宋体"/>
                <w:color w:val="auto"/>
                <w:sz w:val="21"/>
                <w:szCs w:val="21"/>
                <w:highlight w:val="none"/>
              </w:rPr>
              <w:t>评标委员会对所有投标文件的“项目服务质量保障措施和相应违约承诺”中4类单项内容进行详细的审查评价评分，本项总分不超过该6分（每类单项内容最高1.5分），具体评审细则如下：</w:t>
            </w:r>
          </w:p>
          <w:p w14:paraId="3FD0B226">
            <w:pPr>
              <w:kinsoku w:val="0"/>
              <w:overflowPunct w:val="0"/>
              <w:autoSpaceDE w:val="0"/>
              <w:autoSpaceDN w:val="0"/>
              <w:adjustRightInd w:val="0"/>
              <w:snapToGrid w:val="0"/>
              <w:spacing w:line="400" w:lineRule="exact"/>
              <w:jc w:val="left"/>
              <w:rPr>
                <w:rFonts w:hint="eastAsia" w:hAnsi="宋体" w:cs="宋体"/>
                <w:color w:val="auto"/>
                <w:sz w:val="21"/>
                <w:szCs w:val="21"/>
                <w:highlight w:val="none"/>
              </w:rPr>
            </w:pPr>
            <w:r>
              <w:rPr>
                <w:rFonts w:hint="eastAsia" w:hAnsi="宋体" w:cs="宋体"/>
                <w:color w:val="auto"/>
                <w:sz w:val="21"/>
                <w:szCs w:val="21"/>
                <w:highlight w:val="none"/>
              </w:rPr>
              <w:t>（1）“项目服务质量保障措施和相应违约承诺”中4类单项内容是基于采购需求的服务标准提出了对应的质量保障方案，服务质量保障方案描述详细、保障措施可行性强，根据对应的内容提出详细可行的违约责任和承诺条件，且有相应详细的处罚措施和具体违约金额且违约保障力度强，能保障本项目服务工作高效、优质完成的得1.5分。</w:t>
            </w:r>
          </w:p>
          <w:p w14:paraId="547BE8A6">
            <w:pPr>
              <w:kinsoku w:val="0"/>
              <w:overflowPunct w:val="0"/>
              <w:autoSpaceDE w:val="0"/>
              <w:autoSpaceDN w:val="0"/>
              <w:adjustRightInd w:val="0"/>
              <w:snapToGrid w:val="0"/>
              <w:spacing w:line="400" w:lineRule="exact"/>
              <w:jc w:val="left"/>
              <w:rPr>
                <w:rFonts w:hint="eastAsia" w:hAnsi="宋体" w:cs="宋体"/>
                <w:color w:val="auto"/>
                <w:sz w:val="21"/>
                <w:szCs w:val="21"/>
                <w:highlight w:val="none"/>
              </w:rPr>
            </w:pPr>
            <w:r>
              <w:rPr>
                <w:rFonts w:hint="eastAsia" w:hAnsi="宋体" w:cs="宋体"/>
                <w:color w:val="auto"/>
                <w:sz w:val="21"/>
                <w:szCs w:val="21"/>
                <w:highlight w:val="none"/>
              </w:rPr>
              <w:t>（2）“项目服务质量保障措施和相应违约承诺”中4类单项内容是基于采购需求的服务标准提出了对应的质量保障方案，服务质量保障方案描述较为详细、保障措施可行性一般，根据对应的内容提出较为可行的违约责任和承诺条件，相应的处罚措施较为明确，有相应的违约金额但违约保障力度较一般的，能对本项目服务实施有一定的保障的得1分。</w:t>
            </w:r>
          </w:p>
          <w:p w14:paraId="74EA0FB0">
            <w:pPr>
              <w:kinsoku w:val="0"/>
              <w:overflowPunct w:val="0"/>
              <w:autoSpaceDE w:val="0"/>
              <w:autoSpaceDN w:val="0"/>
              <w:adjustRightInd w:val="0"/>
              <w:snapToGrid w:val="0"/>
              <w:spacing w:line="400" w:lineRule="exact"/>
              <w:jc w:val="left"/>
              <w:rPr>
                <w:rFonts w:hint="eastAsia" w:hAnsi="宋体" w:cs="宋体"/>
                <w:color w:val="auto"/>
                <w:sz w:val="21"/>
                <w:szCs w:val="21"/>
                <w:highlight w:val="none"/>
              </w:rPr>
            </w:pPr>
            <w:r>
              <w:rPr>
                <w:rFonts w:hint="eastAsia" w:hAnsi="宋体" w:cs="宋体"/>
                <w:color w:val="auto"/>
                <w:sz w:val="21"/>
                <w:szCs w:val="21"/>
                <w:highlight w:val="none"/>
              </w:rPr>
              <w:t>（3）“项目服务质量保障措施和相应违约承诺”中4类单项内容基本符合采购需求的服务标准，服务质量保障方案描述存在瑕疵或存在前后逻辑错误，根据对应的内容提出的违约责任和承诺条件不具体，可行性较差的，的得0.5分。</w:t>
            </w:r>
          </w:p>
          <w:p w14:paraId="151F65DB">
            <w:pPr>
              <w:kinsoku w:val="0"/>
              <w:overflowPunct w:val="0"/>
              <w:autoSpaceDE w:val="0"/>
              <w:autoSpaceDN w:val="0"/>
              <w:adjustRightInd w:val="0"/>
              <w:snapToGrid w:val="0"/>
              <w:spacing w:line="400" w:lineRule="exact"/>
              <w:jc w:val="left"/>
              <w:rPr>
                <w:color w:val="auto"/>
                <w:highlight w:val="none"/>
              </w:rPr>
            </w:pPr>
            <w:r>
              <w:rPr>
                <w:rFonts w:hint="eastAsia" w:hAnsi="宋体" w:cs="宋体"/>
                <w:color w:val="auto"/>
                <w:sz w:val="21"/>
                <w:szCs w:val="21"/>
                <w:highlight w:val="none"/>
              </w:rPr>
              <w:t>（4）“项目服务质量保障措施和相应违约承诺”中单项内容的描述与本项目对应的内容无关或未提供的得0分。</w:t>
            </w:r>
          </w:p>
        </w:tc>
      </w:tr>
      <w:tr w14:paraId="05C8B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vAlign w:val="center"/>
          </w:tcPr>
          <w:p w14:paraId="7E4712A3">
            <w:pPr>
              <w:spacing w:line="400" w:lineRule="exact"/>
              <w:rPr>
                <w:rFonts w:hint="eastAsia" w:hAnsi="宋体" w:cs="宋体"/>
                <w:color w:val="auto"/>
                <w:sz w:val="21"/>
                <w:szCs w:val="21"/>
                <w:highlight w:val="none"/>
              </w:rPr>
            </w:pPr>
          </w:p>
        </w:tc>
        <w:tc>
          <w:tcPr>
            <w:tcW w:w="894" w:type="dxa"/>
            <w:vMerge w:val="continue"/>
            <w:vAlign w:val="center"/>
          </w:tcPr>
          <w:p w14:paraId="0F78D45B">
            <w:pPr>
              <w:spacing w:line="400" w:lineRule="exact"/>
              <w:rPr>
                <w:rFonts w:hint="eastAsia" w:hAnsi="宋体" w:cs="宋体"/>
                <w:color w:val="auto"/>
                <w:sz w:val="21"/>
                <w:szCs w:val="21"/>
                <w:highlight w:val="none"/>
              </w:rPr>
            </w:pPr>
          </w:p>
        </w:tc>
        <w:tc>
          <w:tcPr>
            <w:tcW w:w="1250" w:type="dxa"/>
            <w:vMerge w:val="continue"/>
            <w:vAlign w:val="center"/>
          </w:tcPr>
          <w:p w14:paraId="22D7885B">
            <w:pPr>
              <w:spacing w:line="400" w:lineRule="exact"/>
              <w:jc w:val="center"/>
              <w:rPr>
                <w:rFonts w:hint="eastAsia" w:hAnsi="宋体" w:cs="宋体"/>
                <w:color w:val="auto"/>
                <w:sz w:val="21"/>
                <w:szCs w:val="21"/>
                <w:highlight w:val="none"/>
              </w:rPr>
            </w:pPr>
          </w:p>
        </w:tc>
        <w:tc>
          <w:tcPr>
            <w:tcW w:w="7035" w:type="dxa"/>
            <w:vAlign w:val="center"/>
          </w:tcPr>
          <w:p w14:paraId="2D78E075">
            <w:pPr>
              <w:widowControl/>
              <w:spacing w:line="380" w:lineRule="exact"/>
              <w:rPr>
                <w:rFonts w:hint="eastAsia" w:hAnsi="宋体" w:cs="宋体"/>
                <w:b/>
                <w:bCs/>
                <w:color w:val="auto"/>
                <w:sz w:val="21"/>
                <w:szCs w:val="21"/>
                <w:highlight w:val="none"/>
              </w:rPr>
            </w:pPr>
            <w:r>
              <w:rPr>
                <w:rFonts w:hint="eastAsia" w:hAnsi="宋体" w:cs="宋体"/>
                <w:b/>
                <w:bCs/>
                <w:color w:val="auto"/>
                <w:sz w:val="21"/>
                <w:szCs w:val="21"/>
                <w:highlight w:val="none"/>
              </w:rPr>
              <w:t>拟投入本项目的综合服务力量介绍（满分7分）</w:t>
            </w:r>
          </w:p>
          <w:p w14:paraId="28BFF2FB">
            <w:pPr>
              <w:kinsoku w:val="0"/>
              <w:overflowPunct w:val="0"/>
              <w:autoSpaceDE w:val="0"/>
              <w:autoSpaceDN w:val="0"/>
              <w:adjustRightInd w:val="0"/>
              <w:snapToGrid w:val="0"/>
              <w:spacing w:line="400" w:lineRule="exact"/>
              <w:jc w:val="left"/>
              <w:rPr>
                <w:rFonts w:hint="eastAsia" w:hAnsi="宋体" w:cs="宋体"/>
                <w:b/>
                <w:color w:val="auto"/>
                <w:sz w:val="21"/>
                <w:szCs w:val="21"/>
                <w:highlight w:val="none"/>
              </w:rPr>
            </w:pPr>
            <w:r>
              <w:rPr>
                <w:rFonts w:hint="eastAsia" w:hAnsi="宋体" w:cs="宋体"/>
                <w:b/>
                <w:color w:val="auto"/>
                <w:sz w:val="21"/>
                <w:szCs w:val="21"/>
                <w:highlight w:val="none"/>
              </w:rPr>
              <w:t>1.投标人服务能力评价（满分3分）</w:t>
            </w:r>
          </w:p>
          <w:p w14:paraId="42C5B8B6">
            <w:pPr>
              <w:kinsoku w:val="0"/>
              <w:overflowPunct w:val="0"/>
              <w:autoSpaceDE w:val="0"/>
              <w:autoSpaceDN w:val="0"/>
              <w:adjustRightInd w:val="0"/>
              <w:snapToGrid w:val="0"/>
              <w:spacing w:line="400" w:lineRule="exact"/>
              <w:jc w:val="left"/>
              <w:rPr>
                <w:rFonts w:hint="eastAsia" w:hAnsi="宋体" w:cs="宋体"/>
                <w:bCs/>
                <w:color w:val="auto"/>
                <w:sz w:val="21"/>
                <w:szCs w:val="21"/>
                <w:highlight w:val="none"/>
              </w:rPr>
            </w:pPr>
            <w:r>
              <w:rPr>
                <w:rFonts w:hint="eastAsia" w:hAnsi="宋体" w:cs="宋体"/>
                <w:bCs/>
                <w:color w:val="auto"/>
                <w:sz w:val="21"/>
                <w:szCs w:val="21"/>
                <w:highlight w:val="none"/>
              </w:rPr>
              <w:t>投标人具有合法有效的售后服务完善程度认证证书（GB/T27922、GB/T16868）、应急预案管理能力评价认证证书（GB/T37228）、大数据安全管理体系认证证书（GB/T37973）、数据治理管理体系认证证书（IS038505）、数据存储安全管理体系认证证书（ISO/IEC27040:2015）、信息安全管理体系认证ISO/IEC 27001:2022。每提供一类认证证书得0.5分，最高不超过3分，未提供认证证书或提供的认证证书有效期限过期的评标委员会不予认可。</w:t>
            </w:r>
          </w:p>
          <w:p w14:paraId="08BF39B7">
            <w:pPr>
              <w:kinsoku w:val="0"/>
              <w:overflowPunct w:val="0"/>
              <w:autoSpaceDE w:val="0"/>
              <w:autoSpaceDN w:val="0"/>
              <w:adjustRightInd w:val="0"/>
              <w:snapToGrid w:val="0"/>
              <w:spacing w:line="400" w:lineRule="exact"/>
              <w:jc w:val="left"/>
              <w:rPr>
                <w:rFonts w:hint="eastAsia" w:hAnsi="宋体" w:cs="宋体"/>
                <w:bCs/>
                <w:color w:val="auto"/>
                <w:sz w:val="21"/>
                <w:szCs w:val="21"/>
                <w:highlight w:val="none"/>
              </w:rPr>
            </w:pPr>
          </w:p>
          <w:p w14:paraId="08119D1C">
            <w:pPr>
              <w:kinsoku w:val="0"/>
              <w:overflowPunct w:val="0"/>
              <w:autoSpaceDE w:val="0"/>
              <w:autoSpaceDN w:val="0"/>
              <w:adjustRightInd w:val="0"/>
              <w:snapToGrid w:val="0"/>
              <w:spacing w:line="400" w:lineRule="exact"/>
              <w:jc w:val="left"/>
              <w:rPr>
                <w:rFonts w:hint="eastAsia" w:hAnsi="宋体" w:cs="宋体"/>
                <w:b/>
                <w:color w:val="auto"/>
                <w:sz w:val="21"/>
                <w:szCs w:val="21"/>
                <w:highlight w:val="none"/>
              </w:rPr>
            </w:pPr>
            <w:r>
              <w:rPr>
                <w:rFonts w:hint="eastAsia" w:hAnsi="宋体" w:cs="宋体"/>
                <w:b/>
                <w:color w:val="auto"/>
                <w:sz w:val="21"/>
                <w:szCs w:val="21"/>
                <w:highlight w:val="none"/>
              </w:rPr>
              <w:t>2.投标人项目团队综合实力评价（满分4分）</w:t>
            </w:r>
          </w:p>
          <w:p w14:paraId="1578CB97">
            <w:pPr>
              <w:kinsoku w:val="0"/>
              <w:overflowPunct w:val="0"/>
              <w:autoSpaceDE w:val="0"/>
              <w:autoSpaceDN w:val="0"/>
              <w:adjustRightInd w:val="0"/>
              <w:snapToGrid w:val="0"/>
              <w:spacing w:line="400" w:lineRule="exact"/>
              <w:jc w:val="left"/>
              <w:rPr>
                <w:rFonts w:hint="eastAsia" w:hAnsi="宋体" w:cs="宋体"/>
                <w:bCs/>
                <w:color w:val="auto"/>
                <w:sz w:val="21"/>
                <w:szCs w:val="21"/>
                <w:highlight w:val="none"/>
              </w:rPr>
            </w:pPr>
            <w:r>
              <w:rPr>
                <w:rFonts w:hint="eastAsia" w:hAnsi="宋体" w:cs="宋体"/>
                <w:bCs/>
                <w:color w:val="auto"/>
                <w:sz w:val="21"/>
                <w:szCs w:val="21"/>
                <w:highlight w:val="none"/>
              </w:rPr>
              <w:t>第一个档次（4分）：投标人拟组建的项目服务机构根据项目建设情况进行合理技术分工，项目服务技术团队组织结构健全设置合理，各类专业技术人员专业和数量构成配备合理，驻场人员配置满足采购需求，各类技术服务人员的能力资质证明材料【如项目服务机构中技术人员具有信息系统类高级职称证书、软件设计师、PMP、系统集成项目管理工程师、CISP、网络工程师证书等职业（职业）证书或技术能力证书】全面齐全，技术服务人员具有丰富的服务经验，能够充分胜任服务岗位的，能满足项目开展的；</w:t>
            </w:r>
          </w:p>
          <w:p w14:paraId="464ADF6F">
            <w:pPr>
              <w:kinsoku w:val="0"/>
              <w:overflowPunct w:val="0"/>
              <w:autoSpaceDE w:val="0"/>
              <w:autoSpaceDN w:val="0"/>
              <w:adjustRightInd w:val="0"/>
              <w:snapToGrid w:val="0"/>
              <w:spacing w:line="400" w:lineRule="exact"/>
              <w:jc w:val="left"/>
              <w:rPr>
                <w:rFonts w:hint="eastAsia" w:hAnsi="宋体" w:cs="宋体"/>
                <w:bCs/>
                <w:color w:val="auto"/>
                <w:sz w:val="21"/>
                <w:szCs w:val="21"/>
                <w:highlight w:val="none"/>
              </w:rPr>
            </w:pPr>
            <w:r>
              <w:rPr>
                <w:rFonts w:hint="eastAsia" w:hAnsi="宋体" w:cs="宋体"/>
                <w:bCs/>
                <w:color w:val="auto"/>
                <w:sz w:val="21"/>
                <w:szCs w:val="21"/>
                <w:highlight w:val="none"/>
              </w:rPr>
              <w:t>第二档次（3分）：投标人拟组建的项目服务机构根据项目建设情况进行相应技术分工，项目服务技术团队组织结构较为健全，各类专业技术人员专业和数量构成配备较为合理，驻场人员配置满足采购需求，主要技术服务人员的能力资质证明材料【如项目服务机构中技术人员具有信息系统类高级职称证书、软件设计师、PMP、系统集成项目管理工程师、CISP、网络工程师证书等职业（职业）证书或技术能力证书】较为齐全（缺失技术人员能力证明种类的不超过2类），技术服务人员具有相应的服务经验，能满足项目实施要求的。</w:t>
            </w:r>
          </w:p>
          <w:p w14:paraId="57620AF5">
            <w:pPr>
              <w:kinsoku w:val="0"/>
              <w:overflowPunct w:val="0"/>
              <w:autoSpaceDE w:val="0"/>
              <w:autoSpaceDN w:val="0"/>
              <w:adjustRightInd w:val="0"/>
              <w:snapToGrid w:val="0"/>
              <w:spacing w:line="400" w:lineRule="exact"/>
              <w:jc w:val="left"/>
              <w:rPr>
                <w:rFonts w:hint="eastAsia" w:hAnsi="宋体" w:cs="宋体"/>
                <w:bCs/>
                <w:color w:val="auto"/>
                <w:sz w:val="21"/>
                <w:szCs w:val="21"/>
                <w:highlight w:val="none"/>
              </w:rPr>
            </w:pPr>
            <w:r>
              <w:rPr>
                <w:rFonts w:hint="eastAsia" w:hAnsi="宋体" w:cs="宋体"/>
                <w:bCs/>
                <w:color w:val="auto"/>
                <w:sz w:val="21"/>
                <w:szCs w:val="21"/>
                <w:highlight w:val="none"/>
              </w:rPr>
              <w:t>第三档次（2分）：投标人拟组建的项目服务机构的技术分工介绍表述不完整或分工不明确，项目服务技术团队组织结构基本健全，各类专业技术人员专业配置基本合理和数量配置人员较少，驻场人员配置基本满足采购需求，主要技术服务人员的能力资质证明材料存在部分缺失（缺失技术人员能力证明种类的超过2类），技术服务人员具有相应的服务经验，能满足项目实施要求的。</w:t>
            </w:r>
          </w:p>
          <w:p w14:paraId="18B4E20F">
            <w:pPr>
              <w:kinsoku w:val="0"/>
              <w:overflowPunct w:val="0"/>
              <w:autoSpaceDE w:val="0"/>
              <w:autoSpaceDN w:val="0"/>
              <w:adjustRightInd w:val="0"/>
              <w:snapToGrid w:val="0"/>
              <w:spacing w:line="400" w:lineRule="exact"/>
              <w:jc w:val="left"/>
              <w:rPr>
                <w:rFonts w:hint="eastAsia" w:hAnsi="宋体" w:cs="宋体"/>
                <w:bCs/>
                <w:color w:val="auto"/>
                <w:sz w:val="21"/>
                <w:szCs w:val="21"/>
                <w:highlight w:val="none"/>
              </w:rPr>
            </w:pPr>
            <w:r>
              <w:rPr>
                <w:rFonts w:hint="eastAsia" w:hAnsi="宋体" w:cs="宋体"/>
                <w:bCs/>
                <w:color w:val="auto"/>
                <w:sz w:val="21"/>
                <w:szCs w:val="21"/>
                <w:highlight w:val="none"/>
              </w:rPr>
              <w:t>第四档次（1分）：投标人拟组建的项目服务机构没有技术分工介绍，项目服务技术团队组织结构基本健全，各类专业技术人员专业和数量构成配置基本满足采购要求，驻场人员配置基本满足采购需求，主要技术服务人员的能力资质证明材料存在缺失（无相应的职业（职业）证书或技术能力证书），技术服务人员无相应的服务经验或提供的证明材料模糊造成无法辨别者的。</w:t>
            </w:r>
          </w:p>
          <w:p w14:paraId="3FD31221">
            <w:pPr>
              <w:kinsoku w:val="0"/>
              <w:overflowPunct w:val="0"/>
              <w:autoSpaceDE w:val="0"/>
              <w:autoSpaceDN w:val="0"/>
              <w:adjustRightInd w:val="0"/>
              <w:snapToGrid w:val="0"/>
              <w:spacing w:line="400" w:lineRule="exact"/>
              <w:jc w:val="left"/>
              <w:rPr>
                <w:color w:val="auto"/>
                <w:highlight w:val="none"/>
              </w:rPr>
            </w:pPr>
            <w:r>
              <w:rPr>
                <w:rFonts w:hint="eastAsia" w:hAnsi="宋体" w:cs="宋体"/>
                <w:bCs/>
                <w:color w:val="auto"/>
                <w:sz w:val="21"/>
                <w:szCs w:val="21"/>
                <w:highlight w:val="none"/>
              </w:rPr>
              <w:t>注：投标人须提供项目团队服务人员的相关证明材料【身份证、毕业证、人员在职证明材料（如近半年内的社保证明和劳动合同）】的此项不得分。</w:t>
            </w:r>
          </w:p>
        </w:tc>
      </w:tr>
      <w:tr w14:paraId="4B7E4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vAlign w:val="center"/>
          </w:tcPr>
          <w:p w14:paraId="423C881D">
            <w:pPr>
              <w:spacing w:line="400" w:lineRule="exact"/>
              <w:rPr>
                <w:rFonts w:hint="eastAsia" w:hAnsi="宋体" w:cs="宋体"/>
                <w:color w:val="auto"/>
                <w:sz w:val="21"/>
                <w:szCs w:val="21"/>
                <w:highlight w:val="none"/>
              </w:rPr>
            </w:pPr>
          </w:p>
        </w:tc>
        <w:tc>
          <w:tcPr>
            <w:tcW w:w="894" w:type="dxa"/>
            <w:vMerge w:val="continue"/>
            <w:vAlign w:val="center"/>
          </w:tcPr>
          <w:p w14:paraId="7202AADF">
            <w:pPr>
              <w:spacing w:line="400" w:lineRule="exact"/>
              <w:rPr>
                <w:rFonts w:hint="eastAsia" w:hAnsi="宋体" w:cs="宋体"/>
                <w:color w:val="auto"/>
                <w:sz w:val="21"/>
                <w:szCs w:val="21"/>
                <w:highlight w:val="none"/>
              </w:rPr>
            </w:pPr>
          </w:p>
        </w:tc>
        <w:tc>
          <w:tcPr>
            <w:tcW w:w="1250" w:type="dxa"/>
            <w:vMerge w:val="continue"/>
            <w:vAlign w:val="center"/>
          </w:tcPr>
          <w:p w14:paraId="163D4354">
            <w:pPr>
              <w:spacing w:line="400" w:lineRule="exact"/>
              <w:jc w:val="center"/>
              <w:rPr>
                <w:rFonts w:hint="eastAsia" w:hAnsi="宋体" w:cs="宋体"/>
                <w:color w:val="auto"/>
                <w:sz w:val="21"/>
                <w:szCs w:val="21"/>
                <w:highlight w:val="none"/>
              </w:rPr>
            </w:pPr>
          </w:p>
        </w:tc>
        <w:tc>
          <w:tcPr>
            <w:tcW w:w="7035" w:type="dxa"/>
            <w:vAlign w:val="center"/>
          </w:tcPr>
          <w:p w14:paraId="4F80C286">
            <w:pPr>
              <w:spacing w:line="400" w:lineRule="exact"/>
              <w:rPr>
                <w:rFonts w:hint="eastAsia" w:hAnsi="宋体" w:cs="宋体"/>
                <w:b/>
                <w:bCs/>
                <w:color w:val="auto"/>
                <w:sz w:val="21"/>
                <w:szCs w:val="21"/>
                <w:highlight w:val="none"/>
              </w:rPr>
            </w:pPr>
            <w:r>
              <w:rPr>
                <w:rFonts w:hint="eastAsia" w:hAnsi="宋体" w:cs="宋体"/>
                <w:b/>
                <w:bCs/>
                <w:color w:val="auto"/>
                <w:sz w:val="21"/>
                <w:szCs w:val="21"/>
                <w:highlight w:val="none"/>
              </w:rPr>
              <w:t>项目经验评价（满分3分）</w:t>
            </w:r>
          </w:p>
          <w:p w14:paraId="329FD295">
            <w:pPr>
              <w:spacing w:line="400" w:lineRule="exact"/>
              <w:rPr>
                <w:rFonts w:hint="eastAsia" w:hAnsi="宋体" w:cs="宋体"/>
                <w:color w:val="auto"/>
                <w:sz w:val="21"/>
                <w:szCs w:val="21"/>
                <w:highlight w:val="none"/>
              </w:rPr>
            </w:pPr>
            <w:r>
              <w:rPr>
                <w:rFonts w:hint="eastAsia" w:hAnsi="宋体" w:cs="宋体"/>
                <w:color w:val="auto"/>
                <w:sz w:val="21"/>
                <w:szCs w:val="21"/>
                <w:highlight w:val="none"/>
              </w:rPr>
              <w:t>包括2021年1月1日至今完成的项目经验情况等因素：</w:t>
            </w:r>
          </w:p>
          <w:p w14:paraId="23BF1F04">
            <w:pPr>
              <w:spacing w:line="400" w:lineRule="exact"/>
              <w:rPr>
                <w:rFonts w:hint="eastAsia" w:hAnsi="宋体" w:cs="宋体"/>
                <w:color w:val="auto"/>
                <w:sz w:val="21"/>
                <w:szCs w:val="21"/>
                <w:highlight w:val="none"/>
              </w:rPr>
            </w:pPr>
            <w:r>
              <w:rPr>
                <w:rFonts w:hint="eastAsia" w:hAnsi="宋体" w:cs="宋体"/>
                <w:color w:val="auto"/>
                <w:sz w:val="21"/>
                <w:szCs w:val="21"/>
                <w:highlight w:val="none"/>
              </w:rPr>
              <w:t>根据投标文件中提供的项目经验证明材料进行评审（合同和项目验收合格证明材料），根据项目经验证明材料数量多少进行打分。若未提供项目经验证明材料，评委可不予认可。</w:t>
            </w:r>
          </w:p>
          <w:p w14:paraId="1C125371">
            <w:pPr>
              <w:spacing w:line="400" w:lineRule="exact"/>
              <w:rPr>
                <w:rFonts w:hint="eastAsia" w:hAnsi="宋体" w:cs="宋体"/>
                <w:color w:val="auto"/>
                <w:sz w:val="21"/>
                <w:szCs w:val="21"/>
                <w:highlight w:val="none"/>
              </w:rPr>
            </w:pPr>
            <w:r>
              <w:rPr>
                <w:rFonts w:hint="eastAsia" w:hAnsi="宋体" w:cs="宋体"/>
                <w:color w:val="auto"/>
                <w:sz w:val="21"/>
                <w:szCs w:val="21"/>
                <w:highlight w:val="none"/>
              </w:rPr>
              <w:t>每提供一份项目经验得1分，最高不超过3分；投标人无类似项目经验证明材料的或提供的项目经验证明材料模糊不能辨认的，得0分。</w:t>
            </w:r>
          </w:p>
          <w:p w14:paraId="385710F2">
            <w:pPr>
              <w:spacing w:line="400" w:lineRule="exact"/>
              <w:rPr>
                <w:rFonts w:hint="eastAsia" w:hAnsi="宋体" w:cs="宋体"/>
                <w:color w:val="auto"/>
                <w:sz w:val="21"/>
                <w:szCs w:val="21"/>
                <w:highlight w:val="none"/>
              </w:rPr>
            </w:pPr>
            <w:r>
              <w:rPr>
                <w:rFonts w:hint="eastAsia" w:hAnsi="宋体" w:cs="宋体"/>
                <w:color w:val="auto"/>
                <w:sz w:val="21"/>
                <w:szCs w:val="21"/>
                <w:highlight w:val="none"/>
              </w:rPr>
              <w:t>类似项目经验：是指投标人2021年1月1日（以合同签订之日起计算）至今承担过与本次采购内容相符的信息化系统建设服务实施经验。</w:t>
            </w:r>
          </w:p>
        </w:tc>
      </w:tr>
      <w:tr w14:paraId="60774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vAlign w:val="center"/>
          </w:tcPr>
          <w:p w14:paraId="225F5872">
            <w:pPr>
              <w:spacing w:line="400" w:lineRule="exact"/>
              <w:rPr>
                <w:rFonts w:hint="eastAsia" w:hAnsi="宋体" w:cs="宋体"/>
                <w:color w:val="auto"/>
                <w:sz w:val="21"/>
                <w:szCs w:val="21"/>
                <w:highlight w:val="none"/>
              </w:rPr>
            </w:pPr>
            <w:bookmarkStart w:id="32" w:name="_Toc446762717"/>
          </w:p>
        </w:tc>
        <w:tc>
          <w:tcPr>
            <w:tcW w:w="894" w:type="dxa"/>
            <w:vMerge w:val="continue"/>
            <w:vAlign w:val="center"/>
          </w:tcPr>
          <w:p w14:paraId="3A926DC8">
            <w:pPr>
              <w:spacing w:line="400" w:lineRule="exact"/>
              <w:rPr>
                <w:rFonts w:hint="eastAsia" w:hAnsi="宋体" w:cs="宋体"/>
                <w:color w:val="auto"/>
                <w:sz w:val="21"/>
                <w:szCs w:val="21"/>
                <w:highlight w:val="none"/>
              </w:rPr>
            </w:pPr>
          </w:p>
        </w:tc>
        <w:tc>
          <w:tcPr>
            <w:tcW w:w="1250" w:type="dxa"/>
            <w:vAlign w:val="center"/>
          </w:tcPr>
          <w:p w14:paraId="245D1487">
            <w:pPr>
              <w:spacing w:line="400" w:lineRule="exact"/>
              <w:jc w:val="center"/>
              <w:rPr>
                <w:rFonts w:hint="eastAsia" w:hAnsi="宋体" w:cs="宋体"/>
                <w:color w:val="auto"/>
                <w:sz w:val="21"/>
                <w:szCs w:val="21"/>
                <w:highlight w:val="none"/>
              </w:rPr>
            </w:pPr>
            <w:r>
              <w:rPr>
                <w:rFonts w:hint="eastAsia" w:hAnsi="宋体" w:cs="宋体"/>
                <w:color w:val="auto"/>
                <w:sz w:val="21"/>
                <w:szCs w:val="21"/>
                <w:highlight w:val="none"/>
              </w:rPr>
              <w:t>2）投标报价得分F2</w:t>
            </w:r>
          </w:p>
          <w:p w14:paraId="058A6BCF">
            <w:pPr>
              <w:spacing w:line="400" w:lineRule="exact"/>
              <w:rPr>
                <w:rFonts w:hint="eastAsia" w:hAnsi="宋体" w:cs="宋体"/>
                <w:color w:val="auto"/>
                <w:sz w:val="21"/>
                <w:szCs w:val="21"/>
                <w:highlight w:val="none"/>
              </w:rPr>
            </w:pPr>
            <w:r>
              <w:rPr>
                <w:rFonts w:hint="eastAsia" w:hAnsi="宋体" w:cs="宋体"/>
                <w:color w:val="auto"/>
                <w:sz w:val="21"/>
                <w:szCs w:val="21"/>
                <w:highlight w:val="none"/>
              </w:rPr>
              <w:t>（满分10分）</w:t>
            </w:r>
          </w:p>
        </w:tc>
        <w:tc>
          <w:tcPr>
            <w:tcW w:w="7035" w:type="dxa"/>
            <w:vAlign w:val="center"/>
          </w:tcPr>
          <w:p w14:paraId="3E6204F2">
            <w:pPr>
              <w:spacing w:line="400" w:lineRule="exact"/>
              <w:rPr>
                <w:rFonts w:hint="eastAsia" w:hAnsi="宋体" w:cs="宋体"/>
                <w:color w:val="auto"/>
                <w:sz w:val="21"/>
                <w:szCs w:val="21"/>
                <w:highlight w:val="none"/>
              </w:rPr>
            </w:pPr>
            <w:r>
              <w:rPr>
                <w:rFonts w:hint="eastAsia" w:hAnsi="宋体" w:cs="宋体"/>
                <w:color w:val="auto"/>
                <w:sz w:val="21"/>
                <w:szCs w:val="21"/>
                <w:highlight w:val="none"/>
              </w:rPr>
              <w:t>（1）投标报价评审计算公式：</w:t>
            </w:r>
          </w:p>
          <w:p w14:paraId="2ED0C968">
            <w:pPr>
              <w:spacing w:line="400" w:lineRule="exact"/>
              <w:rPr>
                <w:rFonts w:hint="eastAsia" w:hAnsi="宋体" w:cs="宋体"/>
                <w:color w:val="auto"/>
                <w:sz w:val="21"/>
                <w:szCs w:val="21"/>
                <w:highlight w:val="none"/>
              </w:rPr>
            </w:pPr>
            <w:r>
              <w:rPr>
                <w:rFonts w:hint="eastAsia" w:hAnsi="宋体" w:cs="宋体"/>
                <w:color w:val="auto"/>
                <w:sz w:val="21"/>
                <w:szCs w:val="21"/>
                <w:highlight w:val="none"/>
              </w:rPr>
              <w:t>投标报价计算公式=（评标基准价/该投标人投标报价）×10</w:t>
            </w:r>
          </w:p>
          <w:p w14:paraId="1B912A05">
            <w:pPr>
              <w:spacing w:line="400" w:lineRule="exact"/>
              <w:rPr>
                <w:rFonts w:hint="eastAsia" w:hAnsi="宋体" w:cs="宋体"/>
                <w:color w:val="auto"/>
                <w:sz w:val="21"/>
                <w:szCs w:val="21"/>
                <w:highlight w:val="none"/>
              </w:rPr>
            </w:pPr>
            <w:r>
              <w:rPr>
                <w:rFonts w:hint="eastAsia" w:hAnsi="宋体" w:cs="宋体"/>
                <w:color w:val="auto"/>
                <w:sz w:val="21"/>
                <w:szCs w:val="21"/>
                <w:highlight w:val="none"/>
              </w:rPr>
              <w:t>即：F2=[P/（B1，B2，…，Bn）]×10</w:t>
            </w:r>
          </w:p>
          <w:p w14:paraId="309F7377">
            <w:pPr>
              <w:spacing w:line="400" w:lineRule="exact"/>
              <w:rPr>
                <w:rFonts w:hint="eastAsia" w:hAnsi="宋体" w:cs="宋体"/>
                <w:color w:val="auto"/>
                <w:sz w:val="21"/>
                <w:szCs w:val="21"/>
                <w:highlight w:val="none"/>
              </w:rPr>
            </w:pPr>
            <w:r>
              <w:rPr>
                <w:rFonts w:hint="eastAsia" w:hAnsi="宋体" w:cs="宋体"/>
                <w:color w:val="auto"/>
                <w:sz w:val="21"/>
                <w:szCs w:val="21"/>
                <w:highlight w:val="none"/>
              </w:rPr>
              <w:t>注：P为评标基准价，即经初步评审审查合格且投标报价最低的有效投标报价；</w:t>
            </w:r>
          </w:p>
          <w:p w14:paraId="6B6465DC">
            <w:pPr>
              <w:spacing w:line="400" w:lineRule="exact"/>
              <w:rPr>
                <w:rFonts w:hint="eastAsia" w:hAnsi="宋体" w:cs="宋体"/>
                <w:color w:val="auto"/>
                <w:sz w:val="21"/>
                <w:szCs w:val="21"/>
                <w:highlight w:val="none"/>
              </w:rPr>
            </w:pPr>
            <w:r>
              <w:rPr>
                <w:rFonts w:hint="eastAsia" w:hAnsi="宋体" w:cs="宋体"/>
                <w:color w:val="auto"/>
                <w:sz w:val="21"/>
                <w:szCs w:val="21"/>
                <w:highlight w:val="none"/>
              </w:rPr>
              <w:t>B1，B2，…，Bn为通过符合性评审的有效投标报价，n为通过符合性评审的有效最终报价的个数。</w:t>
            </w:r>
          </w:p>
          <w:p w14:paraId="41318766">
            <w:pPr>
              <w:spacing w:line="400" w:lineRule="exact"/>
              <w:rPr>
                <w:rFonts w:hint="eastAsia" w:hAnsi="宋体" w:cs="宋体"/>
                <w:color w:val="auto"/>
                <w:sz w:val="21"/>
                <w:szCs w:val="21"/>
                <w:highlight w:val="none"/>
              </w:rPr>
            </w:pPr>
            <w:r>
              <w:rPr>
                <w:rFonts w:hint="eastAsia" w:hAnsi="宋体" w:cs="宋体"/>
                <w:color w:val="auto"/>
                <w:sz w:val="21"/>
                <w:szCs w:val="21"/>
                <w:highlight w:val="none"/>
              </w:rPr>
              <w:t>（2）小微企业报价的确定：</w:t>
            </w:r>
          </w:p>
          <w:p w14:paraId="5E5D5D9C">
            <w:pPr>
              <w:spacing w:line="400" w:lineRule="exact"/>
              <w:rPr>
                <w:rFonts w:hint="eastAsia" w:hAnsi="宋体" w:cs="宋体"/>
                <w:color w:val="auto"/>
                <w:sz w:val="21"/>
                <w:szCs w:val="21"/>
                <w:highlight w:val="none"/>
              </w:rPr>
            </w:pPr>
            <w:r>
              <w:rPr>
                <w:rFonts w:hint="eastAsia" w:hAnsi="宋体" w:cs="宋体"/>
                <w:color w:val="auto"/>
                <w:sz w:val="21"/>
                <w:szCs w:val="21"/>
                <w:highlight w:val="none"/>
              </w:rPr>
              <w:t>①小型、微型企业提供参与投标时，须提供本企业的《中小企业声明函》。</w:t>
            </w:r>
          </w:p>
          <w:p w14:paraId="32A791B9">
            <w:pPr>
              <w:spacing w:line="400" w:lineRule="exact"/>
              <w:rPr>
                <w:rFonts w:hint="eastAsia" w:hAnsi="宋体" w:cs="宋体"/>
                <w:color w:val="auto"/>
                <w:sz w:val="21"/>
                <w:szCs w:val="21"/>
                <w:highlight w:val="none"/>
              </w:rPr>
            </w:pPr>
            <w:r>
              <w:rPr>
                <w:rFonts w:hint="eastAsia" w:hAnsi="宋体" w:cs="宋体"/>
                <w:color w:val="auto"/>
                <w:sz w:val="21"/>
                <w:szCs w:val="21"/>
                <w:highlight w:val="none"/>
              </w:rPr>
              <w:t>②如投标人为监狱企业，还须提供省级以上监狱管理局、戒毒管理局（含新疆生产建设兵团）出具的属于监狱企业的证明文件扫描件。</w:t>
            </w:r>
          </w:p>
          <w:p w14:paraId="0D15819C">
            <w:pPr>
              <w:spacing w:line="400" w:lineRule="exact"/>
              <w:rPr>
                <w:rFonts w:hint="eastAsia" w:hAnsi="宋体" w:cs="宋体"/>
                <w:color w:val="auto"/>
                <w:sz w:val="21"/>
                <w:szCs w:val="21"/>
                <w:highlight w:val="none"/>
              </w:rPr>
            </w:pPr>
            <w:r>
              <w:rPr>
                <w:rFonts w:hint="eastAsia" w:hAnsi="宋体" w:cs="宋体"/>
                <w:color w:val="auto"/>
                <w:sz w:val="21"/>
                <w:szCs w:val="21"/>
                <w:highlight w:val="none"/>
              </w:rPr>
              <w:t>③如投标人为残疾人福利性单位，提供《残疾人福利性单位声明函》。</w:t>
            </w:r>
          </w:p>
          <w:p w14:paraId="441B8094">
            <w:pPr>
              <w:spacing w:line="400" w:lineRule="exact"/>
              <w:rPr>
                <w:rFonts w:hint="eastAsia" w:hAnsi="宋体" w:cs="宋体"/>
                <w:color w:val="auto"/>
                <w:sz w:val="21"/>
                <w:szCs w:val="21"/>
                <w:highlight w:val="none"/>
              </w:rPr>
            </w:pPr>
            <w:r>
              <w:rPr>
                <w:rFonts w:hint="eastAsia" w:hAnsi="宋体" w:cs="宋体"/>
                <w:color w:val="auto"/>
                <w:sz w:val="21"/>
                <w:szCs w:val="21"/>
                <w:highlight w:val="none"/>
              </w:rPr>
              <w:t>对小型、微型企业的投标产品（提供本企业承担的服务）的价格给予10%的扣除。</w:t>
            </w:r>
          </w:p>
          <w:p w14:paraId="3D3DDCA8">
            <w:pPr>
              <w:spacing w:line="400" w:lineRule="exact"/>
              <w:rPr>
                <w:rFonts w:hint="eastAsia" w:hAnsi="宋体" w:cs="宋体"/>
                <w:color w:val="auto"/>
                <w:sz w:val="21"/>
                <w:szCs w:val="21"/>
                <w:highlight w:val="none"/>
              </w:rPr>
            </w:pPr>
            <w:r>
              <w:rPr>
                <w:rFonts w:hint="eastAsia" w:hAnsi="宋体" w:cs="宋体"/>
                <w:color w:val="auto"/>
                <w:sz w:val="21"/>
                <w:szCs w:val="21"/>
                <w:highlight w:val="none"/>
              </w:rPr>
              <w:t>小型、含微型企业报价计算公式：B小=B*(1-10%)，该报价作为评审价格。</w:t>
            </w:r>
          </w:p>
          <w:p w14:paraId="43212274">
            <w:pPr>
              <w:spacing w:line="400" w:lineRule="exact"/>
              <w:rPr>
                <w:rFonts w:hint="eastAsia" w:hAnsi="宋体" w:cs="宋体"/>
                <w:color w:val="auto"/>
                <w:sz w:val="21"/>
                <w:szCs w:val="21"/>
                <w:highlight w:val="none"/>
              </w:rPr>
            </w:pPr>
            <w:r>
              <w:rPr>
                <w:rFonts w:hint="eastAsia" w:hAnsi="宋体" w:cs="宋体"/>
                <w:color w:val="auto"/>
                <w:sz w:val="21"/>
                <w:szCs w:val="21"/>
                <w:highlight w:val="none"/>
              </w:rPr>
              <w:t>注：根据《政府采购货物和服务招标投标管理办法》（财政部第87号令）第六十条：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bl>
    <w:p w14:paraId="7E585C5B">
      <w:pPr>
        <w:widowControl/>
        <w:jc w:val="left"/>
        <w:rPr>
          <w:rFonts w:hint="eastAsia" w:ascii="Times New Roman" w:hAnsi="宋体"/>
          <w:b/>
          <w:color w:val="auto"/>
          <w:sz w:val="32"/>
          <w:highlight w:val="none"/>
        </w:rPr>
      </w:pPr>
      <w:r>
        <w:rPr>
          <w:rFonts w:hAnsi="宋体"/>
          <w:color w:val="auto"/>
          <w:highlight w:val="none"/>
        </w:rPr>
        <w:br w:type="page"/>
      </w:r>
    </w:p>
    <w:bookmarkEnd w:id="32"/>
    <w:p w14:paraId="7C7DFEB4">
      <w:pPr>
        <w:pStyle w:val="7"/>
        <w:numPr>
          <w:ilvl w:val="0"/>
          <w:numId w:val="0"/>
        </w:numPr>
        <w:spacing w:before="0" w:after="0" w:line="500" w:lineRule="exact"/>
        <w:rPr>
          <w:rFonts w:hint="eastAsia" w:hAnsi="宋体"/>
          <w:color w:val="auto"/>
          <w:highlight w:val="none"/>
        </w:rPr>
      </w:pPr>
      <w:bookmarkStart w:id="33" w:name="_Toc14861"/>
      <w:r>
        <w:rPr>
          <w:rFonts w:hint="eastAsia" w:hAnsi="宋体"/>
          <w:color w:val="auto"/>
          <w:highlight w:val="none"/>
        </w:rPr>
        <w:t>3.评标程序</w:t>
      </w:r>
      <w:bookmarkEnd w:id="33"/>
    </w:p>
    <w:p w14:paraId="0EECE946">
      <w:pPr>
        <w:spacing w:line="440" w:lineRule="exact"/>
        <w:ind w:firstLine="420" w:firstLineChars="200"/>
        <w:rPr>
          <w:rFonts w:hint="eastAsia" w:hAnsi="宋体"/>
          <w:color w:val="auto"/>
          <w:sz w:val="21"/>
          <w:szCs w:val="21"/>
          <w:highlight w:val="none"/>
        </w:rPr>
      </w:pPr>
      <w:r>
        <w:rPr>
          <w:rFonts w:hint="eastAsia" w:hAnsi="宋体"/>
          <w:color w:val="auto"/>
          <w:sz w:val="21"/>
          <w:szCs w:val="21"/>
          <w:highlight w:val="none"/>
        </w:rPr>
        <w:t>3.1 符合性评审标准：评标委员会依据招标文件的规定，从投标文件的有效性、完整性和对招标文件的响应程度进行审查，见评标方法前附表。</w:t>
      </w:r>
    </w:p>
    <w:p w14:paraId="7D86C215">
      <w:pPr>
        <w:spacing w:line="440" w:lineRule="exact"/>
        <w:ind w:firstLine="420" w:firstLineChars="200"/>
        <w:rPr>
          <w:rFonts w:hint="eastAsia" w:hAnsi="宋体"/>
          <w:color w:val="auto"/>
          <w:sz w:val="21"/>
          <w:szCs w:val="21"/>
          <w:highlight w:val="none"/>
        </w:rPr>
      </w:pPr>
      <w:r>
        <w:rPr>
          <w:rFonts w:hint="eastAsia" w:hAnsi="宋体"/>
          <w:color w:val="auto"/>
          <w:sz w:val="21"/>
          <w:szCs w:val="21"/>
          <w:highlight w:val="none"/>
        </w:rPr>
        <w:t xml:space="preserve"> 3.1.2 投标人有以下情形之一的，其投标作无效投标处理：</w:t>
      </w:r>
    </w:p>
    <w:p w14:paraId="5C53D6AE">
      <w:pPr>
        <w:spacing w:line="440" w:lineRule="exact"/>
        <w:ind w:firstLine="420" w:firstLineChars="200"/>
        <w:rPr>
          <w:rFonts w:hint="eastAsia" w:hAnsi="宋体"/>
          <w:color w:val="auto"/>
          <w:sz w:val="21"/>
          <w:szCs w:val="21"/>
          <w:highlight w:val="none"/>
        </w:rPr>
      </w:pPr>
      <w:r>
        <w:rPr>
          <w:rFonts w:hint="eastAsia" w:hAnsi="宋体"/>
          <w:color w:val="auto"/>
          <w:sz w:val="21"/>
          <w:szCs w:val="21"/>
          <w:highlight w:val="none"/>
        </w:rPr>
        <w:t>（1）第二章“投标人须知”第1.4.3项规定的任何一种情形的；</w:t>
      </w:r>
    </w:p>
    <w:p w14:paraId="47C6129A">
      <w:pPr>
        <w:spacing w:line="440" w:lineRule="exact"/>
        <w:ind w:firstLine="420" w:firstLineChars="200"/>
        <w:rPr>
          <w:rFonts w:hint="eastAsia" w:hAnsi="宋体"/>
          <w:color w:val="auto"/>
          <w:sz w:val="21"/>
          <w:szCs w:val="21"/>
          <w:highlight w:val="none"/>
        </w:rPr>
      </w:pPr>
      <w:r>
        <w:rPr>
          <w:rFonts w:hint="eastAsia" w:hAnsi="宋体"/>
          <w:color w:val="auto"/>
          <w:sz w:val="21"/>
          <w:szCs w:val="21"/>
          <w:highlight w:val="none"/>
        </w:rPr>
        <w:t>（2</w:t>
      </w:r>
      <w:r>
        <w:rPr>
          <w:rFonts w:hAnsi="宋体"/>
          <w:color w:val="auto"/>
          <w:sz w:val="21"/>
          <w:szCs w:val="21"/>
          <w:highlight w:val="none"/>
        </w:rPr>
        <w:t>）</w:t>
      </w:r>
      <w:r>
        <w:rPr>
          <w:rFonts w:hint="eastAsia" w:hAnsi="宋体"/>
          <w:color w:val="auto"/>
          <w:sz w:val="21"/>
          <w:szCs w:val="21"/>
          <w:highlight w:val="none"/>
        </w:rPr>
        <w:t>串通投标或弄虚作假或有其他违法行为的；</w:t>
      </w:r>
    </w:p>
    <w:p w14:paraId="36FC0659">
      <w:pPr>
        <w:spacing w:line="440" w:lineRule="exact"/>
        <w:ind w:firstLine="420" w:firstLineChars="200"/>
        <w:rPr>
          <w:rFonts w:hint="eastAsia" w:hAnsi="宋体"/>
          <w:color w:val="auto"/>
          <w:sz w:val="21"/>
          <w:szCs w:val="21"/>
          <w:highlight w:val="none"/>
        </w:rPr>
      </w:pPr>
      <w:r>
        <w:rPr>
          <w:rFonts w:hint="eastAsia" w:hAnsi="宋体"/>
          <w:color w:val="auto"/>
          <w:sz w:val="21"/>
          <w:szCs w:val="21"/>
          <w:highlight w:val="none"/>
        </w:rPr>
        <w:t>（3）不按评标委员会要求澄清、说明或有其他违法行为的。</w:t>
      </w:r>
    </w:p>
    <w:p w14:paraId="45057C27">
      <w:pPr>
        <w:spacing w:line="440" w:lineRule="exact"/>
        <w:ind w:firstLine="420" w:firstLineChars="200"/>
        <w:rPr>
          <w:rFonts w:hint="eastAsia" w:hAnsi="宋体"/>
          <w:color w:val="auto"/>
          <w:sz w:val="21"/>
          <w:szCs w:val="21"/>
          <w:highlight w:val="none"/>
        </w:rPr>
      </w:pPr>
      <w:r>
        <w:rPr>
          <w:rFonts w:hint="eastAsia" w:hAnsi="宋体"/>
          <w:color w:val="auto"/>
          <w:sz w:val="21"/>
          <w:szCs w:val="21"/>
          <w:highlight w:val="none"/>
        </w:rPr>
        <w:t>3.1.3投标报价有算术错误的，评标委员会按以下原则对投标报价进行修正，修正价格经投标人书面确认后具有约束力。投标人不接受修价格的，其投标作无效处理。</w:t>
      </w:r>
    </w:p>
    <w:p w14:paraId="260E4E49">
      <w:pPr>
        <w:spacing w:line="440" w:lineRule="exact"/>
        <w:ind w:firstLine="420" w:firstLineChars="200"/>
        <w:rPr>
          <w:rFonts w:hint="eastAsia" w:hAnsi="宋体"/>
          <w:color w:val="auto"/>
          <w:sz w:val="21"/>
          <w:szCs w:val="21"/>
          <w:highlight w:val="none"/>
        </w:rPr>
      </w:pPr>
      <w:r>
        <w:rPr>
          <w:rFonts w:hint="eastAsia" w:hAnsi="宋体"/>
          <w:color w:val="auto"/>
          <w:sz w:val="21"/>
          <w:szCs w:val="21"/>
          <w:highlight w:val="none"/>
        </w:rPr>
        <w:t>（1）投标文件中的大写金额与小写金额不一致的，以大写金额为准；</w:t>
      </w:r>
    </w:p>
    <w:p w14:paraId="5ABADC67">
      <w:pPr>
        <w:spacing w:line="440" w:lineRule="exact"/>
        <w:ind w:firstLine="420" w:firstLineChars="200"/>
        <w:rPr>
          <w:rFonts w:hint="eastAsia" w:hAnsi="宋体"/>
          <w:color w:val="auto"/>
          <w:sz w:val="21"/>
          <w:szCs w:val="21"/>
          <w:highlight w:val="none"/>
        </w:rPr>
      </w:pPr>
      <w:r>
        <w:rPr>
          <w:rFonts w:hint="eastAsia" w:hAnsi="宋体"/>
          <w:color w:val="auto"/>
          <w:sz w:val="21"/>
          <w:szCs w:val="21"/>
          <w:highlight w:val="none"/>
        </w:rPr>
        <w:t>（2）总价金额与依据单价计算出的结果不一致的，以单价金额为准修正总价，但单价金额小数点有明显错误的除外。</w:t>
      </w:r>
    </w:p>
    <w:p w14:paraId="3D8F0FD4">
      <w:pPr>
        <w:spacing w:line="440" w:lineRule="exact"/>
        <w:ind w:firstLine="420" w:firstLineChars="200"/>
        <w:rPr>
          <w:rFonts w:hint="eastAsia" w:hAnsi="宋体"/>
          <w:color w:val="auto"/>
          <w:sz w:val="21"/>
          <w:szCs w:val="21"/>
          <w:highlight w:val="none"/>
        </w:rPr>
      </w:pPr>
      <w:r>
        <w:rPr>
          <w:rFonts w:hint="eastAsia" w:hAnsi="宋体"/>
          <w:color w:val="auto"/>
          <w:sz w:val="21"/>
          <w:szCs w:val="21"/>
          <w:highlight w:val="none"/>
        </w:rPr>
        <w:t>3.2 详细评审</w:t>
      </w:r>
    </w:p>
    <w:p w14:paraId="31F8560A">
      <w:pPr>
        <w:spacing w:line="440" w:lineRule="exact"/>
        <w:ind w:firstLine="420" w:firstLineChars="200"/>
        <w:rPr>
          <w:rFonts w:hint="eastAsia" w:hAnsi="宋体"/>
          <w:color w:val="auto"/>
          <w:sz w:val="21"/>
          <w:szCs w:val="21"/>
          <w:highlight w:val="none"/>
        </w:rPr>
      </w:pPr>
      <w:r>
        <w:rPr>
          <w:rFonts w:hint="eastAsia" w:hAnsi="宋体"/>
          <w:color w:val="auto"/>
          <w:sz w:val="21"/>
          <w:szCs w:val="21"/>
          <w:highlight w:val="none"/>
        </w:rPr>
        <w:t>3.2.1评标委员会按本章第2.3款规定的量化因素和分值进行打分，并算出综合评审得分。</w:t>
      </w:r>
    </w:p>
    <w:p w14:paraId="374CBE7C">
      <w:pPr>
        <w:spacing w:line="440" w:lineRule="exact"/>
        <w:ind w:firstLine="420" w:firstLineChars="200"/>
        <w:rPr>
          <w:rFonts w:hint="eastAsia" w:hAnsi="宋体"/>
          <w:b/>
          <w:color w:val="auto"/>
          <w:sz w:val="21"/>
          <w:szCs w:val="21"/>
          <w:highlight w:val="none"/>
        </w:rPr>
      </w:pPr>
      <w:r>
        <w:rPr>
          <w:rFonts w:hint="eastAsia" w:hAnsi="宋体"/>
          <w:b/>
          <w:color w:val="auto"/>
          <w:sz w:val="21"/>
          <w:szCs w:val="21"/>
          <w:highlight w:val="none"/>
        </w:rPr>
        <w:t>3.2.2 统分原则：</w:t>
      </w:r>
    </w:p>
    <w:p w14:paraId="163A8CA2">
      <w:pPr>
        <w:spacing w:line="440" w:lineRule="exact"/>
        <w:ind w:firstLine="420" w:firstLineChars="200"/>
        <w:rPr>
          <w:rFonts w:hint="eastAsia" w:hAnsi="宋体"/>
          <w:color w:val="auto"/>
          <w:sz w:val="21"/>
          <w:szCs w:val="21"/>
          <w:highlight w:val="none"/>
        </w:rPr>
      </w:pPr>
      <w:r>
        <w:rPr>
          <w:rFonts w:hint="eastAsia" w:hAnsi="宋体"/>
          <w:color w:val="auto"/>
          <w:sz w:val="21"/>
          <w:szCs w:val="21"/>
          <w:highlight w:val="none"/>
        </w:rPr>
        <w:t>（1）除投标报价得分外，技术部分和商务部分由各评委自主评分并签字确认。</w:t>
      </w:r>
    </w:p>
    <w:p w14:paraId="5A1FA201">
      <w:pPr>
        <w:spacing w:line="440" w:lineRule="exact"/>
        <w:ind w:firstLine="420" w:firstLineChars="200"/>
        <w:rPr>
          <w:rFonts w:hint="eastAsia" w:hAnsi="宋体"/>
          <w:color w:val="auto"/>
          <w:sz w:val="21"/>
          <w:szCs w:val="21"/>
          <w:highlight w:val="none"/>
        </w:rPr>
      </w:pPr>
      <w:r>
        <w:rPr>
          <w:rFonts w:hint="eastAsia" w:hAnsi="宋体"/>
          <w:color w:val="auto"/>
          <w:sz w:val="21"/>
          <w:szCs w:val="21"/>
          <w:highlight w:val="none"/>
        </w:rPr>
        <w:t>（2）所有评委有效评分的算术平均分值为投标人的技术部分和商务部分的得分（保留小数点后两位）。</w:t>
      </w:r>
    </w:p>
    <w:p w14:paraId="25F0EC9D">
      <w:pPr>
        <w:spacing w:line="440" w:lineRule="exact"/>
        <w:ind w:firstLine="420" w:firstLineChars="200"/>
        <w:rPr>
          <w:rFonts w:hint="eastAsia" w:hAnsi="宋体"/>
          <w:color w:val="auto"/>
          <w:sz w:val="21"/>
          <w:szCs w:val="21"/>
          <w:highlight w:val="none"/>
        </w:rPr>
      </w:pPr>
      <w:r>
        <w:rPr>
          <w:rFonts w:hint="eastAsia" w:hAnsi="宋体"/>
          <w:color w:val="auto"/>
          <w:sz w:val="21"/>
          <w:szCs w:val="21"/>
          <w:highlight w:val="none"/>
        </w:rPr>
        <w:t>（3）统分办法：投标报价得分和评委评分得分之和即为投标人最后得分。</w:t>
      </w:r>
    </w:p>
    <w:p w14:paraId="4346212F">
      <w:pPr>
        <w:spacing w:line="440" w:lineRule="exact"/>
        <w:ind w:firstLine="420" w:firstLineChars="200"/>
        <w:rPr>
          <w:rFonts w:hint="eastAsia" w:hAnsi="宋体"/>
          <w:color w:val="auto"/>
          <w:sz w:val="21"/>
          <w:szCs w:val="21"/>
          <w:highlight w:val="none"/>
        </w:rPr>
      </w:pPr>
      <w:r>
        <w:rPr>
          <w:rFonts w:hint="eastAsia" w:hAnsi="宋体"/>
          <w:color w:val="auto"/>
          <w:sz w:val="21"/>
          <w:szCs w:val="21"/>
          <w:highlight w:val="none"/>
        </w:rPr>
        <w:t>3.2.3评标委员会</w:t>
      </w:r>
      <w:r>
        <w:rPr>
          <w:rFonts w:hAnsi="宋体"/>
          <w:color w:val="auto"/>
          <w:sz w:val="21"/>
          <w:szCs w:val="21"/>
          <w:highlight w:val="none"/>
        </w:rPr>
        <w:t xml:space="preserve">发现投标人的报价明显低于其他投标报价，使得其投标报价可能低于其成本的，应当要求该投标人作出书面说明并提供相应的证明材料。投标人不能合理说明或者不能提供相应证明材料的，由评标委员会认定该投标人以低于成本报价竞标，其投标作无效投标处理 </w:t>
      </w:r>
    </w:p>
    <w:p w14:paraId="0031A629">
      <w:pPr>
        <w:spacing w:line="440" w:lineRule="exact"/>
        <w:ind w:firstLine="420" w:firstLineChars="200"/>
        <w:rPr>
          <w:rFonts w:hint="eastAsia" w:hAnsi="宋体"/>
          <w:color w:val="auto"/>
          <w:sz w:val="21"/>
          <w:szCs w:val="21"/>
          <w:highlight w:val="none"/>
        </w:rPr>
      </w:pPr>
      <w:r>
        <w:rPr>
          <w:rFonts w:hint="eastAsia" w:hAnsi="宋体"/>
          <w:color w:val="auto"/>
          <w:sz w:val="21"/>
          <w:szCs w:val="21"/>
          <w:highlight w:val="none"/>
        </w:rPr>
        <w:t>3.3 投标文件的澄清和补正</w:t>
      </w:r>
    </w:p>
    <w:p w14:paraId="2C09C6CF">
      <w:pPr>
        <w:spacing w:line="44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3.3.1为了有助于对投标文件进行审查、评价和比较，在开标之后，采购人及评标委员会有可能分别要求投标人对其投标文件中除实质性要求以外的可能引起歧义或投标报价计算错误等内容进行澄清（如投标文件前后表述不一致、内容存在表述歧义、投标报价算术错误等），投标人有责任按照采购人及评标委员会要求的时间、地点，通过政府采购云平台进行澄清说明。</w:t>
      </w:r>
    </w:p>
    <w:p w14:paraId="3BAE882B">
      <w:pPr>
        <w:spacing w:line="440" w:lineRule="exact"/>
        <w:ind w:firstLine="420" w:firstLineChars="200"/>
        <w:rPr>
          <w:rFonts w:hint="eastAsia" w:hAnsi="宋体"/>
          <w:color w:val="auto"/>
          <w:sz w:val="21"/>
          <w:szCs w:val="21"/>
          <w:highlight w:val="none"/>
        </w:rPr>
      </w:pPr>
      <w:r>
        <w:rPr>
          <w:rFonts w:hint="eastAsia" w:hAnsi="宋体" w:cs="宋体"/>
          <w:color w:val="auto"/>
          <w:sz w:val="21"/>
          <w:szCs w:val="21"/>
          <w:highlight w:val="none"/>
        </w:rPr>
        <w:t>3.3.2澄清的要求答复应是书面的，但不得寻求、提供或允许对投标内容进行实质性修改。</w:t>
      </w:r>
    </w:p>
    <w:p w14:paraId="723266B1">
      <w:pPr>
        <w:spacing w:line="440" w:lineRule="exact"/>
        <w:ind w:firstLine="420" w:firstLineChars="200"/>
        <w:rPr>
          <w:rFonts w:hint="eastAsia" w:hAnsi="宋体"/>
          <w:color w:val="auto"/>
          <w:sz w:val="21"/>
          <w:szCs w:val="21"/>
          <w:highlight w:val="none"/>
        </w:rPr>
      </w:pPr>
      <w:r>
        <w:rPr>
          <w:rFonts w:hint="eastAsia" w:hAnsi="宋体"/>
          <w:color w:val="auto"/>
          <w:sz w:val="21"/>
          <w:szCs w:val="21"/>
          <w:highlight w:val="none"/>
        </w:rPr>
        <w:t>3.3.3 。投标人的书面澄清、说明和补正属于投标文件的组成部分。</w:t>
      </w:r>
    </w:p>
    <w:p w14:paraId="066734CE">
      <w:pPr>
        <w:spacing w:line="440" w:lineRule="exact"/>
        <w:ind w:firstLine="420" w:firstLineChars="200"/>
        <w:rPr>
          <w:rFonts w:hint="eastAsia" w:hAnsi="宋体"/>
          <w:color w:val="auto"/>
          <w:sz w:val="21"/>
          <w:szCs w:val="21"/>
          <w:highlight w:val="none"/>
        </w:rPr>
      </w:pPr>
      <w:r>
        <w:rPr>
          <w:rFonts w:hint="eastAsia" w:hAnsi="宋体"/>
          <w:color w:val="auto"/>
          <w:sz w:val="21"/>
          <w:szCs w:val="21"/>
          <w:highlight w:val="none"/>
        </w:rPr>
        <w:t>3.3.3评标委员会不接受投标人主动提出的澄清、说明或补正。</w:t>
      </w:r>
    </w:p>
    <w:p w14:paraId="5413F542">
      <w:pPr>
        <w:spacing w:line="440" w:lineRule="exact"/>
        <w:ind w:firstLine="420" w:firstLineChars="200"/>
        <w:rPr>
          <w:rFonts w:hint="eastAsia" w:hAnsi="宋体"/>
          <w:color w:val="auto"/>
          <w:sz w:val="21"/>
          <w:szCs w:val="21"/>
          <w:highlight w:val="none"/>
        </w:rPr>
      </w:pPr>
      <w:r>
        <w:rPr>
          <w:rFonts w:hint="eastAsia" w:hAnsi="宋体"/>
          <w:color w:val="auto"/>
          <w:sz w:val="21"/>
          <w:szCs w:val="21"/>
          <w:highlight w:val="none"/>
        </w:rPr>
        <w:t>3.4评标结果</w:t>
      </w:r>
    </w:p>
    <w:p w14:paraId="58415A76">
      <w:pPr>
        <w:spacing w:line="440" w:lineRule="exact"/>
        <w:ind w:firstLine="420" w:firstLineChars="200"/>
        <w:rPr>
          <w:rFonts w:hint="eastAsia" w:hAnsi="宋体"/>
          <w:color w:val="auto"/>
          <w:sz w:val="21"/>
          <w:szCs w:val="21"/>
          <w:highlight w:val="none"/>
        </w:rPr>
      </w:pPr>
      <w:r>
        <w:rPr>
          <w:rFonts w:hint="eastAsia" w:hAnsi="宋体"/>
          <w:color w:val="auto"/>
          <w:sz w:val="21"/>
          <w:szCs w:val="21"/>
          <w:highlight w:val="none"/>
        </w:rPr>
        <w:t>3.4.1评标委员会按照得分由高到低的顺序推荐中选候选人。</w:t>
      </w:r>
    </w:p>
    <w:p w14:paraId="18A75211">
      <w:pPr>
        <w:spacing w:line="440" w:lineRule="exact"/>
        <w:ind w:firstLine="420" w:firstLineChars="200"/>
        <w:rPr>
          <w:rFonts w:hint="eastAsia" w:hAnsi="宋体"/>
          <w:color w:val="auto"/>
          <w:sz w:val="24"/>
          <w:highlight w:val="none"/>
        </w:rPr>
      </w:pPr>
      <w:r>
        <w:rPr>
          <w:rFonts w:hint="eastAsia" w:hAnsi="宋体"/>
          <w:color w:val="auto"/>
          <w:sz w:val="21"/>
          <w:szCs w:val="21"/>
          <w:highlight w:val="none"/>
        </w:rPr>
        <w:t>3.4.2评标委员会完成评标后，应当向采购人提交书面评标报告。</w:t>
      </w:r>
    </w:p>
    <w:p w14:paraId="4CEC6D4B">
      <w:pPr>
        <w:pStyle w:val="6"/>
        <w:spacing w:line="360" w:lineRule="auto"/>
        <w:jc w:val="center"/>
        <w:rPr>
          <w:rFonts w:hint="eastAsia" w:hAnsi="宋体"/>
          <w:color w:val="auto"/>
          <w:sz w:val="24"/>
          <w:highlight w:val="none"/>
        </w:rPr>
      </w:pPr>
      <w:r>
        <w:rPr>
          <w:bCs w:val="0"/>
          <w:color w:val="auto"/>
          <w:sz w:val="44"/>
          <w:szCs w:val="44"/>
          <w:highlight w:val="none"/>
        </w:rPr>
        <w:br w:type="page"/>
      </w:r>
      <w:bookmarkStart w:id="34" w:name="_Toc22050"/>
      <w:r>
        <w:rPr>
          <w:rFonts w:hint="eastAsia" w:ascii="宋体" w:hAnsi="宋体" w:eastAsia="宋体"/>
          <w:bCs w:val="0"/>
          <w:color w:val="auto"/>
          <w:sz w:val="44"/>
          <w:szCs w:val="44"/>
          <w:highlight w:val="none"/>
        </w:rPr>
        <w:t>第五章 投标文件格式</w:t>
      </w:r>
      <w:bookmarkEnd w:id="34"/>
    </w:p>
    <w:p w14:paraId="3368172F">
      <w:pPr>
        <w:spacing w:line="480" w:lineRule="exact"/>
        <w:jc w:val="right"/>
        <w:rPr>
          <w:rFonts w:hint="eastAsia" w:hAnsi="宋体"/>
          <w:b/>
          <w:color w:val="auto"/>
          <w:sz w:val="30"/>
          <w:szCs w:val="30"/>
          <w:highlight w:val="none"/>
        </w:rPr>
      </w:pPr>
    </w:p>
    <w:p w14:paraId="00A3367E">
      <w:pPr>
        <w:pStyle w:val="16"/>
        <w:tabs>
          <w:tab w:val="left" w:pos="7335"/>
        </w:tabs>
        <w:spacing w:line="360" w:lineRule="auto"/>
        <w:ind w:firstLine="0"/>
        <w:rPr>
          <w:rFonts w:hint="eastAsia" w:ascii="宋体" w:hAnsi="宋体" w:cs="宋体"/>
          <w:b/>
          <w:bCs/>
          <w:color w:val="auto"/>
          <w:szCs w:val="28"/>
          <w:highlight w:val="none"/>
        </w:rPr>
      </w:pPr>
      <w:bookmarkStart w:id="35" w:name="_Toc32409795"/>
    </w:p>
    <w:p w14:paraId="43DE5F47">
      <w:pPr>
        <w:pStyle w:val="16"/>
        <w:tabs>
          <w:tab w:val="left" w:pos="7335"/>
        </w:tabs>
        <w:spacing w:line="700" w:lineRule="exact"/>
        <w:ind w:firstLine="0"/>
        <w:jc w:val="center"/>
        <w:rPr>
          <w:rFonts w:hint="eastAsia" w:ascii="宋体" w:hAnsi="宋体" w:cs="宋体"/>
          <w:b/>
          <w:bCs/>
          <w:color w:val="auto"/>
          <w:sz w:val="54"/>
          <w:szCs w:val="52"/>
          <w:highlight w:val="none"/>
        </w:rPr>
      </w:pPr>
      <w:r>
        <w:rPr>
          <w:rFonts w:hint="eastAsia" w:ascii="宋体" w:hAnsi="宋体" w:cs="宋体"/>
          <w:b/>
          <w:bCs/>
          <w:color w:val="auto"/>
          <w:sz w:val="56"/>
          <w:szCs w:val="72"/>
          <w:highlight w:val="none"/>
        </w:rPr>
        <w:t>保山市加油站流量数据采集系统建设安装项目</w:t>
      </w:r>
    </w:p>
    <w:p w14:paraId="4DF32FF8">
      <w:pPr>
        <w:spacing w:line="1120" w:lineRule="exact"/>
        <w:jc w:val="center"/>
        <w:rPr>
          <w:rFonts w:hint="eastAsia" w:hAnsi="宋体" w:cs="宋体"/>
          <w:b/>
          <w:bCs/>
          <w:color w:val="auto"/>
          <w:spacing w:val="50"/>
          <w:kern w:val="10"/>
          <w:sz w:val="84"/>
          <w:szCs w:val="84"/>
          <w:highlight w:val="none"/>
        </w:rPr>
      </w:pPr>
    </w:p>
    <w:p w14:paraId="03AAA263">
      <w:pPr>
        <w:spacing w:line="1120" w:lineRule="exact"/>
        <w:jc w:val="center"/>
        <w:rPr>
          <w:rFonts w:hint="eastAsia" w:hAnsi="宋体" w:cs="宋体"/>
          <w:b/>
          <w:bCs/>
          <w:color w:val="auto"/>
          <w:spacing w:val="50"/>
          <w:kern w:val="10"/>
          <w:sz w:val="84"/>
          <w:szCs w:val="84"/>
          <w:highlight w:val="none"/>
        </w:rPr>
      </w:pPr>
      <w:r>
        <w:rPr>
          <w:rFonts w:hint="eastAsia" w:hAnsi="宋体" w:cs="宋体"/>
          <w:b/>
          <w:bCs/>
          <w:color w:val="auto"/>
          <w:spacing w:val="50"/>
          <w:kern w:val="10"/>
          <w:sz w:val="84"/>
          <w:szCs w:val="84"/>
          <w:highlight w:val="none"/>
        </w:rPr>
        <w:t>投 标 文 件</w:t>
      </w:r>
    </w:p>
    <w:p w14:paraId="60130583">
      <w:pPr>
        <w:spacing w:line="700" w:lineRule="exact"/>
        <w:rPr>
          <w:rFonts w:hint="eastAsia" w:hAnsi="宋体" w:cs="宋体"/>
          <w:b/>
          <w:color w:val="auto"/>
          <w:szCs w:val="32"/>
          <w:highlight w:val="none"/>
        </w:rPr>
      </w:pPr>
    </w:p>
    <w:p w14:paraId="535DAC64">
      <w:pPr>
        <w:spacing w:line="700" w:lineRule="exact"/>
        <w:rPr>
          <w:rFonts w:hint="eastAsia" w:hAnsi="宋体" w:cs="宋体"/>
          <w:b/>
          <w:color w:val="auto"/>
          <w:szCs w:val="32"/>
          <w:highlight w:val="none"/>
        </w:rPr>
      </w:pPr>
    </w:p>
    <w:p w14:paraId="7E0D221D">
      <w:pPr>
        <w:spacing w:line="700" w:lineRule="exact"/>
        <w:rPr>
          <w:rFonts w:hint="eastAsia" w:hAnsi="宋体" w:cs="宋体"/>
          <w:b/>
          <w:color w:val="auto"/>
          <w:szCs w:val="32"/>
          <w:highlight w:val="none"/>
        </w:rPr>
      </w:pPr>
    </w:p>
    <w:p w14:paraId="0F99864E">
      <w:pPr>
        <w:spacing w:line="700" w:lineRule="exact"/>
        <w:rPr>
          <w:rFonts w:hint="eastAsia" w:hAnsi="宋体" w:cs="宋体"/>
          <w:b/>
          <w:color w:val="auto"/>
          <w:szCs w:val="32"/>
          <w:highlight w:val="none"/>
        </w:rPr>
      </w:pPr>
      <w:r>
        <w:rPr>
          <w:rFonts w:hint="eastAsia" w:hAnsi="宋体" w:cs="宋体"/>
          <w:b/>
          <w:color w:val="auto"/>
          <w:szCs w:val="32"/>
          <w:highlight w:val="none"/>
        </w:rPr>
        <w:t xml:space="preserve">项目编号： </w:t>
      </w:r>
    </w:p>
    <w:p w14:paraId="07462201">
      <w:pPr>
        <w:spacing w:line="700" w:lineRule="exact"/>
        <w:rPr>
          <w:rFonts w:hint="eastAsia" w:hAnsi="宋体" w:cs="宋体"/>
          <w:b/>
          <w:color w:val="auto"/>
          <w:szCs w:val="32"/>
          <w:highlight w:val="none"/>
        </w:rPr>
      </w:pPr>
      <w:r>
        <w:rPr>
          <w:rFonts w:hint="eastAsia" w:hAnsi="宋体" w:cs="宋体"/>
          <w:b/>
          <w:color w:val="auto"/>
          <w:w w:val="96"/>
          <w:szCs w:val="32"/>
          <w:highlight w:val="none"/>
        </w:rPr>
        <w:t>项目名称：保山市加油站流量数据采集系统建设安装项目</w:t>
      </w:r>
    </w:p>
    <w:p w14:paraId="7B00784A">
      <w:pPr>
        <w:spacing w:line="700" w:lineRule="exact"/>
        <w:rPr>
          <w:rFonts w:hint="eastAsia" w:hAnsi="宋体" w:cs="宋体"/>
          <w:b/>
          <w:color w:val="auto"/>
          <w:szCs w:val="32"/>
          <w:highlight w:val="none"/>
        </w:rPr>
      </w:pPr>
      <w:r>
        <w:rPr>
          <w:rFonts w:hint="eastAsia" w:hAnsi="宋体" w:cs="宋体"/>
          <w:b/>
          <w:color w:val="auto"/>
          <w:szCs w:val="32"/>
          <w:highlight w:val="none"/>
        </w:rPr>
        <w:t>投标人（盖章）：</w:t>
      </w:r>
    </w:p>
    <w:p w14:paraId="628B9EC7">
      <w:pPr>
        <w:spacing w:line="700" w:lineRule="exact"/>
        <w:rPr>
          <w:rFonts w:hint="eastAsia" w:hAnsi="宋体" w:cs="宋体"/>
          <w:b/>
          <w:color w:val="auto"/>
          <w:szCs w:val="32"/>
          <w:highlight w:val="none"/>
          <w:u w:val="single"/>
        </w:rPr>
      </w:pPr>
      <w:r>
        <w:rPr>
          <w:rFonts w:hint="eastAsia" w:hAnsi="宋体" w:cs="宋体"/>
          <w:b/>
          <w:color w:val="auto"/>
          <w:szCs w:val="32"/>
          <w:highlight w:val="none"/>
        </w:rPr>
        <w:t>法定代表人（负责人）或授权委托代理人（签字或盖章）：</w:t>
      </w:r>
    </w:p>
    <w:p w14:paraId="5B418669">
      <w:pPr>
        <w:spacing w:line="700" w:lineRule="exact"/>
        <w:rPr>
          <w:rFonts w:hint="eastAsia" w:hAnsi="宋体" w:cs="宋体"/>
          <w:b/>
          <w:color w:val="auto"/>
          <w:szCs w:val="32"/>
          <w:highlight w:val="none"/>
        </w:rPr>
      </w:pPr>
      <w:r>
        <w:rPr>
          <w:rFonts w:hint="eastAsia" w:hAnsi="宋体" w:cs="宋体"/>
          <w:b/>
          <w:color w:val="auto"/>
          <w:szCs w:val="32"/>
          <w:highlight w:val="none"/>
        </w:rPr>
        <w:t xml:space="preserve">地址： </w:t>
      </w:r>
    </w:p>
    <w:p w14:paraId="7CCDCDD6">
      <w:pPr>
        <w:spacing w:line="700" w:lineRule="exact"/>
        <w:rPr>
          <w:rFonts w:hint="eastAsia" w:hAnsi="宋体" w:cs="宋体"/>
          <w:b/>
          <w:color w:val="auto"/>
          <w:szCs w:val="32"/>
          <w:highlight w:val="none"/>
        </w:rPr>
      </w:pPr>
      <w:r>
        <w:rPr>
          <w:rFonts w:hint="eastAsia" w:hAnsi="宋体" w:cs="宋体"/>
          <w:b/>
          <w:color w:val="auto"/>
          <w:szCs w:val="32"/>
          <w:highlight w:val="none"/>
        </w:rPr>
        <w:t>联系电话：</w:t>
      </w:r>
    </w:p>
    <w:p w14:paraId="6A3426C1">
      <w:pPr>
        <w:spacing w:line="700" w:lineRule="exact"/>
        <w:rPr>
          <w:rFonts w:hint="eastAsia" w:hAnsi="宋体" w:cs="宋体"/>
          <w:b/>
          <w:color w:val="auto"/>
          <w:szCs w:val="32"/>
          <w:highlight w:val="none"/>
        </w:rPr>
      </w:pPr>
      <w:r>
        <w:rPr>
          <w:rFonts w:hint="eastAsia" w:hAnsi="宋体" w:cs="宋体"/>
          <w:b/>
          <w:color w:val="auto"/>
          <w:szCs w:val="32"/>
          <w:highlight w:val="none"/>
        </w:rPr>
        <w:t>投标文件提交截止日期：    年  月  日</w:t>
      </w:r>
    </w:p>
    <w:p w14:paraId="70A47250">
      <w:pPr>
        <w:spacing w:line="360" w:lineRule="auto"/>
        <w:ind w:firstLine="600" w:firstLineChars="200"/>
        <w:jc w:val="center"/>
        <w:rPr>
          <w:rFonts w:hint="eastAsia" w:hAnsi="宋体" w:cs="宋体"/>
          <w:b/>
          <w:bCs/>
          <w:color w:val="auto"/>
          <w:sz w:val="32"/>
          <w:szCs w:val="36"/>
          <w:highlight w:val="none"/>
        </w:rPr>
      </w:pPr>
      <w:r>
        <w:rPr>
          <w:rFonts w:hint="eastAsia" w:hAnsi="宋体" w:cs="宋体"/>
          <w:b/>
          <w:bCs/>
          <w:color w:val="auto"/>
          <w:sz w:val="30"/>
          <w:highlight w:val="none"/>
        </w:rPr>
        <w:br w:type="page"/>
      </w:r>
      <w:r>
        <w:rPr>
          <w:rFonts w:hint="eastAsia" w:hAnsi="宋体" w:cs="宋体"/>
          <w:b/>
          <w:bCs/>
          <w:color w:val="auto"/>
          <w:sz w:val="32"/>
          <w:szCs w:val="36"/>
          <w:highlight w:val="none"/>
        </w:rPr>
        <w:t>目 录</w:t>
      </w:r>
    </w:p>
    <w:p w14:paraId="3B9929AD">
      <w:pPr>
        <w:spacing w:line="360" w:lineRule="auto"/>
        <w:ind w:firstLine="560" w:firstLineChars="200"/>
        <w:rPr>
          <w:rFonts w:hint="eastAsia" w:hAnsi="宋体" w:cs="宋体"/>
          <w:color w:val="auto"/>
          <w:highlight w:val="none"/>
        </w:rPr>
      </w:pPr>
    </w:p>
    <w:p w14:paraId="1648BA89">
      <w:pPr>
        <w:spacing w:line="360" w:lineRule="auto"/>
        <w:ind w:firstLine="560" w:firstLineChars="200"/>
        <w:rPr>
          <w:rFonts w:hint="eastAsia" w:hAnsi="宋体" w:cs="宋体"/>
          <w:b/>
          <w:bCs/>
          <w:color w:val="auto"/>
          <w:highlight w:val="none"/>
        </w:rPr>
      </w:pPr>
    </w:p>
    <w:p w14:paraId="6C681852">
      <w:pPr>
        <w:spacing w:line="360" w:lineRule="auto"/>
        <w:ind w:firstLine="480" w:firstLineChars="200"/>
        <w:rPr>
          <w:rFonts w:hint="eastAsia" w:hAnsi="宋体" w:cs="宋体"/>
          <w:color w:val="auto"/>
          <w:sz w:val="24"/>
          <w:szCs w:val="24"/>
          <w:highlight w:val="none"/>
        </w:rPr>
      </w:pPr>
      <w:r>
        <w:rPr>
          <w:rFonts w:hint="eastAsia" w:hAnsi="宋体" w:cs="宋体"/>
          <w:b/>
          <w:bCs/>
          <w:color w:val="auto"/>
          <w:sz w:val="24"/>
          <w:szCs w:val="24"/>
          <w:highlight w:val="none"/>
        </w:rPr>
        <w:t>注：1.请自行编制投标文件目录，并按要求进行装订，并标注页码。</w:t>
      </w:r>
    </w:p>
    <w:p w14:paraId="2151FA07">
      <w:pPr>
        <w:spacing w:line="360" w:lineRule="auto"/>
        <w:ind w:firstLine="960" w:firstLineChars="400"/>
        <w:jc w:val="left"/>
        <w:rPr>
          <w:rFonts w:hint="eastAsia" w:hAnsi="宋体" w:cs="宋体"/>
          <w:b/>
          <w:bCs/>
          <w:color w:val="auto"/>
          <w:sz w:val="24"/>
          <w:szCs w:val="24"/>
          <w:highlight w:val="none"/>
        </w:rPr>
      </w:pPr>
      <w:r>
        <w:rPr>
          <w:rFonts w:hint="eastAsia" w:hAnsi="宋体" w:cs="宋体"/>
          <w:b/>
          <w:bCs/>
          <w:color w:val="auto"/>
          <w:sz w:val="24"/>
          <w:szCs w:val="24"/>
          <w:highlight w:val="none"/>
        </w:rPr>
        <w:t>2.磋商申请人应在投标文件提交截止时间前将电子投标文件通过政府采购云平台（www.zcygov.cn）上传指定的采购项目的投标文件，以保证正常进行磋商程序。</w:t>
      </w:r>
    </w:p>
    <w:p w14:paraId="7B3D333B">
      <w:pPr>
        <w:spacing w:line="360" w:lineRule="auto"/>
        <w:ind w:firstLine="960" w:firstLineChars="400"/>
        <w:jc w:val="left"/>
        <w:rPr>
          <w:rFonts w:hint="eastAsia" w:hAnsi="宋体" w:cs="宋体"/>
          <w:b/>
          <w:bCs/>
          <w:color w:val="auto"/>
          <w:highlight w:val="none"/>
        </w:rPr>
      </w:pPr>
      <w:r>
        <w:rPr>
          <w:rFonts w:hint="eastAsia" w:hAnsi="宋体" w:cs="宋体"/>
          <w:b/>
          <w:bCs/>
          <w:color w:val="auto"/>
          <w:sz w:val="24"/>
          <w:szCs w:val="24"/>
          <w:highlight w:val="none"/>
        </w:rPr>
        <w:t>3.建议在政府采购云平台上传电子投标文件时，将完整地电子投标文件上传到商务技术部分中，以避免出现遗漏情况。</w:t>
      </w:r>
    </w:p>
    <w:p w14:paraId="1D7B0FA3">
      <w:pPr>
        <w:rPr>
          <w:rFonts w:hint="eastAsia" w:hAnsi="宋体" w:cs="宋体"/>
          <w:b/>
          <w:bCs/>
          <w:color w:val="auto"/>
          <w:sz w:val="30"/>
          <w:highlight w:val="none"/>
        </w:rPr>
      </w:pPr>
      <w:r>
        <w:rPr>
          <w:rFonts w:hint="eastAsia" w:hAnsi="宋体" w:cs="宋体"/>
          <w:b/>
          <w:bCs/>
          <w:color w:val="auto"/>
          <w:sz w:val="30"/>
          <w:highlight w:val="none"/>
        </w:rPr>
        <w:br w:type="page"/>
      </w:r>
    </w:p>
    <w:p w14:paraId="295ACC65">
      <w:pPr>
        <w:widowControl/>
        <w:jc w:val="center"/>
        <w:rPr>
          <w:rFonts w:hint="eastAsia" w:hAnsi="宋体" w:cs="宋体"/>
          <w:b/>
          <w:bCs/>
          <w:color w:val="auto"/>
          <w:sz w:val="30"/>
          <w:highlight w:val="none"/>
        </w:rPr>
      </w:pPr>
      <w:bookmarkStart w:id="36" w:name="_Toc2120"/>
      <w:r>
        <w:rPr>
          <w:rStyle w:val="60"/>
          <w:rFonts w:hint="eastAsia"/>
          <w:b/>
          <w:bCs/>
          <w:color w:val="auto"/>
          <w:sz w:val="36"/>
          <w:szCs w:val="36"/>
          <w:highlight w:val="none"/>
        </w:rPr>
        <w:t>一、资格审查部分</w:t>
      </w:r>
      <w:bookmarkEnd w:id="36"/>
    </w:p>
    <w:p w14:paraId="75BA6191">
      <w:pPr>
        <w:widowControl/>
        <w:jc w:val="center"/>
        <w:rPr>
          <w:rStyle w:val="75"/>
          <w:color w:val="auto"/>
          <w:highlight w:val="none"/>
        </w:rPr>
      </w:pPr>
      <w:bookmarkStart w:id="37" w:name="_Toc26329"/>
      <w:r>
        <w:rPr>
          <w:rStyle w:val="75"/>
          <w:rFonts w:hint="eastAsia"/>
          <w:color w:val="auto"/>
          <w:highlight w:val="none"/>
        </w:rPr>
        <w:t>（一）资格审查申请函</w:t>
      </w:r>
    </w:p>
    <w:bookmarkEnd w:id="37"/>
    <w:p w14:paraId="36E2ED41">
      <w:pPr>
        <w:spacing w:line="360" w:lineRule="auto"/>
        <w:rPr>
          <w:rFonts w:hint="eastAsia" w:hAnsi="宋体" w:cs="宋体"/>
          <w:color w:val="auto"/>
          <w:sz w:val="24"/>
          <w:highlight w:val="none"/>
          <w:u w:val="single"/>
        </w:rPr>
      </w:pPr>
    </w:p>
    <w:p w14:paraId="0554C210">
      <w:pPr>
        <w:spacing w:line="360" w:lineRule="auto"/>
        <w:rPr>
          <w:rFonts w:hint="eastAsia" w:hAnsi="宋体" w:cs="宋体"/>
          <w:color w:val="auto"/>
          <w:sz w:val="21"/>
          <w:szCs w:val="21"/>
          <w:highlight w:val="none"/>
        </w:rPr>
      </w:pPr>
      <w:r>
        <w:rPr>
          <w:rFonts w:hint="eastAsia" w:hAnsi="宋体" w:cs="宋体"/>
          <w:color w:val="auto"/>
          <w:sz w:val="21"/>
          <w:szCs w:val="21"/>
          <w:highlight w:val="none"/>
          <w:u w:val="single"/>
        </w:rPr>
        <w:t>保山市商务局</w:t>
      </w:r>
      <w:r>
        <w:rPr>
          <w:rFonts w:hint="eastAsia" w:hAnsi="宋体" w:cs="宋体"/>
          <w:color w:val="auto"/>
          <w:sz w:val="21"/>
          <w:szCs w:val="21"/>
          <w:highlight w:val="none"/>
        </w:rPr>
        <w:t>：</w:t>
      </w:r>
    </w:p>
    <w:p w14:paraId="2395A6F6">
      <w:pPr>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    1.按照招标文件的要求，我方</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（投标人）递交的资格审查申请文件，用于你方（</w:t>
      </w:r>
      <w:r>
        <w:rPr>
          <w:rFonts w:hint="eastAsia" w:hAnsi="宋体" w:cs="宋体"/>
          <w:b/>
          <w:color w:val="auto"/>
          <w:sz w:val="21"/>
          <w:szCs w:val="21"/>
          <w:highlight w:val="none"/>
          <w:u w:val="single"/>
        </w:rPr>
        <w:t>保山市商务局</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审查我方参加</w:t>
      </w:r>
      <w:r>
        <w:rPr>
          <w:rFonts w:hint="eastAsia" w:hAnsi="宋体" w:cs="宋体"/>
          <w:color w:val="auto"/>
          <w:sz w:val="21"/>
          <w:szCs w:val="21"/>
          <w:highlight w:val="none"/>
          <w:u w:val="single"/>
        </w:rPr>
        <w:t xml:space="preserve"> （项目名称、项目编号）   </w:t>
      </w:r>
      <w:r>
        <w:rPr>
          <w:rFonts w:hint="eastAsia" w:hAnsi="宋体" w:cs="宋体"/>
          <w:color w:val="auto"/>
          <w:sz w:val="21"/>
          <w:szCs w:val="21"/>
          <w:highlight w:val="none"/>
        </w:rPr>
        <w:t>采购的资格申请。</w:t>
      </w:r>
    </w:p>
    <w:p w14:paraId="7D2C1938">
      <w:pPr>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    2.我方的资格审查申请文件包含招标文件 第二章 投标人须知及须知前附表规定的全部内容。</w:t>
      </w:r>
    </w:p>
    <w:p w14:paraId="455A4CE1">
      <w:pPr>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    3.我方接受你方授权代表进行调查，以审查我方提交的文件和资料，并通过我方的客户，澄清投标文件中有关财务和技术方面的情况。</w:t>
      </w:r>
    </w:p>
    <w:p w14:paraId="22715135">
      <w:pPr>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    4.你方授权代表可通过</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（联系人及联系方式）得到进一步的资料。</w:t>
      </w:r>
    </w:p>
    <w:p w14:paraId="4FAADC2A">
      <w:pPr>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    5.我方在此声明，所递交的投标文件及有关资料内容完整、真实和准确、合法有效，且不存在任何弄虚作假的情形。</w:t>
      </w:r>
    </w:p>
    <w:p w14:paraId="2B0A504F">
      <w:pPr>
        <w:spacing w:line="360" w:lineRule="auto"/>
        <w:rPr>
          <w:rFonts w:hint="eastAsia" w:hAnsi="宋体" w:cs="宋体"/>
          <w:color w:val="auto"/>
          <w:sz w:val="21"/>
          <w:szCs w:val="21"/>
          <w:highlight w:val="none"/>
        </w:rPr>
      </w:pPr>
    </w:p>
    <w:p w14:paraId="69FCF949">
      <w:pPr>
        <w:spacing w:line="360" w:lineRule="auto"/>
        <w:rPr>
          <w:rFonts w:hint="eastAsia" w:hAnsi="宋体" w:cs="宋体"/>
          <w:color w:val="auto"/>
          <w:sz w:val="21"/>
          <w:szCs w:val="21"/>
          <w:highlight w:val="none"/>
        </w:rPr>
      </w:pPr>
    </w:p>
    <w:p w14:paraId="35551A8A">
      <w:pPr>
        <w:spacing w:line="360" w:lineRule="auto"/>
        <w:ind w:left="1400" w:leftChars="500" w:right="120"/>
        <w:jc w:val="left"/>
        <w:rPr>
          <w:rFonts w:hint="eastAsia" w:hAnsi="宋体" w:cs="宋体"/>
          <w:color w:val="auto"/>
          <w:sz w:val="21"/>
          <w:szCs w:val="21"/>
          <w:highlight w:val="none"/>
        </w:rPr>
      </w:pPr>
      <w:r>
        <w:rPr>
          <w:rFonts w:hint="eastAsia" w:hAnsi="宋体" w:cs="宋体"/>
          <w:color w:val="auto"/>
          <w:sz w:val="21"/>
          <w:szCs w:val="21"/>
          <w:highlight w:val="none"/>
        </w:rPr>
        <w:t>投标人：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（盖单位章）</w:t>
      </w:r>
    </w:p>
    <w:p w14:paraId="59C19FA7">
      <w:pPr>
        <w:spacing w:line="360" w:lineRule="auto"/>
        <w:ind w:left="1400" w:leftChars="500" w:right="120"/>
        <w:rPr>
          <w:rFonts w:hint="eastAsia" w:hAnsi="宋体" w:cs="宋体"/>
          <w:color w:val="auto"/>
          <w:sz w:val="21"/>
          <w:szCs w:val="21"/>
          <w:highlight w:val="none"/>
        </w:rPr>
      </w:pPr>
      <w:r>
        <w:rPr>
          <w:rFonts w:hint="eastAsia" w:hAnsi="宋体" w:cs="宋体"/>
          <w:color w:val="auto"/>
          <w:sz w:val="21"/>
          <w:szCs w:val="21"/>
          <w:highlight w:val="none"/>
        </w:rPr>
        <w:t>法定代表人（负责人）或其委托代理人：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（签字或盖章）</w:t>
      </w:r>
    </w:p>
    <w:p w14:paraId="2B3B7550">
      <w:pPr>
        <w:spacing w:line="360" w:lineRule="auto"/>
        <w:ind w:left="1400" w:leftChars="500"/>
        <w:rPr>
          <w:rFonts w:hint="eastAsia" w:hAnsi="宋体" w:cs="宋体"/>
          <w:color w:val="auto"/>
          <w:sz w:val="21"/>
          <w:szCs w:val="21"/>
          <w:highlight w:val="none"/>
          <w:u w:val="single"/>
        </w:rPr>
      </w:pPr>
      <w:r>
        <w:rPr>
          <w:rFonts w:hint="eastAsia" w:hAnsi="宋体" w:cs="宋体"/>
          <w:color w:val="auto"/>
          <w:sz w:val="21"/>
          <w:szCs w:val="21"/>
          <w:highlight w:val="none"/>
        </w:rPr>
        <w:t>电话：</w:t>
      </w:r>
      <w:r>
        <w:rPr>
          <w:rFonts w:hint="eastAsia" w:hAnsi="宋体" w:cs="宋体"/>
          <w:color w:val="auto"/>
          <w:sz w:val="21"/>
          <w:szCs w:val="21"/>
          <w:highlight w:val="none"/>
          <w:u w:val="single"/>
        </w:rPr>
        <w:t xml:space="preserve">                                        </w:t>
      </w:r>
    </w:p>
    <w:p w14:paraId="7439C96A">
      <w:pPr>
        <w:spacing w:line="360" w:lineRule="auto"/>
        <w:ind w:left="1400" w:leftChars="500"/>
        <w:rPr>
          <w:rFonts w:hint="eastAsia" w:hAnsi="宋体" w:cs="宋体"/>
          <w:color w:val="auto"/>
          <w:sz w:val="21"/>
          <w:szCs w:val="21"/>
          <w:highlight w:val="none"/>
          <w:u w:val="single"/>
        </w:rPr>
      </w:pPr>
      <w:r>
        <w:rPr>
          <w:rFonts w:hint="eastAsia" w:hAnsi="宋体" w:cs="宋体"/>
          <w:color w:val="auto"/>
          <w:sz w:val="21"/>
          <w:szCs w:val="21"/>
          <w:highlight w:val="none"/>
        </w:rPr>
        <w:t>传真：</w:t>
      </w:r>
      <w:r>
        <w:rPr>
          <w:rFonts w:hint="eastAsia" w:hAnsi="宋体" w:cs="宋体"/>
          <w:color w:val="auto"/>
          <w:sz w:val="21"/>
          <w:szCs w:val="21"/>
          <w:highlight w:val="none"/>
          <w:u w:val="single"/>
        </w:rPr>
        <w:t xml:space="preserve">                                        </w:t>
      </w:r>
    </w:p>
    <w:p w14:paraId="2268DC7B">
      <w:pPr>
        <w:spacing w:line="360" w:lineRule="auto"/>
        <w:ind w:left="1400" w:leftChars="500"/>
        <w:rPr>
          <w:rFonts w:hint="eastAsia" w:hAnsi="宋体" w:cs="宋体"/>
          <w:color w:val="auto"/>
          <w:sz w:val="21"/>
          <w:szCs w:val="21"/>
          <w:highlight w:val="none"/>
          <w:u w:val="single"/>
        </w:rPr>
      </w:pPr>
      <w:r>
        <w:rPr>
          <w:rFonts w:hint="eastAsia" w:hAnsi="宋体" w:cs="宋体"/>
          <w:color w:val="auto"/>
          <w:sz w:val="21"/>
          <w:szCs w:val="21"/>
          <w:highlight w:val="none"/>
        </w:rPr>
        <w:t>申请人地址：</w:t>
      </w:r>
      <w:r>
        <w:rPr>
          <w:rFonts w:hint="eastAsia" w:hAnsi="宋体" w:cs="宋体"/>
          <w:color w:val="auto"/>
          <w:sz w:val="21"/>
          <w:szCs w:val="21"/>
          <w:highlight w:val="none"/>
          <w:u w:val="single"/>
        </w:rPr>
        <w:t xml:space="preserve">                                  </w:t>
      </w:r>
    </w:p>
    <w:p w14:paraId="2B6DF42B">
      <w:pPr>
        <w:spacing w:line="360" w:lineRule="auto"/>
        <w:ind w:left="1400" w:leftChars="500"/>
        <w:rPr>
          <w:rFonts w:hint="eastAsia" w:hAnsi="宋体" w:cs="宋体"/>
          <w:color w:val="auto"/>
          <w:sz w:val="21"/>
          <w:szCs w:val="21"/>
          <w:highlight w:val="none"/>
          <w:u w:val="single"/>
        </w:rPr>
      </w:pPr>
      <w:r>
        <w:rPr>
          <w:rFonts w:hint="eastAsia" w:hAnsi="宋体" w:cs="宋体"/>
          <w:color w:val="auto"/>
          <w:sz w:val="21"/>
          <w:szCs w:val="21"/>
          <w:highlight w:val="none"/>
        </w:rPr>
        <w:t>邮 政 编 码：</w:t>
      </w:r>
      <w:r>
        <w:rPr>
          <w:rFonts w:hint="eastAsia" w:hAnsi="宋体" w:cs="宋体"/>
          <w:color w:val="auto"/>
          <w:sz w:val="21"/>
          <w:szCs w:val="21"/>
          <w:highlight w:val="none"/>
          <w:u w:val="single"/>
        </w:rPr>
        <w:t xml:space="preserve">                                 </w:t>
      </w:r>
    </w:p>
    <w:p w14:paraId="5D46C32E">
      <w:pPr>
        <w:widowControl/>
        <w:jc w:val="center"/>
        <w:rPr>
          <w:rFonts w:hint="eastAsia" w:hAnsi="宋体" w:cs="宋体"/>
          <w:b/>
          <w:bCs/>
          <w:color w:val="auto"/>
          <w:szCs w:val="28"/>
          <w:highlight w:val="none"/>
        </w:rPr>
      </w:pPr>
      <w:r>
        <w:rPr>
          <w:rFonts w:hint="eastAsia" w:hAnsi="宋体" w:cs="宋体"/>
          <w:b/>
          <w:bCs/>
          <w:color w:val="auto"/>
          <w:sz w:val="30"/>
          <w:highlight w:val="none"/>
        </w:rPr>
        <w:br w:type="page"/>
      </w:r>
      <w:bookmarkStart w:id="38" w:name="_Toc5003"/>
      <w:r>
        <w:rPr>
          <w:rStyle w:val="75"/>
          <w:rFonts w:hint="eastAsia"/>
          <w:color w:val="auto"/>
          <w:highlight w:val="none"/>
        </w:rPr>
        <w:t>（二）投标人应具有独立承担民事责任的能力</w:t>
      </w:r>
      <w:bookmarkEnd w:id="38"/>
    </w:p>
    <w:p w14:paraId="3D34A8F1">
      <w:pPr>
        <w:spacing w:line="460" w:lineRule="exact"/>
        <w:jc w:val="center"/>
        <w:rPr>
          <w:rFonts w:hint="eastAsia" w:hAnsi="宋体" w:cs="宋体"/>
          <w:b/>
          <w:color w:val="auto"/>
          <w:sz w:val="24"/>
          <w:highlight w:val="none"/>
        </w:rPr>
      </w:pPr>
      <w:r>
        <w:rPr>
          <w:rFonts w:hint="eastAsia" w:hAnsi="宋体" w:cs="宋体"/>
          <w:b/>
          <w:color w:val="auto"/>
          <w:sz w:val="24"/>
          <w:highlight w:val="none"/>
        </w:rPr>
        <w:t>1.</w:t>
      </w:r>
      <w:r>
        <w:rPr>
          <w:rFonts w:hint="eastAsia" w:hAnsi="宋体" w:cs="宋体"/>
          <w:color w:val="auto"/>
          <w:highlight w:val="none"/>
        </w:rPr>
        <w:t xml:space="preserve"> </w:t>
      </w:r>
      <w:r>
        <w:rPr>
          <w:rFonts w:hint="eastAsia" w:hAnsi="宋体" w:cs="宋体"/>
          <w:b/>
          <w:color w:val="auto"/>
          <w:sz w:val="24"/>
          <w:highlight w:val="none"/>
        </w:rPr>
        <w:t>提供有效营业执照或其他组织证件或自然人身份证明：</w:t>
      </w:r>
    </w:p>
    <w:p w14:paraId="67E79AA3">
      <w:pPr>
        <w:spacing w:line="460" w:lineRule="exact"/>
        <w:ind w:firstLine="420" w:firstLineChars="200"/>
        <w:jc w:val="left"/>
        <w:rPr>
          <w:rFonts w:hint="eastAsia" w:hAnsi="宋体" w:cs="宋体"/>
          <w:color w:val="auto"/>
          <w:sz w:val="21"/>
          <w:szCs w:val="21"/>
          <w:highlight w:val="none"/>
        </w:rPr>
      </w:pPr>
      <w:r>
        <w:rPr>
          <w:rFonts w:hint="eastAsia" w:hAnsi="宋体" w:cs="宋体"/>
          <w:color w:val="auto"/>
          <w:sz w:val="21"/>
          <w:szCs w:val="21"/>
          <w:highlight w:val="none"/>
        </w:rPr>
        <w:t>投标人有效的《营业执照》或《统一社会信用代码证》或其他组织证件或自然人身份证明等能证明投标人具有独立承担民事责任能力的证明材料。</w:t>
      </w:r>
    </w:p>
    <w:p w14:paraId="76ADB385">
      <w:pPr>
        <w:spacing w:line="420" w:lineRule="exact"/>
        <w:jc w:val="left"/>
        <w:rPr>
          <w:rFonts w:hint="eastAsia" w:hAnsi="宋体" w:cs="宋体"/>
          <w:color w:val="auto"/>
          <w:szCs w:val="21"/>
          <w:highlight w:val="none"/>
        </w:rPr>
      </w:pPr>
    </w:p>
    <w:p w14:paraId="7A5908B3">
      <w:pPr>
        <w:spacing w:line="420" w:lineRule="exact"/>
        <w:jc w:val="left"/>
        <w:rPr>
          <w:rFonts w:hint="eastAsia" w:hAnsi="宋体" w:cs="宋体"/>
          <w:color w:val="auto"/>
          <w:szCs w:val="21"/>
          <w:highlight w:val="none"/>
        </w:rPr>
      </w:pPr>
    </w:p>
    <w:p w14:paraId="3E29C964">
      <w:pPr>
        <w:spacing w:line="420" w:lineRule="exact"/>
        <w:jc w:val="left"/>
        <w:rPr>
          <w:rFonts w:hint="eastAsia" w:hAnsi="宋体" w:cs="宋体"/>
          <w:color w:val="auto"/>
          <w:szCs w:val="21"/>
          <w:highlight w:val="none"/>
        </w:rPr>
      </w:pPr>
    </w:p>
    <w:p w14:paraId="6373B9A2">
      <w:pPr>
        <w:spacing w:line="420" w:lineRule="exact"/>
        <w:jc w:val="left"/>
        <w:rPr>
          <w:rFonts w:hint="eastAsia" w:hAnsi="宋体" w:cs="宋体"/>
          <w:color w:val="auto"/>
          <w:szCs w:val="21"/>
          <w:highlight w:val="none"/>
        </w:rPr>
      </w:pPr>
    </w:p>
    <w:p w14:paraId="7180D126">
      <w:pPr>
        <w:spacing w:line="420" w:lineRule="exact"/>
        <w:jc w:val="center"/>
        <w:rPr>
          <w:rFonts w:hint="eastAsia" w:hAnsi="宋体" w:cs="宋体"/>
          <w:b/>
          <w:bCs/>
          <w:color w:val="auto"/>
          <w:sz w:val="24"/>
          <w:highlight w:val="none"/>
        </w:rPr>
      </w:pPr>
      <w:r>
        <w:rPr>
          <w:rFonts w:hint="eastAsia" w:hAnsi="宋体" w:cs="宋体"/>
          <w:b/>
          <w:color w:val="auto"/>
          <w:szCs w:val="21"/>
          <w:highlight w:val="none"/>
        </w:rPr>
        <w:br w:type="page"/>
      </w:r>
      <w:r>
        <w:rPr>
          <w:rFonts w:hint="eastAsia" w:hAnsi="宋体" w:cs="宋体"/>
          <w:b/>
          <w:color w:val="auto"/>
          <w:sz w:val="24"/>
          <w:highlight w:val="none"/>
        </w:rPr>
        <w:t>2.法定代表人（负责人）身份证明书</w:t>
      </w:r>
    </w:p>
    <w:p w14:paraId="445182F3">
      <w:pPr>
        <w:spacing w:line="360" w:lineRule="auto"/>
        <w:ind w:firstLine="868" w:firstLineChars="362"/>
        <w:rPr>
          <w:rFonts w:hint="eastAsia" w:hAnsi="宋体" w:cs="宋体"/>
          <w:color w:val="auto"/>
          <w:sz w:val="24"/>
          <w:highlight w:val="none"/>
        </w:rPr>
      </w:pPr>
    </w:p>
    <w:p w14:paraId="7C5B925D">
      <w:pPr>
        <w:spacing w:line="360" w:lineRule="auto"/>
        <w:ind w:firstLine="760" w:firstLineChars="362"/>
        <w:rPr>
          <w:rFonts w:hint="eastAsia" w:hAnsi="宋体" w:cs="宋体"/>
          <w:color w:val="auto"/>
          <w:sz w:val="21"/>
          <w:szCs w:val="21"/>
          <w:highlight w:val="none"/>
        </w:rPr>
      </w:pPr>
      <w:r>
        <w:rPr>
          <w:rFonts w:hint="eastAsia" w:hAnsi="宋体" w:cs="宋体"/>
          <w:color w:val="auto"/>
          <w:sz w:val="21"/>
          <w:szCs w:val="21"/>
          <w:highlight w:val="none"/>
        </w:rPr>
        <w:t>投标人名称：</w:t>
      </w:r>
      <w:r>
        <w:rPr>
          <w:rFonts w:hint="eastAsia" w:hAnsi="宋体" w:cs="宋体"/>
          <w:color w:val="auto"/>
          <w:sz w:val="21"/>
          <w:szCs w:val="21"/>
          <w:highlight w:val="none"/>
          <w:u w:val="single"/>
        </w:rPr>
        <w:t xml:space="preserve">                        </w:t>
      </w:r>
    </w:p>
    <w:p w14:paraId="21878DC0">
      <w:pPr>
        <w:spacing w:line="360" w:lineRule="auto"/>
        <w:ind w:firstLine="760" w:firstLineChars="362"/>
        <w:rPr>
          <w:rFonts w:hint="eastAsia" w:hAnsi="宋体" w:cs="宋体"/>
          <w:color w:val="auto"/>
          <w:sz w:val="21"/>
          <w:szCs w:val="21"/>
          <w:highlight w:val="none"/>
        </w:rPr>
      </w:pPr>
      <w:r>
        <w:rPr>
          <w:rFonts w:hint="eastAsia" w:hAnsi="宋体" w:cs="宋体"/>
          <w:color w:val="auto"/>
          <w:sz w:val="21"/>
          <w:szCs w:val="21"/>
          <w:highlight w:val="none"/>
        </w:rPr>
        <w:t>单位性质：</w:t>
      </w:r>
      <w:r>
        <w:rPr>
          <w:rFonts w:hint="eastAsia" w:hAnsi="宋体" w:cs="宋体"/>
          <w:color w:val="auto"/>
          <w:sz w:val="21"/>
          <w:szCs w:val="21"/>
          <w:highlight w:val="none"/>
          <w:u w:val="single"/>
        </w:rPr>
        <w:t xml:space="preserve">                            </w:t>
      </w:r>
    </w:p>
    <w:p w14:paraId="45BA9679">
      <w:pPr>
        <w:spacing w:line="360" w:lineRule="auto"/>
        <w:ind w:firstLine="760" w:firstLineChars="362"/>
        <w:rPr>
          <w:rFonts w:hint="eastAsia" w:hAnsi="宋体" w:cs="宋体"/>
          <w:color w:val="auto"/>
          <w:sz w:val="21"/>
          <w:szCs w:val="21"/>
          <w:highlight w:val="none"/>
        </w:rPr>
      </w:pPr>
      <w:r>
        <w:rPr>
          <w:rFonts w:hint="eastAsia" w:hAnsi="宋体" w:cs="宋体"/>
          <w:color w:val="auto"/>
          <w:sz w:val="21"/>
          <w:szCs w:val="21"/>
          <w:highlight w:val="none"/>
        </w:rPr>
        <w:t>成立时间：</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年</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月</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日</w:t>
      </w:r>
    </w:p>
    <w:p w14:paraId="4898FDE7">
      <w:pPr>
        <w:spacing w:line="360" w:lineRule="auto"/>
        <w:ind w:firstLine="760" w:firstLineChars="362"/>
        <w:rPr>
          <w:rFonts w:hint="eastAsia" w:hAnsi="宋体" w:cs="宋体"/>
          <w:color w:val="auto"/>
          <w:sz w:val="21"/>
          <w:szCs w:val="21"/>
          <w:highlight w:val="none"/>
        </w:rPr>
      </w:pPr>
      <w:r>
        <w:rPr>
          <w:rFonts w:hint="eastAsia" w:hAnsi="宋体" w:cs="宋体"/>
          <w:color w:val="auto"/>
          <w:sz w:val="21"/>
          <w:szCs w:val="21"/>
          <w:highlight w:val="none"/>
        </w:rPr>
        <w:t>经营期限：</w:t>
      </w:r>
      <w:r>
        <w:rPr>
          <w:rFonts w:hint="eastAsia" w:hAnsi="宋体" w:cs="宋体"/>
          <w:color w:val="auto"/>
          <w:sz w:val="21"/>
          <w:szCs w:val="21"/>
          <w:highlight w:val="none"/>
          <w:u w:val="single"/>
        </w:rPr>
        <w:t xml:space="preserve">                            </w:t>
      </w:r>
    </w:p>
    <w:p w14:paraId="40C09DE4">
      <w:pPr>
        <w:spacing w:line="360" w:lineRule="auto"/>
        <w:ind w:firstLine="760" w:firstLineChars="362"/>
        <w:rPr>
          <w:rFonts w:hint="eastAsia" w:hAnsi="宋体" w:cs="宋体"/>
          <w:color w:val="auto"/>
          <w:sz w:val="21"/>
          <w:szCs w:val="21"/>
          <w:highlight w:val="none"/>
        </w:rPr>
      </w:pPr>
      <w:r>
        <w:rPr>
          <w:rFonts w:hint="eastAsia" w:hAnsi="宋体" w:cs="宋体"/>
          <w:color w:val="auto"/>
          <w:sz w:val="21"/>
          <w:szCs w:val="21"/>
          <w:highlight w:val="none"/>
        </w:rPr>
        <w:t>姓名：</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性别：</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年龄：</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职务：</w:t>
      </w:r>
      <w:r>
        <w:rPr>
          <w:rFonts w:hint="eastAsia" w:hAnsi="宋体" w:cs="宋体"/>
          <w:color w:val="auto"/>
          <w:sz w:val="21"/>
          <w:szCs w:val="21"/>
          <w:highlight w:val="none"/>
          <w:u w:val="single"/>
        </w:rPr>
        <w:t xml:space="preserve">            </w:t>
      </w:r>
    </w:p>
    <w:p w14:paraId="11861CA0">
      <w:pPr>
        <w:spacing w:line="360" w:lineRule="auto"/>
        <w:ind w:firstLine="37" w:firstLineChars="18"/>
        <w:rPr>
          <w:rFonts w:hint="eastAsia" w:hAnsi="宋体" w:cs="宋体"/>
          <w:color w:val="auto"/>
          <w:sz w:val="21"/>
          <w:szCs w:val="21"/>
          <w:highlight w:val="none"/>
        </w:rPr>
      </w:pPr>
      <w:r>
        <w:rPr>
          <w:rFonts w:hint="eastAsia" w:hAnsi="宋体" w:cs="宋体"/>
          <w:color w:val="auto"/>
          <w:sz w:val="21"/>
          <w:szCs w:val="21"/>
          <w:highlight w:val="none"/>
        </w:rPr>
        <w:t>系</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（投标人名称）的法定代表人（负责人）。</w:t>
      </w:r>
    </w:p>
    <w:p w14:paraId="49B5422E">
      <w:pPr>
        <w:pStyle w:val="16"/>
        <w:spacing w:line="360" w:lineRule="auto"/>
        <w:rPr>
          <w:rFonts w:hint="eastAsia" w:ascii="宋体" w:hAnsi="宋体" w:cs="宋体"/>
          <w:color w:val="auto"/>
          <w:sz w:val="21"/>
          <w:szCs w:val="21"/>
          <w:highlight w:val="none"/>
        </w:rPr>
      </w:pPr>
    </w:p>
    <w:p w14:paraId="73907B57">
      <w:pPr>
        <w:pStyle w:val="16"/>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特此证明</w:t>
      </w:r>
    </w:p>
    <w:p w14:paraId="4889770E">
      <w:pPr>
        <w:pStyle w:val="16"/>
        <w:spacing w:line="480" w:lineRule="auto"/>
        <w:ind w:firstLine="357" w:firstLineChars="210"/>
        <w:outlineLvl w:val="0"/>
        <w:rPr>
          <w:rFonts w:hint="eastAsia" w:ascii="宋体" w:hAnsi="宋体" w:cs="宋体"/>
          <w:color w:val="auto"/>
          <w:spacing w:val="-20"/>
          <w:sz w:val="21"/>
          <w:szCs w:val="21"/>
          <w:highlight w:val="none"/>
        </w:rPr>
      </w:pPr>
    </w:p>
    <w:p w14:paraId="3745934D">
      <w:pPr>
        <w:pStyle w:val="16"/>
        <w:spacing w:line="480" w:lineRule="auto"/>
        <w:ind w:firstLine="357" w:firstLineChars="210"/>
        <w:outlineLvl w:val="0"/>
        <w:rPr>
          <w:rFonts w:hint="eastAsia" w:ascii="宋体" w:hAnsi="宋体" w:cs="宋体"/>
          <w:color w:val="auto"/>
          <w:sz w:val="21"/>
          <w:szCs w:val="21"/>
          <w:highlight w:val="none"/>
        </w:rPr>
      </w:pPr>
      <w:bookmarkStart w:id="39" w:name="_Toc19628"/>
      <w:bookmarkStart w:id="40" w:name="_Toc27531"/>
      <w:bookmarkStart w:id="41" w:name="_Toc10966"/>
      <w:bookmarkStart w:id="42" w:name="_Toc11785714"/>
      <w:bookmarkStart w:id="43" w:name="_Toc32242"/>
      <w:bookmarkStart w:id="44" w:name="_Toc17695"/>
      <w:bookmarkStart w:id="45" w:name="_Toc31585"/>
      <w:bookmarkStart w:id="46" w:name="_Toc3587"/>
      <w:bookmarkStart w:id="47" w:name="_Toc10467"/>
      <w:r>
        <w:rPr>
          <w:rFonts w:hint="eastAsia" w:ascii="宋体" w:hAnsi="宋体" w:cs="宋体"/>
          <w:color w:val="auto"/>
          <w:spacing w:val="-20"/>
          <w:sz w:val="21"/>
          <w:szCs w:val="21"/>
          <w:highlight w:val="none"/>
        </w:rPr>
        <w:t>投标人：</w:t>
      </w:r>
      <w:r>
        <w:rPr>
          <w:rFonts w:hint="eastAsia" w:ascii="宋体" w:hAnsi="宋体" w:cs="宋体"/>
          <w:color w:val="auto"/>
          <w:spacing w:val="-20"/>
          <w:sz w:val="21"/>
          <w:szCs w:val="21"/>
          <w:highlight w:val="none"/>
          <w:u w:val="single"/>
        </w:rPr>
        <w:t xml:space="preserve">                                               </w:t>
      </w:r>
      <w:r>
        <w:rPr>
          <w:rFonts w:hint="eastAsia" w:ascii="宋体" w:hAnsi="宋体" w:cs="宋体"/>
          <w:color w:val="auto"/>
          <w:kern w:val="2"/>
          <w:sz w:val="21"/>
          <w:szCs w:val="21"/>
          <w:highlight w:val="none"/>
        </w:rPr>
        <w:t>（盖单位公章）</w:t>
      </w:r>
      <w:bookmarkEnd w:id="39"/>
      <w:bookmarkEnd w:id="40"/>
      <w:bookmarkEnd w:id="41"/>
      <w:bookmarkEnd w:id="42"/>
      <w:bookmarkEnd w:id="43"/>
      <w:bookmarkEnd w:id="44"/>
      <w:bookmarkEnd w:id="45"/>
      <w:bookmarkEnd w:id="46"/>
      <w:bookmarkEnd w:id="47"/>
    </w:p>
    <w:p w14:paraId="49D31BBE">
      <w:pPr>
        <w:pStyle w:val="16"/>
        <w:spacing w:line="480" w:lineRule="auto"/>
        <w:ind w:firstLine="367" w:firstLineChars="175"/>
        <w:outlineLvl w:val="0"/>
        <w:rPr>
          <w:rFonts w:hint="eastAsia" w:ascii="宋体" w:hAnsi="宋体" w:cs="宋体"/>
          <w:color w:val="auto"/>
          <w:sz w:val="21"/>
          <w:szCs w:val="21"/>
          <w:highlight w:val="none"/>
        </w:rPr>
      </w:pPr>
      <w:bookmarkStart w:id="48" w:name="_Toc32441"/>
      <w:bookmarkStart w:id="49" w:name="_Toc27118"/>
      <w:bookmarkStart w:id="50" w:name="_Toc22738"/>
      <w:bookmarkStart w:id="51" w:name="_Toc17212"/>
      <w:bookmarkStart w:id="52" w:name="_Toc11785715"/>
      <w:bookmarkStart w:id="53" w:name="_Toc8601"/>
      <w:bookmarkStart w:id="54" w:name="_Toc25143"/>
      <w:bookmarkStart w:id="55" w:name="_Toc28822"/>
      <w:bookmarkStart w:id="56" w:name="_Toc20537"/>
      <w:r>
        <w:rPr>
          <w:rFonts w:hint="eastAsia" w:ascii="宋体" w:hAnsi="宋体" w:cs="宋体"/>
          <w:color w:val="auto"/>
          <w:sz w:val="21"/>
          <w:szCs w:val="21"/>
          <w:highlight w:val="none"/>
        </w:rPr>
        <w:t>日 期：</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月</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日</w:t>
      </w:r>
      <w:bookmarkEnd w:id="48"/>
      <w:bookmarkEnd w:id="49"/>
      <w:bookmarkEnd w:id="50"/>
      <w:bookmarkEnd w:id="51"/>
      <w:bookmarkEnd w:id="52"/>
      <w:bookmarkEnd w:id="53"/>
      <w:bookmarkEnd w:id="54"/>
      <w:bookmarkEnd w:id="55"/>
      <w:bookmarkEnd w:id="56"/>
    </w:p>
    <w:p w14:paraId="0356201B">
      <w:pPr>
        <w:spacing w:line="440" w:lineRule="exact"/>
        <w:rPr>
          <w:rFonts w:hint="eastAsia" w:hAnsi="宋体" w:cs="宋体"/>
          <w:b/>
          <w:bCs/>
          <w:color w:val="auto"/>
          <w:sz w:val="21"/>
          <w:szCs w:val="21"/>
          <w:highlight w:val="none"/>
        </w:rPr>
      </w:pPr>
    </w:p>
    <w:p w14:paraId="150EE6D5">
      <w:pPr>
        <w:spacing w:line="440" w:lineRule="exact"/>
        <w:rPr>
          <w:rFonts w:hint="eastAsia" w:hAnsi="宋体" w:cs="宋体"/>
          <w:b/>
          <w:bCs/>
          <w:color w:val="auto"/>
          <w:sz w:val="21"/>
          <w:szCs w:val="21"/>
          <w:highlight w:val="none"/>
        </w:rPr>
      </w:pPr>
    </w:p>
    <w:tbl>
      <w:tblPr>
        <w:tblStyle w:val="39"/>
        <w:tblW w:w="947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46"/>
        <w:gridCol w:w="4732"/>
      </w:tblGrid>
      <w:tr w14:paraId="1EBFF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3" w:hRule="atLeast"/>
        </w:trPr>
        <w:tc>
          <w:tcPr>
            <w:tcW w:w="4746" w:type="dxa"/>
            <w:tcBorders>
              <w:top w:val="single" w:color="auto" w:sz="4" w:space="0"/>
              <w:left w:val="single" w:color="auto" w:sz="4" w:space="0"/>
              <w:bottom w:val="single" w:color="auto" w:sz="4" w:space="0"/>
              <w:right w:val="single" w:color="auto" w:sz="4" w:space="0"/>
            </w:tcBorders>
          </w:tcPr>
          <w:p w14:paraId="1BF7FA82">
            <w:pPr>
              <w:spacing w:line="440" w:lineRule="exact"/>
              <w:ind w:left="120"/>
              <w:rPr>
                <w:rFonts w:hint="eastAsia" w:hAnsi="宋体" w:cs="宋体"/>
                <w:b/>
                <w:bCs/>
                <w:color w:val="auto"/>
                <w:sz w:val="21"/>
                <w:szCs w:val="21"/>
                <w:highlight w:val="none"/>
              </w:rPr>
            </w:pPr>
            <w:r>
              <w:rPr>
                <w:rFonts w:hint="eastAsia" w:hAnsi="宋体" w:cs="宋体"/>
                <w:b/>
                <w:bCs/>
                <w:color w:val="auto"/>
                <w:sz w:val="21"/>
                <w:szCs w:val="21"/>
                <w:highlight w:val="none"/>
              </w:rPr>
              <w:t>附：法定代表人（负责人）身份证复印件正面</w:t>
            </w:r>
          </w:p>
          <w:p w14:paraId="50B3EE64">
            <w:pPr>
              <w:spacing w:line="440" w:lineRule="exact"/>
              <w:ind w:left="120"/>
              <w:rPr>
                <w:rFonts w:hint="eastAsia" w:hAnsi="宋体" w:cs="宋体"/>
                <w:b/>
                <w:bCs/>
                <w:color w:val="auto"/>
                <w:sz w:val="21"/>
                <w:szCs w:val="21"/>
                <w:highlight w:val="none"/>
              </w:rPr>
            </w:pPr>
          </w:p>
          <w:p w14:paraId="3313C91A">
            <w:pPr>
              <w:spacing w:line="440" w:lineRule="exact"/>
              <w:ind w:left="120"/>
              <w:rPr>
                <w:rFonts w:hint="eastAsia" w:hAnsi="宋体" w:cs="宋体"/>
                <w:b/>
                <w:bCs/>
                <w:color w:val="auto"/>
                <w:sz w:val="21"/>
                <w:szCs w:val="21"/>
                <w:highlight w:val="none"/>
              </w:rPr>
            </w:pPr>
          </w:p>
          <w:p w14:paraId="4F713BDE">
            <w:pPr>
              <w:spacing w:line="440" w:lineRule="exact"/>
              <w:ind w:left="120"/>
              <w:rPr>
                <w:rFonts w:hint="eastAsia" w:hAnsi="宋体" w:cs="宋体"/>
                <w:b/>
                <w:bCs/>
                <w:color w:val="auto"/>
                <w:sz w:val="21"/>
                <w:szCs w:val="21"/>
                <w:highlight w:val="none"/>
              </w:rPr>
            </w:pPr>
          </w:p>
          <w:p w14:paraId="07BBE675">
            <w:pPr>
              <w:spacing w:line="440" w:lineRule="exact"/>
              <w:ind w:left="120"/>
              <w:rPr>
                <w:rFonts w:hint="eastAsia" w:hAnsi="宋体" w:cs="宋体"/>
                <w:b/>
                <w:bCs/>
                <w:color w:val="auto"/>
                <w:sz w:val="21"/>
                <w:szCs w:val="21"/>
                <w:highlight w:val="none"/>
              </w:rPr>
            </w:pPr>
          </w:p>
          <w:p w14:paraId="431186F8">
            <w:pPr>
              <w:spacing w:line="440" w:lineRule="exact"/>
              <w:ind w:left="120"/>
              <w:rPr>
                <w:rFonts w:hint="eastAsia" w:hAnsi="宋体" w:cs="宋体"/>
                <w:b/>
                <w:bCs/>
                <w:color w:val="auto"/>
                <w:sz w:val="21"/>
                <w:szCs w:val="21"/>
                <w:highlight w:val="none"/>
              </w:rPr>
            </w:pPr>
          </w:p>
        </w:tc>
        <w:tc>
          <w:tcPr>
            <w:tcW w:w="4732" w:type="dxa"/>
            <w:tcBorders>
              <w:top w:val="single" w:color="auto" w:sz="4" w:space="0"/>
              <w:left w:val="single" w:color="auto" w:sz="4" w:space="0"/>
              <w:bottom w:val="single" w:color="auto" w:sz="4" w:space="0"/>
              <w:right w:val="single" w:color="auto" w:sz="4" w:space="0"/>
            </w:tcBorders>
          </w:tcPr>
          <w:p w14:paraId="14A22B40">
            <w:pPr>
              <w:spacing w:line="440" w:lineRule="exact"/>
              <w:rPr>
                <w:rFonts w:hint="eastAsia" w:hAnsi="宋体" w:cs="宋体"/>
                <w:b/>
                <w:bCs/>
                <w:color w:val="auto"/>
                <w:sz w:val="21"/>
                <w:szCs w:val="21"/>
                <w:highlight w:val="none"/>
              </w:rPr>
            </w:pPr>
            <w:r>
              <w:rPr>
                <w:rFonts w:hint="eastAsia" w:hAnsi="宋体" w:cs="宋体"/>
                <w:b/>
                <w:bCs/>
                <w:color w:val="auto"/>
                <w:sz w:val="21"/>
                <w:szCs w:val="21"/>
                <w:highlight w:val="none"/>
              </w:rPr>
              <w:t>附：法定代表人（负责人）身份证复印件背面</w:t>
            </w:r>
          </w:p>
          <w:p w14:paraId="577122F2">
            <w:pPr>
              <w:widowControl/>
              <w:jc w:val="left"/>
              <w:rPr>
                <w:rFonts w:hint="eastAsia" w:hAnsi="宋体" w:cs="宋体"/>
                <w:b/>
                <w:bCs/>
                <w:color w:val="auto"/>
                <w:sz w:val="21"/>
                <w:szCs w:val="21"/>
                <w:highlight w:val="none"/>
              </w:rPr>
            </w:pPr>
          </w:p>
          <w:p w14:paraId="7F9FF484">
            <w:pPr>
              <w:widowControl/>
              <w:jc w:val="left"/>
              <w:rPr>
                <w:rFonts w:hint="eastAsia" w:hAnsi="宋体" w:cs="宋体"/>
                <w:b/>
                <w:bCs/>
                <w:color w:val="auto"/>
                <w:sz w:val="21"/>
                <w:szCs w:val="21"/>
                <w:highlight w:val="none"/>
              </w:rPr>
            </w:pPr>
          </w:p>
          <w:p w14:paraId="3CC572A5">
            <w:pPr>
              <w:spacing w:line="440" w:lineRule="exact"/>
              <w:rPr>
                <w:rFonts w:hint="eastAsia" w:hAnsi="宋体" w:cs="宋体"/>
                <w:b/>
                <w:bCs/>
                <w:color w:val="auto"/>
                <w:sz w:val="21"/>
                <w:szCs w:val="21"/>
                <w:highlight w:val="none"/>
              </w:rPr>
            </w:pPr>
          </w:p>
          <w:p w14:paraId="515259D7">
            <w:pPr>
              <w:spacing w:line="440" w:lineRule="exact"/>
              <w:rPr>
                <w:rFonts w:hint="eastAsia" w:hAnsi="宋体" w:cs="宋体"/>
                <w:b/>
                <w:bCs/>
                <w:color w:val="auto"/>
                <w:sz w:val="21"/>
                <w:szCs w:val="21"/>
                <w:highlight w:val="none"/>
              </w:rPr>
            </w:pPr>
          </w:p>
          <w:p w14:paraId="5F34C411">
            <w:pPr>
              <w:spacing w:line="440" w:lineRule="exact"/>
              <w:rPr>
                <w:rFonts w:hint="eastAsia" w:hAnsi="宋体" w:cs="宋体"/>
                <w:b/>
                <w:bCs/>
                <w:color w:val="auto"/>
                <w:sz w:val="21"/>
                <w:szCs w:val="21"/>
                <w:highlight w:val="none"/>
              </w:rPr>
            </w:pPr>
          </w:p>
        </w:tc>
      </w:tr>
    </w:tbl>
    <w:p w14:paraId="4F42CBDC">
      <w:pPr>
        <w:spacing w:line="440" w:lineRule="exact"/>
        <w:rPr>
          <w:rFonts w:hint="eastAsia" w:hAnsi="宋体" w:cs="宋体"/>
          <w:b/>
          <w:bCs/>
          <w:color w:val="auto"/>
          <w:szCs w:val="21"/>
          <w:highlight w:val="none"/>
        </w:rPr>
      </w:pPr>
    </w:p>
    <w:p w14:paraId="25192CE9">
      <w:pPr>
        <w:spacing w:line="440" w:lineRule="exact"/>
        <w:rPr>
          <w:rFonts w:hint="eastAsia" w:hAnsi="宋体" w:cs="宋体"/>
          <w:b/>
          <w:bCs/>
          <w:color w:val="auto"/>
          <w:szCs w:val="21"/>
          <w:highlight w:val="none"/>
        </w:rPr>
      </w:pPr>
    </w:p>
    <w:p w14:paraId="57A4DEC1">
      <w:pPr>
        <w:spacing w:line="420" w:lineRule="exact"/>
        <w:jc w:val="left"/>
        <w:rPr>
          <w:rFonts w:hint="eastAsia" w:hAnsi="宋体" w:cs="宋体"/>
          <w:b/>
          <w:bCs/>
          <w:color w:val="auto"/>
          <w:sz w:val="30"/>
          <w:highlight w:val="none"/>
        </w:rPr>
      </w:pPr>
    </w:p>
    <w:p w14:paraId="52A29BC0">
      <w:pPr>
        <w:spacing w:line="420" w:lineRule="exact"/>
        <w:jc w:val="center"/>
        <w:rPr>
          <w:rFonts w:hint="eastAsia" w:hAnsi="宋体" w:cs="宋体"/>
          <w:b/>
          <w:color w:val="auto"/>
          <w:szCs w:val="21"/>
          <w:highlight w:val="none"/>
        </w:rPr>
      </w:pPr>
      <w:r>
        <w:rPr>
          <w:rFonts w:hint="eastAsia" w:hAnsi="宋体" w:cs="宋体"/>
          <w:b/>
          <w:color w:val="auto"/>
          <w:szCs w:val="21"/>
          <w:highlight w:val="none"/>
        </w:rPr>
        <w:br w:type="page"/>
      </w:r>
      <w:r>
        <w:rPr>
          <w:rFonts w:hint="eastAsia" w:hAnsi="宋体" w:cs="宋体"/>
          <w:b/>
          <w:color w:val="auto"/>
          <w:sz w:val="24"/>
          <w:highlight w:val="none"/>
        </w:rPr>
        <w:t>3.</w:t>
      </w:r>
      <w:r>
        <w:rPr>
          <w:rFonts w:hint="eastAsia" w:hAnsi="宋体" w:cs="宋体"/>
          <w:color w:val="auto"/>
          <w:highlight w:val="none"/>
        </w:rPr>
        <w:t xml:space="preserve"> </w:t>
      </w:r>
      <w:r>
        <w:rPr>
          <w:rFonts w:hint="eastAsia" w:hAnsi="宋体" w:cs="宋体"/>
          <w:b/>
          <w:color w:val="auto"/>
          <w:sz w:val="24"/>
          <w:highlight w:val="none"/>
        </w:rPr>
        <w:t>法人代表人授权委托书（法人参加投标时无需提供此表）</w:t>
      </w:r>
    </w:p>
    <w:p w14:paraId="3ADA63A1">
      <w:pPr>
        <w:pStyle w:val="24"/>
        <w:spacing w:line="440" w:lineRule="exact"/>
        <w:ind w:firstLine="240" w:firstLineChars="100"/>
        <w:rPr>
          <w:rFonts w:hint="eastAsia" w:hAnsi="宋体" w:cs="宋体"/>
          <w:color w:val="auto"/>
          <w:sz w:val="24"/>
          <w:highlight w:val="none"/>
          <w:u w:val="single"/>
        </w:rPr>
      </w:pPr>
    </w:p>
    <w:p w14:paraId="6982D791">
      <w:pPr>
        <w:pStyle w:val="24"/>
        <w:spacing w:line="360" w:lineRule="auto"/>
        <w:ind w:firstLine="120" w:firstLineChars="50"/>
        <w:rPr>
          <w:rFonts w:hint="eastAsia" w:hAnsi="宋体" w:cs="宋体"/>
          <w:color w:val="auto"/>
          <w:sz w:val="24"/>
          <w:highlight w:val="none"/>
        </w:rPr>
      </w:pPr>
    </w:p>
    <w:p w14:paraId="63F01FF8">
      <w:pPr>
        <w:spacing w:line="360" w:lineRule="auto"/>
        <w:ind w:firstLine="420" w:firstLineChars="200"/>
        <w:rPr>
          <w:rFonts w:hint="eastAsia" w:hAnsi="宋体" w:cs="宋体"/>
          <w:color w:val="auto"/>
          <w:sz w:val="21"/>
          <w:szCs w:val="21"/>
          <w:highlight w:val="none"/>
        </w:rPr>
      </w:pPr>
      <w:r>
        <w:rPr>
          <w:rFonts w:hint="eastAsia" w:hAnsi="宋体" w:cs="宋体"/>
          <w:color w:val="auto"/>
          <w:sz w:val="21"/>
          <w:szCs w:val="21"/>
          <w:highlight w:val="none"/>
        </w:rPr>
        <w:t>本授权书声明：</w:t>
      </w:r>
      <w:r>
        <w:rPr>
          <w:rFonts w:hint="eastAsia" w:hAnsi="宋体" w:cs="宋体"/>
          <w:color w:val="auto"/>
          <w:sz w:val="21"/>
          <w:szCs w:val="21"/>
          <w:highlight w:val="none"/>
          <w:u w:val="single"/>
        </w:rPr>
        <w:t xml:space="preserve">  （投标人全称） </w:t>
      </w:r>
      <w:r>
        <w:rPr>
          <w:rFonts w:hint="eastAsia" w:hAnsi="宋体" w:cs="宋体"/>
          <w:color w:val="auto"/>
          <w:sz w:val="21"/>
          <w:szCs w:val="21"/>
          <w:highlight w:val="none"/>
        </w:rPr>
        <w:t>的法定代表人（负责人）代表本公司授权</w:t>
      </w:r>
      <w:r>
        <w:rPr>
          <w:rFonts w:hint="eastAsia" w:hAnsi="宋体" w:cs="宋体"/>
          <w:color w:val="auto"/>
          <w:sz w:val="21"/>
          <w:szCs w:val="21"/>
          <w:highlight w:val="none"/>
          <w:u w:val="single"/>
        </w:rPr>
        <w:t>（委托代理人姓名）</w:t>
      </w:r>
      <w:r>
        <w:rPr>
          <w:rFonts w:hint="eastAsia" w:hAnsi="宋体" w:cs="宋体"/>
          <w:color w:val="auto"/>
          <w:sz w:val="21"/>
          <w:szCs w:val="21"/>
          <w:highlight w:val="none"/>
        </w:rPr>
        <w:t>为本公司合法代理人，就贵方组织的有关</w:t>
      </w:r>
      <w:r>
        <w:rPr>
          <w:rFonts w:hint="eastAsia" w:hAnsi="宋体" w:cs="宋体"/>
          <w:color w:val="auto"/>
          <w:sz w:val="21"/>
          <w:szCs w:val="21"/>
          <w:highlight w:val="none"/>
          <w:u w:val="single"/>
        </w:rPr>
        <w:t>（项目名称、项目编号）</w:t>
      </w:r>
      <w:r>
        <w:rPr>
          <w:rFonts w:hint="eastAsia" w:hAnsi="宋体" w:cs="宋体"/>
          <w:color w:val="auto"/>
          <w:sz w:val="21"/>
          <w:szCs w:val="21"/>
          <w:highlight w:val="none"/>
        </w:rPr>
        <w:t>的招标，以本单位名义投标。代理人在本项目投标过程中所签署的一切文件和处理与之有关的一切事务，我方均予承认。</w:t>
      </w:r>
    </w:p>
    <w:p w14:paraId="177CF627">
      <w:pPr>
        <w:pStyle w:val="24"/>
        <w:spacing w:line="360" w:lineRule="auto"/>
        <w:ind w:firstLine="525" w:firstLineChars="250"/>
        <w:rPr>
          <w:rFonts w:hint="eastAsia" w:hAnsi="宋体" w:cs="宋体"/>
          <w:color w:val="auto"/>
          <w:highlight w:val="none"/>
        </w:rPr>
      </w:pPr>
      <w:r>
        <w:rPr>
          <w:rFonts w:hint="eastAsia" w:hAnsi="宋体" w:cs="宋体"/>
          <w:color w:val="auto"/>
          <w:highlight w:val="none"/>
        </w:rPr>
        <w:t>代理人无转委托权。</w:t>
      </w:r>
    </w:p>
    <w:p w14:paraId="0486D6DD">
      <w:pPr>
        <w:spacing w:line="360" w:lineRule="auto"/>
        <w:ind w:firstLine="420" w:firstLineChars="200"/>
        <w:rPr>
          <w:rFonts w:hint="eastAsia" w:hAnsi="宋体" w:cs="宋体"/>
          <w:color w:val="auto"/>
          <w:sz w:val="21"/>
          <w:szCs w:val="21"/>
          <w:highlight w:val="none"/>
        </w:rPr>
      </w:pPr>
    </w:p>
    <w:p w14:paraId="697C12DD">
      <w:pPr>
        <w:spacing w:line="360" w:lineRule="auto"/>
        <w:ind w:firstLine="420" w:firstLineChars="200"/>
        <w:rPr>
          <w:rFonts w:hint="eastAsia" w:hAnsi="宋体" w:cs="宋体"/>
          <w:color w:val="auto"/>
          <w:sz w:val="21"/>
          <w:szCs w:val="21"/>
          <w:highlight w:val="none"/>
        </w:rPr>
      </w:pPr>
    </w:p>
    <w:p w14:paraId="7A619FB4">
      <w:pPr>
        <w:spacing w:line="360" w:lineRule="auto"/>
        <w:ind w:firstLine="420" w:firstLineChars="200"/>
        <w:rPr>
          <w:rFonts w:hint="eastAsia" w:hAnsi="宋体" w:cs="宋体"/>
          <w:color w:val="auto"/>
          <w:sz w:val="21"/>
          <w:szCs w:val="21"/>
          <w:highlight w:val="none"/>
        </w:rPr>
      </w:pPr>
      <w:r>
        <w:rPr>
          <w:rFonts w:hint="eastAsia" w:hAnsi="宋体" w:cs="宋体"/>
          <w:color w:val="auto"/>
          <w:sz w:val="21"/>
          <w:szCs w:val="21"/>
          <w:highlight w:val="none"/>
        </w:rPr>
        <w:t>投标人：</w:t>
      </w:r>
      <w:r>
        <w:rPr>
          <w:rFonts w:hint="eastAsia" w:hAnsi="宋体" w:cs="宋体"/>
          <w:color w:val="auto"/>
          <w:sz w:val="21"/>
          <w:szCs w:val="21"/>
          <w:highlight w:val="none"/>
          <w:u w:val="single"/>
        </w:rPr>
        <w:t xml:space="preserve">        （全称）      </w:t>
      </w:r>
      <w:r>
        <w:rPr>
          <w:rFonts w:hint="eastAsia" w:hAnsi="宋体" w:cs="宋体"/>
          <w:color w:val="auto"/>
          <w:sz w:val="21"/>
          <w:szCs w:val="21"/>
          <w:highlight w:val="none"/>
        </w:rPr>
        <w:t>（盖单位公章）</w:t>
      </w:r>
    </w:p>
    <w:p w14:paraId="7384F280">
      <w:pPr>
        <w:spacing w:line="360" w:lineRule="auto"/>
        <w:ind w:firstLine="420" w:firstLineChars="200"/>
        <w:rPr>
          <w:rFonts w:hint="eastAsia" w:hAnsi="宋体" w:cs="宋体"/>
          <w:color w:val="auto"/>
          <w:sz w:val="21"/>
          <w:szCs w:val="21"/>
          <w:highlight w:val="none"/>
        </w:rPr>
      </w:pPr>
      <w:r>
        <w:rPr>
          <w:rFonts w:hint="eastAsia" w:hAnsi="宋体" w:cs="宋体"/>
          <w:color w:val="auto"/>
          <w:sz w:val="21"/>
          <w:szCs w:val="21"/>
          <w:highlight w:val="none"/>
        </w:rPr>
        <w:t>法定代表人（负责人）：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（签字或盖章）</w:t>
      </w:r>
    </w:p>
    <w:p w14:paraId="28C9B7AF">
      <w:pPr>
        <w:spacing w:line="360" w:lineRule="auto"/>
        <w:ind w:firstLine="420" w:firstLineChars="200"/>
        <w:rPr>
          <w:rFonts w:hint="eastAsia" w:hAnsi="宋体" w:cs="宋体"/>
          <w:color w:val="auto"/>
          <w:sz w:val="21"/>
          <w:szCs w:val="21"/>
          <w:highlight w:val="none"/>
        </w:rPr>
      </w:pPr>
    </w:p>
    <w:p w14:paraId="63682B98">
      <w:pPr>
        <w:spacing w:line="360" w:lineRule="auto"/>
        <w:ind w:firstLine="420" w:firstLineChars="200"/>
        <w:rPr>
          <w:rFonts w:hint="eastAsia" w:hAnsi="宋体" w:cs="宋体"/>
          <w:color w:val="auto"/>
          <w:sz w:val="21"/>
          <w:szCs w:val="21"/>
          <w:highlight w:val="none"/>
        </w:rPr>
      </w:pPr>
      <w:r>
        <w:rPr>
          <w:rFonts w:hint="eastAsia" w:hAnsi="宋体" w:cs="宋体"/>
          <w:color w:val="auto"/>
          <w:sz w:val="21"/>
          <w:szCs w:val="21"/>
          <w:highlight w:val="none"/>
        </w:rPr>
        <w:t>委托代理人相关信息</w:t>
      </w:r>
    </w:p>
    <w:p w14:paraId="25B32E07">
      <w:pPr>
        <w:spacing w:line="360" w:lineRule="auto"/>
        <w:ind w:firstLine="420" w:firstLineChars="200"/>
        <w:rPr>
          <w:rFonts w:hint="eastAsia" w:hAnsi="宋体" w:cs="宋体"/>
          <w:color w:val="auto"/>
          <w:sz w:val="21"/>
          <w:szCs w:val="21"/>
          <w:highlight w:val="none"/>
        </w:rPr>
      </w:pPr>
      <w:r>
        <w:rPr>
          <w:rFonts w:hint="eastAsia" w:hAnsi="宋体" w:cs="宋体"/>
          <w:color w:val="auto"/>
          <w:sz w:val="21"/>
          <w:szCs w:val="21"/>
          <w:highlight w:val="none"/>
        </w:rPr>
        <w:t>姓      名：</w:t>
      </w:r>
      <w:r>
        <w:rPr>
          <w:rFonts w:hint="eastAsia" w:hAnsi="宋体" w:cs="宋体"/>
          <w:color w:val="auto"/>
          <w:sz w:val="21"/>
          <w:szCs w:val="21"/>
          <w:highlight w:val="none"/>
          <w:u w:val="single"/>
        </w:rPr>
        <w:t xml:space="preserve">                             </w:t>
      </w:r>
    </w:p>
    <w:p w14:paraId="286A78B7">
      <w:pPr>
        <w:spacing w:line="360" w:lineRule="auto"/>
        <w:ind w:firstLine="420" w:firstLineChars="200"/>
        <w:rPr>
          <w:rFonts w:hint="eastAsia" w:hAnsi="宋体" w:cs="宋体"/>
          <w:color w:val="auto"/>
          <w:sz w:val="21"/>
          <w:szCs w:val="21"/>
          <w:highlight w:val="none"/>
        </w:rPr>
      </w:pPr>
      <w:r>
        <w:rPr>
          <w:rFonts w:hint="eastAsia" w:hAnsi="宋体" w:cs="宋体"/>
          <w:color w:val="auto"/>
          <w:sz w:val="21"/>
          <w:szCs w:val="21"/>
          <w:highlight w:val="none"/>
        </w:rPr>
        <w:t>职      务：</w:t>
      </w:r>
      <w:r>
        <w:rPr>
          <w:rFonts w:hint="eastAsia" w:hAnsi="宋体" w:cs="宋体"/>
          <w:color w:val="auto"/>
          <w:sz w:val="21"/>
          <w:szCs w:val="21"/>
          <w:highlight w:val="none"/>
          <w:u w:val="single"/>
        </w:rPr>
        <w:t xml:space="preserve">                             </w:t>
      </w:r>
    </w:p>
    <w:p w14:paraId="2EC9F217">
      <w:pPr>
        <w:spacing w:line="360" w:lineRule="auto"/>
        <w:ind w:firstLine="420" w:firstLineChars="200"/>
        <w:rPr>
          <w:rFonts w:hint="eastAsia" w:hAnsi="宋体" w:cs="宋体"/>
          <w:color w:val="auto"/>
          <w:sz w:val="21"/>
          <w:szCs w:val="21"/>
          <w:highlight w:val="none"/>
        </w:rPr>
      </w:pPr>
      <w:r>
        <w:rPr>
          <w:rFonts w:hint="eastAsia" w:hAnsi="宋体" w:cs="宋体"/>
          <w:color w:val="auto"/>
          <w:sz w:val="21"/>
          <w:szCs w:val="21"/>
          <w:highlight w:val="none"/>
        </w:rPr>
        <w:t>电      话：</w:t>
      </w:r>
      <w:r>
        <w:rPr>
          <w:rFonts w:hint="eastAsia" w:hAnsi="宋体" w:cs="宋体"/>
          <w:color w:val="auto"/>
          <w:sz w:val="21"/>
          <w:szCs w:val="21"/>
          <w:highlight w:val="none"/>
          <w:u w:val="single"/>
        </w:rPr>
        <w:t xml:space="preserve">                             </w:t>
      </w:r>
    </w:p>
    <w:p w14:paraId="4F710CA6">
      <w:pPr>
        <w:spacing w:line="360" w:lineRule="auto"/>
        <w:ind w:firstLine="420" w:firstLineChars="200"/>
        <w:rPr>
          <w:rFonts w:hint="eastAsia" w:hAnsi="宋体" w:cs="宋体"/>
          <w:color w:val="auto"/>
          <w:sz w:val="21"/>
          <w:szCs w:val="21"/>
          <w:highlight w:val="none"/>
          <w:u w:val="single"/>
        </w:rPr>
      </w:pPr>
    </w:p>
    <w:p w14:paraId="73381FC5">
      <w:pPr>
        <w:spacing w:line="360" w:lineRule="auto"/>
        <w:ind w:firstLine="420" w:firstLineChars="200"/>
        <w:rPr>
          <w:rFonts w:hint="eastAsia" w:hAnsi="宋体" w:cs="宋体"/>
          <w:color w:val="auto"/>
          <w:sz w:val="21"/>
          <w:szCs w:val="21"/>
          <w:highlight w:val="none"/>
        </w:rPr>
      </w:pPr>
      <w:r>
        <w:rPr>
          <w:rFonts w:hint="eastAsia" w:hAnsi="宋体" w:cs="宋体"/>
          <w:color w:val="auto"/>
          <w:sz w:val="21"/>
          <w:szCs w:val="21"/>
          <w:highlight w:val="none"/>
        </w:rPr>
        <w:t>日      期：</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年</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月</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日</w:t>
      </w:r>
    </w:p>
    <w:p w14:paraId="49B2582B">
      <w:pPr>
        <w:pStyle w:val="24"/>
        <w:spacing w:line="600" w:lineRule="auto"/>
        <w:rPr>
          <w:rFonts w:hint="eastAsia" w:hAnsi="宋体" w:cs="宋体"/>
          <w:color w:val="auto"/>
          <w:highlight w:val="none"/>
        </w:rPr>
      </w:pPr>
    </w:p>
    <w:p w14:paraId="61B5370A">
      <w:pPr>
        <w:pStyle w:val="24"/>
        <w:spacing w:line="600" w:lineRule="auto"/>
        <w:rPr>
          <w:rFonts w:hint="eastAsia" w:hAnsi="宋体" w:cs="宋体"/>
          <w:color w:val="auto"/>
          <w:highlight w:val="none"/>
        </w:rPr>
      </w:pPr>
      <w:r>
        <w:rPr>
          <w:rFonts w:hint="eastAsia" w:hAnsi="宋体" w:cs="宋体"/>
          <w:color w:val="auto"/>
          <w:highlight w:val="none"/>
        </w:rPr>
        <w:t>注：后附被授权人身份证复印件及近期三个月内社保证明（新成立的单位人员社保证明不作要求）</w:t>
      </w:r>
    </w:p>
    <w:p w14:paraId="700B0E53">
      <w:pPr>
        <w:pStyle w:val="24"/>
        <w:spacing w:line="360" w:lineRule="auto"/>
        <w:ind w:firstLine="5397" w:firstLineChars="2570"/>
        <w:rPr>
          <w:rFonts w:hint="eastAsia" w:hAnsi="宋体" w:cs="宋体"/>
          <w:color w:val="auto"/>
          <w:highlight w:val="none"/>
        </w:rPr>
      </w:pPr>
    </w:p>
    <w:p w14:paraId="6395FB22">
      <w:pPr>
        <w:widowControl/>
        <w:jc w:val="center"/>
        <w:rPr>
          <w:rFonts w:hint="eastAsia" w:hAnsi="宋体" w:cs="宋体"/>
          <w:b/>
          <w:color w:val="auto"/>
          <w:sz w:val="24"/>
          <w:highlight w:val="none"/>
        </w:rPr>
      </w:pPr>
      <w:r>
        <w:rPr>
          <w:rFonts w:hint="eastAsia" w:hAnsi="宋体" w:cs="宋体"/>
          <w:b/>
          <w:bCs/>
          <w:color w:val="auto"/>
          <w:szCs w:val="21"/>
          <w:highlight w:val="none"/>
        </w:rPr>
        <w:br w:type="page"/>
      </w:r>
      <w:r>
        <w:rPr>
          <w:rFonts w:hint="eastAsia" w:hAnsi="宋体" w:cs="宋体"/>
          <w:b/>
          <w:color w:val="auto"/>
          <w:sz w:val="24"/>
          <w:highlight w:val="none"/>
        </w:rPr>
        <w:t>4. 投标人须提供声明文件</w:t>
      </w:r>
    </w:p>
    <w:p w14:paraId="34BC487C">
      <w:pPr>
        <w:spacing w:line="480" w:lineRule="exact"/>
        <w:jc w:val="center"/>
        <w:rPr>
          <w:rFonts w:hint="eastAsia" w:hAnsi="宋体" w:cs="宋体"/>
          <w:b/>
          <w:bCs/>
          <w:color w:val="auto"/>
          <w:sz w:val="30"/>
          <w:highlight w:val="none"/>
        </w:rPr>
      </w:pPr>
    </w:p>
    <w:p w14:paraId="196C2089">
      <w:pPr>
        <w:spacing w:line="480" w:lineRule="exact"/>
        <w:jc w:val="center"/>
        <w:rPr>
          <w:rFonts w:hint="eastAsia" w:hAnsi="宋体" w:cs="宋体"/>
          <w:b/>
          <w:bCs/>
          <w:color w:val="auto"/>
          <w:sz w:val="30"/>
          <w:highlight w:val="none"/>
        </w:rPr>
      </w:pPr>
      <w:r>
        <w:rPr>
          <w:rFonts w:hint="eastAsia" w:hAnsi="宋体" w:cs="宋体"/>
          <w:b/>
          <w:bCs/>
          <w:color w:val="auto"/>
          <w:sz w:val="30"/>
          <w:highlight w:val="none"/>
        </w:rPr>
        <w:t xml:space="preserve">声明书 </w:t>
      </w:r>
    </w:p>
    <w:p w14:paraId="222F09A9">
      <w:pPr>
        <w:spacing w:line="480" w:lineRule="exact"/>
        <w:rPr>
          <w:rFonts w:hint="eastAsia" w:hAnsi="宋体" w:cs="宋体"/>
          <w:b/>
          <w:bCs/>
          <w:color w:val="auto"/>
          <w:sz w:val="21"/>
          <w:szCs w:val="21"/>
          <w:highlight w:val="none"/>
        </w:rPr>
      </w:pPr>
    </w:p>
    <w:p w14:paraId="56C9F573">
      <w:pPr>
        <w:spacing w:line="480" w:lineRule="exact"/>
        <w:rPr>
          <w:rFonts w:hint="eastAsia" w:hAnsi="宋体" w:cs="宋体"/>
          <w:b/>
          <w:color w:val="auto"/>
          <w:sz w:val="21"/>
          <w:szCs w:val="21"/>
          <w:highlight w:val="none"/>
          <w:u w:val="single"/>
        </w:rPr>
      </w:pPr>
      <w:r>
        <w:rPr>
          <w:rFonts w:hint="eastAsia" w:hAnsi="宋体" w:cs="宋体"/>
          <w:b/>
          <w:bCs/>
          <w:color w:val="auto"/>
          <w:sz w:val="21"/>
          <w:szCs w:val="21"/>
          <w:highlight w:val="none"/>
        </w:rPr>
        <w:t xml:space="preserve"> </w:t>
      </w:r>
      <w:r>
        <w:rPr>
          <w:rFonts w:hint="eastAsia" w:hAnsi="宋体" w:cs="宋体"/>
          <w:b/>
          <w:color w:val="auto"/>
          <w:sz w:val="21"/>
          <w:szCs w:val="21"/>
          <w:highlight w:val="none"/>
        </w:rPr>
        <w:t>致：</w:t>
      </w:r>
      <w:r>
        <w:rPr>
          <w:rFonts w:hint="eastAsia" w:hAnsi="宋体" w:cs="宋体"/>
          <w:b/>
          <w:color w:val="auto"/>
          <w:sz w:val="21"/>
          <w:szCs w:val="21"/>
          <w:highlight w:val="none"/>
          <w:u w:val="single"/>
        </w:rPr>
        <w:t xml:space="preserve">    （采购人名称）       </w:t>
      </w:r>
    </w:p>
    <w:p w14:paraId="3EDFE628">
      <w:pPr>
        <w:spacing w:line="500" w:lineRule="exact"/>
        <w:rPr>
          <w:rFonts w:hint="eastAsia" w:hAnsi="宋体" w:cs="宋体"/>
          <w:b/>
          <w:color w:val="auto"/>
          <w:sz w:val="21"/>
          <w:szCs w:val="21"/>
          <w:highlight w:val="none"/>
        </w:rPr>
      </w:pPr>
    </w:p>
    <w:p w14:paraId="36ABD3B2">
      <w:pPr>
        <w:spacing w:line="500" w:lineRule="exact"/>
        <w:jc w:val="left"/>
        <w:rPr>
          <w:rFonts w:hint="eastAsia" w:hAnsi="宋体" w:cs="宋体"/>
          <w:color w:val="auto"/>
          <w:sz w:val="21"/>
          <w:szCs w:val="21"/>
          <w:highlight w:val="none"/>
        </w:rPr>
      </w:pPr>
      <w:r>
        <w:rPr>
          <w:rFonts w:hint="eastAsia" w:hAnsi="宋体" w:cs="宋体"/>
          <w:color w:val="auto"/>
          <w:sz w:val="21"/>
          <w:szCs w:val="21"/>
          <w:highlight w:val="none"/>
        </w:rPr>
        <w:t xml:space="preserve">    在审阅了贵方</w:t>
      </w:r>
      <w:r>
        <w:rPr>
          <w:rFonts w:hint="eastAsia" w:hAnsi="宋体" w:cs="宋体"/>
          <w:color w:val="auto"/>
          <w:sz w:val="21"/>
          <w:szCs w:val="21"/>
          <w:highlight w:val="none"/>
          <w:u w:val="single"/>
        </w:rPr>
        <w:t xml:space="preserve">   （项目名称、项目编号）   </w:t>
      </w:r>
      <w:r>
        <w:rPr>
          <w:rFonts w:hint="eastAsia" w:hAnsi="宋体" w:cs="宋体"/>
          <w:color w:val="auto"/>
          <w:sz w:val="21"/>
          <w:szCs w:val="21"/>
          <w:highlight w:val="none"/>
        </w:rPr>
        <w:t>招标文件包括确已收到第</w:t>
      </w:r>
      <w:r>
        <w:rPr>
          <w:rFonts w:hint="eastAsia" w:hAnsi="宋体" w:cs="宋体"/>
          <w:color w:val="auto"/>
          <w:sz w:val="21"/>
          <w:szCs w:val="21"/>
          <w:highlight w:val="none"/>
          <w:u w:val="single"/>
        </w:rPr>
        <w:t>　　　　　　</w:t>
      </w:r>
      <w:r>
        <w:rPr>
          <w:rFonts w:hint="eastAsia" w:hAnsi="宋体" w:cs="宋体"/>
          <w:color w:val="auto"/>
          <w:sz w:val="21"/>
          <w:szCs w:val="21"/>
          <w:highlight w:val="none"/>
        </w:rPr>
        <w:t>号补充文件（若有，若没有任何补遗、更正的，请填写“/”），我方被授权签字人在此申明我方就本项目招标为独立投标，我方不属于</w:t>
      </w:r>
      <w:r>
        <w:rPr>
          <w:rFonts w:hint="eastAsia" w:hAnsi="宋体" w:cs="宋体"/>
          <w:b/>
          <w:color w:val="auto"/>
          <w:sz w:val="21"/>
          <w:szCs w:val="21"/>
          <w:highlight w:val="none"/>
        </w:rPr>
        <w:t>联合体参加投标，与其他投标人不存在单位负责人为同一人或者存在直接控股、管理关系的情况。</w:t>
      </w:r>
    </w:p>
    <w:p w14:paraId="711E1834">
      <w:pPr>
        <w:spacing w:line="500" w:lineRule="exact"/>
        <w:ind w:firstLine="420" w:firstLineChars="200"/>
        <w:jc w:val="left"/>
        <w:rPr>
          <w:rFonts w:hint="eastAsia" w:hAnsi="宋体" w:cs="宋体"/>
          <w:color w:val="auto"/>
          <w:sz w:val="21"/>
          <w:szCs w:val="21"/>
          <w:highlight w:val="none"/>
        </w:rPr>
      </w:pPr>
    </w:p>
    <w:p w14:paraId="76D65394">
      <w:pPr>
        <w:spacing w:line="500" w:lineRule="exact"/>
        <w:jc w:val="left"/>
        <w:rPr>
          <w:rFonts w:hint="eastAsia" w:hAnsi="宋体" w:cs="宋体"/>
          <w:color w:val="auto"/>
          <w:sz w:val="21"/>
          <w:szCs w:val="21"/>
          <w:highlight w:val="none"/>
        </w:rPr>
      </w:pPr>
      <w:r>
        <w:rPr>
          <w:rFonts w:hint="eastAsia" w:hAnsi="宋体" w:cs="宋体"/>
          <w:color w:val="auto"/>
          <w:sz w:val="21"/>
          <w:szCs w:val="21"/>
          <w:highlight w:val="none"/>
        </w:rPr>
        <w:t xml:space="preserve">                         法定代表人（负责人）或被授权人（签字或盖章）：</w:t>
      </w:r>
    </w:p>
    <w:p w14:paraId="680F5FE9">
      <w:pPr>
        <w:spacing w:line="500" w:lineRule="exact"/>
        <w:ind w:firstLine="4620" w:firstLineChars="2200"/>
        <w:jc w:val="left"/>
        <w:rPr>
          <w:rFonts w:hint="eastAsia" w:hAnsi="宋体" w:cs="宋体"/>
          <w:color w:val="auto"/>
          <w:sz w:val="21"/>
          <w:szCs w:val="21"/>
          <w:highlight w:val="none"/>
        </w:rPr>
      </w:pPr>
      <w:r>
        <w:rPr>
          <w:rFonts w:hint="eastAsia" w:hAnsi="宋体" w:cs="宋体"/>
          <w:color w:val="auto"/>
          <w:sz w:val="21"/>
          <w:szCs w:val="21"/>
          <w:highlight w:val="none"/>
        </w:rPr>
        <w:t>单位公章：</w:t>
      </w:r>
    </w:p>
    <w:p w14:paraId="409B914B">
      <w:pPr>
        <w:spacing w:line="500" w:lineRule="exact"/>
        <w:jc w:val="left"/>
        <w:rPr>
          <w:rFonts w:hint="eastAsia" w:hAnsi="宋体" w:cs="宋体"/>
          <w:color w:val="auto"/>
          <w:sz w:val="21"/>
          <w:szCs w:val="21"/>
          <w:highlight w:val="none"/>
        </w:rPr>
      </w:pPr>
      <w:r>
        <w:rPr>
          <w:rFonts w:hint="eastAsia" w:hAnsi="宋体" w:cs="宋体"/>
          <w:color w:val="auto"/>
          <w:sz w:val="21"/>
          <w:szCs w:val="21"/>
          <w:highlight w:val="none"/>
        </w:rPr>
        <w:t>　　　　　　　　　　　　　　　　　　　　　　　年　　月    日</w:t>
      </w:r>
    </w:p>
    <w:p w14:paraId="19712992">
      <w:pPr>
        <w:spacing w:line="500" w:lineRule="exact"/>
        <w:jc w:val="left"/>
        <w:rPr>
          <w:rFonts w:hint="eastAsia" w:hAnsi="宋体" w:cs="宋体"/>
          <w:color w:val="auto"/>
          <w:szCs w:val="21"/>
          <w:highlight w:val="none"/>
        </w:rPr>
      </w:pPr>
    </w:p>
    <w:p w14:paraId="61A59FE5">
      <w:pPr>
        <w:jc w:val="left"/>
        <w:rPr>
          <w:rFonts w:hint="eastAsia" w:hAnsi="宋体" w:cs="宋体"/>
          <w:b/>
          <w:bCs/>
          <w:color w:val="auto"/>
          <w:sz w:val="30"/>
          <w:highlight w:val="none"/>
        </w:rPr>
      </w:pPr>
    </w:p>
    <w:p w14:paraId="3DD1AA82">
      <w:pPr>
        <w:rPr>
          <w:rFonts w:hint="eastAsia" w:hAnsi="宋体" w:cs="宋体"/>
          <w:color w:val="auto"/>
          <w:highlight w:val="none"/>
        </w:rPr>
      </w:pPr>
    </w:p>
    <w:p w14:paraId="1FF882AF">
      <w:pPr>
        <w:rPr>
          <w:rFonts w:hint="eastAsia" w:hAnsi="宋体" w:cs="宋体"/>
          <w:color w:val="auto"/>
          <w:highlight w:val="none"/>
        </w:rPr>
      </w:pPr>
    </w:p>
    <w:p w14:paraId="7AE207DC">
      <w:pPr>
        <w:jc w:val="center"/>
        <w:rPr>
          <w:rFonts w:hint="eastAsia" w:hAnsi="宋体" w:cs="宋体"/>
          <w:b/>
          <w:color w:val="auto"/>
          <w:szCs w:val="28"/>
          <w:highlight w:val="none"/>
        </w:rPr>
      </w:pPr>
      <w:r>
        <w:rPr>
          <w:rFonts w:hint="eastAsia" w:hAnsi="宋体" w:cs="宋体"/>
          <w:color w:val="auto"/>
          <w:highlight w:val="none"/>
        </w:rPr>
        <w:br w:type="page"/>
      </w:r>
      <w:bookmarkStart w:id="57" w:name="_Toc15393"/>
      <w:r>
        <w:rPr>
          <w:rStyle w:val="75"/>
          <w:rFonts w:hint="eastAsia"/>
          <w:color w:val="auto"/>
          <w:highlight w:val="none"/>
        </w:rPr>
        <w:t>（三）具有良好的商业信誉和健全的财务会计制度</w:t>
      </w:r>
      <w:bookmarkEnd w:id="57"/>
    </w:p>
    <w:p w14:paraId="0FF34E66">
      <w:pPr>
        <w:rPr>
          <w:rFonts w:hint="eastAsia" w:hAnsi="宋体" w:cs="宋体"/>
          <w:color w:val="auto"/>
          <w:highlight w:val="none"/>
        </w:rPr>
      </w:pPr>
    </w:p>
    <w:p w14:paraId="39281DCC">
      <w:pPr>
        <w:spacing w:line="460" w:lineRule="exact"/>
        <w:jc w:val="left"/>
        <w:rPr>
          <w:rFonts w:hint="eastAsia" w:hAnsi="宋体" w:cs="宋体"/>
          <w:color w:val="auto"/>
          <w:sz w:val="21"/>
          <w:szCs w:val="21"/>
          <w:highlight w:val="none"/>
        </w:rPr>
      </w:pPr>
      <w:r>
        <w:rPr>
          <w:rFonts w:hint="eastAsia" w:hAnsi="宋体" w:cs="宋体"/>
          <w:color w:val="auto"/>
          <w:sz w:val="21"/>
          <w:szCs w:val="21"/>
          <w:highlight w:val="none"/>
        </w:rPr>
        <w:t>1.提供具有良好商业信誉和声明函。</w:t>
      </w:r>
    </w:p>
    <w:p w14:paraId="243AA747">
      <w:pPr>
        <w:spacing w:line="460" w:lineRule="exact"/>
        <w:jc w:val="left"/>
        <w:rPr>
          <w:rFonts w:hint="eastAsia" w:hAnsi="宋体" w:cs="宋体"/>
          <w:color w:val="auto"/>
          <w:sz w:val="21"/>
          <w:szCs w:val="21"/>
          <w:highlight w:val="none"/>
        </w:rPr>
      </w:pPr>
    </w:p>
    <w:p w14:paraId="1E774949">
      <w:pPr>
        <w:spacing w:line="460" w:lineRule="exact"/>
        <w:jc w:val="left"/>
        <w:rPr>
          <w:rFonts w:hint="eastAsia" w:hAnsi="宋体" w:cs="宋体"/>
          <w:color w:val="auto"/>
          <w:sz w:val="21"/>
          <w:szCs w:val="21"/>
          <w:highlight w:val="none"/>
        </w:rPr>
      </w:pPr>
    </w:p>
    <w:p w14:paraId="7F195A78">
      <w:pPr>
        <w:spacing w:line="460" w:lineRule="exact"/>
        <w:jc w:val="left"/>
        <w:rPr>
          <w:rFonts w:hint="eastAsia" w:hAnsi="宋体" w:cs="宋体"/>
          <w:color w:val="auto"/>
          <w:sz w:val="21"/>
          <w:szCs w:val="21"/>
          <w:highlight w:val="none"/>
        </w:rPr>
      </w:pPr>
      <w:r>
        <w:rPr>
          <w:rFonts w:hint="eastAsia" w:hAnsi="宋体" w:cs="宋体"/>
          <w:color w:val="auto"/>
          <w:sz w:val="21"/>
          <w:szCs w:val="21"/>
          <w:highlight w:val="none"/>
        </w:rPr>
        <w:t>2.提供投标人2022年度或2023年度经审计的财务报告（请提供最新年度的）；投标人（含新成立的单位）无法提供2022年度或2023年度经审计的财务报告的，提供银行出具的资信证明或担保机构出具的投标担保函等能证明具有健全的财务会计制度的证明材料。</w:t>
      </w:r>
    </w:p>
    <w:p w14:paraId="3CB37A5B">
      <w:pPr>
        <w:rPr>
          <w:rFonts w:hint="eastAsia" w:hAnsi="宋体" w:cs="宋体"/>
          <w:color w:val="auto"/>
          <w:sz w:val="21"/>
          <w:szCs w:val="21"/>
          <w:highlight w:val="none"/>
        </w:rPr>
      </w:pPr>
    </w:p>
    <w:p w14:paraId="42B8646E">
      <w:pPr>
        <w:rPr>
          <w:rFonts w:hint="eastAsia" w:hAnsi="宋体" w:cs="宋体"/>
          <w:color w:val="auto"/>
          <w:highlight w:val="none"/>
        </w:rPr>
      </w:pPr>
    </w:p>
    <w:p w14:paraId="114252DB">
      <w:pPr>
        <w:rPr>
          <w:rFonts w:hint="eastAsia" w:hAnsi="宋体" w:cs="宋体"/>
          <w:color w:val="auto"/>
          <w:highlight w:val="none"/>
        </w:rPr>
      </w:pPr>
    </w:p>
    <w:p w14:paraId="1CC3544F">
      <w:pPr>
        <w:jc w:val="center"/>
        <w:rPr>
          <w:rFonts w:hint="eastAsia" w:hAnsi="宋体" w:cs="宋体"/>
          <w:b/>
          <w:color w:val="auto"/>
          <w:sz w:val="21"/>
          <w:szCs w:val="21"/>
          <w:highlight w:val="none"/>
        </w:rPr>
      </w:pPr>
      <w:r>
        <w:rPr>
          <w:rFonts w:hint="eastAsia" w:hAnsi="宋体" w:cs="宋体"/>
          <w:b/>
          <w:color w:val="auto"/>
          <w:szCs w:val="28"/>
          <w:highlight w:val="none"/>
        </w:rPr>
        <w:br w:type="page"/>
      </w:r>
      <w:bookmarkStart w:id="58" w:name="_Toc19108"/>
      <w:r>
        <w:rPr>
          <w:rStyle w:val="75"/>
          <w:rFonts w:hint="eastAsia"/>
          <w:color w:val="auto"/>
          <w:highlight w:val="none"/>
        </w:rPr>
        <w:t>（四）具备履行合同所必需的产品和专业技术能力</w:t>
      </w:r>
      <w:bookmarkEnd w:id="58"/>
    </w:p>
    <w:p w14:paraId="40A1D55B">
      <w:pPr>
        <w:jc w:val="left"/>
        <w:rPr>
          <w:rFonts w:hint="eastAsia" w:hAnsi="宋体" w:cs="宋体"/>
          <w:b/>
          <w:color w:val="auto"/>
          <w:sz w:val="21"/>
          <w:szCs w:val="21"/>
          <w:highlight w:val="none"/>
        </w:rPr>
      </w:pPr>
    </w:p>
    <w:p w14:paraId="78CC8859">
      <w:pPr>
        <w:spacing w:line="360" w:lineRule="auto"/>
        <w:ind w:firstLine="420" w:firstLineChars="200"/>
        <w:jc w:val="left"/>
        <w:rPr>
          <w:rFonts w:hint="eastAsia" w:hAnsi="宋体" w:cs="宋体"/>
          <w:color w:val="auto"/>
          <w:sz w:val="21"/>
          <w:szCs w:val="21"/>
          <w:highlight w:val="none"/>
        </w:rPr>
      </w:pPr>
      <w:r>
        <w:rPr>
          <w:rFonts w:hint="eastAsia" w:hAnsi="宋体" w:cs="宋体"/>
          <w:color w:val="auto"/>
          <w:sz w:val="21"/>
          <w:szCs w:val="21"/>
          <w:highlight w:val="none"/>
        </w:rPr>
        <w:t>提供投标人具备履行合同所必需的产品和专业技术能力证明材料或书面承诺（格式自拟，盖单位公章确认）；</w:t>
      </w:r>
    </w:p>
    <w:p w14:paraId="11014F7D">
      <w:pPr>
        <w:spacing w:line="360" w:lineRule="auto"/>
        <w:ind w:firstLine="420" w:firstLineChars="200"/>
        <w:jc w:val="left"/>
        <w:rPr>
          <w:rFonts w:hint="eastAsia" w:hAnsi="宋体" w:cs="宋体"/>
          <w:color w:val="auto"/>
          <w:sz w:val="21"/>
          <w:szCs w:val="21"/>
          <w:highlight w:val="none"/>
        </w:rPr>
      </w:pPr>
    </w:p>
    <w:p w14:paraId="6EE86E91">
      <w:pPr>
        <w:ind w:firstLine="420" w:firstLineChars="200"/>
        <w:jc w:val="left"/>
        <w:rPr>
          <w:rFonts w:hint="eastAsia" w:hAnsi="宋体" w:cs="宋体"/>
          <w:color w:val="auto"/>
          <w:sz w:val="21"/>
          <w:szCs w:val="21"/>
          <w:highlight w:val="none"/>
        </w:rPr>
      </w:pPr>
    </w:p>
    <w:p w14:paraId="14092FD2">
      <w:pPr>
        <w:jc w:val="center"/>
        <w:rPr>
          <w:rFonts w:hint="eastAsia" w:hAnsi="宋体" w:cs="宋体"/>
          <w:b/>
          <w:color w:val="auto"/>
          <w:szCs w:val="28"/>
          <w:highlight w:val="none"/>
        </w:rPr>
      </w:pPr>
      <w:r>
        <w:rPr>
          <w:rFonts w:hint="eastAsia" w:hAnsi="宋体" w:cs="宋体"/>
          <w:b/>
          <w:color w:val="auto"/>
          <w:sz w:val="21"/>
          <w:szCs w:val="21"/>
          <w:highlight w:val="none"/>
        </w:rPr>
        <w:br w:type="page"/>
      </w:r>
      <w:bookmarkStart w:id="59" w:name="_Toc30999"/>
      <w:r>
        <w:rPr>
          <w:rStyle w:val="75"/>
          <w:rFonts w:hint="eastAsia"/>
          <w:color w:val="auto"/>
          <w:highlight w:val="none"/>
        </w:rPr>
        <w:t>（五）有依法缴纳税收和社会保障资金的良好记录</w:t>
      </w:r>
      <w:bookmarkEnd w:id="59"/>
    </w:p>
    <w:p w14:paraId="09120EDF">
      <w:pPr>
        <w:spacing w:line="360" w:lineRule="auto"/>
        <w:ind w:firstLine="560" w:firstLineChars="200"/>
        <w:jc w:val="left"/>
        <w:rPr>
          <w:rFonts w:hint="eastAsia" w:hAnsi="宋体" w:cs="宋体"/>
          <w:color w:val="auto"/>
          <w:szCs w:val="21"/>
          <w:highlight w:val="none"/>
        </w:rPr>
      </w:pPr>
    </w:p>
    <w:p w14:paraId="1114BDBE">
      <w:pPr>
        <w:spacing w:line="360" w:lineRule="auto"/>
        <w:ind w:firstLine="420" w:firstLineChars="200"/>
        <w:jc w:val="left"/>
        <w:rPr>
          <w:rFonts w:hint="eastAsia" w:hAnsi="宋体" w:cs="宋体"/>
          <w:color w:val="auto"/>
          <w:sz w:val="21"/>
          <w:szCs w:val="21"/>
          <w:highlight w:val="none"/>
        </w:rPr>
      </w:pPr>
      <w:r>
        <w:rPr>
          <w:rFonts w:hint="eastAsia" w:hAnsi="宋体" w:cs="宋体"/>
          <w:color w:val="auto"/>
          <w:sz w:val="21"/>
          <w:szCs w:val="21"/>
          <w:highlight w:val="none"/>
        </w:rPr>
        <w:t>提供投标人近一年（2023年07月至今）任意一个月份的依法缴纳税收凭证及社会保险证明材料。</w:t>
      </w:r>
    </w:p>
    <w:p w14:paraId="64C27A4D">
      <w:pPr>
        <w:spacing w:line="360" w:lineRule="auto"/>
        <w:ind w:firstLine="420" w:firstLineChars="200"/>
        <w:jc w:val="left"/>
        <w:rPr>
          <w:rFonts w:hint="eastAsia" w:hAnsi="宋体" w:cs="宋体"/>
          <w:color w:val="auto"/>
          <w:sz w:val="21"/>
          <w:szCs w:val="21"/>
          <w:highlight w:val="none"/>
        </w:rPr>
      </w:pPr>
    </w:p>
    <w:p w14:paraId="76D716A9">
      <w:pPr>
        <w:spacing w:line="360" w:lineRule="auto"/>
        <w:ind w:firstLine="420" w:firstLineChars="200"/>
        <w:jc w:val="left"/>
        <w:rPr>
          <w:rFonts w:hint="eastAsia" w:hAnsi="宋体" w:cs="宋体"/>
          <w:b/>
          <w:bCs/>
          <w:color w:val="auto"/>
          <w:sz w:val="21"/>
          <w:szCs w:val="21"/>
          <w:highlight w:val="none"/>
        </w:rPr>
      </w:pPr>
      <w:r>
        <w:rPr>
          <w:rFonts w:hint="eastAsia" w:hAnsi="宋体" w:cs="宋体"/>
          <w:b/>
          <w:bCs/>
          <w:color w:val="auto"/>
          <w:sz w:val="21"/>
          <w:szCs w:val="21"/>
          <w:highlight w:val="none"/>
        </w:rPr>
        <w:t>注：</w:t>
      </w:r>
    </w:p>
    <w:p w14:paraId="2BB24457">
      <w:pPr>
        <w:spacing w:line="360" w:lineRule="auto"/>
        <w:ind w:firstLine="420" w:firstLineChars="200"/>
        <w:jc w:val="left"/>
        <w:rPr>
          <w:rFonts w:hint="eastAsia" w:hAnsi="宋体" w:cs="宋体"/>
          <w:b/>
          <w:bCs/>
          <w:color w:val="auto"/>
          <w:sz w:val="21"/>
          <w:szCs w:val="21"/>
          <w:highlight w:val="none"/>
        </w:rPr>
      </w:pPr>
      <w:r>
        <w:rPr>
          <w:rFonts w:hint="eastAsia" w:hAnsi="宋体" w:cs="宋体"/>
          <w:b/>
          <w:bCs/>
          <w:color w:val="auto"/>
          <w:sz w:val="21"/>
          <w:szCs w:val="21"/>
          <w:highlight w:val="none"/>
        </w:rPr>
        <w:t>1. 依法缴纳税收凭证：税务局税收通用缴款书复印件或银行电子缴税（费）凭证复印件或税务局出具纳税情况的相关证明复印件，投标人若有免税情况，请出具税务机关出具的免税证明材料，未发生税收的投标人（含未发生税收的新成立单位）请提供纳税零申报证明材料。自然人提供声明函即可。</w:t>
      </w:r>
    </w:p>
    <w:p w14:paraId="03649C49">
      <w:pPr>
        <w:spacing w:line="360" w:lineRule="auto"/>
        <w:ind w:firstLine="420" w:firstLineChars="200"/>
        <w:jc w:val="left"/>
        <w:rPr>
          <w:rFonts w:hint="eastAsia" w:hAnsi="宋体" w:cs="宋体"/>
          <w:b/>
          <w:bCs/>
          <w:color w:val="auto"/>
          <w:sz w:val="21"/>
          <w:szCs w:val="21"/>
          <w:highlight w:val="none"/>
        </w:rPr>
      </w:pPr>
      <w:r>
        <w:rPr>
          <w:rFonts w:hint="eastAsia" w:hAnsi="宋体" w:cs="宋体"/>
          <w:b/>
          <w:bCs/>
          <w:color w:val="auto"/>
          <w:sz w:val="21"/>
          <w:szCs w:val="21"/>
          <w:highlight w:val="none"/>
        </w:rPr>
        <w:t>2. 依法缴纳社会保险证明：社会保险费缴款书复印件或银行电子缴税（费）凭证复印件或社保管理部门出具的有效的缴款证明复印件，本年度新成立的单位提供社会保障登记证明等相关证明材料。自然人提供声明函即可。</w:t>
      </w:r>
    </w:p>
    <w:p w14:paraId="41782B37">
      <w:pPr>
        <w:ind w:firstLine="560" w:firstLineChars="200"/>
        <w:jc w:val="left"/>
        <w:rPr>
          <w:rFonts w:hint="eastAsia" w:hAnsi="宋体" w:cs="宋体"/>
          <w:color w:val="auto"/>
          <w:szCs w:val="28"/>
          <w:highlight w:val="none"/>
        </w:rPr>
      </w:pPr>
    </w:p>
    <w:p w14:paraId="5DBD0243">
      <w:pPr>
        <w:jc w:val="center"/>
        <w:rPr>
          <w:rFonts w:hint="eastAsia" w:hAnsi="宋体" w:cs="宋体"/>
          <w:b/>
          <w:color w:val="auto"/>
          <w:sz w:val="21"/>
          <w:szCs w:val="21"/>
          <w:highlight w:val="none"/>
        </w:rPr>
        <w:sectPr>
          <w:footerReference r:id="rId5" w:type="default"/>
          <w:pgSz w:w="11906" w:h="16838"/>
          <w:pgMar w:top="987" w:right="1134" w:bottom="822" w:left="1276" w:header="720" w:footer="720" w:gutter="0"/>
          <w:cols w:space="720" w:num="1"/>
          <w:docGrid w:type="linesAndChars" w:linePitch="331" w:charSpace="0"/>
        </w:sectPr>
      </w:pPr>
    </w:p>
    <w:p w14:paraId="0E2B8EAB">
      <w:pPr>
        <w:widowControl/>
        <w:jc w:val="center"/>
        <w:rPr>
          <w:rStyle w:val="75"/>
          <w:color w:val="auto"/>
          <w:highlight w:val="none"/>
        </w:rPr>
      </w:pPr>
      <w:bookmarkStart w:id="60" w:name="_Toc11708"/>
      <w:r>
        <w:rPr>
          <w:rStyle w:val="75"/>
          <w:rFonts w:hint="eastAsia"/>
          <w:color w:val="auto"/>
          <w:highlight w:val="none"/>
        </w:rPr>
        <w:t>（六）无重大违法声明</w:t>
      </w:r>
    </w:p>
    <w:bookmarkEnd w:id="60"/>
    <w:p w14:paraId="5B7E7A33">
      <w:pPr>
        <w:spacing w:line="360" w:lineRule="auto"/>
        <w:ind w:firstLine="210" w:firstLineChars="100"/>
        <w:jc w:val="left"/>
        <w:rPr>
          <w:rFonts w:hint="eastAsia" w:hAnsi="宋体" w:cs="宋体"/>
          <w:color w:val="auto"/>
          <w:sz w:val="21"/>
          <w:szCs w:val="21"/>
          <w:highlight w:val="none"/>
        </w:rPr>
      </w:pPr>
    </w:p>
    <w:p w14:paraId="142F125F">
      <w:pPr>
        <w:spacing w:line="360" w:lineRule="auto"/>
        <w:ind w:firstLine="558" w:firstLineChars="266"/>
        <w:jc w:val="left"/>
        <w:rPr>
          <w:rFonts w:hint="eastAsia" w:hAnsi="宋体" w:cs="宋体"/>
          <w:color w:val="auto"/>
          <w:sz w:val="21"/>
          <w:szCs w:val="21"/>
          <w:highlight w:val="none"/>
        </w:rPr>
      </w:pPr>
      <w:r>
        <w:rPr>
          <w:rFonts w:hint="eastAsia" w:hAnsi="宋体" w:cs="宋体"/>
          <w:color w:val="auto"/>
          <w:sz w:val="21"/>
          <w:szCs w:val="21"/>
          <w:highlight w:val="none"/>
        </w:rPr>
        <w:t xml:space="preserve"> 提供参加政府采购活动前3年内在经营活动中没有重大违法记录的书面声明（重大违法记录是指：因违法经营受到刑事处罚或者责令停产停业、吊销许可证或者执照、较大数额罚款等行政处罚）。格式自拟（盖单位公章确认）</w:t>
      </w:r>
    </w:p>
    <w:p w14:paraId="54C2A217">
      <w:pPr>
        <w:ind w:firstLine="210" w:firstLineChars="100"/>
        <w:jc w:val="left"/>
        <w:rPr>
          <w:rFonts w:hint="eastAsia" w:hAnsi="宋体" w:cs="宋体"/>
          <w:color w:val="auto"/>
          <w:sz w:val="21"/>
          <w:szCs w:val="21"/>
          <w:highlight w:val="none"/>
        </w:rPr>
      </w:pPr>
    </w:p>
    <w:p w14:paraId="1A983E68">
      <w:pPr>
        <w:jc w:val="center"/>
        <w:rPr>
          <w:rStyle w:val="75"/>
          <w:color w:val="auto"/>
          <w:highlight w:val="none"/>
        </w:rPr>
      </w:pPr>
      <w:r>
        <w:rPr>
          <w:rFonts w:hint="eastAsia" w:hAnsi="宋体" w:cs="宋体"/>
          <w:b/>
          <w:color w:val="auto"/>
          <w:sz w:val="21"/>
          <w:szCs w:val="21"/>
          <w:highlight w:val="none"/>
        </w:rPr>
        <w:br w:type="page"/>
      </w:r>
      <w:bookmarkStart w:id="61" w:name="_Toc9725"/>
      <w:r>
        <w:rPr>
          <w:rStyle w:val="75"/>
          <w:rFonts w:hint="eastAsia"/>
          <w:color w:val="auto"/>
          <w:highlight w:val="none"/>
        </w:rPr>
        <w:t>（七）投标人相关资质要求</w:t>
      </w:r>
    </w:p>
    <w:bookmarkEnd w:id="61"/>
    <w:p w14:paraId="20712CD3">
      <w:pPr>
        <w:rPr>
          <w:rFonts w:hint="eastAsia" w:hAnsi="宋体" w:cs="宋体"/>
          <w:color w:val="auto"/>
          <w:sz w:val="21"/>
          <w:szCs w:val="21"/>
          <w:highlight w:val="none"/>
        </w:rPr>
      </w:pPr>
    </w:p>
    <w:p w14:paraId="02193075">
      <w:pPr>
        <w:ind w:firstLine="420" w:firstLineChars="200"/>
        <w:rPr>
          <w:rFonts w:hint="eastAsia" w:hAnsi="宋体" w:cs="宋体"/>
          <w:color w:val="auto"/>
          <w:sz w:val="21"/>
          <w:szCs w:val="21"/>
          <w:highlight w:val="none"/>
        </w:rPr>
      </w:pPr>
    </w:p>
    <w:p w14:paraId="48C5E438">
      <w:pPr>
        <w:spacing w:line="360" w:lineRule="auto"/>
        <w:ind w:firstLine="558" w:firstLineChars="266"/>
        <w:jc w:val="left"/>
        <w:rPr>
          <w:rFonts w:hint="eastAsia" w:hAnsi="宋体" w:cs="宋体"/>
          <w:color w:val="auto"/>
          <w:sz w:val="21"/>
          <w:szCs w:val="21"/>
          <w:highlight w:val="none"/>
        </w:rPr>
      </w:pPr>
      <w:r>
        <w:rPr>
          <w:rFonts w:hint="eastAsia" w:hAnsi="宋体" w:cs="宋体"/>
          <w:color w:val="auto"/>
          <w:sz w:val="21"/>
          <w:szCs w:val="21"/>
          <w:highlight w:val="none"/>
        </w:rPr>
        <w:t>本项目不允许进行转包和分包，参与本项目的投标人须针对此事宜进行书面承诺（格式自拟，并加盖单位公章确认）。</w:t>
      </w:r>
    </w:p>
    <w:p w14:paraId="12120C2E">
      <w:pPr>
        <w:rPr>
          <w:rFonts w:hint="eastAsia" w:hAnsi="宋体" w:cs="宋体"/>
          <w:b/>
          <w:color w:val="auto"/>
          <w:sz w:val="21"/>
          <w:szCs w:val="21"/>
          <w:highlight w:val="none"/>
        </w:rPr>
      </w:pPr>
      <w:r>
        <w:rPr>
          <w:rFonts w:hint="eastAsia" w:hAnsi="宋体" w:cs="宋体"/>
          <w:b/>
          <w:color w:val="auto"/>
          <w:sz w:val="21"/>
          <w:szCs w:val="21"/>
          <w:highlight w:val="none"/>
        </w:rPr>
        <w:br w:type="page"/>
      </w:r>
    </w:p>
    <w:p w14:paraId="0F6DD672">
      <w:pPr>
        <w:widowControl/>
        <w:jc w:val="center"/>
        <w:rPr>
          <w:rFonts w:hint="eastAsia" w:hAnsi="宋体" w:cs="宋体"/>
          <w:b/>
          <w:bCs/>
          <w:color w:val="auto"/>
          <w:szCs w:val="28"/>
          <w:highlight w:val="none"/>
        </w:rPr>
      </w:pPr>
      <w:bookmarkStart w:id="62" w:name="_Toc14361"/>
      <w:r>
        <w:rPr>
          <w:rStyle w:val="75"/>
          <w:rFonts w:hint="eastAsia"/>
          <w:color w:val="auto"/>
          <w:highlight w:val="none"/>
        </w:rPr>
        <w:t>（八）《中小企业声明函》或《残疾人福利性单位声明函》或《监狱企业声明函》（如有）</w:t>
      </w:r>
      <w:bookmarkEnd w:id="62"/>
    </w:p>
    <w:p w14:paraId="21BBECF3">
      <w:pPr>
        <w:widowControl/>
        <w:jc w:val="center"/>
        <w:rPr>
          <w:rFonts w:hint="eastAsia" w:hAnsi="宋体" w:cs="宋体"/>
          <w:b/>
          <w:bCs/>
          <w:color w:val="auto"/>
          <w:sz w:val="21"/>
          <w:szCs w:val="21"/>
          <w:highlight w:val="none"/>
        </w:rPr>
      </w:pPr>
    </w:p>
    <w:p w14:paraId="4252253F">
      <w:pPr>
        <w:widowControl/>
        <w:jc w:val="center"/>
        <w:rPr>
          <w:rFonts w:hint="eastAsia" w:hAnsi="宋体" w:cs="宋体"/>
          <w:b/>
          <w:color w:val="auto"/>
          <w:sz w:val="21"/>
          <w:szCs w:val="21"/>
          <w:highlight w:val="none"/>
        </w:rPr>
      </w:pPr>
      <w:r>
        <w:rPr>
          <w:rFonts w:hint="eastAsia" w:hAnsi="宋体" w:cs="宋体"/>
          <w:b/>
          <w:color w:val="auto"/>
          <w:sz w:val="21"/>
          <w:szCs w:val="21"/>
          <w:highlight w:val="none"/>
        </w:rPr>
        <w:t>注：投标人应对其提交的《中小企业声明函》《残疾人福利性单位声明函》《监狱企业声明函》的真实性负责，提交的声明函不真实的，应承担相应的法律责任。若投标人不属于该三类企业单位，则可以删除三类企业声明函，并自行编制相应声明材料即可，若未提供任何声明函、说明材料或未按要求填写编制的，则不予认可投标人属于此三类企业单位。</w:t>
      </w:r>
    </w:p>
    <w:p w14:paraId="0528BFBE">
      <w:pPr>
        <w:widowControl/>
        <w:jc w:val="center"/>
        <w:rPr>
          <w:rFonts w:hint="eastAsia" w:hAnsi="宋体" w:cs="宋体"/>
          <w:b/>
          <w:bCs/>
          <w:color w:val="auto"/>
          <w:sz w:val="21"/>
          <w:szCs w:val="21"/>
          <w:highlight w:val="none"/>
        </w:rPr>
      </w:pPr>
    </w:p>
    <w:p w14:paraId="5ED8745D">
      <w:pPr>
        <w:keepNext/>
        <w:jc w:val="left"/>
        <w:rPr>
          <w:rFonts w:hint="eastAsia" w:hAnsi="宋体" w:cs="宋体"/>
          <w:b/>
          <w:color w:val="auto"/>
          <w:szCs w:val="21"/>
          <w:highlight w:val="none"/>
        </w:rPr>
      </w:pPr>
      <w:r>
        <w:rPr>
          <w:rFonts w:hint="eastAsia" w:hAnsi="宋体" w:cs="宋体"/>
          <w:b/>
          <w:bCs/>
          <w:color w:val="auto"/>
          <w:szCs w:val="21"/>
          <w:highlight w:val="none"/>
        </w:rPr>
        <w:t>（1）</w:t>
      </w:r>
      <w:r>
        <w:rPr>
          <w:rFonts w:hint="eastAsia" w:hAnsi="宋体" w:cs="宋体"/>
          <w:b/>
          <w:color w:val="auto"/>
          <w:szCs w:val="21"/>
          <w:highlight w:val="none"/>
        </w:rPr>
        <w:t>中小企业声明函（工程、服务）</w:t>
      </w:r>
    </w:p>
    <w:p w14:paraId="1DA2CFCC">
      <w:pPr>
        <w:pStyle w:val="22"/>
        <w:keepNext/>
        <w:spacing w:before="5"/>
        <w:rPr>
          <w:rFonts w:hint="eastAsia" w:hAnsi="宋体" w:cs="宋体"/>
          <w:b/>
          <w:bCs/>
          <w:color w:val="auto"/>
          <w:szCs w:val="21"/>
          <w:highlight w:val="none"/>
        </w:rPr>
      </w:pPr>
    </w:p>
    <w:p w14:paraId="131E58E1">
      <w:pPr>
        <w:keepNext/>
        <w:jc w:val="center"/>
        <w:rPr>
          <w:rFonts w:hint="eastAsia" w:hAnsi="宋体" w:cs="宋体"/>
          <w:b/>
          <w:color w:val="auto"/>
          <w:szCs w:val="28"/>
          <w:highlight w:val="none"/>
        </w:rPr>
      </w:pPr>
      <w:r>
        <w:rPr>
          <w:rFonts w:hint="eastAsia" w:hAnsi="宋体" w:cs="宋体"/>
          <w:b/>
          <w:color w:val="auto"/>
          <w:szCs w:val="28"/>
          <w:highlight w:val="none"/>
        </w:rPr>
        <w:t>中小企业声明函（工程、服务）</w:t>
      </w:r>
    </w:p>
    <w:p w14:paraId="7E4CD3FA">
      <w:pPr>
        <w:pStyle w:val="22"/>
        <w:keepNext/>
        <w:spacing w:before="5"/>
        <w:rPr>
          <w:rFonts w:hint="eastAsia" w:hAnsi="宋体" w:cs="宋体"/>
          <w:b/>
          <w:bCs/>
          <w:color w:val="auto"/>
          <w:szCs w:val="21"/>
          <w:highlight w:val="none"/>
        </w:rPr>
      </w:pPr>
    </w:p>
    <w:p w14:paraId="7677C98B">
      <w:pPr>
        <w:pStyle w:val="22"/>
        <w:keepNext/>
        <w:spacing w:line="360" w:lineRule="auto"/>
        <w:ind w:right="415" w:firstLine="473"/>
        <w:rPr>
          <w:rFonts w:hint="eastAsia" w:hAnsi="宋体" w:cs="宋体"/>
          <w:color w:val="auto"/>
          <w:sz w:val="21"/>
          <w:szCs w:val="21"/>
          <w:highlight w:val="none"/>
        </w:rPr>
      </w:pPr>
      <w:r>
        <w:rPr>
          <w:rFonts w:hint="eastAsia" w:hAnsi="宋体" w:cs="宋体"/>
          <w:color w:val="auto"/>
          <w:sz w:val="21"/>
          <w:szCs w:val="21"/>
          <w:highlight w:val="none"/>
        </w:rPr>
        <w:t>本公司（联合体）郑重声明，根据《政府采购促进中小企业发展管理办法》（财库﹝2020﹞46 号）的规定，本公司（联合体）参加</w:t>
      </w:r>
      <w:r>
        <w:rPr>
          <w:rFonts w:hint="eastAsia" w:hAnsi="宋体" w:cs="宋体"/>
          <w:iCs/>
          <w:color w:val="auto"/>
          <w:sz w:val="21"/>
          <w:szCs w:val="21"/>
          <w:highlight w:val="none"/>
          <w:u w:val="single"/>
        </w:rPr>
        <w:t>（单位名称）</w:t>
      </w:r>
      <w:r>
        <w:rPr>
          <w:rFonts w:hint="eastAsia" w:hAnsi="宋体" w:cs="宋体"/>
          <w:color w:val="auto"/>
          <w:sz w:val="21"/>
          <w:szCs w:val="21"/>
          <w:highlight w:val="none"/>
        </w:rPr>
        <w:t>的</w:t>
      </w:r>
      <w:r>
        <w:rPr>
          <w:rFonts w:hint="eastAsia" w:hAnsi="宋体" w:cs="宋体"/>
          <w:iCs/>
          <w:color w:val="auto"/>
          <w:sz w:val="21"/>
          <w:szCs w:val="21"/>
          <w:highlight w:val="none"/>
          <w:u w:val="single"/>
        </w:rPr>
        <w:t>（项目名称）</w:t>
      </w:r>
      <w:r>
        <w:rPr>
          <w:rFonts w:hint="eastAsia" w:hAnsi="宋体" w:cs="宋体"/>
          <w:color w:val="auto"/>
          <w:sz w:val="21"/>
          <w:szCs w:val="21"/>
          <w:highlight w:val="none"/>
        </w:rPr>
        <w:t>采购活动，工程的施工单位全部为符合政策要求的中小企业（或者：服务全部由符合政策要求的中小企业承接）。相关企业（含联合 体中的中小企业、签订分包意向协议的中小企业）的具体情况如下：</w:t>
      </w:r>
    </w:p>
    <w:p w14:paraId="74201FDE">
      <w:pPr>
        <w:pStyle w:val="107"/>
        <w:keepNext/>
        <w:numPr>
          <w:ilvl w:val="0"/>
          <w:numId w:val="6"/>
        </w:numPr>
        <w:autoSpaceDE w:val="0"/>
        <w:autoSpaceDN w:val="0"/>
        <w:spacing w:before="94" w:line="360" w:lineRule="auto"/>
        <w:ind w:left="5" w:right="236" w:firstLine="415" w:firstLineChars="0"/>
        <w:rPr>
          <w:rFonts w:hint="eastAsia" w:hAnsi="宋体" w:cs="宋体"/>
          <w:color w:val="auto"/>
          <w:sz w:val="21"/>
          <w:szCs w:val="21"/>
          <w:highlight w:val="none"/>
          <w:u w:val="single"/>
        </w:rPr>
      </w:pPr>
      <w:r>
        <w:rPr>
          <w:rFonts w:hint="eastAsia" w:hAnsi="宋体" w:cs="宋体"/>
          <w:iCs/>
          <w:color w:val="auto"/>
          <w:sz w:val="21"/>
          <w:szCs w:val="21"/>
          <w:highlight w:val="none"/>
          <w:u w:val="single"/>
        </w:rPr>
        <w:t>（标的名称）</w:t>
      </w:r>
      <w:r>
        <w:rPr>
          <w:rFonts w:hint="eastAsia" w:hAnsi="宋体" w:cs="宋体"/>
          <w:color w:val="auto"/>
          <w:sz w:val="21"/>
          <w:szCs w:val="21"/>
          <w:highlight w:val="none"/>
          <w:u w:val="single"/>
        </w:rPr>
        <w:t>，属于</w:t>
      </w:r>
      <w:r>
        <w:rPr>
          <w:rFonts w:hint="eastAsia" w:hAnsi="宋体" w:cs="宋体"/>
          <w:iCs/>
          <w:color w:val="auto"/>
          <w:sz w:val="21"/>
          <w:szCs w:val="21"/>
          <w:highlight w:val="none"/>
          <w:u w:val="single"/>
        </w:rPr>
        <w:t>（采购文件中明确的所属行业）</w:t>
      </w:r>
      <w:r>
        <w:rPr>
          <w:rFonts w:hint="eastAsia" w:hAnsi="宋体" w:cs="宋体"/>
          <w:color w:val="auto"/>
          <w:sz w:val="21"/>
          <w:szCs w:val="21"/>
          <w:highlight w:val="none"/>
          <w:u w:val="single"/>
        </w:rPr>
        <w:t>；承建（承接）企业为</w:t>
      </w:r>
      <w:r>
        <w:rPr>
          <w:rFonts w:hint="eastAsia" w:hAnsi="宋体" w:cs="宋体"/>
          <w:iCs/>
          <w:color w:val="auto"/>
          <w:sz w:val="21"/>
          <w:szCs w:val="21"/>
          <w:highlight w:val="none"/>
          <w:u w:val="single"/>
        </w:rPr>
        <w:t>（企业名称）</w:t>
      </w:r>
      <w:r>
        <w:rPr>
          <w:rFonts w:hint="eastAsia" w:hAnsi="宋体" w:cs="宋体"/>
          <w:color w:val="auto"/>
          <w:sz w:val="21"/>
          <w:szCs w:val="21"/>
          <w:highlight w:val="none"/>
          <w:u w:val="single"/>
        </w:rPr>
        <w:t xml:space="preserve">，从业人员 </w:t>
      </w:r>
      <w:r>
        <w:rPr>
          <w:rFonts w:hint="eastAsia" w:hAnsi="宋体" w:cs="宋体"/>
          <w:color w:val="auto"/>
          <w:sz w:val="21"/>
          <w:szCs w:val="21"/>
          <w:highlight w:val="none"/>
          <w:u w:val="single"/>
        </w:rPr>
        <w:tab/>
      </w:r>
      <w:r>
        <w:rPr>
          <w:rFonts w:hint="eastAsia" w:hAnsi="宋体" w:cs="宋体"/>
          <w:color w:val="auto"/>
          <w:sz w:val="21"/>
          <w:szCs w:val="21"/>
          <w:highlight w:val="none"/>
          <w:u w:val="single"/>
        </w:rPr>
        <w:t xml:space="preserve">人，营业收入为 </w:t>
      </w:r>
      <w:r>
        <w:rPr>
          <w:rFonts w:hint="eastAsia" w:hAnsi="宋体" w:cs="宋体"/>
          <w:color w:val="auto"/>
          <w:sz w:val="21"/>
          <w:szCs w:val="21"/>
          <w:highlight w:val="none"/>
          <w:u w:val="single"/>
        </w:rPr>
        <w:tab/>
      </w:r>
      <w:r>
        <w:rPr>
          <w:rFonts w:hint="eastAsia" w:hAnsi="宋体" w:cs="宋体"/>
          <w:color w:val="auto"/>
          <w:sz w:val="21"/>
          <w:szCs w:val="21"/>
          <w:highlight w:val="none"/>
          <w:u w:val="single"/>
        </w:rPr>
        <w:t xml:space="preserve">万元，资产总额为 </w:t>
      </w:r>
      <w:r>
        <w:rPr>
          <w:rFonts w:hint="eastAsia" w:hAnsi="宋体" w:cs="宋体"/>
          <w:color w:val="auto"/>
          <w:sz w:val="21"/>
          <w:szCs w:val="21"/>
          <w:highlight w:val="none"/>
          <w:u w:val="single"/>
        </w:rPr>
        <w:tab/>
      </w:r>
      <w:r>
        <w:rPr>
          <w:rFonts w:hint="eastAsia" w:hAnsi="宋体" w:cs="宋体"/>
          <w:color w:val="auto"/>
          <w:sz w:val="21"/>
          <w:szCs w:val="21"/>
          <w:highlight w:val="none"/>
          <w:u w:val="single"/>
        </w:rPr>
        <w:t>万元1，属于</w:t>
      </w:r>
      <w:r>
        <w:rPr>
          <w:rFonts w:hint="eastAsia" w:hAnsi="宋体" w:cs="宋体"/>
          <w:iCs/>
          <w:color w:val="auto"/>
          <w:sz w:val="21"/>
          <w:szCs w:val="21"/>
          <w:highlight w:val="none"/>
          <w:u w:val="single"/>
        </w:rPr>
        <w:t>（中型企业、小型企业、微型企业）</w:t>
      </w:r>
      <w:r>
        <w:rPr>
          <w:rFonts w:hint="eastAsia" w:hAnsi="宋体" w:cs="宋体"/>
          <w:color w:val="auto"/>
          <w:sz w:val="21"/>
          <w:szCs w:val="21"/>
          <w:highlight w:val="none"/>
          <w:u w:val="single"/>
        </w:rPr>
        <w:t>；</w:t>
      </w:r>
    </w:p>
    <w:p w14:paraId="13419C85">
      <w:pPr>
        <w:pStyle w:val="107"/>
        <w:keepNext/>
        <w:numPr>
          <w:ilvl w:val="0"/>
          <w:numId w:val="6"/>
        </w:numPr>
        <w:autoSpaceDE w:val="0"/>
        <w:autoSpaceDN w:val="0"/>
        <w:spacing w:before="94" w:line="360" w:lineRule="auto"/>
        <w:ind w:left="5" w:right="236" w:firstLine="415" w:firstLineChars="0"/>
        <w:rPr>
          <w:rFonts w:hint="eastAsia" w:hAnsi="宋体" w:cs="宋体"/>
          <w:color w:val="auto"/>
          <w:sz w:val="21"/>
          <w:szCs w:val="21"/>
          <w:highlight w:val="none"/>
          <w:u w:val="single"/>
        </w:rPr>
      </w:pPr>
      <w:r>
        <w:rPr>
          <w:rFonts w:hint="eastAsia" w:hAnsi="宋体" w:cs="宋体"/>
          <w:iCs/>
          <w:color w:val="auto"/>
          <w:sz w:val="21"/>
          <w:szCs w:val="21"/>
          <w:highlight w:val="none"/>
          <w:u w:val="single"/>
        </w:rPr>
        <w:t>（标的名称）</w:t>
      </w:r>
      <w:r>
        <w:rPr>
          <w:rFonts w:hint="eastAsia" w:hAnsi="宋体" w:cs="宋体"/>
          <w:color w:val="auto"/>
          <w:sz w:val="21"/>
          <w:szCs w:val="21"/>
          <w:highlight w:val="none"/>
          <w:u w:val="single"/>
        </w:rPr>
        <w:t>，属于</w:t>
      </w:r>
      <w:r>
        <w:rPr>
          <w:rFonts w:hint="eastAsia" w:hAnsi="宋体" w:cs="宋体"/>
          <w:iCs/>
          <w:color w:val="auto"/>
          <w:sz w:val="21"/>
          <w:szCs w:val="21"/>
          <w:highlight w:val="none"/>
          <w:u w:val="single"/>
        </w:rPr>
        <w:t>（采购文件中明确的所属行业）</w:t>
      </w:r>
      <w:r>
        <w:rPr>
          <w:rFonts w:hint="eastAsia" w:hAnsi="宋体" w:cs="宋体"/>
          <w:color w:val="auto"/>
          <w:sz w:val="21"/>
          <w:szCs w:val="21"/>
          <w:highlight w:val="none"/>
          <w:u w:val="single"/>
        </w:rPr>
        <w:t>；           承建（承接）企业为</w:t>
      </w:r>
      <w:r>
        <w:rPr>
          <w:rFonts w:hint="eastAsia" w:hAnsi="宋体" w:cs="宋体"/>
          <w:iCs/>
          <w:color w:val="auto"/>
          <w:sz w:val="21"/>
          <w:szCs w:val="21"/>
          <w:highlight w:val="none"/>
          <w:u w:val="single"/>
        </w:rPr>
        <w:t>（企业名称）</w:t>
      </w:r>
      <w:r>
        <w:rPr>
          <w:rFonts w:hint="eastAsia" w:hAnsi="宋体" w:cs="宋体"/>
          <w:color w:val="auto"/>
          <w:sz w:val="21"/>
          <w:szCs w:val="21"/>
          <w:highlight w:val="none"/>
          <w:u w:val="single"/>
        </w:rPr>
        <w:t xml:space="preserve">，从业人员 </w:t>
      </w:r>
      <w:r>
        <w:rPr>
          <w:rFonts w:hint="eastAsia" w:hAnsi="宋体" w:cs="宋体"/>
          <w:color w:val="auto"/>
          <w:sz w:val="21"/>
          <w:szCs w:val="21"/>
          <w:highlight w:val="none"/>
          <w:u w:val="single"/>
        </w:rPr>
        <w:tab/>
      </w:r>
      <w:r>
        <w:rPr>
          <w:rFonts w:hint="eastAsia" w:hAnsi="宋体" w:cs="宋体"/>
          <w:color w:val="auto"/>
          <w:sz w:val="21"/>
          <w:szCs w:val="21"/>
          <w:highlight w:val="none"/>
          <w:u w:val="single"/>
        </w:rPr>
        <w:t xml:space="preserve">人，营业收入为 </w:t>
      </w:r>
      <w:r>
        <w:rPr>
          <w:rFonts w:hint="eastAsia" w:hAnsi="宋体" w:cs="宋体"/>
          <w:color w:val="auto"/>
          <w:sz w:val="21"/>
          <w:szCs w:val="21"/>
          <w:highlight w:val="none"/>
          <w:u w:val="single"/>
        </w:rPr>
        <w:tab/>
      </w:r>
      <w:r>
        <w:rPr>
          <w:rFonts w:hint="eastAsia" w:hAnsi="宋体" w:cs="宋体"/>
          <w:color w:val="auto"/>
          <w:sz w:val="21"/>
          <w:szCs w:val="21"/>
          <w:highlight w:val="none"/>
          <w:u w:val="single"/>
        </w:rPr>
        <w:t xml:space="preserve">万元，资产总额为 </w:t>
      </w:r>
      <w:r>
        <w:rPr>
          <w:rFonts w:hint="eastAsia" w:hAnsi="宋体" w:cs="宋体"/>
          <w:color w:val="auto"/>
          <w:sz w:val="21"/>
          <w:szCs w:val="21"/>
          <w:highlight w:val="none"/>
          <w:u w:val="single"/>
        </w:rPr>
        <w:tab/>
      </w:r>
      <w:r>
        <w:rPr>
          <w:rFonts w:hint="eastAsia" w:hAnsi="宋体" w:cs="宋体"/>
          <w:color w:val="auto"/>
          <w:sz w:val="21"/>
          <w:szCs w:val="21"/>
          <w:highlight w:val="none"/>
          <w:u w:val="single"/>
        </w:rPr>
        <w:t>万元，属于</w:t>
      </w:r>
      <w:r>
        <w:rPr>
          <w:rFonts w:hint="eastAsia" w:hAnsi="宋体" w:cs="宋体"/>
          <w:iCs/>
          <w:color w:val="auto"/>
          <w:sz w:val="21"/>
          <w:szCs w:val="21"/>
          <w:highlight w:val="none"/>
          <w:u w:val="single"/>
        </w:rPr>
        <w:t>（中型企业、小型企业、微型企业）</w:t>
      </w:r>
      <w:r>
        <w:rPr>
          <w:rFonts w:hint="eastAsia" w:hAnsi="宋体" w:cs="宋体"/>
          <w:color w:val="auto"/>
          <w:sz w:val="21"/>
          <w:szCs w:val="21"/>
          <w:highlight w:val="none"/>
          <w:u w:val="single"/>
        </w:rPr>
        <w:t>；</w:t>
      </w:r>
    </w:p>
    <w:p w14:paraId="63F7C98A">
      <w:pPr>
        <w:pStyle w:val="22"/>
        <w:keepNext/>
        <w:spacing w:before="11" w:line="360" w:lineRule="auto"/>
        <w:ind w:left="860"/>
        <w:rPr>
          <w:rFonts w:hint="eastAsia" w:hAnsi="宋体" w:cs="宋体"/>
          <w:color w:val="auto"/>
          <w:sz w:val="21"/>
          <w:szCs w:val="21"/>
          <w:highlight w:val="none"/>
        </w:rPr>
      </w:pPr>
      <w:r>
        <w:rPr>
          <w:rFonts w:hint="eastAsia" w:hAnsi="宋体" w:cs="宋体"/>
          <w:color w:val="auto"/>
          <w:sz w:val="21"/>
          <w:szCs w:val="21"/>
          <w:highlight w:val="none"/>
        </w:rPr>
        <w:t>……</w:t>
      </w:r>
    </w:p>
    <w:p w14:paraId="15EA3760">
      <w:pPr>
        <w:pStyle w:val="22"/>
        <w:keepNext/>
        <w:spacing w:before="108" w:line="360" w:lineRule="auto"/>
        <w:ind w:right="417" w:firstLine="645"/>
        <w:rPr>
          <w:rFonts w:hint="eastAsia" w:hAnsi="宋体" w:cs="宋体"/>
          <w:color w:val="auto"/>
          <w:sz w:val="21"/>
          <w:szCs w:val="21"/>
          <w:highlight w:val="none"/>
        </w:rPr>
      </w:pPr>
      <w:r>
        <w:rPr>
          <w:rFonts w:hint="eastAsia" w:hAnsi="宋体" w:cs="宋体"/>
          <w:color w:val="auto"/>
          <w:sz w:val="21"/>
          <w:szCs w:val="21"/>
          <w:highlight w:val="none"/>
        </w:rPr>
        <w:t>以上企业，不属于大企业的分支机构，不存在控股股东为大企业的情形，也不存在与大企业的负责人为同一人的情形。</w:t>
      </w:r>
    </w:p>
    <w:p w14:paraId="1FF33B3D">
      <w:pPr>
        <w:pStyle w:val="22"/>
        <w:keepNext/>
        <w:spacing w:line="360" w:lineRule="auto"/>
        <w:ind w:right="375" w:firstLine="640"/>
        <w:rPr>
          <w:rFonts w:hint="eastAsia" w:hAnsi="宋体" w:cs="宋体"/>
          <w:color w:val="auto"/>
          <w:sz w:val="21"/>
          <w:szCs w:val="21"/>
          <w:highlight w:val="none"/>
        </w:rPr>
      </w:pPr>
      <w:r>
        <w:rPr>
          <w:rFonts w:hint="eastAsia" w:hAnsi="宋体" w:cs="宋体"/>
          <w:color w:val="auto"/>
          <w:sz w:val="21"/>
          <w:szCs w:val="21"/>
          <w:highlight w:val="none"/>
        </w:rPr>
        <w:t>本企业对上述声明内容的真实性负责。如有虚假，将依法承担相应责任。</w:t>
      </w:r>
    </w:p>
    <w:p w14:paraId="08362B8C">
      <w:pPr>
        <w:pStyle w:val="22"/>
        <w:keepNext/>
        <w:spacing w:before="29" w:line="360" w:lineRule="auto"/>
        <w:ind w:left="4060" w:right="2166"/>
        <w:rPr>
          <w:rFonts w:hint="eastAsia" w:hAnsi="宋体" w:cs="宋体"/>
          <w:color w:val="auto"/>
          <w:sz w:val="21"/>
          <w:szCs w:val="21"/>
          <w:highlight w:val="none"/>
        </w:rPr>
      </w:pPr>
      <w:r>
        <w:rPr>
          <w:rFonts w:hint="eastAsia" w:hAnsi="宋体" w:cs="宋体"/>
          <w:color w:val="auto"/>
          <w:sz w:val="21"/>
          <w:szCs w:val="21"/>
          <w:highlight w:val="none"/>
        </w:rPr>
        <w:t>企业名称（盖章）：日期：</w:t>
      </w:r>
    </w:p>
    <w:p w14:paraId="63AAB80D">
      <w:pPr>
        <w:keepNext/>
        <w:spacing w:line="360" w:lineRule="auto"/>
        <w:rPr>
          <w:rFonts w:hint="eastAsia" w:hAnsi="宋体" w:cs="宋体"/>
          <w:color w:val="auto"/>
          <w:sz w:val="21"/>
          <w:szCs w:val="21"/>
          <w:highlight w:val="none"/>
        </w:rPr>
      </w:pPr>
    </w:p>
    <w:p w14:paraId="44540B78">
      <w:pPr>
        <w:widowControl/>
        <w:jc w:val="left"/>
        <w:rPr>
          <w:rFonts w:hint="eastAsia" w:hAnsi="宋体" w:cs="宋体"/>
          <w:b/>
          <w:color w:val="auto"/>
          <w:sz w:val="21"/>
          <w:szCs w:val="21"/>
          <w:highlight w:val="none"/>
        </w:rPr>
      </w:pPr>
      <w:r>
        <w:rPr>
          <w:rFonts w:hint="eastAsia" w:hAnsi="宋体" w:cs="宋体"/>
          <w:b/>
          <w:color w:val="auto"/>
          <w:sz w:val="21"/>
          <w:szCs w:val="21"/>
          <w:highlight w:val="none"/>
        </w:rPr>
        <w:t>注：从业人员、营业收入、资产总额填报上一年度数据，无上一年度数据的新成立企业可不填报。</w:t>
      </w:r>
    </w:p>
    <w:p w14:paraId="22ECB46B">
      <w:pPr>
        <w:widowControl/>
        <w:jc w:val="left"/>
        <w:rPr>
          <w:rFonts w:hint="eastAsia" w:hAnsi="宋体" w:cs="宋体"/>
          <w:b/>
          <w:color w:val="auto"/>
          <w:sz w:val="21"/>
          <w:szCs w:val="21"/>
          <w:highlight w:val="none"/>
        </w:rPr>
      </w:pPr>
    </w:p>
    <w:p w14:paraId="2EC51309">
      <w:pPr>
        <w:widowControl/>
        <w:jc w:val="left"/>
        <w:rPr>
          <w:rFonts w:hint="eastAsia" w:hAnsi="宋体" w:cs="宋体"/>
          <w:b/>
          <w:color w:val="auto"/>
          <w:sz w:val="21"/>
          <w:szCs w:val="21"/>
          <w:highlight w:val="none"/>
        </w:rPr>
      </w:pPr>
      <w:r>
        <w:rPr>
          <w:rFonts w:hint="eastAsia" w:hAnsi="宋体" w:cs="宋体"/>
          <w:b/>
          <w:color w:val="auto"/>
          <w:sz w:val="21"/>
          <w:szCs w:val="21"/>
          <w:highlight w:val="none"/>
        </w:rPr>
        <w:br w:type="page"/>
      </w:r>
      <w:r>
        <w:rPr>
          <w:rFonts w:hint="eastAsia" w:hAnsi="宋体" w:cs="宋体"/>
          <w:b/>
          <w:color w:val="auto"/>
          <w:sz w:val="21"/>
          <w:szCs w:val="21"/>
          <w:highlight w:val="none"/>
        </w:rPr>
        <w:t>（2）《残疾人福利性单位声明函》格式</w:t>
      </w:r>
    </w:p>
    <w:p w14:paraId="6A212597">
      <w:pPr>
        <w:widowControl/>
        <w:jc w:val="left"/>
        <w:rPr>
          <w:rFonts w:hint="eastAsia" w:hAnsi="宋体" w:cs="宋体"/>
          <w:b/>
          <w:color w:val="auto"/>
          <w:sz w:val="21"/>
          <w:szCs w:val="21"/>
          <w:highlight w:val="none"/>
        </w:rPr>
      </w:pPr>
    </w:p>
    <w:p w14:paraId="1F933D92">
      <w:pPr>
        <w:spacing w:line="588" w:lineRule="exact"/>
        <w:jc w:val="center"/>
        <w:rPr>
          <w:rFonts w:hint="eastAsia" w:hAnsi="宋体" w:cs="宋体"/>
          <w:b/>
          <w:color w:val="auto"/>
          <w:spacing w:val="6"/>
          <w:sz w:val="21"/>
          <w:szCs w:val="21"/>
          <w:highlight w:val="none"/>
        </w:rPr>
      </w:pPr>
      <w:r>
        <w:rPr>
          <w:rFonts w:hint="eastAsia" w:hAnsi="宋体" w:cs="宋体"/>
          <w:b/>
          <w:color w:val="auto"/>
          <w:spacing w:val="6"/>
          <w:sz w:val="21"/>
          <w:szCs w:val="21"/>
          <w:highlight w:val="none"/>
        </w:rPr>
        <w:t>残疾人福利性单位声明函</w:t>
      </w:r>
    </w:p>
    <w:p w14:paraId="22466FB2">
      <w:pPr>
        <w:widowControl/>
        <w:jc w:val="center"/>
        <w:rPr>
          <w:rFonts w:hint="eastAsia" w:hAnsi="宋体" w:cs="宋体"/>
          <w:b/>
          <w:color w:val="auto"/>
          <w:sz w:val="21"/>
          <w:szCs w:val="21"/>
          <w:highlight w:val="none"/>
        </w:rPr>
      </w:pPr>
      <w:r>
        <w:rPr>
          <w:rFonts w:hint="eastAsia" w:hAnsi="宋体" w:cs="宋体"/>
          <w:b/>
          <w:color w:val="auto"/>
          <w:sz w:val="21"/>
          <w:szCs w:val="21"/>
          <w:highlight w:val="none"/>
        </w:rPr>
        <w:t>（不属于残疾人福利性单位的无需填写）</w:t>
      </w:r>
    </w:p>
    <w:p w14:paraId="5FE09061">
      <w:pPr>
        <w:widowControl/>
        <w:jc w:val="left"/>
        <w:rPr>
          <w:rFonts w:hint="eastAsia" w:hAnsi="宋体" w:cs="宋体"/>
          <w:b/>
          <w:color w:val="auto"/>
          <w:sz w:val="21"/>
          <w:szCs w:val="21"/>
          <w:highlight w:val="none"/>
        </w:rPr>
      </w:pPr>
    </w:p>
    <w:p w14:paraId="466E1ACA">
      <w:pPr>
        <w:widowControl/>
        <w:spacing w:line="360" w:lineRule="auto"/>
        <w:ind w:firstLine="420" w:firstLineChars="200"/>
        <w:jc w:val="left"/>
        <w:rPr>
          <w:rFonts w:hint="eastAsia" w:hAnsi="宋体" w:cs="宋体"/>
          <w:color w:val="auto"/>
          <w:sz w:val="21"/>
          <w:szCs w:val="21"/>
          <w:highlight w:val="none"/>
        </w:rPr>
      </w:pPr>
      <w:r>
        <w:rPr>
          <w:rFonts w:hint="eastAsia" w:hAnsi="宋体" w:cs="宋体"/>
          <w:color w:val="auto"/>
          <w:sz w:val="21"/>
          <w:szCs w:val="21"/>
          <w:highlight w:val="none"/>
        </w:rPr>
        <w:t>本单位郑重声明，根据《财政部 民政部 中国残疾人联合会关于促进残疾人就业政府采购政策的通知》</w:t>
      </w:r>
    </w:p>
    <w:p w14:paraId="58D23D42">
      <w:pPr>
        <w:widowControl/>
        <w:spacing w:line="360" w:lineRule="auto"/>
        <w:ind w:firstLine="420" w:firstLineChars="200"/>
        <w:jc w:val="left"/>
        <w:rPr>
          <w:rFonts w:hint="eastAsia" w:hAnsi="宋体" w:cs="宋体"/>
          <w:color w:val="auto"/>
          <w:sz w:val="21"/>
          <w:szCs w:val="21"/>
          <w:highlight w:val="none"/>
        </w:rPr>
      </w:pPr>
      <w:r>
        <w:rPr>
          <w:rFonts w:hint="eastAsia" w:hAnsi="宋体" w:cs="宋体"/>
          <w:color w:val="auto"/>
          <w:sz w:val="21"/>
          <w:szCs w:val="21"/>
          <w:highlight w:val="none"/>
        </w:rPr>
        <w:t>（财库〔2017〕 141 号）的规定，本单位为符合条件的残疾人福利性单位，且本单位参加_____单位的_____项目采购活动提供本单位制造的货物（由本单位承担工程/提供服务），或者提供其他残疾人福利性单位制造的货物（不包括使用非残疾人福利性单位注册商标的货物）。</w:t>
      </w:r>
    </w:p>
    <w:p w14:paraId="70FB0ADC">
      <w:pPr>
        <w:widowControl/>
        <w:spacing w:line="360" w:lineRule="auto"/>
        <w:ind w:firstLine="420" w:firstLineChars="200"/>
        <w:jc w:val="left"/>
        <w:rPr>
          <w:rFonts w:hint="eastAsia" w:hAnsi="宋体" w:cs="宋体"/>
          <w:color w:val="auto"/>
          <w:sz w:val="21"/>
          <w:szCs w:val="21"/>
          <w:highlight w:val="none"/>
        </w:rPr>
      </w:pPr>
      <w:r>
        <w:rPr>
          <w:rFonts w:hint="eastAsia" w:hAnsi="宋体" w:cs="宋体"/>
          <w:color w:val="auto"/>
          <w:sz w:val="21"/>
          <w:szCs w:val="21"/>
          <w:highlight w:val="none"/>
        </w:rPr>
        <w:t>本单位对上述声明的真实性负责。如有虚假，将依法承担相应责任。</w:t>
      </w:r>
    </w:p>
    <w:p w14:paraId="45B8DB0A">
      <w:pPr>
        <w:widowControl/>
        <w:spacing w:line="360" w:lineRule="auto"/>
        <w:ind w:firstLine="420" w:firstLineChars="200"/>
        <w:jc w:val="left"/>
        <w:rPr>
          <w:rFonts w:hint="eastAsia" w:hAnsi="宋体" w:cs="宋体"/>
          <w:color w:val="auto"/>
          <w:sz w:val="21"/>
          <w:szCs w:val="21"/>
          <w:highlight w:val="none"/>
        </w:rPr>
      </w:pPr>
    </w:p>
    <w:p w14:paraId="764D073A">
      <w:pPr>
        <w:widowControl/>
        <w:spacing w:line="360" w:lineRule="auto"/>
        <w:ind w:firstLine="420" w:firstLineChars="200"/>
        <w:jc w:val="left"/>
        <w:rPr>
          <w:rFonts w:hint="eastAsia" w:hAnsi="宋体" w:cs="宋体"/>
          <w:color w:val="auto"/>
          <w:sz w:val="21"/>
          <w:szCs w:val="21"/>
          <w:highlight w:val="none"/>
        </w:rPr>
      </w:pPr>
    </w:p>
    <w:p w14:paraId="0780F586">
      <w:pPr>
        <w:widowControl/>
        <w:spacing w:line="360" w:lineRule="auto"/>
        <w:jc w:val="left"/>
        <w:rPr>
          <w:rFonts w:hint="eastAsia" w:hAnsi="宋体" w:cs="宋体"/>
          <w:b/>
          <w:color w:val="auto"/>
          <w:sz w:val="21"/>
          <w:szCs w:val="21"/>
          <w:highlight w:val="none"/>
        </w:rPr>
      </w:pPr>
    </w:p>
    <w:p w14:paraId="5BB98B44">
      <w:pPr>
        <w:widowControl/>
        <w:spacing w:line="360" w:lineRule="auto"/>
        <w:ind w:firstLine="420" w:firstLineChars="200"/>
        <w:jc w:val="left"/>
        <w:rPr>
          <w:rFonts w:hint="eastAsia" w:hAnsi="宋体" w:cs="宋体"/>
          <w:color w:val="auto"/>
          <w:sz w:val="21"/>
          <w:szCs w:val="21"/>
          <w:highlight w:val="none"/>
        </w:rPr>
      </w:pPr>
      <w:r>
        <w:rPr>
          <w:rFonts w:hint="eastAsia" w:hAnsi="宋体" w:cs="宋体"/>
          <w:color w:val="auto"/>
          <w:sz w:val="21"/>
          <w:szCs w:val="21"/>
          <w:highlight w:val="none"/>
        </w:rPr>
        <w:t>（若投标文件中无上述材料，则在评审时不考虑对该小、微企业的相关优惠。）</w:t>
      </w:r>
    </w:p>
    <w:p w14:paraId="734016B6">
      <w:pPr>
        <w:widowControl/>
        <w:spacing w:line="360" w:lineRule="auto"/>
        <w:ind w:firstLine="420" w:firstLineChars="200"/>
        <w:jc w:val="left"/>
        <w:rPr>
          <w:rFonts w:hint="eastAsia" w:hAnsi="宋体" w:cs="宋体"/>
          <w:color w:val="auto"/>
          <w:sz w:val="21"/>
          <w:szCs w:val="21"/>
          <w:highlight w:val="none"/>
        </w:rPr>
      </w:pPr>
    </w:p>
    <w:p w14:paraId="79151005">
      <w:pPr>
        <w:widowControl/>
        <w:spacing w:line="360" w:lineRule="auto"/>
        <w:ind w:firstLine="420" w:firstLineChars="200"/>
        <w:jc w:val="left"/>
        <w:rPr>
          <w:rFonts w:hint="eastAsia" w:hAnsi="宋体" w:cs="宋体"/>
          <w:color w:val="auto"/>
          <w:sz w:val="21"/>
          <w:szCs w:val="21"/>
          <w:highlight w:val="none"/>
        </w:rPr>
      </w:pPr>
      <w:r>
        <w:rPr>
          <w:rFonts w:hint="eastAsia" w:hAnsi="宋体" w:cs="宋体"/>
          <w:color w:val="auto"/>
          <w:sz w:val="21"/>
          <w:szCs w:val="21"/>
          <w:highlight w:val="none"/>
        </w:rPr>
        <w:t>供应商（盖章）：</w:t>
      </w:r>
    </w:p>
    <w:p w14:paraId="68CF990E">
      <w:pPr>
        <w:widowControl/>
        <w:spacing w:line="360" w:lineRule="auto"/>
        <w:ind w:firstLine="420" w:firstLineChars="200"/>
        <w:jc w:val="left"/>
        <w:rPr>
          <w:rFonts w:hint="eastAsia" w:hAnsi="宋体" w:cs="宋体"/>
          <w:color w:val="auto"/>
          <w:sz w:val="21"/>
          <w:szCs w:val="21"/>
          <w:highlight w:val="none"/>
        </w:rPr>
      </w:pPr>
      <w:r>
        <w:rPr>
          <w:rFonts w:hint="eastAsia" w:hAnsi="宋体" w:cs="宋体"/>
          <w:color w:val="auto"/>
          <w:sz w:val="21"/>
          <w:szCs w:val="21"/>
          <w:highlight w:val="none"/>
        </w:rPr>
        <w:t>日 期：</w:t>
      </w:r>
    </w:p>
    <w:p w14:paraId="6F86B20B">
      <w:pPr>
        <w:widowControl/>
        <w:spacing w:line="360" w:lineRule="auto"/>
        <w:ind w:firstLine="420" w:firstLineChars="200"/>
        <w:jc w:val="left"/>
        <w:rPr>
          <w:rFonts w:hint="eastAsia" w:hAnsi="宋体" w:cs="宋体"/>
          <w:color w:val="auto"/>
          <w:sz w:val="21"/>
          <w:szCs w:val="21"/>
          <w:highlight w:val="none"/>
        </w:rPr>
      </w:pPr>
    </w:p>
    <w:p w14:paraId="5A8E8DE5">
      <w:pPr>
        <w:widowControl/>
        <w:spacing w:line="360" w:lineRule="auto"/>
        <w:ind w:firstLine="420" w:firstLineChars="200"/>
        <w:jc w:val="left"/>
        <w:rPr>
          <w:rFonts w:hint="eastAsia" w:hAnsi="宋体" w:cs="宋体"/>
          <w:color w:val="auto"/>
          <w:sz w:val="21"/>
          <w:szCs w:val="21"/>
          <w:highlight w:val="none"/>
        </w:rPr>
      </w:pPr>
    </w:p>
    <w:p w14:paraId="1E47A475">
      <w:pPr>
        <w:widowControl/>
        <w:spacing w:line="360" w:lineRule="auto"/>
        <w:ind w:firstLine="420" w:firstLineChars="200"/>
        <w:jc w:val="left"/>
        <w:rPr>
          <w:rFonts w:hint="eastAsia" w:hAnsi="宋体" w:cs="宋体"/>
          <w:color w:val="auto"/>
          <w:sz w:val="21"/>
          <w:szCs w:val="21"/>
          <w:highlight w:val="none"/>
        </w:rPr>
      </w:pPr>
      <w:r>
        <w:rPr>
          <w:rFonts w:hint="eastAsia" w:hAnsi="宋体" w:cs="宋体"/>
          <w:color w:val="auto"/>
          <w:sz w:val="21"/>
          <w:szCs w:val="21"/>
          <w:highlight w:val="none"/>
        </w:rPr>
        <w:t>符合条件的残疾人福利性单位在参加政府采购活动时，应当提供本通知规定的《残疾人福利性单位声明函》，并对声明的真实性负责。采购代理机构在随中标、中标结果同时公告其《残疾人福利性单位声明函》，接受社会监督。供应商提供的《残疾人福利性单位声明函》与事实不符的，依照《政府采购法》第七十七条第一款的规定追究法律责任。</w:t>
      </w:r>
    </w:p>
    <w:p w14:paraId="39B1F394">
      <w:pPr>
        <w:widowControl/>
        <w:jc w:val="left"/>
        <w:rPr>
          <w:rFonts w:hint="eastAsia" w:hAnsi="宋体" w:cs="宋体"/>
          <w:b/>
          <w:color w:val="auto"/>
          <w:sz w:val="21"/>
          <w:szCs w:val="21"/>
          <w:highlight w:val="none"/>
        </w:rPr>
      </w:pPr>
    </w:p>
    <w:p w14:paraId="3082FEFD">
      <w:pPr>
        <w:widowControl/>
        <w:jc w:val="left"/>
        <w:rPr>
          <w:rFonts w:hint="eastAsia" w:hAnsi="宋体" w:cs="宋体"/>
          <w:b/>
          <w:color w:val="auto"/>
          <w:sz w:val="21"/>
          <w:szCs w:val="21"/>
          <w:highlight w:val="none"/>
        </w:rPr>
      </w:pPr>
      <w:r>
        <w:rPr>
          <w:rFonts w:hint="eastAsia" w:hAnsi="宋体" w:cs="宋体"/>
          <w:b/>
          <w:color w:val="auto"/>
          <w:sz w:val="21"/>
          <w:szCs w:val="21"/>
          <w:highlight w:val="none"/>
        </w:rPr>
        <w:br w:type="page"/>
      </w:r>
      <w:r>
        <w:rPr>
          <w:rFonts w:hint="eastAsia" w:hAnsi="宋体" w:cs="宋体"/>
          <w:b/>
          <w:color w:val="auto"/>
          <w:sz w:val="21"/>
          <w:szCs w:val="21"/>
          <w:highlight w:val="none"/>
        </w:rPr>
        <w:t>（3）《监狱企业声明函》格式</w:t>
      </w:r>
    </w:p>
    <w:p w14:paraId="4B05A1CB">
      <w:pPr>
        <w:spacing w:line="588" w:lineRule="exact"/>
        <w:jc w:val="center"/>
        <w:rPr>
          <w:rFonts w:hint="eastAsia" w:hAnsi="宋体" w:cs="宋体"/>
          <w:b/>
          <w:color w:val="auto"/>
          <w:spacing w:val="6"/>
          <w:sz w:val="21"/>
          <w:szCs w:val="21"/>
          <w:highlight w:val="none"/>
        </w:rPr>
      </w:pPr>
    </w:p>
    <w:p w14:paraId="17219814">
      <w:pPr>
        <w:spacing w:line="588" w:lineRule="exact"/>
        <w:jc w:val="center"/>
        <w:rPr>
          <w:rFonts w:hint="eastAsia" w:hAnsi="宋体" w:cs="宋体"/>
          <w:b/>
          <w:color w:val="auto"/>
          <w:spacing w:val="6"/>
          <w:sz w:val="21"/>
          <w:szCs w:val="21"/>
          <w:highlight w:val="none"/>
        </w:rPr>
      </w:pPr>
      <w:r>
        <w:rPr>
          <w:rFonts w:hint="eastAsia" w:hAnsi="宋体" w:cs="宋体"/>
          <w:b/>
          <w:color w:val="auto"/>
          <w:spacing w:val="6"/>
          <w:sz w:val="21"/>
          <w:szCs w:val="21"/>
          <w:highlight w:val="none"/>
        </w:rPr>
        <w:t>监狱企业声明函</w:t>
      </w:r>
    </w:p>
    <w:p w14:paraId="5A666653">
      <w:pPr>
        <w:widowControl/>
        <w:jc w:val="center"/>
        <w:rPr>
          <w:rFonts w:hint="eastAsia" w:hAnsi="宋体" w:cs="宋体"/>
          <w:b/>
          <w:color w:val="auto"/>
          <w:sz w:val="21"/>
          <w:szCs w:val="21"/>
          <w:highlight w:val="none"/>
        </w:rPr>
      </w:pPr>
      <w:r>
        <w:rPr>
          <w:rFonts w:hint="eastAsia" w:hAnsi="宋体" w:cs="宋体"/>
          <w:b/>
          <w:color w:val="auto"/>
          <w:sz w:val="21"/>
          <w:szCs w:val="21"/>
          <w:highlight w:val="none"/>
        </w:rPr>
        <w:t>（不属于监狱企业的无需填写）</w:t>
      </w:r>
    </w:p>
    <w:p w14:paraId="146D9811">
      <w:pPr>
        <w:widowControl/>
        <w:spacing w:line="360" w:lineRule="auto"/>
        <w:ind w:firstLine="420" w:firstLineChars="200"/>
        <w:jc w:val="left"/>
        <w:rPr>
          <w:rFonts w:hint="eastAsia" w:hAnsi="宋体" w:cs="宋体"/>
          <w:color w:val="auto"/>
          <w:sz w:val="21"/>
          <w:szCs w:val="21"/>
          <w:highlight w:val="none"/>
        </w:rPr>
      </w:pPr>
    </w:p>
    <w:p w14:paraId="5AEFDA51">
      <w:pPr>
        <w:widowControl/>
        <w:spacing w:line="360" w:lineRule="auto"/>
        <w:ind w:firstLine="420" w:firstLineChars="200"/>
        <w:jc w:val="left"/>
        <w:rPr>
          <w:rFonts w:hint="eastAsia" w:hAnsi="宋体" w:cs="宋体"/>
          <w:color w:val="auto"/>
          <w:sz w:val="21"/>
          <w:szCs w:val="21"/>
          <w:highlight w:val="none"/>
        </w:rPr>
      </w:pPr>
      <w:r>
        <w:rPr>
          <w:rFonts w:hint="eastAsia" w:hAnsi="宋体" w:cs="宋体"/>
          <w:color w:val="auto"/>
          <w:sz w:val="21"/>
          <w:szCs w:val="21"/>
          <w:highlight w:val="none"/>
        </w:rPr>
        <w:t>公司郑重声明，根据《关于政府采购支持监狱企业发展有关问题的通知》 （财库[2014]68 号）的规定，本公司为监狱企业。</w:t>
      </w:r>
    </w:p>
    <w:p w14:paraId="0D35549D">
      <w:pPr>
        <w:widowControl/>
        <w:spacing w:line="360" w:lineRule="auto"/>
        <w:ind w:firstLine="420" w:firstLineChars="200"/>
        <w:jc w:val="left"/>
        <w:rPr>
          <w:rFonts w:hint="eastAsia" w:hAnsi="宋体" w:cs="宋体"/>
          <w:color w:val="auto"/>
          <w:sz w:val="21"/>
          <w:szCs w:val="21"/>
          <w:highlight w:val="none"/>
        </w:rPr>
      </w:pPr>
      <w:r>
        <w:rPr>
          <w:rFonts w:hint="eastAsia" w:hAnsi="宋体" w:cs="宋体"/>
          <w:color w:val="auto"/>
          <w:sz w:val="21"/>
          <w:szCs w:val="21"/>
          <w:highlight w:val="none"/>
        </w:rPr>
        <w:t>根据上述标准，我公司属于监狱企业的理由为：   。</w:t>
      </w:r>
    </w:p>
    <w:p w14:paraId="1CD994B4">
      <w:pPr>
        <w:widowControl/>
        <w:spacing w:line="360" w:lineRule="auto"/>
        <w:ind w:firstLine="420" w:firstLineChars="200"/>
        <w:jc w:val="left"/>
        <w:rPr>
          <w:rFonts w:hint="eastAsia" w:hAnsi="宋体" w:cs="宋体"/>
          <w:color w:val="auto"/>
          <w:sz w:val="21"/>
          <w:szCs w:val="21"/>
          <w:highlight w:val="none"/>
        </w:rPr>
      </w:pPr>
      <w:r>
        <w:rPr>
          <w:rFonts w:hint="eastAsia" w:hAnsi="宋体" w:cs="宋体"/>
          <w:color w:val="auto"/>
          <w:sz w:val="21"/>
          <w:szCs w:val="21"/>
          <w:highlight w:val="none"/>
        </w:rPr>
        <w:t>本公司为参加</w:t>
      </w:r>
      <w:r>
        <w:rPr>
          <w:rFonts w:hint="eastAsia" w:hAnsi="宋体" w:cs="宋体"/>
          <w:color w:val="auto"/>
          <w:sz w:val="21"/>
          <w:szCs w:val="21"/>
          <w:highlight w:val="none"/>
          <w:u w:val="single"/>
        </w:rPr>
        <w:t>（项目名称、项目编号）</w:t>
      </w:r>
      <w:r>
        <w:rPr>
          <w:rFonts w:hint="eastAsia" w:hAnsi="宋体" w:cs="宋体"/>
          <w:color w:val="auto"/>
          <w:sz w:val="21"/>
          <w:szCs w:val="21"/>
          <w:highlight w:val="none"/>
        </w:rPr>
        <w:t>采购活动提供本企业（填写制造的货物，由本企业承担工程、提供服务）。</w:t>
      </w:r>
    </w:p>
    <w:p w14:paraId="73FCF880">
      <w:pPr>
        <w:widowControl/>
        <w:spacing w:line="360" w:lineRule="auto"/>
        <w:ind w:firstLine="420" w:firstLineChars="200"/>
        <w:jc w:val="left"/>
        <w:rPr>
          <w:rFonts w:hint="eastAsia" w:hAnsi="宋体" w:cs="宋体"/>
          <w:color w:val="auto"/>
          <w:sz w:val="21"/>
          <w:szCs w:val="21"/>
          <w:highlight w:val="none"/>
        </w:rPr>
      </w:pPr>
      <w:r>
        <w:rPr>
          <w:rFonts w:hint="eastAsia" w:hAnsi="宋体" w:cs="宋体"/>
          <w:color w:val="auto"/>
          <w:sz w:val="21"/>
          <w:szCs w:val="21"/>
          <w:highlight w:val="none"/>
        </w:rPr>
        <w:t>本条所称货物不包括使用大型企业注册商标的货物和服务。</w:t>
      </w:r>
    </w:p>
    <w:p w14:paraId="1D677610">
      <w:pPr>
        <w:widowControl/>
        <w:spacing w:line="360" w:lineRule="auto"/>
        <w:ind w:firstLine="420" w:firstLineChars="200"/>
        <w:jc w:val="left"/>
        <w:rPr>
          <w:rFonts w:hint="eastAsia" w:hAnsi="宋体" w:cs="宋体"/>
          <w:color w:val="auto"/>
          <w:sz w:val="21"/>
          <w:szCs w:val="21"/>
          <w:highlight w:val="none"/>
        </w:rPr>
      </w:pPr>
    </w:p>
    <w:p w14:paraId="086B09B1">
      <w:pPr>
        <w:widowControl/>
        <w:spacing w:line="360" w:lineRule="auto"/>
        <w:ind w:firstLine="420" w:firstLineChars="200"/>
        <w:jc w:val="left"/>
        <w:rPr>
          <w:rFonts w:hint="eastAsia" w:hAnsi="宋体" w:cs="宋体"/>
          <w:color w:val="auto"/>
          <w:sz w:val="21"/>
          <w:szCs w:val="21"/>
          <w:highlight w:val="none"/>
        </w:rPr>
      </w:pPr>
      <w:r>
        <w:rPr>
          <w:rFonts w:hint="eastAsia" w:hAnsi="宋体" w:cs="宋体"/>
          <w:color w:val="auto"/>
          <w:sz w:val="21"/>
          <w:szCs w:val="21"/>
          <w:highlight w:val="none"/>
        </w:rPr>
        <w:t>本公司对上述声明的真实性负责。如有虚假，将依法承担相应责任</w:t>
      </w:r>
    </w:p>
    <w:p w14:paraId="44159F57">
      <w:pPr>
        <w:widowControl/>
        <w:spacing w:line="360" w:lineRule="auto"/>
        <w:ind w:firstLine="420" w:firstLineChars="200"/>
        <w:jc w:val="left"/>
        <w:rPr>
          <w:rFonts w:hint="eastAsia" w:hAnsi="宋体" w:cs="宋体"/>
          <w:color w:val="auto"/>
          <w:sz w:val="21"/>
          <w:szCs w:val="21"/>
          <w:highlight w:val="none"/>
        </w:rPr>
      </w:pPr>
    </w:p>
    <w:p w14:paraId="027D9E66">
      <w:pPr>
        <w:widowControl/>
        <w:spacing w:line="360" w:lineRule="auto"/>
        <w:ind w:firstLine="420" w:firstLineChars="200"/>
        <w:jc w:val="left"/>
        <w:rPr>
          <w:rFonts w:hint="eastAsia" w:hAnsi="宋体" w:cs="宋体"/>
          <w:color w:val="auto"/>
          <w:sz w:val="21"/>
          <w:szCs w:val="21"/>
          <w:highlight w:val="none"/>
        </w:rPr>
      </w:pPr>
      <w:r>
        <w:rPr>
          <w:rFonts w:hint="eastAsia" w:hAnsi="宋体" w:cs="宋体"/>
          <w:color w:val="auto"/>
          <w:sz w:val="21"/>
          <w:szCs w:val="21"/>
          <w:highlight w:val="none"/>
        </w:rPr>
        <w:t>供应商（盖章）：</w:t>
      </w:r>
    </w:p>
    <w:p w14:paraId="716D1FDE">
      <w:pPr>
        <w:widowControl/>
        <w:spacing w:line="360" w:lineRule="auto"/>
        <w:ind w:firstLine="420" w:firstLineChars="200"/>
        <w:jc w:val="left"/>
        <w:rPr>
          <w:rFonts w:hint="eastAsia" w:hAnsi="宋体" w:cs="宋体"/>
          <w:color w:val="auto"/>
          <w:sz w:val="21"/>
          <w:szCs w:val="21"/>
          <w:highlight w:val="none"/>
        </w:rPr>
      </w:pPr>
      <w:r>
        <w:rPr>
          <w:rFonts w:hint="eastAsia" w:hAnsi="宋体" w:cs="宋体"/>
          <w:color w:val="auto"/>
          <w:sz w:val="21"/>
          <w:szCs w:val="21"/>
          <w:highlight w:val="none"/>
        </w:rPr>
        <w:t>日 期：</w:t>
      </w:r>
    </w:p>
    <w:p w14:paraId="2D2F7888">
      <w:pPr>
        <w:widowControl/>
        <w:spacing w:line="360" w:lineRule="auto"/>
        <w:ind w:firstLine="420" w:firstLineChars="200"/>
        <w:jc w:val="left"/>
        <w:rPr>
          <w:rFonts w:hint="eastAsia" w:hAnsi="宋体" w:cs="宋体"/>
          <w:color w:val="auto"/>
          <w:sz w:val="21"/>
          <w:szCs w:val="21"/>
          <w:highlight w:val="none"/>
        </w:rPr>
      </w:pPr>
    </w:p>
    <w:p w14:paraId="155E7C91">
      <w:pPr>
        <w:widowControl/>
        <w:spacing w:line="360" w:lineRule="auto"/>
        <w:ind w:firstLine="420" w:firstLineChars="200"/>
        <w:jc w:val="left"/>
        <w:rPr>
          <w:rFonts w:hint="eastAsia" w:hAnsi="宋体" w:cs="宋体"/>
          <w:color w:val="auto"/>
          <w:sz w:val="21"/>
          <w:szCs w:val="21"/>
          <w:highlight w:val="none"/>
        </w:rPr>
      </w:pPr>
      <w:r>
        <w:rPr>
          <w:rFonts w:hint="eastAsia" w:hAnsi="宋体" w:cs="宋体"/>
          <w:color w:val="auto"/>
          <w:sz w:val="21"/>
          <w:szCs w:val="21"/>
          <w:highlight w:val="none"/>
        </w:rPr>
        <w:t>注：</w:t>
      </w:r>
    </w:p>
    <w:p w14:paraId="61F1EEFA">
      <w:pPr>
        <w:widowControl/>
        <w:spacing w:line="360" w:lineRule="auto"/>
        <w:ind w:firstLine="420" w:firstLineChars="200"/>
        <w:jc w:val="left"/>
        <w:rPr>
          <w:rFonts w:hint="eastAsia" w:hAnsi="宋体" w:cs="宋体"/>
          <w:color w:val="auto"/>
          <w:sz w:val="21"/>
          <w:szCs w:val="21"/>
          <w:highlight w:val="none"/>
        </w:rPr>
      </w:pPr>
      <w:r>
        <w:rPr>
          <w:rFonts w:hint="eastAsia" w:hAnsi="宋体" w:cs="宋体"/>
          <w:color w:val="auto"/>
          <w:sz w:val="21"/>
          <w:szCs w:val="21"/>
          <w:highlight w:val="none"/>
        </w:rPr>
        <w:t>若产品出自符合国家规定的监狱企业，则该产品制造企业必须出具上述声明函，且供应商必须提供应当提供由省级以上监狱管理局、戒毒管理局（含新疆生产建设兵团）出具的属于监狱企业的证明文件，否则在评审时将不考虑对该监狱企业的相关优惠。</w:t>
      </w:r>
    </w:p>
    <w:p w14:paraId="7F42A1D6">
      <w:pPr>
        <w:widowControl/>
        <w:spacing w:line="360" w:lineRule="auto"/>
        <w:ind w:firstLine="420" w:firstLineChars="200"/>
        <w:jc w:val="left"/>
        <w:rPr>
          <w:rFonts w:hint="eastAsia" w:hAnsi="宋体" w:cs="宋体"/>
          <w:color w:val="auto"/>
          <w:sz w:val="21"/>
          <w:szCs w:val="21"/>
          <w:highlight w:val="none"/>
        </w:rPr>
      </w:pPr>
      <w:r>
        <w:rPr>
          <w:rFonts w:hint="eastAsia" w:hAnsi="宋体" w:cs="宋体"/>
          <w:color w:val="auto"/>
          <w:sz w:val="21"/>
          <w:szCs w:val="21"/>
          <w:highlight w:val="none"/>
        </w:rPr>
        <w:t>监狱企业视同小型、微型企业，享受评审中价格扣除等政府采购促进中小企业发展的政府采购政策。</w:t>
      </w:r>
    </w:p>
    <w:p w14:paraId="61EC0B97">
      <w:pPr>
        <w:pStyle w:val="48"/>
        <w:ind w:firstLine="0" w:firstLineChars="0"/>
        <w:jc w:val="center"/>
        <w:rPr>
          <w:rFonts w:hint="eastAsia"/>
          <w:color w:val="auto"/>
          <w:highlight w:val="none"/>
        </w:rPr>
        <w:sectPr>
          <w:pgSz w:w="11906" w:h="16838"/>
          <w:pgMar w:top="1418" w:right="1134" w:bottom="1246" w:left="1134" w:header="851" w:footer="992" w:gutter="0"/>
          <w:cols w:space="720" w:num="1"/>
          <w:docGrid w:type="lines" w:linePitch="312" w:charSpace="0"/>
        </w:sectPr>
      </w:pPr>
      <w:r>
        <w:rPr>
          <w:rFonts w:hint="eastAsia" w:ascii="宋体" w:hAnsi="宋体" w:eastAsia="宋体" w:cs="宋体"/>
          <w:b/>
          <w:color w:val="auto"/>
          <w:sz w:val="21"/>
          <w:szCs w:val="21"/>
          <w:highlight w:val="none"/>
        </w:rPr>
        <w:br w:type="page"/>
      </w:r>
      <w:bookmarkStart w:id="63" w:name="_Toc6364"/>
      <w:r>
        <w:rPr>
          <w:rStyle w:val="75"/>
          <w:rFonts w:hint="eastAsia"/>
          <w:color w:val="auto"/>
          <w:highlight w:val="none"/>
        </w:rPr>
        <w:t>（九）投标人认为需求提供的其他资格证材料</w:t>
      </w:r>
      <w:bookmarkEnd w:id="63"/>
    </w:p>
    <w:bookmarkEnd w:id="35"/>
    <w:p w14:paraId="313F13CE">
      <w:pPr>
        <w:pStyle w:val="6"/>
        <w:spacing w:line="360" w:lineRule="auto"/>
        <w:jc w:val="center"/>
        <w:rPr>
          <w:rStyle w:val="60"/>
          <w:rFonts w:hAnsi="Times New Roman"/>
          <w:b w:val="0"/>
          <w:bCs w:val="0"/>
          <w:color w:val="auto"/>
          <w:sz w:val="36"/>
          <w:szCs w:val="36"/>
          <w:highlight w:val="none"/>
        </w:rPr>
      </w:pPr>
      <w:bookmarkStart w:id="64" w:name="_Toc23106"/>
      <w:r>
        <w:rPr>
          <w:rStyle w:val="60"/>
          <w:rFonts w:hint="eastAsia" w:hAnsi="Times New Roman"/>
          <w:b w:val="0"/>
          <w:bCs w:val="0"/>
          <w:color w:val="auto"/>
          <w:sz w:val="36"/>
          <w:szCs w:val="36"/>
          <w:highlight w:val="none"/>
        </w:rPr>
        <w:t>二、投标报价部分</w:t>
      </w:r>
      <w:bookmarkEnd w:id="64"/>
    </w:p>
    <w:p w14:paraId="5F854060">
      <w:pPr>
        <w:keepNext/>
        <w:jc w:val="center"/>
        <w:rPr>
          <w:rStyle w:val="75"/>
          <w:color w:val="auto"/>
          <w:highlight w:val="none"/>
        </w:rPr>
      </w:pPr>
      <w:bookmarkStart w:id="65" w:name="_Toc12337"/>
      <w:r>
        <w:rPr>
          <w:rStyle w:val="75"/>
          <w:rFonts w:hint="eastAsia"/>
          <w:color w:val="auto"/>
          <w:highlight w:val="none"/>
        </w:rPr>
        <w:t>（一）投标函</w:t>
      </w:r>
    </w:p>
    <w:bookmarkEnd w:id="65"/>
    <w:p w14:paraId="11EA968D">
      <w:pPr>
        <w:spacing w:line="460" w:lineRule="exact"/>
        <w:rPr>
          <w:rFonts w:hint="eastAsia" w:hAnsi="宋体"/>
          <w:color w:val="auto"/>
          <w:sz w:val="21"/>
          <w:szCs w:val="21"/>
          <w:highlight w:val="none"/>
        </w:rPr>
      </w:pPr>
      <w:r>
        <w:rPr>
          <w:rFonts w:hint="eastAsia" w:hAnsi="宋体"/>
          <w:color w:val="auto"/>
          <w:sz w:val="21"/>
          <w:szCs w:val="21"/>
          <w:highlight w:val="none"/>
          <w:u w:val="single"/>
        </w:rPr>
        <w:t>致：保山市商务局</w:t>
      </w:r>
    </w:p>
    <w:p w14:paraId="734351CF">
      <w:pPr>
        <w:spacing w:line="460" w:lineRule="exact"/>
        <w:rPr>
          <w:rFonts w:hint="eastAsia" w:hAnsi="宋体"/>
          <w:color w:val="auto"/>
          <w:sz w:val="21"/>
          <w:szCs w:val="21"/>
          <w:highlight w:val="none"/>
        </w:rPr>
      </w:pPr>
      <w:r>
        <w:rPr>
          <w:rFonts w:hint="eastAsia" w:hAnsi="宋体"/>
          <w:color w:val="auto"/>
          <w:sz w:val="21"/>
          <w:szCs w:val="21"/>
          <w:highlight w:val="none"/>
        </w:rPr>
        <w:t xml:space="preserve">     根据贵方</w:t>
      </w:r>
      <w:r>
        <w:rPr>
          <w:rFonts w:hint="eastAsia" w:hAnsi="宋体"/>
          <w:color w:val="auto"/>
          <w:sz w:val="21"/>
          <w:szCs w:val="21"/>
          <w:highlight w:val="none"/>
          <w:u w:val="single"/>
        </w:rPr>
        <w:t xml:space="preserve">   </w:t>
      </w:r>
      <w:r>
        <w:rPr>
          <w:rFonts w:hint="eastAsia" w:hAnsi="宋体" w:cs="宋体"/>
          <w:color w:val="auto"/>
          <w:sz w:val="21"/>
          <w:szCs w:val="21"/>
          <w:highlight w:val="none"/>
          <w:u w:val="single"/>
        </w:rPr>
        <w:t>（项目名称、项目编号）</w:t>
      </w:r>
      <w:r>
        <w:rPr>
          <w:rFonts w:hint="eastAsia" w:hAnsi="宋体"/>
          <w:color w:val="auto"/>
          <w:sz w:val="21"/>
          <w:szCs w:val="21"/>
          <w:highlight w:val="none"/>
          <w:u w:val="single"/>
        </w:rPr>
        <w:t xml:space="preserve">   </w:t>
      </w:r>
      <w:r>
        <w:rPr>
          <w:rFonts w:hint="eastAsia" w:hAnsi="宋体"/>
          <w:color w:val="auto"/>
          <w:sz w:val="21"/>
          <w:szCs w:val="21"/>
          <w:highlight w:val="none"/>
        </w:rPr>
        <w:t>招标文件要求，</w:t>
      </w:r>
      <w:r>
        <w:rPr>
          <w:rFonts w:hint="eastAsia" w:hAnsi="宋体"/>
          <w:color w:val="auto"/>
          <w:sz w:val="21"/>
          <w:szCs w:val="21"/>
          <w:highlight w:val="none"/>
          <w:u w:val="single"/>
        </w:rPr>
        <w:t xml:space="preserve">   （姓名和职务）    </w:t>
      </w:r>
      <w:r>
        <w:rPr>
          <w:rFonts w:hint="eastAsia" w:hAnsi="宋体"/>
          <w:color w:val="auto"/>
          <w:sz w:val="21"/>
          <w:szCs w:val="21"/>
          <w:highlight w:val="none"/>
        </w:rPr>
        <w:t>被正式授权代表</w:t>
      </w:r>
      <w:r>
        <w:rPr>
          <w:rFonts w:hint="eastAsia" w:hAnsi="宋体"/>
          <w:color w:val="auto"/>
          <w:sz w:val="21"/>
          <w:szCs w:val="21"/>
          <w:highlight w:val="none"/>
          <w:u w:val="single"/>
        </w:rPr>
        <w:t xml:space="preserve">    （投标人名称）  </w:t>
      </w:r>
      <w:r>
        <w:rPr>
          <w:rFonts w:hint="eastAsia" w:hAnsi="宋体"/>
          <w:color w:val="auto"/>
          <w:sz w:val="21"/>
          <w:szCs w:val="21"/>
          <w:highlight w:val="none"/>
        </w:rPr>
        <w:t>，向贵方提交下述文件电子投标文件</w:t>
      </w:r>
      <w:r>
        <w:rPr>
          <w:rFonts w:hint="eastAsia" w:hAnsi="宋体"/>
          <w:color w:val="auto"/>
          <w:sz w:val="21"/>
          <w:szCs w:val="21"/>
          <w:highlight w:val="none"/>
          <w:u w:val="single"/>
        </w:rPr>
        <w:t xml:space="preserve">1 </w:t>
      </w:r>
      <w:r>
        <w:rPr>
          <w:rFonts w:hint="eastAsia" w:hAnsi="宋体"/>
          <w:color w:val="auto"/>
          <w:sz w:val="21"/>
          <w:szCs w:val="21"/>
          <w:highlight w:val="none"/>
        </w:rPr>
        <w:t>份。</w:t>
      </w:r>
    </w:p>
    <w:p w14:paraId="2D11EE92">
      <w:pPr>
        <w:spacing w:line="460" w:lineRule="exact"/>
        <w:ind w:firstLine="420" w:firstLineChars="200"/>
        <w:rPr>
          <w:rFonts w:hint="eastAsia" w:hAnsi="宋体"/>
          <w:color w:val="auto"/>
          <w:sz w:val="21"/>
          <w:szCs w:val="21"/>
          <w:highlight w:val="none"/>
        </w:rPr>
      </w:pPr>
      <w:r>
        <w:rPr>
          <w:rFonts w:hint="eastAsia" w:hAnsi="宋体"/>
          <w:color w:val="auto"/>
          <w:sz w:val="21"/>
          <w:szCs w:val="21"/>
          <w:highlight w:val="none"/>
        </w:rPr>
        <w:t>1.开标一览表；</w:t>
      </w:r>
    </w:p>
    <w:p w14:paraId="115A50A6">
      <w:pPr>
        <w:spacing w:line="460" w:lineRule="exact"/>
        <w:ind w:firstLine="420" w:firstLineChars="200"/>
        <w:rPr>
          <w:rFonts w:hint="eastAsia" w:hAnsi="宋体"/>
          <w:color w:val="auto"/>
          <w:sz w:val="21"/>
          <w:szCs w:val="21"/>
          <w:highlight w:val="none"/>
        </w:rPr>
      </w:pPr>
      <w:r>
        <w:rPr>
          <w:rFonts w:hint="eastAsia" w:hAnsi="宋体"/>
          <w:color w:val="auto"/>
          <w:sz w:val="21"/>
          <w:szCs w:val="21"/>
          <w:highlight w:val="none"/>
        </w:rPr>
        <w:t>2.投标报价表；</w:t>
      </w:r>
    </w:p>
    <w:p w14:paraId="6AB66704">
      <w:pPr>
        <w:spacing w:line="460" w:lineRule="exact"/>
        <w:ind w:firstLine="420" w:firstLineChars="200"/>
        <w:rPr>
          <w:rFonts w:hint="eastAsia" w:hAnsi="宋体"/>
          <w:color w:val="auto"/>
          <w:sz w:val="21"/>
          <w:szCs w:val="21"/>
          <w:highlight w:val="none"/>
        </w:rPr>
      </w:pPr>
      <w:r>
        <w:rPr>
          <w:rFonts w:hint="eastAsia" w:hAnsi="宋体"/>
          <w:color w:val="auto"/>
          <w:sz w:val="21"/>
          <w:szCs w:val="21"/>
          <w:highlight w:val="none"/>
        </w:rPr>
        <w:t>3.项目技术相关方案；</w:t>
      </w:r>
    </w:p>
    <w:p w14:paraId="6092A042">
      <w:pPr>
        <w:spacing w:line="460" w:lineRule="exact"/>
        <w:ind w:firstLine="420" w:firstLineChars="200"/>
        <w:rPr>
          <w:rFonts w:hint="eastAsia" w:hAnsi="宋体"/>
          <w:color w:val="auto"/>
          <w:sz w:val="21"/>
          <w:szCs w:val="21"/>
          <w:highlight w:val="none"/>
        </w:rPr>
      </w:pPr>
      <w:r>
        <w:rPr>
          <w:rFonts w:hint="eastAsia" w:hAnsi="宋体"/>
          <w:color w:val="auto"/>
          <w:sz w:val="21"/>
          <w:szCs w:val="21"/>
          <w:highlight w:val="none"/>
        </w:rPr>
        <w:t>4.投标保证金，金额为元人民币，形式为；</w:t>
      </w:r>
    </w:p>
    <w:p w14:paraId="013B498C">
      <w:pPr>
        <w:spacing w:line="460" w:lineRule="exact"/>
        <w:ind w:firstLine="420" w:firstLineChars="200"/>
        <w:rPr>
          <w:rFonts w:hint="eastAsia" w:hAnsi="宋体"/>
          <w:color w:val="auto"/>
          <w:sz w:val="21"/>
          <w:szCs w:val="21"/>
          <w:highlight w:val="none"/>
        </w:rPr>
      </w:pPr>
      <w:r>
        <w:rPr>
          <w:rFonts w:hint="eastAsia" w:hAnsi="宋体"/>
          <w:color w:val="auto"/>
          <w:sz w:val="21"/>
          <w:szCs w:val="21"/>
          <w:highlight w:val="none"/>
        </w:rPr>
        <w:t>《投标人须知》要求投标人提交的全部文件。</w:t>
      </w:r>
    </w:p>
    <w:p w14:paraId="1920757B">
      <w:pPr>
        <w:spacing w:line="460" w:lineRule="exact"/>
        <w:ind w:firstLine="420" w:firstLineChars="200"/>
        <w:rPr>
          <w:rFonts w:hint="eastAsia" w:hAnsi="宋体"/>
          <w:color w:val="auto"/>
          <w:sz w:val="21"/>
          <w:szCs w:val="21"/>
          <w:highlight w:val="none"/>
        </w:rPr>
      </w:pPr>
      <w:r>
        <w:rPr>
          <w:rFonts w:hint="eastAsia" w:hAnsi="宋体"/>
          <w:color w:val="auto"/>
          <w:sz w:val="21"/>
          <w:szCs w:val="21"/>
          <w:highlight w:val="none"/>
        </w:rPr>
        <w:t>据此函，投标人兹宣布同意如下：</w:t>
      </w:r>
    </w:p>
    <w:p w14:paraId="09E2F6C3">
      <w:pPr>
        <w:numPr>
          <w:ilvl w:val="0"/>
          <w:numId w:val="7"/>
        </w:numPr>
        <w:spacing w:line="460" w:lineRule="exact"/>
        <w:ind w:firstLine="420" w:firstLineChars="200"/>
        <w:rPr>
          <w:rFonts w:hint="eastAsia" w:hAnsi="宋体"/>
          <w:color w:val="auto"/>
          <w:sz w:val="21"/>
          <w:szCs w:val="21"/>
          <w:highlight w:val="none"/>
        </w:rPr>
      </w:pPr>
      <w:r>
        <w:rPr>
          <w:rFonts w:hint="eastAsia" w:hAnsi="宋体"/>
          <w:color w:val="auto"/>
          <w:sz w:val="21"/>
          <w:szCs w:val="21"/>
          <w:highlight w:val="none"/>
        </w:rPr>
        <w:t>我方已审阅全部招标文件，包括招标文件的澄清和修改书（如果有的话）及有关附件，我方已完全理解招标文件并对招标文件不存在任何异议。</w:t>
      </w:r>
    </w:p>
    <w:p w14:paraId="7005D8BD">
      <w:pPr>
        <w:numPr>
          <w:ilvl w:val="0"/>
          <w:numId w:val="7"/>
        </w:numPr>
        <w:spacing w:line="460" w:lineRule="exact"/>
        <w:ind w:firstLine="420" w:firstLineChars="200"/>
        <w:rPr>
          <w:rFonts w:hint="eastAsia" w:hAnsi="宋体"/>
          <w:color w:val="auto"/>
          <w:sz w:val="21"/>
          <w:szCs w:val="21"/>
          <w:highlight w:val="none"/>
        </w:rPr>
      </w:pPr>
      <w:r>
        <w:rPr>
          <w:rFonts w:hint="eastAsia" w:hAnsi="宋体"/>
          <w:color w:val="auto"/>
          <w:sz w:val="21"/>
          <w:szCs w:val="21"/>
          <w:highlight w:val="none"/>
        </w:rPr>
        <w:t>我方的投标报价为</w:t>
      </w:r>
      <w:r>
        <w:rPr>
          <w:rFonts w:hint="eastAsia" w:hAnsi="宋体"/>
          <w:color w:val="auto"/>
          <w:sz w:val="21"/>
          <w:szCs w:val="21"/>
          <w:highlight w:val="none"/>
          <w:u w:val="single"/>
        </w:rPr>
        <w:t xml:space="preserve">                       。</w:t>
      </w:r>
    </w:p>
    <w:p w14:paraId="7E05080E">
      <w:pPr>
        <w:numPr>
          <w:ilvl w:val="0"/>
          <w:numId w:val="7"/>
        </w:numPr>
        <w:spacing w:line="460" w:lineRule="exact"/>
        <w:ind w:firstLine="420" w:firstLineChars="200"/>
        <w:rPr>
          <w:rFonts w:hint="eastAsia" w:hAnsi="宋体"/>
          <w:color w:val="auto"/>
          <w:sz w:val="21"/>
          <w:szCs w:val="21"/>
          <w:highlight w:val="none"/>
        </w:rPr>
      </w:pPr>
      <w:r>
        <w:rPr>
          <w:rFonts w:hint="eastAsia" w:hAnsi="宋体"/>
          <w:color w:val="auto"/>
          <w:sz w:val="21"/>
          <w:szCs w:val="21"/>
          <w:highlight w:val="none"/>
        </w:rPr>
        <w:t>我方承诺在投标有效期内不得修改、撤销投标文件。如果在投标有效期内撤销投标文件，我方的投标保证金可被贵方没收。</w:t>
      </w:r>
    </w:p>
    <w:p w14:paraId="144B9037">
      <w:pPr>
        <w:numPr>
          <w:ilvl w:val="0"/>
          <w:numId w:val="7"/>
        </w:numPr>
        <w:spacing w:line="460" w:lineRule="exact"/>
        <w:ind w:firstLine="420" w:firstLineChars="200"/>
        <w:rPr>
          <w:rFonts w:hint="eastAsia" w:hAnsi="宋体"/>
          <w:color w:val="auto"/>
          <w:sz w:val="21"/>
          <w:szCs w:val="21"/>
          <w:highlight w:val="none"/>
        </w:rPr>
      </w:pPr>
      <w:r>
        <w:rPr>
          <w:rFonts w:hint="eastAsia" w:hAnsi="宋体"/>
          <w:color w:val="auto"/>
          <w:sz w:val="21"/>
          <w:szCs w:val="21"/>
          <w:highlight w:val="none"/>
        </w:rPr>
        <w:t>我方承诺所递交的投标文件及有关资料真实有效。</w:t>
      </w:r>
    </w:p>
    <w:p w14:paraId="4C874897">
      <w:pPr>
        <w:numPr>
          <w:ilvl w:val="0"/>
          <w:numId w:val="7"/>
        </w:numPr>
        <w:spacing w:line="460" w:lineRule="exact"/>
        <w:ind w:firstLine="420" w:firstLineChars="200"/>
        <w:rPr>
          <w:rFonts w:hint="eastAsia" w:hAnsi="宋体"/>
          <w:color w:val="auto"/>
          <w:sz w:val="21"/>
          <w:szCs w:val="21"/>
          <w:highlight w:val="none"/>
        </w:rPr>
      </w:pPr>
      <w:r>
        <w:rPr>
          <w:rFonts w:hint="eastAsia" w:hAnsi="宋体"/>
          <w:color w:val="auto"/>
          <w:sz w:val="21"/>
          <w:szCs w:val="21"/>
          <w:highlight w:val="none"/>
        </w:rPr>
        <w:t>如我方中标，依中标通知规定的时间与采购人签订采购合同，并依据合同规定履行合同义务。</w:t>
      </w:r>
    </w:p>
    <w:p w14:paraId="310A59F7">
      <w:pPr>
        <w:numPr>
          <w:ilvl w:val="0"/>
          <w:numId w:val="7"/>
        </w:numPr>
        <w:spacing w:line="460" w:lineRule="exact"/>
        <w:ind w:firstLine="420" w:firstLineChars="200"/>
        <w:rPr>
          <w:rFonts w:hint="eastAsia" w:hAnsi="宋体"/>
          <w:color w:val="auto"/>
          <w:sz w:val="21"/>
          <w:szCs w:val="21"/>
          <w:highlight w:val="none"/>
        </w:rPr>
      </w:pPr>
      <w:r>
        <w:rPr>
          <w:rFonts w:hint="eastAsia" w:hAnsi="宋体"/>
          <w:color w:val="auto"/>
          <w:sz w:val="21"/>
          <w:szCs w:val="21"/>
          <w:highlight w:val="none"/>
        </w:rPr>
        <w:t>我方完全理解贵方不一定要接受最低报价的投标或其他任何投标。</w:t>
      </w:r>
    </w:p>
    <w:p w14:paraId="110AA33D">
      <w:pPr>
        <w:spacing w:line="460" w:lineRule="exact"/>
        <w:rPr>
          <w:rFonts w:hint="eastAsia" w:hAnsi="宋体"/>
          <w:color w:val="auto"/>
          <w:sz w:val="21"/>
          <w:szCs w:val="21"/>
          <w:highlight w:val="none"/>
          <w:u w:val="single"/>
        </w:rPr>
      </w:pPr>
      <w:r>
        <w:rPr>
          <w:rFonts w:hint="eastAsia" w:hAnsi="宋体"/>
          <w:color w:val="auto"/>
          <w:sz w:val="21"/>
          <w:szCs w:val="21"/>
          <w:highlight w:val="none"/>
        </w:rPr>
        <w:t xml:space="preserve">   地址：</w:t>
      </w:r>
    </w:p>
    <w:p w14:paraId="4C20BDAC">
      <w:pPr>
        <w:spacing w:line="460" w:lineRule="exact"/>
        <w:rPr>
          <w:rFonts w:hint="eastAsia" w:hAnsi="宋体"/>
          <w:color w:val="auto"/>
          <w:sz w:val="21"/>
          <w:szCs w:val="21"/>
          <w:highlight w:val="none"/>
          <w:u w:val="single"/>
        </w:rPr>
      </w:pPr>
      <w:r>
        <w:rPr>
          <w:rFonts w:hint="eastAsia" w:hAnsi="宋体"/>
          <w:color w:val="auto"/>
          <w:sz w:val="21"/>
          <w:szCs w:val="21"/>
          <w:highlight w:val="none"/>
        </w:rPr>
        <w:t xml:space="preserve">   电话、传真：</w:t>
      </w:r>
      <w:r>
        <w:rPr>
          <w:rFonts w:hint="eastAsia" w:hAnsi="宋体"/>
          <w:color w:val="auto"/>
          <w:sz w:val="21"/>
          <w:szCs w:val="21"/>
          <w:highlight w:val="none"/>
          <w:u w:val="single"/>
        </w:rPr>
        <w:t xml:space="preserve">                              </w:t>
      </w:r>
    </w:p>
    <w:p w14:paraId="067D63B9">
      <w:pPr>
        <w:spacing w:line="460" w:lineRule="exact"/>
        <w:rPr>
          <w:rFonts w:hint="eastAsia" w:hAnsi="宋体"/>
          <w:color w:val="auto"/>
          <w:sz w:val="21"/>
          <w:szCs w:val="21"/>
          <w:highlight w:val="none"/>
        </w:rPr>
      </w:pPr>
      <w:r>
        <w:rPr>
          <w:rFonts w:hint="eastAsia" w:hAnsi="宋体"/>
          <w:color w:val="auto"/>
          <w:sz w:val="21"/>
          <w:szCs w:val="21"/>
          <w:highlight w:val="none"/>
        </w:rPr>
        <w:t xml:space="preserve">   邮政编码：</w:t>
      </w:r>
      <w:r>
        <w:rPr>
          <w:rFonts w:hint="eastAsia" w:hAnsi="宋体"/>
          <w:color w:val="auto"/>
          <w:sz w:val="21"/>
          <w:szCs w:val="21"/>
          <w:highlight w:val="none"/>
          <w:u w:val="single"/>
        </w:rPr>
        <w:t xml:space="preserve">                                </w:t>
      </w:r>
    </w:p>
    <w:p w14:paraId="368546FF">
      <w:pPr>
        <w:spacing w:line="460" w:lineRule="exact"/>
        <w:rPr>
          <w:rFonts w:hint="eastAsia" w:hAnsi="宋体"/>
          <w:color w:val="auto"/>
          <w:sz w:val="21"/>
          <w:szCs w:val="21"/>
          <w:highlight w:val="none"/>
        </w:rPr>
      </w:pPr>
      <w:r>
        <w:rPr>
          <w:rFonts w:hint="eastAsia" w:hAnsi="宋体"/>
          <w:color w:val="auto"/>
          <w:sz w:val="21"/>
          <w:szCs w:val="21"/>
          <w:highlight w:val="none"/>
        </w:rPr>
        <w:t xml:space="preserve">   开户银行：</w:t>
      </w:r>
      <w:r>
        <w:rPr>
          <w:rFonts w:hint="eastAsia" w:hAnsi="宋体"/>
          <w:color w:val="auto"/>
          <w:sz w:val="21"/>
          <w:szCs w:val="21"/>
          <w:highlight w:val="none"/>
          <w:u w:val="single"/>
        </w:rPr>
        <w:t xml:space="preserve">                                </w:t>
      </w:r>
    </w:p>
    <w:p w14:paraId="53FFAB6E">
      <w:pPr>
        <w:spacing w:line="460" w:lineRule="exact"/>
        <w:rPr>
          <w:rFonts w:hint="eastAsia" w:hAnsi="宋体"/>
          <w:color w:val="auto"/>
          <w:sz w:val="21"/>
          <w:szCs w:val="21"/>
          <w:highlight w:val="none"/>
        </w:rPr>
      </w:pPr>
      <w:r>
        <w:rPr>
          <w:rFonts w:hint="eastAsia" w:hAnsi="宋体"/>
          <w:color w:val="auto"/>
          <w:sz w:val="21"/>
          <w:szCs w:val="21"/>
          <w:highlight w:val="none"/>
        </w:rPr>
        <w:t xml:space="preserve">   账号：</w:t>
      </w:r>
      <w:r>
        <w:rPr>
          <w:rFonts w:hint="eastAsia" w:hAnsi="宋体"/>
          <w:color w:val="auto"/>
          <w:sz w:val="21"/>
          <w:szCs w:val="21"/>
          <w:highlight w:val="none"/>
          <w:u w:val="single"/>
        </w:rPr>
        <w:t xml:space="preserve">                                    </w:t>
      </w:r>
    </w:p>
    <w:p w14:paraId="6A0A5A2A">
      <w:pPr>
        <w:spacing w:line="460" w:lineRule="exact"/>
        <w:ind w:firstLine="279" w:firstLineChars="133"/>
        <w:rPr>
          <w:rFonts w:hint="eastAsia" w:hAnsi="宋体" w:cs="宋体"/>
          <w:color w:val="auto"/>
          <w:sz w:val="21"/>
          <w:szCs w:val="21"/>
          <w:highlight w:val="none"/>
        </w:rPr>
      </w:pPr>
      <w:r>
        <w:rPr>
          <w:rFonts w:hint="eastAsia" w:hAnsi="宋体" w:cs="宋体"/>
          <w:color w:val="auto"/>
          <w:sz w:val="21"/>
          <w:szCs w:val="21"/>
          <w:highlight w:val="none"/>
        </w:rPr>
        <w:t>投标人（盖单位公章）：______________</w:t>
      </w:r>
    </w:p>
    <w:p w14:paraId="3AE8AAE0">
      <w:pPr>
        <w:spacing w:line="460" w:lineRule="exact"/>
        <w:ind w:firstLine="279" w:firstLineChars="133"/>
        <w:rPr>
          <w:rFonts w:hint="eastAsia" w:hAnsi="宋体" w:cs="宋体"/>
          <w:color w:val="auto"/>
          <w:sz w:val="21"/>
          <w:szCs w:val="21"/>
          <w:highlight w:val="none"/>
        </w:rPr>
      </w:pPr>
      <w:r>
        <w:rPr>
          <w:rFonts w:hint="eastAsia" w:hAnsi="宋体" w:cs="宋体"/>
          <w:color w:val="auto"/>
          <w:sz w:val="21"/>
          <w:szCs w:val="21"/>
          <w:highlight w:val="none"/>
        </w:rPr>
        <w:t>法定代表人（负责人）或委托代理人（签字或盖章）：________</w:t>
      </w:r>
    </w:p>
    <w:p w14:paraId="0DF747E8">
      <w:pPr>
        <w:spacing w:line="460" w:lineRule="exact"/>
        <w:ind w:firstLine="279" w:firstLineChars="133"/>
        <w:rPr>
          <w:rFonts w:hint="eastAsia" w:hAnsi="宋体"/>
          <w:color w:val="auto"/>
          <w:sz w:val="21"/>
          <w:szCs w:val="21"/>
          <w:highlight w:val="none"/>
        </w:rPr>
      </w:pPr>
      <w:r>
        <w:rPr>
          <w:rFonts w:hint="eastAsia" w:hAnsi="宋体" w:cs="宋体"/>
          <w:color w:val="auto"/>
          <w:sz w:val="21"/>
          <w:szCs w:val="21"/>
          <w:highlight w:val="none"/>
        </w:rPr>
        <w:t>日期：________年_____月_____日</w:t>
      </w:r>
    </w:p>
    <w:p w14:paraId="28A195A7">
      <w:pPr>
        <w:spacing w:line="480" w:lineRule="exact"/>
        <w:ind w:firstLine="315" w:firstLineChars="150"/>
        <w:rPr>
          <w:rFonts w:hint="eastAsia" w:hAnsi="宋体"/>
          <w:color w:val="auto"/>
          <w:sz w:val="21"/>
          <w:szCs w:val="21"/>
          <w:highlight w:val="none"/>
        </w:rPr>
      </w:pPr>
    </w:p>
    <w:p w14:paraId="486E4061">
      <w:pPr>
        <w:keepNext/>
        <w:jc w:val="center"/>
        <w:rPr>
          <w:rStyle w:val="75"/>
          <w:color w:val="auto"/>
          <w:highlight w:val="none"/>
        </w:rPr>
      </w:pPr>
      <w:bookmarkStart w:id="66" w:name="_Toc20591"/>
      <w:r>
        <w:rPr>
          <w:rStyle w:val="75"/>
          <w:rFonts w:hint="eastAsia"/>
          <w:color w:val="auto"/>
          <w:highlight w:val="none"/>
        </w:rPr>
        <w:t>（二）开标一览表</w:t>
      </w:r>
    </w:p>
    <w:bookmarkEnd w:id="66"/>
    <w:p w14:paraId="686961F0">
      <w:pPr>
        <w:pStyle w:val="22"/>
        <w:rPr>
          <w:color w:val="auto"/>
          <w:highlight w:val="none"/>
        </w:rPr>
      </w:pPr>
    </w:p>
    <w:tbl>
      <w:tblPr>
        <w:tblStyle w:val="39"/>
        <w:tblW w:w="997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3406"/>
        <w:gridCol w:w="5846"/>
      </w:tblGrid>
      <w:tr w14:paraId="1E1F9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trPr>
        <w:tc>
          <w:tcPr>
            <w:tcW w:w="720" w:type="dxa"/>
            <w:vAlign w:val="center"/>
          </w:tcPr>
          <w:p w14:paraId="62C541D5">
            <w:pPr>
              <w:spacing w:line="280" w:lineRule="exact"/>
              <w:jc w:val="center"/>
              <w:rPr>
                <w:rFonts w:hint="eastAsia" w:hAnsi="宋体"/>
                <w:b/>
                <w:color w:val="auto"/>
                <w:sz w:val="21"/>
                <w:szCs w:val="21"/>
                <w:highlight w:val="none"/>
              </w:rPr>
            </w:pPr>
            <w:r>
              <w:rPr>
                <w:rFonts w:hint="eastAsia" w:hAnsi="宋体"/>
                <w:b/>
                <w:color w:val="auto"/>
                <w:sz w:val="21"/>
                <w:szCs w:val="21"/>
                <w:highlight w:val="none"/>
              </w:rPr>
              <w:t>序号</w:t>
            </w:r>
          </w:p>
        </w:tc>
        <w:tc>
          <w:tcPr>
            <w:tcW w:w="3406" w:type="dxa"/>
            <w:vAlign w:val="center"/>
          </w:tcPr>
          <w:p w14:paraId="1FFD4E35">
            <w:pPr>
              <w:spacing w:line="280" w:lineRule="exact"/>
              <w:jc w:val="center"/>
              <w:rPr>
                <w:rFonts w:hint="eastAsia" w:hAnsi="宋体"/>
                <w:b/>
                <w:color w:val="auto"/>
                <w:sz w:val="21"/>
                <w:szCs w:val="21"/>
                <w:highlight w:val="none"/>
              </w:rPr>
            </w:pPr>
            <w:r>
              <w:rPr>
                <w:rFonts w:hint="eastAsia"/>
                <w:b/>
                <w:color w:val="auto"/>
                <w:sz w:val="21"/>
                <w:szCs w:val="21"/>
                <w:highlight w:val="none"/>
              </w:rPr>
              <w:t>项目</w:t>
            </w:r>
            <w:r>
              <w:rPr>
                <w:b/>
                <w:color w:val="auto"/>
                <w:sz w:val="21"/>
                <w:szCs w:val="21"/>
                <w:highlight w:val="none"/>
              </w:rPr>
              <w:t>名称</w:t>
            </w:r>
          </w:p>
        </w:tc>
        <w:tc>
          <w:tcPr>
            <w:tcW w:w="5846" w:type="dxa"/>
            <w:vAlign w:val="center"/>
          </w:tcPr>
          <w:p w14:paraId="1F0249F9">
            <w:pPr>
              <w:spacing w:line="280" w:lineRule="exact"/>
              <w:jc w:val="center"/>
              <w:rPr>
                <w:rFonts w:hint="eastAsia" w:hAnsi="宋体"/>
                <w:b/>
                <w:color w:val="auto"/>
                <w:sz w:val="21"/>
                <w:szCs w:val="21"/>
                <w:highlight w:val="none"/>
              </w:rPr>
            </w:pPr>
            <w:r>
              <w:rPr>
                <w:rFonts w:hint="eastAsia" w:hAnsi="宋体"/>
                <w:b/>
                <w:color w:val="auto"/>
                <w:sz w:val="21"/>
                <w:szCs w:val="21"/>
                <w:highlight w:val="none"/>
              </w:rPr>
              <w:t>保山市加油站流量数据采集系统建设安装项目</w:t>
            </w:r>
          </w:p>
        </w:tc>
      </w:tr>
      <w:tr w14:paraId="18FE3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720" w:type="dxa"/>
            <w:vAlign w:val="center"/>
          </w:tcPr>
          <w:p w14:paraId="28D5CA8B">
            <w:pPr>
              <w:spacing w:line="280" w:lineRule="exact"/>
              <w:jc w:val="center"/>
              <w:rPr>
                <w:rFonts w:hint="eastAsia" w:hAnsi="宋体"/>
                <w:color w:val="auto"/>
                <w:sz w:val="21"/>
                <w:szCs w:val="21"/>
                <w:highlight w:val="none"/>
              </w:rPr>
            </w:pPr>
            <w:r>
              <w:rPr>
                <w:rFonts w:hint="eastAsia" w:hAnsi="宋体"/>
                <w:color w:val="auto"/>
                <w:sz w:val="21"/>
                <w:szCs w:val="21"/>
                <w:highlight w:val="none"/>
              </w:rPr>
              <w:t>1</w:t>
            </w:r>
          </w:p>
        </w:tc>
        <w:tc>
          <w:tcPr>
            <w:tcW w:w="3406" w:type="dxa"/>
            <w:vAlign w:val="center"/>
          </w:tcPr>
          <w:p w14:paraId="049EB4DB">
            <w:pPr>
              <w:spacing w:line="280" w:lineRule="exact"/>
              <w:jc w:val="left"/>
              <w:rPr>
                <w:rFonts w:hint="eastAsia" w:hAnsi="宋体"/>
                <w:color w:val="auto"/>
                <w:sz w:val="21"/>
                <w:szCs w:val="21"/>
                <w:highlight w:val="none"/>
              </w:rPr>
            </w:pPr>
            <w:r>
              <w:rPr>
                <w:rFonts w:hint="eastAsia" w:hAnsi="宋体"/>
                <w:color w:val="auto"/>
                <w:sz w:val="21"/>
                <w:szCs w:val="21"/>
                <w:highlight w:val="none"/>
              </w:rPr>
              <w:t>投标报价总价（元）</w:t>
            </w:r>
          </w:p>
        </w:tc>
        <w:tc>
          <w:tcPr>
            <w:tcW w:w="5846" w:type="dxa"/>
            <w:vAlign w:val="center"/>
          </w:tcPr>
          <w:p w14:paraId="6C15CC22">
            <w:pPr>
              <w:spacing w:line="280" w:lineRule="exact"/>
              <w:jc w:val="center"/>
              <w:rPr>
                <w:rFonts w:hint="eastAsia" w:hAnsi="宋体"/>
                <w:color w:val="auto"/>
                <w:sz w:val="21"/>
                <w:szCs w:val="21"/>
                <w:highlight w:val="none"/>
              </w:rPr>
            </w:pPr>
          </w:p>
        </w:tc>
      </w:tr>
      <w:tr w14:paraId="12CB0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720" w:type="dxa"/>
            <w:vAlign w:val="center"/>
          </w:tcPr>
          <w:p w14:paraId="5A7D0B39">
            <w:pPr>
              <w:spacing w:line="280" w:lineRule="exact"/>
              <w:jc w:val="center"/>
              <w:rPr>
                <w:rFonts w:hint="eastAsia" w:hAnsi="宋体"/>
                <w:color w:val="auto"/>
                <w:sz w:val="21"/>
                <w:szCs w:val="21"/>
                <w:highlight w:val="none"/>
              </w:rPr>
            </w:pPr>
            <w:r>
              <w:rPr>
                <w:rFonts w:hint="eastAsia" w:hAnsi="宋体"/>
                <w:color w:val="auto"/>
                <w:sz w:val="21"/>
                <w:szCs w:val="21"/>
                <w:highlight w:val="none"/>
              </w:rPr>
              <w:t>2</w:t>
            </w:r>
          </w:p>
        </w:tc>
        <w:tc>
          <w:tcPr>
            <w:tcW w:w="3406" w:type="dxa"/>
            <w:vAlign w:val="center"/>
          </w:tcPr>
          <w:p w14:paraId="447609E4">
            <w:pPr>
              <w:spacing w:line="280" w:lineRule="exact"/>
              <w:jc w:val="left"/>
              <w:rPr>
                <w:rFonts w:hint="eastAsia" w:hAnsi="宋体"/>
                <w:color w:val="auto"/>
                <w:sz w:val="21"/>
                <w:szCs w:val="21"/>
                <w:highlight w:val="none"/>
              </w:rPr>
            </w:pPr>
            <w:r>
              <w:rPr>
                <w:rFonts w:hint="eastAsia" w:hAnsi="宋体"/>
                <w:color w:val="auto"/>
                <w:sz w:val="21"/>
                <w:szCs w:val="21"/>
                <w:highlight w:val="none"/>
              </w:rPr>
              <w:t>合同履行期限</w:t>
            </w:r>
          </w:p>
        </w:tc>
        <w:tc>
          <w:tcPr>
            <w:tcW w:w="5846" w:type="dxa"/>
            <w:vAlign w:val="center"/>
          </w:tcPr>
          <w:p w14:paraId="20651F19">
            <w:pPr>
              <w:spacing w:line="280" w:lineRule="exact"/>
              <w:jc w:val="center"/>
              <w:rPr>
                <w:rFonts w:hint="eastAsia" w:hAnsi="宋体"/>
                <w:color w:val="auto"/>
                <w:sz w:val="21"/>
                <w:szCs w:val="21"/>
                <w:highlight w:val="none"/>
              </w:rPr>
            </w:pPr>
          </w:p>
        </w:tc>
      </w:tr>
      <w:tr w14:paraId="2D497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720" w:type="dxa"/>
            <w:vAlign w:val="center"/>
          </w:tcPr>
          <w:p w14:paraId="70E047DF">
            <w:pPr>
              <w:spacing w:line="280" w:lineRule="exact"/>
              <w:jc w:val="center"/>
              <w:rPr>
                <w:rFonts w:hint="eastAsia" w:hAnsi="宋体"/>
                <w:color w:val="auto"/>
                <w:sz w:val="21"/>
                <w:szCs w:val="21"/>
                <w:highlight w:val="none"/>
              </w:rPr>
            </w:pPr>
            <w:r>
              <w:rPr>
                <w:rFonts w:hint="eastAsia" w:hAnsi="宋体"/>
                <w:color w:val="auto"/>
                <w:sz w:val="21"/>
                <w:szCs w:val="21"/>
                <w:highlight w:val="none"/>
              </w:rPr>
              <w:t>3</w:t>
            </w:r>
          </w:p>
        </w:tc>
        <w:tc>
          <w:tcPr>
            <w:tcW w:w="3406" w:type="dxa"/>
            <w:vAlign w:val="center"/>
          </w:tcPr>
          <w:p w14:paraId="24F7661F">
            <w:pPr>
              <w:spacing w:line="280" w:lineRule="exact"/>
              <w:jc w:val="left"/>
              <w:rPr>
                <w:rFonts w:hint="eastAsia" w:hAnsi="宋体"/>
                <w:color w:val="auto"/>
                <w:sz w:val="21"/>
                <w:szCs w:val="21"/>
                <w:highlight w:val="none"/>
              </w:rPr>
            </w:pPr>
            <w:r>
              <w:rPr>
                <w:rFonts w:hint="eastAsia" w:hAnsi="宋体"/>
                <w:color w:val="auto"/>
                <w:sz w:val="21"/>
                <w:szCs w:val="21"/>
                <w:highlight w:val="none"/>
              </w:rPr>
              <w:t>项目服务质量承诺</w:t>
            </w:r>
          </w:p>
        </w:tc>
        <w:tc>
          <w:tcPr>
            <w:tcW w:w="5846" w:type="dxa"/>
            <w:vAlign w:val="center"/>
          </w:tcPr>
          <w:p w14:paraId="2B8A3C8A">
            <w:pPr>
              <w:spacing w:line="280" w:lineRule="exact"/>
              <w:jc w:val="center"/>
              <w:rPr>
                <w:rFonts w:hint="eastAsia" w:hAnsi="宋体"/>
                <w:color w:val="auto"/>
                <w:sz w:val="21"/>
                <w:szCs w:val="21"/>
                <w:highlight w:val="none"/>
              </w:rPr>
            </w:pPr>
          </w:p>
        </w:tc>
      </w:tr>
      <w:tr w14:paraId="4FA45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720" w:type="dxa"/>
            <w:vAlign w:val="center"/>
          </w:tcPr>
          <w:p w14:paraId="0C834150">
            <w:pPr>
              <w:spacing w:line="280" w:lineRule="exact"/>
              <w:jc w:val="center"/>
              <w:rPr>
                <w:rFonts w:hint="eastAsia" w:hAnsi="宋体"/>
                <w:color w:val="auto"/>
                <w:sz w:val="21"/>
                <w:szCs w:val="21"/>
                <w:highlight w:val="none"/>
              </w:rPr>
            </w:pPr>
            <w:r>
              <w:rPr>
                <w:rFonts w:hint="eastAsia" w:hAnsi="宋体"/>
                <w:color w:val="auto"/>
                <w:sz w:val="21"/>
                <w:szCs w:val="21"/>
                <w:highlight w:val="none"/>
              </w:rPr>
              <w:t>4</w:t>
            </w:r>
          </w:p>
        </w:tc>
        <w:tc>
          <w:tcPr>
            <w:tcW w:w="3406" w:type="dxa"/>
            <w:vAlign w:val="center"/>
          </w:tcPr>
          <w:p w14:paraId="06AE7EFE">
            <w:pPr>
              <w:spacing w:line="280" w:lineRule="exact"/>
              <w:jc w:val="left"/>
              <w:rPr>
                <w:rFonts w:hint="eastAsia" w:hAnsi="宋体"/>
                <w:color w:val="auto"/>
                <w:sz w:val="21"/>
                <w:szCs w:val="21"/>
                <w:highlight w:val="none"/>
              </w:rPr>
            </w:pPr>
            <w:r>
              <w:rPr>
                <w:rFonts w:hint="eastAsia" w:hAnsi="宋体"/>
                <w:color w:val="auto"/>
                <w:sz w:val="21"/>
                <w:szCs w:val="21"/>
                <w:highlight w:val="none"/>
              </w:rPr>
              <w:t>售后运维服务期限</w:t>
            </w:r>
          </w:p>
        </w:tc>
        <w:tc>
          <w:tcPr>
            <w:tcW w:w="5846" w:type="dxa"/>
            <w:vAlign w:val="center"/>
          </w:tcPr>
          <w:p w14:paraId="03135363">
            <w:pPr>
              <w:spacing w:line="280" w:lineRule="exact"/>
              <w:jc w:val="center"/>
              <w:rPr>
                <w:rFonts w:hint="eastAsia" w:hAnsi="宋体"/>
                <w:color w:val="auto"/>
                <w:sz w:val="21"/>
                <w:szCs w:val="21"/>
                <w:highlight w:val="none"/>
              </w:rPr>
            </w:pPr>
          </w:p>
        </w:tc>
      </w:tr>
      <w:tr w14:paraId="4B878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720" w:type="dxa"/>
            <w:vAlign w:val="center"/>
          </w:tcPr>
          <w:p w14:paraId="70DCF491">
            <w:pPr>
              <w:spacing w:line="280" w:lineRule="exact"/>
              <w:jc w:val="center"/>
              <w:rPr>
                <w:rFonts w:hint="eastAsia" w:hAnsi="宋体"/>
                <w:color w:val="auto"/>
                <w:sz w:val="21"/>
                <w:szCs w:val="21"/>
                <w:highlight w:val="none"/>
              </w:rPr>
            </w:pPr>
            <w:r>
              <w:rPr>
                <w:rFonts w:hint="eastAsia" w:hAnsi="宋体"/>
                <w:color w:val="auto"/>
                <w:sz w:val="21"/>
                <w:szCs w:val="21"/>
                <w:highlight w:val="none"/>
              </w:rPr>
              <w:t>5</w:t>
            </w:r>
          </w:p>
        </w:tc>
        <w:tc>
          <w:tcPr>
            <w:tcW w:w="3406" w:type="dxa"/>
            <w:vAlign w:val="center"/>
          </w:tcPr>
          <w:p w14:paraId="2CEFD1DB">
            <w:pPr>
              <w:spacing w:line="280" w:lineRule="exact"/>
              <w:jc w:val="left"/>
              <w:rPr>
                <w:rFonts w:hint="eastAsia" w:hAnsi="宋体"/>
                <w:color w:val="auto"/>
                <w:sz w:val="21"/>
                <w:szCs w:val="21"/>
                <w:highlight w:val="none"/>
              </w:rPr>
            </w:pPr>
            <w:r>
              <w:rPr>
                <w:rFonts w:hint="eastAsia" w:hAnsi="宋体"/>
                <w:color w:val="auto"/>
                <w:sz w:val="21"/>
                <w:szCs w:val="21"/>
                <w:highlight w:val="none"/>
              </w:rPr>
              <w:t>项目负责人</w:t>
            </w:r>
          </w:p>
        </w:tc>
        <w:tc>
          <w:tcPr>
            <w:tcW w:w="5846" w:type="dxa"/>
            <w:vAlign w:val="center"/>
          </w:tcPr>
          <w:p w14:paraId="2838F2AE">
            <w:pPr>
              <w:spacing w:line="280" w:lineRule="exact"/>
              <w:jc w:val="center"/>
              <w:rPr>
                <w:rFonts w:hint="eastAsia" w:hAnsi="宋体"/>
                <w:color w:val="auto"/>
                <w:sz w:val="21"/>
                <w:szCs w:val="21"/>
                <w:highlight w:val="none"/>
              </w:rPr>
            </w:pPr>
          </w:p>
        </w:tc>
      </w:tr>
      <w:tr w14:paraId="700B8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720" w:type="dxa"/>
            <w:vAlign w:val="center"/>
          </w:tcPr>
          <w:p w14:paraId="3503C70C">
            <w:pPr>
              <w:spacing w:line="280" w:lineRule="exact"/>
              <w:jc w:val="center"/>
              <w:rPr>
                <w:rFonts w:hint="eastAsia" w:hAnsi="宋体"/>
                <w:color w:val="auto"/>
                <w:sz w:val="21"/>
                <w:szCs w:val="21"/>
                <w:highlight w:val="none"/>
              </w:rPr>
            </w:pPr>
            <w:r>
              <w:rPr>
                <w:rFonts w:hint="eastAsia" w:hAnsi="宋体"/>
                <w:color w:val="auto"/>
                <w:sz w:val="21"/>
                <w:szCs w:val="21"/>
                <w:highlight w:val="none"/>
              </w:rPr>
              <w:t>6</w:t>
            </w:r>
          </w:p>
        </w:tc>
        <w:tc>
          <w:tcPr>
            <w:tcW w:w="3406" w:type="dxa"/>
            <w:vAlign w:val="center"/>
          </w:tcPr>
          <w:p w14:paraId="488E1591">
            <w:pPr>
              <w:spacing w:line="280" w:lineRule="exact"/>
              <w:jc w:val="left"/>
              <w:rPr>
                <w:rFonts w:hint="eastAsia" w:hAnsi="宋体"/>
                <w:color w:val="auto"/>
                <w:sz w:val="21"/>
                <w:szCs w:val="21"/>
                <w:highlight w:val="none"/>
              </w:rPr>
            </w:pPr>
            <w:r>
              <w:rPr>
                <w:rFonts w:hint="eastAsia" w:hAnsi="宋体"/>
                <w:color w:val="auto"/>
                <w:sz w:val="21"/>
                <w:szCs w:val="21"/>
                <w:highlight w:val="none"/>
              </w:rPr>
              <w:t>投标保证金金额及缴纳形式（元）</w:t>
            </w:r>
          </w:p>
        </w:tc>
        <w:tc>
          <w:tcPr>
            <w:tcW w:w="5846" w:type="dxa"/>
            <w:vAlign w:val="center"/>
          </w:tcPr>
          <w:p w14:paraId="7AA749B6">
            <w:pPr>
              <w:spacing w:line="280" w:lineRule="exact"/>
              <w:jc w:val="center"/>
              <w:rPr>
                <w:rFonts w:hint="eastAsia" w:hAnsi="宋体"/>
                <w:color w:val="auto"/>
                <w:sz w:val="21"/>
                <w:szCs w:val="21"/>
                <w:highlight w:val="none"/>
              </w:rPr>
            </w:pPr>
          </w:p>
        </w:tc>
      </w:tr>
      <w:tr w14:paraId="1486C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720" w:type="dxa"/>
            <w:vAlign w:val="center"/>
          </w:tcPr>
          <w:p w14:paraId="26039546">
            <w:pPr>
              <w:spacing w:line="280" w:lineRule="exact"/>
              <w:jc w:val="center"/>
              <w:rPr>
                <w:rFonts w:hint="eastAsia" w:hAnsi="宋体"/>
                <w:color w:val="auto"/>
                <w:sz w:val="21"/>
                <w:szCs w:val="21"/>
                <w:highlight w:val="none"/>
              </w:rPr>
            </w:pPr>
            <w:r>
              <w:rPr>
                <w:rFonts w:hint="eastAsia" w:hAnsi="宋体"/>
                <w:color w:val="auto"/>
                <w:sz w:val="21"/>
                <w:szCs w:val="21"/>
                <w:highlight w:val="none"/>
              </w:rPr>
              <w:t>7</w:t>
            </w:r>
          </w:p>
        </w:tc>
        <w:tc>
          <w:tcPr>
            <w:tcW w:w="9252" w:type="dxa"/>
            <w:gridSpan w:val="2"/>
            <w:vAlign w:val="center"/>
          </w:tcPr>
          <w:p w14:paraId="409B975A">
            <w:pPr>
              <w:spacing w:line="280" w:lineRule="exact"/>
              <w:jc w:val="left"/>
              <w:rPr>
                <w:rFonts w:hint="eastAsia" w:hAnsi="宋体"/>
                <w:color w:val="auto"/>
                <w:sz w:val="21"/>
                <w:szCs w:val="21"/>
                <w:highlight w:val="none"/>
              </w:rPr>
            </w:pPr>
            <w:r>
              <w:rPr>
                <w:rFonts w:hint="eastAsia" w:hAnsi="宋体"/>
                <w:color w:val="auto"/>
                <w:sz w:val="21"/>
                <w:szCs w:val="21"/>
                <w:highlight w:val="none"/>
              </w:rPr>
              <w:t>备注：</w:t>
            </w:r>
          </w:p>
        </w:tc>
      </w:tr>
    </w:tbl>
    <w:p w14:paraId="2D419E42">
      <w:pPr>
        <w:spacing w:line="480" w:lineRule="exact"/>
        <w:ind w:firstLine="422" w:firstLineChars="200"/>
        <w:rPr>
          <w:rFonts w:hint="eastAsia" w:hAnsi="宋体"/>
          <w:b/>
          <w:color w:val="auto"/>
          <w:sz w:val="21"/>
          <w:szCs w:val="21"/>
          <w:highlight w:val="none"/>
        </w:rPr>
      </w:pPr>
      <w:r>
        <w:rPr>
          <w:rFonts w:hint="eastAsia" w:hAnsi="宋体"/>
          <w:b/>
          <w:color w:val="auto"/>
          <w:sz w:val="21"/>
          <w:szCs w:val="21"/>
          <w:highlight w:val="none"/>
        </w:rPr>
        <w:t>注：投标报价保留2位小数。</w:t>
      </w:r>
    </w:p>
    <w:p w14:paraId="630850AD">
      <w:pPr>
        <w:spacing w:line="720" w:lineRule="exact"/>
        <w:rPr>
          <w:rFonts w:hint="eastAsia" w:hAnsi="宋体"/>
          <w:color w:val="auto"/>
          <w:sz w:val="21"/>
          <w:szCs w:val="21"/>
          <w:highlight w:val="none"/>
        </w:rPr>
      </w:pPr>
    </w:p>
    <w:p w14:paraId="6CA2B5A5">
      <w:pPr>
        <w:spacing w:before="60" w:after="60" w:line="360" w:lineRule="auto"/>
        <w:rPr>
          <w:rFonts w:hint="eastAsia" w:hAnsi="宋体" w:cs="宋体"/>
          <w:color w:val="auto"/>
          <w:sz w:val="21"/>
          <w:szCs w:val="21"/>
          <w:highlight w:val="none"/>
        </w:rPr>
      </w:pPr>
      <w:r>
        <w:rPr>
          <w:rFonts w:hint="eastAsia" w:hAnsi="宋体" w:cs="宋体"/>
          <w:color w:val="auto"/>
          <w:sz w:val="21"/>
          <w:szCs w:val="21"/>
          <w:highlight w:val="none"/>
        </w:rPr>
        <w:t>投标人（盖单位公章）：______________</w:t>
      </w:r>
    </w:p>
    <w:p w14:paraId="1A591B8E">
      <w:pPr>
        <w:spacing w:before="60" w:after="60" w:line="360" w:lineRule="auto"/>
        <w:rPr>
          <w:rFonts w:hint="eastAsia" w:hAnsi="宋体" w:cs="宋体"/>
          <w:color w:val="auto"/>
          <w:sz w:val="21"/>
          <w:szCs w:val="21"/>
          <w:highlight w:val="none"/>
        </w:rPr>
      </w:pPr>
      <w:r>
        <w:rPr>
          <w:rFonts w:hint="eastAsia" w:hAnsi="宋体" w:cs="宋体"/>
          <w:color w:val="auto"/>
          <w:sz w:val="21"/>
          <w:szCs w:val="21"/>
          <w:highlight w:val="none"/>
        </w:rPr>
        <w:t>法定代表人（负责人）或委托代理人（签字或盖章）：________</w:t>
      </w:r>
    </w:p>
    <w:p w14:paraId="45DA01BE">
      <w:pPr>
        <w:spacing w:before="60" w:after="60" w:line="360" w:lineRule="auto"/>
        <w:rPr>
          <w:rFonts w:hint="eastAsia" w:hAnsi="宋体"/>
          <w:color w:val="auto"/>
          <w:sz w:val="21"/>
          <w:szCs w:val="21"/>
          <w:highlight w:val="none"/>
        </w:rPr>
      </w:pPr>
      <w:r>
        <w:rPr>
          <w:rFonts w:hint="eastAsia" w:hAnsi="宋体" w:cs="宋体"/>
          <w:color w:val="auto"/>
          <w:sz w:val="21"/>
          <w:szCs w:val="21"/>
          <w:highlight w:val="none"/>
        </w:rPr>
        <w:t>日期：________年_____月_____日</w:t>
      </w:r>
    </w:p>
    <w:p w14:paraId="128BB4F3">
      <w:pPr>
        <w:spacing w:line="720" w:lineRule="exact"/>
        <w:rPr>
          <w:rFonts w:hint="eastAsia" w:hAnsi="宋体"/>
          <w:color w:val="auto"/>
          <w:highlight w:val="none"/>
        </w:rPr>
      </w:pPr>
      <w:r>
        <w:rPr>
          <w:rFonts w:hAnsi="宋体"/>
          <w:color w:val="auto"/>
          <w:highlight w:val="none"/>
        </w:rPr>
        <w:br w:type="page"/>
      </w:r>
    </w:p>
    <w:p w14:paraId="0257C32D">
      <w:pPr>
        <w:keepNext/>
        <w:jc w:val="center"/>
        <w:rPr>
          <w:rStyle w:val="75"/>
          <w:color w:val="auto"/>
          <w:highlight w:val="none"/>
        </w:rPr>
      </w:pPr>
      <w:bookmarkStart w:id="67" w:name="_Toc30786"/>
      <w:r>
        <w:rPr>
          <w:rStyle w:val="75"/>
          <w:rFonts w:hint="eastAsia"/>
          <w:color w:val="auto"/>
          <w:highlight w:val="none"/>
        </w:rPr>
        <w:t>（三）投标报价详细说明</w:t>
      </w:r>
    </w:p>
    <w:bookmarkEnd w:id="67"/>
    <w:p w14:paraId="4CDF38E9">
      <w:pPr>
        <w:rPr>
          <w:rFonts w:hint="eastAsia" w:hAnsi="宋体"/>
          <w:color w:val="auto"/>
          <w:sz w:val="24"/>
          <w:szCs w:val="24"/>
          <w:highlight w:val="none"/>
        </w:rPr>
      </w:pPr>
    </w:p>
    <w:p w14:paraId="6F7C82C4">
      <w:pPr>
        <w:spacing w:line="360" w:lineRule="auto"/>
        <w:rPr>
          <w:rFonts w:hint="eastAsia" w:hAnsi="宋体" w:cs="宋体"/>
          <w:color w:val="auto"/>
          <w:sz w:val="21"/>
          <w:szCs w:val="21"/>
          <w:highlight w:val="none"/>
        </w:rPr>
      </w:pPr>
      <w:r>
        <w:rPr>
          <w:rFonts w:hint="eastAsia" w:hAnsi="宋体"/>
          <w:b/>
          <w:bCs/>
          <w:color w:val="auto"/>
          <w:sz w:val="21"/>
          <w:szCs w:val="21"/>
          <w:highlight w:val="none"/>
        </w:rPr>
        <w:t xml:space="preserve">项目名称：                  项目编号：           </w:t>
      </w:r>
    </w:p>
    <w:tbl>
      <w:tblPr>
        <w:tblStyle w:val="39"/>
        <w:tblW w:w="95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9"/>
        <w:gridCol w:w="1550"/>
        <w:gridCol w:w="1700"/>
        <w:gridCol w:w="1592"/>
        <w:gridCol w:w="725"/>
        <w:gridCol w:w="1040"/>
        <w:gridCol w:w="1642"/>
        <w:gridCol w:w="736"/>
      </w:tblGrid>
      <w:tr w14:paraId="09C14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6" w:hRule="atLeast"/>
        </w:trPr>
        <w:tc>
          <w:tcPr>
            <w:tcW w:w="539" w:type="dxa"/>
            <w:shd w:val="clear" w:color="auto" w:fill="auto"/>
            <w:vAlign w:val="center"/>
          </w:tcPr>
          <w:p w14:paraId="724B9AD2">
            <w:pPr>
              <w:widowControl/>
              <w:jc w:val="cente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序号</w:t>
            </w:r>
          </w:p>
        </w:tc>
        <w:tc>
          <w:tcPr>
            <w:tcW w:w="1550" w:type="dxa"/>
            <w:shd w:val="clear" w:color="auto" w:fill="auto"/>
            <w:vAlign w:val="center"/>
          </w:tcPr>
          <w:p w14:paraId="2FCB3A9B">
            <w:pPr>
              <w:widowControl/>
              <w:jc w:val="cente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项目服务工作名称</w:t>
            </w:r>
          </w:p>
        </w:tc>
        <w:tc>
          <w:tcPr>
            <w:tcW w:w="1700" w:type="dxa"/>
            <w:shd w:val="clear" w:color="auto" w:fill="auto"/>
            <w:vAlign w:val="center"/>
          </w:tcPr>
          <w:p w14:paraId="0B424796">
            <w:pPr>
              <w:widowControl/>
              <w:jc w:val="cente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开展相应服务工作主要工作内容</w:t>
            </w:r>
          </w:p>
        </w:tc>
        <w:tc>
          <w:tcPr>
            <w:tcW w:w="1592" w:type="dxa"/>
            <w:shd w:val="clear" w:color="auto" w:fill="auto"/>
            <w:vAlign w:val="center"/>
          </w:tcPr>
          <w:p w14:paraId="1581E291">
            <w:pPr>
              <w:widowControl/>
              <w:jc w:val="cente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全费用单价（元）</w:t>
            </w:r>
          </w:p>
        </w:tc>
        <w:tc>
          <w:tcPr>
            <w:tcW w:w="725" w:type="dxa"/>
            <w:shd w:val="clear" w:color="auto" w:fill="auto"/>
            <w:vAlign w:val="center"/>
          </w:tcPr>
          <w:p w14:paraId="37F0846B">
            <w:pPr>
              <w:widowControl/>
              <w:jc w:val="cente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单位</w:t>
            </w:r>
          </w:p>
        </w:tc>
        <w:tc>
          <w:tcPr>
            <w:tcW w:w="1040" w:type="dxa"/>
            <w:shd w:val="clear" w:color="auto" w:fill="auto"/>
            <w:vAlign w:val="center"/>
          </w:tcPr>
          <w:p w14:paraId="29A5E087">
            <w:pPr>
              <w:widowControl/>
              <w:jc w:val="cente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数量</w:t>
            </w:r>
          </w:p>
        </w:tc>
        <w:tc>
          <w:tcPr>
            <w:tcW w:w="1642" w:type="dxa"/>
            <w:shd w:val="clear" w:color="auto" w:fill="auto"/>
            <w:vAlign w:val="center"/>
          </w:tcPr>
          <w:p w14:paraId="33EB4762">
            <w:pPr>
              <w:widowControl/>
              <w:jc w:val="cente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总价（元）</w:t>
            </w:r>
          </w:p>
        </w:tc>
        <w:tc>
          <w:tcPr>
            <w:tcW w:w="736" w:type="dxa"/>
            <w:shd w:val="clear" w:color="auto" w:fill="auto"/>
            <w:vAlign w:val="center"/>
          </w:tcPr>
          <w:p w14:paraId="1C73A2D5">
            <w:pPr>
              <w:widowControl/>
              <w:jc w:val="cente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备注</w:t>
            </w:r>
          </w:p>
        </w:tc>
      </w:tr>
      <w:tr w14:paraId="35F5B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2089" w:type="dxa"/>
            <w:gridSpan w:val="2"/>
            <w:shd w:val="clear" w:color="auto" w:fill="auto"/>
            <w:vAlign w:val="center"/>
          </w:tcPr>
          <w:p w14:paraId="24D6F940">
            <w:pPr>
              <w:widowControl/>
              <w:jc w:val="lef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一、                                  </w:t>
            </w:r>
          </w:p>
        </w:tc>
        <w:tc>
          <w:tcPr>
            <w:tcW w:w="1700" w:type="dxa"/>
            <w:shd w:val="clear" w:color="auto" w:fill="auto"/>
            <w:vAlign w:val="center"/>
          </w:tcPr>
          <w:p w14:paraId="4C52428B">
            <w:pPr>
              <w:widowControl/>
              <w:jc w:val="left"/>
              <w:rPr>
                <w:rFonts w:hint="eastAsia" w:asciiTheme="minorEastAsia" w:hAnsiTheme="minorEastAsia" w:eastAsiaTheme="minorEastAsia" w:cstheme="minorEastAsia"/>
                <w:bCs/>
                <w:color w:val="auto"/>
                <w:sz w:val="21"/>
                <w:szCs w:val="21"/>
                <w:highlight w:val="none"/>
              </w:rPr>
            </w:pPr>
          </w:p>
        </w:tc>
        <w:tc>
          <w:tcPr>
            <w:tcW w:w="1592" w:type="dxa"/>
            <w:shd w:val="clear" w:color="auto" w:fill="auto"/>
            <w:vAlign w:val="center"/>
          </w:tcPr>
          <w:p w14:paraId="36BDDE56">
            <w:pPr>
              <w:widowControl/>
              <w:jc w:val="left"/>
              <w:rPr>
                <w:rFonts w:hint="eastAsia" w:asciiTheme="minorEastAsia" w:hAnsiTheme="minorEastAsia" w:eastAsiaTheme="minorEastAsia" w:cstheme="minorEastAsia"/>
                <w:color w:val="auto"/>
                <w:sz w:val="21"/>
                <w:szCs w:val="21"/>
                <w:highlight w:val="none"/>
              </w:rPr>
            </w:pPr>
          </w:p>
        </w:tc>
        <w:tc>
          <w:tcPr>
            <w:tcW w:w="725" w:type="dxa"/>
            <w:shd w:val="clear" w:color="auto" w:fill="auto"/>
            <w:vAlign w:val="center"/>
          </w:tcPr>
          <w:p w14:paraId="707FE895">
            <w:pPr>
              <w:widowControl/>
              <w:jc w:val="center"/>
              <w:rPr>
                <w:rFonts w:hint="eastAsia" w:asciiTheme="minorEastAsia" w:hAnsiTheme="minorEastAsia" w:eastAsiaTheme="minorEastAsia" w:cstheme="minorEastAsia"/>
                <w:color w:val="auto"/>
                <w:sz w:val="21"/>
                <w:szCs w:val="21"/>
                <w:highlight w:val="none"/>
              </w:rPr>
            </w:pPr>
          </w:p>
        </w:tc>
        <w:tc>
          <w:tcPr>
            <w:tcW w:w="1040" w:type="dxa"/>
            <w:shd w:val="clear" w:color="auto" w:fill="auto"/>
            <w:vAlign w:val="center"/>
          </w:tcPr>
          <w:p w14:paraId="45D875DD">
            <w:pPr>
              <w:widowControl/>
              <w:jc w:val="center"/>
              <w:rPr>
                <w:rFonts w:hint="eastAsia" w:asciiTheme="minorEastAsia" w:hAnsiTheme="minorEastAsia" w:eastAsiaTheme="minorEastAsia" w:cstheme="minorEastAsia"/>
                <w:color w:val="auto"/>
                <w:sz w:val="21"/>
                <w:szCs w:val="21"/>
                <w:highlight w:val="none"/>
              </w:rPr>
            </w:pPr>
          </w:p>
        </w:tc>
        <w:tc>
          <w:tcPr>
            <w:tcW w:w="1642" w:type="dxa"/>
            <w:shd w:val="clear" w:color="auto" w:fill="auto"/>
            <w:vAlign w:val="center"/>
          </w:tcPr>
          <w:p w14:paraId="2FF94A48">
            <w:pPr>
              <w:widowControl/>
              <w:jc w:val="center"/>
              <w:rPr>
                <w:rFonts w:hint="eastAsia" w:asciiTheme="minorEastAsia" w:hAnsiTheme="minorEastAsia" w:eastAsiaTheme="minorEastAsia" w:cstheme="minorEastAsia"/>
                <w:color w:val="auto"/>
                <w:sz w:val="21"/>
                <w:szCs w:val="21"/>
                <w:highlight w:val="none"/>
              </w:rPr>
            </w:pPr>
          </w:p>
        </w:tc>
        <w:tc>
          <w:tcPr>
            <w:tcW w:w="736" w:type="dxa"/>
            <w:shd w:val="clear" w:color="auto" w:fill="auto"/>
            <w:vAlign w:val="center"/>
          </w:tcPr>
          <w:p w14:paraId="6FE1F05B">
            <w:pPr>
              <w:widowControl/>
              <w:jc w:val="center"/>
              <w:rPr>
                <w:rFonts w:hint="eastAsia" w:asciiTheme="minorEastAsia" w:hAnsiTheme="minorEastAsia" w:eastAsiaTheme="minorEastAsia" w:cstheme="minorEastAsia"/>
                <w:color w:val="auto"/>
                <w:sz w:val="21"/>
                <w:szCs w:val="21"/>
                <w:highlight w:val="none"/>
              </w:rPr>
            </w:pPr>
          </w:p>
        </w:tc>
      </w:tr>
      <w:tr w14:paraId="2759D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539" w:type="dxa"/>
            <w:shd w:val="clear" w:color="auto" w:fill="auto"/>
            <w:vAlign w:val="center"/>
          </w:tcPr>
          <w:p w14:paraId="05884A2F">
            <w:pPr>
              <w:widowControl/>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p>
        </w:tc>
        <w:tc>
          <w:tcPr>
            <w:tcW w:w="1550" w:type="dxa"/>
            <w:shd w:val="clear" w:color="auto" w:fill="auto"/>
            <w:vAlign w:val="center"/>
          </w:tcPr>
          <w:p w14:paraId="4BD3DF9E">
            <w:pPr>
              <w:widowControl/>
              <w:jc w:val="center"/>
              <w:rPr>
                <w:rFonts w:hint="eastAsia" w:asciiTheme="minorEastAsia" w:hAnsiTheme="minorEastAsia" w:eastAsiaTheme="minorEastAsia" w:cstheme="minorEastAsia"/>
                <w:color w:val="auto"/>
                <w:sz w:val="21"/>
                <w:szCs w:val="21"/>
                <w:highlight w:val="none"/>
              </w:rPr>
            </w:pPr>
          </w:p>
        </w:tc>
        <w:tc>
          <w:tcPr>
            <w:tcW w:w="1700" w:type="dxa"/>
            <w:shd w:val="clear" w:color="auto" w:fill="auto"/>
            <w:vAlign w:val="center"/>
          </w:tcPr>
          <w:p w14:paraId="58564AC4">
            <w:pPr>
              <w:widowControl/>
              <w:jc w:val="center"/>
              <w:rPr>
                <w:rFonts w:hint="eastAsia" w:asciiTheme="minorEastAsia" w:hAnsiTheme="minorEastAsia" w:eastAsiaTheme="minorEastAsia" w:cstheme="minorEastAsia"/>
                <w:color w:val="auto"/>
                <w:sz w:val="21"/>
                <w:szCs w:val="21"/>
                <w:highlight w:val="none"/>
              </w:rPr>
            </w:pPr>
          </w:p>
        </w:tc>
        <w:tc>
          <w:tcPr>
            <w:tcW w:w="1592" w:type="dxa"/>
            <w:shd w:val="clear" w:color="auto" w:fill="auto"/>
            <w:vAlign w:val="center"/>
          </w:tcPr>
          <w:p w14:paraId="32C762A9">
            <w:pPr>
              <w:widowControl/>
              <w:jc w:val="center"/>
              <w:rPr>
                <w:rFonts w:hint="eastAsia" w:asciiTheme="minorEastAsia" w:hAnsiTheme="minorEastAsia" w:eastAsiaTheme="minorEastAsia" w:cstheme="minorEastAsia"/>
                <w:color w:val="auto"/>
                <w:sz w:val="21"/>
                <w:szCs w:val="21"/>
                <w:highlight w:val="none"/>
              </w:rPr>
            </w:pPr>
          </w:p>
        </w:tc>
        <w:tc>
          <w:tcPr>
            <w:tcW w:w="725" w:type="dxa"/>
            <w:shd w:val="clear" w:color="auto" w:fill="auto"/>
            <w:vAlign w:val="center"/>
          </w:tcPr>
          <w:p w14:paraId="5FEB15DB">
            <w:pPr>
              <w:widowControl/>
              <w:jc w:val="center"/>
              <w:rPr>
                <w:rFonts w:hint="eastAsia" w:asciiTheme="minorEastAsia" w:hAnsiTheme="minorEastAsia" w:eastAsiaTheme="minorEastAsia" w:cstheme="minorEastAsia"/>
                <w:color w:val="auto"/>
                <w:sz w:val="21"/>
                <w:szCs w:val="21"/>
                <w:highlight w:val="none"/>
              </w:rPr>
            </w:pPr>
          </w:p>
        </w:tc>
        <w:tc>
          <w:tcPr>
            <w:tcW w:w="1040" w:type="dxa"/>
            <w:shd w:val="clear" w:color="auto" w:fill="auto"/>
            <w:vAlign w:val="center"/>
          </w:tcPr>
          <w:p w14:paraId="0CE0F19E">
            <w:pPr>
              <w:widowControl/>
              <w:jc w:val="center"/>
              <w:rPr>
                <w:rFonts w:hint="eastAsia" w:asciiTheme="minorEastAsia" w:hAnsiTheme="minorEastAsia" w:eastAsiaTheme="minorEastAsia" w:cstheme="minorEastAsia"/>
                <w:color w:val="auto"/>
                <w:sz w:val="21"/>
                <w:szCs w:val="21"/>
                <w:highlight w:val="none"/>
              </w:rPr>
            </w:pPr>
          </w:p>
        </w:tc>
        <w:tc>
          <w:tcPr>
            <w:tcW w:w="1642" w:type="dxa"/>
            <w:shd w:val="clear" w:color="auto" w:fill="auto"/>
            <w:vAlign w:val="center"/>
          </w:tcPr>
          <w:p w14:paraId="6E2C8C1D">
            <w:pPr>
              <w:widowControl/>
              <w:jc w:val="center"/>
              <w:rPr>
                <w:rFonts w:hint="eastAsia" w:asciiTheme="minorEastAsia" w:hAnsiTheme="minorEastAsia" w:eastAsiaTheme="minorEastAsia" w:cstheme="minorEastAsia"/>
                <w:color w:val="auto"/>
                <w:sz w:val="21"/>
                <w:szCs w:val="21"/>
                <w:highlight w:val="none"/>
              </w:rPr>
            </w:pPr>
          </w:p>
        </w:tc>
        <w:tc>
          <w:tcPr>
            <w:tcW w:w="736" w:type="dxa"/>
            <w:shd w:val="clear" w:color="auto" w:fill="auto"/>
            <w:vAlign w:val="center"/>
          </w:tcPr>
          <w:p w14:paraId="1568CA7F">
            <w:pPr>
              <w:widowControl/>
              <w:jc w:val="center"/>
              <w:rPr>
                <w:rFonts w:hint="eastAsia" w:asciiTheme="minorEastAsia" w:hAnsiTheme="minorEastAsia" w:eastAsiaTheme="minorEastAsia" w:cstheme="minorEastAsia"/>
                <w:color w:val="auto"/>
                <w:sz w:val="21"/>
                <w:szCs w:val="21"/>
                <w:highlight w:val="none"/>
              </w:rPr>
            </w:pPr>
          </w:p>
        </w:tc>
      </w:tr>
      <w:tr w14:paraId="26F22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539" w:type="dxa"/>
            <w:shd w:val="clear" w:color="auto" w:fill="auto"/>
            <w:vAlign w:val="center"/>
          </w:tcPr>
          <w:p w14:paraId="408D2A6A">
            <w:pPr>
              <w:widowControl/>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w:t>
            </w:r>
          </w:p>
        </w:tc>
        <w:tc>
          <w:tcPr>
            <w:tcW w:w="1550" w:type="dxa"/>
            <w:shd w:val="clear" w:color="auto" w:fill="auto"/>
            <w:vAlign w:val="center"/>
          </w:tcPr>
          <w:p w14:paraId="6AD94E3F">
            <w:pPr>
              <w:widowControl/>
              <w:jc w:val="center"/>
              <w:rPr>
                <w:rFonts w:hint="eastAsia" w:asciiTheme="minorEastAsia" w:hAnsiTheme="minorEastAsia" w:eastAsiaTheme="minorEastAsia" w:cstheme="minorEastAsia"/>
                <w:color w:val="auto"/>
                <w:sz w:val="21"/>
                <w:szCs w:val="21"/>
                <w:highlight w:val="none"/>
              </w:rPr>
            </w:pPr>
          </w:p>
        </w:tc>
        <w:tc>
          <w:tcPr>
            <w:tcW w:w="1700" w:type="dxa"/>
            <w:shd w:val="clear" w:color="auto" w:fill="auto"/>
            <w:vAlign w:val="center"/>
          </w:tcPr>
          <w:p w14:paraId="37D12D91">
            <w:pPr>
              <w:widowControl/>
              <w:jc w:val="center"/>
              <w:rPr>
                <w:rFonts w:hint="eastAsia" w:asciiTheme="minorEastAsia" w:hAnsiTheme="minorEastAsia" w:eastAsiaTheme="minorEastAsia" w:cstheme="minorEastAsia"/>
                <w:color w:val="auto"/>
                <w:sz w:val="21"/>
                <w:szCs w:val="21"/>
                <w:highlight w:val="none"/>
              </w:rPr>
            </w:pPr>
          </w:p>
        </w:tc>
        <w:tc>
          <w:tcPr>
            <w:tcW w:w="1592" w:type="dxa"/>
            <w:shd w:val="clear" w:color="auto" w:fill="auto"/>
            <w:vAlign w:val="center"/>
          </w:tcPr>
          <w:p w14:paraId="3FACEB37">
            <w:pPr>
              <w:widowControl/>
              <w:jc w:val="center"/>
              <w:rPr>
                <w:rFonts w:hint="eastAsia" w:asciiTheme="minorEastAsia" w:hAnsiTheme="minorEastAsia" w:eastAsiaTheme="minorEastAsia" w:cstheme="minorEastAsia"/>
                <w:color w:val="auto"/>
                <w:sz w:val="21"/>
                <w:szCs w:val="21"/>
                <w:highlight w:val="none"/>
              </w:rPr>
            </w:pPr>
          </w:p>
        </w:tc>
        <w:tc>
          <w:tcPr>
            <w:tcW w:w="725" w:type="dxa"/>
            <w:shd w:val="clear" w:color="auto" w:fill="auto"/>
            <w:vAlign w:val="center"/>
          </w:tcPr>
          <w:p w14:paraId="0C1C0D51">
            <w:pPr>
              <w:widowControl/>
              <w:jc w:val="center"/>
              <w:rPr>
                <w:rFonts w:hint="eastAsia" w:asciiTheme="minorEastAsia" w:hAnsiTheme="minorEastAsia" w:eastAsiaTheme="minorEastAsia" w:cstheme="minorEastAsia"/>
                <w:color w:val="auto"/>
                <w:sz w:val="21"/>
                <w:szCs w:val="21"/>
                <w:highlight w:val="none"/>
              </w:rPr>
            </w:pPr>
          </w:p>
        </w:tc>
        <w:tc>
          <w:tcPr>
            <w:tcW w:w="1040" w:type="dxa"/>
            <w:shd w:val="clear" w:color="auto" w:fill="auto"/>
            <w:vAlign w:val="center"/>
          </w:tcPr>
          <w:p w14:paraId="59A2EF67">
            <w:pPr>
              <w:widowControl/>
              <w:jc w:val="center"/>
              <w:rPr>
                <w:rFonts w:hint="eastAsia" w:asciiTheme="minorEastAsia" w:hAnsiTheme="minorEastAsia" w:eastAsiaTheme="minorEastAsia" w:cstheme="minorEastAsia"/>
                <w:color w:val="auto"/>
                <w:sz w:val="21"/>
                <w:szCs w:val="21"/>
                <w:highlight w:val="none"/>
              </w:rPr>
            </w:pPr>
          </w:p>
        </w:tc>
        <w:tc>
          <w:tcPr>
            <w:tcW w:w="1642" w:type="dxa"/>
            <w:shd w:val="clear" w:color="auto" w:fill="auto"/>
            <w:vAlign w:val="center"/>
          </w:tcPr>
          <w:p w14:paraId="7240E53E">
            <w:pPr>
              <w:widowControl/>
              <w:jc w:val="center"/>
              <w:rPr>
                <w:rFonts w:hint="eastAsia" w:asciiTheme="minorEastAsia" w:hAnsiTheme="minorEastAsia" w:eastAsiaTheme="minorEastAsia" w:cstheme="minorEastAsia"/>
                <w:color w:val="auto"/>
                <w:sz w:val="21"/>
                <w:szCs w:val="21"/>
                <w:highlight w:val="none"/>
              </w:rPr>
            </w:pPr>
          </w:p>
        </w:tc>
        <w:tc>
          <w:tcPr>
            <w:tcW w:w="736" w:type="dxa"/>
            <w:shd w:val="clear" w:color="auto" w:fill="auto"/>
            <w:vAlign w:val="center"/>
          </w:tcPr>
          <w:p w14:paraId="3C608C8D">
            <w:pPr>
              <w:widowControl/>
              <w:jc w:val="center"/>
              <w:rPr>
                <w:rFonts w:hint="eastAsia" w:asciiTheme="minorEastAsia" w:hAnsiTheme="minorEastAsia" w:eastAsiaTheme="minorEastAsia" w:cstheme="minorEastAsia"/>
                <w:color w:val="auto"/>
                <w:sz w:val="21"/>
                <w:szCs w:val="21"/>
                <w:highlight w:val="none"/>
              </w:rPr>
            </w:pPr>
          </w:p>
        </w:tc>
      </w:tr>
      <w:tr w14:paraId="1BD91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539" w:type="dxa"/>
            <w:shd w:val="clear" w:color="auto" w:fill="auto"/>
            <w:vAlign w:val="center"/>
          </w:tcPr>
          <w:p w14:paraId="2A7FD46F">
            <w:pPr>
              <w:widowControl/>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w:t>
            </w:r>
          </w:p>
        </w:tc>
        <w:tc>
          <w:tcPr>
            <w:tcW w:w="1550" w:type="dxa"/>
            <w:shd w:val="clear" w:color="auto" w:fill="auto"/>
            <w:vAlign w:val="center"/>
          </w:tcPr>
          <w:p w14:paraId="019F0393">
            <w:pPr>
              <w:widowControl/>
              <w:jc w:val="center"/>
              <w:rPr>
                <w:rFonts w:hint="eastAsia" w:asciiTheme="minorEastAsia" w:hAnsiTheme="minorEastAsia" w:eastAsiaTheme="minorEastAsia" w:cstheme="minorEastAsia"/>
                <w:color w:val="auto"/>
                <w:sz w:val="21"/>
                <w:szCs w:val="21"/>
                <w:highlight w:val="none"/>
              </w:rPr>
            </w:pPr>
          </w:p>
        </w:tc>
        <w:tc>
          <w:tcPr>
            <w:tcW w:w="1700" w:type="dxa"/>
            <w:shd w:val="clear" w:color="auto" w:fill="auto"/>
            <w:vAlign w:val="center"/>
          </w:tcPr>
          <w:p w14:paraId="77AA3BF0">
            <w:pPr>
              <w:widowControl/>
              <w:jc w:val="center"/>
              <w:rPr>
                <w:rFonts w:hint="eastAsia" w:asciiTheme="minorEastAsia" w:hAnsiTheme="minorEastAsia" w:eastAsiaTheme="minorEastAsia" w:cstheme="minorEastAsia"/>
                <w:color w:val="auto"/>
                <w:sz w:val="21"/>
                <w:szCs w:val="21"/>
                <w:highlight w:val="none"/>
              </w:rPr>
            </w:pPr>
          </w:p>
        </w:tc>
        <w:tc>
          <w:tcPr>
            <w:tcW w:w="1592" w:type="dxa"/>
            <w:shd w:val="clear" w:color="auto" w:fill="auto"/>
            <w:vAlign w:val="center"/>
          </w:tcPr>
          <w:p w14:paraId="1D954178">
            <w:pPr>
              <w:widowControl/>
              <w:jc w:val="center"/>
              <w:rPr>
                <w:rFonts w:hint="eastAsia" w:asciiTheme="minorEastAsia" w:hAnsiTheme="minorEastAsia" w:eastAsiaTheme="minorEastAsia" w:cstheme="minorEastAsia"/>
                <w:color w:val="auto"/>
                <w:sz w:val="21"/>
                <w:szCs w:val="21"/>
                <w:highlight w:val="none"/>
              </w:rPr>
            </w:pPr>
          </w:p>
        </w:tc>
        <w:tc>
          <w:tcPr>
            <w:tcW w:w="725" w:type="dxa"/>
            <w:shd w:val="clear" w:color="auto" w:fill="auto"/>
            <w:vAlign w:val="center"/>
          </w:tcPr>
          <w:p w14:paraId="7F9CACA5">
            <w:pPr>
              <w:widowControl/>
              <w:jc w:val="center"/>
              <w:rPr>
                <w:rFonts w:hint="eastAsia" w:asciiTheme="minorEastAsia" w:hAnsiTheme="minorEastAsia" w:eastAsiaTheme="minorEastAsia" w:cstheme="minorEastAsia"/>
                <w:color w:val="auto"/>
                <w:sz w:val="21"/>
                <w:szCs w:val="21"/>
                <w:highlight w:val="none"/>
              </w:rPr>
            </w:pPr>
          </w:p>
        </w:tc>
        <w:tc>
          <w:tcPr>
            <w:tcW w:w="1040" w:type="dxa"/>
            <w:shd w:val="clear" w:color="auto" w:fill="auto"/>
            <w:vAlign w:val="center"/>
          </w:tcPr>
          <w:p w14:paraId="3984610E">
            <w:pPr>
              <w:widowControl/>
              <w:jc w:val="center"/>
              <w:rPr>
                <w:rFonts w:hint="eastAsia" w:asciiTheme="minorEastAsia" w:hAnsiTheme="minorEastAsia" w:eastAsiaTheme="minorEastAsia" w:cstheme="minorEastAsia"/>
                <w:color w:val="auto"/>
                <w:sz w:val="21"/>
                <w:szCs w:val="21"/>
                <w:highlight w:val="none"/>
              </w:rPr>
            </w:pPr>
          </w:p>
        </w:tc>
        <w:tc>
          <w:tcPr>
            <w:tcW w:w="1642" w:type="dxa"/>
            <w:shd w:val="clear" w:color="auto" w:fill="auto"/>
            <w:vAlign w:val="center"/>
          </w:tcPr>
          <w:p w14:paraId="53FDBEF6">
            <w:pPr>
              <w:widowControl/>
              <w:jc w:val="center"/>
              <w:rPr>
                <w:rFonts w:hint="eastAsia" w:asciiTheme="minorEastAsia" w:hAnsiTheme="minorEastAsia" w:eastAsiaTheme="minorEastAsia" w:cstheme="minorEastAsia"/>
                <w:color w:val="auto"/>
                <w:sz w:val="21"/>
                <w:szCs w:val="21"/>
                <w:highlight w:val="none"/>
              </w:rPr>
            </w:pPr>
          </w:p>
        </w:tc>
        <w:tc>
          <w:tcPr>
            <w:tcW w:w="736" w:type="dxa"/>
            <w:shd w:val="clear" w:color="auto" w:fill="auto"/>
            <w:vAlign w:val="center"/>
          </w:tcPr>
          <w:p w14:paraId="16C4CCDE">
            <w:pPr>
              <w:widowControl/>
              <w:jc w:val="center"/>
              <w:rPr>
                <w:rFonts w:hint="eastAsia" w:asciiTheme="minorEastAsia" w:hAnsiTheme="minorEastAsia" w:eastAsiaTheme="minorEastAsia" w:cstheme="minorEastAsia"/>
                <w:color w:val="auto"/>
                <w:sz w:val="21"/>
                <w:szCs w:val="21"/>
                <w:highlight w:val="none"/>
              </w:rPr>
            </w:pPr>
          </w:p>
        </w:tc>
      </w:tr>
      <w:tr w14:paraId="5F7A3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2089" w:type="dxa"/>
            <w:gridSpan w:val="2"/>
            <w:shd w:val="clear" w:color="auto" w:fill="auto"/>
            <w:vAlign w:val="center"/>
          </w:tcPr>
          <w:p w14:paraId="23FFB10B">
            <w:pPr>
              <w:widowControl/>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二、</w:t>
            </w:r>
          </w:p>
        </w:tc>
        <w:tc>
          <w:tcPr>
            <w:tcW w:w="1700" w:type="dxa"/>
            <w:shd w:val="clear" w:color="auto" w:fill="auto"/>
            <w:vAlign w:val="center"/>
          </w:tcPr>
          <w:p w14:paraId="5B7C8E3E">
            <w:pPr>
              <w:widowControl/>
              <w:jc w:val="center"/>
              <w:rPr>
                <w:rFonts w:hint="eastAsia" w:asciiTheme="minorEastAsia" w:hAnsiTheme="minorEastAsia" w:eastAsiaTheme="minorEastAsia" w:cstheme="minorEastAsia"/>
                <w:color w:val="auto"/>
                <w:sz w:val="21"/>
                <w:szCs w:val="21"/>
                <w:highlight w:val="none"/>
              </w:rPr>
            </w:pPr>
          </w:p>
        </w:tc>
        <w:tc>
          <w:tcPr>
            <w:tcW w:w="1592" w:type="dxa"/>
            <w:shd w:val="clear" w:color="auto" w:fill="auto"/>
            <w:vAlign w:val="center"/>
          </w:tcPr>
          <w:p w14:paraId="30043EE6">
            <w:pPr>
              <w:widowControl/>
              <w:jc w:val="center"/>
              <w:rPr>
                <w:rFonts w:hint="eastAsia" w:asciiTheme="minorEastAsia" w:hAnsiTheme="minorEastAsia" w:eastAsiaTheme="minorEastAsia" w:cstheme="minorEastAsia"/>
                <w:color w:val="auto"/>
                <w:sz w:val="21"/>
                <w:szCs w:val="21"/>
                <w:highlight w:val="none"/>
              </w:rPr>
            </w:pPr>
          </w:p>
        </w:tc>
        <w:tc>
          <w:tcPr>
            <w:tcW w:w="725" w:type="dxa"/>
            <w:shd w:val="clear" w:color="auto" w:fill="auto"/>
            <w:vAlign w:val="center"/>
          </w:tcPr>
          <w:p w14:paraId="705A3890">
            <w:pPr>
              <w:widowControl/>
              <w:jc w:val="center"/>
              <w:rPr>
                <w:rFonts w:hint="eastAsia" w:asciiTheme="minorEastAsia" w:hAnsiTheme="minorEastAsia" w:eastAsiaTheme="minorEastAsia" w:cstheme="minorEastAsia"/>
                <w:color w:val="auto"/>
                <w:sz w:val="21"/>
                <w:szCs w:val="21"/>
                <w:highlight w:val="none"/>
              </w:rPr>
            </w:pPr>
          </w:p>
        </w:tc>
        <w:tc>
          <w:tcPr>
            <w:tcW w:w="1040" w:type="dxa"/>
            <w:shd w:val="clear" w:color="auto" w:fill="auto"/>
            <w:vAlign w:val="center"/>
          </w:tcPr>
          <w:p w14:paraId="460D7CDC">
            <w:pPr>
              <w:widowControl/>
              <w:jc w:val="center"/>
              <w:rPr>
                <w:rFonts w:hint="eastAsia" w:asciiTheme="minorEastAsia" w:hAnsiTheme="minorEastAsia" w:eastAsiaTheme="minorEastAsia" w:cstheme="minorEastAsia"/>
                <w:color w:val="auto"/>
                <w:sz w:val="21"/>
                <w:szCs w:val="21"/>
                <w:highlight w:val="none"/>
              </w:rPr>
            </w:pPr>
          </w:p>
        </w:tc>
        <w:tc>
          <w:tcPr>
            <w:tcW w:w="1642" w:type="dxa"/>
            <w:shd w:val="clear" w:color="auto" w:fill="auto"/>
            <w:vAlign w:val="center"/>
          </w:tcPr>
          <w:p w14:paraId="29ACDA45">
            <w:pPr>
              <w:widowControl/>
              <w:jc w:val="center"/>
              <w:rPr>
                <w:rFonts w:hint="eastAsia" w:asciiTheme="minorEastAsia" w:hAnsiTheme="minorEastAsia" w:eastAsiaTheme="minorEastAsia" w:cstheme="minorEastAsia"/>
                <w:color w:val="auto"/>
                <w:sz w:val="21"/>
                <w:szCs w:val="21"/>
                <w:highlight w:val="none"/>
              </w:rPr>
            </w:pPr>
          </w:p>
        </w:tc>
        <w:tc>
          <w:tcPr>
            <w:tcW w:w="736" w:type="dxa"/>
            <w:shd w:val="clear" w:color="auto" w:fill="auto"/>
            <w:vAlign w:val="center"/>
          </w:tcPr>
          <w:p w14:paraId="3B5BAA84">
            <w:pPr>
              <w:widowControl/>
              <w:jc w:val="center"/>
              <w:rPr>
                <w:rFonts w:hint="eastAsia" w:asciiTheme="minorEastAsia" w:hAnsiTheme="minorEastAsia" w:eastAsiaTheme="minorEastAsia" w:cstheme="minorEastAsia"/>
                <w:color w:val="auto"/>
                <w:sz w:val="21"/>
                <w:szCs w:val="21"/>
                <w:highlight w:val="none"/>
              </w:rPr>
            </w:pPr>
          </w:p>
        </w:tc>
      </w:tr>
      <w:tr w14:paraId="03AE3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539" w:type="dxa"/>
            <w:shd w:val="clear" w:color="auto" w:fill="auto"/>
            <w:vAlign w:val="center"/>
          </w:tcPr>
          <w:p w14:paraId="42D1507A">
            <w:pPr>
              <w:widowControl/>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p>
        </w:tc>
        <w:tc>
          <w:tcPr>
            <w:tcW w:w="1550" w:type="dxa"/>
            <w:shd w:val="clear" w:color="auto" w:fill="auto"/>
            <w:vAlign w:val="center"/>
          </w:tcPr>
          <w:p w14:paraId="43AA903A">
            <w:pPr>
              <w:widowControl/>
              <w:jc w:val="center"/>
              <w:rPr>
                <w:rFonts w:hint="eastAsia" w:asciiTheme="minorEastAsia" w:hAnsiTheme="minorEastAsia" w:eastAsiaTheme="minorEastAsia" w:cstheme="minorEastAsia"/>
                <w:color w:val="auto"/>
                <w:sz w:val="21"/>
                <w:szCs w:val="21"/>
                <w:highlight w:val="none"/>
              </w:rPr>
            </w:pPr>
          </w:p>
        </w:tc>
        <w:tc>
          <w:tcPr>
            <w:tcW w:w="1700" w:type="dxa"/>
            <w:shd w:val="clear" w:color="auto" w:fill="auto"/>
            <w:vAlign w:val="center"/>
          </w:tcPr>
          <w:p w14:paraId="3C8C4477">
            <w:pPr>
              <w:widowControl/>
              <w:jc w:val="center"/>
              <w:rPr>
                <w:rFonts w:hint="eastAsia" w:asciiTheme="minorEastAsia" w:hAnsiTheme="minorEastAsia" w:eastAsiaTheme="minorEastAsia" w:cstheme="minorEastAsia"/>
                <w:color w:val="auto"/>
                <w:sz w:val="21"/>
                <w:szCs w:val="21"/>
                <w:highlight w:val="none"/>
              </w:rPr>
            </w:pPr>
          </w:p>
        </w:tc>
        <w:tc>
          <w:tcPr>
            <w:tcW w:w="1592" w:type="dxa"/>
            <w:shd w:val="clear" w:color="auto" w:fill="auto"/>
            <w:vAlign w:val="center"/>
          </w:tcPr>
          <w:p w14:paraId="486E4E86">
            <w:pPr>
              <w:widowControl/>
              <w:jc w:val="center"/>
              <w:rPr>
                <w:rFonts w:hint="eastAsia" w:asciiTheme="minorEastAsia" w:hAnsiTheme="minorEastAsia" w:eastAsiaTheme="minorEastAsia" w:cstheme="minorEastAsia"/>
                <w:color w:val="auto"/>
                <w:sz w:val="21"/>
                <w:szCs w:val="21"/>
                <w:highlight w:val="none"/>
              </w:rPr>
            </w:pPr>
          </w:p>
        </w:tc>
        <w:tc>
          <w:tcPr>
            <w:tcW w:w="725" w:type="dxa"/>
            <w:shd w:val="clear" w:color="auto" w:fill="auto"/>
            <w:vAlign w:val="center"/>
          </w:tcPr>
          <w:p w14:paraId="20C7AE34">
            <w:pPr>
              <w:widowControl/>
              <w:jc w:val="center"/>
              <w:rPr>
                <w:rFonts w:hint="eastAsia" w:asciiTheme="minorEastAsia" w:hAnsiTheme="minorEastAsia" w:eastAsiaTheme="minorEastAsia" w:cstheme="minorEastAsia"/>
                <w:color w:val="auto"/>
                <w:sz w:val="21"/>
                <w:szCs w:val="21"/>
                <w:highlight w:val="none"/>
              </w:rPr>
            </w:pPr>
          </w:p>
        </w:tc>
        <w:tc>
          <w:tcPr>
            <w:tcW w:w="1040" w:type="dxa"/>
            <w:shd w:val="clear" w:color="auto" w:fill="auto"/>
            <w:vAlign w:val="center"/>
          </w:tcPr>
          <w:p w14:paraId="59CA554A">
            <w:pPr>
              <w:widowControl/>
              <w:jc w:val="center"/>
              <w:rPr>
                <w:rFonts w:hint="eastAsia" w:asciiTheme="minorEastAsia" w:hAnsiTheme="minorEastAsia" w:eastAsiaTheme="minorEastAsia" w:cstheme="minorEastAsia"/>
                <w:color w:val="auto"/>
                <w:sz w:val="21"/>
                <w:szCs w:val="21"/>
                <w:highlight w:val="none"/>
              </w:rPr>
            </w:pPr>
          </w:p>
        </w:tc>
        <w:tc>
          <w:tcPr>
            <w:tcW w:w="1642" w:type="dxa"/>
            <w:shd w:val="clear" w:color="auto" w:fill="auto"/>
            <w:vAlign w:val="center"/>
          </w:tcPr>
          <w:p w14:paraId="6D60D842">
            <w:pPr>
              <w:widowControl/>
              <w:jc w:val="center"/>
              <w:rPr>
                <w:rFonts w:hint="eastAsia" w:asciiTheme="minorEastAsia" w:hAnsiTheme="minorEastAsia" w:eastAsiaTheme="minorEastAsia" w:cstheme="minorEastAsia"/>
                <w:color w:val="auto"/>
                <w:sz w:val="21"/>
                <w:szCs w:val="21"/>
                <w:highlight w:val="none"/>
              </w:rPr>
            </w:pPr>
          </w:p>
        </w:tc>
        <w:tc>
          <w:tcPr>
            <w:tcW w:w="736" w:type="dxa"/>
            <w:shd w:val="clear" w:color="auto" w:fill="auto"/>
            <w:vAlign w:val="center"/>
          </w:tcPr>
          <w:p w14:paraId="27CFF01F">
            <w:pPr>
              <w:widowControl/>
              <w:jc w:val="center"/>
              <w:rPr>
                <w:rFonts w:hint="eastAsia" w:asciiTheme="minorEastAsia" w:hAnsiTheme="minorEastAsia" w:eastAsiaTheme="minorEastAsia" w:cstheme="minorEastAsia"/>
                <w:color w:val="auto"/>
                <w:sz w:val="21"/>
                <w:szCs w:val="21"/>
                <w:highlight w:val="none"/>
              </w:rPr>
            </w:pPr>
          </w:p>
        </w:tc>
      </w:tr>
      <w:tr w14:paraId="7028A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539" w:type="dxa"/>
            <w:shd w:val="clear" w:color="auto" w:fill="auto"/>
            <w:vAlign w:val="center"/>
          </w:tcPr>
          <w:p w14:paraId="5EC5431D">
            <w:pPr>
              <w:widowControl/>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w:t>
            </w:r>
          </w:p>
        </w:tc>
        <w:tc>
          <w:tcPr>
            <w:tcW w:w="1550" w:type="dxa"/>
            <w:shd w:val="clear" w:color="auto" w:fill="auto"/>
            <w:vAlign w:val="center"/>
          </w:tcPr>
          <w:p w14:paraId="2F2A8543">
            <w:pPr>
              <w:widowControl/>
              <w:jc w:val="center"/>
              <w:rPr>
                <w:rFonts w:hint="eastAsia" w:asciiTheme="minorEastAsia" w:hAnsiTheme="minorEastAsia" w:eastAsiaTheme="minorEastAsia" w:cstheme="minorEastAsia"/>
                <w:color w:val="auto"/>
                <w:sz w:val="21"/>
                <w:szCs w:val="21"/>
                <w:highlight w:val="none"/>
              </w:rPr>
            </w:pPr>
          </w:p>
        </w:tc>
        <w:tc>
          <w:tcPr>
            <w:tcW w:w="1700" w:type="dxa"/>
            <w:shd w:val="clear" w:color="auto" w:fill="auto"/>
            <w:vAlign w:val="center"/>
          </w:tcPr>
          <w:p w14:paraId="2F8763C3">
            <w:pPr>
              <w:widowControl/>
              <w:jc w:val="center"/>
              <w:rPr>
                <w:rFonts w:hint="eastAsia" w:asciiTheme="minorEastAsia" w:hAnsiTheme="minorEastAsia" w:eastAsiaTheme="minorEastAsia" w:cstheme="minorEastAsia"/>
                <w:color w:val="auto"/>
                <w:sz w:val="21"/>
                <w:szCs w:val="21"/>
                <w:highlight w:val="none"/>
              </w:rPr>
            </w:pPr>
          </w:p>
        </w:tc>
        <w:tc>
          <w:tcPr>
            <w:tcW w:w="1592" w:type="dxa"/>
            <w:shd w:val="clear" w:color="auto" w:fill="auto"/>
            <w:vAlign w:val="center"/>
          </w:tcPr>
          <w:p w14:paraId="0DD1AE2E">
            <w:pPr>
              <w:widowControl/>
              <w:jc w:val="center"/>
              <w:rPr>
                <w:rFonts w:hint="eastAsia" w:asciiTheme="minorEastAsia" w:hAnsiTheme="minorEastAsia" w:eastAsiaTheme="minorEastAsia" w:cstheme="minorEastAsia"/>
                <w:color w:val="auto"/>
                <w:sz w:val="21"/>
                <w:szCs w:val="21"/>
                <w:highlight w:val="none"/>
              </w:rPr>
            </w:pPr>
          </w:p>
        </w:tc>
        <w:tc>
          <w:tcPr>
            <w:tcW w:w="725" w:type="dxa"/>
            <w:shd w:val="clear" w:color="auto" w:fill="auto"/>
            <w:vAlign w:val="center"/>
          </w:tcPr>
          <w:p w14:paraId="595C8E1C">
            <w:pPr>
              <w:widowControl/>
              <w:jc w:val="center"/>
              <w:rPr>
                <w:rFonts w:hint="eastAsia" w:asciiTheme="minorEastAsia" w:hAnsiTheme="minorEastAsia" w:eastAsiaTheme="minorEastAsia" w:cstheme="minorEastAsia"/>
                <w:color w:val="auto"/>
                <w:sz w:val="21"/>
                <w:szCs w:val="21"/>
                <w:highlight w:val="none"/>
              </w:rPr>
            </w:pPr>
          </w:p>
        </w:tc>
        <w:tc>
          <w:tcPr>
            <w:tcW w:w="1040" w:type="dxa"/>
            <w:shd w:val="clear" w:color="auto" w:fill="auto"/>
            <w:vAlign w:val="center"/>
          </w:tcPr>
          <w:p w14:paraId="75165AF1">
            <w:pPr>
              <w:widowControl/>
              <w:jc w:val="center"/>
              <w:rPr>
                <w:rFonts w:hint="eastAsia" w:asciiTheme="minorEastAsia" w:hAnsiTheme="minorEastAsia" w:eastAsiaTheme="minorEastAsia" w:cstheme="minorEastAsia"/>
                <w:color w:val="auto"/>
                <w:sz w:val="21"/>
                <w:szCs w:val="21"/>
                <w:highlight w:val="none"/>
              </w:rPr>
            </w:pPr>
          </w:p>
        </w:tc>
        <w:tc>
          <w:tcPr>
            <w:tcW w:w="1642" w:type="dxa"/>
            <w:shd w:val="clear" w:color="auto" w:fill="auto"/>
            <w:vAlign w:val="center"/>
          </w:tcPr>
          <w:p w14:paraId="2C577F6F">
            <w:pPr>
              <w:widowControl/>
              <w:jc w:val="center"/>
              <w:rPr>
                <w:rFonts w:hint="eastAsia" w:asciiTheme="minorEastAsia" w:hAnsiTheme="minorEastAsia" w:eastAsiaTheme="minorEastAsia" w:cstheme="minorEastAsia"/>
                <w:color w:val="auto"/>
                <w:sz w:val="21"/>
                <w:szCs w:val="21"/>
                <w:highlight w:val="none"/>
              </w:rPr>
            </w:pPr>
          </w:p>
        </w:tc>
        <w:tc>
          <w:tcPr>
            <w:tcW w:w="736" w:type="dxa"/>
            <w:shd w:val="clear" w:color="auto" w:fill="auto"/>
            <w:vAlign w:val="center"/>
          </w:tcPr>
          <w:p w14:paraId="00093EBC">
            <w:pPr>
              <w:widowControl/>
              <w:jc w:val="center"/>
              <w:rPr>
                <w:rFonts w:hint="eastAsia" w:asciiTheme="minorEastAsia" w:hAnsiTheme="minorEastAsia" w:eastAsiaTheme="minorEastAsia" w:cstheme="minorEastAsia"/>
                <w:color w:val="auto"/>
                <w:sz w:val="21"/>
                <w:szCs w:val="21"/>
                <w:highlight w:val="none"/>
              </w:rPr>
            </w:pPr>
          </w:p>
        </w:tc>
      </w:tr>
      <w:tr w14:paraId="1E1CB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539" w:type="dxa"/>
            <w:shd w:val="clear" w:color="auto" w:fill="auto"/>
            <w:vAlign w:val="center"/>
          </w:tcPr>
          <w:p w14:paraId="723B51EB">
            <w:pPr>
              <w:widowControl/>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w:t>
            </w:r>
          </w:p>
        </w:tc>
        <w:tc>
          <w:tcPr>
            <w:tcW w:w="1550" w:type="dxa"/>
            <w:shd w:val="clear" w:color="auto" w:fill="auto"/>
            <w:vAlign w:val="center"/>
          </w:tcPr>
          <w:p w14:paraId="38FF979B">
            <w:pPr>
              <w:widowControl/>
              <w:jc w:val="center"/>
              <w:rPr>
                <w:rFonts w:hint="eastAsia" w:asciiTheme="minorEastAsia" w:hAnsiTheme="minorEastAsia" w:eastAsiaTheme="minorEastAsia" w:cstheme="minorEastAsia"/>
                <w:color w:val="auto"/>
                <w:sz w:val="21"/>
                <w:szCs w:val="21"/>
                <w:highlight w:val="none"/>
              </w:rPr>
            </w:pPr>
          </w:p>
        </w:tc>
        <w:tc>
          <w:tcPr>
            <w:tcW w:w="1700" w:type="dxa"/>
            <w:shd w:val="clear" w:color="auto" w:fill="auto"/>
            <w:vAlign w:val="center"/>
          </w:tcPr>
          <w:p w14:paraId="42C2B443">
            <w:pPr>
              <w:widowControl/>
              <w:jc w:val="center"/>
              <w:rPr>
                <w:rFonts w:hint="eastAsia" w:asciiTheme="minorEastAsia" w:hAnsiTheme="minorEastAsia" w:eastAsiaTheme="minorEastAsia" w:cstheme="minorEastAsia"/>
                <w:color w:val="auto"/>
                <w:sz w:val="21"/>
                <w:szCs w:val="21"/>
                <w:highlight w:val="none"/>
              </w:rPr>
            </w:pPr>
          </w:p>
        </w:tc>
        <w:tc>
          <w:tcPr>
            <w:tcW w:w="1592" w:type="dxa"/>
            <w:shd w:val="clear" w:color="auto" w:fill="auto"/>
            <w:vAlign w:val="center"/>
          </w:tcPr>
          <w:p w14:paraId="4A20A644">
            <w:pPr>
              <w:widowControl/>
              <w:jc w:val="center"/>
              <w:rPr>
                <w:rFonts w:hint="eastAsia" w:asciiTheme="minorEastAsia" w:hAnsiTheme="minorEastAsia" w:eastAsiaTheme="minorEastAsia" w:cstheme="minorEastAsia"/>
                <w:color w:val="auto"/>
                <w:sz w:val="21"/>
                <w:szCs w:val="21"/>
                <w:highlight w:val="none"/>
              </w:rPr>
            </w:pPr>
          </w:p>
        </w:tc>
        <w:tc>
          <w:tcPr>
            <w:tcW w:w="725" w:type="dxa"/>
            <w:shd w:val="clear" w:color="auto" w:fill="auto"/>
            <w:vAlign w:val="center"/>
          </w:tcPr>
          <w:p w14:paraId="30812A60">
            <w:pPr>
              <w:widowControl/>
              <w:jc w:val="center"/>
              <w:rPr>
                <w:rFonts w:hint="eastAsia" w:asciiTheme="minorEastAsia" w:hAnsiTheme="minorEastAsia" w:eastAsiaTheme="minorEastAsia" w:cstheme="minorEastAsia"/>
                <w:color w:val="auto"/>
                <w:sz w:val="21"/>
                <w:szCs w:val="21"/>
                <w:highlight w:val="none"/>
              </w:rPr>
            </w:pPr>
          </w:p>
        </w:tc>
        <w:tc>
          <w:tcPr>
            <w:tcW w:w="1040" w:type="dxa"/>
            <w:shd w:val="clear" w:color="auto" w:fill="auto"/>
            <w:vAlign w:val="center"/>
          </w:tcPr>
          <w:p w14:paraId="27FF9913">
            <w:pPr>
              <w:widowControl/>
              <w:jc w:val="center"/>
              <w:rPr>
                <w:rFonts w:hint="eastAsia" w:asciiTheme="minorEastAsia" w:hAnsiTheme="minorEastAsia" w:eastAsiaTheme="minorEastAsia" w:cstheme="minorEastAsia"/>
                <w:color w:val="auto"/>
                <w:sz w:val="21"/>
                <w:szCs w:val="21"/>
                <w:highlight w:val="none"/>
              </w:rPr>
            </w:pPr>
          </w:p>
        </w:tc>
        <w:tc>
          <w:tcPr>
            <w:tcW w:w="1642" w:type="dxa"/>
            <w:shd w:val="clear" w:color="auto" w:fill="auto"/>
            <w:vAlign w:val="center"/>
          </w:tcPr>
          <w:p w14:paraId="71262D7C">
            <w:pPr>
              <w:widowControl/>
              <w:jc w:val="center"/>
              <w:rPr>
                <w:rFonts w:hint="eastAsia" w:asciiTheme="minorEastAsia" w:hAnsiTheme="minorEastAsia" w:eastAsiaTheme="minorEastAsia" w:cstheme="minorEastAsia"/>
                <w:color w:val="auto"/>
                <w:sz w:val="21"/>
                <w:szCs w:val="21"/>
                <w:highlight w:val="none"/>
              </w:rPr>
            </w:pPr>
          </w:p>
        </w:tc>
        <w:tc>
          <w:tcPr>
            <w:tcW w:w="736" w:type="dxa"/>
            <w:shd w:val="clear" w:color="auto" w:fill="auto"/>
            <w:vAlign w:val="center"/>
          </w:tcPr>
          <w:p w14:paraId="70DD4659">
            <w:pPr>
              <w:widowControl/>
              <w:jc w:val="center"/>
              <w:rPr>
                <w:rFonts w:hint="eastAsia" w:asciiTheme="minorEastAsia" w:hAnsiTheme="minorEastAsia" w:eastAsiaTheme="minorEastAsia" w:cstheme="minorEastAsia"/>
                <w:color w:val="auto"/>
                <w:sz w:val="21"/>
                <w:szCs w:val="21"/>
                <w:highlight w:val="none"/>
              </w:rPr>
            </w:pPr>
          </w:p>
        </w:tc>
      </w:tr>
      <w:tr w14:paraId="410FC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7146" w:type="dxa"/>
            <w:gridSpan w:val="6"/>
            <w:shd w:val="clear" w:color="auto" w:fill="auto"/>
            <w:vAlign w:val="center"/>
          </w:tcPr>
          <w:p w14:paraId="4DCE0B39">
            <w:pPr>
              <w:widowControl/>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合计</w:t>
            </w:r>
          </w:p>
        </w:tc>
        <w:tc>
          <w:tcPr>
            <w:tcW w:w="1642" w:type="dxa"/>
            <w:shd w:val="clear" w:color="auto" w:fill="auto"/>
            <w:vAlign w:val="center"/>
          </w:tcPr>
          <w:p w14:paraId="12A42F2F">
            <w:pPr>
              <w:widowControl/>
              <w:jc w:val="center"/>
              <w:rPr>
                <w:rFonts w:hint="eastAsia" w:asciiTheme="minorEastAsia" w:hAnsiTheme="minorEastAsia" w:eastAsiaTheme="minorEastAsia" w:cstheme="minorEastAsia"/>
                <w:color w:val="auto"/>
                <w:sz w:val="21"/>
                <w:szCs w:val="21"/>
                <w:highlight w:val="none"/>
              </w:rPr>
            </w:pPr>
          </w:p>
        </w:tc>
        <w:tc>
          <w:tcPr>
            <w:tcW w:w="736" w:type="dxa"/>
            <w:shd w:val="clear" w:color="auto" w:fill="auto"/>
            <w:vAlign w:val="center"/>
          </w:tcPr>
          <w:p w14:paraId="74F8ED13">
            <w:pPr>
              <w:widowControl/>
              <w:jc w:val="center"/>
              <w:rPr>
                <w:rFonts w:hint="eastAsia" w:asciiTheme="minorEastAsia" w:hAnsiTheme="minorEastAsia" w:eastAsiaTheme="minorEastAsia" w:cstheme="minorEastAsia"/>
                <w:color w:val="auto"/>
                <w:sz w:val="21"/>
                <w:szCs w:val="21"/>
                <w:highlight w:val="none"/>
              </w:rPr>
            </w:pPr>
          </w:p>
        </w:tc>
      </w:tr>
    </w:tbl>
    <w:p w14:paraId="3E802393">
      <w:pPr>
        <w:spacing w:line="46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注：</w:t>
      </w:r>
    </w:p>
    <w:p w14:paraId="2D30596F">
      <w:pPr>
        <w:spacing w:line="46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1.投标</w:t>
      </w:r>
      <w:r>
        <w:rPr>
          <w:rFonts w:hAnsi="宋体" w:cs="宋体"/>
          <w:color w:val="auto"/>
          <w:sz w:val="21"/>
          <w:szCs w:val="21"/>
          <w:highlight w:val="none"/>
        </w:rPr>
        <w:t>报价</w:t>
      </w:r>
      <w:r>
        <w:rPr>
          <w:rFonts w:hint="eastAsia" w:hAnsi="宋体" w:cs="宋体"/>
          <w:color w:val="auto"/>
          <w:sz w:val="21"/>
          <w:szCs w:val="21"/>
          <w:highlight w:val="none"/>
        </w:rPr>
        <w:t>说明：参与本项目的投标人应按要求填报此项目投标总价报价，投标报价须包含项目实施过程中发生的软件系统的采购费，软件系统搭建部署（含软件运行环境建设）和安装费，按照采购人要求对软件系统进行优化调整费，新建系统与采购人指定相关信息系统和平台进行数据对接（含系统接口开发）费、整体软件系统调试和适配服务费，项目试运行、检验验收费，技术支持服务、技术培训及售后运维服务等全部相关费用以及保证项目顺利开展的所有费用。</w:t>
      </w:r>
    </w:p>
    <w:p w14:paraId="3117A363">
      <w:pPr>
        <w:spacing w:line="46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2.本表</w:t>
      </w:r>
      <w:r>
        <w:rPr>
          <w:rFonts w:hAnsi="宋体" w:cs="宋体"/>
          <w:color w:val="auto"/>
          <w:sz w:val="21"/>
          <w:szCs w:val="21"/>
          <w:highlight w:val="none"/>
        </w:rPr>
        <w:t>的全费用单价</w:t>
      </w:r>
      <w:r>
        <w:rPr>
          <w:rFonts w:hint="eastAsia" w:hAnsi="宋体" w:cs="宋体"/>
          <w:color w:val="auto"/>
          <w:sz w:val="21"/>
          <w:szCs w:val="21"/>
          <w:highlight w:val="none"/>
        </w:rPr>
        <w:t>为含税价</w:t>
      </w:r>
      <w:r>
        <w:rPr>
          <w:rFonts w:hAnsi="宋体" w:cs="宋体"/>
          <w:color w:val="auto"/>
          <w:sz w:val="21"/>
          <w:szCs w:val="21"/>
          <w:highlight w:val="none"/>
        </w:rPr>
        <w:t>；</w:t>
      </w:r>
    </w:p>
    <w:p w14:paraId="480BEDA7">
      <w:pPr>
        <w:spacing w:line="46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3.如果不提供详细分项报价将视为没有实质性响应招标文件，其投标文件将被拒绝。</w:t>
      </w:r>
    </w:p>
    <w:p w14:paraId="1A519DBA">
      <w:pPr>
        <w:spacing w:line="46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4.若表格不够填写，可自行扩展。</w:t>
      </w:r>
    </w:p>
    <w:p w14:paraId="12705927">
      <w:pPr>
        <w:spacing w:line="420" w:lineRule="exact"/>
        <w:ind w:firstLine="420" w:firstLineChars="200"/>
        <w:rPr>
          <w:rFonts w:hint="eastAsia" w:hAnsi="宋体" w:cs="宋体"/>
          <w:color w:val="auto"/>
          <w:sz w:val="21"/>
          <w:szCs w:val="21"/>
          <w:highlight w:val="none"/>
        </w:rPr>
      </w:pPr>
    </w:p>
    <w:p w14:paraId="778242ED">
      <w:pPr>
        <w:spacing w:before="60" w:after="60" w:line="360" w:lineRule="auto"/>
        <w:rPr>
          <w:rFonts w:hint="eastAsia" w:hAnsi="宋体" w:cs="宋体"/>
          <w:color w:val="auto"/>
          <w:sz w:val="21"/>
          <w:szCs w:val="21"/>
          <w:highlight w:val="none"/>
        </w:rPr>
      </w:pPr>
      <w:r>
        <w:rPr>
          <w:rFonts w:hint="eastAsia" w:hAnsi="宋体" w:cs="宋体"/>
          <w:color w:val="auto"/>
          <w:sz w:val="21"/>
          <w:szCs w:val="21"/>
          <w:highlight w:val="none"/>
        </w:rPr>
        <w:t>投标人（盖单位公章）：______________</w:t>
      </w:r>
    </w:p>
    <w:p w14:paraId="453E9CD3">
      <w:pPr>
        <w:spacing w:before="60" w:after="60" w:line="360" w:lineRule="auto"/>
        <w:rPr>
          <w:rFonts w:hint="eastAsia" w:hAnsi="宋体" w:cs="宋体"/>
          <w:color w:val="auto"/>
          <w:sz w:val="21"/>
          <w:szCs w:val="21"/>
          <w:highlight w:val="none"/>
        </w:rPr>
      </w:pPr>
      <w:r>
        <w:rPr>
          <w:rFonts w:hint="eastAsia" w:hAnsi="宋体" w:cs="宋体"/>
          <w:color w:val="auto"/>
          <w:sz w:val="21"/>
          <w:szCs w:val="21"/>
          <w:highlight w:val="none"/>
        </w:rPr>
        <w:t>法定代表人（负责人）或委托代理人（签字或盖章）：________</w:t>
      </w:r>
    </w:p>
    <w:p w14:paraId="1552567F">
      <w:pPr>
        <w:spacing w:before="60" w:after="60" w:line="360" w:lineRule="auto"/>
        <w:rPr>
          <w:rFonts w:hint="eastAsia" w:hAnsi="宋体"/>
          <w:color w:val="auto"/>
          <w:sz w:val="21"/>
          <w:szCs w:val="21"/>
          <w:highlight w:val="none"/>
        </w:rPr>
      </w:pPr>
      <w:r>
        <w:rPr>
          <w:rFonts w:hint="eastAsia" w:hAnsi="宋体" w:cs="宋体"/>
          <w:color w:val="auto"/>
          <w:sz w:val="21"/>
          <w:szCs w:val="21"/>
          <w:highlight w:val="none"/>
        </w:rPr>
        <w:t>日期：________年_____月_____日</w:t>
      </w:r>
    </w:p>
    <w:p w14:paraId="2AED869C">
      <w:pPr>
        <w:pStyle w:val="16"/>
        <w:tabs>
          <w:tab w:val="left" w:pos="750"/>
        </w:tabs>
        <w:spacing w:line="420" w:lineRule="exact"/>
        <w:ind w:firstLine="0"/>
        <w:rPr>
          <w:rFonts w:hint="eastAsia" w:hAnsi="宋体" w:cs="宋体"/>
          <w:color w:val="auto"/>
          <w:sz w:val="21"/>
          <w:szCs w:val="21"/>
          <w:highlight w:val="none"/>
        </w:rPr>
      </w:pPr>
    </w:p>
    <w:p w14:paraId="7BDE4497">
      <w:pPr>
        <w:pStyle w:val="7"/>
        <w:numPr>
          <w:ilvl w:val="0"/>
          <w:numId w:val="0"/>
        </w:numPr>
        <w:spacing w:before="0" w:after="0" w:line="480" w:lineRule="exact"/>
        <w:rPr>
          <w:rFonts w:hint="eastAsia" w:hAnsi="宋体"/>
          <w:color w:val="auto"/>
          <w:sz w:val="28"/>
          <w:szCs w:val="28"/>
          <w:highlight w:val="none"/>
        </w:rPr>
        <w:sectPr>
          <w:pgSz w:w="11906" w:h="16838"/>
          <w:pgMar w:top="1418" w:right="1134" w:bottom="1246" w:left="1134" w:header="851" w:footer="992" w:gutter="0"/>
          <w:cols w:space="720" w:num="1"/>
          <w:docGrid w:type="lines" w:linePitch="312" w:charSpace="0"/>
        </w:sectPr>
      </w:pPr>
    </w:p>
    <w:p w14:paraId="7188D459">
      <w:pPr>
        <w:keepNext/>
        <w:jc w:val="center"/>
        <w:rPr>
          <w:rStyle w:val="75"/>
          <w:color w:val="auto"/>
          <w:highlight w:val="none"/>
        </w:rPr>
      </w:pPr>
      <w:bookmarkStart w:id="68" w:name="_Toc23317"/>
      <w:r>
        <w:rPr>
          <w:rStyle w:val="75"/>
          <w:rFonts w:hint="eastAsia"/>
          <w:color w:val="auto"/>
          <w:highlight w:val="none"/>
        </w:rPr>
        <w:t>（四）投标人认为需要提供的其他投标报价相关文件</w:t>
      </w:r>
    </w:p>
    <w:bookmarkEnd w:id="68"/>
    <w:p w14:paraId="1B98CC7D">
      <w:pPr>
        <w:spacing w:line="480" w:lineRule="exact"/>
        <w:rPr>
          <w:rFonts w:hint="eastAsia" w:hAnsi="宋体"/>
          <w:color w:val="auto"/>
          <w:sz w:val="24"/>
          <w:highlight w:val="none"/>
        </w:rPr>
      </w:pPr>
    </w:p>
    <w:p w14:paraId="1A930A46">
      <w:pPr>
        <w:spacing w:line="480" w:lineRule="exact"/>
        <w:jc w:val="left"/>
        <w:rPr>
          <w:rFonts w:hint="eastAsia" w:hAnsi="宋体"/>
          <w:b/>
          <w:bCs/>
          <w:color w:val="auto"/>
          <w:sz w:val="32"/>
          <w:szCs w:val="32"/>
          <w:highlight w:val="none"/>
        </w:rPr>
      </w:pPr>
    </w:p>
    <w:p w14:paraId="73BDC88A">
      <w:pPr>
        <w:spacing w:line="480" w:lineRule="exact"/>
        <w:jc w:val="left"/>
        <w:rPr>
          <w:rFonts w:hint="eastAsia" w:hAnsi="宋体"/>
          <w:b/>
          <w:bCs/>
          <w:color w:val="auto"/>
          <w:sz w:val="32"/>
          <w:szCs w:val="32"/>
          <w:highlight w:val="none"/>
        </w:rPr>
      </w:pPr>
    </w:p>
    <w:p w14:paraId="488C1673">
      <w:pPr>
        <w:spacing w:line="480" w:lineRule="exact"/>
        <w:jc w:val="left"/>
        <w:rPr>
          <w:rFonts w:hint="eastAsia" w:hAnsi="宋体"/>
          <w:b/>
          <w:bCs/>
          <w:color w:val="auto"/>
          <w:sz w:val="32"/>
          <w:szCs w:val="32"/>
          <w:highlight w:val="none"/>
        </w:rPr>
      </w:pPr>
    </w:p>
    <w:p w14:paraId="33501266">
      <w:pPr>
        <w:widowControl/>
        <w:jc w:val="left"/>
        <w:rPr>
          <w:rFonts w:hint="eastAsia" w:hAnsi="宋体"/>
          <w:b/>
          <w:bCs/>
          <w:color w:val="auto"/>
          <w:sz w:val="32"/>
          <w:szCs w:val="32"/>
          <w:highlight w:val="none"/>
        </w:rPr>
      </w:pPr>
      <w:r>
        <w:rPr>
          <w:rFonts w:hAnsi="宋体"/>
          <w:b/>
          <w:bCs/>
          <w:color w:val="auto"/>
          <w:sz w:val="32"/>
          <w:szCs w:val="32"/>
          <w:highlight w:val="none"/>
        </w:rPr>
        <w:br w:type="page"/>
      </w:r>
    </w:p>
    <w:p w14:paraId="0796596A">
      <w:pPr>
        <w:pStyle w:val="6"/>
        <w:spacing w:line="360" w:lineRule="auto"/>
        <w:jc w:val="center"/>
        <w:rPr>
          <w:rStyle w:val="60"/>
          <w:rFonts w:hAnsi="Times New Roman"/>
          <w:b w:val="0"/>
          <w:bCs w:val="0"/>
          <w:color w:val="auto"/>
          <w:sz w:val="36"/>
          <w:szCs w:val="36"/>
          <w:highlight w:val="none"/>
        </w:rPr>
      </w:pPr>
      <w:bookmarkStart w:id="69" w:name="_Toc2025"/>
      <w:r>
        <w:rPr>
          <w:rStyle w:val="60"/>
          <w:rFonts w:hint="eastAsia" w:hAnsi="Times New Roman"/>
          <w:b w:val="0"/>
          <w:bCs w:val="0"/>
          <w:color w:val="auto"/>
          <w:sz w:val="36"/>
          <w:szCs w:val="36"/>
          <w:highlight w:val="none"/>
        </w:rPr>
        <w:t>三、商务及技术部分</w:t>
      </w:r>
      <w:bookmarkEnd w:id="69"/>
    </w:p>
    <w:p w14:paraId="0A6AD788">
      <w:pPr>
        <w:jc w:val="center"/>
        <w:rPr>
          <w:rFonts w:hint="eastAsia" w:hAnsi="宋体"/>
          <w:b/>
          <w:bCs/>
          <w:color w:val="auto"/>
          <w:highlight w:val="none"/>
        </w:rPr>
      </w:pPr>
      <w:bookmarkStart w:id="70" w:name="_Toc5363"/>
      <w:bookmarkStart w:id="71" w:name="_Toc37179799"/>
      <w:r>
        <w:rPr>
          <w:rStyle w:val="75"/>
          <w:rFonts w:hint="eastAsia"/>
          <w:color w:val="auto"/>
          <w:highlight w:val="none"/>
        </w:rPr>
        <w:t>（一）商务条款偏离表</w:t>
      </w:r>
      <w:bookmarkEnd w:id="70"/>
    </w:p>
    <w:p w14:paraId="3A29A3A6">
      <w:pPr>
        <w:snapToGrid w:val="0"/>
        <w:spacing w:after="156" w:afterLines="50" w:line="460" w:lineRule="atLeast"/>
        <w:rPr>
          <w:rFonts w:hint="eastAsia" w:hAnsi="宋体"/>
          <w:color w:val="auto"/>
          <w:sz w:val="21"/>
          <w:szCs w:val="21"/>
          <w:highlight w:val="none"/>
        </w:rPr>
      </w:pPr>
    </w:p>
    <w:tbl>
      <w:tblPr>
        <w:tblStyle w:val="39"/>
        <w:tblW w:w="9881" w:type="dxa"/>
        <w:tblInd w:w="1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6"/>
        <w:gridCol w:w="2273"/>
        <w:gridCol w:w="2805"/>
        <w:gridCol w:w="2517"/>
        <w:gridCol w:w="1590"/>
      </w:tblGrid>
      <w:tr w14:paraId="6570B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trPr>
        <w:tc>
          <w:tcPr>
            <w:tcW w:w="696" w:type="dxa"/>
            <w:vAlign w:val="center"/>
          </w:tcPr>
          <w:p w14:paraId="7DDC2E1A">
            <w:pPr>
              <w:snapToGrid w:val="0"/>
              <w:spacing w:line="600" w:lineRule="atLeast"/>
              <w:jc w:val="center"/>
              <w:rPr>
                <w:rFonts w:hint="eastAsia" w:hAnsi="宋体"/>
                <w:color w:val="auto"/>
                <w:sz w:val="21"/>
                <w:szCs w:val="21"/>
                <w:highlight w:val="none"/>
              </w:rPr>
            </w:pPr>
            <w:r>
              <w:rPr>
                <w:rFonts w:hint="eastAsia" w:hAnsi="宋体"/>
                <w:color w:val="auto"/>
                <w:sz w:val="21"/>
                <w:szCs w:val="21"/>
                <w:highlight w:val="none"/>
              </w:rPr>
              <w:t>序号</w:t>
            </w:r>
          </w:p>
        </w:tc>
        <w:tc>
          <w:tcPr>
            <w:tcW w:w="2273" w:type="dxa"/>
            <w:vAlign w:val="center"/>
          </w:tcPr>
          <w:p w14:paraId="20861C89">
            <w:pPr>
              <w:snapToGrid w:val="0"/>
              <w:spacing w:line="600" w:lineRule="atLeast"/>
              <w:jc w:val="center"/>
              <w:rPr>
                <w:rFonts w:hint="eastAsia" w:hAnsi="宋体"/>
                <w:color w:val="auto"/>
                <w:sz w:val="21"/>
                <w:szCs w:val="21"/>
                <w:highlight w:val="none"/>
              </w:rPr>
            </w:pPr>
            <w:r>
              <w:rPr>
                <w:rFonts w:hint="eastAsia" w:hAnsi="宋体"/>
                <w:color w:val="auto"/>
                <w:sz w:val="21"/>
                <w:szCs w:val="21"/>
                <w:highlight w:val="none"/>
              </w:rPr>
              <w:t>招标文件商务条款</w:t>
            </w:r>
          </w:p>
        </w:tc>
        <w:tc>
          <w:tcPr>
            <w:tcW w:w="2805" w:type="dxa"/>
            <w:vAlign w:val="center"/>
          </w:tcPr>
          <w:p w14:paraId="3DBBCF69">
            <w:pPr>
              <w:snapToGrid w:val="0"/>
              <w:spacing w:line="600" w:lineRule="atLeast"/>
              <w:jc w:val="center"/>
              <w:rPr>
                <w:rFonts w:hint="eastAsia" w:hAnsi="宋体"/>
                <w:color w:val="auto"/>
                <w:sz w:val="21"/>
                <w:szCs w:val="21"/>
                <w:highlight w:val="none"/>
              </w:rPr>
            </w:pPr>
            <w:r>
              <w:rPr>
                <w:rFonts w:hint="eastAsia" w:hAnsi="宋体"/>
                <w:color w:val="auto"/>
                <w:sz w:val="21"/>
                <w:szCs w:val="21"/>
                <w:highlight w:val="none"/>
              </w:rPr>
              <w:t>投标文件商务条款响应情况</w:t>
            </w:r>
          </w:p>
        </w:tc>
        <w:tc>
          <w:tcPr>
            <w:tcW w:w="2517" w:type="dxa"/>
            <w:vAlign w:val="center"/>
          </w:tcPr>
          <w:p w14:paraId="7236A7B4">
            <w:pPr>
              <w:snapToGrid w:val="0"/>
              <w:spacing w:line="600" w:lineRule="atLeast"/>
              <w:jc w:val="center"/>
              <w:rPr>
                <w:rFonts w:hint="eastAsia" w:hAnsi="宋体"/>
                <w:color w:val="auto"/>
                <w:sz w:val="21"/>
                <w:szCs w:val="21"/>
                <w:highlight w:val="none"/>
              </w:rPr>
            </w:pPr>
            <w:r>
              <w:rPr>
                <w:rFonts w:hint="eastAsia" w:hAnsi="宋体"/>
                <w:color w:val="auto"/>
                <w:sz w:val="21"/>
                <w:szCs w:val="21"/>
                <w:highlight w:val="none"/>
              </w:rPr>
              <w:t>相关佐证材料或承诺位置</w:t>
            </w:r>
            <w:r>
              <w:rPr>
                <w:rFonts w:hint="eastAsia" w:hAnsi="宋体" w:cs="宋体"/>
                <w:color w:val="auto"/>
                <w:sz w:val="21"/>
                <w:szCs w:val="21"/>
                <w:highlight w:val="none"/>
              </w:rPr>
              <w:t>（投标文件页码）</w:t>
            </w:r>
          </w:p>
        </w:tc>
        <w:tc>
          <w:tcPr>
            <w:tcW w:w="1590" w:type="dxa"/>
            <w:vAlign w:val="center"/>
          </w:tcPr>
          <w:p w14:paraId="5B0531E2">
            <w:pPr>
              <w:snapToGrid w:val="0"/>
              <w:spacing w:line="600" w:lineRule="atLeast"/>
              <w:jc w:val="center"/>
              <w:rPr>
                <w:rFonts w:hint="eastAsia" w:hAnsi="宋体"/>
                <w:color w:val="auto"/>
                <w:sz w:val="21"/>
                <w:szCs w:val="21"/>
                <w:highlight w:val="none"/>
              </w:rPr>
            </w:pPr>
            <w:r>
              <w:rPr>
                <w:rFonts w:hint="eastAsia" w:hAnsi="宋体"/>
                <w:color w:val="auto"/>
                <w:sz w:val="21"/>
                <w:szCs w:val="21"/>
                <w:highlight w:val="none"/>
              </w:rPr>
              <w:t>条款偏离情况</w:t>
            </w:r>
          </w:p>
        </w:tc>
      </w:tr>
      <w:tr w14:paraId="151B1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14:paraId="0D11185A">
            <w:pPr>
              <w:snapToGrid w:val="0"/>
              <w:spacing w:line="800" w:lineRule="atLeast"/>
              <w:jc w:val="center"/>
              <w:rPr>
                <w:rFonts w:hint="eastAsia" w:hAnsi="宋体"/>
                <w:color w:val="auto"/>
                <w:sz w:val="21"/>
                <w:szCs w:val="21"/>
                <w:highlight w:val="none"/>
              </w:rPr>
            </w:pPr>
          </w:p>
        </w:tc>
        <w:tc>
          <w:tcPr>
            <w:tcW w:w="2273" w:type="dxa"/>
            <w:vAlign w:val="center"/>
          </w:tcPr>
          <w:p w14:paraId="713A4056">
            <w:pPr>
              <w:snapToGrid w:val="0"/>
              <w:spacing w:line="800" w:lineRule="atLeast"/>
              <w:jc w:val="center"/>
              <w:rPr>
                <w:rFonts w:hint="eastAsia" w:hAnsi="宋体"/>
                <w:color w:val="auto"/>
                <w:sz w:val="21"/>
                <w:szCs w:val="21"/>
                <w:highlight w:val="none"/>
              </w:rPr>
            </w:pPr>
          </w:p>
        </w:tc>
        <w:tc>
          <w:tcPr>
            <w:tcW w:w="2805" w:type="dxa"/>
            <w:vAlign w:val="center"/>
          </w:tcPr>
          <w:p w14:paraId="2A1ECB25">
            <w:pPr>
              <w:snapToGrid w:val="0"/>
              <w:spacing w:line="800" w:lineRule="atLeast"/>
              <w:jc w:val="center"/>
              <w:rPr>
                <w:rFonts w:hint="eastAsia" w:hAnsi="宋体"/>
                <w:color w:val="auto"/>
                <w:sz w:val="21"/>
                <w:szCs w:val="21"/>
                <w:highlight w:val="none"/>
              </w:rPr>
            </w:pPr>
          </w:p>
        </w:tc>
        <w:tc>
          <w:tcPr>
            <w:tcW w:w="2517" w:type="dxa"/>
            <w:vAlign w:val="center"/>
          </w:tcPr>
          <w:p w14:paraId="38554CA6">
            <w:pPr>
              <w:snapToGrid w:val="0"/>
              <w:spacing w:line="800" w:lineRule="atLeast"/>
              <w:jc w:val="center"/>
              <w:rPr>
                <w:rFonts w:hint="eastAsia" w:hAnsi="宋体"/>
                <w:color w:val="auto"/>
                <w:sz w:val="21"/>
                <w:szCs w:val="21"/>
                <w:highlight w:val="none"/>
              </w:rPr>
            </w:pPr>
          </w:p>
        </w:tc>
        <w:tc>
          <w:tcPr>
            <w:tcW w:w="1590" w:type="dxa"/>
            <w:vAlign w:val="center"/>
          </w:tcPr>
          <w:p w14:paraId="454321AF">
            <w:pPr>
              <w:snapToGrid w:val="0"/>
              <w:spacing w:line="800" w:lineRule="atLeast"/>
              <w:jc w:val="center"/>
              <w:rPr>
                <w:rFonts w:hint="eastAsia" w:hAnsi="宋体"/>
                <w:color w:val="auto"/>
                <w:sz w:val="21"/>
                <w:szCs w:val="21"/>
                <w:highlight w:val="none"/>
              </w:rPr>
            </w:pPr>
          </w:p>
        </w:tc>
      </w:tr>
      <w:tr w14:paraId="461AD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14:paraId="3B053B23">
            <w:pPr>
              <w:snapToGrid w:val="0"/>
              <w:spacing w:line="800" w:lineRule="atLeast"/>
              <w:jc w:val="center"/>
              <w:rPr>
                <w:rFonts w:hint="eastAsia" w:hAnsi="宋体"/>
                <w:color w:val="auto"/>
                <w:sz w:val="21"/>
                <w:szCs w:val="21"/>
                <w:highlight w:val="none"/>
              </w:rPr>
            </w:pPr>
          </w:p>
        </w:tc>
        <w:tc>
          <w:tcPr>
            <w:tcW w:w="2273" w:type="dxa"/>
            <w:vAlign w:val="center"/>
          </w:tcPr>
          <w:p w14:paraId="64EBC8B1">
            <w:pPr>
              <w:snapToGrid w:val="0"/>
              <w:spacing w:line="800" w:lineRule="atLeast"/>
              <w:jc w:val="center"/>
              <w:rPr>
                <w:rFonts w:hint="eastAsia" w:hAnsi="宋体"/>
                <w:color w:val="auto"/>
                <w:sz w:val="21"/>
                <w:szCs w:val="21"/>
                <w:highlight w:val="none"/>
              </w:rPr>
            </w:pPr>
          </w:p>
        </w:tc>
        <w:tc>
          <w:tcPr>
            <w:tcW w:w="2805" w:type="dxa"/>
            <w:vAlign w:val="center"/>
          </w:tcPr>
          <w:p w14:paraId="33361EFD">
            <w:pPr>
              <w:snapToGrid w:val="0"/>
              <w:spacing w:line="800" w:lineRule="atLeast"/>
              <w:jc w:val="center"/>
              <w:rPr>
                <w:rFonts w:hint="eastAsia" w:hAnsi="宋体"/>
                <w:color w:val="auto"/>
                <w:sz w:val="21"/>
                <w:szCs w:val="21"/>
                <w:highlight w:val="none"/>
              </w:rPr>
            </w:pPr>
          </w:p>
        </w:tc>
        <w:tc>
          <w:tcPr>
            <w:tcW w:w="2517" w:type="dxa"/>
            <w:vAlign w:val="center"/>
          </w:tcPr>
          <w:p w14:paraId="427AF5C6">
            <w:pPr>
              <w:snapToGrid w:val="0"/>
              <w:spacing w:line="800" w:lineRule="atLeast"/>
              <w:jc w:val="center"/>
              <w:rPr>
                <w:rFonts w:hint="eastAsia" w:hAnsi="宋体"/>
                <w:color w:val="auto"/>
                <w:sz w:val="21"/>
                <w:szCs w:val="21"/>
                <w:highlight w:val="none"/>
              </w:rPr>
            </w:pPr>
          </w:p>
        </w:tc>
        <w:tc>
          <w:tcPr>
            <w:tcW w:w="1590" w:type="dxa"/>
            <w:vAlign w:val="center"/>
          </w:tcPr>
          <w:p w14:paraId="4DBC9CDB">
            <w:pPr>
              <w:snapToGrid w:val="0"/>
              <w:spacing w:line="800" w:lineRule="atLeast"/>
              <w:jc w:val="center"/>
              <w:rPr>
                <w:rFonts w:hint="eastAsia" w:hAnsi="宋体"/>
                <w:color w:val="auto"/>
                <w:sz w:val="21"/>
                <w:szCs w:val="21"/>
                <w:highlight w:val="none"/>
              </w:rPr>
            </w:pPr>
          </w:p>
        </w:tc>
      </w:tr>
      <w:tr w14:paraId="23C70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14:paraId="61853F8F">
            <w:pPr>
              <w:snapToGrid w:val="0"/>
              <w:spacing w:line="800" w:lineRule="atLeast"/>
              <w:jc w:val="center"/>
              <w:rPr>
                <w:rFonts w:hint="eastAsia" w:hAnsi="宋体"/>
                <w:color w:val="auto"/>
                <w:sz w:val="21"/>
                <w:szCs w:val="21"/>
                <w:highlight w:val="none"/>
              </w:rPr>
            </w:pPr>
          </w:p>
        </w:tc>
        <w:tc>
          <w:tcPr>
            <w:tcW w:w="2273" w:type="dxa"/>
            <w:vAlign w:val="center"/>
          </w:tcPr>
          <w:p w14:paraId="192745F5">
            <w:pPr>
              <w:snapToGrid w:val="0"/>
              <w:spacing w:line="800" w:lineRule="atLeast"/>
              <w:jc w:val="center"/>
              <w:rPr>
                <w:rFonts w:hint="eastAsia" w:hAnsi="宋体"/>
                <w:color w:val="auto"/>
                <w:sz w:val="21"/>
                <w:szCs w:val="21"/>
                <w:highlight w:val="none"/>
              </w:rPr>
            </w:pPr>
          </w:p>
        </w:tc>
        <w:tc>
          <w:tcPr>
            <w:tcW w:w="2805" w:type="dxa"/>
            <w:vAlign w:val="center"/>
          </w:tcPr>
          <w:p w14:paraId="78CB3E55">
            <w:pPr>
              <w:snapToGrid w:val="0"/>
              <w:spacing w:line="800" w:lineRule="atLeast"/>
              <w:jc w:val="center"/>
              <w:rPr>
                <w:rFonts w:hint="eastAsia" w:hAnsi="宋体"/>
                <w:color w:val="auto"/>
                <w:sz w:val="21"/>
                <w:szCs w:val="21"/>
                <w:highlight w:val="none"/>
              </w:rPr>
            </w:pPr>
          </w:p>
        </w:tc>
        <w:tc>
          <w:tcPr>
            <w:tcW w:w="2517" w:type="dxa"/>
            <w:vAlign w:val="center"/>
          </w:tcPr>
          <w:p w14:paraId="4D9F1C74">
            <w:pPr>
              <w:snapToGrid w:val="0"/>
              <w:spacing w:line="800" w:lineRule="atLeast"/>
              <w:jc w:val="center"/>
              <w:rPr>
                <w:rFonts w:hint="eastAsia" w:hAnsi="宋体"/>
                <w:color w:val="auto"/>
                <w:sz w:val="21"/>
                <w:szCs w:val="21"/>
                <w:highlight w:val="none"/>
              </w:rPr>
            </w:pPr>
          </w:p>
        </w:tc>
        <w:tc>
          <w:tcPr>
            <w:tcW w:w="1590" w:type="dxa"/>
            <w:vAlign w:val="center"/>
          </w:tcPr>
          <w:p w14:paraId="0153DB73">
            <w:pPr>
              <w:snapToGrid w:val="0"/>
              <w:spacing w:line="800" w:lineRule="atLeast"/>
              <w:jc w:val="center"/>
              <w:rPr>
                <w:rFonts w:hint="eastAsia" w:hAnsi="宋体"/>
                <w:color w:val="auto"/>
                <w:sz w:val="21"/>
                <w:szCs w:val="21"/>
                <w:highlight w:val="none"/>
              </w:rPr>
            </w:pPr>
          </w:p>
        </w:tc>
      </w:tr>
    </w:tbl>
    <w:p w14:paraId="6C9937AF">
      <w:pPr>
        <w:topLinePunct/>
        <w:spacing w:line="280" w:lineRule="exact"/>
        <w:rPr>
          <w:rFonts w:hint="eastAsia" w:hAnsi="宋体"/>
          <w:b/>
          <w:bCs/>
          <w:color w:val="auto"/>
          <w:sz w:val="21"/>
          <w:szCs w:val="21"/>
          <w:highlight w:val="none"/>
        </w:rPr>
      </w:pPr>
      <w:r>
        <w:rPr>
          <w:rFonts w:hint="eastAsia" w:hAnsi="宋体"/>
          <w:b/>
          <w:bCs/>
          <w:color w:val="auto"/>
          <w:sz w:val="21"/>
          <w:szCs w:val="21"/>
          <w:highlight w:val="none"/>
        </w:rPr>
        <w:t>注：</w:t>
      </w:r>
      <w:r>
        <w:rPr>
          <w:rFonts w:hAnsi="宋体"/>
          <w:b/>
          <w:bCs/>
          <w:color w:val="auto"/>
          <w:sz w:val="21"/>
          <w:szCs w:val="21"/>
          <w:highlight w:val="none"/>
        </w:rPr>
        <w:t>1</w:t>
      </w:r>
      <w:r>
        <w:rPr>
          <w:rFonts w:hint="eastAsia" w:hAnsi="宋体"/>
          <w:b/>
          <w:bCs/>
          <w:color w:val="auto"/>
          <w:sz w:val="21"/>
          <w:szCs w:val="21"/>
          <w:highlight w:val="none"/>
        </w:rPr>
        <w:t>、商务条款包含合同履行期限、项目服务地点、系统部署安装区域要求（招标文件第六章项目技术标准和要求“二、项目采购需求、</w:t>
      </w:r>
      <w:r>
        <w:rPr>
          <w:rFonts w:hint="eastAsia" w:hAnsi="宋体"/>
          <w:b/>
          <w:bCs/>
          <w:color w:val="auto"/>
          <w:sz w:val="21"/>
          <w:szCs w:val="21"/>
          <w:highlight w:val="none"/>
          <w:lang w:eastAsia="zh-CN"/>
        </w:rPr>
        <w:t>2.3系统部署安装区域要求</w:t>
      </w:r>
      <w:r>
        <w:rPr>
          <w:rFonts w:hint="eastAsia" w:hAnsi="宋体"/>
          <w:b/>
          <w:bCs/>
          <w:color w:val="auto"/>
          <w:sz w:val="21"/>
          <w:szCs w:val="21"/>
          <w:highlight w:val="none"/>
        </w:rPr>
        <w:t>”）、售后运维服务期限等非技术要求的指标。2、若表格不够填写，可自行扩展。</w:t>
      </w:r>
    </w:p>
    <w:p w14:paraId="1E73833A">
      <w:pPr>
        <w:widowControl/>
        <w:jc w:val="left"/>
        <w:rPr>
          <w:rFonts w:hint="eastAsia" w:hAnsi="宋体"/>
          <w:b/>
          <w:bCs/>
          <w:color w:val="auto"/>
          <w:sz w:val="21"/>
          <w:szCs w:val="21"/>
          <w:highlight w:val="none"/>
        </w:rPr>
      </w:pPr>
    </w:p>
    <w:p w14:paraId="17F5BCBF">
      <w:pPr>
        <w:widowControl/>
        <w:jc w:val="left"/>
        <w:rPr>
          <w:rFonts w:hint="eastAsia" w:hAnsi="宋体"/>
          <w:b/>
          <w:bCs/>
          <w:color w:val="auto"/>
          <w:sz w:val="21"/>
          <w:szCs w:val="21"/>
          <w:highlight w:val="none"/>
        </w:rPr>
      </w:pPr>
    </w:p>
    <w:p w14:paraId="09C80574">
      <w:pPr>
        <w:spacing w:before="60" w:after="60" w:line="360" w:lineRule="auto"/>
        <w:rPr>
          <w:rFonts w:hint="eastAsia" w:hAnsi="宋体"/>
          <w:color w:val="auto"/>
          <w:sz w:val="21"/>
          <w:szCs w:val="21"/>
          <w:highlight w:val="none"/>
        </w:rPr>
      </w:pPr>
      <w:r>
        <w:rPr>
          <w:rFonts w:hint="eastAsia" w:hAnsi="宋体"/>
          <w:color w:val="auto"/>
          <w:sz w:val="21"/>
          <w:szCs w:val="21"/>
          <w:highlight w:val="none"/>
        </w:rPr>
        <w:t>投标人（加盖单位章）：</w:t>
      </w:r>
      <w:r>
        <w:rPr>
          <w:rFonts w:hAnsi="宋体"/>
          <w:color w:val="auto"/>
          <w:sz w:val="21"/>
          <w:szCs w:val="21"/>
          <w:highlight w:val="none"/>
        </w:rPr>
        <w:t>______________</w:t>
      </w:r>
    </w:p>
    <w:p w14:paraId="5670B132">
      <w:pPr>
        <w:spacing w:before="60" w:after="60" w:line="360" w:lineRule="auto"/>
        <w:rPr>
          <w:rFonts w:hint="eastAsia" w:hAnsi="宋体"/>
          <w:color w:val="auto"/>
          <w:sz w:val="21"/>
          <w:szCs w:val="21"/>
          <w:highlight w:val="none"/>
        </w:rPr>
      </w:pPr>
      <w:r>
        <w:rPr>
          <w:rFonts w:hint="eastAsia" w:hAnsi="宋体"/>
          <w:color w:val="auto"/>
          <w:sz w:val="21"/>
          <w:szCs w:val="21"/>
          <w:highlight w:val="none"/>
        </w:rPr>
        <w:t>法定代表人（负责人）或委托代理人（签字或盖章）：</w:t>
      </w:r>
      <w:r>
        <w:rPr>
          <w:rFonts w:hAnsi="宋体"/>
          <w:color w:val="auto"/>
          <w:sz w:val="21"/>
          <w:szCs w:val="21"/>
          <w:highlight w:val="none"/>
        </w:rPr>
        <w:t>________</w:t>
      </w:r>
    </w:p>
    <w:p w14:paraId="623B12CE">
      <w:pPr>
        <w:rPr>
          <w:rStyle w:val="75"/>
          <w:color w:val="auto"/>
          <w:highlight w:val="none"/>
        </w:rPr>
      </w:pPr>
      <w:r>
        <w:rPr>
          <w:rFonts w:hint="eastAsia" w:hAnsi="宋体"/>
          <w:color w:val="auto"/>
          <w:sz w:val="21"/>
          <w:szCs w:val="21"/>
          <w:highlight w:val="none"/>
        </w:rPr>
        <w:t>日期：</w:t>
      </w:r>
      <w:r>
        <w:rPr>
          <w:rFonts w:hAnsi="宋体"/>
          <w:color w:val="auto"/>
          <w:sz w:val="21"/>
          <w:szCs w:val="21"/>
          <w:highlight w:val="none"/>
        </w:rPr>
        <w:t>________</w:t>
      </w:r>
      <w:r>
        <w:rPr>
          <w:rFonts w:hint="eastAsia" w:hAnsi="宋体"/>
          <w:color w:val="auto"/>
          <w:sz w:val="21"/>
          <w:szCs w:val="21"/>
          <w:highlight w:val="none"/>
        </w:rPr>
        <w:t>年</w:t>
      </w:r>
      <w:r>
        <w:rPr>
          <w:rFonts w:hAnsi="宋体"/>
          <w:color w:val="auto"/>
          <w:sz w:val="21"/>
          <w:szCs w:val="21"/>
          <w:highlight w:val="none"/>
        </w:rPr>
        <w:t>_____</w:t>
      </w:r>
      <w:r>
        <w:rPr>
          <w:rFonts w:hint="eastAsia" w:hAnsi="宋体"/>
          <w:color w:val="auto"/>
          <w:sz w:val="21"/>
          <w:szCs w:val="21"/>
          <w:highlight w:val="none"/>
        </w:rPr>
        <w:t>月</w:t>
      </w:r>
      <w:r>
        <w:rPr>
          <w:rFonts w:hAnsi="宋体"/>
          <w:color w:val="auto"/>
          <w:sz w:val="21"/>
          <w:szCs w:val="21"/>
          <w:highlight w:val="none"/>
        </w:rPr>
        <w:t>_____</w:t>
      </w:r>
      <w:r>
        <w:rPr>
          <w:rFonts w:hint="eastAsia" w:hAnsi="宋体"/>
          <w:color w:val="auto"/>
          <w:sz w:val="21"/>
          <w:szCs w:val="21"/>
          <w:highlight w:val="none"/>
        </w:rPr>
        <w:t>日</w:t>
      </w:r>
      <w:r>
        <w:rPr>
          <w:rFonts w:hAnsi="宋体"/>
          <w:color w:val="auto"/>
          <w:sz w:val="24"/>
          <w:highlight w:val="none"/>
        </w:rPr>
        <w:br w:type="page"/>
      </w:r>
    </w:p>
    <w:p w14:paraId="2525147A">
      <w:pPr>
        <w:spacing w:before="60" w:after="60" w:line="560" w:lineRule="exact"/>
        <w:jc w:val="center"/>
        <w:rPr>
          <w:rStyle w:val="75"/>
          <w:color w:val="auto"/>
          <w:highlight w:val="none"/>
        </w:rPr>
      </w:pPr>
      <w:bookmarkStart w:id="72" w:name="_Toc14580"/>
      <w:r>
        <w:rPr>
          <w:rStyle w:val="75"/>
          <w:rFonts w:hint="eastAsia"/>
          <w:color w:val="auto"/>
          <w:highlight w:val="none"/>
        </w:rPr>
        <w:t>（二）投标产品介绍</w:t>
      </w:r>
    </w:p>
    <w:bookmarkEnd w:id="72"/>
    <w:p w14:paraId="1F0D09D1">
      <w:pPr>
        <w:spacing w:line="360" w:lineRule="auto"/>
        <w:rPr>
          <w:rFonts w:hint="eastAsia" w:hAnsi="宋体" w:cs="宋体"/>
          <w:color w:val="auto"/>
          <w:sz w:val="21"/>
          <w:szCs w:val="21"/>
          <w:highlight w:val="none"/>
        </w:rPr>
      </w:pPr>
    </w:p>
    <w:p w14:paraId="6DCC06E7">
      <w:pPr>
        <w:spacing w:line="360" w:lineRule="auto"/>
        <w:ind w:firstLine="480"/>
        <w:rPr>
          <w:rFonts w:hint="eastAsia" w:hAnsi="宋体" w:cs="宋体"/>
          <w:color w:val="auto"/>
          <w:sz w:val="21"/>
          <w:szCs w:val="21"/>
          <w:highlight w:val="none"/>
        </w:rPr>
      </w:pPr>
      <w:r>
        <w:rPr>
          <w:rFonts w:hint="eastAsia" w:hAnsi="宋体" w:cs="宋体"/>
          <w:color w:val="auto"/>
          <w:sz w:val="21"/>
          <w:szCs w:val="21"/>
          <w:highlight w:val="none"/>
        </w:rPr>
        <w:t>请分别针对本次采购产品进行介绍，并提供详细技术参数及投标产品介绍相关证明材料，相关要求如下：</w:t>
      </w:r>
    </w:p>
    <w:p w14:paraId="557EEB9D">
      <w:pPr>
        <w:spacing w:line="360" w:lineRule="auto"/>
        <w:ind w:firstLine="420" w:firstLineChars="200"/>
        <w:jc w:val="left"/>
        <w:rPr>
          <w:rFonts w:hint="eastAsia" w:hAnsi="宋体" w:cs="宋体"/>
          <w:color w:val="auto"/>
          <w:sz w:val="21"/>
          <w:szCs w:val="21"/>
          <w:highlight w:val="none"/>
        </w:rPr>
      </w:pPr>
      <w:r>
        <w:rPr>
          <w:rFonts w:hint="eastAsia" w:hAnsi="宋体" w:cs="宋体"/>
          <w:color w:val="auto"/>
          <w:sz w:val="21"/>
          <w:szCs w:val="21"/>
          <w:highlight w:val="none"/>
        </w:rPr>
        <w:t>拟提供产品介绍相关证明材料包含且不限于：拟提供软件产品功能清单、产品生产厂家的相关资质证书、产品相关认证证书、第三方检测机构出具的软件产品检测报告（软件测试报告）、软件产品技术性能介绍证明材料（针对采购需求中每一项功能模块和技术性能指标中单项技术要求提供详细的技术性能介绍和技术性能实现方式介绍以及对应的软件系统操作界面截图）、软件著作权证（如有），拟提供产品用户使用情况和使用评价意见（如有）、产品相关认证或证书等以及招标文件第三章要求提供的产品相关技术证明材料等。</w:t>
      </w:r>
    </w:p>
    <w:p w14:paraId="349A6C7B">
      <w:pPr>
        <w:spacing w:line="360" w:lineRule="auto"/>
        <w:ind w:firstLine="420" w:firstLineChars="200"/>
        <w:jc w:val="left"/>
        <w:rPr>
          <w:rFonts w:hint="eastAsia" w:hAnsi="宋体" w:cs="宋体"/>
          <w:color w:val="auto"/>
          <w:sz w:val="21"/>
          <w:szCs w:val="21"/>
          <w:highlight w:val="none"/>
        </w:rPr>
      </w:pPr>
    </w:p>
    <w:p w14:paraId="572BD651">
      <w:pPr>
        <w:spacing w:line="360" w:lineRule="auto"/>
        <w:ind w:firstLine="420" w:firstLineChars="200"/>
        <w:jc w:val="left"/>
        <w:rPr>
          <w:rFonts w:hint="eastAsia" w:hAnsi="宋体" w:cs="宋体"/>
          <w:color w:val="auto"/>
          <w:sz w:val="21"/>
          <w:szCs w:val="21"/>
          <w:highlight w:val="none"/>
        </w:rPr>
      </w:pPr>
      <w:r>
        <w:rPr>
          <w:rFonts w:hint="eastAsia" w:hAnsi="宋体" w:cs="宋体"/>
          <w:color w:val="auto"/>
          <w:sz w:val="21"/>
          <w:szCs w:val="21"/>
          <w:highlight w:val="none"/>
        </w:rPr>
        <w:t>产品技术性能介绍相关证明材料格式要求</w:t>
      </w:r>
    </w:p>
    <w:p w14:paraId="03E002BF">
      <w:pPr>
        <w:spacing w:line="360" w:lineRule="auto"/>
        <w:ind w:firstLine="630" w:firstLineChars="300"/>
        <w:jc w:val="left"/>
        <w:rPr>
          <w:rFonts w:hint="eastAsia" w:hAnsi="宋体" w:cs="宋体"/>
          <w:color w:val="auto"/>
          <w:sz w:val="21"/>
          <w:szCs w:val="21"/>
          <w:highlight w:val="none"/>
        </w:rPr>
      </w:pPr>
      <w:r>
        <w:rPr>
          <w:rFonts w:hint="eastAsia" w:hAnsi="宋体" w:cs="宋体"/>
          <w:color w:val="auto"/>
          <w:sz w:val="21"/>
          <w:szCs w:val="21"/>
          <w:highlight w:val="none"/>
        </w:rPr>
        <w:t>产品名称：</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技术介绍相关证明材料第</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页        </w:t>
      </w:r>
    </w:p>
    <w:tbl>
      <w:tblPr>
        <w:tblStyle w:val="40"/>
        <w:tblW w:w="97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44"/>
        <w:gridCol w:w="2417"/>
        <w:gridCol w:w="3017"/>
        <w:gridCol w:w="2334"/>
      </w:tblGrid>
      <w:tr w14:paraId="38E22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4" w:type="dxa"/>
          </w:tcPr>
          <w:p w14:paraId="15678BBB">
            <w:pPr>
              <w:spacing w:line="360" w:lineRule="auto"/>
              <w:jc w:val="left"/>
              <w:rPr>
                <w:rFonts w:hint="eastAsia" w:hAnsi="宋体" w:cs="宋体"/>
                <w:color w:val="auto"/>
                <w:sz w:val="21"/>
                <w:szCs w:val="21"/>
                <w:highlight w:val="none"/>
              </w:rPr>
            </w:pPr>
            <w:r>
              <w:rPr>
                <w:rFonts w:hint="eastAsia" w:hAnsi="宋体" w:cs="宋体"/>
                <w:color w:val="auto"/>
                <w:sz w:val="21"/>
                <w:szCs w:val="21"/>
                <w:highlight w:val="none"/>
              </w:rPr>
              <w:t>产品名称</w:t>
            </w:r>
          </w:p>
        </w:tc>
        <w:tc>
          <w:tcPr>
            <w:tcW w:w="2417" w:type="dxa"/>
          </w:tcPr>
          <w:p w14:paraId="496D70FC">
            <w:pPr>
              <w:spacing w:line="360" w:lineRule="auto"/>
              <w:jc w:val="left"/>
              <w:rPr>
                <w:rFonts w:hint="eastAsia" w:hAnsi="宋体" w:cs="宋体"/>
                <w:color w:val="auto"/>
                <w:sz w:val="21"/>
                <w:szCs w:val="21"/>
                <w:highlight w:val="none"/>
              </w:rPr>
            </w:pPr>
          </w:p>
        </w:tc>
        <w:tc>
          <w:tcPr>
            <w:tcW w:w="3017" w:type="dxa"/>
          </w:tcPr>
          <w:p w14:paraId="1B17C109">
            <w:pPr>
              <w:spacing w:line="360" w:lineRule="auto"/>
              <w:jc w:val="left"/>
              <w:rPr>
                <w:rFonts w:hint="eastAsia" w:hAnsi="宋体" w:cs="宋体"/>
                <w:color w:val="auto"/>
                <w:sz w:val="21"/>
                <w:szCs w:val="21"/>
                <w:highlight w:val="none"/>
              </w:rPr>
            </w:pPr>
            <w:r>
              <w:rPr>
                <w:rFonts w:hint="eastAsia" w:hAnsi="宋体" w:cs="宋体"/>
                <w:color w:val="auto"/>
                <w:sz w:val="21"/>
                <w:szCs w:val="21"/>
                <w:highlight w:val="none"/>
              </w:rPr>
              <w:t>产品生产厂家、品牌及型号</w:t>
            </w:r>
          </w:p>
        </w:tc>
        <w:tc>
          <w:tcPr>
            <w:tcW w:w="2334" w:type="dxa"/>
          </w:tcPr>
          <w:p w14:paraId="1DF25CBD">
            <w:pPr>
              <w:spacing w:line="360" w:lineRule="auto"/>
              <w:jc w:val="left"/>
              <w:rPr>
                <w:rFonts w:hint="eastAsia" w:hAnsi="宋体" w:cs="宋体"/>
                <w:color w:val="auto"/>
                <w:sz w:val="21"/>
                <w:szCs w:val="21"/>
                <w:highlight w:val="none"/>
              </w:rPr>
            </w:pPr>
          </w:p>
        </w:tc>
      </w:tr>
      <w:tr w14:paraId="3F85C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12" w:type="dxa"/>
            <w:gridSpan w:val="4"/>
          </w:tcPr>
          <w:p w14:paraId="2379E26E">
            <w:pPr>
              <w:spacing w:line="360" w:lineRule="auto"/>
              <w:jc w:val="left"/>
              <w:rPr>
                <w:rFonts w:hint="eastAsia" w:hAnsi="宋体" w:cs="宋体"/>
                <w:color w:val="auto"/>
                <w:sz w:val="21"/>
                <w:szCs w:val="21"/>
                <w:highlight w:val="none"/>
              </w:rPr>
            </w:pPr>
            <w:r>
              <w:rPr>
                <w:rFonts w:hint="eastAsia" w:hAnsi="宋体" w:cs="宋体"/>
                <w:color w:val="auto"/>
                <w:sz w:val="21"/>
                <w:szCs w:val="21"/>
                <w:highlight w:val="none"/>
              </w:rPr>
              <w:t>产品技术性能介绍相关证明材料</w:t>
            </w:r>
          </w:p>
          <w:p w14:paraId="26E7F496">
            <w:pPr>
              <w:spacing w:line="360" w:lineRule="auto"/>
              <w:jc w:val="left"/>
              <w:rPr>
                <w:rFonts w:hint="eastAsia" w:hAnsi="宋体" w:cs="宋体"/>
                <w:color w:val="auto"/>
                <w:sz w:val="21"/>
                <w:szCs w:val="21"/>
                <w:highlight w:val="none"/>
              </w:rPr>
            </w:pPr>
            <w:r>
              <w:rPr>
                <w:rFonts w:hint="eastAsia" w:hAnsi="宋体" w:cs="宋体"/>
                <w:color w:val="auto"/>
                <w:sz w:val="21"/>
                <w:szCs w:val="21"/>
                <w:highlight w:val="none"/>
              </w:rPr>
              <w:t>技术性能介绍证明材料1：</w:t>
            </w:r>
          </w:p>
          <w:p w14:paraId="523E8258">
            <w:pPr>
              <w:spacing w:line="360" w:lineRule="auto"/>
              <w:jc w:val="left"/>
              <w:rPr>
                <w:rFonts w:hint="eastAsia" w:hAnsi="宋体" w:cs="宋体"/>
                <w:color w:val="auto"/>
                <w:sz w:val="21"/>
                <w:szCs w:val="21"/>
                <w:highlight w:val="none"/>
              </w:rPr>
            </w:pPr>
          </w:p>
          <w:p w14:paraId="2B16C71D">
            <w:pPr>
              <w:spacing w:line="360" w:lineRule="auto"/>
              <w:jc w:val="left"/>
              <w:rPr>
                <w:rFonts w:hint="eastAsia" w:hAnsi="宋体" w:cs="宋体"/>
                <w:color w:val="auto"/>
                <w:sz w:val="21"/>
                <w:szCs w:val="21"/>
                <w:highlight w:val="none"/>
              </w:rPr>
            </w:pPr>
            <w:r>
              <w:rPr>
                <w:rFonts w:hint="eastAsia" w:hAnsi="宋体" w:cs="宋体"/>
                <w:color w:val="auto"/>
                <w:sz w:val="21"/>
                <w:szCs w:val="21"/>
                <w:highlight w:val="none"/>
              </w:rPr>
              <w:t>技术性能介绍证明材料2：</w:t>
            </w:r>
          </w:p>
          <w:p w14:paraId="7CC46CE7">
            <w:pPr>
              <w:spacing w:line="360" w:lineRule="auto"/>
              <w:jc w:val="left"/>
              <w:rPr>
                <w:rFonts w:hint="eastAsia" w:hAnsi="宋体" w:cs="宋体"/>
                <w:color w:val="auto"/>
                <w:sz w:val="21"/>
                <w:szCs w:val="21"/>
                <w:highlight w:val="none"/>
              </w:rPr>
            </w:pPr>
          </w:p>
          <w:p w14:paraId="436C8C95">
            <w:pPr>
              <w:spacing w:line="360" w:lineRule="auto"/>
              <w:jc w:val="left"/>
              <w:rPr>
                <w:rFonts w:hint="eastAsia" w:hAnsi="宋体" w:cs="宋体"/>
                <w:color w:val="auto"/>
                <w:sz w:val="21"/>
                <w:szCs w:val="21"/>
                <w:highlight w:val="none"/>
              </w:rPr>
            </w:pPr>
            <w:r>
              <w:rPr>
                <w:rFonts w:hint="eastAsia" w:hAnsi="宋体" w:cs="宋体"/>
                <w:color w:val="auto"/>
                <w:sz w:val="21"/>
                <w:szCs w:val="21"/>
                <w:highlight w:val="none"/>
              </w:rPr>
              <w:t>···</w:t>
            </w:r>
          </w:p>
          <w:p w14:paraId="488769A5">
            <w:pPr>
              <w:spacing w:line="360" w:lineRule="auto"/>
              <w:jc w:val="left"/>
              <w:rPr>
                <w:rFonts w:hint="eastAsia" w:hAnsi="宋体" w:cs="宋体"/>
                <w:color w:val="auto"/>
                <w:sz w:val="21"/>
                <w:szCs w:val="21"/>
                <w:highlight w:val="none"/>
              </w:rPr>
            </w:pPr>
            <w:r>
              <w:rPr>
                <w:rFonts w:hint="eastAsia" w:hAnsi="宋体" w:cs="宋体"/>
                <w:color w:val="auto"/>
                <w:sz w:val="21"/>
                <w:szCs w:val="21"/>
                <w:highlight w:val="none"/>
              </w:rPr>
              <w:t>产品其他相关材料1：</w:t>
            </w:r>
          </w:p>
          <w:p w14:paraId="49C6C5C1">
            <w:pPr>
              <w:spacing w:line="360" w:lineRule="auto"/>
              <w:jc w:val="left"/>
              <w:rPr>
                <w:rFonts w:hint="eastAsia" w:hAnsi="宋体" w:cs="宋体"/>
                <w:color w:val="auto"/>
                <w:sz w:val="21"/>
                <w:szCs w:val="21"/>
                <w:highlight w:val="none"/>
              </w:rPr>
            </w:pPr>
          </w:p>
          <w:p w14:paraId="452DDC6D">
            <w:pPr>
              <w:spacing w:line="360" w:lineRule="auto"/>
              <w:jc w:val="left"/>
              <w:rPr>
                <w:rFonts w:hint="eastAsia" w:hAnsi="宋体" w:cs="宋体"/>
                <w:color w:val="auto"/>
                <w:sz w:val="21"/>
                <w:szCs w:val="21"/>
                <w:highlight w:val="none"/>
              </w:rPr>
            </w:pPr>
            <w:r>
              <w:rPr>
                <w:rFonts w:hint="eastAsia" w:hAnsi="宋体" w:cs="宋体"/>
                <w:color w:val="auto"/>
                <w:sz w:val="21"/>
                <w:szCs w:val="21"/>
                <w:highlight w:val="none"/>
              </w:rPr>
              <w:t>产品其他相关材料2：</w:t>
            </w:r>
          </w:p>
          <w:p w14:paraId="2661454D">
            <w:pPr>
              <w:spacing w:line="360" w:lineRule="auto"/>
              <w:jc w:val="left"/>
              <w:rPr>
                <w:rFonts w:hint="eastAsia" w:hAnsi="宋体" w:cs="宋体"/>
                <w:color w:val="auto"/>
                <w:sz w:val="21"/>
                <w:szCs w:val="21"/>
                <w:highlight w:val="none"/>
              </w:rPr>
            </w:pPr>
          </w:p>
          <w:p w14:paraId="4C2E4763">
            <w:pPr>
              <w:spacing w:line="360" w:lineRule="auto"/>
              <w:jc w:val="left"/>
              <w:rPr>
                <w:rFonts w:hint="eastAsia" w:hAnsi="宋体" w:cs="宋体"/>
                <w:color w:val="auto"/>
                <w:sz w:val="21"/>
                <w:szCs w:val="21"/>
                <w:highlight w:val="none"/>
              </w:rPr>
            </w:pPr>
            <w:r>
              <w:rPr>
                <w:rFonts w:hint="eastAsia" w:hAnsi="宋体" w:cs="宋体"/>
                <w:color w:val="auto"/>
                <w:sz w:val="21"/>
                <w:szCs w:val="21"/>
                <w:highlight w:val="none"/>
              </w:rPr>
              <w:t>···</w:t>
            </w:r>
          </w:p>
        </w:tc>
      </w:tr>
    </w:tbl>
    <w:p w14:paraId="481163A1">
      <w:pPr>
        <w:keepNext/>
        <w:rPr>
          <w:rStyle w:val="75"/>
          <w:color w:val="auto"/>
          <w:highlight w:val="none"/>
        </w:rPr>
      </w:pPr>
      <w:r>
        <w:rPr>
          <w:rFonts w:hint="eastAsia" w:hAnsi="宋体" w:cs="宋体"/>
          <w:b/>
          <w:bCs/>
          <w:color w:val="auto"/>
          <w:sz w:val="21"/>
          <w:szCs w:val="21"/>
          <w:highlight w:val="none"/>
        </w:rPr>
        <w:t>注：以上材料须加盖磋商申请人的公章。</w:t>
      </w:r>
    </w:p>
    <w:p w14:paraId="34EBBB5E">
      <w:pPr>
        <w:rPr>
          <w:rStyle w:val="75"/>
          <w:color w:val="auto"/>
          <w:highlight w:val="none"/>
        </w:rPr>
      </w:pPr>
      <w:r>
        <w:rPr>
          <w:rStyle w:val="75"/>
          <w:rFonts w:hint="eastAsia"/>
          <w:color w:val="auto"/>
          <w:highlight w:val="none"/>
        </w:rPr>
        <w:br w:type="page"/>
      </w:r>
    </w:p>
    <w:p w14:paraId="5C3AB0DC">
      <w:pPr>
        <w:spacing w:before="60" w:after="60" w:line="560" w:lineRule="exact"/>
        <w:jc w:val="center"/>
        <w:rPr>
          <w:rStyle w:val="75"/>
          <w:color w:val="auto"/>
          <w:highlight w:val="none"/>
        </w:rPr>
      </w:pPr>
      <w:bookmarkStart w:id="73" w:name="_Toc6787"/>
      <w:r>
        <w:rPr>
          <w:rStyle w:val="75"/>
          <w:rFonts w:hint="eastAsia"/>
          <w:color w:val="auto"/>
          <w:highlight w:val="none"/>
        </w:rPr>
        <w:t>（三）技术偏离表</w:t>
      </w:r>
    </w:p>
    <w:bookmarkEnd w:id="73"/>
    <w:p w14:paraId="659C14BC">
      <w:pPr>
        <w:snapToGrid w:val="0"/>
        <w:spacing w:after="156" w:afterLines="50" w:line="460" w:lineRule="atLeast"/>
        <w:rPr>
          <w:rFonts w:hint="eastAsia" w:hAnsi="宋体" w:cs="宋体"/>
          <w:color w:val="auto"/>
          <w:sz w:val="21"/>
          <w:szCs w:val="21"/>
          <w:highlight w:val="none"/>
        </w:rPr>
      </w:pPr>
      <w:r>
        <w:rPr>
          <w:rFonts w:hint="eastAsia" w:hAnsi="宋体" w:cs="宋体"/>
          <w:color w:val="auto"/>
          <w:sz w:val="21"/>
          <w:szCs w:val="21"/>
          <w:highlight w:val="none"/>
        </w:rPr>
        <w:t xml:space="preserve">项目名称：                              项目编号：                                         </w:t>
      </w:r>
    </w:p>
    <w:tbl>
      <w:tblPr>
        <w:tblStyle w:val="39"/>
        <w:tblpPr w:leftFromText="180" w:rightFromText="180" w:vertAnchor="text" w:horzAnchor="page" w:tblpX="1254" w:tblpY="158"/>
        <w:tblW w:w="101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0"/>
        <w:gridCol w:w="1733"/>
        <w:gridCol w:w="1567"/>
        <w:gridCol w:w="1525"/>
        <w:gridCol w:w="1103"/>
        <w:gridCol w:w="3630"/>
      </w:tblGrid>
      <w:tr w14:paraId="00C56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0" w:type="dxa"/>
            <w:vAlign w:val="center"/>
          </w:tcPr>
          <w:p w14:paraId="1EF729C7">
            <w:pPr>
              <w:spacing w:line="360" w:lineRule="auto"/>
              <w:jc w:val="center"/>
              <w:rPr>
                <w:rFonts w:hint="eastAsia" w:hAnsi="宋体" w:cs="宋体"/>
                <w:color w:val="auto"/>
                <w:sz w:val="21"/>
                <w:szCs w:val="21"/>
                <w:highlight w:val="none"/>
              </w:rPr>
            </w:pPr>
            <w:r>
              <w:rPr>
                <w:rFonts w:hint="eastAsia" w:hAnsi="宋体" w:cs="宋体"/>
                <w:color w:val="auto"/>
                <w:sz w:val="21"/>
                <w:szCs w:val="21"/>
                <w:highlight w:val="none"/>
              </w:rPr>
              <w:t>序号</w:t>
            </w:r>
          </w:p>
        </w:tc>
        <w:tc>
          <w:tcPr>
            <w:tcW w:w="1733" w:type="dxa"/>
            <w:vAlign w:val="center"/>
          </w:tcPr>
          <w:p w14:paraId="39C22A02">
            <w:pPr>
              <w:spacing w:line="360" w:lineRule="auto"/>
              <w:jc w:val="center"/>
              <w:rPr>
                <w:rFonts w:hint="eastAsia" w:hAnsi="宋体" w:cs="宋体"/>
                <w:color w:val="auto"/>
                <w:sz w:val="21"/>
                <w:szCs w:val="21"/>
                <w:highlight w:val="none"/>
              </w:rPr>
            </w:pPr>
            <w:r>
              <w:rPr>
                <w:rFonts w:hint="eastAsia" w:hAnsi="宋体" w:cs="宋体"/>
                <w:color w:val="auto"/>
                <w:sz w:val="21"/>
                <w:szCs w:val="21"/>
                <w:highlight w:val="none"/>
              </w:rPr>
              <w:t>名称</w:t>
            </w:r>
          </w:p>
        </w:tc>
        <w:tc>
          <w:tcPr>
            <w:tcW w:w="1567" w:type="dxa"/>
            <w:vAlign w:val="center"/>
          </w:tcPr>
          <w:p w14:paraId="62C17F23">
            <w:pPr>
              <w:spacing w:line="360" w:lineRule="auto"/>
              <w:jc w:val="center"/>
              <w:rPr>
                <w:rFonts w:hint="eastAsia" w:hAnsi="宋体" w:cs="宋体"/>
                <w:color w:val="auto"/>
                <w:sz w:val="21"/>
                <w:szCs w:val="21"/>
                <w:highlight w:val="none"/>
              </w:rPr>
            </w:pPr>
            <w:r>
              <w:rPr>
                <w:rFonts w:hint="eastAsia" w:hAnsi="宋体" w:cs="宋体"/>
                <w:color w:val="auto"/>
                <w:sz w:val="21"/>
                <w:szCs w:val="21"/>
                <w:highlight w:val="none"/>
              </w:rPr>
              <w:t>招标技术规格</w:t>
            </w:r>
          </w:p>
        </w:tc>
        <w:tc>
          <w:tcPr>
            <w:tcW w:w="1525" w:type="dxa"/>
            <w:vAlign w:val="center"/>
          </w:tcPr>
          <w:p w14:paraId="6FC9DBD1">
            <w:pPr>
              <w:spacing w:line="360" w:lineRule="auto"/>
              <w:jc w:val="center"/>
              <w:rPr>
                <w:rFonts w:hint="eastAsia" w:hAnsi="宋体" w:cs="宋体"/>
                <w:color w:val="auto"/>
                <w:sz w:val="21"/>
                <w:szCs w:val="21"/>
                <w:highlight w:val="none"/>
              </w:rPr>
            </w:pPr>
            <w:r>
              <w:rPr>
                <w:rFonts w:hint="eastAsia" w:hAnsi="宋体" w:cs="宋体"/>
                <w:color w:val="auto"/>
                <w:sz w:val="21"/>
                <w:szCs w:val="21"/>
                <w:highlight w:val="none"/>
              </w:rPr>
              <w:t>投标技术规格</w:t>
            </w:r>
          </w:p>
        </w:tc>
        <w:tc>
          <w:tcPr>
            <w:tcW w:w="1103" w:type="dxa"/>
            <w:vAlign w:val="center"/>
          </w:tcPr>
          <w:p w14:paraId="6F33D5CD">
            <w:pPr>
              <w:spacing w:line="360" w:lineRule="auto"/>
              <w:jc w:val="center"/>
              <w:rPr>
                <w:rFonts w:hint="eastAsia" w:hAnsi="宋体" w:cs="宋体"/>
                <w:color w:val="auto"/>
                <w:sz w:val="21"/>
                <w:szCs w:val="21"/>
                <w:highlight w:val="none"/>
              </w:rPr>
            </w:pPr>
            <w:r>
              <w:rPr>
                <w:rFonts w:hint="eastAsia" w:hAnsi="宋体" w:cs="宋体"/>
                <w:color w:val="auto"/>
                <w:sz w:val="21"/>
                <w:szCs w:val="21"/>
                <w:highlight w:val="none"/>
              </w:rPr>
              <w:t>偏离情况</w:t>
            </w:r>
          </w:p>
        </w:tc>
        <w:tc>
          <w:tcPr>
            <w:tcW w:w="3630" w:type="dxa"/>
            <w:vAlign w:val="center"/>
          </w:tcPr>
          <w:p w14:paraId="53FC7BFA">
            <w:pPr>
              <w:spacing w:line="360" w:lineRule="auto"/>
              <w:jc w:val="center"/>
              <w:rPr>
                <w:rFonts w:hint="eastAsia" w:hAnsi="宋体" w:cs="宋体"/>
                <w:color w:val="auto"/>
                <w:sz w:val="21"/>
                <w:szCs w:val="21"/>
                <w:highlight w:val="none"/>
              </w:rPr>
            </w:pPr>
            <w:r>
              <w:rPr>
                <w:rFonts w:hint="eastAsia" w:hAnsi="宋体" w:cs="宋体"/>
                <w:color w:val="auto"/>
                <w:sz w:val="21"/>
                <w:szCs w:val="21"/>
                <w:highlight w:val="none"/>
              </w:rPr>
              <w:t>技术参数出现偏离的技术原因以及涉及投标产品对应技术参数的技术材料所在位置（投标文件页码，并请在产品技术材料中进行圈注）</w:t>
            </w:r>
          </w:p>
        </w:tc>
      </w:tr>
      <w:tr w14:paraId="06DA3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590" w:type="dxa"/>
            <w:vAlign w:val="center"/>
          </w:tcPr>
          <w:p w14:paraId="1D71307C">
            <w:pPr>
              <w:spacing w:line="360" w:lineRule="auto"/>
              <w:jc w:val="center"/>
              <w:rPr>
                <w:rFonts w:hint="eastAsia" w:hAnsi="宋体" w:cs="宋体"/>
                <w:color w:val="auto"/>
                <w:sz w:val="21"/>
                <w:szCs w:val="21"/>
                <w:highlight w:val="none"/>
              </w:rPr>
            </w:pPr>
          </w:p>
        </w:tc>
        <w:tc>
          <w:tcPr>
            <w:tcW w:w="1733" w:type="dxa"/>
            <w:vAlign w:val="center"/>
          </w:tcPr>
          <w:p w14:paraId="37F26405">
            <w:pPr>
              <w:spacing w:line="360" w:lineRule="auto"/>
              <w:jc w:val="center"/>
              <w:rPr>
                <w:rFonts w:hint="eastAsia" w:hAnsi="宋体" w:cs="宋体"/>
                <w:color w:val="auto"/>
                <w:sz w:val="21"/>
                <w:szCs w:val="21"/>
                <w:highlight w:val="none"/>
              </w:rPr>
            </w:pPr>
          </w:p>
        </w:tc>
        <w:tc>
          <w:tcPr>
            <w:tcW w:w="1567" w:type="dxa"/>
            <w:vAlign w:val="center"/>
          </w:tcPr>
          <w:p w14:paraId="5EBEF6EE">
            <w:pPr>
              <w:spacing w:line="360" w:lineRule="auto"/>
              <w:jc w:val="center"/>
              <w:rPr>
                <w:rFonts w:hint="eastAsia" w:hAnsi="宋体" w:cs="宋体"/>
                <w:color w:val="auto"/>
                <w:sz w:val="21"/>
                <w:szCs w:val="21"/>
                <w:highlight w:val="none"/>
              </w:rPr>
            </w:pPr>
          </w:p>
        </w:tc>
        <w:tc>
          <w:tcPr>
            <w:tcW w:w="1525" w:type="dxa"/>
            <w:vAlign w:val="center"/>
          </w:tcPr>
          <w:p w14:paraId="72D62C55">
            <w:pPr>
              <w:spacing w:line="360" w:lineRule="auto"/>
              <w:jc w:val="center"/>
              <w:rPr>
                <w:rFonts w:hint="eastAsia" w:hAnsi="宋体" w:cs="宋体"/>
                <w:color w:val="auto"/>
                <w:sz w:val="21"/>
                <w:szCs w:val="21"/>
                <w:highlight w:val="none"/>
              </w:rPr>
            </w:pPr>
          </w:p>
        </w:tc>
        <w:tc>
          <w:tcPr>
            <w:tcW w:w="1103" w:type="dxa"/>
            <w:vAlign w:val="center"/>
          </w:tcPr>
          <w:p w14:paraId="06D038A9">
            <w:pPr>
              <w:spacing w:line="360" w:lineRule="auto"/>
              <w:jc w:val="center"/>
              <w:rPr>
                <w:rFonts w:hint="eastAsia" w:hAnsi="宋体" w:cs="宋体"/>
                <w:color w:val="auto"/>
                <w:sz w:val="21"/>
                <w:szCs w:val="21"/>
                <w:highlight w:val="none"/>
              </w:rPr>
            </w:pPr>
          </w:p>
        </w:tc>
        <w:tc>
          <w:tcPr>
            <w:tcW w:w="3630" w:type="dxa"/>
            <w:vAlign w:val="center"/>
          </w:tcPr>
          <w:p w14:paraId="2808F2D1">
            <w:pPr>
              <w:spacing w:line="360" w:lineRule="auto"/>
              <w:jc w:val="center"/>
              <w:rPr>
                <w:rFonts w:hint="eastAsia" w:hAnsi="宋体" w:cs="宋体"/>
                <w:color w:val="auto"/>
                <w:sz w:val="21"/>
                <w:szCs w:val="21"/>
                <w:highlight w:val="none"/>
              </w:rPr>
            </w:pPr>
          </w:p>
        </w:tc>
      </w:tr>
      <w:tr w14:paraId="564ED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590" w:type="dxa"/>
            <w:vAlign w:val="center"/>
          </w:tcPr>
          <w:p w14:paraId="14B120DB">
            <w:pPr>
              <w:spacing w:line="360" w:lineRule="auto"/>
              <w:jc w:val="center"/>
              <w:rPr>
                <w:rFonts w:hint="eastAsia" w:hAnsi="宋体" w:cs="宋体"/>
                <w:color w:val="auto"/>
                <w:sz w:val="21"/>
                <w:szCs w:val="21"/>
                <w:highlight w:val="none"/>
              </w:rPr>
            </w:pPr>
          </w:p>
        </w:tc>
        <w:tc>
          <w:tcPr>
            <w:tcW w:w="1733" w:type="dxa"/>
            <w:vAlign w:val="center"/>
          </w:tcPr>
          <w:p w14:paraId="46A66894">
            <w:pPr>
              <w:spacing w:line="360" w:lineRule="auto"/>
              <w:jc w:val="center"/>
              <w:rPr>
                <w:rFonts w:hint="eastAsia" w:hAnsi="宋体" w:cs="宋体"/>
                <w:color w:val="auto"/>
                <w:sz w:val="21"/>
                <w:szCs w:val="21"/>
                <w:highlight w:val="none"/>
              </w:rPr>
            </w:pPr>
          </w:p>
        </w:tc>
        <w:tc>
          <w:tcPr>
            <w:tcW w:w="1567" w:type="dxa"/>
            <w:vAlign w:val="center"/>
          </w:tcPr>
          <w:p w14:paraId="41251BF5">
            <w:pPr>
              <w:spacing w:line="360" w:lineRule="auto"/>
              <w:jc w:val="center"/>
              <w:rPr>
                <w:rFonts w:hint="eastAsia" w:hAnsi="宋体" w:cs="宋体"/>
                <w:color w:val="auto"/>
                <w:sz w:val="21"/>
                <w:szCs w:val="21"/>
                <w:highlight w:val="none"/>
              </w:rPr>
            </w:pPr>
          </w:p>
        </w:tc>
        <w:tc>
          <w:tcPr>
            <w:tcW w:w="1525" w:type="dxa"/>
            <w:vAlign w:val="center"/>
          </w:tcPr>
          <w:p w14:paraId="0CFD3EB6">
            <w:pPr>
              <w:spacing w:line="360" w:lineRule="auto"/>
              <w:jc w:val="center"/>
              <w:rPr>
                <w:rFonts w:hint="eastAsia" w:hAnsi="宋体" w:cs="宋体"/>
                <w:color w:val="auto"/>
                <w:sz w:val="21"/>
                <w:szCs w:val="21"/>
                <w:highlight w:val="none"/>
              </w:rPr>
            </w:pPr>
          </w:p>
        </w:tc>
        <w:tc>
          <w:tcPr>
            <w:tcW w:w="1103" w:type="dxa"/>
            <w:vAlign w:val="center"/>
          </w:tcPr>
          <w:p w14:paraId="69D78CB6">
            <w:pPr>
              <w:spacing w:line="360" w:lineRule="auto"/>
              <w:jc w:val="center"/>
              <w:rPr>
                <w:rFonts w:hint="eastAsia" w:hAnsi="宋体" w:cs="宋体"/>
                <w:color w:val="auto"/>
                <w:sz w:val="21"/>
                <w:szCs w:val="21"/>
                <w:highlight w:val="none"/>
              </w:rPr>
            </w:pPr>
          </w:p>
        </w:tc>
        <w:tc>
          <w:tcPr>
            <w:tcW w:w="3630" w:type="dxa"/>
            <w:vAlign w:val="center"/>
          </w:tcPr>
          <w:p w14:paraId="2D8A158F">
            <w:pPr>
              <w:spacing w:line="360" w:lineRule="auto"/>
              <w:jc w:val="center"/>
              <w:rPr>
                <w:rFonts w:hint="eastAsia" w:hAnsi="宋体" w:cs="宋体"/>
                <w:color w:val="auto"/>
                <w:sz w:val="21"/>
                <w:szCs w:val="21"/>
                <w:highlight w:val="none"/>
              </w:rPr>
            </w:pPr>
          </w:p>
        </w:tc>
      </w:tr>
      <w:tr w14:paraId="6887B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590" w:type="dxa"/>
            <w:vAlign w:val="center"/>
          </w:tcPr>
          <w:p w14:paraId="565D56B1">
            <w:pPr>
              <w:spacing w:line="360" w:lineRule="auto"/>
              <w:jc w:val="center"/>
              <w:rPr>
                <w:rFonts w:hint="eastAsia" w:hAnsi="宋体" w:cs="宋体"/>
                <w:color w:val="auto"/>
                <w:sz w:val="21"/>
                <w:szCs w:val="21"/>
                <w:highlight w:val="none"/>
              </w:rPr>
            </w:pPr>
          </w:p>
        </w:tc>
        <w:tc>
          <w:tcPr>
            <w:tcW w:w="1733" w:type="dxa"/>
            <w:vAlign w:val="center"/>
          </w:tcPr>
          <w:p w14:paraId="147354FA">
            <w:pPr>
              <w:spacing w:line="360" w:lineRule="auto"/>
              <w:jc w:val="center"/>
              <w:rPr>
                <w:rFonts w:hint="eastAsia" w:hAnsi="宋体" w:cs="宋体"/>
                <w:color w:val="auto"/>
                <w:sz w:val="21"/>
                <w:szCs w:val="21"/>
                <w:highlight w:val="none"/>
              </w:rPr>
            </w:pPr>
          </w:p>
        </w:tc>
        <w:tc>
          <w:tcPr>
            <w:tcW w:w="1567" w:type="dxa"/>
            <w:vAlign w:val="center"/>
          </w:tcPr>
          <w:p w14:paraId="346CC82C">
            <w:pPr>
              <w:spacing w:line="360" w:lineRule="auto"/>
              <w:jc w:val="center"/>
              <w:rPr>
                <w:rFonts w:hint="eastAsia" w:hAnsi="宋体" w:cs="宋体"/>
                <w:color w:val="auto"/>
                <w:sz w:val="21"/>
                <w:szCs w:val="21"/>
                <w:highlight w:val="none"/>
              </w:rPr>
            </w:pPr>
          </w:p>
        </w:tc>
        <w:tc>
          <w:tcPr>
            <w:tcW w:w="1525" w:type="dxa"/>
            <w:vAlign w:val="center"/>
          </w:tcPr>
          <w:p w14:paraId="4A94C188">
            <w:pPr>
              <w:spacing w:line="360" w:lineRule="auto"/>
              <w:jc w:val="center"/>
              <w:rPr>
                <w:rFonts w:hint="eastAsia" w:hAnsi="宋体" w:cs="宋体"/>
                <w:color w:val="auto"/>
                <w:sz w:val="21"/>
                <w:szCs w:val="21"/>
                <w:highlight w:val="none"/>
              </w:rPr>
            </w:pPr>
          </w:p>
        </w:tc>
        <w:tc>
          <w:tcPr>
            <w:tcW w:w="1103" w:type="dxa"/>
            <w:vAlign w:val="center"/>
          </w:tcPr>
          <w:p w14:paraId="064DAFB3">
            <w:pPr>
              <w:spacing w:line="360" w:lineRule="auto"/>
              <w:jc w:val="center"/>
              <w:rPr>
                <w:rFonts w:hint="eastAsia" w:hAnsi="宋体" w:cs="宋体"/>
                <w:color w:val="auto"/>
                <w:sz w:val="21"/>
                <w:szCs w:val="21"/>
                <w:highlight w:val="none"/>
              </w:rPr>
            </w:pPr>
          </w:p>
        </w:tc>
        <w:tc>
          <w:tcPr>
            <w:tcW w:w="3630" w:type="dxa"/>
            <w:vAlign w:val="center"/>
          </w:tcPr>
          <w:p w14:paraId="72CD379F">
            <w:pPr>
              <w:spacing w:line="360" w:lineRule="auto"/>
              <w:jc w:val="center"/>
              <w:rPr>
                <w:rFonts w:hint="eastAsia" w:hAnsi="宋体" w:cs="宋体"/>
                <w:color w:val="auto"/>
                <w:sz w:val="21"/>
                <w:szCs w:val="21"/>
                <w:highlight w:val="none"/>
              </w:rPr>
            </w:pPr>
          </w:p>
        </w:tc>
      </w:tr>
    </w:tbl>
    <w:p w14:paraId="392539D9">
      <w:pPr>
        <w:spacing w:line="400" w:lineRule="exact"/>
        <w:ind w:firstLine="422" w:firstLineChars="200"/>
        <w:rPr>
          <w:rFonts w:hint="eastAsia" w:hAnsi="宋体" w:cs="宋体"/>
          <w:b/>
          <w:color w:val="auto"/>
          <w:sz w:val="21"/>
          <w:szCs w:val="21"/>
          <w:highlight w:val="none"/>
        </w:rPr>
      </w:pPr>
      <w:r>
        <w:rPr>
          <w:rFonts w:hint="eastAsia" w:hAnsi="宋体" w:cs="宋体"/>
          <w:b/>
          <w:color w:val="auto"/>
          <w:sz w:val="21"/>
          <w:szCs w:val="21"/>
          <w:highlight w:val="none"/>
        </w:rPr>
        <w:t>注：1.本表填报内容作为投标文件的重要的组成部分，任何通过简单拷贝招标文件技术要求或简单标注“符合”“满足”的，评审时不予认可。</w:t>
      </w:r>
    </w:p>
    <w:p w14:paraId="3796AA45">
      <w:pPr>
        <w:spacing w:line="400" w:lineRule="exact"/>
        <w:ind w:firstLine="422" w:firstLineChars="200"/>
        <w:rPr>
          <w:rFonts w:hint="eastAsia" w:hAnsi="宋体" w:cs="宋体"/>
          <w:b/>
          <w:color w:val="auto"/>
          <w:sz w:val="21"/>
          <w:szCs w:val="21"/>
          <w:highlight w:val="none"/>
        </w:rPr>
      </w:pPr>
      <w:r>
        <w:rPr>
          <w:rFonts w:hint="eastAsia" w:hAnsi="宋体" w:cs="宋体"/>
          <w:b/>
          <w:color w:val="auto"/>
          <w:sz w:val="21"/>
          <w:szCs w:val="21"/>
          <w:highlight w:val="none"/>
        </w:rPr>
        <w:t>2.偏离包括正、负偏离，正偏离指投标人的响应高于招标文件要求，存在技术指标偏离时必须做出相应说明。负偏离指投标人拟提供软件系统技术性能指标不能实现采购需求中技术要求（非功能缺失），对单一产品中单一技术指标出现不能实现采购需求中技术要求（非功能缺失）的情况做出偏离说明，并与产品检验报告（软件测试报告）、</w:t>
      </w:r>
      <w:r>
        <w:rPr>
          <w:rFonts w:hint="eastAsia" w:hAnsi="宋体" w:cs="宋体"/>
          <w:b/>
          <w:bCs/>
          <w:color w:val="auto"/>
          <w:sz w:val="21"/>
          <w:szCs w:val="21"/>
          <w:highlight w:val="none"/>
        </w:rPr>
        <w:t>软件产品技术性能介绍证明材料（针对采购需求中每一项功能模块和技术性能指标中单项技术要求提供详细的技术性能介绍和技术性能实现方式介绍以及对应的软件系统操作界面截图）</w:t>
      </w:r>
      <w:r>
        <w:rPr>
          <w:rFonts w:hint="eastAsia" w:hAnsi="宋体" w:cs="宋体"/>
          <w:b/>
          <w:color w:val="auto"/>
          <w:sz w:val="21"/>
          <w:szCs w:val="21"/>
          <w:highlight w:val="none"/>
        </w:rPr>
        <w:t>中载明详细的产品技术指标相呼应，否则评审时不予认可。无偏离指投标人拟提供产品的技术响应情况满足招标文件公布的产品技术要求，正偏离指投标人拟提供产品的技术响应情况优于招标文件公布的产品技术要求或针对采购需求属于技术性能实质性有效扩增的情况（属于技术优越或技术性能实质性有效扩增的应提供相应正偏离说明和技术证明材料，否则不予认可）。</w:t>
      </w:r>
    </w:p>
    <w:p w14:paraId="3E6D8EEF">
      <w:pPr>
        <w:spacing w:line="400" w:lineRule="exact"/>
        <w:ind w:firstLine="422" w:firstLineChars="200"/>
        <w:rPr>
          <w:rFonts w:hint="eastAsia" w:hAnsi="宋体" w:cs="宋体"/>
          <w:b/>
          <w:color w:val="auto"/>
          <w:sz w:val="21"/>
          <w:szCs w:val="21"/>
          <w:highlight w:val="none"/>
        </w:rPr>
      </w:pPr>
      <w:r>
        <w:rPr>
          <w:rFonts w:hint="eastAsia" w:hAnsi="宋体" w:cs="宋体"/>
          <w:b/>
          <w:bCs/>
          <w:color w:val="auto"/>
          <w:sz w:val="21"/>
          <w:szCs w:val="21"/>
          <w:highlight w:val="none"/>
        </w:rPr>
        <w:t>3.拟提供产品中所载明软件系统技术性能不允许出现任何功能缺失，否则视为实质性不响应。</w:t>
      </w:r>
    </w:p>
    <w:p w14:paraId="77185B66">
      <w:pPr>
        <w:spacing w:line="400" w:lineRule="exact"/>
        <w:ind w:firstLine="422" w:firstLineChars="200"/>
        <w:rPr>
          <w:rFonts w:hint="eastAsia" w:hAnsi="宋体" w:cs="宋体"/>
          <w:b/>
          <w:color w:val="auto"/>
          <w:sz w:val="21"/>
          <w:szCs w:val="21"/>
          <w:highlight w:val="none"/>
        </w:rPr>
      </w:pPr>
      <w:r>
        <w:rPr>
          <w:rFonts w:hint="eastAsia" w:hAnsi="宋体" w:cs="宋体"/>
          <w:b/>
          <w:color w:val="auto"/>
          <w:sz w:val="21"/>
          <w:szCs w:val="21"/>
          <w:highlight w:val="none"/>
        </w:rPr>
        <w:t>4.投标人应针对招标文件采购需求中各类产品技术指标提供相应的佐证材料，并在本表中注明佐证材料的主要信息，并注明对应技术证明材料的所在位置。</w:t>
      </w:r>
    </w:p>
    <w:p w14:paraId="738F2FE1">
      <w:pPr>
        <w:spacing w:before="60" w:after="60" w:line="560" w:lineRule="exact"/>
        <w:ind w:firstLine="510"/>
        <w:rPr>
          <w:rFonts w:hint="eastAsia" w:hAnsi="宋体" w:cs="宋体"/>
          <w:color w:val="auto"/>
          <w:sz w:val="21"/>
          <w:szCs w:val="21"/>
          <w:highlight w:val="none"/>
        </w:rPr>
      </w:pPr>
    </w:p>
    <w:p w14:paraId="1CEFB24F">
      <w:pPr>
        <w:spacing w:before="60" w:after="60" w:line="560" w:lineRule="exact"/>
        <w:ind w:firstLine="510"/>
        <w:rPr>
          <w:rFonts w:hint="eastAsia" w:hAnsi="宋体" w:cs="宋体"/>
          <w:color w:val="auto"/>
          <w:sz w:val="21"/>
          <w:szCs w:val="21"/>
          <w:highlight w:val="none"/>
        </w:rPr>
      </w:pPr>
      <w:r>
        <w:rPr>
          <w:rFonts w:hint="eastAsia" w:hAnsi="宋体" w:cs="宋体"/>
          <w:color w:val="auto"/>
          <w:sz w:val="21"/>
          <w:szCs w:val="21"/>
          <w:highlight w:val="none"/>
        </w:rPr>
        <w:t>投标人（盖单位章）：______________</w:t>
      </w:r>
    </w:p>
    <w:p w14:paraId="482ABDE2">
      <w:pPr>
        <w:spacing w:before="60" w:after="60" w:line="560" w:lineRule="exact"/>
        <w:ind w:firstLine="510"/>
        <w:rPr>
          <w:rFonts w:hint="eastAsia" w:hAnsi="宋体" w:cs="宋体"/>
          <w:color w:val="auto"/>
          <w:sz w:val="21"/>
          <w:szCs w:val="21"/>
          <w:highlight w:val="none"/>
          <w:u w:val="single"/>
        </w:rPr>
      </w:pPr>
      <w:r>
        <w:rPr>
          <w:rFonts w:hint="eastAsia" w:hAnsi="宋体" w:cs="宋体"/>
          <w:color w:val="auto"/>
          <w:sz w:val="21"/>
          <w:szCs w:val="21"/>
          <w:highlight w:val="none"/>
        </w:rPr>
        <w:t>法定代表人（负责人）或委托代理人（签字或个人印章）：</w:t>
      </w:r>
      <w:r>
        <w:rPr>
          <w:rFonts w:hint="eastAsia" w:hAnsi="宋体" w:cs="宋体"/>
          <w:color w:val="auto"/>
          <w:sz w:val="21"/>
          <w:szCs w:val="21"/>
          <w:highlight w:val="none"/>
          <w:u w:val="single"/>
        </w:rPr>
        <w:t xml:space="preserve">          </w:t>
      </w:r>
    </w:p>
    <w:p w14:paraId="1EF01534">
      <w:pPr>
        <w:spacing w:before="60" w:after="60" w:line="560" w:lineRule="exact"/>
        <w:ind w:firstLine="510"/>
        <w:rPr>
          <w:rStyle w:val="75"/>
          <w:color w:val="auto"/>
          <w:highlight w:val="none"/>
        </w:rPr>
      </w:pPr>
      <w:r>
        <w:rPr>
          <w:rFonts w:hint="eastAsia" w:hAnsi="宋体" w:cs="宋体"/>
          <w:color w:val="auto"/>
          <w:sz w:val="21"/>
          <w:szCs w:val="21"/>
          <w:highlight w:val="none"/>
        </w:rPr>
        <w:t>日期：________年_____月_____日</w:t>
      </w:r>
    </w:p>
    <w:p w14:paraId="021975F1">
      <w:pPr>
        <w:jc w:val="center"/>
        <w:rPr>
          <w:rFonts w:hint="eastAsia" w:hAnsi="宋体"/>
          <w:color w:val="auto"/>
          <w:sz w:val="24"/>
          <w:highlight w:val="none"/>
        </w:rPr>
      </w:pPr>
      <w:bookmarkStart w:id="74" w:name="_Toc8564"/>
      <w:bookmarkStart w:id="75" w:name="_Toc7252783"/>
      <w:bookmarkStart w:id="76" w:name="_Toc28283"/>
      <w:r>
        <w:rPr>
          <w:rFonts w:hAnsi="宋体"/>
          <w:color w:val="auto"/>
          <w:sz w:val="24"/>
          <w:highlight w:val="none"/>
        </w:rPr>
        <w:br w:type="page"/>
      </w:r>
    </w:p>
    <w:bookmarkEnd w:id="74"/>
    <w:bookmarkEnd w:id="75"/>
    <w:bookmarkEnd w:id="76"/>
    <w:p w14:paraId="0130EA64">
      <w:pPr>
        <w:jc w:val="center"/>
        <w:rPr>
          <w:rStyle w:val="75"/>
          <w:color w:val="auto"/>
          <w:highlight w:val="none"/>
        </w:rPr>
      </w:pPr>
      <w:bookmarkStart w:id="77" w:name="_Toc16461"/>
      <w:r>
        <w:rPr>
          <w:rStyle w:val="75"/>
          <w:rFonts w:hint="eastAsia"/>
          <w:color w:val="auto"/>
          <w:highlight w:val="none"/>
        </w:rPr>
        <w:t>（四）本次采购的加油站流量数据采集系统部署到本地云资源池的情况介绍</w:t>
      </w:r>
    </w:p>
    <w:bookmarkEnd w:id="77"/>
    <w:p w14:paraId="6AED207D">
      <w:pPr>
        <w:jc w:val="center"/>
        <w:rPr>
          <w:rFonts w:hint="eastAsia" w:hAnsi="宋体" w:cs="宋体"/>
          <w:color w:val="auto"/>
          <w:sz w:val="21"/>
          <w:szCs w:val="21"/>
          <w:highlight w:val="none"/>
        </w:rPr>
      </w:pPr>
    </w:p>
    <w:p w14:paraId="54662435">
      <w:pPr>
        <w:spacing w:line="460" w:lineRule="exact"/>
        <w:ind w:firstLine="558" w:firstLineChars="266"/>
        <w:jc w:val="left"/>
        <w:rPr>
          <w:rFonts w:hint="eastAsia" w:hAnsi="宋体" w:cs="宋体"/>
          <w:color w:val="auto"/>
          <w:sz w:val="21"/>
          <w:szCs w:val="21"/>
          <w:highlight w:val="none"/>
        </w:rPr>
      </w:pPr>
      <w:r>
        <w:rPr>
          <w:rFonts w:hint="eastAsia" w:hAnsi="宋体" w:cs="宋体"/>
          <w:color w:val="auto"/>
          <w:sz w:val="21"/>
          <w:szCs w:val="21"/>
          <w:highlight w:val="none"/>
        </w:rPr>
        <w:t>1.本地云资源情况介绍：请提供结合采购需求并结合系统建设要求提供相应的本地云资源情况介绍和相应的证明材料。</w:t>
      </w:r>
    </w:p>
    <w:p w14:paraId="17C7E4DD">
      <w:pPr>
        <w:spacing w:line="460" w:lineRule="exact"/>
        <w:ind w:firstLine="558" w:firstLineChars="266"/>
        <w:jc w:val="left"/>
        <w:rPr>
          <w:rFonts w:hint="eastAsia" w:hAnsi="宋体" w:cs="宋体"/>
          <w:color w:val="auto"/>
          <w:sz w:val="21"/>
          <w:szCs w:val="21"/>
          <w:highlight w:val="none"/>
        </w:rPr>
      </w:pPr>
    </w:p>
    <w:p w14:paraId="29ACB6E3">
      <w:pPr>
        <w:spacing w:line="460" w:lineRule="exact"/>
        <w:ind w:firstLine="558" w:firstLineChars="266"/>
        <w:jc w:val="left"/>
        <w:rPr>
          <w:rFonts w:hint="eastAsia" w:hAnsi="宋体" w:cs="宋体"/>
          <w:color w:val="auto"/>
          <w:sz w:val="21"/>
          <w:szCs w:val="21"/>
          <w:highlight w:val="none"/>
        </w:rPr>
      </w:pPr>
    </w:p>
    <w:p w14:paraId="107AED1B">
      <w:pPr>
        <w:spacing w:line="460" w:lineRule="exact"/>
        <w:ind w:firstLine="558" w:firstLineChars="266"/>
        <w:jc w:val="left"/>
        <w:rPr>
          <w:rFonts w:hint="eastAsia" w:hAnsi="宋体" w:cs="宋体"/>
          <w:color w:val="auto"/>
          <w:sz w:val="21"/>
          <w:szCs w:val="21"/>
          <w:highlight w:val="none"/>
        </w:rPr>
      </w:pPr>
    </w:p>
    <w:p w14:paraId="62E54E10">
      <w:pPr>
        <w:spacing w:line="460" w:lineRule="exact"/>
        <w:ind w:firstLine="558" w:firstLineChars="266"/>
        <w:jc w:val="left"/>
        <w:rPr>
          <w:rFonts w:hint="eastAsia" w:hAnsi="宋体"/>
          <w:color w:val="auto"/>
          <w:sz w:val="21"/>
          <w:szCs w:val="21"/>
          <w:highlight w:val="none"/>
        </w:rPr>
      </w:pPr>
      <w:r>
        <w:rPr>
          <w:rFonts w:hint="eastAsia" w:hAnsi="宋体" w:cs="宋体"/>
          <w:color w:val="auto"/>
          <w:sz w:val="21"/>
          <w:szCs w:val="21"/>
          <w:highlight w:val="none"/>
        </w:rPr>
        <w:t>2.</w:t>
      </w:r>
      <w:r>
        <w:rPr>
          <w:rFonts w:hint="eastAsia" w:hAnsi="宋体"/>
          <w:color w:val="auto"/>
          <w:sz w:val="21"/>
          <w:szCs w:val="21"/>
          <w:highlight w:val="none"/>
        </w:rPr>
        <w:t>本次采购加油站流量数据采集系统须部署到本地云资源池（不允许数据信息外流）的书面承诺。</w:t>
      </w:r>
    </w:p>
    <w:p w14:paraId="21DDC2B3">
      <w:pPr>
        <w:spacing w:line="460" w:lineRule="exact"/>
        <w:ind w:firstLine="558" w:firstLineChars="266"/>
        <w:jc w:val="left"/>
        <w:rPr>
          <w:rFonts w:hint="eastAsia" w:hAnsi="宋体"/>
          <w:color w:val="auto"/>
          <w:sz w:val="21"/>
          <w:szCs w:val="21"/>
          <w:highlight w:val="none"/>
        </w:rPr>
      </w:pPr>
    </w:p>
    <w:p w14:paraId="10C4A5E5">
      <w:pPr>
        <w:spacing w:line="460" w:lineRule="exact"/>
        <w:ind w:firstLine="558" w:firstLineChars="266"/>
        <w:jc w:val="left"/>
        <w:rPr>
          <w:rFonts w:hint="eastAsia" w:hAnsi="宋体"/>
          <w:color w:val="auto"/>
          <w:sz w:val="21"/>
          <w:szCs w:val="21"/>
          <w:highlight w:val="none"/>
        </w:rPr>
      </w:pPr>
    </w:p>
    <w:p w14:paraId="332278DB">
      <w:pPr>
        <w:ind w:firstLine="558" w:firstLineChars="266"/>
        <w:jc w:val="left"/>
        <w:rPr>
          <w:rFonts w:hint="eastAsia" w:hAnsi="宋体"/>
          <w:color w:val="auto"/>
          <w:sz w:val="21"/>
          <w:szCs w:val="21"/>
          <w:highlight w:val="none"/>
        </w:rPr>
      </w:pPr>
    </w:p>
    <w:p w14:paraId="1143C1E1">
      <w:pPr>
        <w:rPr>
          <w:rStyle w:val="75"/>
          <w:color w:val="auto"/>
          <w:highlight w:val="none"/>
        </w:rPr>
      </w:pPr>
      <w:r>
        <w:rPr>
          <w:rStyle w:val="75"/>
          <w:rFonts w:hint="eastAsia"/>
          <w:color w:val="auto"/>
          <w:highlight w:val="none"/>
        </w:rPr>
        <w:br w:type="page"/>
      </w:r>
    </w:p>
    <w:p w14:paraId="3B857DA5">
      <w:pPr>
        <w:keepNext/>
        <w:jc w:val="center"/>
        <w:rPr>
          <w:rStyle w:val="75"/>
          <w:color w:val="auto"/>
          <w:highlight w:val="none"/>
        </w:rPr>
      </w:pPr>
      <w:bookmarkStart w:id="78" w:name="_Toc5628"/>
      <w:r>
        <w:rPr>
          <w:rStyle w:val="75"/>
          <w:rFonts w:hint="eastAsia"/>
          <w:color w:val="auto"/>
          <w:highlight w:val="none"/>
        </w:rPr>
        <w:t>（五）项目技术服务方案</w:t>
      </w:r>
    </w:p>
    <w:bookmarkEnd w:id="78"/>
    <w:p w14:paraId="60F004AB">
      <w:pPr>
        <w:spacing w:line="360" w:lineRule="auto"/>
        <w:ind w:firstLine="619" w:firstLineChars="295"/>
        <w:jc w:val="left"/>
        <w:rPr>
          <w:rFonts w:hint="eastAsia" w:hAnsi="宋体" w:cs="宋体"/>
          <w:color w:val="auto"/>
          <w:sz w:val="21"/>
          <w:szCs w:val="21"/>
          <w:highlight w:val="none"/>
        </w:rPr>
      </w:pPr>
    </w:p>
    <w:p w14:paraId="4F376E56">
      <w:pPr>
        <w:spacing w:line="400" w:lineRule="exact"/>
        <w:ind w:firstLine="420" w:firstLineChars="200"/>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此部分内容应充分结合招标文件中本项目采购需求的全部内容以及评标办法的评审要求进行综合分析后进行编制，此部分内容包含但不限于：①加油站流量数据采集系统建设、系统数据信息集成与调试适配技术服务方案；②项目实施进度计划安排；③软件测试、数据系统与试运行技术方案；④项目检验验收及针对项目初验和终验提出相关问题的整改优化工作预案；⑤相关数据信息和档案管理机制技术服务方案；⑥项目风险控制方案和应急措施（至少包含：风险和应急事项预见、风险和应急处理程序、相应的处置预案）。</w:t>
      </w:r>
    </w:p>
    <w:p w14:paraId="4D3BB868">
      <w:pPr>
        <w:keepNext/>
        <w:spacing w:line="360" w:lineRule="auto"/>
        <w:ind w:firstLine="200"/>
        <w:jc w:val="center"/>
        <w:rPr>
          <w:rFonts w:hint="eastAsia" w:hAnsi="宋体" w:cs="宋体"/>
          <w:color w:val="auto"/>
          <w:sz w:val="21"/>
          <w:szCs w:val="21"/>
          <w:highlight w:val="none"/>
        </w:rPr>
      </w:pPr>
    </w:p>
    <w:p w14:paraId="11C180FE">
      <w:pPr>
        <w:jc w:val="center"/>
        <w:rPr>
          <w:rStyle w:val="75"/>
          <w:color w:val="auto"/>
          <w:highlight w:val="none"/>
        </w:rPr>
      </w:pPr>
      <w:r>
        <w:rPr>
          <w:rFonts w:hint="eastAsia" w:hAnsi="宋体" w:cs="宋体"/>
          <w:color w:val="auto"/>
          <w:sz w:val="21"/>
          <w:szCs w:val="21"/>
          <w:highlight w:val="none"/>
        </w:rPr>
        <w:t>（格式由各投标人自行设计）</w:t>
      </w:r>
      <w:r>
        <w:rPr>
          <w:rStyle w:val="75"/>
          <w:rFonts w:hint="eastAsia"/>
          <w:color w:val="auto"/>
          <w:highlight w:val="none"/>
        </w:rPr>
        <w:br w:type="page"/>
      </w:r>
    </w:p>
    <w:p w14:paraId="6EA05EDA">
      <w:pPr>
        <w:keepNext/>
        <w:jc w:val="center"/>
        <w:rPr>
          <w:rStyle w:val="75"/>
          <w:color w:val="auto"/>
          <w:highlight w:val="none"/>
        </w:rPr>
      </w:pPr>
      <w:bookmarkStart w:id="79" w:name="_Toc3197"/>
      <w:r>
        <w:rPr>
          <w:rStyle w:val="75"/>
          <w:rFonts w:hint="eastAsia"/>
          <w:color w:val="auto"/>
          <w:highlight w:val="none"/>
        </w:rPr>
        <w:t>（六）项目技术培训服务方案</w:t>
      </w:r>
    </w:p>
    <w:bookmarkEnd w:id="79"/>
    <w:p w14:paraId="20F2BEB8">
      <w:pPr>
        <w:spacing w:line="360" w:lineRule="auto"/>
        <w:ind w:firstLine="619" w:firstLineChars="295"/>
        <w:jc w:val="left"/>
        <w:rPr>
          <w:rFonts w:hint="eastAsia" w:hAnsi="宋体" w:cs="宋体"/>
          <w:color w:val="auto"/>
          <w:sz w:val="21"/>
          <w:szCs w:val="21"/>
          <w:highlight w:val="none"/>
        </w:rPr>
      </w:pPr>
    </w:p>
    <w:p w14:paraId="669CFE7B">
      <w:pPr>
        <w:keepNext/>
        <w:spacing w:line="360" w:lineRule="auto"/>
        <w:ind w:firstLine="560"/>
        <w:jc w:val="left"/>
        <w:rPr>
          <w:rFonts w:hint="eastAsia" w:hAnsi="宋体" w:cs="宋体"/>
          <w:color w:val="auto"/>
          <w:sz w:val="21"/>
          <w:szCs w:val="21"/>
          <w:highlight w:val="none"/>
        </w:rPr>
      </w:pPr>
      <w:r>
        <w:rPr>
          <w:rFonts w:hint="eastAsia" w:hAnsi="宋体" w:cs="宋体"/>
          <w:color w:val="auto"/>
          <w:sz w:val="21"/>
          <w:szCs w:val="21"/>
          <w:highlight w:val="none"/>
        </w:rPr>
        <w:t>此部分内容应充分结合招标文件中本项目采购需求的全部内容以及评标办法的评审要求进行综合分析后进行编制，此部分内容包含但不限于：①项目技术培训内容和培训课程设置；②项目技术培训计划安排（明确具体培训工作时间安排和具体各项课程安排等）。</w:t>
      </w:r>
    </w:p>
    <w:p w14:paraId="416E0AE5">
      <w:pPr>
        <w:keepNext/>
        <w:spacing w:line="360" w:lineRule="auto"/>
        <w:ind w:firstLine="200"/>
        <w:jc w:val="center"/>
        <w:rPr>
          <w:rFonts w:hint="eastAsia" w:hAnsi="宋体" w:cs="宋体"/>
          <w:color w:val="auto"/>
          <w:sz w:val="21"/>
          <w:szCs w:val="21"/>
          <w:highlight w:val="none"/>
        </w:rPr>
      </w:pPr>
    </w:p>
    <w:p w14:paraId="7E7B70C2">
      <w:pPr>
        <w:spacing w:before="60" w:after="60" w:line="480" w:lineRule="auto"/>
        <w:ind w:hanging="35"/>
        <w:jc w:val="center"/>
        <w:rPr>
          <w:rFonts w:hint="eastAsia" w:hAnsi="宋体" w:cs="宋体"/>
          <w:color w:val="auto"/>
          <w:sz w:val="21"/>
          <w:szCs w:val="21"/>
          <w:highlight w:val="none"/>
        </w:rPr>
      </w:pPr>
      <w:r>
        <w:rPr>
          <w:rFonts w:hint="eastAsia" w:hAnsi="宋体" w:cs="宋体"/>
          <w:color w:val="auto"/>
          <w:sz w:val="21"/>
          <w:szCs w:val="21"/>
          <w:highlight w:val="none"/>
        </w:rPr>
        <w:t>（格式由各投标人自行设计）</w:t>
      </w:r>
    </w:p>
    <w:p w14:paraId="5620653B">
      <w:pPr>
        <w:keepNext/>
        <w:spacing w:line="360" w:lineRule="auto"/>
        <w:ind w:firstLine="200"/>
        <w:rPr>
          <w:rFonts w:hint="eastAsia" w:hAnsi="宋体"/>
          <w:color w:val="auto"/>
          <w:sz w:val="24"/>
          <w:highlight w:val="none"/>
        </w:rPr>
      </w:pPr>
    </w:p>
    <w:p w14:paraId="4EF38927">
      <w:pPr>
        <w:keepNext/>
        <w:spacing w:line="360" w:lineRule="auto"/>
        <w:ind w:firstLine="465"/>
        <w:rPr>
          <w:rFonts w:hint="eastAsia" w:hAnsi="宋体" w:cs="Arial"/>
          <w:color w:val="auto"/>
          <w:sz w:val="24"/>
          <w:szCs w:val="24"/>
          <w:highlight w:val="none"/>
        </w:rPr>
      </w:pPr>
    </w:p>
    <w:p w14:paraId="12051917">
      <w:pPr>
        <w:keepNext/>
        <w:spacing w:line="360" w:lineRule="auto"/>
        <w:ind w:firstLine="465"/>
        <w:rPr>
          <w:rFonts w:hint="eastAsia" w:hAnsi="宋体" w:cs="Arial"/>
          <w:color w:val="auto"/>
          <w:sz w:val="24"/>
          <w:szCs w:val="24"/>
          <w:highlight w:val="none"/>
        </w:rPr>
      </w:pPr>
    </w:p>
    <w:p w14:paraId="1945C45F">
      <w:pPr>
        <w:keepNext/>
        <w:spacing w:line="360" w:lineRule="auto"/>
        <w:ind w:firstLine="465"/>
        <w:rPr>
          <w:rFonts w:hint="eastAsia" w:hAnsi="宋体" w:cs="Arial"/>
          <w:color w:val="auto"/>
          <w:sz w:val="24"/>
          <w:szCs w:val="24"/>
          <w:highlight w:val="none"/>
        </w:rPr>
      </w:pPr>
    </w:p>
    <w:p w14:paraId="547379AE">
      <w:pPr>
        <w:keepNext/>
        <w:spacing w:line="560" w:lineRule="exact"/>
        <w:ind w:firstLine="5640" w:firstLineChars="2350"/>
        <w:rPr>
          <w:rFonts w:hint="eastAsia" w:hAnsi="宋体"/>
          <w:color w:val="auto"/>
          <w:sz w:val="24"/>
          <w:szCs w:val="24"/>
          <w:highlight w:val="none"/>
        </w:rPr>
      </w:pPr>
    </w:p>
    <w:p w14:paraId="2507D219">
      <w:pPr>
        <w:rPr>
          <w:rFonts w:hint="eastAsia" w:hAnsi="宋体"/>
          <w:color w:val="auto"/>
          <w:sz w:val="24"/>
          <w:szCs w:val="24"/>
          <w:highlight w:val="none"/>
        </w:rPr>
      </w:pPr>
      <w:r>
        <w:rPr>
          <w:rFonts w:hAnsi="宋体"/>
          <w:color w:val="auto"/>
          <w:sz w:val="24"/>
          <w:szCs w:val="24"/>
          <w:highlight w:val="none"/>
        </w:rPr>
        <w:br w:type="page"/>
      </w:r>
    </w:p>
    <w:p w14:paraId="6D83B67A">
      <w:pPr>
        <w:keepNext/>
        <w:jc w:val="center"/>
        <w:rPr>
          <w:rStyle w:val="75"/>
          <w:color w:val="auto"/>
          <w:highlight w:val="none"/>
        </w:rPr>
      </w:pPr>
      <w:bookmarkStart w:id="80" w:name="_Toc7231"/>
      <w:r>
        <w:rPr>
          <w:rStyle w:val="75"/>
          <w:rFonts w:hint="eastAsia"/>
          <w:color w:val="auto"/>
          <w:highlight w:val="none"/>
        </w:rPr>
        <w:t>（七）售后服务能力介绍及售后运维服务方案</w:t>
      </w:r>
    </w:p>
    <w:bookmarkEnd w:id="80"/>
    <w:p w14:paraId="5A0C22A1">
      <w:pPr>
        <w:spacing w:line="360" w:lineRule="auto"/>
        <w:ind w:firstLine="619" w:firstLineChars="295"/>
        <w:jc w:val="left"/>
        <w:rPr>
          <w:rFonts w:hint="eastAsia" w:hAnsi="宋体" w:cs="宋体"/>
          <w:color w:val="auto"/>
          <w:sz w:val="21"/>
          <w:szCs w:val="21"/>
          <w:highlight w:val="none"/>
        </w:rPr>
      </w:pPr>
    </w:p>
    <w:p w14:paraId="6493DCA0">
      <w:pPr>
        <w:keepNext/>
        <w:spacing w:line="360" w:lineRule="auto"/>
        <w:ind w:firstLine="560"/>
        <w:jc w:val="left"/>
        <w:rPr>
          <w:rFonts w:hint="eastAsia" w:hAnsi="宋体" w:cs="宋体"/>
          <w:color w:val="auto"/>
          <w:sz w:val="21"/>
          <w:szCs w:val="21"/>
          <w:highlight w:val="none"/>
        </w:rPr>
      </w:pPr>
      <w:r>
        <w:rPr>
          <w:rFonts w:hint="eastAsia" w:hAnsi="宋体" w:cs="宋体"/>
          <w:color w:val="auto"/>
          <w:sz w:val="21"/>
          <w:szCs w:val="21"/>
          <w:highlight w:val="none"/>
        </w:rPr>
        <w:t>此部分内容应充分结合招标文件中本项目采购需求的全部内容以及评标办法的评审要求进行综合分析后进行编制，此部分内容包含但不限于：①售后服务体系介绍和售后运维服务期限承诺（提供售后服务机构设置情况介绍和证明材料、针对本项目的售后运维服务期限承诺）；②售后运维技术团队设置情况（含售后管理技术人员数量、技术分工和岗位情况介绍）；③驻场运维和日常巡检服务技术服务方案；④针对可能发生各类售后服务问题提出详细的售后服务工作机制和处理办法；⑤加油站流量数据采集系统出现或者因外部原因形成的各类漏洞、BUG进行系统修复、整改技术方案。</w:t>
      </w:r>
    </w:p>
    <w:p w14:paraId="599E46DF">
      <w:pPr>
        <w:keepNext/>
        <w:spacing w:line="360" w:lineRule="auto"/>
        <w:ind w:firstLine="200"/>
        <w:jc w:val="center"/>
        <w:rPr>
          <w:rFonts w:hint="eastAsia" w:hAnsi="宋体" w:cs="宋体"/>
          <w:color w:val="auto"/>
          <w:sz w:val="21"/>
          <w:szCs w:val="21"/>
          <w:highlight w:val="none"/>
        </w:rPr>
      </w:pPr>
    </w:p>
    <w:p w14:paraId="0E99CD31">
      <w:pPr>
        <w:pStyle w:val="49"/>
        <w:ind w:left="0" w:leftChars="0" w:firstLine="0" w:firstLineChars="0"/>
        <w:jc w:val="center"/>
        <w:rPr>
          <w:color w:val="auto"/>
          <w:highlight w:val="none"/>
        </w:rPr>
      </w:pPr>
      <w:r>
        <w:rPr>
          <w:rFonts w:hint="eastAsia" w:ascii="宋体" w:hAnsi="宋体" w:cs="宋体"/>
          <w:color w:val="auto"/>
          <w:szCs w:val="21"/>
          <w:highlight w:val="none"/>
        </w:rPr>
        <w:t>（格式由各投标人自行设计）</w:t>
      </w:r>
    </w:p>
    <w:p w14:paraId="7F2DC4EA">
      <w:pPr>
        <w:widowControl/>
        <w:rPr>
          <w:rFonts w:hint="eastAsia" w:hAnsi="宋体" w:cs="宋体"/>
          <w:b/>
          <w:bCs/>
          <w:color w:val="auto"/>
          <w:sz w:val="24"/>
          <w:szCs w:val="24"/>
          <w:highlight w:val="none"/>
        </w:rPr>
      </w:pPr>
    </w:p>
    <w:p w14:paraId="44A93D42">
      <w:pPr>
        <w:widowControl/>
        <w:rPr>
          <w:rFonts w:hint="eastAsia" w:hAnsi="宋体" w:cs="宋体"/>
          <w:b/>
          <w:bCs/>
          <w:color w:val="auto"/>
          <w:sz w:val="24"/>
          <w:szCs w:val="24"/>
          <w:highlight w:val="none"/>
        </w:rPr>
      </w:pPr>
    </w:p>
    <w:p w14:paraId="46CC4644">
      <w:pPr>
        <w:widowControl/>
        <w:jc w:val="left"/>
        <w:rPr>
          <w:rFonts w:hint="eastAsia" w:hAnsi="宋体"/>
          <w:b/>
          <w:bCs/>
          <w:color w:val="auto"/>
          <w:szCs w:val="22"/>
          <w:highlight w:val="none"/>
        </w:rPr>
      </w:pPr>
    </w:p>
    <w:p w14:paraId="5CAAE21D">
      <w:pPr>
        <w:spacing w:before="60" w:after="60" w:line="480" w:lineRule="auto"/>
        <w:ind w:hanging="35"/>
        <w:rPr>
          <w:rFonts w:hint="eastAsia" w:hAnsi="宋体" w:cs="宋体"/>
          <w:color w:val="auto"/>
          <w:szCs w:val="21"/>
          <w:highlight w:val="none"/>
        </w:rPr>
      </w:pPr>
    </w:p>
    <w:p w14:paraId="734FE368">
      <w:pPr>
        <w:widowControl/>
        <w:jc w:val="left"/>
        <w:rPr>
          <w:rFonts w:hint="eastAsia" w:hAnsi="宋体" w:cs="宋体"/>
          <w:color w:val="auto"/>
          <w:szCs w:val="21"/>
          <w:highlight w:val="none"/>
        </w:rPr>
      </w:pPr>
      <w:r>
        <w:rPr>
          <w:rFonts w:hAnsi="宋体" w:cs="宋体"/>
          <w:color w:val="auto"/>
          <w:szCs w:val="21"/>
          <w:highlight w:val="none"/>
        </w:rPr>
        <w:br w:type="page"/>
      </w:r>
    </w:p>
    <w:p w14:paraId="0259D067">
      <w:pPr>
        <w:keepNext/>
        <w:jc w:val="center"/>
        <w:rPr>
          <w:rStyle w:val="75"/>
          <w:color w:val="auto"/>
          <w:highlight w:val="none"/>
        </w:rPr>
      </w:pPr>
      <w:bookmarkStart w:id="81" w:name="_Toc17749"/>
      <w:r>
        <w:rPr>
          <w:rStyle w:val="75"/>
          <w:rFonts w:hint="eastAsia"/>
          <w:color w:val="auto"/>
          <w:highlight w:val="none"/>
        </w:rPr>
        <w:t>（八）项目服务质量保障措施和相应违约承诺</w:t>
      </w:r>
    </w:p>
    <w:bookmarkEnd w:id="81"/>
    <w:p w14:paraId="59AF4EF1">
      <w:pPr>
        <w:keepNext/>
        <w:spacing w:line="360" w:lineRule="auto"/>
        <w:ind w:firstLine="562" w:firstLineChars="200"/>
        <w:jc w:val="left"/>
        <w:rPr>
          <w:rFonts w:hint="eastAsia" w:hAnsi="宋体"/>
          <w:b/>
          <w:color w:val="auto"/>
          <w:szCs w:val="28"/>
          <w:highlight w:val="none"/>
        </w:rPr>
      </w:pPr>
    </w:p>
    <w:p w14:paraId="646C79E6">
      <w:pPr>
        <w:keepNext/>
        <w:spacing w:line="360" w:lineRule="auto"/>
        <w:ind w:firstLine="560"/>
        <w:jc w:val="left"/>
        <w:rPr>
          <w:rFonts w:hint="eastAsia" w:hAnsi="宋体" w:cs="宋体"/>
          <w:color w:val="auto"/>
          <w:sz w:val="21"/>
          <w:szCs w:val="21"/>
          <w:highlight w:val="none"/>
        </w:rPr>
      </w:pPr>
      <w:r>
        <w:rPr>
          <w:rFonts w:hint="eastAsia" w:hAnsi="宋体" w:cs="宋体"/>
          <w:color w:val="auto"/>
          <w:sz w:val="21"/>
          <w:szCs w:val="21"/>
          <w:highlight w:val="none"/>
        </w:rPr>
        <w:t>此部分内容应充分结合招标文件中本项目采购需求的全部内容以及评标办法的评审要求进行综合分析后进行编制，此部分内容包含但不限于：①针对合同履行期限按时完成工作的保障措施和违约承诺；②针对本项目服务质量达标的保障措施和违约承诺；③针对售后运维服务工作质量保障措施和违约承诺；④针对项目安全（如项目安全、信息数据安全和商业机密保密等方面）管理工作质量保障措施和违约承诺。</w:t>
      </w:r>
    </w:p>
    <w:p w14:paraId="144F46A0">
      <w:pPr>
        <w:keepNext/>
        <w:spacing w:line="360" w:lineRule="auto"/>
        <w:ind w:firstLine="480" w:firstLineChars="200"/>
        <w:jc w:val="left"/>
        <w:rPr>
          <w:rFonts w:hint="eastAsia" w:hAnsi="宋体" w:cs="宋体"/>
          <w:color w:val="auto"/>
          <w:sz w:val="24"/>
          <w:highlight w:val="none"/>
        </w:rPr>
      </w:pPr>
    </w:p>
    <w:p w14:paraId="654F87BC">
      <w:pPr>
        <w:keepNext/>
        <w:spacing w:line="360" w:lineRule="auto"/>
        <w:ind w:firstLine="420" w:firstLineChars="200"/>
        <w:jc w:val="left"/>
        <w:rPr>
          <w:rFonts w:hint="eastAsia" w:hAnsi="宋体" w:cs="宋体"/>
          <w:color w:val="auto"/>
          <w:sz w:val="21"/>
          <w:szCs w:val="21"/>
          <w:highlight w:val="none"/>
        </w:rPr>
      </w:pPr>
    </w:p>
    <w:p w14:paraId="4EA65D44">
      <w:pPr>
        <w:keepNext/>
        <w:spacing w:line="360" w:lineRule="auto"/>
        <w:ind w:firstLine="200"/>
        <w:jc w:val="center"/>
        <w:rPr>
          <w:rFonts w:hint="eastAsia" w:hAnsi="宋体" w:cs="宋体"/>
          <w:color w:val="auto"/>
          <w:sz w:val="21"/>
          <w:szCs w:val="21"/>
          <w:highlight w:val="none"/>
        </w:rPr>
      </w:pPr>
    </w:p>
    <w:p w14:paraId="0E1A4357">
      <w:pPr>
        <w:keepNext/>
        <w:spacing w:line="360" w:lineRule="auto"/>
        <w:ind w:firstLine="200"/>
        <w:jc w:val="center"/>
        <w:rPr>
          <w:rFonts w:hint="eastAsia" w:hAnsi="宋体" w:cs="宋体"/>
          <w:color w:val="auto"/>
          <w:sz w:val="21"/>
          <w:szCs w:val="21"/>
          <w:highlight w:val="none"/>
        </w:rPr>
      </w:pPr>
      <w:r>
        <w:rPr>
          <w:rFonts w:hint="eastAsia" w:hAnsi="宋体" w:cs="宋体"/>
          <w:color w:val="auto"/>
          <w:sz w:val="21"/>
          <w:szCs w:val="21"/>
          <w:highlight w:val="none"/>
        </w:rPr>
        <w:t>（格式由各投标人自行设计）</w:t>
      </w:r>
    </w:p>
    <w:p w14:paraId="7BD4F322">
      <w:pPr>
        <w:keepNext/>
        <w:spacing w:line="360" w:lineRule="auto"/>
        <w:ind w:firstLine="200"/>
        <w:rPr>
          <w:rFonts w:hint="eastAsia" w:hAnsi="宋体"/>
          <w:color w:val="auto"/>
          <w:sz w:val="21"/>
          <w:szCs w:val="21"/>
          <w:highlight w:val="none"/>
        </w:rPr>
      </w:pPr>
    </w:p>
    <w:p w14:paraId="07AC05CB">
      <w:pPr>
        <w:keepNext/>
        <w:spacing w:line="360" w:lineRule="auto"/>
        <w:ind w:firstLine="200"/>
        <w:rPr>
          <w:rFonts w:hint="eastAsia" w:hAnsi="宋体"/>
          <w:color w:val="auto"/>
          <w:sz w:val="21"/>
          <w:szCs w:val="21"/>
          <w:highlight w:val="none"/>
        </w:rPr>
      </w:pPr>
    </w:p>
    <w:p w14:paraId="21AC3969">
      <w:pPr>
        <w:spacing w:before="60" w:after="60" w:line="480" w:lineRule="auto"/>
        <w:ind w:hanging="35"/>
        <w:rPr>
          <w:rFonts w:hint="eastAsia" w:hAnsi="宋体" w:cs="宋体"/>
          <w:color w:val="auto"/>
          <w:szCs w:val="21"/>
          <w:highlight w:val="none"/>
        </w:rPr>
      </w:pPr>
    </w:p>
    <w:p w14:paraId="7B9AEEEB">
      <w:pPr>
        <w:keepNext/>
        <w:rPr>
          <w:rFonts w:hint="eastAsia" w:hAnsi="宋体"/>
          <w:color w:val="auto"/>
          <w:sz w:val="24"/>
          <w:szCs w:val="24"/>
          <w:highlight w:val="none"/>
        </w:rPr>
      </w:pPr>
    </w:p>
    <w:p w14:paraId="56969FEB">
      <w:pPr>
        <w:keepNext/>
        <w:spacing w:before="60" w:after="60" w:line="340" w:lineRule="exact"/>
        <w:ind w:hanging="35"/>
        <w:rPr>
          <w:rFonts w:hint="eastAsia" w:hAnsi="宋体"/>
          <w:color w:val="auto"/>
          <w:sz w:val="24"/>
          <w:highlight w:val="none"/>
        </w:rPr>
      </w:pPr>
    </w:p>
    <w:p w14:paraId="0B82712F">
      <w:pPr>
        <w:keepNext/>
        <w:spacing w:before="60" w:after="60" w:line="480" w:lineRule="auto"/>
        <w:ind w:hanging="35"/>
        <w:rPr>
          <w:rFonts w:hint="eastAsia" w:hAnsi="宋体" w:cs="宋体"/>
          <w:color w:val="auto"/>
          <w:szCs w:val="21"/>
          <w:highlight w:val="none"/>
        </w:rPr>
      </w:pPr>
    </w:p>
    <w:p w14:paraId="1083E634">
      <w:pPr>
        <w:pStyle w:val="6"/>
        <w:keepLines w:val="0"/>
        <w:ind w:left="425"/>
        <w:jc w:val="center"/>
        <w:rPr>
          <w:rFonts w:hint="eastAsia" w:ascii="宋体" w:hAnsi="宋体" w:eastAsia="宋体"/>
          <w:color w:val="auto"/>
          <w:kern w:val="2"/>
          <w:sz w:val="28"/>
          <w:szCs w:val="28"/>
          <w:highlight w:val="none"/>
        </w:rPr>
      </w:pPr>
      <w:r>
        <w:rPr>
          <w:rFonts w:ascii="宋体" w:hAnsi="宋体" w:eastAsia="宋体" w:cs="宋体"/>
          <w:color w:val="auto"/>
          <w:szCs w:val="21"/>
          <w:highlight w:val="none"/>
        </w:rPr>
        <w:br w:type="page"/>
      </w:r>
      <w:bookmarkEnd w:id="71"/>
      <w:bookmarkStart w:id="82" w:name="_Toc27248"/>
      <w:r>
        <w:rPr>
          <w:rStyle w:val="75"/>
          <w:rFonts w:hint="eastAsia"/>
          <w:b/>
          <w:bCs/>
          <w:color w:val="auto"/>
          <w:highlight w:val="none"/>
        </w:rPr>
        <w:t>（九）拟投入本项目的综合服务力量介绍</w:t>
      </w:r>
      <w:bookmarkEnd w:id="82"/>
    </w:p>
    <w:p w14:paraId="18409502">
      <w:pPr>
        <w:pStyle w:val="16"/>
        <w:tabs>
          <w:tab w:val="left" w:pos="750"/>
        </w:tabs>
        <w:spacing w:before="156"/>
        <w:ind w:firstLine="482"/>
        <w:jc w:val="center"/>
        <w:rPr>
          <w:rFonts w:hint="eastAsia" w:ascii="宋体" w:hAnsi="宋体" w:cs="宋体"/>
          <w:b/>
          <w:bCs/>
          <w:color w:val="auto"/>
          <w:sz w:val="21"/>
          <w:szCs w:val="21"/>
          <w:highlight w:val="none"/>
        </w:rPr>
      </w:pPr>
      <w:r>
        <w:rPr>
          <w:rFonts w:hint="eastAsia" w:ascii="宋体" w:hAnsi="宋体" w:cs="宋体"/>
          <w:b/>
          <w:bCs/>
          <w:color w:val="auto"/>
          <w:sz w:val="28"/>
          <w:szCs w:val="28"/>
          <w:highlight w:val="none"/>
        </w:rPr>
        <w:t>1.投标人综合实力</w:t>
      </w:r>
    </w:p>
    <w:p w14:paraId="14A3F51D">
      <w:pPr>
        <w:pStyle w:val="16"/>
        <w:tabs>
          <w:tab w:val="left" w:pos="750"/>
        </w:tabs>
        <w:spacing w:before="156"/>
        <w:ind w:firstLine="482"/>
        <w:jc w:val="center"/>
        <w:rPr>
          <w:rFonts w:hint="eastAsia" w:ascii="宋体" w:hAnsi="宋体" w:cs="宋体"/>
          <w:b/>
          <w:bCs/>
          <w:color w:val="auto"/>
          <w:sz w:val="21"/>
          <w:szCs w:val="21"/>
          <w:highlight w:val="none"/>
        </w:rPr>
      </w:pPr>
    </w:p>
    <w:p w14:paraId="652AB004">
      <w:pPr>
        <w:pStyle w:val="16"/>
        <w:tabs>
          <w:tab w:val="left" w:pos="750"/>
        </w:tabs>
        <w:spacing w:before="156"/>
        <w:ind w:firstLine="482"/>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包含且不限于：投标人简介、投标人技术实力介绍、相关技术认证情况、社会信用证明材料等。</w:t>
      </w:r>
    </w:p>
    <w:p w14:paraId="0DBE429D">
      <w:pPr>
        <w:pStyle w:val="22"/>
        <w:rPr>
          <w:color w:val="auto"/>
          <w:highlight w:val="none"/>
        </w:rPr>
      </w:pPr>
    </w:p>
    <w:p w14:paraId="7763822E">
      <w:pPr>
        <w:rPr>
          <w:rFonts w:hint="eastAsia" w:hAnsi="宋体" w:cs="宋体"/>
          <w:b/>
          <w:bCs/>
          <w:color w:val="auto"/>
          <w:sz w:val="21"/>
          <w:szCs w:val="21"/>
          <w:highlight w:val="none"/>
        </w:rPr>
      </w:pPr>
      <w:r>
        <w:rPr>
          <w:rFonts w:hint="eastAsia" w:hAnsi="宋体" w:cs="宋体"/>
          <w:b/>
          <w:bCs/>
          <w:color w:val="auto"/>
          <w:sz w:val="21"/>
          <w:szCs w:val="21"/>
          <w:highlight w:val="none"/>
        </w:rPr>
        <w:br w:type="page"/>
      </w:r>
    </w:p>
    <w:p w14:paraId="465C2F2C">
      <w:pPr>
        <w:pStyle w:val="16"/>
        <w:tabs>
          <w:tab w:val="left" w:pos="750"/>
        </w:tabs>
        <w:spacing w:before="156"/>
        <w:ind w:firstLine="482"/>
        <w:jc w:val="center"/>
        <w:rPr>
          <w:rFonts w:hint="eastAsia" w:ascii="宋体" w:hAnsi="宋体" w:cs="宋体"/>
          <w:b/>
          <w:bCs/>
          <w:color w:val="auto"/>
          <w:sz w:val="21"/>
          <w:szCs w:val="21"/>
          <w:highlight w:val="none"/>
        </w:rPr>
      </w:pPr>
      <w:r>
        <w:rPr>
          <w:rFonts w:hint="eastAsia" w:ascii="宋体" w:hAnsi="宋体" w:cs="宋体"/>
          <w:b/>
          <w:bCs/>
          <w:color w:val="auto"/>
          <w:sz w:val="28"/>
          <w:szCs w:val="28"/>
          <w:highlight w:val="none"/>
        </w:rPr>
        <w:t>2.项目团队服务机构介绍</w:t>
      </w:r>
    </w:p>
    <w:p w14:paraId="0584F509">
      <w:pPr>
        <w:pStyle w:val="16"/>
        <w:tabs>
          <w:tab w:val="left" w:pos="750"/>
        </w:tabs>
        <w:spacing w:before="156"/>
        <w:ind w:firstLine="482"/>
        <w:rPr>
          <w:rFonts w:hint="eastAsia" w:ascii="宋体" w:hAnsi="宋体" w:cs="宋体"/>
          <w:b/>
          <w:bCs/>
          <w:color w:val="auto"/>
          <w:sz w:val="21"/>
          <w:szCs w:val="21"/>
          <w:highlight w:val="none"/>
        </w:rPr>
      </w:pPr>
    </w:p>
    <w:p w14:paraId="742C8E1E">
      <w:pPr>
        <w:spacing w:line="360" w:lineRule="auto"/>
        <w:ind w:firstLine="426"/>
        <w:jc w:val="left"/>
        <w:rPr>
          <w:rFonts w:hint="eastAsia" w:hAnsi="宋体" w:cs="宋体"/>
          <w:color w:val="auto"/>
          <w:sz w:val="21"/>
          <w:szCs w:val="21"/>
          <w:highlight w:val="none"/>
        </w:rPr>
      </w:pPr>
      <w:r>
        <w:rPr>
          <w:rFonts w:hint="eastAsia" w:hAnsi="宋体" w:cs="宋体"/>
          <w:color w:val="auto"/>
          <w:sz w:val="21"/>
          <w:szCs w:val="21"/>
          <w:highlight w:val="none"/>
        </w:rPr>
        <w:t>包含但不限于投标人基本情况介绍，拟组建的服务机构的具体情况和简介，团队组织架构介绍、分工情况、项目团队技术服务人员配备情况介绍等内容，格式由投标人自行设计。</w:t>
      </w:r>
    </w:p>
    <w:p w14:paraId="10400D63">
      <w:pPr>
        <w:pStyle w:val="6"/>
        <w:keepLines w:val="0"/>
        <w:ind w:left="425"/>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r>
      <w:bookmarkStart w:id="83" w:name="_Toc3089"/>
      <w:bookmarkStart w:id="84" w:name="_Toc2427"/>
      <w:bookmarkStart w:id="85" w:name="_Toc23993"/>
      <w:bookmarkStart w:id="86" w:name="_Toc3493"/>
      <w:r>
        <w:rPr>
          <w:rFonts w:hint="eastAsia" w:ascii="宋体" w:hAnsi="宋体" w:eastAsia="宋体" w:cs="宋体"/>
          <w:color w:val="auto"/>
          <w:sz w:val="28"/>
          <w:szCs w:val="28"/>
          <w:highlight w:val="none"/>
        </w:rPr>
        <w:t>3.项目负责人简历表</w:t>
      </w:r>
      <w:bookmarkEnd w:id="83"/>
      <w:bookmarkEnd w:id="84"/>
      <w:bookmarkEnd w:id="85"/>
      <w:bookmarkEnd w:id="86"/>
    </w:p>
    <w:tbl>
      <w:tblPr>
        <w:tblStyle w:val="39"/>
        <w:tblW w:w="9900" w:type="dxa"/>
        <w:jc w:val="center"/>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
      <w:tblGrid>
        <w:gridCol w:w="1907"/>
        <w:gridCol w:w="832"/>
        <w:gridCol w:w="512"/>
        <w:gridCol w:w="113"/>
        <w:gridCol w:w="1416"/>
        <w:gridCol w:w="1417"/>
        <w:gridCol w:w="32"/>
        <w:gridCol w:w="1951"/>
        <w:gridCol w:w="319"/>
        <w:gridCol w:w="1401"/>
      </w:tblGrid>
      <w:tr w14:paraId="25711F03">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14" w:hRule="atLeast"/>
          <w:jc w:val="center"/>
        </w:trPr>
        <w:tc>
          <w:tcPr>
            <w:tcW w:w="1907" w:type="dxa"/>
            <w:tcBorders>
              <w:top w:val="single" w:color="000000" w:sz="4" w:space="0"/>
              <w:left w:val="single" w:color="000000" w:sz="4" w:space="0"/>
              <w:bottom w:val="single" w:color="000000" w:sz="4" w:space="0"/>
              <w:right w:val="single" w:color="000000" w:sz="4" w:space="0"/>
            </w:tcBorders>
            <w:noWrap/>
            <w:vAlign w:val="center"/>
          </w:tcPr>
          <w:p w14:paraId="04639619">
            <w:pPr>
              <w:pStyle w:val="24"/>
              <w:keepNext/>
              <w:jc w:val="center"/>
              <w:rPr>
                <w:rFonts w:hint="eastAsia" w:hAnsi="宋体" w:cs="宋体"/>
                <w:color w:val="auto"/>
                <w:highlight w:val="none"/>
              </w:rPr>
            </w:pPr>
            <w:r>
              <w:rPr>
                <w:rFonts w:hint="eastAsia" w:hAnsi="宋体" w:cs="宋体"/>
                <w:color w:val="auto"/>
                <w:highlight w:val="none"/>
              </w:rPr>
              <w:t>姓名</w:t>
            </w:r>
          </w:p>
        </w:tc>
        <w:tc>
          <w:tcPr>
            <w:tcW w:w="1457" w:type="dxa"/>
            <w:gridSpan w:val="3"/>
            <w:tcBorders>
              <w:top w:val="single" w:color="000000" w:sz="4" w:space="0"/>
              <w:left w:val="single" w:color="000000" w:sz="4" w:space="0"/>
              <w:bottom w:val="single" w:color="000000" w:sz="4" w:space="0"/>
              <w:right w:val="single" w:color="000000" w:sz="4" w:space="0"/>
            </w:tcBorders>
            <w:noWrap/>
            <w:vAlign w:val="center"/>
          </w:tcPr>
          <w:p w14:paraId="4F42BF49">
            <w:pPr>
              <w:pStyle w:val="24"/>
              <w:keepNext/>
              <w:jc w:val="center"/>
              <w:rPr>
                <w:rFonts w:hint="eastAsia" w:hAnsi="宋体" w:cs="宋体"/>
                <w:color w:val="auto"/>
                <w:highlight w:val="none"/>
              </w:rPr>
            </w:pPr>
          </w:p>
        </w:tc>
        <w:tc>
          <w:tcPr>
            <w:tcW w:w="1416" w:type="dxa"/>
            <w:tcBorders>
              <w:top w:val="single" w:color="000000" w:sz="4" w:space="0"/>
              <w:left w:val="single" w:color="000000" w:sz="4" w:space="0"/>
              <w:bottom w:val="single" w:color="000000" w:sz="4" w:space="0"/>
              <w:right w:val="single" w:color="000000" w:sz="4" w:space="0"/>
            </w:tcBorders>
            <w:noWrap/>
            <w:vAlign w:val="center"/>
          </w:tcPr>
          <w:p w14:paraId="3CAF7178">
            <w:pPr>
              <w:pStyle w:val="24"/>
              <w:keepNext/>
              <w:jc w:val="center"/>
              <w:rPr>
                <w:rFonts w:hint="eastAsia" w:hAnsi="宋体" w:cs="宋体"/>
                <w:color w:val="auto"/>
                <w:highlight w:val="none"/>
              </w:rPr>
            </w:pPr>
            <w:r>
              <w:rPr>
                <w:rFonts w:hint="eastAsia" w:hAnsi="宋体" w:cs="宋体"/>
                <w:color w:val="auto"/>
                <w:highlight w:val="none"/>
              </w:rPr>
              <w:t>性别</w:t>
            </w:r>
          </w:p>
        </w:tc>
        <w:tc>
          <w:tcPr>
            <w:tcW w:w="1417" w:type="dxa"/>
            <w:tcBorders>
              <w:top w:val="single" w:color="000000" w:sz="4" w:space="0"/>
              <w:left w:val="single" w:color="000000" w:sz="4" w:space="0"/>
              <w:bottom w:val="single" w:color="000000" w:sz="4" w:space="0"/>
              <w:right w:val="single" w:color="000000" w:sz="4" w:space="0"/>
            </w:tcBorders>
            <w:noWrap/>
            <w:vAlign w:val="center"/>
          </w:tcPr>
          <w:p w14:paraId="0BDCC577">
            <w:pPr>
              <w:pStyle w:val="24"/>
              <w:keepNext/>
              <w:jc w:val="center"/>
              <w:rPr>
                <w:rFonts w:hint="eastAsia" w:hAnsi="宋体" w:cs="宋体"/>
                <w:color w:val="auto"/>
                <w:highlight w:val="none"/>
              </w:rPr>
            </w:pPr>
          </w:p>
        </w:tc>
        <w:tc>
          <w:tcPr>
            <w:tcW w:w="1983" w:type="dxa"/>
            <w:gridSpan w:val="2"/>
            <w:tcBorders>
              <w:top w:val="single" w:color="000000" w:sz="4" w:space="0"/>
              <w:left w:val="single" w:color="000000" w:sz="4" w:space="0"/>
              <w:bottom w:val="single" w:color="000000" w:sz="4" w:space="0"/>
              <w:right w:val="single" w:color="000000" w:sz="4" w:space="0"/>
            </w:tcBorders>
            <w:noWrap/>
            <w:vAlign w:val="center"/>
          </w:tcPr>
          <w:p w14:paraId="01C23246">
            <w:pPr>
              <w:pStyle w:val="24"/>
              <w:keepNext/>
              <w:jc w:val="center"/>
              <w:rPr>
                <w:rFonts w:hint="eastAsia" w:hAnsi="宋体" w:cs="宋体"/>
                <w:color w:val="auto"/>
                <w:highlight w:val="none"/>
              </w:rPr>
            </w:pPr>
            <w:r>
              <w:rPr>
                <w:rFonts w:hint="eastAsia" w:hAnsi="宋体" w:cs="宋体"/>
                <w:color w:val="auto"/>
                <w:highlight w:val="none"/>
              </w:rPr>
              <w:t>年龄</w:t>
            </w:r>
          </w:p>
        </w:tc>
        <w:tc>
          <w:tcPr>
            <w:tcW w:w="1720" w:type="dxa"/>
            <w:gridSpan w:val="2"/>
            <w:tcBorders>
              <w:top w:val="single" w:color="000000" w:sz="4" w:space="0"/>
              <w:left w:val="single" w:color="000000" w:sz="4" w:space="0"/>
              <w:bottom w:val="single" w:color="000000" w:sz="4" w:space="0"/>
              <w:right w:val="single" w:color="000000" w:sz="4" w:space="0"/>
            </w:tcBorders>
            <w:noWrap/>
            <w:vAlign w:val="center"/>
          </w:tcPr>
          <w:p w14:paraId="27330B5E">
            <w:pPr>
              <w:pStyle w:val="24"/>
              <w:keepNext/>
              <w:jc w:val="center"/>
              <w:rPr>
                <w:rFonts w:hint="eastAsia" w:hAnsi="宋体" w:cs="宋体"/>
                <w:color w:val="auto"/>
                <w:highlight w:val="none"/>
              </w:rPr>
            </w:pPr>
          </w:p>
        </w:tc>
      </w:tr>
      <w:tr w14:paraId="77432832">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14" w:hRule="atLeast"/>
          <w:jc w:val="center"/>
        </w:trPr>
        <w:tc>
          <w:tcPr>
            <w:tcW w:w="1907" w:type="dxa"/>
            <w:tcBorders>
              <w:top w:val="single" w:color="000000" w:sz="4" w:space="0"/>
              <w:left w:val="single" w:color="000000" w:sz="4" w:space="0"/>
              <w:bottom w:val="single" w:color="000000" w:sz="4" w:space="0"/>
              <w:right w:val="single" w:color="000000" w:sz="4" w:space="0"/>
            </w:tcBorders>
            <w:noWrap/>
            <w:vAlign w:val="center"/>
          </w:tcPr>
          <w:p w14:paraId="38591900">
            <w:pPr>
              <w:pStyle w:val="24"/>
              <w:keepNext/>
              <w:jc w:val="center"/>
              <w:rPr>
                <w:rFonts w:hint="eastAsia" w:hAnsi="宋体" w:cs="宋体"/>
                <w:color w:val="auto"/>
                <w:highlight w:val="none"/>
              </w:rPr>
            </w:pPr>
            <w:r>
              <w:rPr>
                <w:rFonts w:hint="eastAsia" w:hAnsi="宋体" w:cs="宋体"/>
                <w:color w:val="auto"/>
                <w:highlight w:val="none"/>
              </w:rPr>
              <w:t>学历</w:t>
            </w:r>
          </w:p>
        </w:tc>
        <w:tc>
          <w:tcPr>
            <w:tcW w:w="1457" w:type="dxa"/>
            <w:gridSpan w:val="3"/>
            <w:tcBorders>
              <w:top w:val="single" w:color="000000" w:sz="4" w:space="0"/>
              <w:left w:val="single" w:color="000000" w:sz="4" w:space="0"/>
              <w:bottom w:val="single" w:color="000000" w:sz="4" w:space="0"/>
              <w:right w:val="single" w:color="000000" w:sz="4" w:space="0"/>
            </w:tcBorders>
            <w:noWrap/>
            <w:vAlign w:val="center"/>
          </w:tcPr>
          <w:p w14:paraId="4048DA1B">
            <w:pPr>
              <w:pStyle w:val="24"/>
              <w:keepNext/>
              <w:jc w:val="center"/>
              <w:rPr>
                <w:rFonts w:hint="eastAsia" w:hAnsi="宋体" w:cs="宋体"/>
                <w:color w:val="auto"/>
                <w:highlight w:val="none"/>
              </w:rPr>
            </w:pPr>
          </w:p>
        </w:tc>
        <w:tc>
          <w:tcPr>
            <w:tcW w:w="1416" w:type="dxa"/>
            <w:tcBorders>
              <w:top w:val="single" w:color="000000" w:sz="4" w:space="0"/>
              <w:left w:val="single" w:color="000000" w:sz="4" w:space="0"/>
              <w:bottom w:val="single" w:color="000000" w:sz="4" w:space="0"/>
              <w:right w:val="single" w:color="000000" w:sz="4" w:space="0"/>
            </w:tcBorders>
            <w:noWrap/>
            <w:vAlign w:val="center"/>
          </w:tcPr>
          <w:p w14:paraId="7D5824E6">
            <w:pPr>
              <w:pStyle w:val="24"/>
              <w:keepNext/>
              <w:jc w:val="center"/>
              <w:rPr>
                <w:rFonts w:hint="eastAsia" w:hAnsi="宋体" w:cs="宋体"/>
                <w:color w:val="auto"/>
                <w:highlight w:val="none"/>
              </w:rPr>
            </w:pPr>
            <w:r>
              <w:rPr>
                <w:rFonts w:hint="eastAsia" w:hAnsi="宋体" w:cs="宋体"/>
                <w:color w:val="auto"/>
                <w:highlight w:val="none"/>
              </w:rPr>
              <w:t>毕业院校</w:t>
            </w:r>
          </w:p>
        </w:tc>
        <w:tc>
          <w:tcPr>
            <w:tcW w:w="1417" w:type="dxa"/>
            <w:tcBorders>
              <w:top w:val="single" w:color="000000" w:sz="4" w:space="0"/>
              <w:left w:val="single" w:color="000000" w:sz="4" w:space="0"/>
              <w:bottom w:val="single" w:color="000000" w:sz="4" w:space="0"/>
              <w:right w:val="single" w:color="000000" w:sz="4" w:space="0"/>
            </w:tcBorders>
            <w:noWrap/>
            <w:vAlign w:val="center"/>
          </w:tcPr>
          <w:p w14:paraId="443AE52C">
            <w:pPr>
              <w:pStyle w:val="24"/>
              <w:keepNext/>
              <w:jc w:val="center"/>
              <w:rPr>
                <w:rFonts w:hint="eastAsia" w:hAnsi="宋体" w:cs="宋体"/>
                <w:color w:val="auto"/>
                <w:highlight w:val="none"/>
              </w:rPr>
            </w:pPr>
          </w:p>
        </w:tc>
        <w:tc>
          <w:tcPr>
            <w:tcW w:w="1983" w:type="dxa"/>
            <w:gridSpan w:val="2"/>
            <w:tcBorders>
              <w:top w:val="single" w:color="000000" w:sz="4" w:space="0"/>
              <w:left w:val="single" w:color="000000" w:sz="4" w:space="0"/>
              <w:bottom w:val="single" w:color="000000" w:sz="4" w:space="0"/>
              <w:right w:val="single" w:color="000000" w:sz="4" w:space="0"/>
            </w:tcBorders>
            <w:noWrap/>
            <w:vAlign w:val="center"/>
          </w:tcPr>
          <w:p w14:paraId="076DECA6">
            <w:pPr>
              <w:pStyle w:val="24"/>
              <w:keepNext/>
              <w:jc w:val="center"/>
              <w:rPr>
                <w:rFonts w:hint="eastAsia" w:hAnsi="宋体" w:cs="宋体"/>
                <w:color w:val="auto"/>
                <w:highlight w:val="none"/>
              </w:rPr>
            </w:pPr>
            <w:r>
              <w:rPr>
                <w:rFonts w:hint="eastAsia" w:hAnsi="宋体" w:cs="宋体"/>
                <w:color w:val="auto"/>
                <w:highlight w:val="none"/>
              </w:rPr>
              <w:t>专业</w:t>
            </w:r>
          </w:p>
        </w:tc>
        <w:tc>
          <w:tcPr>
            <w:tcW w:w="1720" w:type="dxa"/>
            <w:gridSpan w:val="2"/>
            <w:tcBorders>
              <w:top w:val="single" w:color="000000" w:sz="4" w:space="0"/>
              <w:left w:val="single" w:color="000000" w:sz="4" w:space="0"/>
              <w:bottom w:val="single" w:color="000000" w:sz="4" w:space="0"/>
              <w:right w:val="single" w:color="000000" w:sz="4" w:space="0"/>
            </w:tcBorders>
            <w:noWrap/>
            <w:vAlign w:val="center"/>
          </w:tcPr>
          <w:p w14:paraId="52ED3D19">
            <w:pPr>
              <w:pStyle w:val="24"/>
              <w:keepNext/>
              <w:jc w:val="center"/>
              <w:rPr>
                <w:rFonts w:hint="eastAsia" w:hAnsi="宋体" w:cs="宋体"/>
                <w:color w:val="auto"/>
                <w:highlight w:val="none"/>
              </w:rPr>
            </w:pPr>
          </w:p>
        </w:tc>
      </w:tr>
      <w:tr w14:paraId="2B41C13B">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14" w:hRule="atLeast"/>
          <w:jc w:val="center"/>
        </w:trPr>
        <w:tc>
          <w:tcPr>
            <w:tcW w:w="1907" w:type="dxa"/>
            <w:tcBorders>
              <w:top w:val="single" w:color="000000" w:sz="4" w:space="0"/>
              <w:left w:val="single" w:color="000000" w:sz="4" w:space="0"/>
              <w:bottom w:val="single" w:color="000000" w:sz="4" w:space="0"/>
              <w:right w:val="single" w:color="000000" w:sz="4" w:space="0"/>
            </w:tcBorders>
            <w:noWrap/>
            <w:vAlign w:val="center"/>
          </w:tcPr>
          <w:p w14:paraId="51B2C321">
            <w:pPr>
              <w:pStyle w:val="24"/>
              <w:keepNext/>
              <w:jc w:val="center"/>
              <w:rPr>
                <w:rFonts w:hint="eastAsia" w:hAnsi="宋体" w:cs="宋体"/>
                <w:color w:val="auto"/>
                <w:highlight w:val="none"/>
              </w:rPr>
            </w:pPr>
            <w:r>
              <w:rPr>
                <w:rFonts w:hint="eastAsia" w:hAnsi="宋体" w:cs="宋体"/>
                <w:color w:val="auto"/>
                <w:highlight w:val="none"/>
              </w:rPr>
              <w:t>职务</w:t>
            </w:r>
          </w:p>
        </w:tc>
        <w:tc>
          <w:tcPr>
            <w:tcW w:w="1457" w:type="dxa"/>
            <w:gridSpan w:val="3"/>
            <w:tcBorders>
              <w:top w:val="single" w:color="000000" w:sz="4" w:space="0"/>
              <w:left w:val="single" w:color="000000" w:sz="4" w:space="0"/>
              <w:bottom w:val="single" w:color="000000" w:sz="4" w:space="0"/>
              <w:right w:val="single" w:color="000000" w:sz="4" w:space="0"/>
            </w:tcBorders>
            <w:noWrap/>
            <w:vAlign w:val="center"/>
          </w:tcPr>
          <w:p w14:paraId="4002BA79">
            <w:pPr>
              <w:pStyle w:val="24"/>
              <w:keepNext/>
              <w:jc w:val="center"/>
              <w:rPr>
                <w:rFonts w:hint="eastAsia" w:hAnsi="宋体" w:cs="宋体"/>
                <w:color w:val="auto"/>
                <w:highlight w:val="none"/>
              </w:rPr>
            </w:pPr>
          </w:p>
        </w:tc>
        <w:tc>
          <w:tcPr>
            <w:tcW w:w="1416" w:type="dxa"/>
            <w:tcBorders>
              <w:top w:val="single" w:color="000000" w:sz="4" w:space="0"/>
              <w:left w:val="single" w:color="000000" w:sz="4" w:space="0"/>
              <w:bottom w:val="single" w:color="000000" w:sz="4" w:space="0"/>
              <w:right w:val="single" w:color="000000" w:sz="4" w:space="0"/>
            </w:tcBorders>
            <w:noWrap/>
            <w:vAlign w:val="center"/>
          </w:tcPr>
          <w:p w14:paraId="18766800">
            <w:pPr>
              <w:pStyle w:val="24"/>
              <w:keepNext/>
              <w:jc w:val="center"/>
              <w:rPr>
                <w:rFonts w:hint="eastAsia" w:hAnsi="宋体" w:cs="宋体"/>
                <w:color w:val="auto"/>
                <w:highlight w:val="none"/>
              </w:rPr>
            </w:pPr>
            <w:r>
              <w:rPr>
                <w:rFonts w:hint="eastAsia" w:hAnsi="宋体" w:cs="宋体"/>
                <w:color w:val="auto"/>
                <w:highlight w:val="none"/>
              </w:rPr>
              <w:t>职称</w:t>
            </w:r>
          </w:p>
        </w:tc>
        <w:tc>
          <w:tcPr>
            <w:tcW w:w="1417" w:type="dxa"/>
            <w:tcBorders>
              <w:top w:val="single" w:color="000000" w:sz="4" w:space="0"/>
              <w:left w:val="single" w:color="000000" w:sz="4" w:space="0"/>
              <w:bottom w:val="single" w:color="000000" w:sz="4" w:space="0"/>
              <w:right w:val="single" w:color="000000" w:sz="4" w:space="0"/>
            </w:tcBorders>
            <w:noWrap/>
            <w:vAlign w:val="center"/>
          </w:tcPr>
          <w:p w14:paraId="73FDC552">
            <w:pPr>
              <w:pStyle w:val="24"/>
              <w:keepNext/>
              <w:jc w:val="center"/>
              <w:rPr>
                <w:rFonts w:hint="eastAsia" w:hAnsi="宋体" w:cs="宋体"/>
                <w:color w:val="auto"/>
                <w:highlight w:val="none"/>
              </w:rPr>
            </w:pPr>
          </w:p>
        </w:tc>
        <w:tc>
          <w:tcPr>
            <w:tcW w:w="1983" w:type="dxa"/>
            <w:gridSpan w:val="2"/>
            <w:tcBorders>
              <w:top w:val="single" w:color="000000" w:sz="4" w:space="0"/>
              <w:left w:val="single" w:color="000000" w:sz="4" w:space="0"/>
              <w:bottom w:val="single" w:color="000000" w:sz="4" w:space="0"/>
              <w:right w:val="single" w:color="000000" w:sz="4" w:space="0"/>
            </w:tcBorders>
            <w:noWrap/>
            <w:vAlign w:val="center"/>
          </w:tcPr>
          <w:p w14:paraId="6427EFAB">
            <w:pPr>
              <w:pStyle w:val="24"/>
              <w:keepNext/>
              <w:jc w:val="center"/>
              <w:rPr>
                <w:rFonts w:hint="eastAsia" w:hAnsi="宋体" w:cs="宋体"/>
                <w:color w:val="auto"/>
                <w:highlight w:val="none"/>
              </w:rPr>
            </w:pPr>
            <w:r>
              <w:rPr>
                <w:rFonts w:hint="eastAsia" w:hAnsi="宋体" w:cs="宋体"/>
                <w:color w:val="auto"/>
                <w:highlight w:val="none"/>
              </w:rPr>
              <w:t>注册情况</w:t>
            </w:r>
          </w:p>
        </w:tc>
        <w:tc>
          <w:tcPr>
            <w:tcW w:w="1720" w:type="dxa"/>
            <w:gridSpan w:val="2"/>
            <w:tcBorders>
              <w:top w:val="single" w:color="000000" w:sz="4" w:space="0"/>
              <w:left w:val="single" w:color="000000" w:sz="4" w:space="0"/>
              <w:bottom w:val="single" w:color="000000" w:sz="4" w:space="0"/>
              <w:right w:val="single" w:color="000000" w:sz="4" w:space="0"/>
            </w:tcBorders>
            <w:noWrap/>
            <w:vAlign w:val="center"/>
          </w:tcPr>
          <w:p w14:paraId="575B0FD2">
            <w:pPr>
              <w:pStyle w:val="24"/>
              <w:keepNext/>
              <w:jc w:val="center"/>
              <w:rPr>
                <w:rFonts w:hint="eastAsia" w:hAnsi="宋体" w:cs="宋体"/>
                <w:color w:val="auto"/>
                <w:highlight w:val="none"/>
              </w:rPr>
            </w:pPr>
          </w:p>
        </w:tc>
      </w:tr>
      <w:tr w14:paraId="2B42D0ED">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14" w:hRule="atLeast"/>
          <w:jc w:val="center"/>
        </w:trPr>
        <w:tc>
          <w:tcPr>
            <w:tcW w:w="2739" w:type="dxa"/>
            <w:gridSpan w:val="2"/>
            <w:tcBorders>
              <w:top w:val="single" w:color="000000" w:sz="4" w:space="0"/>
              <w:left w:val="single" w:color="000000" w:sz="4" w:space="0"/>
              <w:bottom w:val="single" w:color="000000" w:sz="4" w:space="0"/>
              <w:right w:val="single" w:color="000000" w:sz="4" w:space="0"/>
            </w:tcBorders>
            <w:noWrap/>
            <w:vAlign w:val="center"/>
          </w:tcPr>
          <w:p w14:paraId="1431050A">
            <w:pPr>
              <w:pStyle w:val="24"/>
              <w:keepNext/>
              <w:jc w:val="center"/>
              <w:rPr>
                <w:rFonts w:hint="eastAsia" w:hAnsi="宋体" w:cs="宋体"/>
                <w:color w:val="auto"/>
                <w:highlight w:val="none"/>
              </w:rPr>
            </w:pPr>
            <w:r>
              <w:rPr>
                <w:rFonts w:hint="eastAsia" w:hAnsi="宋体" w:cs="宋体"/>
                <w:color w:val="auto"/>
                <w:highlight w:val="none"/>
              </w:rPr>
              <w:t>参加工作时间</w:t>
            </w:r>
          </w:p>
        </w:tc>
        <w:tc>
          <w:tcPr>
            <w:tcW w:w="2041" w:type="dxa"/>
            <w:gridSpan w:val="3"/>
            <w:tcBorders>
              <w:top w:val="single" w:color="000000" w:sz="4" w:space="0"/>
              <w:left w:val="single" w:color="000000" w:sz="4" w:space="0"/>
              <w:bottom w:val="single" w:color="000000" w:sz="4" w:space="0"/>
              <w:right w:val="single" w:color="000000" w:sz="4" w:space="0"/>
            </w:tcBorders>
            <w:noWrap/>
            <w:vAlign w:val="center"/>
          </w:tcPr>
          <w:p w14:paraId="4EED7478">
            <w:pPr>
              <w:pStyle w:val="24"/>
              <w:keepNext/>
              <w:jc w:val="center"/>
              <w:rPr>
                <w:rFonts w:hint="eastAsia" w:hAnsi="宋体" w:cs="宋体"/>
                <w:color w:val="auto"/>
                <w:highlight w:val="none"/>
              </w:rPr>
            </w:pPr>
          </w:p>
        </w:tc>
        <w:tc>
          <w:tcPr>
            <w:tcW w:w="3400" w:type="dxa"/>
            <w:gridSpan w:val="3"/>
            <w:tcBorders>
              <w:top w:val="single" w:color="000000" w:sz="4" w:space="0"/>
              <w:left w:val="single" w:color="000000" w:sz="4" w:space="0"/>
              <w:bottom w:val="single" w:color="000000" w:sz="4" w:space="0"/>
              <w:right w:val="single" w:color="000000" w:sz="4" w:space="0"/>
            </w:tcBorders>
            <w:noWrap/>
            <w:vAlign w:val="center"/>
          </w:tcPr>
          <w:p w14:paraId="52292688">
            <w:pPr>
              <w:pStyle w:val="24"/>
              <w:keepNext/>
              <w:jc w:val="center"/>
              <w:rPr>
                <w:rFonts w:hint="eastAsia" w:hAnsi="宋体" w:cs="宋体"/>
                <w:color w:val="auto"/>
                <w:highlight w:val="none"/>
              </w:rPr>
            </w:pPr>
            <w:r>
              <w:rPr>
                <w:rFonts w:hint="eastAsia" w:hAnsi="宋体" w:cs="宋体"/>
                <w:color w:val="auto"/>
                <w:highlight w:val="none"/>
              </w:rPr>
              <w:t>从事项目负责人年限</w:t>
            </w:r>
          </w:p>
        </w:tc>
        <w:tc>
          <w:tcPr>
            <w:tcW w:w="1720" w:type="dxa"/>
            <w:gridSpan w:val="2"/>
            <w:tcBorders>
              <w:top w:val="single" w:color="000000" w:sz="4" w:space="0"/>
              <w:left w:val="single" w:color="000000" w:sz="4" w:space="0"/>
              <w:bottom w:val="single" w:color="000000" w:sz="4" w:space="0"/>
              <w:right w:val="single" w:color="000000" w:sz="4" w:space="0"/>
            </w:tcBorders>
            <w:noWrap/>
            <w:vAlign w:val="center"/>
          </w:tcPr>
          <w:p w14:paraId="4792FB29">
            <w:pPr>
              <w:pStyle w:val="24"/>
              <w:keepNext/>
              <w:jc w:val="center"/>
              <w:rPr>
                <w:rFonts w:hint="eastAsia" w:hAnsi="宋体" w:cs="宋体"/>
                <w:color w:val="auto"/>
                <w:highlight w:val="none"/>
              </w:rPr>
            </w:pPr>
          </w:p>
        </w:tc>
      </w:tr>
      <w:tr w14:paraId="4A238CE8">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14" w:hRule="atLeast"/>
          <w:jc w:val="center"/>
        </w:trPr>
        <w:tc>
          <w:tcPr>
            <w:tcW w:w="9900" w:type="dxa"/>
            <w:gridSpan w:val="10"/>
            <w:tcBorders>
              <w:top w:val="single" w:color="000000" w:sz="4" w:space="0"/>
              <w:left w:val="single" w:color="000000" w:sz="4" w:space="0"/>
              <w:bottom w:val="single" w:color="000000" w:sz="4" w:space="0"/>
              <w:right w:val="single" w:color="000000" w:sz="4" w:space="0"/>
            </w:tcBorders>
            <w:noWrap/>
            <w:vAlign w:val="center"/>
          </w:tcPr>
          <w:p w14:paraId="11ED6F0C">
            <w:pPr>
              <w:pStyle w:val="24"/>
              <w:keepNext/>
              <w:jc w:val="center"/>
              <w:rPr>
                <w:rFonts w:hint="eastAsia" w:hAnsi="宋体" w:cs="宋体"/>
                <w:color w:val="auto"/>
                <w:highlight w:val="none"/>
              </w:rPr>
            </w:pPr>
            <w:r>
              <w:rPr>
                <w:rFonts w:hint="eastAsia" w:hAnsi="宋体" w:cs="宋体"/>
                <w:color w:val="auto"/>
                <w:highlight w:val="none"/>
              </w:rPr>
              <w:t>已完成项目情况</w:t>
            </w:r>
          </w:p>
        </w:tc>
      </w:tr>
      <w:tr w14:paraId="112D83CA">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14" w:hRule="atLeast"/>
          <w:jc w:val="center"/>
        </w:trPr>
        <w:tc>
          <w:tcPr>
            <w:tcW w:w="3251" w:type="dxa"/>
            <w:gridSpan w:val="3"/>
            <w:tcBorders>
              <w:top w:val="single" w:color="000000" w:sz="4" w:space="0"/>
              <w:left w:val="single" w:color="000000" w:sz="4" w:space="0"/>
              <w:bottom w:val="single" w:color="000000" w:sz="4" w:space="0"/>
              <w:right w:val="single" w:color="000000" w:sz="4" w:space="0"/>
            </w:tcBorders>
            <w:noWrap/>
            <w:vAlign w:val="center"/>
          </w:tcPr>
          <w:p w14:paraId="065B8528">
            <w:pPr>
              <w:pStyle w:val="24"/>
              <w:keepNext/>
              <w:jc w:val="center"/>
              <w:rPr>
                <w:rFonts w:hint="eastAsia" w:hAnsi="宋体" w:cs="宋体"/>
                <w:color w:val="auto"/>
                <w:highlight w:val="none"/>
              </w:rPr>
            </w:pPr>
            <w:r>
              <w:rPr>
                <w:rFonts w:hint="eastAsia" w:hAnsi="宋体" w:cs="宋体"/>
                <w:color w:val="auto"/>
                <w:highlight w:val="none"/>
              </w:rPr>
              <w:t>项目名称</w:t>
            </w:r>
          </w:p>
        </w:tc>
        <w:tc>
          <w:tcPr>
            <w:tcW w:w="2978" w:type="dxa"/>
            <w:gridSpan w:val="4"/>
            <w:tcBorders>
              <w:top w:val="single" w:color="000000" w:sz="4" w:space="0"/>
              <w:left w:val="single" w:color="000000" w:sz="4" w:space="0"/>
              <w:bottom w:val="single" w:color="000000" w:sz="4" w:space="0"/>
              <w:right w:val="single" w:color="000000" w:sz="4" w:space="0"/>
            </w:tcBorders>
            <w:noWrap/>
            <w:vAlign w:val="center"/>
          </w:tcPr>
          <w:p w14:paraId="4D3315CB">
            <w:pPr>
              <w:pStyle w:val="24"/>
              <w:keepNext/>
              <w:jc w:val="center"/>
              <w:rPr>
                <w:rFonts w:hint="eastAsia" w:hAnsi="宋体" w:cs="宋体"/>
                <w:color w:val="auto"/>
                <w:highlight w:val="none"/>
              </w:rPr>
            </w:pPr>
            <w:r>
              <w:rPr>
                <w:rFonts w:hint="eastAsia" w:hAnsi="宋体" w:cs="宋体"/>
                <w:color w:val="auto"/>
                <w:highlight w:val="none"/>
              </w:rPr>
              <w:t>项目服务周期</w:t>
            </w:r>
          </w:p>
        </w:tc>
        <w:tc>
          <w:tcPr>
            <w:tcW w:w="2270" w:type="dxa"/>
            <w:gridSpan w:val="2"/>
            <w:tcBorders>
              <w:top w:val="single" w:color="000000" w:sz="4" w:space="0"/>
              <w:left w:val="single" w:color="000000" w:sz="4" w:space="0"/>
              <w:bottom w:val="single" w:color="000000" w:sz="4" w:space="0"/>
              <w:right w:val="single" w:color="000000" w:sz="4" w:space="0"/>
            </w:tcBorders>
            <w:noWrap/>
            <w:vAlign w:val="center"/>
          </w:tcPr>
          <w:p w14:paraId="7B474207">
            <w:pPr>
              <w:pStyle w:val="24"/>
              <w:keepNext/>
              <w:jc w:val="center"/>
              <w:rPr>
                <w:rFonts w:hint="eastAsia" w:hAnsi="宋体" w:cs="宋体"/>
                <w:color w:val="auto"/>
                <w:highlight w:val="none"/>
              </w:rPr>
            </w:pPr>
            <w:r>
              <w:rPr>
                <w:rFonts w:hint="eastAsia" w:hAnsi="宋体" w:cs="宋体"/>
                <w:color w:val="auto"/>
                <w:highlight w:val="none"/>
              </w:rPr>
              <w:t>担负的技术职务</w:t>
            </w:r>
          </w:p>
        </w:tc>
        <w:tc>
          <w:tcPr>
            <w:tcW w:w="1401" w:type="dxa"/>
            <w:tcBorders>
              <w:top w:val="single" w:color="000000" w:sz="4" w:space="0"/>
              <w:left w:val="single" w:color="000000" w:sz="4" w:space="0"/>
              <w:bottom w:val="single" w:color="000000" w:sz="4" w:space="0"/>
              <w:right w:val="single" w:color="000000" w:sz="4" w:space="0"/>
            </w:tcBorders>
            <w:noWrap/>
            <w:vAlign w:val="center"/>
          </w:tcPr>
          <w:p w14:paraId="7E6D242B">
            <w:pPr>
              <w:pStyle w:val="24"/>
              <w:keepNext/>
              <w:jc w:val="center"/>
              <w:rPr>
                <w:rFonts w:hint="eastAsia" w:hAnsi="宋体" w:cs="宋体"/>
                <w:color w:val="auto"/>
                <w:highlight w:val="none"/>
              </w:rPr>
            </w:pPr>
            <w:r>
              <w:rPr>
                <w:rFonts w:hint="eastAsia" w:hAnsi="宋体" w:cs="宋体"/>
                <w:color w:val="auto"/>
                <w:highlight w:val="none"/>
              </w:rPr>
              <w:t>获奖情况</w:t>
            </w:r>
          </w:p>
        </w:tc>
      </w:tr>
      <w:tr w14:paraId="60D5D0B9">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14" w:hRule="atLeast"/>
          <w:jc w:val="center"/>
        </w:trPr>
        <w:tc>
          <w:tcPr>
            <w:tcW w:w="3251" w:type="dxa"/>
            <w:gridSpan w:val="3"/>
            <w:tcBorders>
              <w:top w:val="single" w:color="000000" w:sz="4" w:space="0"/>
              <w:left w:val="single" w:color="000000" w:sz="4" w:space="0"/>
              <w:bottom w:val="single" w:color="000000" w:sz="4" w:space="0"/>
              <w:right w:val="single" w:color="000000" w:sz="4" w:space="0"/>
            </w:tcBorders>
            <w:noWrap/>
            <w:vAlign w:val="center"/>
          </w:tcPr>
          <w:p w14:paraId="43D9A09C">
            <w:pPr>
              <w:pStyle w:val="24"/>
              <w:keepNext/>
              <w:jc w:val="center"/>
              <w:rPr>
                <w:rFonts w:hint="eastAsia" w:hAnsi="宋体" w:cs="宋体"/>
                <w:color w:val="auto"/>
                <w:highlight w:val="none"/>
              </w:rPr>
            </w:pPr>
          </w:p>
        </w:tc>
        <w:tc>
          <w:tcPr>
            <w:tcW w:w="2978" w:type="dxa"/>
            <w:gridSpan w:val="4"/>
            <w:tcBorders>
              <w:top w:val="single" w:color="000000" w:sz="4" w:space="0"/>
              <w:left w:val="single" w:color="000000" w:sz="4" w:space="0"/>
              <w:bottom w:val="single" w:color="000000" w:sz="4" w:space="0"/>
              <w:right w:val="single" w:color="000000" w:sz="4" w:space="0"/>
            </w:tcBorders>
            <w:noWrap/>
            <w:vAlign w:val="center"/>
          </w:tcPr>
          <w:p w14:paraId="6C8DC6D4">
            <w:pPr>
              <w:pStyle w:val="24"/>
              <w:keepNext/>
              <w:jc w:val="center"/>
              <w:rPr>
                <w:rFonts w:hint="eastAsia" w:hAnsi="宋体" w:cs="宋体"/>
                <w:color w:val="auto"/>
                <w:highlight w:val="none"/>
              </w:rPr>
            </w:pPr>
          </w:p>
        </w:tc>
        <w:tc>
          <w:tcPr>
            <w:tcW w:w="2270" w:type="dxa"/>
            <w:gridSpan w:val="2"/>
            <w:tcBorders>
              <w:top w:val="single" w:color="000000" w:sz="4" w:space="0"/>
              <w:left w:val="single" w:color="000000" w:sz="4" w:space="0"/>
              <w:bottom w:val="single" w:color="000000" w:sz="4" w:space="0"/>
              <w:right w:val="single" w:color="000000" w:sz="4" w:space="0"/>
            </w:tcBorders>
            <w:noWrap/>
            <w:vAlign w:val="center"/>
          </w:tcPr>
          <w:p w14:paraId="47879223">
            <w:pPr>
              <w:pStyle w:val="24"/>
              <w:keepNext/>
              <w:jc w:val="center"/>
              <w:rPr>
                <w:rFonts w:hint="eastAsia" w:hAnsi="宋体" w:cs="宋体"/>
                <w:color w:val="auto"/>
                <w:highlight w:val="none"/>
              </w:rPr>
            </w:pPr>
          </w:p>
        </w:tc>
        <w:tc>
          <w:tcPr>
            <w:tcW w:w="1401" w:type="dxa"/>
            <w:tcBorders>
              <w:top w:val="single" w:color="000000" w:sz="4" w:space="0"/>
              <w:left w:val="single" w:color="000000" w:sz="4" w:space="0"/>
              <w:bottom w:val="single" w:color="000000" w:sz="4" w:space="0"/>
              <w:right w:val="single" w:color="000000" w:sz="4" w:space="0"/>
            </w:tcBorders>
            <w:noWrap/>
            <w:vAlign w:val="center"/>
          </w:tcPr>
          <w:p w14:paraId="41E54FA0">
            <w:pPr>
              <w:pStyle w:val="24"/>
              <w:keepNext/>
              <w:jc w:val="center"/>
              <w:rPr>
                <w:rFonts w:hint="eastAsia" w:hAnsi="宋体" w:cs="宋体"/>
                <w:color w:val="auto"/>
                <w:highlight w:val="none"/>
              </w:rPr>
            </w:pPr>
          </w:p>
        </w:tc>
      </w:tr>
      <w:tr w14:paraId="7BE2738A">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14" w:hRule="atLeast"/>
          <w:jc w:val="center"/>
        </w:trPr>
        <w:tc>
          <w:tcPr>
            <w:tcW w:w="3251" w:type="dxa"/>
            <w:gridSpan w:val="3"/>
            <w:tcBorders>
              <w:top w:val="single" w:color="000000" w:sz="4" w:space="0"/>
              <w:left w:val="single" w:color="000000" w:sz="4" w:space="0"/>
              <w:bottom w:val="single" w:color="000000" w:sz="4" w:space="0"/>
              <w:right w:val="single" w:color="000000" w:sz="4" w:space="0"/>
            </w:tcBorders>
            <w:noWrap/>
            <w:vAlign w:val="center"/>
          </w:tcPr>
          <w:p w14:paraId="419D95BC">
            <w:pPr>
              <w:pStyle w:val="24"/>
              <w:keepNext/>
              <w:jc w:val="center"/>
              <w:rPr>
                <w:rFonts w:hint="eastAsia" w:hAnsi="宋体" w:cs="宋体"/>
                <w:color w:val="auto"/>
                <w:highlight w:val="none"/>
              </w:rPr>
            </w:pPr>
          </w:p>
        </w:tc>
        <w:tc>
          <w:tcPr>
            <w:tcW w:w="2978" w:type="dxa"/>
            <w:gridSpan w:val="4"/>
            <w:tcBorders>
              <w:top w:val="single" w:color="000000" w:sz="4" w:space="0"/>
              <w:left w:val="single" w:color="000000" w:sz="4" w:space="0"/>
              <w:bottom w:val="single" w:color="000000" w:sz="4" w:space="0"/>
              <w:right w:val="single" w:color="000000" w:sz="4" w:space="0"/>
            </w:tcBorders>
            <w:noWrap/>
            <w:vAlign w:val="center"/>
          </w:tcPr>
          <w:p w14:paraId="5598E77D">
            <w:pPr>
              <w:pStyle w:val="24"/>
              <w:keepNext/>
              <w:jc w:val="center"/>
              <w:rPr>
                <w:rFonts w:hint="eastAsia" w:hAnsi="宋体" w:cs="宋体"/>
                <w:color w:val="auto"/>
                <w:highlight w:val="none"/>
              </w:rPr>
            </w:pPr>
          </w:p>
        </w:tc>
        <w:tc>
          <w:tcPr>
            <w:tcW w:w="2270" w:type="dxa"/>
            <w:gridSpan w:val="2"/>
            <w:tcBorders>
              <w:top w:val="single" w:color="000000" w:sz="4" w:space="0"/>
              <w:left w:val="single" w:color="000000" w:sz="4" w:space="0"/>
              <w:bottom w:val="single" w:color="000000" w:sz="4" w:space="0"/>
              <w:right w:val="single" w:color="000000" w:sz="4" w:space="0"/>
            </w:tcBorders>
            <w:noWrap/>
            <w:vAlign w:val="center"/>
          </w:tcPr>
          <w:p w14:paraId="6A30A9E5">
            <w:pPr>
              <w:pStyle w:val="24"/>
              <w:keepNext/>
              <w:jc w:val="center"/>
              <w:rPr>
                <w:rFonts w:hint="eastAsia" w:hAnsi="宋体" w:cs="宋体"/>
                <w:color w:val="auto"/>
                <w:highlight w:val="none"/>
              </w:rPr>
            </w:pPr>
          </w:p>
        </w:tc>
        <w:tc>
          <w:tcPr>
            <w:tcW w:w="1401" w:type="dxa"/>
            <w:tcBorders>
              <w:top w:val="single" w:color="000000" w:sz="4" w:space="0"/>
              <w:left w:val="single" w:color="000000" w:sz="4" w:space="0"/>
              <w:bottom w:val="single" w:color="000000" w:sz="4" w:space="0"/>
              <w:right w:val="single" w:color="000000" w:sz="4" w:space="0"/>
            </w:tcBorders>
            <w:noWrap/>
            <w:vAlign w:val="center"/>
          </w:tcPr>
          <w:p w14:paraId="3AE2381B">
            <w:pPr>
              <w:pStyle w:val="24"/>
              <w:keepNext/>
              <w:jc w:val="center"/>
              <w:rPr>
                <w:rFonts w:hint="eastAsia" w:hAnsi="宋体" w:cs="宋体"/>
                <w:color w:val="auto"/>
                <w:highlight w:val="none"/>
              </w:rPr>
            </w:pPr>
          </w:p>
        </w:tc>
      </w:tr>
      <w:tr w14:paraId="33F3C57F">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14" w:hRule="atLeast"/>
          <w:jc w:val="center"/>
        </w:trPr>
        <w:tc>
          <w:tcPr>
            <w:tcW w:w="3251" w:type="dxa"/>
            <w:gridSpan w:val="3"/>
            <w:tcBorders>
              <w:top w:val="single" w:color="000000" w:sz="4" w:space="0"/>
              <w:left w:val="single" w:color="000000" w:sz="4" w:space="0"/>
              <w:bottom w:val="single" w:color="000000" w:sz="4" w:space="0"/>
              <w:right w:val="single" w:color="000000" w:sz="4" w:space="0"/>
            </w:tcBorders>
            <w:noWrap/>
            <w:vAlign w:val="center"/>
          </w:tcPr>
          <w:p w14:paraId="5B6D8A7C">
            <w:pPr>
              <w:pStyle w:val="24"/>
              <w:keepNext/>
              <w:jc w:val="center"/>
              <w:rPr>
                <w:rFonts w:hint="eastAsia" w:hAnsi="宋体" w:cs="宋体"/>
                <w:color w:val="auto"/>
                <w:highlight w:val="none"/>
              </w:rPr>
            </w:pPr>
          </w:p>
        </w:tc>
        <w:tc>
          <w:tcPr>
            <w:tcW w:w="2978" w:type="dxa"/>
            <w:gridSpan w:val="4"/>
            <w:tcBorders>
              <w:top w:val="single" w:color="000000" w:sz="4" w:space="0"/>
              <w:left w:val="single" w:color="000000" w:sz="4" w:space="0"/>
              <w:bottom w:val="single" w:color="000000" w:sz="4" w:space="0"/>
              <w:right w:val="single" w:color="000000" w:sz="4" w:space="0"/>
            </w:tcBorders>
            <w:noWrap/>
            <w:vAlign w:val="center"/>
          </w:tcPr>
          <w:p w14:paraId="03DA102F">
            <w:pPr>
              <w:pStyle w:val="24"/>
              <w:keepNext/>
              <w:jc w:val="center"/>
              <w:rPr>
                <w:rFonts w:hint="eastAsia" w:hAnsi="宋体" w:cs="宋体"/>
                <w:color w:val="auto"/>
                <w:highlight w:val="none"/>
              </w:rPr>
            </w:pPr>
          </w:p>
        </w:tc>
        <w:tc>
          <w:tcPr>
            <w:tcW w:w="2270" w:type="dxa"/>
            <w:gridSpan w:val="2"/>
            <w:tcBorders>
              <w:top w:val="single" w:color="000000" w:sz="4" w:space="0"/>
              <w:left w:val="single" w:color="000000" w:sz="4" w:space="0"/>
              <w:bottom w:val="single" w:color="000000" w:sz="4" w:space="0"/>
              <w:right w:val="single" w:color="000000" w:sz="4" w:space="0"/>
            </w:tcBorders>
            <w:noWrap/>
            <w:vAlign w:val="center"/>
          </w:tcPr>
          <w:p w14:paraId="1C4229C8">
            <w:pPr>
              <w:pStyle w:val="24"/>
              <w:keepNext/>
              <w:jc w:val="center"/>
              <w:rPr>
                <w:rFonts w:hint="eastAsia" w:hAnsi="宋体" w:cs="宋体"/>
                <w:color w:val="auto"/>
                <w:highlight w:val="none"/>
              </w:rPr>
            </w:pPr>
          </w:p>
        </w:tc>
        <w:tc>
          <w:tcPr>
            <w:tcW w:w="1401" w:type="dxa"/>
            <w:tcBorders>
              <w:top w:val="single" w:color="000000" w:sz="4" w:space="0"/>
              <w:left w:val="single" w:color="000000" w:sz="4" w:space="0"/>
              <w:bottom w:val="single" w:color="000000" w:sz="4" w:space="0"/>
              <w:right w:val="single" w:color="000000" w:sz="4" w:space="0"/>
            </w:tcBorders>
            <w:noWrap/>
            <w:vAlign w:val="center"/>
          </w:tcPr>
          <w:p w14:paraId="4217FC62">
            <w:pPr>
              <w:pStyle w:val="24"/>
              <w:keepNext/>
              <w:jc w:val="center"/>
              <w:rPr>
                <w:rFonts w:hint="eastAsia" w:hAnsi="宋体" w:cs="宋体"/>
                <w:color w:val="auto"/>
                <w:highlight w:val="none"/>
              </w:rPr>
            </w:pPr>
          </w:p>
        </w:tc>
      </w:tr>
      <w:tr w14:paraId="0E770B6B">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14" w:hRule="atLeast"/>
          <w:jc w:val="center"/>
        </w:trPr>
        <w:tc>
          <w:tcPr>
            <w:tcW w:w="3251" w:type="dxa"/>
            <w:gridSpan w:val="3"/>
            <w:tcBorders>
              <w:top w:val="single" w:color="000000" w:sz="4" w:space="0"/>
              <w:left w:val="single" w:color="000000" w:sz="4" w:space="0"/>
              <w:bottom w:val="single" w:color="000000" w:sz="4" w:space="0"/>
              <w:right w:val="single" w:color="000000" w:sz="4" w:space="0"/>
            </w:tcBorders>
            <w:noWrap/>
            <w:vAlign w:val="center"/>
          </w:tcPr>
          <w:p w14:paraId="7531347B">
            <w:pPr>
              <w:pStyle w:val="24"/>
              <w:keepNext/>
              <w:jc w:val="center"/>
              <w:rPr>
                <w:rFonts w:hint="eastAsia" w:hAnsi="宋体" w:cs="宋体"/>
                <w:color w:val="auto"/>
                <w:highlight w:val="none"/>
              </w:rPr>
            </w:pPr>
          </w:p>
        </w:tc>
        <w:tc>
          <w:tcPr>
            <w:tcW w:w="2978" w:type="dxa"/>
            <w:gridSpan w:val="4"/>
            <w:tcBorders>
              <w:top w:val="single" w:color="000000" w:sz="4" w:space="0"/>
              <w:left w:val="single" w:color="000000" w:sz="4" w:space="0"/>
              <w:bottom w:val="single" w:color="000000" w:sz="4" w:space="0"/>
              <w:right w:val="single" w:color="000000" w:sz="4" w:space="0"/>
            </w:tcBorders>
            <w:noWrap/>
            <w:vAlign w:val="center"/>
          </w:tcPr>
          <w:p w14:paraId="012E1C42">
            <w:pPr>
              <w:pStyle w:val="24"/>
              <w:keepNext/>
              <w:jc w:val="center"/>
              <w:rPr>
                <w:rFonts w:hint="eastAsia" w:hAnsi="宋体" w:cs="宋体"/>
                <w:color w:val="auto"/>
                <w:highlight w:val="none"/>
              </w:rPr>
            </w:pPr>
          </w:p>
        </w:tc>
        <w:tc>
          <w:tcPr>
            <w:tcW w:w="2270" w:type="dxa"/>
            <w:gridSpan w:val="2"/>
            <w:tcBorders>
              <w:top w:val="single" w:color="000000" w:sz="4" w:space="0"/>
              <w:left w:val="single" w:color="000000" w:sz="4" w:space="0"/>
              <w:bottom w:val="single" w:color="000000" w:sz="4" w:space="0"/>
              <w:right w:val="single" w:color="000000" w:sz="4" w:space="0"/>
            </w:tcBorders>
            <w:noWrap/>
            <w:vAlign w:val="center"/>
          </w:tcPr>
          <w:p w14:paraId="621FF105">
            <w:pPr>
              <w:pStyle w:val="24"/>
              <w:keepNext/>
              <w:jc w:val="center"/>
              <w:rPr>
                <w:rFonts w:hint="eastAsia" w:hAnsi="宋体" w:cs="宋体"/>
                <w:color w:val="auto"/>
                <w:highlight w:val="none"/>
              </w:rPr>
            </w:pPr>
          </w:p>
        </w:tc>
        <w:tc>
          <w:tcPr>
            <w:tcW w:w="1401" w:type="dxa"/>
            <w:tcBorders>
              <w:top w:val="single" w:color="000000" w:sz="4" w:space="0"/>
              <w:left w:val="single" w:color="000000" w:sz="4" w:space="0"/>
              <w:bottom w:val="single" w:color="000000" w:sz="4" w:space="0"/>
              <w:right w:val="single" w:color="000000" w:sz="4" w:space="0"/>
            </w:tcBorders>
            <w:noWrap/>
            <w:vAlign w:val="center"/>
          </w:tcPr>
          <w:p w14:paraId="38AF80FC">
            <w:pPr>
              <w:pStyle w:val="24"/>
              <w:keepNext/>
              <w:jc w:val="center"/>
              <w:rPr>
                <w:rFonts w:hint="eastAsia" w:hAnsi="宋体" w:cs="宋体"/>
                <w:color w:val="auto"/>
                <w:highlight w:val="none"/>
              </w:rPr>
            </w:pPr>
          </w:p>
        </w:tc>
      </w:tr>
      <w:tr w14:paraId="0411E5A6">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14" w:hRule="atLeast"/>
          <w:jc w:val="center"/>
        </w:trPr>
        <w:tc>
          <w:tcPr>
            <w:tcW w:w="9900" w:type="dxa"/>
            <w:gridSpan w:val="10"/>
            <w:tcBorders>
              <w:top w:val="single" w:color="000000" w:sz="4" w:space="0"/>
              <w:left w:val="single" w:color="000000" w:sz="4" w:space="0"/>
              <w:bottom w:val="single" w:color="000000" w:sz="4" w:space="0"/>
              <w:right w:val="single" w:color="000000" w:sz="4" w:space="0"/>
            </w:tcBorders>
            <w:noWrap/>
            <w:vAlign w:val="center"/>
          </w:tcPr>
          <w:p w14:paraId="5ADD0AF0">
            <w:pPr>
              <w:pStyle w:val="24"/>
              <w:keepNext/>
              <w:rPr>
                <w:rFonts w:hint="eastAsia" w:hAnsi="宋体" w:cs="宋体"/>
                <w:color w:val="auto"/>
                <w:highlight w:val="none"/>
              </w:rPr>
            </w:pPr>
            <w:r>
              <w:rPr>
                <w:rFonts w:hint="eastAsia" w:hAnsi="宋体" w:cs="宋体"/>
                <w:color w:val="auto"/>
                <w:highlight w:val="none"/>
              </w:rPr>
              <w:t>简介：</w:t>
            </w:r>
          </w:p>
          <w:p w14:paraId="47E605F3">
            <w:pPr>
              <w:pStyle w:val="24"/>
              <w:keepNext/>
              <w:jc w:val="center"/>
              <w:rPr>
                <w:rFonts w:hint="eastAsia" w:hAnsi="宋体" w:cs="宋体"/>
                <w:color w:val="auto"/>
                <w:highlight w:val="none"/>
              </w:rPr>
            </w:pPr>
          </w:p>
          <w:p w14:paraId="48BC5384">
            <w:pPr>
              <w:pStyle w:val="24"/>
              <w:keepNext/>
              <w:jc w:val="center"/>
              <w:rPr>
                <w:rFonts w:hint="eastAsia" w:hAnsi="宋体" w:cs="宋体"/>
                <w:color w:val="auto"/>
                <w:highlight w:val="none"/>
              </w:rPr>
            </w:pPr>
          </w:p>
          <w:p w14:paraId="5FB26337">
            <w:pPr>
              <w:pStyle w:val="24"/>
              <w:keepNext/>
              <w:jc w:val="center"/>
              <w:rPr>
                <w:rFonts w:hint="eastAsia" w:hAnsi="宋体" w:cs="宋体"/>
                <w:color w:val="auto"/>
                <w:highlight w:val="none"/>
              </w:rPr>
            </w:pPr>
          </w:p>
          <w:p w14:paraId="4CF56E76">
            <w:pPr>
              <w:pStyle w:val="24"/>
              <w:keepNext/>
              <w:jc w:val="center"/>
              <w:rPr>
                <w:rFonts w:hint="eastAsia" w:hAnsi="宋体" w:cs="宋体"/>
                <w:color w:val="auto"/>
                <w:highlight w:val="none"/>
              </w:rPr>
            </w:pPr>
          </w:p>
          <w:p w14:paraId="24FA4039">
            <w:pPr>
              <w:pStyle w:val="24"/>
              <w:keepNext/>
              <w:rPr>
                <w:rFonts w:hint="eastAsia" w:hAnsi="宋体" w:cs="宋体"/>
                <w:color w:val="auto"/>
                <w:highlight w:val="none"/>
              </w:rPr>
            </w:pPr>
          </w:p>
        </w:tc>
      </w:tr>
    </w:tbl>
    <w:p w14:paraId="1D773569">
      <w:pPr>
        <w:keepNext/>
        <w:spacing w:line="360" w:lineRule="auto"/>
        <w:ind w:left="-238" w:leftChars="-85" w:firstLine="420" w:firstLineChars="200"/>
        <w:jc w:val="left"/>
        <w:rPr>
          <w:rFonts w:hint="eastAsia" w:hAnsi="宋体" w:cs="宋体"/>
          <w:color w:val="auto"/>
          <w:sz w:val="21"/>
          <w:szCs w:val="21"/>
          <w:highlight w:val="none"/>
        </w:rPr>
      </w:pPr>
      <w:r>
        <w:rPr>
          <w:rFonts w:hint="eastAsia" w:hAnsi="宋体" w:cs="宋体"/>
          <w:color w:val="auto"/>
          <w:sz w:val="21"/>
          <w:szCs w:val="21"/>
          <w:highlight w:val="none"/>
        </w:rPr>
        <w:t>注：附项目负责人学历证、</w:t>
      </w:r>
      <w:r>
        <w:rPr>
          <w:rFonts w:hint="eastAsia" w:hAnsi="宋体" w:cs="宋体"/>
          <w:bCs/>
          <w:color w:val="auto"/>
          <w:sz w:val="21"/>
          <w:szCs w:val="21"/>
          <w:highlight w:val="none"/>
        </w:rPr>
        <w:t>职称证（如有）、</w:t>
      </w:r>
      <w:r>
        <w:rPr>
          <w:rFonts w:hint="eastAsia" w:hAnsi="宋体" w:cs="宋体"/>
          <w:color w:val="auto"/>
          <w:sz w:val="21"/>
          <w:szCs w:val="21"/>
          <w:highlight w:val="none"/>
        </w:rPr>
        <w:t>执业或职业或注册资格证书（如有）、身份证、近半年内的社保证明材料和劳动合同、项目负责人2021年以来类似项目经验证明材料、相关荣誉（如有）等相关资料复印件。</w:t>
      </w:r>
    </w:p>
    <w:p w14:paraId="538384CF">
      <w:pPr>
        <w:keepNext/>
        <w:spacing w:before="60" w:after="60" w:line="340" w:lineRule="exact"/>
        <w:ind w:hanging="35"/>
        <w:rPr>
          <w:rFonts w:hint="eastAsia" w:hAnsi="宋体" w:cs="宋体"/>
          <w:color w:val="auto"/>
          <w:sz w:val="21"/>
          <w:szCs w:val="21"/>
          <w:highlight w:val="none"/>
        </w:rPr>
      </w:pPr>
    </w:p>
    <w:p w14:paraId="20A106CC">
      <w:pPr>
        <w:widowControl/>
        <w:jc w:val="left"/>
        <w:rPr>
          <w:rFonts w:hint="eastAsia" w:hAnsi="宋体"/>
          <w:b/>
          <w:bCs/>
          <w:color w:val="auto"/>
          <w:sz w:val="21"/>
          <w:szCs w:val="21"/>
          <w:highlight w:val="none"/>
        </w:rPr>
      </w:pPr>
    </w:p>
    <w:p w14:paraId="1E366AE7">
      <w:pPr>
        <w:spacing w:before="60" w:after="60" w:line="360" w:lineRule="auto"/>
        <w:rPr>
          <w:rFonts w:hint="eastAsia" w:hAnsi="宋体"/>
          <w:color w:val="auto"/>
          <w:sz w:val="21"/>
          <w:szCs w:val="21"/>
          <w:highlight w:val="none"/>
        </w:rPr>
      </w:pPr>
      <w:r>
        <w:rPr>
          <w:rFonts w:hint="eastAsia" w:hAnsi="宋体"/>
          <w:color w:val="auto"/>
          <w:sz w:val="21"/>
          <w:szCs w:val="21"/>
          <w:highlight w:val="none"/>
        </w:rPr>
        <w:t>投标人（加盖单位章）：</w:t>
      </w:r>
      <w:r>
        <w:rPr>
          <w:rFonts w:hAnsi="宋体"/>
          <w:color w:val="auto"/>
          <w:sz w:val="21"/>
          <w:szCs w:val="21"/>
          <w:highlight w:val="none"/>
        </w:rPr>
        <w:t>______________</w:t>
      </w:r>
    </w:p>
    <w:p w14:paraId="6A506502">
      <w:pPr>
        <w:spacing w:before="60" w:after="60" w:line="360" w:lineRule="auto"/>
        <w:rPr>
          <w:rFonts w:hint="eastAsia" w:hAnsi="宋体"/>
          <w:color w:val="auto"/>
          <w:sz w:val="21"/>
          <w:szCs w:val="21"/>
          <w:highlight w:val="none"/>
        </w:rPr>
      </w:pPr>
      <w:r>
        <w:rPr>
          <w:rFonts w:hint="eastAsia" w:hAnsi="宋体"/>
          <w:color w:val="auto"/>
          <w:sz w:val="21"/>
          <w:szCs w:val="21"/>
          <w:highlight w:val="none"/>
        </w:rPr>
        <w:t>法定代表人（负责人）或委托代理人（签字或盖章）：</w:t>
      </w:r>
      <w:r>
        <w:rPr>
          <w:rFonts w:hAnsi="宋体"/>
          <w:color w:val="auto"/>
          <w:sz w:val="21"/>
          <w:szCs w:val="21"/>
          <w:highlight w:val="none"/>
        </w:rPr>
        <w:t>________</w:t>
      </w:r>
    </w:p>
    <w:p w14:paraId="7D558AAD">
      <w:pPr>
        <w:keepNext/>
        <w:spacing w:before="60" w:after="60" w:line="480" w:lineRule="auto"/>
        <w:ind w:hanging="35"/>
        <w:rPr>
          <w:rFonts w:hint="eastAsia" w:hAnsi="宋体" w:cs="宋体"/>
          <w:color w:val="auto"/>
          <w:sz w:val="21"/>
          <w:szCs w:val="21"/>
          <w:highlight w:val="none"/>
        </w:rPr>
      </w:pPr>
      <w:r>
        <w:rPr>
          <w:rFonts w:hint="eastAsia" w:hAnsi="宋体"/>
          <w:color w:val="auto"/>
          <w:sz w:val="21"/>
          <w:szCs w:val="21"/>
          <w:highlight w:val="none"/>
        </w:rPr>
        <w:t>日期：</w:t>
      </w:r>
      <w:r>
        <w:rPr>
          <w:rFonts w:hAnsi="宋体"/>
          <w:color w:val="auto"/>
          <w:sz w:val="21"/>
          <w:szCs w:val="21"/>
          <w:highlight w:val="none"/>
        </w:rPr>
        <w:t>________</w:t>
      </w:r>
      <w:r>
        <w:rPr>
          <w:rFonts w:hint="eastAsia" w:hAnsi="宋体"/>
          <w:color w:val="auto"/>
          <w:sz w:val="21"/>
          <w:szCs w:val="21"/>
          <w:highlight w:val="none"/>
        </w:rPr>
        <w:t>年</w:t>
      </w:r>
      <w:r>
        <w:rPr>
          <w:rFonts w:hAnsi="宋体"/>
          <w:color w:val="auto"/>
          <w:sz w:val="21"/>
          <w:szCs w:val="21"/>
          <w:highlight w:val="none"/>
        </w:rPr>
        <w:t>_____</w:t>
      </w:r>
      <w:r>
        <w:rPr>
          <w:rFonts w:hint="eastAsia" w:hAnsi="宋体"/>
          <w:color w:val="auto"/>
          <w:sz w:val="21"/>
          <w:szCs w:val="21"/>
          <w:highlight w:val="none"/>
        </w:rPr>
        <w:t>月</w:t>
      </w:r>
      <w:r>
        <w:rPr>
          <w:rFonts w:hAnsi="宋体"/>
          <w:color w:val="auto"/>
          <w:sz w:val="21"/>
          <w:szCs w:val="21"/>
          <w:highlight w:val="none"/>
        </w:rPr>
        <w:t>_____</w:t>
      </w:r>
      <w:r>
        <w:rPr>
          <w:rFonts w:hint="eastAsia" w:hAnsi="宋体"/>
          <w:color w:val="auto"/>
          <w:sz w:val="21"/>
          <w:szCs w:val="21"/>
          <w:highlight w:val="none"/>
        </w:rPr>
        <w:t>日</w:t>
      </w:r>
    </w:p>
    <w:p w14:paraId="47189182">
      <w:pPr>
        <w:ind w:firstLine="422" w:firstLineChars="200"/>
        <w:rPr>
          <w:rFonts w:hint="eastAsia" w:hAnsi="宋体" w:cs="宋体"/>
          <w:b/>
          <w:color w:val="auto"/>
          <w:sz w:val="21"/>
          <w:szCs w:val="21"/>
          <w:highlight w:val="none"/>
        </w:rPr>
      </w:pPr>
      <w:r>
        <w:rPr>
          <w:rFonts w:hint="eastAsia" w:hAnsi="宋体" w:cs="宋体"/>
          <w:b/>
          <w:color w:val="auto"/>
          <w:sz w:val="21"/>
          <w:szCs w:val="21"/>
          <w:highlight w:val="none"/>
        </w:rPr>
        <w:br w:type="page"/>
      </w:r>
    </w:p>
    <w:p w14:paraId="6F378845">
      <w:pPr>
        <w:pStyle w:val="51"/>
        <w:jc w:val="center"/>
        <w:rPr>
          <w:rFonts w:hint="eastAsia" w:ascii="宋体" w:hAnsi="宋体" w:cs="宋体"/>
          <w:b/>
          <w:color w:val="auto"/>
          <w:szCs w:val="21"/>
          <w:highlight w:val="none"/>
        </w:rPr>
      </w:pPr>
      <w:r>
        <w:rPr>
          <w:rFonts w:hint="eastAsia" w:ascii="宋体" w:hAnsi="宋体" w:cs="宋体"/>
          <w:b/>
          <w:color w:val="auto"/>
          <w:sz w:val="28"/>
          <w:szCs w:val="28"/>
          <w:highlight w:val="none"/>
        </w:rPr>
        <w:t>4.项目团队技术服务人员情况表</w:t>
      </w:r>
    </w:p>
    <w:p w14:paraId="4623C6E5">
      <w:pPr>
        <w:pStyle w:val="51"/>
        <w:rPr>
          <w:rFonts w:hint="eastAsia" w:ascii="宋体" w:hAnsi="宋体" w:cs="宋体"/>
          <w:b/>
          <w:color w:val="auto"/>
          <w:szCs w:val="21"/>
          <w:highlight w:val="none"/>
        </w:rPr>
      </w:pPr>
    </w:p>
    <w:tbl>
      <w:tblPr>
        <w:tblStyle w:val="39"/>
        <w:tblW w:w="9090" w:type="dxa"/>
        <w:jc w:val="center"/>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
      <w:tblGrid>
        <w:gridCol w:w="1149"/>
        <w:gridCol w:w="2204"/>
        <w:gridCol w:w="1296"/>
        <w:gridCol w:w="1825"/>
        <w:gridCol w:w="2616"/>
      </w:tblGrid>
      <w:tr w14:paraId="0E1B4A5E">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795" w:hRule="atLeast"/>
          <w:jc w:val="center"/>
        </w:trPr>
        <w:tc>
          <w:tcPr>
            <w:tcW w:w="1149" w:type="dxa"/>
            <w:tcBorders>
              <w:top w:val="single" w:color="000000" w:sz="4" w:space="0"/>
              <w:left w:val="single" w:color="000000" w:sz="4" w:space="0"/>
              <w:bottom w:val="single" w:color="000000" w:sz="4" w:space="0"/>
              <w:right w:val="single" w:color="000000" w:sz="4" w:space="0"/>
            </w:tcBorders>
            <w:noWrap/>
            <w:vAlign w:val="center"/>
          </w:tcPr>
          <w:p w14:paraId="26ED6A33">
            <w:pPr>
              <w:pStyle w:val="24"/>
              <w:jc w:val="center"/>
              <w:rPr>
                <w:rFonts w:hint="eastAsia" w:hAnsi="宋体" w:cs="宋体"/>
                <w:color w:val="auto"/>
                <w:highlight w:val="none"/>
              </w:rPr>
            </w:pPr>
            <w:r>
              <w:rPr>
                <w:rFonts w:hint="eastAsia" w:hAnsi="宋体" w:cs="宋体"/>
                <w:color w:val="auto"/>
                <w:highlight w:val="none"/>
              </w:rPr>
              <w:t>名称</w:t>
            </w:r>
          </w:p>
        </w:tc>
        <w:tc>
          <w:tcPr>
            <w:tcW w:w="2204" w:type="dxa"/>
            <w:tcBorders>
              <w:top w:val="single" w:color="000000" w:sz="4" w:space="0"/>
              <w:left w:val="single" w:color="000000" w:sz="4" w:space="0"/>
              <w:bottom w:val="single" w:color="000000" w:sz="4" w:space="0"/>
              <w:right w:val="single" w:color="auto" w:sz="4" w:space="0"/>
            </w:tcBorders>
            <w:noWrap/>
            <w:vAlign w:val="center"/>
          </w:tcPr>
          <w:p w14:paraId="27BD2C27">
            <w:pPr>
              <w:pStyle w:val="24"/>
              <w:jc w:val="center"/>
              <w:rPr>
                <w:rFonts w:hint="eastAsia" w:hAnsi="宋体" w:cs="宋体"/>
                <w:color w:val="auto"/>
                <w:highlight w:val="none"/>
              </w:rPr>
            </w:pPr>
            <w:r>
              <w:rPr>
                <w:rFonts w:hint="eastAsia" w:hAnsi="宋体" w:cs="宋体"/>
                <w:color w:val="auto"/>
                <w:highlight w:val="none"/>
              </w:rPr>
              <w:t>在本项目担任的职务</w:t>
            </w:r>
          </w:p>
        </w:tc>
        <w:tc>
          <w:tcPr>
            <w:tcW w:w="1296" w:type="dxa"/>
            <w:tcBorders>
              <w:top w:val="single" w:color="000000" w:sz="4" w:space="0"/>
              <w:left w:val="single" w:color="auto" w:sz="4" w:space="0"/>
              <w:bottom w:val="single" w:color="000000" w:sz="4" w:space="0"/>
              <w:right w:val="single" w:color="000000" w:sz="4" w:space="0"/>
            </w:tcBorders>
            <w:noWrap/>
            <w:vAlign w:val="center"/>
          </w:tcPr>
          <w:p w14:paraId="1A21841E">
            <w:pPr>
              <w:pStyle w:val="24"/>
              <w:jc w:val="center"/>
              <w:rPr>
                <w:rFonts w:hint="eastAsia" w:hAnsi="宋体" w:cs="宋体"/>
                <w:color w:val="auto"/>
                <w:highlight w:val="none"/>
              </w:rPr>
            </w:pPr>
            <w:r>
              <w:rPr>
                <w:rFonts w:hint="eastAsia" w:hAnsi="宋体" w:cs="宋体"/>
                <w:color w:val="auto"/>
                <w:highlight w:val="none"/>
              </w:rPr>
              <w:t>姓名</w:t>
            </w:r>
          </w:p>
        </w:tc>
        <w:tc>
          <w:tcPr>
            <w:tcW w:w="1825" w:type="dxa"/>
            <w:tcBorders>
              <w:top w:val="single" w:color="000000" w:sz="4" w:space="0"/>
              <w:left w:val="single" w:color="000000" w:sz="4" w:space="0"/>
              <w:bottom w:val="single" w:color="000000" w:sz="4" w:space="0"/>
              <w:right w:val="single" w:color="000000" w:sz="4" w:space="0"/>
            </w:tcBorders>
            <w:noWrap/>
            <w:vAlign w:val="center"/>
          </w:tcPr>
          <w:p w14:paraId="7DCCB3F1">
            <w:pPr>
              <w:pStyle w:val="24"/>
              <w:jc w:val="center"/>
              <w:rPr>
                <w:rFonts w:hint="eastAsia" w:hAnsi="宋体" w:cs="宋体"/>
                <w:color w:val="auto"/>
                <w:highlight w:val="none"/>
              </w:rPr>
            </w:pPr>
            <w:r>
              <w:rPr>
                <w:rFonts w:hint="eastAsia" w:hAnsi="宋体" w:cs="宋体"/>
                <w:color w:val="auto"/>
                <w:highlight w:val="none"/>
              </w:rPr>
              <w:t>职称或职业证书</w:t>
            </w:r>
          </w:p>
        </w:tc>
        <w:tc>
          <w:tcPr>
            <w:tcW w:w="2616" w:type="dxa"/>
            <w:tcBorders>
              <w:top w:val="single" w:color="000000" w:sz="4" w:space="0"/>
              <w:left w:val="single" w:color="auto" w:sz="4" w:space="0"/>
              <w:bottom w:val="single" w:color="000000" w:sz="4" w:space="0"/>
              <w:right w:val="single" w:color="000000" w:sz="4" w:space="0"/>
            </w:tcBorders>
            <w:noWrap/>
            <w:vAlign w:val="center"/>
          </w:tcPr>
          <w:p w14:paraId="44CFF90B">
            <w:pPr>
              <w:pStyle w:val="24"/>
              <w:rPr>
                <w:rFonts w:hint="eastAsia" w:hAnsi="宋体" w:cs="宋体"/>
                <w:color w:val="auto"/>
                <w:highlight w:val="none"/>
              </w:rPr>
            </w:pPr>
            <w:r>
              <w:rPr>
                <w:rFonts w:hint="eastAsia" w:hAnsi="宋体" w:cs="宋体"/>
                <w:color w:val="auto"/>
                <w:highlight w:val="none"/>
              </w:rPr>
              <w:t>简介：主要资历、经验及承担过的项目等</w:t>
            </w:r>
          </w:p>
        </w:tc>
      </w:tr>
      <w:tr w14:paraId="10159C00">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49" w:type="dxa"/>
            <w:vMerge w:val="restart"/>
            <w:tcBorders>
              <w:top w:val="single" w:color="000000" w:sz="4" w:space="0"/>
              <w:left w:val="single" w:color="000000" w:sz="4" w:space="0"/>
              <w:bottom w:val="single" w:color="000000" w:sz="4" w:space="0"/>
              <w:right w:val="single" w:color="000000" w:sz="4" w:space="0"/>
            </w:tcBorders>
            <w:noWrap/>
            <w:vAlign w:val="center"/>
          </w:tcPr>
          <w:p w14:paraId="769BDABB">
            <w:pPr>
              <w:pStyle w:val="24"/>
              <w:jc w:val="center"/>
              <w:rPr>
                <w:rFonts w:hint="eastAsia" w:hAnsi="宋体" w:cs="宋体"/>
                <w:color w:val="auto"/>
                <w:highlight w:val="none"/>
              </w:rPr>
            </w:pPr>
            <w:r>
              <w:rPr>
                <w:rFonts w:hint="eastAsia" w:hAnsi="宋体" w:cs="宋体"/>
                <w:color w:val="auto"/>
                <w:highlight w:val="none"/>
              </w:rPr>
              <w:t>各</w:t>
            </w:r>
          </w:p>
          <w:p w14:paraId="336EB86D">
            <w:pPr>
              <w:pStyle w:val="24"/>
              <w:jc w:val="center"/>
              <w:rPr>
                <w:rFonts w:hint="eastAsia" w:hAnsi="宋体" w:cs="宋体"/>
                <w:color w:val="auto"/>
                <w:highlight w:val="none"/>
              </w:rPr>
            </w:pPr>
            <w:r>
              <w:rPr>
                <w:rFonts w:hint="eastAsia" w:hAnsi="宋体" w:cs="宋体"/>
                <w:color w:val="auto"/>
                <w:highlight w:val="none"/>
              </w:rPr>
              <w:t>专</w:t>
            </w:r>
          </w:p>
          <w:p w14:paraId="1326176C">
            <w:pPr>
              <w:pStyle w:val="24"/>
              <w:jc w:val="center"/>
              <w:rPr>
                <w:rFonts w:hint="eastAsia" w:hAnsi="宋体" w:cs="宋体"/>
                <w:color w:val="auto"/>
                <w:highlight w:val="none"/>
              </w:rPr>
            </w:pPr>
            <w:r>
              <w:rPr>
                <w:rFonts w:hint="eastAsia" w:hAnsi="宋体" w:cs="宋体"/>
                <w:color w:val="auto"/>
                <w:highlight w:val="none"/>
              </w:rPr>
              <w:t>业</w:t>
            </w:r>
          </w:p>
          <w:p w14:paraId="1AA798C3">
            <w:pPr>
              <w:pStyle w:val="24"/>
              <w:jc w:val="center"/>
              <w:rPr>
                <w:rFonts w:hint="eastAsia" w:hAnsi="宋体" w:cs="宋体"/>
                <w:color w:val="auto"/>
                <w:highlight w:val="none"/>
              </w:rPr>
            </w:pPr>
            <w:r>
              <w:rPr>
                <w:rFonts w:hint="eastAsia" w:hAnsi="宋体" w:cs="宋体"/>
                <w:color w:val="auto"/>
                <w:highlight w:val="none"/>
              </w:rPr>
              <w:t>主</w:t>
            </w:r>
          </w:p>
          <w:p w14:paraId="77F7F499">
            <w:pPr>
              <w:pStyle w:val="24"/>
              <w:jc w:val="center"/>
              <w:rPr>
                <w:rFonts w:hint="eastAsia" w:hAnsi="宋体" w:cs="宋体"/>
                <w:color w:val="auto"/>
                <w:highlight w:val="none"/>
              </w:rPr>
            </w:pPr>
            <w:r>
              <w:rPr>
                <w:rFonts w:hint="eastAsia" w:hAnsi="宋体" w:cs="宋体"/>
                <w:color w:val="auto"/>
                <w:highlight w:val="none"/>
              </w:rPr>
              <w:t>要</w:t>
            </w:r>
          </w:p>
          <w:p w14:paraId="24ED6110">
            <w:pPr>
              <w:pStyle w:val="24"/>
              <w:jc w:val="center"/>
              <w:rPr>
                <w:rFonts w:hint="eastAsia" w:hAnsi="宋体" w:cs="宋体"/>
                <w:color w:val="auto"/>
                <w:highlight w:val="none"/>
              </w:rPr>
            </w:pPr>
            <w:r>
              <w:rPr>
                <w:rFonts w:hint="eastAsia" w:hAnsi="宋体" w:cs="宋体"/>
                <w:color w:val="auto"/>
                <w:highlight w:val="none"/>
              </w:rPr>
              <w:t>技</w:t>
            </w:r>
          </w:p>
          <w:p w14:paraId="03459910">
            <w:pPr>
              <w:pStyle w:val="24"/>
              <w:jc w:val="center"/>
              <w:rPr>
                <w:rFonts w:hint="eastAsia" w:hAnsi="宋体" w:cs="宋体"/>
                <w:color w:val="auto"/>
                <w:highlight w:val="none"/>
              </w:rPr>
            </w:pPr>
            <w:r>
              <w:rPr>
                <w:rFonts w:hint="eastAsia" w:hAnsi="宋体" w:cs="宋体"/>
                <w:color w:val="auto"/>
                <w:highlight w:val="none"/>
              </w:rPr>
              <w:t>术</w:t>
            </w:r>
          </w:p>
          <w:p w14:paraId="190652A4">
            <w:pPr>
              <w:pStyle w:val="24"/>
              <w:jc w:val="center"/>
              <w:rPr>
                <w:rFonts w:hint="eastAsia" w:hAnsi="宋体" w:cs="宋体"/>
                <w:color w:val="auto"/>
                <w:highlight w:val="none"/>
              </w:rPr>
            </w:pPr>
            <w:r>
              <w:rPr>
                <w:rFonts w:hint="eastAsia" w:hAnsi="宋体" w:cs="宋体"/>
                <w:color w:val="auto"/>
                <w:highlight w:val="none"/>
              </w:rPr>
              <w:t>负</w:t>
            </w:r>
          </w:p>
          <w:p w14:paraId="2B0C3132">
            <w:pPr>
              <w:pStyle w:val="24"/>
              <w:jc w:val="center"/>
              <w:rPr>
                <w:rFonts w:hint="eastAsia" w:hAnsi="宋体" w:cs="宋体"/>
                <w:color w:val="auto"/>
                <w:highlight w:val="none"/>
              </w:rPr>
            </w:pPr>
            <w:r>
              <w:rPr>
                <w:rFonts w:hint="eastAsia" w:hAnsi="宋体" w:cs="宋体"/>
                <w:color w:val="auto"/>
                <w:highlight w:val="none"/>
              </w:rPr>
              <w:t>责</w:t>
            </w:r>
          </w:p>
          <w:p w14:paraId="18F5271A">
            <w:pPr>
              <w:pStyle w:val="24"/>
              <w:jc w:val="center"/>
              <w:rPr>
                <w:rFonts w:hint="eastAsia" w:hAnsi="宋体" w:cs="宋体"/>
                <w:color w:val="auto"/>
                <w:highlight w:val="none"/>
              </w:rPr>
            </w:pPr>
            <w:r>
              <w:rPr>
                <w:rFonts w:hint="eastAsia" w:hAnsi="宋体" w:cs="宋体"/>
                <w:color w:val="auto"/>
                <w:highlight w:val="none"/>
              </w:rPr>
              <w:t>人</w:t>
            </w:r>
          </w:p>
        </w:tc>
        <w:tc>
          <w:tcPr>
            <w:tcW w:w="2204" w:type="dxa"/>
            <w:tcBorders>
              <w:top w:val="single" w:color="000000" w:sz="4" w:space="0"/>
              <w:left w:val="single" w:color="000000" w:sz="4" w:space="0"/>
              <w:bottom w:val="single" w:color="000000" w:sz="4" w:space="0"/>
              <w:right w:val="single" w:color="auto" w:sz="4" w:space="0"/>
            </w:tcBorders>
            <w:noWrap/>
            <w:vAlign w:val="center"/>
          </w:tcPr>
          <w:p w14:paraId="3C59F768">
            <w:pPr>
              <w:pStyle w:val="24"/>
              <w:jc w:val="center"/>
              <w:rPr>
                <w:rFonts w:hint="eastAsia" w:hAnsi="宋体" w:cs="宋体"/>
                <w:color w:val="auto"/>
                <w:highlight w:val="none"/>
                <w:lang w:val="zh-CN"/>
              </w:rPr>
            </w:pPr>
          </w:p>
        </w:tc>
        <w:tc>
          <w:tcPr>
            <w:tcW w:w="1296" w:type="dxa"/>
            <w:tcBorders>
              <w:top w:val="single" w:color="000000" w:sz="4" w:space="0"/>
              <w:left w:val="single" w:color="auto" w:sz="4" w:space="0"/>
              <w:bottom w:val="single" w:color="000000" w:sz="4" w:space="0"/>
              <w:right w:val="single" w:color="000000" w:sz="4" w:space="0"/>
            </w:tcBorders>
            <w:noWrap/>
            <w:vAlign w:val="center"/>
          </w:tcPr>
          <w:p w14:paraId="4455B80C">
            <w:pPr>
              <w:pStyle w:val="33"/>
              <w:ind w:right="210" w:firstLine="560"/>
              <w:jc w:val="center"/>
              <w:rPr>
                <w:rFonts w:hint="eastAsia" w:ascii="宋体" w:hAnsi="宋体" w:eastAsia="宋体" w:cs="宋体"/>
                <w:color w:val="auto"/>
                <w:sz w:val="21"/>
                <w:szCs w:val="21"/>
                <w:highlight w:val="none"/>
                <w:lang w:val="zh-CN"/>
              </w:rPr>
            </w:pPr>
          </w:p>
        </w:tc>
        <w:tc>
          <w:tcPr>
            <w:tcW w:w="1825" w:type="dxa"/>
            <w:tcBorders>
              <w:top w:val="single" w:color="000000" w:sz="4" w:space="0"/>
              <w:left w:val="single" w:color="000000" w:sz="4" w:space="0"/>
              <w:bottom w:val="single" w:color="000000" w:sz="4" w:space="0"/>
              <w:right w:val="single" w:color="000000" w:sz="4" w:space="0"/>
            </w:tcBorders>
            <w:noWrap/>
            <w:vAlign w:val="center"/>
          </w:tcPr>
          <w:p w14:paraId="05F85CF4">
            <w:pPr>
              <w:pStyle w:val="33"/>
              <w:ind w:right="210" w:firstLine="560"/>
              <w:jc w:val="center"/>
              <w:rPr>
                <w:rFonts w:hint="eastAsia" w:ascii="宋体" w:hAnsi="宋体" w:eastAsia="宋体" w:cs="宋体"/>
                <w:color w:val="auto"/>
                <w:sz w:val="21"/>
                <w:szCs w:val="21"/>
                <w:highlight w:val="none"/>
                <w:lang w:val="zh-CN"/>
              </w:rPr>
            </w:pPr>
          </w:p>
        </w:tc>
        <w:tc>
          <w:tcPr>
            <w:tcW w:w="2616" w:type="dxa"/>
            <w:tcBorders>
              <w:top w:val="single" w:color="000000" w:sz="4" w:space="0"/>
              <w:left w:val="single" w:color="auto" w:sz="4" w:space="0"/>
              <w:bottom w:val="single" w:color="000000" w:sz="4" w:space="0"/>
              <w:right w:val="single" w:color="000000" w:sz="4" w:space="0"/>
            </w:tcBorders>
            <w:noWrap/>
            <w:vAlign w:val="center"/>
          </w:tcPr>
          <w:p w14:paraId="37D6938F">
            <w:pPr>
              <w:pStyle w:val="33"/>
              <w:ind w:right="210" w:firstLine="560"/>
              <w:jc w:val="center"/>
              <w:rPr>
                <w:rFonts w:hint="eastAsia" w:ascii="宋体" w:hAnsi="宋体" w:eastAsia="宋体" w:cs="宋体"/>
                <w:color w:val="auto"/>
                <w:sz w:val="21"/>
                <w:szCs w:val="21"/>
                <w:highlight w:val="none"/>
                <w:lang w:val="zh-CN"/>
              </w:rPr>
            </w:pPr>
          </w:p>
        </w:tc>
      </w:tr>
      <w:tr w14:paraId="6494C839">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49" w:type="dxa"/>
            <w:vMerge w:val="continue"/>
            <w:tcBorders>
              <w:top w:val="single" w:color="000000" w:sz="4" w:space="0"/>
              <w:left w:val="single" w:color="000000" w:sz="4" w:space="0"/>
              <w:bottom w:val="single" w:color="000000" w:sz="4" w:space="0"/>
              <w:right w:val="single" w:color="000000" w:sz="4" w:space="0"/>
            </w:tcBorders>
            <w:noWrap/>
            <w:vAlign w:val="center"/>
          </w:tcPr>
          <w:p w14:paraId="02105F7F">
            <w:pPr>
              <w:widowControl/>
              <w:jc w:val="left"/>
              <w:rPr>
                <w:rFonts w:hint="eastAsia" w:hAnsi="宋体" w:cs="宋体"/>
                <w:color w:val="auto"/>
                <w:sz w:val="21"/>
                <w:szCs w:val="21"/>
                <w:highlight w:val="none"/>
              </w:rPr>
            </w:pPr>
          </w:p>
        </w:tc>
        <w:tc>
          <w:tcPr>
            <w:tcW w:w="2204" w:type="dxa"/>
            <w:tcBorders>
              <w:top w:val="single" w:color="000000" w:sz="4" w:space="0"/>
              <w:left w:val="single" w:color="000000" w:sz="4" w:space="0"/>
              <w:bottom w:val="single" w:color="000000" w:sz="4" w:space="0"/>
              <w:right w:val="single" w:color="auto" w:sz="4" w:space="0"/>
            </w:tcBorders>
            <w:noWrap/>
            <w:vAlign w:val="center"/>
          </w:tcPr>
          <w:p w14:paraId="53A79ECF">
            <w:pPr>
              <w:pStyle w:val="24"/>
              <w:jc w:val="center"/>
              <w:rPr>
                <w:rFonts w:hint="eastAsia" w:hAnsi="宋体" w:cs="宋体"/>
                <w:color w:val="auto"/>
                <w:highlight w:val="none"/>
                <w:lang w:val="zh-CN"/>
              </w:rPr>
            </w:pPr>
          </w:p>
        </w:tc>
        <w:tc>
          <w:tcPr>
            <w:tcW w:w="1296" w:type="dxa"/>
            <w:tcBorders>
              <w:top w:val="single" w:color="000000" w:sz="4" w:space="0"/>
              <w:left w:val="single" w:color="auto" w:sz="4" w:space="0"/>
              <w:bottom w:val="single" w:color="000000" w:sz="4" w:space="0"/>
              <w:right w:val="single" w:color="000000" w:sz="4" w:space="0"/>
            </w:tcBorders>
            <w:noWrap/>
            <w:vAlign w:val="center"/>
          </w:tcPr>
          <w:p w14:paraId="3B7E49EE">
            <w:pPr>
              <w:pStyle w:val="33"/>
              <w:ind w:right="210" w:firstLine="560"/>
              <w:jc w:val="center"/>
              <w:rPr>
                <w:rFonts w:hint="eastAsia" w:ascii="宋体" w:hAnsi="宋体" w:eastAsia="宋体" w:cs="宋体"/>
                <w:color w:val="auto"/>
                <w:sz w:val="21"/>
                <w:szCs w:val="21"/>
                <w:highlight w:val="none"/>
                <w:lang w:val="zh-CN"/>
              </w:rPr>
            </w:pPr>
          </w:p>
        </w:tc>
        <w:tc>
          <w:tcPr>
            <w:tcW w:w="1825" w:type="dxa"/>
            <w:tcBorders>
              <w:top w:val="single" w:color="000000" w:sz="4" w:space="0"/>
              <w:left w:val="single" w:color="000000" w:sz="4" w:space="0"/>
              <w:bottom w:val="single" w:color="000000" w:sz="4" w:space="0"/>
              <w:right w:val="single" w:color="000000" w:sz="4" w:space="0"/>
            </w:tcBorders>
            <w:noWrap/>
            <w:vAlign w:val="center"/>
          </w:tcPr>
          <w:p w14:paraId="74DB8B52">
            <w:pPr>
              <w:pStyle w:val="33"/>
              <w:ind w:right="210" w:firstLine="560"/>
              <w:jc w:val="center"/>
              <w:rPr>
                <w:rFonts w:hint="eastAsia" w:ascii="宋体" w:hAnsi="宋体" w:eastAsia="宋体" w:cs="宋体"/>
                <w:color w:val="auto"/>
                <w:sz w:val="21"/>
                <w:szCs w:val="21"/>
                <w:highlight w:val="none"/>
                <w:lang w:val="zh-CN"/>
              </w:rPr>
            </w:pPr>
          </w:p>
        </w:tc>
        <w:tc>
          <w:tcPr>
            <w:tcW w:w="2616" w:type="dxa"/>
            <w:tcBorders>
              <w:top w:val="single" w:color="000000" w:sz="4" w:space="0"/>
              <w:left w:val="single" w:color="auto" w:sz="4" w:space="0"/>
              <w:bottom w:val="single" w:color="000000" w:sz="4" w:space="0"/>
              <w:right w:val="single" w:color="000000" w:sz="4" w:space="0"/>
            </w:tcBorders>
            <w:noWrap/>
            <w:vAlign w:val="center"/>
          </w:tcPr>
          <w:p w14:paraId="0EE80D76">
            <w:pPr>
              <w:pStyle w:val="33"/>
              <w:ind w:right="210" w:firstLine="560"/>
              <w:jc w:val="center"/>
              <w:rPr>
                <w:rFonts w:hint="eastAsia" w:ascii="宋体" w:hAnsi="宋体" w:eastAsia="宋体" w:cs="宋体"/>
                <w:color w:val="auto"/>
                <w:sz w:val="21"/>
                <w:szCs w:val="21"/>
                <w:highlight w:val="none"/>
                <w:lang w:val="zh-CN"/>
              </w:rPr>
            </w:pPr>
          </w:p>
        </w:tc>
      </w:tr>
      <w:tr w14:paraId="6F2AD46A">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49" w:type="dxa"/>
            <w:vMerge w:val="continue"/>
            <w:tcBorders>
              <w:top w:val="single" w:color="000000" w:sz="4" w:space="0"/>
              <w:left w:val="single" w:color="000000" w:sz="4" w:space="0"/>
              <w:bottom w:val="single" w:color="000000" w:sz="4" w:space="0"/>
              <w:right w:val="single" w:color="000000" w:sz="4" w:space="0"/>
            </w:tcBorders>
            <w:noWrap/>
            <w:vAlign w:val="center"/>
          </w:tcPr>
          <w:p w14:paraId="3C7D66F4">
            <w:pPr>
              <w:widowControl/>
              <w:jc w:val="left"/>
              <w:rPr>
                <w:rFonts w:hint="eastAsia" w:hAnsi="宋体" w:cs="宋体"/>
                <w:color w:val="auto"/>
                <w:sz w:val="21"/>
                <w:szCs w:val="21"/>
                <w:highlight w:val="none"/>
              </w:rPr>
            </w:pPr>
          </w:p>
        </w:tc>
        <w:tc>
          <w:tcPr>
            <w:tcW w:w="2204" w:type="dxa"/>
            <w:tcBorders>
              <w:top w:val="single" w:color="000000" w:sz="4" w:space="0"/>
              <w:left w:val="single" w:color="000000" w:sz="4" w:space="0"/>
              <w:bottom w:val="single" w:color="000000" w:sz="4" w:space="0"/>
              <w:right w:val="single" w:color="auto" w:sz="4" w:space="0"/>
            </w:tcBorders>
            <w:noWrap/>
            <w:vAlign w:val="center"/>
          </w:tcPr>
          <w:p w14:paraId="70A0B25C">
            <w:pPr>
              <w:pStyle w:val="24"/>
              <w:jc w:val="center"/>
              <w:rPr>
                <w:rFonts w:hint="eastAsia" w:hAnsi="宋体" w:cs="宋体"/>
                <w:color w:val="auto"/>
                <w:highlight w:val="none"/>
                <w:lang w:val="zh-CN"/>
              </w:rPr>
            </w:pPr>
          </w:p>
        </w:tc>
        <w:tc>
          <w:tcPr>
            <w:tcW w:w="1296" w:type="dxa"/>
            <w:tcBorders>
              <w:top w:val="single" w:color="000000" w:sz="4" w:space="0"/>
              <w:left w:val="single" w:color="auto" w:sz="4" w:space="0"/>
              <w:bottom w:val="single" w:color="000000" w:sz="4" w:space="0"/>
              <w:right w:val="single" w:color="000000" w:sz="4" w:space="0"/>
            </w:tcBorders>
            <w:noWrap/>
            <w:vAlign w:val="center"/>
          </w:tcPr>
          <w:p w14:paraId="5AD52A21">
            <w:pPr>
              <w:pStyle w:val="24"/>
              <w:jc w:val="center"/>
              <w:rPr>
                <w:rFonts w:hint="eastAsia" w:hAnsi="宋体" w:cs="宋体"/>
                <w:color w:val="auto"/>
                <w:highlight w:val="none"/>
              </w:rPr>
            </w:pPr>
          </w:p>
        </w:tc>
        <w:tc>
          <w:tcPr>
            <w:tcW w:w="1825" w:type="dxa"/>
            <w:tcBorders>
              <w:top w:val="single" w:color="000000" w:sz="4" w:space="0"/>
              <w:left w:val="single" w:color="000000" w:sz="4" w:space="0"/>
              <w:bottom w:val="single" w:color="000000" w:sz="4" w:space="0"/>
              <w:right w:val="single" w:color="000000" w:sz="4" w:space="0"/>
            </w:tcBorders>
            <w:noWrap/>
            <w:vAlign w:val="center"/>
          </w:tcPr>
          <w:p w14:paraId="6C25A623">
            <w:pPr>
              <w:pStyle w:val="24"/>
              <w:jc w:val="center"/>
              <w:rPr>
                <w:rFonts w:hint="eastAsia" w:hAnsi="宋体" w:cs="宋体"/>
                <w:color w:val="auto"/>
                <w:highlight w:val="none"/>
              </w:rPr>
            </w:pPr>
          </w:p>
        </w:tc>
        <w:tc>
          <w:tcPr>
            <w:tcW w:w="2616" w:type="dxa"/>
            <w:tcBorders>
              <w:top w:val="single" w:color="000000" w:sz="4" w:space="0"/>
              <w:left w:val="single" w:color="auto" w:sz="4" w:space="0"/>
              <w:bottom w:val="single" w:color="000000" w:sz="4" w:space="0"/>
              <w:right w:val="single" w:color="000000" w:sz="4" w:space="0"/>
            </w:tcBorders>
            <w:noWrap/>
            <w:vAlign w:val="center"/>
          </w:tcPr>
          <w:p w14:paraId="088A8A9A">
            <w:pPr>
              <w:pStyle w:val="24"/>
              <w:jc w:val="center"/>
              <w:rPr>
                <w:rFonts w:hint="eastAsia" w:hAnsi="宋体" w:cs="宋体"/>
                <w:color w:val="auto"/>
                <w:highlight w:val="none"/>
              </w:rPr>
            </w:pPr>
          </w:p>
        </w:tc>
      </w:tr>
      <w:tr w14:paraId="36026BC8">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49" w:type="dxa"/>
            <w:vMerge w:val="continue"/>
            <w:tcBorders>
              <w:top w:val="single" w:color="000000" w:sz="4" w:space="0"/>
              <w:left w:val="single" w:color="000000" w:sz="4" w:space="0"/>
              <w:bottom w:val="single" w:color="000000" w:sz="4" w:space="0"/>
              <w:right w:val="single" w:color="000000" w:sz="4" w:space="0"/>
            </w:tcBorders>
            <w:noWrap/>
            <w:vAlign w:val="center"/>
          </w:tcPr>
          <w:p w14:paraId="3610785D">
            <w:pPr>
              <w:widowControl/>
              <w:jc w:val="left"/>
              <w:rPr>
                <w:rFonts w:hint="eastAsia" w:hAnsi="宋体" w:cs="宋体"/>
                <w:color w:val="auto"/>
                <w:sz w:val="21"/>
                <w:szCs w:val="21"/>
                <w:highlight w:val="none"/>
              </w:rPr>
            </w:pPr>
          </w:p>
        </w:tc>
        <w:tc>
          <w:tcPr>
            <w:tcW w:w="2204" w:type="dxa"/>
            <w:tcBorders>
              <w:top w:val="single" w:color="000000" w:sz="4" w:space="0"/>
              <w:left w:val="single" w:color="000000" w:sz="4" w:space="0"/>
              <w:bottom w:val="single" w:color="000000" w:sz="4" w:space="0"/>
              <w:right w:val="single" w:color="auto" w:sz="4" w:space="0"/>
            </w:tcBorders>
            <w:noWrap/>
            <w:vAlign w:val="center"/>
          </w:tcPr>
          <w:p w14:paraId="117DCCC9">
            <w:pPr>
              <w:pStyle w:val="24"/>
              <w:jc w:val="center"/>
              <w:rPr>
                <w:rFonts w:hint="eastAsia" w:hAnsi="宋体" w:cs="宋体"/>
                <w:color w:val="auto"/>
                <w:highlight w:val="none"/>
                <w:lang w:val="zh-CN"/>
              </w:rPr>
            </w:pPr>
          </w:p>
        </w:tc>
        <w:tc>
          <w:tcPr>
            <w:tcW w:w="1296" w:type="dxa"/>
            <w:tcBorders>
              <w:top w:val="single" w:color="000000" w:sz="4" w:space="0"/>
              <w:left w:val="single" w:color="auto" w:sz="4" w:space="0"/>
              <w:bottom w:val="single" w:color="000000" w:sz="4" w:space="0"/>
              <w:right w:val="single" w:color="000000" w:sz="4" w:space="0"/>
            </w:tcBorders>
            <w:noWrap/>
            <w:vAlign w:val="center"/>
          </w:tcPr>
          <w:p w14:paraId="6DA5D826">
            <w:pPr>
              <w:pStyle w:val="24"/>
              <w:jc w:val="center"/>
              <w:rPr>
                <w:rFonts w:hint="eastAsia" w:hAnsi="宋体" w:cs="宋体"/>
                <w:color w:val="auto"/>
                <w:highlight w:val="none"/>
              </w:rPr>
            </w:pPr>
          </w:p>
        </w:tc>
        <w:tc>
          <w:tcPr>
            <w:tcW w:w="1825" w:type="dxa"/>
            <w:tcBorders>
              <w:top w:val="single" w:color="000000" w:sz="4" w:space="0"/>
              <w:left w:val="single" w:color="000000" w:sz="4" w:space="0"/>
              <w:bottom w:val="single" w:color="000000" w:sz="4" w:space="0"/>
              <w:right w:val="single" w:color="000000" w:sz="4" w:space="0"/>
            </w:tcBorders>
            <w:noWrap/>
            <w:vAlign w:val="center"/>
          </w:tcPr>
          <w:p w14:paraId="12470030">
            <w:pPr>
              <w:pStyle w:val="24"/>
              <w:jc w:val="center"/>
              <w:rPr>
                <w:rFonts w:hint="eastAsia" w:hAnsi="宋体" w:cs="宋体"/>
                <w:color w:val="auto"/>
                <w:highlight w:val="none"/>
              </w:rPr>
            </w:pPr>
          </w:p>
        </w:tc>
        <w:tc>
          <w:tcPr>
            <w:tcW w:w="2616" w:type="dxa"/>
            <w:tcBorders>
              <w:top w:val="single" w:color="000000" w:sz="4" w:space="0"/>
              <w:left w:val="single" w:color="auto" w:sz="4" w:space="0"/>
              <w:bottom w:val="single" w:color="000000" w:sz="4" w:space="0"/>
              <w:right w:val="single" w:color="000000" w:sz="4" w:space="0"/>
            </w:tcBorders>
            <w:noWrap/>
            <w:vAlign w:val="center"/>
          </w:tcPr>
          <w:p w14:paraId="3D361179">
            <w:pPr>
              <w:pStyle w:val="24"/>
              <w:jc w:val="center"/>
              <w:rPr>
                <w:rFonts w:hint="eastAsia" w:hAnsi="宋体" w:cs="宋体"/>
                <w:color w:val="auto"/>
                <w:highlight w:val="none"/>
              </w:rPr>
            </w:pPr>
          </w:p>
        </w:tc>
      </w:tr>
      <w:tr w14:paraId="47510DA3">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49" w:type="dxa"/>
            <w:vMerge w:val="continue"/>
            <w:tcBorders>
              <w:top w:val="single" w:color="000000" w:sz="4" w:space="0"/>
              <w:left w:val="single" w:color="000000" w:sz="4" w:space="0"/>
              <w:bottom w:val="single" w:color="000000" w:sz="4" w:space="0"/>
              <w:right w:val="single" w:color="000000" w:sz="4" w:space="0"/>
            </w:tcBorders>
            <w:noWrap/>
            <w:vAlign w:val="center"/>
          </w:tcPr>
          <w:p w14:paraId="2582E579">
            <w:pPr>
              <w:widowControl/>
              <w:jc w:val="left"/>
              <w:rPr>
                <w:rFonts w:hint="eastAsia" w:hAnsi="宋体" w:cs="宋体"/>
                <w:color w:val="auto"/>
                <w:sz w:val="21"/>
                <w:szCs w:val="21"/>
                <w:highlight w:val="none"/>
              </w:rPr>
            </w:pPr>
          </w:p>
        </w:tc>
        <w:tc>
          <w:tcPr>
            <w:tcW w:w="2204" w:type="dxa"/>
            <w:tcBorders>
              <w:top w:val="single" w:color="000000" w:sz="4" w:space="0"/>
              <w:left w:val="single" w:color="000000" w:sz="4" w:space="0"/>
              <w:bottom w:val="single" w:color="000000" w:sz="4" w:space="0"/>
              <w:right w:val="single" w:color="auto" w:sz="4" w:space="0"/>
            </w:tcBorders>
            <w:noWrap/>
            <w:vAlign w:val="center"/>
          </w:tcPr>
          <w:p w14:paraId="7B4A69A4">
            <w:pPr>
              <w:pStyle w:val="24"/>
              <w:jc w:val="center"/>
              <w:rPr>
                <w:rFonts w:hint="eastAsia" w:hAnsi="宋体" w:cs="宋体"/>
                <w:color w:val="auto"/>
                <w:highlight w:val="none"/>
              </w:rPr>
            </w:pPr>
          </w:p>
        </w:tc>
        <w:tc>
          <w:tcPr>
            <w:tcW w:w="1296" w:type="dxa"/>
            <w:tcBorders>
              <w:top w:val="single" w:color="000000" w:sz="4" w:space="0"/>
              <w:left w:val="single" w:color="auto" w:sz="4" w:space="0"/>
              <w:bottom w:val="single" w:color="000000" w:sz="4" w:space="0"/>
              <w:right w:val="single" w:color="000000" w:sz="4" w:space="0"/>
            </w:tcBorders>
            <w:noWrap/>
            <w:vAlign w:val="center"/>
          </w:tcPr>
          <w:p w14:paraId="211E3C99">
            <w:pPr>
              <w:pStyle w:val="24"/>
              <w:jc w:val="center"/>
              <w:rPr>
                <w:rFonts w:hint="eastAsia" w:hAnsi="宋体" w:cs="宋体"/>
                <w:color w:val="auto"/>
                <w:highlight w:val="none"/>
              </w:rPr>
            </w:pPr>
          </w:p>
        </w:tc>
        <w:tc>
          <w:tcPr>
            <w:tcW w:w="1825" w:type="dxa"/>
            <w:tcBorders>
              <w:top w:val="single" w:color="000000" w:sz="4" w:space="0"/>
              <w:left w:val="single" w:color="000000" w:sz="4" w:space="0"/>
              <w:bottom w:val="single" w:color="000000" w:sz="4" w:space="0"/>
              <w:right w:val="single" w:color="000000" w:sz="4" w:space="0"/>
            </w:tcBorders>
            <w:noWrap/>
            <w:vAlign w:val="center"/>
          </w:tcPr>
          <w:p w14:paraId="0C36E2D7">
            <w:pPr>
              <w:pStyle w:val="24"/>
              <w:jc w:val="center"/>
              <w:rPr>
                <w:rFonts w:hint="eastAsia" w:hAnsi="宋体" w:cs="宋体"/>
                <w:color w:val="auto"/>
                <w:highlight w:val="none"/>
              </w:rPr>
            </w:pPr>
          </w:p>
        </w:tc>
        <w:tc>
          <w:tcPr>
            <w:tcW w:w="2616" w:type="dxa"/>
            <w:tcBorders>
              <w:top w:val="single" w:color="000000" w:sz="4" w:space="0"/>
              <w:left w:val="single" w:color="auto" w:sz="4" w:space="0"/>
              <w:bottom w:val="single" w:color="000000" w:sz="4" w:space="0"/>
              <w:right w:val="single" w:color="000000" w:sz="4" w:space="0"/>
            </w:tcBorders>
            <w:noWrap/>
            <w:vAlign w:val="center"/>
          </w:tcPr>
          <w:p w14:paraId="33FE4156">
            <w:pPr>
              <w:pStyle w:val="24"/>
              <w:jc w:val="center"/>
              <w:rPr>
                <w:rFonts w:hint="eastAsia" w:hAnsi="宋体" w:cs="宋体"/>
                <w:color w:val="auto"/>
                <w:highlight w:val="none"/>
              </w:rPr>
            </w:pPr>
          </w:p>
        </w:tc>
      </w:tr>
      <w:tr w14:paraId="169B97DF">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49" w:type="dxa"/>
            <w:vMerge w:val="continue"/>
            <w:tcBorders>
              <w:top w:val="single" w:color="000000" w:sz="4" w:space="0"/>
              <w:left w:val="single" w:color="000000" w:sz="4" w:space="0"/>
              <w:bottom w:val="single" w:color="000000" w:sz="4" w:space="0"/>
              <w:right w:val="single" w:color="000000" w:sz="4" w:space="0"/>
            </w:tcBorders>
            <w:noWrap/>
            <w:vAlign w:val="center"/>
          </w:tcPr>
          <w:p w14:paraId="12505254">
            <w:pPr>
              <w:widowControl/>
              <w:jc w:val="left"/>
              <w:rPr>
                <w:rFonts w:hint="eastAsia" w:hAnsi="宋体" w:cs="宋体"/>
                <w:color w:val="auto"/>
                <w:sz w:val="21"/>
                <w:szCs w:val="21"/>
                <w:highlight w:val="none"/>
              </w:rPr>
            </w:pPr>
          </w:p>
        </w:tc>
        <w:tc>
          <w:tcPr>
            <w:tcW w:w="2204" w:type="dxa"/>
            <w:tcBorders>
              <w:top w:val="single" w:color="000000" w:sz="4" w:space="0"/>
              <w:left w:val="single" w:color="000000" w:sz="4" w:space="0"/>
              <w:bottom w:val="single" w:color="000000" w:sz="4" w:space="0"/>
              <w:right w:val="single" w:color="auto" w:sz="4" w:space="0"/>
            </w:tcBorders>
            <w:noWrap/>
            <w:vAlign w:val="center"/>
          </w:tcPr>
          <w:p w14:paraId="6F8A27F9">
            <w:pPr>
              <w:pStyle w:val="24"/>
              <w:jc w:val="center"/>
              <w:rPr>
                <w:rFonts w:hint="eastAsia" w:hAnsi="宋体" w:cs="宋体"/>
                <w:color w:val="auto"/>
                <w:highlight w:val="none"/>
              </w:rPr>
            </w:pPr>
          </w:p>
        </w:tc>
        <w:tc>
          <w:tcPr>
            <w:tcW w:w="1296" w:type="dxa"/>
            <w:tcBorders>
              <w:top w:val="single" w:color="000000" w:sz="4" w:space="0"/>
              <w:left w:val="single" w:color="auto" w:sz="4" w:space="0"/>
              <w:bottom w:val="single" w:color="000000" w:sz="4" w:space="0"/>
              <w:right w:val="single" w:color="000000" w:sz="4" w:space="0"/>
            </w:tcBorders>
            <w:noWrap/>
            <w:vAlign w:val="center"/>
          </w:tcPr>
          <w:p w14:paraId="06D1FCC4">
            <w:pPr>
              <w:pStyle w:val="24"/>
              <w:jc w:val="center"/>
              <w:rPr>
                <w:rFonts w:hint="eastAsia" w:hAnsi="宋体" w:cs="宋体"/>
                <w:color w:val="auto"/>
                <w:highlight w:val="none"/>
              </w:rPr>
            </w:pPr>
          </w:p>
        </w:tc>
        <w:tc>
          <w:tcPr>
            <w:tcW w:w="1825" w:type="dxa"/>
            <w:tcBorders>
              <w:top w:val="single" w:color="000000" w:sz="4" w:space="0"/>
              <w:left w:val="single" w:color="000000" w:sz="4" w:space="0"/>
              <w:bottom w:val="single" w:color="000000" w:sz="4" w:space="0"/>
              <w:right w:val="single" w:color="000000" w:sz="4" w:space="0"/>
            </w:tcBorders>
            <w:noWrap/>
            <w:vAlign w:val="center"/>
          </w:tcPr>
          <w:p w14:paraId="267ADE5A">
            <w:pPr>
              <w:pStyle w:val="24"/>
              <w:jc w:val="center"/>
              <w:rPr>
                <w:rFonts w:hint="eastAsia" w:hAnsi="宋体" w:cs="宋体"/>
                <w:color w:val="auto"/>
                <w:highlight w:val="none"/>
              </w:rPr>
            </w:pPr>
          </w:p>
        </w:tc>
        <w:tc>
          <w:tcPr>
            <w:tcW w:w="2616" w:type="dxa"/>
            <w:tcBorders>
              <w:top w:val="single" w:color="000000" w:sz="4" w:space="0"/>
              <w:left w:val="single" w:color="auto" w:sz="4" w:space="0"/>
              <w:bottom w:val="single" w:color="000000" w:sz="4" w:space="0"/>
              <w:right w:val="single" w:color="000000" w:sz="4" w:space="0"/>
            </w:tcBorders>
            <w:noWrap/>
            <w:vAlign w:val="center"/>
          </w:tcPr>
          <w:p w14:paraId="0AD3B70D">
            <w:pPr>
              <w:pStyle w:val="24"/>
              <w:jc w:val="center"/>
              <w:rPr>
                <w:rFonts w:hint="eastAsia" w:hAnsi="宋体" w:cs="宋体"/>
                <w:color w:val="auto"/>
                <w:highlight w:val="none"/>
              </w:rPr>
            </w:pPr>
          </w:p>
        </w:tc>
      </w:tr>
      <w:tr w14:paraId="5722DB28">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49" w:type="dxa"/>
            <w:vMerge w:val="continue"/>
            <w:tcBorders>
              <w:top w:val="single" w:color="000000" w:sz="4" w:space="0"/>
              <w:left w:val="single" w:color="000000" w:sz="4" w:space="0"/>
              <w:bottom w:val="single" w:color="000000" w:sz="4" w:space="0"/>
              <w:right w:val="single" w:color="000000" w:sz="4" w:space="0"/>
            </w:tcBorders>
            <w:noWrap/>
            <w:vAlign w:val="center"/>
          </w:tcPr>
          <w:p w14:paraId="300D8C08">
            <w:pPr>
              <w:widowControl/>
              <w:jc w:val="left"/>
              <w:rPr>
                <w:rFonts w:hint="eastAsia" w:hAnsi="宋体" w:cs="宋体"/>
                <w:color w:val="auto"/>
                <w:sz w:val="21"/>
                <w:szCs w:val="21"/>
                <w:highlight w:val="none"/>
              </w:rPr>
            </w:pPr>
          </w:p>
        </w:tc>
        <w:tc>
          <w:tcPr>
            <w:tcW w:w="2204" w:type="dxa"/>
            <w:tcBorders>
              <w:top w:val="single" w:color="000000" w:sz="4" w:space="0"/>
              <w:left w:val="single" w:color="000000" w:sz="4" w:space="0"/>
              <w:bottom w:val="single" w:color="000000" w:sz="4" w:space="0"/>
              <w:right w:val="single" w:color="auto" w:sz="4" w:space="0"/>
            </w:tcBorders>
            <w:noWrap/>
            <w:vAlign w:val="center"/>
          </w:tcPr>
          <w:p w14:paraId="4CF62093">
            <w:pPr>
              <w:pStyle w:val="24"/>
              <w:jc w:val="center"/>
              <w:rPr>
                <w:rFonts w:hint="eastAsia" w:hAnsi="宋体" w:cs="宋体"/>
                <w:color w:val="auto"/>
                <w:highlight w:val="none"/>
              </w:rPr>
            </w:pPr>
          </w:p>
        </w:tc>
        <w:tc>
          <w:tcPr>
            <w:tcW w:w="1296" w:type="dxa"/>
            <w:tcBorders>
              <w:top w:val="single" w:color="000000" w:sz="4" w:space="0"/>
              <w:left w:val="single" w:color="auto" w:sz="4" w:space="0"/>
              <w:bottom w:val="single" w:color="000000" w:sz="4" w:space="0"/>
              <w:right w:val="single" w:color="000000" w:sz="4" w:space="0"/>
            </w:tcBorders>
            <w:noWrap/>
            <w:vAlign w:val="center"/>
          </w:tcPr>
          <w:p w14:paraId="0D95DDDF">
            <w:pPr>
              <w:pStyle w:val="24"/>
              <w:jc w:val="center"/>
              <w:rPr>
                <w:rFonts w:hint="eastAsia" w:hAnsi="宋体" w:cs="宋体"/>
                <w:color w:val="auto"/>
                <w:highlight w:val="none"/>
              </w:rPr>
            </w:pPr>
          </w:p>
        </w:tc>
        <w:tc>
          <w:tcPr>
            <w:tcW w:w="1825" w:type="dxa"/>
            <w:tcBorders>
              <w:top w:val="single" w:color="000000" w:sz="4" w:space="0"/>
              <w:left w:val="single" w:color="000000" w:sz="4" w:space="0"/>
              <w:bottom w:val="single" w:color="000000" w:sz="4" w:space="0"/>
              <w:right w:val="single" w:color="000000" w:sz="4" w:space="0"/>
            </w:tcBorders>
            <w:noWrap/>
            <w:vAlign w:val="center"/>
          </w:tcPr>
          <w:p w14:paraId="23A752AF">
            <w:pPr>
              <w:pStyle w:val="24"/>
              <w:jc w:val="center"/>
              <w:rPr>
                <w:rFonts w:hint="eastAsia" w:hAnsi="宋体" w:cs="宋体"/>
                <w:color w:val="auto"/>
                <w:highlight w:val="none"/>
              </w:rPr>
            </w:pPr>
          </w:p>
        </w:tc>
        <w:tc>
          <w:tcPr>
            <w:tcW w:w="2616" w:type="dxa"/>
            <w:tcBorders>
              <w:top w:val="single" w:color="000000" w:sz="4" w:space="0"/>
              <w:left w:val="single" w:color="auto" w:sz="4" w:space="0"/>
              <w:bottom w:val="single" w:color="000000" w:sz="4" w:space="0"/>
              <w:right w:val="single" w:color="000000" w:sz="4" w:space="0"/>
            </w:tcBorders>
            <w:noWrap/>
            <w:vAlign w:val="center"/>
          </w:tcPr>
          <w:p w14:paraId="22AD9EC7">
            <w:pPr>
              <w:pStyle w:val="24"/>
              <w:jc w:val="center"/>
              <w:rPr>
                <w:rFonts w:hint="eastAsia" w:hAnsi="宋体" w:cs="宋体"/>
                <w:color w:val="auto"/>
                <w:highlight w:val="none"/>
              </w:rPr>
            </w:pPr>
          </w:p>
        </w:tc>
      </w:tr>
      <w:tr w14:paraId="347D03CD">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49" w:type="dxa"/>
            <w:vMerge w:val="continue"/>
            <w:tcBorders>
              <w:top w:val="single" w:color="000000" w:sz="4" w:space="0"/>
              <w:left w:val="single" w:color="000000" w:sz="4" w:space="0"/>
              <w:bottom w:val="single" w:color="000000" w:sz="4" w:space="0"/>
              <w:right w:val="single" w:color="000000" w:sz="4" w:space="0"/>
            </w:tcBorders>
            <w:noWrap/>
            <w:vAlign w:val="center"/>
          </w:tcPr>
          <w:p w14:paraId="773B7235">
            <w:pPr>
              <w:widowControl/>
              <w:jc w:val="left"/>
              <w:rPr>
                <w:rFonts w:hint="eastAsia" w:hAnsi="宋体" w:cs="宋体"/>
                <w:color w:val="auto"/>
                <w:sz w:val="21"/>
                <w:szCs w:val="21"/>
                <w:highlight w:val="none"/>
              </w:rPr>
            </w:pPr>
          </w:p>
        </w:tc>
        <w:tc>
          <w:tcPr>
            <w:tcW w:w="2204" w:type="dxa"/>
            <w:tcBorders>
              <w:top w:val="single" w:color="000000" w:sz="4" w:space="0"/>
              <w:left w:val="single" w:color="000000" w:sz="4" w:space="0"/>
              <w:bottom w:val="single" w:color="000000" w:sz="4" w:space="0"/>
              <w:right w:val="single" w:color="auto" w:sz="4" w:space="0"/>
            </w:tcBorders>
            <w:noWrap/>
            <w:vAlign w:val="center"/>
          </w:tcPr>
          <w:p w14:paraId="0D2FB084">
            <w:pPr>
              <w:pStyle w:val="24"/>
              <w:jc w:val="center"/>
              <w:rPr>
                <w:rFonts w:hint="eastAsia" w:hAnsi="宋体" w:cs="宋体"/>
                <w:color w:val="auto"/>
                <w:highlight w:val="none"/>
              </w:rPr>
            </w:pPr>
          </w:p>
        </w:tc>
        <w:tc>
          <w:tcPr>
            <w:tcW w:w="1296" w:type="dxa"/>
            <w:tcBorders>
              <w:top w:val="single" w:color="000000" w:sz="4" w:space="0"/>
              <w:left w:val="single" w:color="auto" w:sz="4" w:space="0"/>
              <w:bottom w:val="single" w:color="000000" w:sz="4" w:space="0"/>
              <w:right w:val="single" w:color="000000" w:sz="4" w:space="0"/>
            </w:tcBorders>
            <w:noWrap/>
            <w:vAlign w:val="center"/>
          </w:tcPr>
          <w:p w14:paraId="568DACFC">
            <w:pPr>
              <w:pStyle w:val="24"/>
              <w:jc w:val="center"/>
              <w:rPr>
                <w:rFonts w:hint="eastAsia" w:hAnsi="宋体" w:cs="宋体"/>
                <w:color w:val="auto"/>
                <w:highlight w:val="none"/>
              </w:rPr>
            </w:pPr>
          </w:p>
        </w:tc>
        <w:tc>
          <w:tcPr>
            <w:tcW w:w="1825" w:type="dxa"/>
            <w:tcBorders>
              <w:top w:val="single" w:color="000000" w:sz="4" w:space="0"/>
              <w:left w:val="single" w:color="000000" w:sz="4" w:space="0"/>
              <w:bottom w:val="single" w:color="000000" w:sz="4" w:space="0"/>
              <w:right w:val="single" w:color="000000" w:sz="4" w:space="0"/>
            </w:tcBorders>
            <w:noWrap/>
            <w:vAlign w:val="center"/>
          </w:tcPr>
          <w:p w14:paraId="38782168">
            <w:pPr>
              <w:pStyle w:val="24"/>
              <w:jc w:val="center"/>
              <w:rPr>
                <w:rFonts w:hint="eastAsia" w:hAnsi="宋体" w:cs="宋体"/>
                <w:color w:val="auto"/>
                <w:highlight w:val="none"/>
              </w:rPr>
            </w:pPr>
          </w:p>
        </w:tc>
        <w:tc>
          <w:tcPr>
            <w:tcW w:w="2616" w:type="dxa"/>
            <w:tcBorders>
              <w:top w:val="single" w:color="000000" w:sz="4" w:space="0"/>
              <w:left w:val="single" w:color="auto" w:sz="4" w:space="0"/>
              <w:bottom w:val="single" w:color="000000" w:sz="4" w:space="0"/>
              <w:right w:val="single" w:color="000000" w:sz="4" w:space="0"/>
            </w:tcBorders>
            <w:noWrap/>
            <w:vAlign w:val="center"/>
          </w:tcPr>
          <w:p w14:paraId="42104D51">
            <w:pPr>
              <w:pStyle w:val="24"/>
              <w:jc w:val="center"/>
              <w:rPr>
                <w:rFonts w:hint="eastAsia" w:hAnsi="宋体" w:cs="宋体"/>
                <w:color w:val="auto"/>
                <w:highlight w:val="none"/>
              </w:rPr>
            </w:pPr>
          </w:p>
        </w:tc>
      </w:tr>
      <w:tr w14:paraId="79FE2A71">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49" w:type="dxa"/>
            <w:vMerge w:val="continue"/>
            <w:tcBorders>
              <w:top w:val="single" w:color="000000" w:sz="4" w:space="0"/>
              <w:left w:val="single" w:color="000000" w:sz="4" w:space="0"/>
              <w:bottom w:val="single" w:color="000000" w:sz="4" w:space="0"/>
              <w:right w:val="single" w:color="000000" w:sz="4" w:space="0"/>
            </w:tcBorders>
            <w:noWrap/>
            <w:vAlign w:val="center"/>
          </w:tcPr>
          <w:p w14:paraId="21A8A270">
            <w:pPr>
              <w:widowControl/>
              <w:jc w:val="left"/>
              <w:rPr>
                <w:rFonts w:hint="eastAsia" w:hAnsi="宋体" w:cs="宋体"/>
                <w:color w:val="auto"/>
                <w:sz w:val="21"/>
                <w:szCs w:val="21"/>
                <w:highlight w:val="none"/>
              </w:rPr>
            </w:pPr>
          </w:p>
        </w:tc>
        <w:tc>
          <w:tcPr>
            <w:tcW w:w="2204" w:type="dxa"/>
            <w:tcBorders>
              <w:top w:val="single" w:color="000000" w:sz="4" w:space="0"/>
              <w:left w:val="single" w:color="000000" w:sz="4" w:space="0"/>
              <w:bottom w:val="single" w:color="000000" w:sz="4" w:space="0"/>
              <w:right w:val="single" w:color="auto" w:sz="4" w:space="0"/>
            </w:tcBorders>
            <w:noWrap/>
            <w:vAlign w:val="center"/>
          </w:tcPr>
          <w:p w14:paraId="64BEF71A">
            <w:pPr>
              <w:pStyle w:val="24"/>
              <w:jc w:val="center"/>
              <w:rPr>
                <w:rFonts w:hint="eastAsia" w:hAnsi="宋体" w:cs="宋体"/>
                <w:color w:val="auto"/>
                <w:highlight w:val="none"/>
              </w:rPr>
            </w:pPr>
          </w:p>
        </w:tc>
        <w:tc>
          <w:tcPr>
            <w:tcW w:w="1296" w:type="dxa"/>
            <w:tcBorders>
              <w:top w:val="single" w:color="000000" w:sz="4" w:space="0"/>
              <w:left w:val="single" w:color="auto" w:sz="4" w:space="0"/>
              <w:bottom w:val="single" w:color="000000" w:sz="4" w:space="0"/>
              <w:right w:val="single" w:color="000000" w:sz="4" w:space="0"/>
            </w:tcBorders>
            <w:noWrap/>
            <w:vAlign w:val="center"/>
          </w:tcPr>
          <w:p w14:paraId="4A44063B">
            <w:pPr>
              <w:pStyle w:val="24"/>
              <w:jc w:val="center"/>
              <w:rPr>
                <w:rFonts w:hint="eastAsia" w:hAnsi="宋体" w:cs="宋体"/>
                <w:color w:val="auto"/>
                <w:highlight w:val="none"/>
              </w:rPr>
            </w:pPr>
          </w:p>
        </w:tc>
        <w:tc>
          <w:tcPr>
            <w:tcW w:w="1825" w:type="dxa"/>
            <w:tcBorders>
              <w:top w:val="single" w:color="000000" w:sz="4" w:space="0"/>
              <w:left w:val="single" w:color="000000" w:sz="4" w:space="0"/>
              <w:bottom w:val="single" w:color="000000" w:sz="4" w:space="0"/>
              <w:right w:val="single" w:color="000000" w:sz="4" w:space="0"/>
            </w:tcBorders>
            <w:noWrap/>
            <w:vAlign w:val="center"/>
          </w:tcPr>
          <w:p w14:paraId="5C597AD1">
            <w:pPr>
              <w:pStyle w:val="24"/>
              <w:jc w:val="center"/>
              <w:rPr>
                <w:rFonts w:hint="eastAsia" w:hAnsi="宋体" w:cs="宋体"/>
                <w:color w:val="auto"/>
                <w:highlight w:val="none"/>
              </w:rPr>
            </w:pPr>
          </w:p>
        </w:tc>
        <w:tc>
          <w:tcPr>
            <w:tcW w:w="2616" w:type="dxa"/>
            <w:tcBorders>
              <w:top w:val="single" w:color="000000" w:sz="4" w:space="0"/>
              <w:left w:val="single" w:color="auto" w:sz="4" w:space="0"/>
              <w:bottom w:val="single" w:color="000000" w:sz="4" w:space="0"/>
              <w:right w:val="single" w:color="000000" w:sz="4" w:space="0"/>
            </w:tcBorders>
            <w:noWrap/>
            <w:vAlign w:val="center"/>
          </w:tcPr>
          <w:p w14:paraId="47573BFE">
            <w:pPr>
              <w:pStyle w:val="24"/>
              <w:jc w:val="center"/>
              <w:rPr>
                <w:rFonts w:hint="eastAsia" w:hAnsi="宋体" w:cs="宋体"/>
                <w:color w:val="auto"/>
                <w:highlight w:val="none"/>
              </w:rPr>
            </w:pPr>
          </w:p>
        </w:tc>
      </w:tr>
      <w:tr w14:paraId="59D536D1">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49" w:type="dxa"/>
            <w:vMerge w:val="continue"/>
            <w:tcBorders>
              <w:top w:val="single" w:color="000000" w:sz="4" w:space="0"/>
              <w:left w:val="single" w:color="000000" w:sz="4" w:space="0"/>
              <w:bottom w:val="single" w:color="000000" w:sz="4" w:space="0"/>
              <w:right w:val="single" w:color="000000" w:sz="4" w:space="0"/>
            </w:tcBorders>
            <w:noWrap/>
            <w:vAlign w:val="center"/>
          </w:tcPr>
          <w:p w14:paraId="1961DADB">
            <w:pPr>
              <w:widowControl/>
              <w:jc w:val="left"/>
              <w:rPr>
                <w:rFonts w:hint="eastAsia" w:hAnsi="宋体" w:cs="宋体"/>
                <w:color w:val="auto"/>
                <w:sz w:val="21"/>
                <w:szCs w:val="21"/>
                <w:highlight w:val="none"/>
              </w:rPr>
            </w:pPr>
          </w:p>
        </w:tc>
        <w:tc>
          <w:tcPr>
            <w:tcW w:w="2204" w:type="dxa"/>
            <w:tcBorders>
              <w:top w:val="single" w:color="000000" w:sz="4" w:space="0"/>
              <w:left w:val="single" w:color="000000" w:sz="4" w:space="0"/>
              <w:bottom w:val="single" w:color="000000" w:sz="4" w:space="0"/>
              <w:right w:val="single" w:color="auto" w:sz="4" w:space="0"/>
            </w:tcBorders>
            <w:noWrap/>
            <w:vAlign w:val="center"/>
          </w:tcPr>
          <w:p w14:paraId="36D27D11">
            <w:pPr>
              <w:pStyle w:val="24"/>
              <w:jc w:val="center"/>
              <w:rPr>
                <w:rFonts w:hint="eastAsia" w:hAnsi="宋体" w:cs="宋体"/>
                <w:color w:val="auto"/>
                <w:highlight w:val="none"/>
              </w:rPr>
            </w:pPr>
          </w:p>
        </w:tc>
        <w:tc>
          <w:tcPr>
            <w:tcW w:w="1296" w:type="dxa"/>
            <w:tcBorders>
              <w:top w:val="single" w:color="000000" w:sz="4" w:space="0"/>
              <w:left w:val="single" w:color="auto" w:sz="4" w:space="0"/>
              <w:bottom w:val="single" w:color="000000" w:sz="4" w:space="0"/>
              <w:right w:val="single" w:color="000000" w:sz="4" w:space="0"/>
            </w:tcBorders>
            <w:noWrap/>
            <w:vAlign w:val="center"/>
          </w:tcPr>
          <w:p w14:paraId="463D587E">
            <w:pPr>
              <w:pStyle w:val="24"/>
              <w:jc w:val="center"/>
              <w:rPr>
                <w:rFonts w:hint="eastAsia" w:hAnsi="宋体" w:cs="宋体"/>
                <w:color w:val="auto"/>
                <w:highlight w:val="none"/>
              </w:rPr>
            </w:pPr>
          </w:p>
        </w:tc>
        <w:tc>
          <w:tcPr>
            <w:tcW w:w="1825" w:type="dxa"/>
            <w:tcBorders>
              <w:top w:val="single" w:color="000000" w:sz="4" w:space="0"/>
              <w:left w:val="single" w:color="000000" w:sz="4" w:space="0"/>
              <w:bottom w:val="single" w:color="000000" w:sz="4" w:space="0"/>
              <w:right w:val="single" w:color="000000" w:sz="4" w:space="0"/>
            </w:tcBorders>
            <w:noWrap/>
            <w:vAlign w:val="center"/>
          </w:tcPr>
          <w:p w14:paraId="6E2C69B8">
            <w:pPr>
              <w:pStyle w:val="24"/>
              <w:jc w:val="center"/>
              <w:rPr>
                <w:rFonts w:hint="eastAsia" w:hAnsi="宋体" w:cs="宋体"/>
                <w:color w:val="auto"/>
                <w:highlight w:val="none"/>
              </w:rPr>
            </w:pPr>
          </w:p>
        </w:tc>
        <w:tc>
          <w:tcPr>
            <w:tcW w:w="2616" w:type="dxa"/>
            <w:tcBorders>
              <w:top w:val="single" w:color="000000" w:sz="4" w:space="0"/>
              <w:left w:val="single" w:color="auto" w:sz="4" w:space="0"/>
              <w:bottom w:val="single" w:color="000000" w:sz="4" w:space="0"/>
              <w:right w:val="single" w:color="000000" w:sz="4" w:space="0"/>
            </w:tcBorders>
            <w:noWrap/>
            <w:vAlign w:val="center"/>
          </w:tcPr>
          <w:p w14:paraId="1B700736">
            <w:pPr>
              <w:pStyle w:val="24"/>
              <w:jc w:val="center"/>
              <w:rPr>
                <w:rFonts w:hint="eastAsia" w:hAnsi="宋体" w:cs="宋体"/>
                <w:color w:val="auto"/>
                <w:highlight w:val="none"/>
              </w:rPr>
            </w:pPr>
          </w:p>
        </w:tc>
      </w:tr>
      <w:tr w14:paraId="622BF34F">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49" w:type="dxa"/>
            <w:vMerge w:val="continue"/>
            <w:tcBorders>
              <w:top w:val="single" w:color="000000" w:sz="4" w:space="0"/>
              <w:left w:val="single" w:color="000000" w:sz="4" w:space="0"/>
              <w:bottom w:val="single" w:color="000000" w:sz="4" w:space="0"/>
              <w:right w:val="single" w:color="000000" w:sz="4" w:space="0"/>
            </w:tcBorders>
            <w:noWrap/>
            <w:vAlign w:val="center"/>
          </w:tcPr>
          <w:p w14:paraId="0DB71D08">
            <w:pPr>
              <w:widowControl/>
              <w:jc w:val="left"/>
              <w:rPr>
                <w:rFonts w:hint="eastAsia" w:hAnsi="宋体" w:cs="宋体"/>
                <w:color w:val="auto"/>
                <w:sz w:val="21"/>
                <w:szCs w:val="21"/>
                <w:highlight w:val="none"/>
              </w:rPr>
            </w:pPr>
          </w:p>
        </w:tc>
        <w:tc>
          <w:tcPr>
            <w:tcW w:w="2204" w:type="dxa"/>
            <w:tcBorders>
              <w:top w:val="single" w:color="000000" w:sz="4" w:space="0"/>
              <w:left w:val="single" w:color="000000" w:sz="4" w:space="0"/>
              <w:bottom w:val="single" w:color="000000" w:sz="4" w:space="0"/>
              <w:right w:val="single" w:color="auto" w:sz="4" w:space="0"/>
            </w:tcBorders>
            <w:noWrap/>
            <w:vAlign w:val="center"/>
          </w:tcPr>
          <w:p w14:paraId="7CBE05CE">
            <w:pPr>
              <w:pStyle w:val="24"/>
              <w:jc w:val="center"/>
              <w:rPr>
                <w:rFonts w:hint="eastAsia" w:hAnsi="宋体" w:cs="宋体"/>
                <w:color w:val="auto"/>
                <w:highlight w:val="none"/>
              </w:rPr>
            </w:pPr>
          </w:p>
        </w:tc>
        <w:tc>
          <w:tcPr>
            <w:tcW w:w="1296" w:type="dxa"/>
            <w:tcBorders>
              <w:top w:val="single" w:color="000000" w:sz="4" w:space="0"/>
              <w:left w:val="single" w:color="auto" w:sz="4" w:space="0"/>
              <w:bottom w:val="single" w:color="000000" w:sz="4" w:space="0"/>
              <w:right w:val="single" w:color="000000" w:sz="4" w:space="0"/>
            </w:tcBorders>
            <w:noWrap/>
            <w:vAlign w:val="center"/>
          </w:tcPr>
          <w:p w14:paraId="4A446561">
            <w:pPr>
              <w:pStyle w:val="24"/>
              <w:jc w:val="center"/>
              <w:rPr>
                <w:rFonts w:hint="eastAsia" w:hAnsi="宋体" w:cs="宋体"/>
                <w:color w:val="auto"/>
                <w:highlight w:val="none"/>
              </w:rPr>
            </w:pPr>
          </w:p>
        </w:tc>
        <w:tc>
          <w:tcPr>
            <w:tcW w:w="1825" w:type="dxa"/>
            <w:tcBorders>
              <w:top w:val="single" w:color="000000" w:sz="4" w:space="0"/>
              <w:left w:val="single" w:color="000000" w:sz="4" w:space="0"/>
              <w:bottom w:val="single" w:color="000000" w:sz="4" w:space="0"/>
              <w:right w:val="single" w:color="000000" w:sz="4" w:space="0"/>
            </w:tcBorders>
            <w:noWrap/>
            <w:vAlign w:val="center"/>
          </w:tcPr>
          <w:p w14:paraId="6FA191B3">
            <w:pPr>
              <w:pStyle w:val="24"/>
              <w:jc w:val="center"/>
              <w:rPr>
                <w:rFonts w:hint="eastAsia" w:hAnsi="宋体" w:cs="宋体"/>
                <w:color w:val="auto"/>
                <w:highlight w:val="none"/>
              </w:rPr>
            </w:pPr>
          </w:p>
        </w:tc>
        <w:tc>
          <w:tcPr>
            <w:tcW w:w="2616" w:type="dxa"/>
            <w:tcBorders>
              <w:top w:val="single" w:color="000000" w:sz="4" w:space="0"/>
              <w:left w:val="single" w:color="auto" w:sz="4" w:space="0"/>
              <w:bottom w:val="single" w:color="000000" w:sz="4" w:space="0"/>
              <w:right w:val="single" w:color="000000" w:sz="4" w:space="0"/>
            </w:tcBorders>
            <w:noWrap/>
            <w:vAlign w:val="center"/>
          </w:tcPr>
          <w:p w14:paraId="6F208C54">
            <w:pPr>
              <w:pStyle w:val="24"/>
              <w:jc w:val="center"/>
              <w:rPr>
                <w:rFonts w:hint="eastAsia" w:hAnsi="宋体" w:cs="宋体"/>
                <w:color w:val="auto"/>
                <w:highlight w:val="none"/>
              </w:rPr>
            </w:pPr>
          </w:p>
        </w:tc>
      </w:tr>
      <w:tr w14:paraId="4ECDA848">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49" w:type="dxa"/>
            <w:vMerge w:val="continue"/>
            <w:tcBorders>
              <w:top w:val="single" w:color="000000" w:sz="4" w:space="0"/>
              <w:left w:val="single" w:color="000000" w:sz="4" w:space="0"/>
              <w:bottom w:val="single" w:color="000000" w:sz="4" w:space="0"/>
              <w:right w:val="single" w:color="000000" w:sz="4" w:space="0"/>
            </w:tcBorders>
            <w:noWrap/>
            <w:vAlign w:val="center"/>
          </w:tcPr>
          <w:p w14:paraId="124256CB">
            <w:pPr>
              <w:widowControl/>
              <w:jc w:val="left"/>
              <w:rPr>
                <w:rFonts w:hint="eastAsia" w:hAnsi="宋体" w:cs="宋体"/>
                <w:color w:val="auto"/>
                <w:sz w:val="21"/>
                <w:szCs w:val="21"/>
                <w:highlight w:val="none"/>
              </w:rPr>
            </w:pPr>
          </w:p>
        </w:tc>
        <w:tc>
          <w:tcPr>
            <w:tcW w:w="2204" w:type="dxa"/>
            <w:tcBorders>
              <w:top w:val="single" w:color="000000" w:sz="4" w:space="0"/>
              <w:left w:val="single" w:color="000000" w:sz="4" w:space="0"/>
              <w:bottom w:val="single" w:color="000000" w:sz="4" w:space="0"/>
              <w:right w:val="single" w:color="auto" w:sz="4" w:space="0"/>
            </w:tcBorders>
            <w:noWrap/>
            <w:vAlign w:val="center"/>
          </w:tcPr>
          <w:p w14:paraId="60449561">
            <w:pPr>
              <w:pStyle w:val="24"/>
              <w:jc w:val="center"/>
              <w:rPr>
                <w:rFonts w:hint="eastAsia" w:hAnsi="宋体" w:cs="宋体"/>
                <w:color w:val="auto"/>
                <w:highlight w:val="none"/>
              </w:rPr>
            </w:pPr>
          </w:p>
        </w:tc>
        <w:tc>
          <w:tcPr>
            <w:tcW w:w="1296" w:type="dxa"/>
            <w:tcBorders>
              <w:top w:val="single" w:color="000000" w:sz="4" w:space="0"/>
              <w:left w:val="single" w:color="auto" w:sz="4" w:space="0"/>
              <w:bottom w:val="single" w:color="000000" w:sz="4" w:space="0"/>
              <w:right w:val="single" w:color="000000" w:sz="4" w:space="0"/>
            </w:tcBorders>
            <w:noWrap/>
            <w:vAlign w:val="center"/>
          </w:tcPr>
          <w:p w14:paraId="40588A43">
            <w:pPr>
              <w:pStyle w:val="24"/>
              <w:jc w:val="center"/>
              <w:rPr>
                <w:rFonts w:hint="eastAsia" w:hAnsi="宋体" w:cs="宋体"/>
                <w:color w:val="auto"/>
                <w:highlight w:val="none"/>
              </w:rPr>
            </w:pPr>
          </w:p>
        </w:tc>
        <w:tc>
          <w:tcPr>
            <w:tcW w:w="1825" w:type="dxa"/>
            <w:tcBorders>
              <w:top w:val="single" w:color="000000" w:sz="4" w:space="0"/>
              <w:left w:val="single" w:color="000000" w:sz="4" w:space="0"/>
              <w:bottom w:val="single" w:color="000000" w:sz="4" w:space="0"/>
              <w:right w:val="single" w:color="000000" w:sz="4" w:space="0"/>
            </w:tcBorders>
            <w:noWrap/>
            <w:vAlign w:val="center"/>
          </w:tcPr>
          <w:p w14:paraId="2CAB2E4E">
            <w:pPr>
              <w:pStyle w:val="24"/>
              <w:jc w:val="center"/>
              <w:rPr>
                <w:rFonts w:hint="eastAsia" w:hAnsi="宋体" w:cs="宋体"/>
                <w:color w:val="auto"/>
                <w:highlight w:val="none"/>
              </w:rPr>
            </w:pPr>
          </w:p>
        </w:tc>
        <w:tc>
          <w:tcPr>
            <w:tcW w:w="2616" w:type="dxa"/>
            <w:tcBorders>
              <w:top w:val="single" w:color="000000" w:sz="4" w:space="0"/>
              <w:left w:val="single" w:color="auto" w:sz="4" w:space="0"/>
              <w:bottom w:val="single" w:color="000000" w:sz="4" w:space="0"/>
              <w:right w:val="single" w:color="000000" w:sz="4" w:space="0"/>
            </w:tcBorders>
            <w:noWrap/>
            <w:vAlign w:val="center"/>
          </w:tcPr>
          <w:p w14:paraId="66D00690">
            <w:pPr>
              <w:pStyle w:val="24"/>
              <w:jc w:val="center"/>
              <w:rPr>
                <w:rFonts w:hint="eastAsia" w:hAnsi="宋体" w:cs="宋体"/>
                <w:color w:val="auto"/>
                <w:highlight w:val="none"/>
              </w:rPr>
            </w:pPr>
          </w:p>
        </w:tc>
      </w:tr>
      <w:tr w14:paraId="216DA254">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49" w:type="dxa"/>
            <w:vMerge w:val="continue"/>
            <w:tcBorders>
              <w:top w:val="single" w:color="000000" w:sz="4" w:space="0"/>
              <w:left w:val="single" w:color="000000" w:sz="4" w:space="0"/>
              <w:bottom w:val="single" w:color="000000" w:sz="4" w:space="0"/>
              <w:right w:val="single" w:color="000000" w:sz="4" w:space="0"/>
            </w:tcBorders>
            <w:noWrap/>
            <w:vAlign w:val="center"/>
          </w:tcPr>
          <w:p w14:paraId="00C8B7AE">
            <w:pPr>
              <w:widowControl/>
              <w:jc w:val="left"/>
              <w:rPr>
                <w:rFonts w:hint="eastAsia" w:hAnsi="宋体" w:cs="宋体"/>
                <w:color w:val="auto"/>
                <w:sz w:val="21"/>
                <w:szCs w:val="21"/>
                <w:highlight w:val="none"/>
              </w:rPr>
            </w:pPr>
          </w:p>
        </w:tc>
        <w:tc>
          <w:tcPr>
            <w:tcW w:w="2204" w:type="dxa"/>
            <w:tcBorders>
              <w:top w:val="single" w:color="000000" w:sz="4" w:space="0"/>
              <w:left w:val="single" w:color="000000" w:sz="4" w:space="0"/>
              <w:bottom w:val="single" w:color="000000" w:sz="4" w:space="0"/>
              <w:right w:val="single" w:color="auto" w:sz="4" w:space="0"/>
            </w:tcBorders>
            <w:noWrap/>
            <w:vAlign w:val="center"/>
          </w:tcPr>
          <w:p w14:paraId="48625EA1">
            <w:pPr>
              <w:pStyle w:val="24"/>
              <w:jc w:val="center"/>
              <w:rPr>
                <w:rFonts w:hint="eastAsia" w:hAnsi="宋体" w:cs="宋体"/>
                <w:color w:val="auto"/>
                <w:highlight w:val="none"/>
              </w:rPr>
            </w:pPr>
          </w:p>
        </w:tc>
        <w:tc>
          <w:tcPr>
            <w:tcW w:w="1296" w:type="dxa"/>
            <w:tcBorders>
              <w:top w:val="single" w:color="000000" w:sz="4" w:space="0"/>
              <w:left w:val="single" w:color="auto" w:sz="4" w:space="0"/>
              <w:bottom w:val="single" w:color="000000" w:sz="4" w:space="0"/>
              <w:right w:val="single" w:color="000000" w:sz="4" w:space="0"/>
            </w:tcBorders>
            <w:noWrap/>
            <w:vAlign w:val="center"/>
          </w:tcPr>
          <w:p w14:paraId="06A35F17">
            <w:pPr>
              <w:pStyle w:val="24"/>
              <w:jc w:val="center"/>
              <w:rPr>
                <w:rFonts w:hint="eastAsia" w:hAnsi="宋体" w:cs="宋体"/>
                <w:color w:val="auto"/>
                <w:highlight w:val="none"/>
              </w:rPr>
            </w:pPr>
          </w:p>
        </w:tc>
        <w:tc>
          <w:tcPr>
            <w:tcW w:w="1825" w:type="dxa"/>
            <w:tcBorders>
              <w:top w:val="single" w:color="000000" w:sz="4" w:space="0"/>
              <w:left w:val="single" w:color="000000" w:sz="4" w:space="0"/>
              <w:bottom w:val="single" w:color="000000" w:sz="4" w:space="0"/>
              <w:right w:val="single" w:color="000000" w:sz="4" w:space="0"/>
            </w:tcBorders>
            <w:noWrap/>
            <w:vAlign w:val="center"/>
          </w:tcPr>
          <w:p w14:paraId="26EAB738">
            <w:pPr>
              <w:pStyle w:val="24"/>
              <w:jc w:val="center"/>
              <w:rPr>
                <w:rFonts w:hint="eastAsia" w:hAnsi="宋体" w:cs="宋体"/>
                <w:color w:val="auto"/>
                <w:highlight w:val="none"/>
              </w:rPr>
            </w:pPr>
          </w:p>
        </w:tc>
        <w:tc>
          <w:tcPr>
            <w:tcW w:w="2616" w:type="dxa"/>
            <w:tcBorders>
              <w:top w:val="single" w:color="000000" w:sz="4" w:space="0"/>
              <w:left w:val="single" w:color="auto" w:sz="4" w:space="0"/>
              <w:bottom w:val="single" w:color="000000" w:sz="4" w:space="0"/>
              <w:right w:val="single" w:color="000000" w:sz="4" w:space="0"/>
            </w:tcBorders>
            <w:noWrap/>
            <w:vAlign w:val="center"/>
          </w:tcPr>
          <w:p w14:paraId="5E9D377F">
            <w:pPr>
              <w:pStyle w:val="24"/>
              <w:jc w:val="center"/>
              <w:rPr>
                <w:rFonts w:hint="eastAsia" w:hAnsi="宋体" w:cs="宋体"/>
                <w:color w:val="auto"/>
                <w:highlight w:val="none"/>
              </w:rPr>
            </w:pPr>
          </w:p>
        </w:tc>
      </w:tr>
      <w:tr w14:paraId="4E105808">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49" w:type="dxa"/>
            <w:vMerge w:val="continue"/>
            <w:tcBorders>
              <w:top w:val="single" w:color="000000" w:sz="4" w:space="0"/>
              <w:left w:val="single" w:color="000000" w:sz="4" w:space="0"/>
              <w:bottom w:val="single" w:color="000000" w:sz="4" w:space="0"/>
              <w:right w:val="single" w:color="000000" w:sz="4" w:space="0"/>
            </w:tcBorders>
            <w:noWrap/>
            <w:vAlign w:val="center"/>
          </w:tcPr>
          <w:p w14:paraId="3FB5A3C6">
            <w:pPr>
              <w:widowControl/>
              <w:jc w:val="left"/>
              <w:rPr>
                <w:rFonts w:hint="eastAsia" w:hAnsi="宋体" w:cs="宋体"/>
                <w:color w:val="auto"/>
                <w:sz w:val="21"/>
                <w:szCs w:val="21"/>
                <w:highlight w:val="none"/>
              </w:rPr>
            </w:pPr>
          </w:p>
        </w:tc>
        <w:tc>
          <w:tcPr>
            <w:tcW w:w="2204" w:type="dxa"/>
            <w:tcBorders>
              <w:top w:val="single" w:color="000000" w:sz="4" w:space="0"/>
              <w:left w:val="single" w:color="000000" w:sz="4" w:space="0"/>
              <w:bottom w:val="single" w:color="000000" w:sz="4" w:space="0"/>
              <w:right w:val="single" w:color="auto" w:sz="4" w:space="0"/>
            </w:tcBorders>
            <w:noWrap/>
            <w:vAlign w:val="center"/>
          </w:tcPr>
          <w:p w14:paraId="4E6C26DD">
            <w:pPr>
              <w:pStyle w:val="24"/>
              <w:jc w:val="center"/>
              <w:rPr>
                <w:rFonts w:hint="eastAsia" w:hAnsi="宋体" w:cs="宋体"/>
                <w:color w:val="auto"/>
                <w:highlight w:val="none"/>
              </w:rPr>
            </w:pPr>
            <w:r>
              <w:rPr>
                <w:rFonts w:hint="eastAsia" w:hAnsi="宋体" w:cs="宋体"/>
                <w:color w:val="auto"/>
                <w:highlight w:val="none"/>
              </w:rPr>
              <w:t>…</w:t>
            </w:r>
          </w:p>
        </w:tc>
        <w:tc>
          <w:tcPr>
            <w:tcW w:w="1296" w:type="dxa"/>
            <w:tcBorders>
              <w:top w:val="single" w:color="000000" w:sz="4" w:space="0"/>
              <w:left w:val="single" w:color="auto" w:sz="4" w:space="0"/>
              <w:bottom w:val="single" w:color="000000" w:sz="4" w:space="0"/>
              <w:right w:val="single" w:color="000000" w:sz="4" w:space="0"/>
            </w:tcBorders>
            <w:noWrap/>
            <w:vAlign w:val="center"/>
          </w:tcPr>
          <w:p w14:paraId="120BAA15">
            <w:pPr>
              <w:pStyle w:val="24"/>
              <w:jc w:val="center"/>
              <w:rPr>
                <w:rFonts w:hint="eastAsia" w:hAnsi="宋体" w:cs="宋体"/>
                <w:color w:val="auto"/>
                <w:highlight w:val="none"/>
              </w:rPr>
            </w:pPr>
          </w:p>
        </w:tc>
        <w:tc>
          <w:tcPr>
            <w:tcW w:w="1825" w:type="dxa"/>
            <w:tcBorders>
              <w:top w:val="single" w:color="000000" w:sz="4" w:space="0"/>
              <w:left w:val="single" w:color="000000" w:sz="4" w:space="0"/>
              <w:bottom w:val="single" w:color="000000" w:sz="4" w:space="0"/>
              <w:right w:val="single" w:color="000000" w:sz="4" w:space="0"/>
            </w:tcBorders>
            <w:noWrap/>
            <w:vAlign w:val="center"/>
          </w:tcPr>
          <w:p w14:paraId="1700172D">
            <w:pPr>
              <w:pStyle w:val="24"/>
              <w:jc w:val="center"/>
              <w:rPr>
                <w:rFonts w:hint="eastAsia" w:hAnsi="宋体" w:cs="宋体"/>
                <w:color w:val="auto"/>
                <w:highlight w:val="none"/>
              </w:rPr>
            </w:pPr>
          </w:p>
        </w:tc>
        <w:tc>
          <w:tcPr>
            <w:tcW w:w="2616" w:type="dxa"/>
            <w:tcBorders>
              <w:top w:val="single" w:color="000000" w:sz="4" w:space="0"/>
              <w:left w:val="single" w:color="auto" w:sz="4" w:space="0"/>
              <w:bottom w:val="single" w:color="000000" w:sz="4" w:space="0"/>
              <w:right w:val="single" w:color="000000" w:sz="4" w:space="0"/>
            </w:tcBorders>
            <w:noWrap/>
            <w:vAlign w:val="center"/>
          </w:tcPr>
          <w:p w14:paraId="0654D0B5">
            <w:pPr>
              <w:pStyle w:val="24"/>
              <w:jc w:val="center"/>
              <w:rPr>
                <w:rFonts w:hint="eastAsia" w:hAnsi="宋体" w:cs="宋体"/>
                <w:color w:val="auto"/>
                <w:highlight w:val="none"/>
              </w:rPr>
            </w:pPr>
          </w:p>
        </w:tc>
      </w:tr>
    </w:tbl>
    <w:p w14:paraId="2B57125A">
      <w:pPr>
        <w:pStyle w:val="16"/>
        <w:keepNext/>
        <w:tabs>
          <w:tab w:val="left" w:pos="750"/>
        </w:tabs>
        <w:spacing w:line="460" w:lineRule="exact"/>
        <w:rPr>
          <w:rFonts w:hint="eastAsia" w:hAnsi="宋体" w:cs="宋体"/>
          <w:color w:val="auto"/>
          <w:highlight w:val="none"/>
        </w:rPr>
      </w:pPr>
      <w:bookmarkStart w:id="87" w:name="_Toc24466379"/>
      <w:bookmarkStart w:id="88" w:name="_Toc1467895"/>
      <w:bookmarkStart w:id="89" w:name="_Toc20416927"/>
      <w:bookmarkStart w:id="90" w:name="_Toc20650503"/>
      <w:bookmarkStart w:id="91" w:name="_Toc1143831"/>
      <w:bookmarkStart w:id="92" w:name="_Toc32409813"/>
      <w:bookmarkStart w:id="93" w:name="_Toc32323359"/>
      <w:bookmarkStart w:id="94" w:name="_Toc535398766"/>
      <w:r>
        <w:rPr>
          <w:rFonts w:hint="eastAsia" w:hAnsi="宋体" w:cs="宋体"/>
          <w:color w:val="auto"/>
          <w:highlight w:val="none"/>
        </w:rPr>
        <w:t>注：1.提供每个人员的</w:t>
      </w:r>
      <w:r>
        <w:rPr>
          <w:rFonts w:hint="eastAsia" w:ascii="宋体" w:hAnsi="宋体" w:cs="宋体"/>
          <w:color w:val="auto"/>
          <w:szCs w:val="21"/>
          <w:highlight w:val="none"/>
        </w:rPr>
        <w:t>身份证、毕业证、职称证（如有）、职业（执业）资格证书（如有）、人员在职证明材料（如近半年内的社保证明和劳动合同）</w:t>
      </w:r>
      <w:r>
        <w:rPr>
          <w:rFonts w:hint="eastAsia" w:hAnsi="宋体" w:cs="宋体"/>
          <w:color w:val="auto"/>
          <w:highlight w:val="none"/>
        </w:rPr>
        <w:t>等相关资料复印件</w:t>
      </w:r>
      <w:bookmarkEnd w:id="87"/>
      <w:bookmarkEnd w:id="88"/>
      <w:bookmarkEnd w:id="89"/>
      <w:bookmarkEnd w:id="90"/>
      <w:bookmarkEnd w:id="91"/>
      <w:bookmarkEnd w:id="92"/>
      <w:bookmarkEnd w:id="93"/>
      <w:bookmarkEnd w:id="94"/>
      <w:r>
        <w:rPr>
          <w:rFonts w:hint="eastAsia" w:hAnsi="宋体" w:cs="宋体"/>
          <w:color w:val="auto"/>
          <w:highlight w:val="none"/>
        </w:rPr>
        <w:t>。</w:t>
      </w:r>
    </w:p>
    <w:p w14:paraId="2721CC61">
      <w:pPr>
        <w:pStyle w:val="16"/>
        <w:keepNext/>
        <w:tabs>
          <w:tab w:val="left" w:pos="750"/>
        </w:tabs>
        <w:spacing w:line="460" w:lineRule="exact"/>
        <w:rPr>
          <w:rFonts w:hint="eastAsia" w:ascii="宋体" w:hAnsi="宋体" w:cs="宋体"/>
          <w:color w:val="auto"/>
          <w:sz w:val="21"/>
          <w:szCs w:val="21"/>
          <w:highlight w:val="none"/>
        </w:rPr>
      </w:pPr>
      <w:r>
        <w:rPr>
          <w:rFonts w:hint="eastAsia" w:hAnsi="宋体" w:cs="宋体"/>
          <w:color w:val="auto"/>
          <w:highlight w:val="none"/>
        </w:rPr>
        <w:t xml:space="preserve">  2.项目团队技术服务人员中涉及现场驻场技术服务人员须在上表“在本项目担任的职务”中明确。</w:t>
      </w:r>
    </w:p>
    <w:p w14:paraId="23075860">
      <w:pPr>
        <w:pStyle w:val="24"/>
        <w:keepNext/>
        <w:snapToGrid w:val="0"/>
        <w:spacing w:line="360" w:lineRule="auto"/>
        <w:rPr>
          <w:rFonts w:hint="eastAsia" w:hAnsi="宋体" w:cs="宋体"/>
          <w:color w:val="auto"/>
          <w:highlight w:val="none"/>
        </w:rPr>
      </w:pPr>
    </w:p>
    <w:p w14:paraId="10B8CD81">
      <w:pPr>
        <w:widowControl/>
        <w:jc w:val="left"/>
        <w:rPr>
          <w:rFonts w:hint="eastAsia" w:hAnsi="宋体"/>
          <w:b/>
          <w:bCs/>
          <w:color w:val="auto"/>
          <w:sz w:val="21"/>
          <w:szCs w:val="21"/>
          <w:highlight w:val="none"/>
        </w:rPr>
      </w:pPr>
    </w:p>
    <w:p w14:paraId="0D0F3D1F">
      <w:pPr>
        <w:spacing w:before="60" w:after="60" w:line="360" w:lineRule="auto"/>
        <w:rPr>
          <w:rFonts w:hint="eastAsia" w:hAnsi="宋体"/>
          <w:color w:val="auto"/>
          <w:sz w:val="21"/>
          <w:szCs w:val="21"/>
          <w:highlight w:val="none"/>
        </w:rPr>
      </w:pPr>
      <w:r>
        <w:rPr>
          <w:rFonts w:hint="eastAsia" w:hAnsi="宋体"/>
          <w:color w:val="auto"/>
          <w:sz w:val="21"/>
          <w:szCs w:val="21"/>
          <w:highlight w:val="none"/>
        </w:rPr>
        <w:t>投标人（加盖单位章）：</w:t>
      </w:r>
      <w:r>
        <w:rPr>
          <w:rFonts w:hAnsi="宋体"/>
          <w:color w:val="auto"/>
          <w:sz w:val="21"/>
          <w:szCs w:val="21"/>
          <w:highlight w:val="none"/>
        </w:rPr>
        <w:t>______________</w:t>
      </w:r>
    </w:p>
    <w:p w14:paraId="643CE7DC">
      <w:pPr>
        <w:spacing w:before="60" w:after="60" w:line="360" w:lineRule="auto"/>
        <w:rPr>
          <w:rFonts w:hint="eastAsia" w:hAnsi="宋体"/>
          <w:color w:val="auto"/>
          <w:sz w:val="21"/>
          <w:szCs w:val="21"/>
          <w:highlight w:val="none"/>
        </w:rPr>
      </w:pPr>
      <w:r>
        <w:rPr>
          <w:rFonts w:hint="eastAsia" w:hAnsi="宋体"/>
          <w:color w:val="auto"/>
          <w:sz w:val="21"/>
          <w:szCs w:val="21"/>
          <w:highlight w:val="none"/>
        </w:rPr>
        <w:t>法定代表人（负责人）或委托代理人（签字或盖章）：</w:t>
      </w:r>
      <w:r>
        <w:rPr>
          <w:rFonts w:hAnsi="宋体"/>
          <w:color w:val="auto"/>
          <w:sz w:val="21"/>
          <w:szCs w:val="21"/>
          <w:highlight w:val="none"/>
        </w:rPr>
        <w:t>________</w:t>
      </w:r>
    </w:p>
    <w:p w14:paraId="51414BDA">
      <w:pPr>
        <w:keepNext/>
        <w:spacing w:before="60" w:after="60" w:line="480" w:lineRule="auto"/>
        <w:ind w:hanging="35"/>
        <w:rPr>
          <w:rFonts w:hint="eastAsia" w:hAnsi="宋体" w:cs="宋体"/>
          <w:color w:val="auto"/>
          <w:szCs w:val="21"/>
          <w:highlight w:val="none"/>
        </w:rPr>
      </w:pPr>
      <w:r>
        <w:rPr>
          <w:rFonts w:hint="eastAsia" w:hAnsi="宋体"/>
          <w:color w:val="auto"/>
          <w:sz w:val="21"/>
          <w:szCs w:val="21"/>
          <w:highlight w:val="none"/>
        </w:rPr>
        <w:t>日期：</w:t>
      </w:r>
      <w:r>
        <w:rPr>
          <w:rFonts w:hAnsi="宋体"/>
          <w:color w:val="auto"/>
          <w:sz w:val="21"/>
          <w:szCs w:val="21"/>
          <w:highlight w:val="none"/>
        </w:rPr>
        <w:t>________</w:t>
      </w:r>
      <w:r>
        <w:rPr>
          <w:rFonts w:hint="eastAsia" w:hAnsi="宋体"/>
          <w:color w:val="auto"/>
          <w:sz w:val="21"/>
          <w:szCs w:val="21"/>
          <w:highlight w:val="none"/>
        </w:rPr>
        <w:t>年</w:t>
      </w:r>
      <w:r>
        <w:rPr>
          <w:rFonts w:hAnsi="宋体"/>
          <w:color w:val="auto"/>
          <w:sz w:val="21"/>
          <w:szCs w:val="21"/>
          <w:highlight w:val="none"/>
        </w:rPr>
        <w:t>_____</w:t>
      </w:r>
      <w:r>
        <w:rPr>
          <w:rFonts w:hint="eastAsia" w:hAnsi="宋体"/>
          <w:color w:val="auto"/>
          <w:sz w:val="21"/>
          <w:szCs w:val="21"/>
          <w:highlight w:val="none"/>
        </w:rPr>
        <w:t>月</w:t>
      </w:r>
      <w:r>
        <w:rPr>
          <w:rFonts w:hAnsi="宋体"/>
          <w:color w:val="auto"/>
          <w:sz w:val="21"/>
          <w:szCs w:val="21"/>
          <w:highlight w:val="none"/>
        </w:rPr>
        <w:t>_____</w:t>
      </w:r>
      <w:r>
        <w:rPr>
          <w:rFonts w:hint="eastAsia" w:hAnsi="宋体"/>
          <w:color w:val="auto"/>
          <w:sz w:val="21"/>
          <w:szCs w:val="21"/>
          <w:highlight w:val="none"/>
        </w:rPr>
        <w:t>日</w:t>
      </w:r>
    </w:p>
    <w:p w14:paraId="28A9577F">
      <w:pPr>
        <w:spacing w:line="720" w:lineRule="exact"/>
        <w:rPr>
          <w:rFonts w:hint="eastAsia" w:hAnsi="宋体"/>
          <w:color w:val="auto"/>
          <w:sz w:val="24"/>
          <w:highlight w:val="none"/>
          <w:u w:val="single"/>
        </w:rPr>
      </w:pPr>
    </w:p>
    <w:p w14:paraId="5F5FACAB">
      <w:pPr>
        <w:rPr>
          <w:rFonts w:hint="eastAsia" w:hAnsi="宋体"/>
          <w:color w:val="auto"/>
          <w:szCs w:val="28"/>
          <w:highlight w:val="none"/>
        </w:rPr>
      </w:pPr>
      <w:r>
        <w:rPr>
          <w:rFonts w:hAnsi="宋体"/>
          <w:color w:val="auto"/>
          <w:szCs w:val="28"/>
          <w:highlight w:val="none"/>
        </w:rPr>
        <w:br w:type="page"/>
      </w:r>
    </w:p>
    <w:p w14:paraId="4EC71736">
      <w:pPr>
        <w:pStyle w:val="6"/>
        <w:jc w:val="center"/>
        <w:rPr>
          <w:color w:val="auto"/>
          <w:highlight w:val="none"/>
        </w:rPr>
        <w:sectPr>
          <w:pgSz w:w="11906" w:h="16838"/>
          <w:pgMar w:top="1418" w:right="1134" w:bottom="1246" w:left="1134" w:header="851" w:footer="992" w:gutter="0"/>
          <w:cols w:space="720" w:num="1"/>
          <w:docGrid w:type="lines" w:linePitch="312" w:charSpace="0"/>
        </w:sectPr>
      </w:pPr>
      <w:bookmarkStart w:id="95" w:name="_Toc32409801"/>
      <w:bookmarkStart w:id="96" w:name="_Toc536109717"/>
    </w:p>
    <w:p w14:paraId="701928F3">
      <w:pPr>
        <w:pStyle w:val="6"/>
        <w:jc w:val="center"/>
        <w:rPr>
          <w:color w:val="auto"/>
          <w:highlight w:val="none"/>
        </w:rPr>
      </w:pPr>
      <w:bookmarkStart w:id="97" w:name="_Toc20740"/>
      <w:r>
        <w:rPr>
          <w:rFonts w:hint="eastAsia"/>
          <w:color w:val="auto"/>
          <w:highlight w:val="none"/>
        </w:rPr>
        <w:t>（十）</w:t>
      </w:r>
      <w:bookmarkEnd w:id="95"/>
      <w:bookmarkEnd w:id="96"/>
      <w:r>
        <w:rPr>
          <w:rFonts w:hint="eastAsia"/>
          <w:color w:val="auto"/>
          <w:highlight w:val="none"/>
        </w:rPr>
        <w:t>投标人（2021年01月01日至今）项目实施经验</w:t>
      </w:r>
      <w:bookmarkEnd w:id="97"/>
    </w:p>
    <w:tbl>
      <w:tblPr>
        <w:tblStyle w:val="39"/>
        <w:tblW w:w="9612" w:type="dxa"/>
        <w:tblInd w:w="1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8"/>
        <w:gridCol w:w="1622"/>
        <w:gridCol w:w="1327"/>
        <w:gridCol w:w="2040"/>
        <w:gridCol w:w="1327"/>
        <w:gridCol w:w="2618"/>
      </w:tblGrid>
      <w:tr w14:paraId="67CA1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exact"/>
        </w:trPr>
        <w:tc>
          <w:tcPr>
            <w:tcW w:w="678" w:type="dxa"/>
            <w:tcBorders>
              <w:top w:val="single" w:color="auto" w:sz="4" w:space="0"/>
              <w:left w:val="single" w:color="auto" w:sz="4" w:space="0"/>
              <w:bottom w:val="single" w:color="auto" w:sz="4" w:space="0"/>
              <w:right w:val="single" w:color="auto" w:sz="4" w:space="0"/>
            </w:tcBorders>
            <w:vAlign w:val="center"/>
          </w:tcPr>
          <w:p w14:paraId="79997DB0">
            <w:pPr>
              <w:jc w:val="center"/>
              <w:rPr>
                <w:rFonts w:hint="eastAsia" w:hAnsi="宋体" w:cs="宋体"/>
                <w:color w:val="auto"/>
                <w:sz w:val="21"/>
                <w:szCs w:val="21"/>
                <w:highlight w:val="none"/>
              </w:rPr>
            </w:pPr>
            <w:r>
              <w:rPr>
                <w:rFonts w:hint="eastAsia" w:hAnsi="宋体" w:cs="宋体"/>
                <w:color w:val="auto"/>
                <w:sz w:val="21"/>
                <w:szCs w:val="21"/>
                <w:highlight w:val="none"/>
              </w:rPr>
              <w:t>序号</w:t>
            </w:r>
          </w:p>
        </w:tc>
        <w:tc>
          <w:tcPr>
            <w:tcW w:w="1622" w:type="dxa"/>
            <w:tcBorders>
              <w:top w:val="single" w:color="auto" w:sz="4" w:space="0"/>
              <w:left w:val="single" w:color="auto" w:sz="4" w:space="0"/>
              <w:bottom w:val="single" w:color="auto" w:sz="4" w:space="0"/>
              <w:right w:val="single" w:color="auto" w:sz="4" w:space="0"/>
            </w:tcBorders>
            <w:vAlign w:val="center"/>
          </w:tcPr>
          <w:p w14:paraId="7893AF16">
            <w:pPr>
              <w:jc w:val="center"/>
              <w:rPr>
                <w:rFonts w:hint="eastAsia" w:hAnsi="宋体" w:cs="宋体"/>
                <w:color w:val="auto"/>
                <w:sz w:val="21"/>
                <w:szCs w:val="21"/>
                <w:highlight w:val="none"/>
              </w:rPr>
            </w:pPr>
            <w:r>
              <w:rPr>
                <w:rFonts w:hint="eastAsia" w:hAnsi="宋体" w:cs="宋体"/>
                <w:color w:val="auto"/>
                <w:sz w:val="21"/>
                <w:szCs w:val="21"/>
                <w:highlight w:val="none"/>
              </w:rPr>
              <w:t>用户名称</w:t>
            </w:r>
          </w:p>
        </w:tc>
        <w:tc>
          <w:tcPr>
            <w:tcW w:w="1327" w:type="dxa"/>
            <w:tcBorders>
              <w:top w:val="single" w:color="auto" w:sz="4" w:space="0"/>
              <w:left w:val="single" w:color="auto" w:sz="4" w:space="0"/>
              <w:bottom w:val="single" w:color="auto" w:sz="4" w:space="0"/>
              <w:right w:val="single" w:color="auto" w:sz="4" w:space="0"/>
            </w:tcBorders>
            <w:vAlign w:val="center"/>
          </w:tcPr>
          <w:p w14:paraId="64BE2CFD">
            <w:pPr>
              <w:jc w:val="center"/>
              <w:rPr>
                <w:rFonts w:hint="eastAsia" w:hAnsi="宋体" w:cs="宋体"/>
                <w:color w:val="auto"/>
                <w:sz w:val="21"/>
                <w:szCs w:val="21"/>
                <w:highlight w:val="none"/>
              </w:rPr>
            </w:pPr>
            <w:r>
              <w:rPr>
                <w:rFonts w:hint="eastAsia" w:hAnsi="宋体" w:cs="宋体"/>
                <w:color w:val="auto"/>
                <w:sz w:val="21"/>
                <w:szCs w:val="21"/>
                <w:highlight w:val="none"/>
              </w:rPr>
              <w:t>项目状况</w:t>
            </w:r>
          </w:p>
        </w:tc>
        <w:tc>
          <w:tcPr>
            <w:tcW w:w="2040" w:type="dxa"/>
            <w:tcBorders>
              <w:top w:val="single" w:color="auto" w:sz="4" w:space="0"/>
              <w:left w:val="single" w:color="auto" w:sz="4" w:space="0"/>
              <w:bottom w:val="single" w:color="auto" w:sz="4" w:space="0"/>
              <w:right w:val="single" w:color="auto" w:sz="4" w:space="0"/>
            </w:tcBorders>
            <w:vAlign w:val="center"/>
          </w:tcPr>
          <w:p w14:paraId="155A5A0D">
            <w:pPr>
              <w:jc w:val="center"/>
              <w:rPr>
                <w:rFonts w:hint="eastAsia" w:hAnsi="宋体" w:cs="宋体"/>
                <w:color w:val="auto"/>
                <w:sz w:val="21"/>
                <w:szCs w:val="21"/>
                <w:highlight w:val="none"/>
              </w:rPr>
            </w:pPr>
            <w:r>
              <w:rPr>
                <w:rFonts w:hint="eastAsia" w:hAnsi="宋体" w:cs="宋体"/>
                <w:color w:val="auto"/>
                <w:sz w:val="21"/>
                <w:szCs w:val="21"/>
                <w:highlight w:val="none"/>
              </w:rPr>
              <w:t>服务起讫时间</w:t>
            </w:r>
          </w:p>
        </w:tc>
        <w:tc>
          <w:tcPr>
            <w:tcW w:w="1327" w:type="dxa"/>
            <w:tcBorders>
              <w:top w:val="single" w:color="auto" w:sz="4" w:space="0"/>
              <w:left w:val="single" w:color="auto" w:sz="4" w:space="0"/>
              <w:bottom w:val="single" w:color="auto" w:sz="4" w:space="0"/>
              <w:right w:val="single" w:color="auto" w:sz="4" w:space="0"/>
            </w:tcBorders>
            <w:vAlign w:val="center"/>
          </w:tcPr>
          <w:p w14:paraId="669E44DD">
            <w:pPr>
              <w:jc w:val="center"/>
              <w:rPr>
                <w:rFonts w:hint="eastAsia" w:hAnsi="宋体" w:cs="宋体"/>
                <w:color w:val="auto"/>
                <w:sz w:val="21"/>
                <w:szCs w:val="21"/>
                <w:highlight w:val="none"/>
              </w:rPr>
            </w:pPr>
            <w:r>
              <w:rPr>
                <w:rFonts w:hint="eastAsia" w:hAnsi="宋体" w:cs="宋体"/>
                <w:color w:val="auto"/>
                <w:sz w:val="21"/>
                <w:szCs w:val="21"/>
                <w:highlight w:val="none"/>
              </w:rPr>
              <w:t>合同总价</w:t>
            </w:r>
          </w:p>
        </w:tc>
        <w:tc>
          <w:tcPr>
            <w:tcW w:w="2618" w:type="dxa"/>
            <w:tcBorders>
              <w:top w:val="single" w:color="auto" w:sz="4" w:space="0"/>
              <w:left w:val="single" w:color="auto" w:sz="4" w:space="0"/>
              <w:bottom w:val="single" w:color="auto" w:sz="4" w:space="0"/>
              <w:right w:val="single" w:color="auto" w:sz="4" w:space="0"/>
            </w:tcBorders>
            <w:vAlign w:val="center"/>
          </w:tcPr>
          <w:p w14:paraId="5716D220">
            <w:pPr>
              <w:jc w:val="center"/>
              <w:rPr>
                <w:rFonts w:hint="eastAsia" w:hAnsi="宋体" w:cs="宋体"/>
                <w:color w:val="auto"/>
                <w:sz w:val="21"/>
                <w:szCs w:val="21"/>
                <w:highlight w:val="none"/>
              </w:rPr>
            </w:pPr>
            <w:r>
              <w:rPr>
                <w:rFonts w:hint="eastAsia" w:hAnsi="宋体" w:cs="宋体"/>
                <w:color w:val="auto"/>
                <w:sz w:val="21"/>
                <w:szCs w:val="21"/>
                <w:highlight w:val="none"/>
              </w:rPr>
              <w:t>用户联系人姓名及电话</w:t>
            </w:r>
          </w:p>
        </w:tc>
      </w:tr>
      <w:tr w14:paraId="68277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exact"/>
        </w:trPr>
        <w:tc>
          <w:tcPr>
            <w:tcW w:w="678" w:type="dxa"/>
            <w:tcBorders>
              <w:top w:val="single" w:color="auto" w:sz="4" w:space="0"/>
              <w:left w:val="single" w:color="auto" w:sz="4" w:space="0"/>
              <w:bottom w:val="single" w:color="auto" w:sz="4" w:space="0"/>
              <w:right w:val="single" w:color="auto" w:sz="4" w:space="0"/>
            </w:tcBorders>
            <w:vAlign w:val="center"/>
          </w:tcPr>
          <w:p w14:paraId="23DE42B4">
            <w:pPr>
              <w:jc w:val="center"/>
              <w:rPr>
                <w:rFonts w:hint="eastAsia" w:hAnsi="宋体" w:cs="宋体"/>
                <w:color w:val="auto"/>
                <w:sz w:val="21"/>
                <w:szCs w:val="21"/>
                <w:highlight w:val="none"/>
              </w:rPr>
            </w:pPr>
            <w:r>
              <w:rPr>
                <w:rFonts w:hint="eastAsia" w:hAnsi="宋体" w:cs="宋体"/>
                <w:color w:val="auto"/>
                <w:sz w:val="21"/>
                <w:szCs w:val="21"/>
                <w:highlight w:val="none"/>
              </w:rPr>
              <w:t>1</w:t>
            </w:r>
          </w:p>
        </w:tc>
        <w:tc>
          <w:tcPr>
            <w:tcW w:w="1622" w:type="dxa"/>
            <w:tcBorders>
              <w:top w:val="single" w:color="auto" w:sz="4" w:space="0"/>
              <w:left w:val="single" w:color="auto" w:sz="4" w:space="0"/>
              <w:bottom w:val="single" w:color="auto" w:sz="4" w:space="0"/>
              <w:right w:val="single" w:color="auto" w:sz="4" w:space="0"/>
            </w:tcBorders>
            <w:vAlign w:val="center"/>
          </w:tcPr>
          <w:p w14:paraId="3CE601C7">
            <w:pPr>
              <w:jc w:val="center"/>
              <w:rPr>
                <w:rFonts w:hint="eastAsia" w:hAnsi="宋体" w:cs="宋体"/>
                <w:color w:val="auto"/>
                <w:sz w:val="21"/>
                <w:szCs w:val="21"/>
                <w:highlight w:val="none"/>
              </w:rPr>
            </w:pPr>
          </w:p>
        </w:tc>
        <w:tc>
          <w:tcPr>
            <w:tcW w:w="1327" w:type="dxa"/>
            <w:tcBorders>
              <w:top w:val="single" w:color="auto" w:sz="4" w:space="0"/>
              <w:left w:val="single" w:color="auto" w:sz="4" w:space="0"/>
              <w:bottom w:val="single" w:color="auto" w:sz="4" w:space="0"/>
              <w:right w:val="single" w:color="auto" w:sz="4" w:space="0"/>
            </w:tcBorders>
            <w:vAlign w:val="center"/>
          </w:tcPr>
          <w:p w14:paraId="594FEB0B">
            <w:pPr>
              <w:jc w:val="center"/>
              <w:rPr>
                <w:rFonts w:hint="eastAsia" w:hAnsi="宋体" w:cs="宋体"/>
                <w:color w:val="auto"/>
                <w:sz w:val="21"/>
                <w:szCs w:val="21"/>
                <w:highlight w:val="none"/>
              </w:rPr>
            </w:pPr>
          </w:p>
        </w:tc>
        <w:tc>
          <w:tcPr>
            <w:tcW w:w="2040" w:type="dxa"/>
            <w:tcBorders>
              <w:top w:val="single" w:color="auto" w:sz="4" w:space="0"/>
              <w:left w:val="single" w:color="auto" w:sz="4" w:space="0"/>
              <w:bottom w:val="single" w:color="auto" w:sz="4" w:space="0"/>
              <w:right w:val="single" w:color="auto" w:sz="4" w:space="0"/>
            </w:tcBorders>
            <w:vAlign w:val="center"/>
          </w:tcPr>
          <w:p w14:paraId="068FAB6F">
            <w:pPr>
              <w:jc w:val="center"/>
              <w:rPr>
                <w:rFonts w:hint="eastAsia" w:hAnsi="宋体" w:cs="宋体"/>
                <w:color w:val="auto"/>
                <w:sz w:val="21"/>
                <w:szCs w:val="21"/>
                <w:highlight w:val="none"/>
              </w:rPr>
            </w:pPr>
          </w:p>
        </w:tc>
        <w:tc>
          <w:tcPr>
            <w:tcW w:w="1327" w:type="dxa"/>
            <w:tcBorders>
              <w:top w:val="single" w:color="auto" w:sz="4" w:space="0"/>
              <w:left w:val="single" w:color="auto" w:sz="4" w:space="0"/>
              <w:bottom w:val="single" w:color="auto" w:sz="4" w:space="0"/>
              <w:right w:val="single" w:color="auto" w:sz="4" w:space="0"/>
            </w:tcBorders>
            <w:vAlign w:val="center"/>
          </w:tcPr>
          <w:p w14:paraId="5512CB16">
            <w:pPr>
              <w:jc w:val="center"/>
              <w:rPr>
                <w:rFonts w:hint="eastAsia" w:hAnsi="宋体" w:cs="宋体"/>
                <w:color w:val="auto"/>
                <w:sz w:val="21"/>
                <w:szCs w:val="21"/>
                <w:highlight w:val="none"/>
              </w:rPr>
            </w:pPr>
          </w:p>
        </w:tc>
        <w:tc>
          <w:tcPr>
            <w:tcW w:w="2618" w:type="dxa"/>
            <w:tcBorders>
              <w:top w:val="single" w:color="auto" w:sz="4" w:space="0"/>
              <w:left w:val="single" w:color="auto" w:sz="4" w:space="0"/>
              <w:bottom w:val="single" w:color="auto" w:sz="4" w:space="0"/>
              <w:right w:val="single" w:color="auto" w:sz="4" w:space="0"/>
            </w:tcBorders>
            <w:vAlign w:val="center"/>
          </w:tcPr>
          <w:p w14:paraId="339B89FD">
            <w:pPr>
              <w:jc w:val="center"/>
              <w:rPr>
                <w:rFonts w:hint="eastAsia" w:hAnsi="宋体" w:cs="宋体"/>
                <w:color w:val="auto"/>
                <w:sz w:val="21"/>
                <w:szCs w:val="21"/>
                <w:highlight w:val="none"/>
              </w:rPr>
            </w:pPr>
          </w:p>
        </w:tc>
      </w:tr>
      <w:tr w14:paraId="6DF34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exact"/>
        </w:trPr>
        <w:tc>
          <w:tcPr>
            <w:tcW w:w="678" w:type="dxa"/>
            <w:tcBorders>
              <w:top w:val="single" w:color="auto" w:sz="4" w:space="0"/>
              <w:left w:val="single" w:color="auto" w:sz="4" w:space="0"/>
              <w:bottom w:val="single" w:color="auto" w:sz="4" w:space="0"/>
              <w:right w:val="single" w:color="auto" w:sz="4" w:space="0"/>
            </w:tcBorders>
            <w:vAlign w:val="center"/>
          </w:tcPr>
          <w:p w14:paraId="4AEA2A5F">
            <w:pPr>
              <w:jc w:val="center"/>
              <w:rPr>
                <w:rFonts w:hint="eastAsia" w:hAnsi="宋体" w:cs="宋体"/>
                <w:color w:val="auto"/>
                <w:sz w:val="21"/>
                <w:szCs w:val="21"/>
                <w:highlight w:val="none"/>
              </w:rPr>
            </w:pPr>
            <w:r>
              <w:rPr>
                <w:rFonts w:hint="eastAsia" w:hAnsi="宋体" w:cs="宋体"/>
                <w:color w:val="auto"/>
                <w:sz w:val="21"/>
                <w:szCs w:val="21"/>
                <w:highlight w:val="none"/>
              </w:rPr>
              <w:t>2</w:t>
            </w:r>
          </w:p>
        </w:tc>
        <w:tc>
          <w:tcPr>
            <w:tcW w:w="1622" w:type="dxa"/>
            <w:tcBorders>
              <w:top w:val="single" w:color="auto" w:sz="4" w:space="0"/>
              <w:left w:val="single" w:color="auto" w:sz="4" w:space="0"/>
              <w:bottom w:val="single" w:color="auto" w:sz="4" w:space="0"/>
              <w:right w:val="single" w:color="auto" w:sz="4" w:space="0"/>
            </w:tcBorders>
            <w:vAlign w:val="center"/>
          </w:tcPr>
          <w:p w14:paraId="5A18AF27">
            <w:pPr>
              <w:jc w:val="center"/>
              <w:rPr>
                <w:rFonts w:hint="eastAsia" w:hAnsi="宋体" w:cs="宋体"/>
                <w:color w:val="auto"/>
                <w:sz w:val="21"/>
                <w:szCs w:val="21"/>
                <w:highlight w:val="none"/>
              </w:rPr>
            </w:pPr>
          </w:p>
        </w:tc>
        <w:tc>
          <w:tcPr>
            <w:tcW w:w="1327" w:type="dxa"/>
            <w:tcBorders>
              <w:top w:val="single" w:color="auto" w:sz="4" w:space="0"/>
              <w:left w:val="single" w:color="auto" w:sz="4" w:space="0"/>
              <w:bottom w:val="single" w:color="auto" w:sz="4" w:space="0"/>
              <w:right w:val="single" w:color="auto" w:sz="4" w:space="0"/>
            </w:tcBorders>
            <w:vAlign w:val="center"/>
          </w:tcPr>
          <w:p w14:paraId="7F282565">
            <w:pPr>
              <w:jc w:val="center"/>
              <w:rPr>
                <w:rFonts w:hint="eastAsia" w:hAnsi="宋体" w:cs="宋体"/>
                <w:color w:val="auto"/>
                <w:sz w:val="21"/>
                <w:szCs w:val="21"/>
                <w:highlight w:val="none"/>
              </w:rPr>
            </w:pPr>
          </w:p>
        </w:tc>
        <w:tc>
          <w:tcPr>
            <w:tcW w:w="2040" w:type="dxa"/>
            <w:tcBorders>
              <w:top w:val="single" w:color="auto" w:sz="4" w:space="0"/>
              <w:left w:val="single" w:color="auto" w:sz="4" w:space="0"/>
              <w:bottom w:val="single" w:color="auto" w:sz="4" w:space="0"/>
              <w:right w:val="single" w:color="auto" w:sz="4" w:space="0"/>
            </w:tcBorders>
            <w:vAlign w:val="center"/>
          </w:tcPr>
          <w:p w14:paraId="1F3BBEE6">
            <w:pPr>
              <w:jc w:val="center"/>
              <w:rPr>
                <w:rFonts w:hint="eastAsia" w:hAnsi="宋体" w:cs="宋体"/>
                <w:color w:val="auto"/>
                <w:sz w:val="21"/>
                <w:szCs w:val="21"/>
                <w:highlight w:val="none"/>
              </w:rPr>
            </w:pPr>
          </w:p>
        </w:tc>
        <w:tc>
          <w:tcPr>
            <w:tcW w:w="1327" w:type="dxa"/>
            <w:tcBorders>
              <w:top w:val="single" w:color="auto" w:sz="4" w:space="0"/>
              <w:left w:val="single" w:color="auto" w:sz="4" w:space="0"/>
              <w:bottom w:val="single" w:color="auto" w:sz="4" w:space="0"/>
              <w:right w:val="single" w:color="auto" w:sz="4" w:space="0"/>
            </w:tcBorders>
            <w:vAlign w:val="center"/>
          </w:tcPr>
          <w:p w14:paraId="4DB15DAB">
            <w:pPr>
              <w:jc w:val="center"/>
              <w:rPr>
                <w:rFonts w:hint="eastAsia" w:hAnsi="宋体" w:cs="宋体"/>
                <w:color w:val="auto"/>
                <w:sz w:val="21"/>
                <w:szCs w:val="21"/>
                <w:highlight w:val="none"/>
              </w:rPr>
            </w:pPr>
          </w:p>
        </w:tc>
        <w:tc>
          <w:tcPr>
            <w:tcW w:w="2618" w:type="dxa"/>
            <w:tcBorders>
              <w:top w:val="single" w:color="auto" w:sz="4" w:space="0"/>
              <w:left w:val="single" w:color="auto" w:sz="4" w:space="0"/>
              <w:bottom w:val="single" w:color="auto" w:sz="4" w:space="0"/>
              <w:right w:val="single" w:color="auto" w:sz="4" w:space="0"/>
            </w:tcBorders>
            <w:vAlign w:val="center"/>
          </w:tcPr>
          <w:p w14:paraId="76EEDFF0">
            <w:pPr>
              <w:jc w:val="center"/>
              <w:rPr>
                <w:rFonts w:hint="eastAsia" w:hAnsi="宋体" w:cs="宋体"/>
                <w:color w:val="auto"/>
                <w:sz w:val="21"/>
                <w:szCs w:val="21"/>
                <w:highlight w:val="none"/>
              </w:rPr>
            </w:pPr>
          </w:p>
        </w:tc>
      </w:tr>
      <w:tr w14:paraId="0671B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exact"/>
        </w:trPr>
        <w:tc>
          <w:tcPr>
            <w:tcW w:w="678" w:type="dxa"/>
            <w:tcBorders>
              <w:top w:val="single" w:color="auto" w:sz="4" w:space="0"/>
              <w:left w:val="single" w:color="auto" w:sz="4" w:space="0"/>
              <w:bottom w:val="single" w:color="auto" w:sz="4" w:space="0"/>
              <w:right w:val="single" w:color="auto" w:sz="4" w:space="0"/>
            </w:tcBorders>
            <w:vAlign w:val="center"/>
          </w:tcPr>
          <w:p w14:paraId="5DD13B97">
            <w:pPr>
              <w:jc w:val="center"/>
              <w:rPr>
                <w:rFonts w:hint="eastAsia" w:hAnsi="宋体" w:cs="宋体"/>
                <w:color w:val="auto"/>
                <w:sz w:val="21"/>
                <w:szCs w:val="21"/>
                <w:highlight w:val="none"/>
              </w:rPr>
            </w:pPr>
            <w:r>
              <w:rPr>
                <w:rFonts w:hint="eastAsia" w:hAnsi="宋体" w:cs="宋体"/>
                <w:color w:val="auto"/>
                <w:sz w:val="21"/>
                <w:szCs w:val="21"/>
                <w:highlight w:val="none"/>
              </w:rPr>
              <w:t>3</w:t>
            </w:r>
          </w:p>
        </w:tc>
        <w:tc>
          <w:tcPr>
            <w:tcW w:w="1622" w:type="dxa"/>
            <w:tcBorders>
              <w:top w:val="single" w:color="auto" w:sz="4" w:space="0"/>
              <w:left w:val="single" w:color="auto" w:sz="4" w:space="0"/>
              <w:bottom w:val="single" w:color="auto" w:sz="4" w:space="0"/>
              <w:right w:val="single" w:color="auto" w:sz="4" w:space="0"/>
            </w:tcBorders>
            <w:vAlign w:val="center"/>
          </w:tcPr>
          <w:p w14:paraId="50F5C4A0">
            <w:pPr>
              <w:jc w:val="center"/>
              <w:rPr>
                <w:rFonts w:hint="eastAsia" w:hAnsi="宋体" w:cs="宋体"/>
                <w:color w:val="auto"/>
                <w:sz w:val="21"/>
                <w:szCs w:val="21"/>
                <w:highlight w:val="none"/>
              </w:rPr>
            </w:pPr>
          </w:p>
        </w:tc>
        <w:tc>
          <w:tcPr>
            <w:tcW w:w="1327" w:type="dxa"/>
            <w:tcBorders>
              <w:top w:val="single" w:color="auto" w:sz="4" w:space="0"/>
              <w:left w:val="single" w:color="auto" w:sz="4" w:space="0"/>
              <w:bottom w:val="single" w:color="auto" w:sz="4" w:space="0"/>
              <w:right w:val="single" w:color="auto" w:sz="4" w:space="0"/>
            </w:tcBorders>
            <w:vAlign w:val="center"/>
          </w:tcPr>
          <w:p w14:paraId="20D2F3FC">
            <w:pPr>
              <w:jc w:val="center"/>
              <w:rPr>
                <w:rFonts w:hint="eastAsia" w:hAnsi="宋体" w:cs="宋体"/>
                <w:color w:val="auto"/>
                <w:sz w:val="21"/>
                <w:szCs w:val="21"/>
                <w:highlight w:val="none"/>
              </w:rPr>
            </w:pPr>
          </w:p>
        </w:tc>
        <w:tc>
          <w:tcPr>
            <w:tcW w:w="2040" w:type="dxa"/>
            <w:tcBorders>
              <w:top w:val="single" w:color="auto" w:sz="4" w:space="0"/>
              <w:left w:val="single" w:color="auto" w:sz="4" w:space="0"/>
              <w:bottom w:val="single" w:color="auto" w:sz="4" w:space="0"/>
              <w:right w:val="single" w:color="auto" w:sz="4" w:space="0"/>
            </w:tcBorders>
            <w:vAlign w:val="center"/>
          </w:tcPr>
          <w:p w14:paraId="71DC5189">
            <w:pPr>
              <w:jc w:val="center"/>
              <w:rPr>
                <w:rFonts w:hint="eastAsia" w:hAnsi="宋体" w:cs="宋体"/>
                <w:color w:val="auto"/>
                <w:sz w:val="21"/>
                <w:szCs w:val="21"/>
                <w:highlight w:val="none"/>
              </w:rPr>
            </w:pPr>
          </w:p>
        </w:tc>
        <w:tc>
          <w:tcPr>
            <w:tcW w:w="1327" w:type="dxa"/>
            <w:tcBorders>
              <w:top w:val="single" w:color="auto" w:sz="4" w:space="0"/>
              <w:left w:val="single" w:color="auto" w:sz="4" w:space="0"/>
              <w:bottom w:val="single" w:color="auto" w:sz="4" w:space="0"/>
              <w:right w:val="single" w:color="auto" w:sz="4" w:space="0"/>
            </w:tcBorders>
            <w:vAlign w:val="center"/>
          </w:tcPr>
          <w:p w14:paraId="24249AFA">
            <w:pPr>
              <w:jc w:val="center"/>
              <w:rPr>
                <w:rFonts w:hint="eastAsia" w:hAnsi="宋体" w:cs="宋体"/>
                <w:color w:val="auto"/>
                <w:sz w:val="21"/>
                <w:szCs w:val="21"/>
                <w:highlight w:val="none"/>
              </w:rPr>
            </w:pPr>
          </w:p>
        </w:tc>
        <w:tc>
          <w:tcPr>
            <w:tcW w:w="2618" w:type="dxa"/>
            <w:tcBorders>
              <w:top w:val="single" w:color="auto" w:sz="4" w:space="0"/>
              <w:left w:val="single" w:color="auto" w:sz="4" w:space="0"/>
              <w:bottom w:val="single" w:color="auto" w:sz="4" w:space="0"/>
              <w:right w:val="single" w:color="auto" w:sz="4" w:space="0"/>
            </w:tcBorders>
            <w:vAlign w:val="center"/>
          </w:tcPr>
          <w:p w14:paraId="69C0DE3E">
            <w:pPr>
              <w:jc w:val="center"/>
              <w:rPr>
                <w:rFonts w:hint="eastAsia" w:hAnsi="宋体" w:cs="宋体"/>
                <w:color w:val="auto"/>
                <w:sz w:val="21"/>
                <w:szCs w:val="21"/>
                <w:highlight w:val="none"/>
              </w:rPr>
            </w:pPr>
          </w:p>
        </w:tc>
      </w:tr>
      <w:tr w14:paraId="0FDF5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exact"/>
        </w:trPr>
        <w:tc>
          <w:tcPr>
            <w:tcW w:w="678" w:type="dxa"/>
            <w:tcBorders>
              <w:top w:val="single" w:color="auto" w:sz="4" w:space="0"/>
              <w:left w:val="single" w:color="auto" w:sz="4" w:space="0"/>
              <w:bottom w:val="single" w:color="auto" w:sz="4" w:space="0"/>
              <w:right w:val="single" w:color="auto" w:sz="4" w:space="0"/>
            </w:tcBorders>
            <w:vAlign w:val="center"/>
          </w:tcPr>
          <w:p w14:paraId="6D012D62">
            <w:pPr>
              <w:jc w:val="center"/>
              <w:rPr>
                <w:rFonts w:hint="eastAsia" w:hAnsi="宋体" w:cs="宋体"/>
                <w:color w:val="auto"/>
                <w:sz w:val="21"/>
                <w:szCs w:val="21"/>
                <w:highlight w:val="none"/>
              </w:rPr>
            </w:pPr>
            <w:r>
              <w:rPr>
                <w:rFonts w:hint="eastAsia" w:hAnsi="宋体" w:cs="宋体"/>
                <w:color w:val="auto"/>
                <w:sz w:val="21"/>
                <w:szCs w:val="21"/>
                <w:highlight w:val="none"/>
              </w:rPr>
              <w:t>4</w:t>
            </w:r>
          </w:p>
        </w:tc>
        <w:tc>
          <w:tcPr>
            <w:tcW w:w="1622" w:type="dxa"/>
            <w:tcBorders>
              <w:top w:val="single" w:color="auto" w:sz="4" w:space="0"/>
              <w:left w:val="single" w:color="auto" w:sz="4" w:space="0"/>
              <w:bottom w:val="single" w:color="auto" w:sz="4" w:space="0"/>
              <w:right w:val="single" w:color="auto" w:sz="4" w:space="0"/>
            </w:tcBorders>
            <w:vAlign w:val="center"/>
          </w:tcPr>
          <w:p w14:paraId="4B73C880">
            <w:pPr>
              <w:jc w:val="center"/>
              <w:rPr>
                <w:rFonts w:hint="eastAsia" w:hAnsi="宋体" w:cs="宋体"/>
                <w:color w:val="auto"/>
                <w:sz w:val="21"/>
                <w:szCs w:val="21"/>
                <w:highlight w:val="none"/>
              </w:rPr>
            </w:pPr>
          </w:p>
        </w:tc>
        <w:tc>
          <w:tcPr>
            <w:tcW w:w="1327" w:type="dxa"/>
            <w:tcBorders>
              <w:top w:val="single" w:color="auto" w:sz="4" w:space="0"/>
              <w:left w:val="single" w:color="auto" w:sz="4" w:space="0"/>
              <w:bottom w:val="single" w:color="auto" w:sz="4" w:space="0"/>
              <w:right w:val="single" w:color="auto" w:sz="4" w:space="0"/>
            </w:tcBorders>
            <w:vAlign w:val="center"/>
          </w:tcPr>
          <w:p w14:paraId="77246099">
            <w:pPr>
              <w:jc w:val="center"/>
              <w:rPr>
                <w:rFonts w:hint="eastAsia" w:hAnsi="宋体" w:cs="宋体"/>
                <w:color w:val="auto"/>
                <w:sz w:val="21"/>
                <w:szCs w:val="21"/>
                <w:highlight w:val="none"/>
              </w:rPr>
            </w:pPr>
          </w:p>
        </w:tc>
        <w:tc>
          <w:tcPr>
            <w:tcW w:w="2040" w:type="dxa"/>
            <w:tcBorders>
              <w:top w:val="single" w:color="auto" w:sz="4" w:space="0"/>
              <w:left w:val="single" w:color="auto" w:sz="4" w:space="0"/>
              <w:bottom w:val="single" w:color="auto" w:sz="4" w:space="0"/>
              <w:right w:val="single" w:color="auto" w:sz="4" w:space="0"/>
            </w:tcBorders>
            <w:vAlign w:val="center"/>
          </w:tcPr>
          <w:p w14:paraId="75928F32">
            <w:pPr>
              <w:jc w:val="center"/>
              <w:rPr>
                <w:rFonts w:hint="eastAsia" w:hAnsi="宋体" w:cs="宋体"/>
                <w:color w:val="auto"/>
                <w:sz w:val="21"/>
                <w:szCs w:val="21"/>
                <w:highlight w:val="none"/>
              </w:rPr>
            </w:pPr>
          </w:p>
        </w:tc>
        <w:tc>
          <w:tcPr>
            <w:tcW w:w="1327" w:type="dxa"/>
            <w:tcBorders>
              <w:top w:val="single" w:color="auto" w:sz="4" w:space="0"/>
              <w:left w:val="single" w:color="auto" w:sz="4" w:space="0"/>
              <w:bottom w:val="single" w:color="auto" w:sz="4" w:space="0"/>
              <w:right w:val="single" w:color="auto" w:sz="4" w:space="0"/>
            </w:tcBorders>
            <w:vAlign w:val="center"/>
          </w:tcPr>
          <w:p w14:paraId="20B44D72">
            <w:pPr>
              <w:jc w:val="center"/>
              <w:rPr>
                <w:rFonts w:hint="eastAsia" w:hAnsi="宋体" w:cs="宋体"/>
                <w:color w:val="auto"/>
                <w:sz w:val="21"/>
                <w:szCs w:val="21"/>
                <w:highlight w:val="none"/>
              </w:rPr>
            </w:pPr>
          </w:p>
        </w:tc>
        <w:tc>
          <w:tcPr>
            <w:tcW w:w="2618" w:type="dxa"/>
            <w:tcBorders>
              <w:top w:val="single" w:color="auto" w:sz="4" w:space="0"/>
              <w:left w:val="single" w:color="auto" w:sz="4" w:space="0"/>
              <w:bottom w:val="single" w:color="auto" w:sz="4" w:space="0"/>
              <w:right w:val="single" w:color="auto" w:sz="4" w:space="0"/>
            </w:tcBorders>
            <w:vAlign w:val="center"/>
          </w:tcPr>
          <w:p w14:paraId="21655CEB">
            <w:pPr>
              <w:jc w:val="center"/>
              <w:rPr>
                <w:rFonts w:hint="eastAsia" w:hAnsi="宋体" w:cs="宋体"/>
                <w:color w:val="auto"/>
                <w:sz w:val="21"/>
                <w:szCs w:val="21"/>
                <w:highlight w:val="none"/>
              </w:rPr>
            </w:pPr>
          </w:p>
        </w:tc>
      </w:tr>
      <w:tr w14:paraId="51C9C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exact"/>
        </w:trPr>
        <w:tc>
          <w:tcPr>
            <w:tcW w:w="678" w:type="dxa"/>
            <w:tcBorders>
              <w:top w:val="single" w:color="auto" w:sz="4" w:space="0"/>
              <w:left w:val="single" w:color="auto" w:sz="4" w:space="0"/>
              <w:bottom w:val="single" w:color="auto" w:sz="4" w:space="0"/>
              <w:right w:val="single" w:color="auto" w:sz="4" w:space="0"/>
            </w:tcBorders>
            <w:vAlign w:val="center"/>
          </w:tcPr>
          <w:p w14:paraId="16B3F6AD">
            <w:pPr>
              <w:jc w:val="center"/>
              <w:rPr>
                <w:rFonts w:hint="eastAsia" w:hAnsi="宋体" w:cs="宋体"/>
                <w:color w:val="auto"/>
                <w:sz w:val="21"/>
                <w:szCs w:val="21"/>
                <w:highlight w:val="none"/>
              </w:rPr>
            </w:pPr>
            <w:r>
              <w:rPr>
                <w:rFonts w:hint="eastAsia" w:hAnsi="宋体" w:cs="宋体"/>
                <w:color w:val="auto"/>
                <w:sz w:val="21"/>
                <w:szCs w:val="21"/>
                <w:highlight w:val="none"/>
              </w:rPr>
              <w:t>…</w:t>
            </w:r>
          </w:p>
        </w:tc>
        <w:tc>
          <w:tcPr>
            <w:tcW w:w="1622" w:type="dxa"/>
            <w:tcBorders>
              <w:top w:val="single" w:color="auto" w:sz="4" w:space="0"/>
              <w:left w:val="single" w:color="auto" w:sz="4" w:space="0"/>
              <w:bottom w:val="single" w:color="auto" w:sz="4" w:space="0"/>
              <w:right w:val="single" w:color="auto" w:sz="4" w:space="0"/>
            </w:tcBorders>
            <w:vAlign w:val="center"/>
          </w:tcPr>
          <w:p w14:paraId="69C7AE0D">
            <w:pPr>
              <w:jc w:val="center"/>
              <w:rPr>
                <w:rFonts w:hint="eastAsia" w:hAnsi="宋体" w:cs="宋体"/>
                <w:color w:val="auto"/>
                <w:sz w:val="21"/>
                <w:szCs w:val="21"/>
                <w:highlight w:val="none"/>
              </w:rPr>
            </w:pPr>
          </w:p>
        </w:tc>
        <w:tc>
          <w:tcPr>
            <w:tcW w:w="1327" w:type="dxa"/>
            <w:tcBorders>
              <w:top w:val="single" w:color="auto" w:sz="4" w:space="0"/>
              <w:left w:val="single" w:color="auto" w:sz="4" w:space="0"/>
              <w:bottom w:val="single" w:color="auto" w:sz="4" w:space="0"/>
              <w:right w:val="single" w:color="auto" w:sz="4" w:space="0"/>
            </w:tcBorders>
            <w:vAlign w:val="center"/>
          </w:tcPr>
          <w:p w14:paraId="3B9868F2">
            <w:pPr>
              <w:jc w:val="center"/>
              <w:rPr>
                <w:rFonts w:hint="eastAsia" w:hAnsi="宋体" w:cs="宋体"/>
                <w:color w:val="auto"/>
                <w:sz w:val="21"/>
                <w:szCs w:val="21"/>
                <w:highlight w:val="none"/>
              </w:rPr>
            </w:pPr>
          </w:p>
        </w:tc>
        <w:tc>
          <w:tcPr>
            <w:tcW w:w="2040" w:type="dxa"/>
            <w:tcBorders>
              <w:top w:val="single" w:color="auto" w:sz="4" w:space="0"/>
              <w:left w:val="single" w:color="auto" w:sz="4" w:space="0"/>
              <w:bottom w:val="single" w:color="auto" w:sz="4" w:space="0"/>
              <w:right w:val="single" w:color="auto" w:sz="4" w:space="0"/>
            </w:tcBorders>
            <w:vAlign w:val="center"/>
          </w:tcPr>
          <w:p w14:paraId="555DB73C">
            <w:pPr>
              <w:jc w:val="center"/>
              <w:rPr>
                <w:rFonts w:hint="eastAsia" w:hAnsi="宋体" w:cs="宋体"/>
                <w:color w:val="auto"/>
                <w:sz w:val="21"/>
                <w:szCs w:val="21"/>
                <w:highlight w:val="none"/>
              </w:rPr>
            </w:pPr>
          </w:p>
        </w:tc>
        <w:tc>
          <w:tcPr>
            <w:tcW w:w="1327" w:type="dxa"/>
            <w:tcBorders>
              <w:top w:val="single" w:color="auto" w:sz="4" w:space="0"/>
              <w:left w:val="single" w:color="auto" w:sz="4" w:space="0"/>
              <w:bottom w:val="single" w:color="auto" w:sz="4" w:space="0"/>
              <w:right w:val="single" w:color="auto" w:sz="4" w:space="0"/>
            </w:tcBorders>
            <w:vAlign w:val="center"/>
          </w:tcPr>
          <w:p w14:paraId="0959F201">
            <w:pPr>
              <w:jc w:val="center"/>
              <w:rPr>
                <w:rFonts w:hint="eastAsia" w:hAnsi="宋体" w:cs="宋体"/>
                <w:color w:val="auto"/>
                <w:sz w:val="21"/>
                <w:szCs w:val="21"/>
                <w:highlight w:val="none"/>
              </w:rPr>
            </w:pPr>
          </w:p>
        </w:tc>
        <w:tc>
          <w:tcPr>
            <w:tcW w:w="2618" w:type="dxa"/>
            <w:tcBorders>
              <w:top w:val="single" w:color="auto" w:sz="4" w:space="0"/>
              <w:left w:val="single" w:color="auto" w:sz="4" w:space="0"/>
              <w:bottom w:val="single" w:color="auto" w:sz="4" w:space="0"/>
              <w:right w:val="single" w:color="auto" w:sz="4" w:space="0"/>
            </w:tcBorders>
            <w:vAlign w:val="center"/>
          </w:tcPr>
          <w:p w14:paraId="72EFA0CE">
            <w:pPr>
              <w:jc w:val="center"/>
              <w:rPr>
                <w:rFonts w:hint="eastAsia" w:hAnsi="宋体" w:cs="宋体"/>
                <w:color w:val="auto"/>
                <w:sz w:val="21"/>
                <w:szCs w:val="21"/>
                <w:highlight w:val="none"/>
              </w:rPr>
            </w:pPr>
          </w:p>
        </w:tc>
      </w:tr>
    </w:tbl>
    <w:p w14:paraId="47A49D97">
      <w:pPr>
        <w:spacing w:line="360" w:lineRule="auto"/>
        <w:ind w:left="-140" w:leftChars="-50" w:firstLine="105" w:firstLineChars="50"/>
        <w:rPr>
          <w:rFonts w:hint="eastAsia" w:hAnsi="宋体" w:cs="宋体"/>
          <w:color w:val="auto"/>
          <w:sz w:val="21"/>
          <w:szCs w:val="21"/>
          <w:highlight w:val="none"/>
        </w:rPr>
      </w:pPr>
      <w:r>
        <w:rPr>
          <w:rFonts w:hint="eastAsia" w:hAnsi="宋体" w:cs="宋体"/>
          <w:color w:val="auto"/>
          <w:sz w:val="21"/>
          <w:szCs w:val="21"/>
          <w:highlight w:val="none"/>
        </w:rPr>
        <w:t>注： 1. 投标人应在本表中列出正在经营的及已完成同类或项目经验证明材料，如有虚假，一经查实将导致其投标被拒绝。</w:t>
      </w:r>
    </w:p>
    <w:p w14:paraId="2AA0748D">
      <w:pPr>
        <w:spacing w:line="360" w:lineRule="auto"/>
        <w:ind w:firstLine="504" w:firstLineChars="240"/>
        <w:rPr>
          <w:rFonts w:hint="eastAsia" w:hAnsi="宋体" w:cs="宋体"/>
          <w:color w:val="auto"/>
          <w:sz w:val="21"/>
          <w:szCs w:val="21"/>
          <w:highlight w:val="none"/>
        </w:rPr>
      </w:pPr>
      <w:r>
        <w:rPr>
          <w:rFonts w:hint="eastAsia" w:hAnsi="宋体" w:cs="宋体"/>
          <w:color w:val="auto"/>
          <w:sz w:val="21"/>
          <w:szCs w:val="21"/>
          <w:highlight w:val="none"/>
        </w:rPr>
        <w:t>2.项目概况包括：项目地址、项目规模、投入人力资源情况、项目负责人；</w:t>
      </w:r>
    </w:p>
    <w:p w14:paraId="64BADF6A">
      <w:pPr>
        <w:spacing w:line="360" w:lineRule="auto"/>
        <w:ind w:left="-87" w:leftChars="-31" w:firstLine="569" w:firstLineChars="271"/>
        <w:rPr>
          <w:rFonts w:hint="eastAsia" w:hAnsi="宋体" w:cs="宋体"/>
          <w:color w:val="auto"/>
          <w:sz w:val="21"/>
          <w:szCs w:val="21"/>
          <w:highlight w:val="none"/>
        </w:rPr>
      </w:pPr>
      <w:r>
        <w:rPr>
          <w:rFonts w:hint="eastAsia" w:hAnsi="宋体" w:cs="宋体"/>
          <w:color w:val="auto"/>
          <w:sz w:val="21"/>
          <w:szCs w:val="21"/>
          <w:highlight w:val="none"/>
        </w:rPr>
        <w:t>3.投标人应附合同和项目验收合格证明复印件为项目实施经验证明文件，证明文件缺漏的项目实施经验证明材料在评标时将不予考虑。</w:t>
      </w:r>
    </w:p>
    <w:p w14:paraId="7228763D">
      <w:pPr>
        <w:spacing w:line="440" w:lineRule="exact"/>
        <w:ind w:firstLine="1890" w:firstLineChars="900"/>
        <w:rPr>
          <w:rFonts w:hint="eastAsia" w:hAnsi="宋体" w:cs="宋体"/>
          <w:color w:val="auto"/>
          <w:sz w:val="21"/>
          <w:szCs w:val="21"/>
          <w:highlight w:val="none"/>
        </w:rPr>
      </w:pPr>
    </w:p>
    <w:p w14:paraId="6AB45907">
      <w:pPr>
        <w:spacing w:before="60" w:after="60" w:line="360" w:lineRule="auto"/>
        <w:rPr>
          <w:rFonts w:hint="eastAsia" w:hAnsi="宋体" w:cs="宋体"/>
          <w:color w:val="auto"/>
          <w:sz w:val="21"/>
          <w:szCs w:val="21"/>
          <w:highlight w:val="none"/>
        </w:rPr>
      </w:pPr>
      <w:r>
        <w:rPr>
          <w:rFonts w:hint="eastAsia" w:hAnsi="宋体" w:cs="宋体"/>
          <w:color w:val="auto"/>
          <w:sz w:val="21"/>
          <w:szCs w:val="21"/>
          <w:highlight w:val="none"/>
        </w:rPr>
        <w:t>投标人（盖单位公章）：______________</w:t>
      </w:r>
    </w:p>
    <w:p w14:paraId="24D256D4">
      <w:pPr>
        <w:spacing w:before="60" w:after="60" w:line="360" w:lineRule="auto"/>
        <w:rPr>
          <w:rFonts w:hint="eastAsia" w:hAnsi="宋体" w:cs="宋体"/>
          <w:color w:val="auto"/>
          <w:sz w:val="21"/>
          <w:szCs w:val="21"/>
          <w:highlight w:val="none"/>
        </w:rPr>
      </w:pPr>
      <w:r>
        <w:rPr>
          <w:rFonts w:hint="eastAsia" w:hAnsi="宋体" w:cs="宋体"/>
          <w:color w:val="auto"/>
          <w:sz w:val="21"/>
          <w:szCs w:val="21"/>
          <w:highlight w:val="none"/>
        </w:rPr>
        <w:t>法定代表人（负责人）或委托代理人（签字或盖章）：________</w:t>
      </w:r>
    </w:p>
    <w:p w14:paraId="57FFC780">
      <w:pPr>
        <w:spacing w:line="720" w:lineRule="exact"/>
        <w:rPr>
          <w:rFonts w:hint="eastAsia" w:hAnsi="宋体" w:cs="宋体"/>
          <w:color w:val="auto"/>
          <w:sz w:val="21"/>
          <w:szCs w:val="21"/>
          <w:highlight w:val="none"/>
          <w:u w:val="single"/>
        </w:rPr>
      </w:pPr>
      <w:r>
        <w:rPr>
          <w:rFonts w:hint="eastAsia" w:hAnsi="宋体" w:cs="宋体"/>
          <w:color w:val="auto"/>
          <w:sz w:val="21"/>
          <w:szCs w:val="21"/>
          <w:highlight w:val="none"/>
        </w:rPr>
        <w:t>日期：________年_____月_____日</w:t>
      </w:r>
    </w:p>
    <w:p w14:paraId="14524B05">
      <w:pPr>
        <w:rPr>
          <w:rFonts w:hint="eastAsia" w:hAnsi="宋体"/>
          <w:color w:val="auto"/>
          <w:szCs w:val="28"/>
          <w:highlight w:val="none"/>
        </w:rPr>
      </w:pPr>
      <w:r>
        <w:rPr>
          <w:rFonts w:hint="eastAsia" w:hAnsi="宋体"/>
          <w:color w:val="auto"/>
          <w:szCs w:val="28"/>
          <w:highlight w:val="none"/>
        </w:rPr>
        <w:br w:type="page"/>
      </w:r>
    </w:p>
    <w:p w14:paraId="1A946CB4">
      <w:pPr>
        <w:pStyle w:val="6"/>
        <w:jc w:val="center"/>
        <w:rPr>
          <w:color w:val="auto"/>
          <w:highlight w:val="none"/>
        </w:rPr>
      </w:pPr>
      <w:bookmarkStart w:id="98" w:name="_Toc28895"/>
      <w:r>
        <w:rPr>
          <w:rFonts w:hint="eastAsia"/>
          <w:color w:val="auto"/>
          <w:highlight w:val="none"/>
        </w:rPr>
        <w:t>（十一）投标保证书</w:t>
      </w:r>
      <w:bookmarkEnd w:id="98"/>
    </w:p>
    <w:p w14:paraId="3898D20E">
      <w:pPr>
        <w:spacing w:line="400" w:lineRule="exact"/>
        <w:rPr>
          <w:rFonts w:hint="eastAsia" w:hAnsi="宋体"/>
          <w:color w:val="auto"/>
          <w:sz w:val="24"/>
          <w:highlight w:val="none"/>
        </w:rPr>
      </w:pPr>
    </w:p>
    <w:p w14:paraId="4FDFA777">
      <w:pPr>
        <w:spacing w:after="120" w:line="480" w:lineRule="exact"/>
        <w:rPr>
          <w:rFonts w:hint="eastAsia" w:hAnsi="宋体"/>
          <w:b/>
          <w:color w:val="auto"/>
          <w:sz w:val="21"/>
          <w:szCs w:val="21"/>
          <w:highlight w:val="none"/>
        </w:rPr>
      </w:pPr>
      <w:r>
        <w:rPr>
          <w:rFonts w:hint="eastAsia" w:hAnsi="宋体"/>
          <w:b/>
          <w:color w:val="auto"/>
          <w:sz w:val="21"/>
          <w:szCs w:val="21"/>
          <w:highlight w:val="none"/>
        </w:rPr>
        <w:t>致：保山市商务局</w:t>
      </w:r>
    </w:p>
    <w:p w14:paraId="25985EF4">
      <w:pPr>
        <w:spacing w:line="460" w:lineRule="exact"/>
        <w:ind w:firstLine="510"/>
        <w:rPr>
          <w:rFonts w:hint="eastAsia" w:hAnsi="宋体"/>
          <w:color w:val="auto"/>
          <w:sz w:val="21"/>
          <w:szCs w:val="21"/>
          <w:highlight w:val="none"/>
        </w:rPr>
      </w:pPr>
      <w:r>
        <w:rPr>
          <w:rFonts w:hint="eastAsia" w:hAnsi="宋体"/>
          <w:color w:val="auto"/>
          <w:sz w:val="21"/>
          <w:szCs w:val="21"/>
          <w:highlight w:val="none"/>
        </w:rPr>
        <w:t>本书作为</w:t>
      </w:r>
      <w:r>
        <w:rPr>
          <w:rFonts w:hAnsi="宋体"/>
          <w:color w:val="auto"/>
          <w:sz w:val="21"/>
          <w:szCs w:val="21"/>
          <w:highlight w:val="none"/>
        </w:rPr>
        <w:t>____________</w:t>
      </w:r>
      <w:r>
        <w:rPr>
          <w:rFonts w:hint="eastAsia" w:hAnsi="宋体"/>
          <w:color w:val="auto"/>
          <w:sz w:val="21"/>
          <w:szCs w:val="21"/>
          <w:highlight w:val="none"/>
        </w:rPr>
        <w:t>（投标人）对</w:t>
      </w:r>
      <w:r>
        <w:rPr>
          <w:rFonts w:hint="eastAsia" w:hAnsi="宋体"/>
          <w:color w:val="auto"/>
          <w:sz w:val="21"/>
          <w:szCs w:val="21"/>
          <w:highlight w:val="none"/>
          <w:u w:val="single"/>
        </w:rPr>
        <w:t xml:space="preserve">   </w:t>
      </w:r>
      <w:r>
        <w:rPr>
          <w:rFonts w:hint="eastAsia" w:hAnsi="宋体" w:cs="宋体"/>
          <w:color w:val="auto"/>
          <w:sz w:val="21"/>
          <w:szCs w:val="21"/>
          <w:highlight w:val="none"/>
          <w:u w:val="single"/>
        </w:rPr>
        <w:t>（项目名称、项目编号）</w:t>
      </w:r>
      <w:r>
        <w:rPr>
          <w:rFonts w:hint="eastAsia" w:hAnsi="宋体"/>
          <w:color w:val="auto"/>
          <w:sz w:val="21"/>
          <w:szCs w:val="21"/>
          <w:highlight w:val="none"/>
          <w:u w:val="single"/>
        </w:rPr>
        <w:t xml:space="preserve">  提供</w:t>
      </w:r>
      <w:r>
        <w:rPr>
          <w:rFonts w:hint="eastAsia" w:hAnsi="宋体"/>
          <w:color w:val="auto"/>
          <w:sz w:val="21"/>
          <w:szCs w:val="21"/>
          <w:highlight w:val="none"/>
        </w:rPr>
        <w:t>投标保证金的保证。</w:t>
      </w:r>
    </w:p>
    <w:p w14:paraId="7C3A36A4">
      <w:pPr>
        <w:spacing w:line="460" w:lineRule="exact"/>
        <w:ind w:firstLine="510"/>
        <w:rPr>
          <w:rFonts w:hint="eastAsia" w:hAnsi="宋体"/>
          <w:color w:val="auto"/>
          <w:sz w:val="21"/>
          <w:szCs w:val="21"/>
          <w:highlight w:val="none"/>
        </w:rPr>
      </w:pPr>
      <w:r>
        <w:rPr>
          <w:rFonts w:hint="eastAsia" w:hAnsi="宋体"/>
          <w:color w:val="auto"/>
          <w:sz w:val="21"/>
          <w:szCs w:val="21"/>
          <w:highlight w:val="none"/>
        </w:rPr>
        <w:t>由</w:t>
      </w:r>
      <w:r>
        <w:rPr>
          <w:rFonts w:hAnsi="宋体"/>
          <w:color w:val="auto"/>
          <w:sz w:val="21"/>
          <w:szCs w:val="21"/>
          <w:highlight w:val="none"/>
        </w:rPr>
        <w:t>____________</w:t>
      </w:r>
      <w:r>
        <w:rPr>
          <w:rFonts w:hint="eastAsia" w:hAnsi="宋体"/>
          <w:color w:val="auto"/>
          <w:sz w:val="21"/>
          <w:szCs w:val="21"/>
          <w:highlight w:val="none"/>
        </w:rPr>
        <w:t>（开户银行名称或投标人名称）提供的</w:t>
      </w:r>
      <w:r>
        <w:rPr>
          <w:rFonts w:hAnsi="宋体"/>
          <w:color w:val="auto"/>
          <w:sz w:val="21"/>
          <w:szCs w:val="21"/>
          <w:highlight w:val="none"/>
        </w:rPr>
        <w:t>_______</w:t>
      </w:r>
      <w:r>
        <w:rPr>
          <w:rFonts w:hint="eastAsia" w:hAnsi="宋体"/>
          <w:color w:val="auto"/>
          <w:sz w:val="21"/>
          <w:szCs w:val="21"/>
          <w:highlight w:val="none"/>
        </w:rPr>
        <w:t>（填投标保证金形式）总额为</w:t>
      </w:r>
      <w:r>
        <w:rPr>
          <w:rFonts w:hAnsi="宋体"/>
          <w:color w:val="auto"/>
          <w:sz w:val="21"/>
          <w:szCs w:val="21"/>
          <w:highlight w:val="none"/>
        </w:rPr>
        <w:t>___________________</w:t>
      </w:r>
      <w:r>
        <w:rPr>
          <w:rFonts w:hint="eastAsia" w:hAnsi="宋体"/>
          <w:color w:val="auto"/>
          <w:sz w:val="21"/>
          <w:szCs w:val="21"/>
          <w:highlight w:val="none"/>
        </w:rPr>
        <w:t>（人民币·元）。</w:t>
      </w:r>
    </w:p>
    <w:p w14:paraId="53D3530E">
      <w:pPr>
        <w:spacing w:line="460" w:lineRule="exact"/>
        <w:ind w:firstLine="510"/>
        <w:rPr>
          <w:rFonts w:hint="eastAsia" w:hAnsi="宋体"/>
          <w:color w:val="auto"/>
          <w:sz w:val="21"/>
          <w:szCs w:val="21"/>
          <w:highlight w:val="none"/>
        </w:rPr>
      </w:pPr>
      <w:r>
        <w:rPr>
          <w:rFonts w:hint="eastAsia" w:hAnsi="宋体"/>
          <w:color w:val="auto"/>
          <w:sz w:val="21"/>
          <w:szCs w:val="21"/>
          <w:highlight w:val="none"/>
        </w:rPr>
        <w:t>一旦发生下述行为，我单位（或公司）将放弃追索保证金的权利：</w:t>
      </w:r>
    </w:p>
    <w:p w14:paraId="2A1A0CD1">
      <w:pPr>
        <w:spacing w:line="480" w:lineRule="exact"/>
        <w:ind w:firstLine="420" w:firstLineChars="200"/>
        <w:rPr>
          <w:rFonts w:hint="eastAsia" w:hAnsi="宋体"/>
          <w:color w:val="auto"/>
          <w:sz w:val="21"/>
          <w:szCs w:val="21"/>
          <w:highlight w:val="none"/>
        </w:rPr>
      </w:pPr>
      <w:r>
        <w:rPr>
          <w:rFonts w:hint="eastAsia" w:hAnsi="宋体"/>
          <w:color w:val="auto"/>
          <w:sz w:val="21"/>
          <w:szCs w:val="21"/>
          <w:highlight w:val="none"/>
        </w:rPr>
        <w:t>（1）投标截止时间后，撤销投标书的；</w:t>
      </w:r>
    </w:p>
    <w:p w14:paraId="60F96753">
      <w:pPr>
        <w:autoSpaceDE w:val="0"/>
        <w:autoSpaceDN w:val="0"/>
        <w:adjustRightInd w:val="0"/>
        <w:spacing w:line="480" w:lineRule="exact"/>
        <w:ind w:firstLine="420" w:firstLineChars="200"/>
        <w:rPr>
          <w:rFonts w:hint="eastAsia" w:hAnsi="宋体"/>
          <w:color w:val="auto"/>
          <w:sz w:val="21"/>
          <w:szCs w:val="21"/>
          <w:highlight w:val="none"/>
        </w:rPr>
      </w:pPr>
      <w:r>
        <w:rPr>
          <w:rFonts w:hint="eastAsia" w:hAnsi="宋体"/>
          <w:color w:val="auto"/>
          <w:sz w:val="21"/>
          <w:szCs w:val="21"/>
          <w:highlight w:val="none"/>
        </w:rPr>
        <w:t>（2）提供虚假材料谋取中标的；</w:t>
      </w:r>
    </w:p>
    <w:p w14:paraId="39D51DAB">
      <w:pPr>
        <w:autoSpaceDE w:val="0"/>
        <w:autoSpaceDN w:val="0"/>
        <w:adjustRightInd w:val="0"/>
        <w:spacing w:line="480" w:lineRule="exact"/>
        <w:ind w:firstLine="420" w:firstLineChars="200"/>
        <w:rPr>
          <w:rFonts w:hint="eastAsia" w:hAnsi="宋体"/>
          <w:color w:val="auto"/>
          <w:sz w:val="21"/>
          <w:szCs w:val="21"/>
          <w:highlight w:val="none"/>
        </w:rPr>
      </w:pPr>
      <w:r>
        <w:rPr>
          <w:rFonts w:hint="eastAsia" w:hAnsi="宋体"/>
          <w:color w:val="auto"/>
          <w:sz w:val="21"/>
          <w:szCs w:val="21"/>
          <w:highlight w:val="none"/>
        </w:rPr>
        <w:t>（3）有围标、串标行为的；</w:t>
      </w:r>
    </w:p>
    <w:p w14:paraId="4D0F4140">
      <w:pPr>
        <w:autoSpaceDE w:val="0"/>
        <w:autoSpaceDN w:val="0"/>
        <w:adjustRightInd w:val="0"/>
        <w:spacing w:line="480" w:lineRule="exact"/>
        <w:ind w:firstLine="420" w:firstLineChars="200"/>
        <w:rPr>
          <w:rFonts w:hint="eastAsia" w:hAnsi="宋体"/>
          <w:color w:val="auto"/>
          <w:sz w:val="21"/>
          <w:szCs w:val="21"/>
          <w:highlight w:val="none"/>
        </w:rPr>
      </w:pPr>
      <w:r>
        <w:rPr>
          <w:rFonts w:hint="eastAsia" w:hAnsi="宋体"/>
          <w:color w:val="auto"/>
          <w:sz w:val="21"/>
          <w:szCs w:val="21"/>
          <w:highlight w:val="none"/>
        </w:rPr>
        <w:t>（4）无正当理由不与采购人订立合同，在签订合同时向采购人提出附加条件，或者不按照招标文件要求提交履约保证金的；</w:t>
      </w:r>
    </w:p>
    <w:p w14:paraId="2BE034AC">
      <w:pPr>
        <w:autoSpaceDE w:val="0"/>
        <w:autoSpaceDN w:val="0"/>
        <w:adjustRightInd w:val="0"/>
        <w:spacing w:line="480" w:lineRule="exact"/>
        <w:ind w:firstLine="420" w:firstLineChars="200"/>
        <w:rPr>
          <w:rFonts w:hint="eastAsia" w:hAnsi="宋体"/>
          <w:color w:val="auto"/>
          <w:sz w:val="21"/>
          <w:szCs w:val="21"/>
          <w:highlight w:val="none"/>
        </w:rPr>
      </w:pPr>
      <w:r>
        <w:rPr>
          <w:rFonts w:hint="eastAsia" w:hAnsi="宋体"/>
          <w:color w:val="auto"/>
          <w:sz w:val="21"/>
          <w:szCs w:val="21"/>
          <w:highlight w:val="none"/>
        </w:rPr>
        <w:t>(5) 国家法律法规及招标文件规定的其他情形。</w:t>
      </w:r>
    </w:p>
    <w:p w14:paraId="7FA29563">
      <w:pPr>
        <w:spacing w:line="460" w:lineRule="exact"/>
        <w:ind w:firstLine="510"/>
        <w:rPr>
          <w:rFonts w:hint="eastAsia" w:hAnsi="宋体"/>
          <w:color w:val="auto"/>
          <w:sz w:val="21"/>
          <w:szCs w:val="21"/>
          <w:highlight w:val="none"/>
        </w:rPr>
      </w:pPr>
      <w:r>
        <w:rPr>
          <w:rFonts w:hint="eastAsia" w:hAnsi="宋体"/>
          <w:color w:val="auto"/>
          <w:sz w:val="21"/>
          <w:szCs w:val="21"/>
          <w:highlight w:val="none"/>
        </w:rPr>
        <w:t>本保证书自开标日起90日有效，除非贵方提前终止或解除本保证书。</w:t>
      </w:r>
    </w:p>
    <w:p w14:paraId="1D198960">
      <w:pPr>
        <w:spacing w:before="60" w:after="60" w:line="500" w:lineRule="exact"/>
        <w:rPr>
          <w:rFonts w:hint="eastAsia" w:hAnsi="宋体"/>
          <w:color w:val="auto"/>
          <w:sz w:val="21"/>
          <w:szCs w:val="21"/>
          <w:highlight w:val="none"/>
        </w:rPr>
      </w:pPr>
    </w:p>
    <w:p w14:paraId="5DAABF02">
      <w:pPr>
        <w:spacing w:before="60" w:after="60" w:line="640" w:lineRule="exact"/>
        <w:ind w:firstLine="510"/>
        <w:rPr>
          <w:rFonts w:hint="eastAsia" w:hAnsi="宋体"/>
          <w:color w:val="auto"/>
          <w:sz w:val="21"/>
          <w:szCs w:val="21"/>
          <w:highlight w:val="none"/>
          <w:u w:val="single"/>
        </w:rPr>
      </w:pPr>
      <w:r>
        <w:rPr>
          <w:rFonts w:hint="eastAsia" w:hAnsi="宋体"/>
          <w:color w:val="auto"/>
          <w:sz w:val="21"/>
          <w:szCs w:val="21"/>
          <w:highlight w:val="none"/>
        </w:rPr>
        <w:t>投标人（加盖单位章）：</w:t>
      </w:r>
      <w:r>
        <w:rPr>
          <w:rFonts w:hint="eastAsia" w:hAnsi="宋体"/>
          <w:color w:val="auto"/>
          <w:sz w:val="21"/>
          <w:szCs w:val="21"/>
          <w:highlight w:val="none"/>
          <w:u w:val="single"/>
        </w:rPr>
        <w:t xml:space="preserve">               </w:t>
      </w:r>
    </w:p>
    <w:p w14:paraId="0D5FCEFA">
      <w:pPr>
        <w:spacing w:before="60" w:after="60" w:line="640" w:lineRule="exact"/>
        <w:ind w:firstLine="510"/>
        <w:rPr>
          <w:rFonts w:hint="eastAsia" w:hAnsi="宋体"/>
          <w:color w:val="auto"/>
          <w:sz w:val="21"/>
          <w:szCs w:val="21"/>
          <w:highlight w:val="none"/>
          <w:u w:val="single"/>
        </w:rPr>
      </w:pPr>
      <w:r>
        <w:rPr>
          <w:rFonts w:hint="eastAsia" w:hAnsi="宋体"/>
          <w:color w:val="auto"/>
          <w:sz w:val="21"/>
          <w:szCs w:val="21"/>
          <w:highlight w:val="none"/>
        </w:rPr>
        <w:t>法定代表人（负责人）或委托代理人（签字或盖章）：</w:t>
      </w:r>
      <w:r>
        <w:rPr>
          <w:rFonts w:hint="eastAsia" w:hAnsi="宋体"/>
          <w:color w:val="auto"/>
          <w:sz w:val="21"/>
          <w:szCs w:val="21"/>
          <w:highlight w:val="none"/>
          <w:u w:val="single"/>
        </w:rPr>
        <w:t xml:space="preserve">                </w:t>
      </w:r>
    </w:p>
    <w:p w14:paraId="02FF6C75">
      <w:pPr>
        <w:spacing w:before="60" w:after="60" w:line="640" w:lineRule="exact"/>
        <w:ind w:firstLine="510"/>
        <w:rPr>
          <w:rFonts w:hint="eastAsia" w:hAnsi="宋体"/>
          <w:color w:val="auto"/>
          <w:sz w:val="21"/>
          <w:szCs w:val="21"/>
          <w:highlight w:val="none"/>
          <w:u w:val="single"/>
        </w:rPr>
      </w:pPr>
      <w:r>
        <w:rPr>
          <w:rFonts w:hint="eastAsia" w:hAnsi="宋体"/>
          <w:color w:val="auto"/>
          <w:sz w:val="21"/>
          <w:szCs w:val="21"/>
          <w:highlight w:val="none"/>
        </w:rPr>
        <w:t>开户银行：</w:t>
      </w:r>
      <w:r>
        <w:rPr>
          <w:rFonts w:hint="eastAsia" w:hAnsi="宋体"/>
          <w:color w:val="auto"/>
          <w:sz w:val="21"/>
          <w:szCs w:val="21"/>
          <w:highlight w:val="none"/>
          <w:u w:val="single"/>
        </w:rPr>
        <w:t xml:space="preserve">                </w:t>
      </w:r>
    </w:p>
    <w:p w14:paraId="06304E39">
      <w:pPr>
        <w:spacing w:before="60" w:after="60" w:line="640" w:lineRule="exact"/>
        <w:ind w:firstLine="510"/>
        <w:rPr>
          <w:rFonts w:hint="eastAsia" w:hAnsi="宋体"/>
          <w:color w:val="auto"/>
          <w:sz w:val="21"/>
          <w:szCs w:val="21"/>
          <w:highlight w:val="none"/>
          <w:u w:val="single"/>
        </w:rPr>
      </w:pPr>
      <w:r>
        <w:rPr>
          <w:rFonts w:hint="eastAsia" w:hAnsi="宋体"/>
          <w:color w:val="auto"/>
          <w:sz w:val="21"/>
          <w:szCs w:val="21"/>
          <w:highlight w:val="none"/>
        </w:rPr>
        <w:t>账 号：</w:t>
      </w:r>
      <w:r>
        <w:rPr>
          <w:rFonts w:hint="eastAsia" w:hAnsi="宋体"/>
          <w:color w:val="auto"/>
          <w:sz w:val="21"/>
          <w:szCs w:val="21"/>
          <w:highlight w:val="none"/>
          <w:u w:val="single"/>
        </w:rPr>
        <w:t xml:space="preserve">                </w:t>
      </w:r>
    </w:p>
    <w:p w14:paraId="36477075">
      <w:pPr>
        <w:spacing w:before="60" w:after="60" w:line="640" w:lineRule="exact"/>
        <w:ind w:firstLine="510"/>
        <w:rPr>
          <w:rFonts w:hint="eastAsia" w:hAnsi="宋体"/>
          <w:color w:val="auto"/>
          <w:sz w:val="24"/>
          <w:highlight w:val="none"/>
        </w:rPr>
      </w:pPr>
      <w:r>
        <w:rPr>
          <w:rFonts w:hint="eastAsia" w:hAnsi="宋体"/>
          <w:color w:val="auto"/>
          <w:sz w:val="21"/>
          <w:szCs w:val="21"/>
          <w:highlight w:val="none"/>
        </w:rPr>
        <w:t>日 期：   年   月   日</w:t>
      </w:r>
    </w:p>
    <w:p w14:paraId="59D8402C">
      <w:pPr>
        <w:spacing w:before="60" w:after="60" w:line="640" w:lineRule="exact"/>
        <w:ind w:firstLine="510"/>
        <w:rPr>
          <w:rFonts w:hint="eastAsia" w:hAnsi="宋体"/>
          <w:color w:val="auto"/>
          <w:sz w:val="24"/>
          <w:highlight w:val="none"/>
        </w:rPr>
      </w:pPr>
    </w:p>
    <w:p w14:paraId="6C49E71C">
      <w:pPr>
        <w:autoSpaceDE w:val="0"/>
        <w:autoSpaceDN w:val="0"/>
        <w:spacing w:line="360" w:lineRule="auto"/>
        <w:jc w:val="center"/>
        <w:rPr>
          <w:rFonts w:hint="eastAsia" w:hAnsi="宋体"/>
          <w:b/>
          <w:bCs/>
          <w:color w:val="auto"/>
          <w:sz w:val="22"/>
          <w:szCs w:val="22"/>
          <w:highlight w:val="none"/>
          <w:lang w:val="zh-CN"/>
        </w:rPr>
      </w:pPr>
      <w:r>
        <w:rPr>
          <w:rFonts w:hAnsi="宋体"/>
          <w:color w:val="auto"/>
          <w:sz w:val="24"/>
          <w:highlight w:val="none"/>
        </w:rPr>
        <w:br w:type="page"/>
      </w:r>
      <w:r>
        <w:rPr>
          <w:rFonts w:hint="eastAsia" w:hAnsi="宋体"/>
          <w:b/>
          <w:bCs/>
          <w:color w:val="auto"/>
          <w:sz w:val="22"/>
          <w:szCs w:val="22"/>
          <w:highlight w:val="none"/>
          <w:lang w:val="zh-CN"/>
        </w:rPr>
        <w:t>投标保证金缴纳凭证</w:t>
      </w:r>
    </w:p>
    <w:tbl>
      <w:tblPr>
        <w:tblStyle w:val="39"/>
        <w:tblW w:w="86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70"/>
      </w:tblGrid>
      <w:tr w14:paraId="4115F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5" w:hRule="atLeast"/>
          <w:jc w:val="center"/>
        </w:trPr>
        <w:tc>
          <w:tcPr>
            <w:tcW w:w="8670" w:type="dxa"/>
            <w:vAlign w:val="center"/>
          </w:tcPr>
          <w:p w14:paraId="16663CF8">
            <w:pPr>
              <w:autoSpaceDE w:val="0"/>
              <w:autoSpaceDN w:val="0"/>
              <w:spacing w:line="360" w:lineRule="auto"/>
              <w:jc w:val="center"/>
              <w:rPr>
                <w:rFonts w:hint="eastAsia" w:hAnsi="宋体"/>
                <w:color w:val="auto"/>
                <w:sz w:val="21"/>
                <w:szCs w:val="21"/>
                <w:highlight w:val="none"/>
                <w:lang w:val="zh-CN"/>
              </w:rPr>
            </w:pPr>
            <w:r>
              <w:rPr>
                <w:rFonts w:hAnsi="宋体"/>
                <w:color w:val="auto"/>
                <w:sz w:val="21"/>
                <w:szCs w:val="21"/>
                <w:highlight w:val="none"/>
                <w:lang w:val="zh-CN"/>
              </w:rPr>
              <w:t>（复印件粘贴处）</w:t>
            </w:r>
          </w:p>
        </w:tc>
      </w:tr>
    </w:tbl>
    <w:p w14:paraId="1CD076FA">
      <w:pPr>
        <w:widowControl/>
        <w:jc w:val="left"/>
        <w:rPr>
          <w:rFonts w:hint="eastAsia" w:hAnsi="宋体"/>
          <w:color w:val="auto"/>
          <w:sz w:val="24"/>
          <w:highlight w:val="none"/>
        </w:rPr>
      </w:pPr>
      <w:r>
        <w:rPr>
          <w:rFonts w:hAnsi="宋体"/>
          <w:color w:val="auto"/>
          <w:sz w:val="24"/>
          <w:highlight w:val="none"/>
        </w:rPr>
        <w:br w:type="page"/>
      </w:r>
    </w:p>
    <w:p w14:paraId="1BD7423F">
      <w:pPr>
        <w:pStyle w:val="6"/>
        <w:jc w:val="center"/>
        <w:rPr>
          <w:color w:val="auto"/>
          <w:highlight w:val="none"/>
        </w:rPr>
      </w:pPr>
      <w:bookmarkStart w:id="99" w:name="_Toc16521"/>
      <w:r>
        <w:rPr>
          <w:rFonts w:hint="eastAsia"/>
          <w:color w:val="auto"/>
          <w:highlight w:val="none"/>
        </w:rPr>
        <w:t>（十二）投标人认为需要提供的其他技术文件</w:t>
      </w:r>
      <w:bookmarkEnd w:id="99"/>
    </w:p>
    <w:p w14:paraId="30A3B4CF">
      <w:pPr>
        <w:pStyle w:val="7"/>
        <w:numPr>
          <w:ilvl w:val="0"/>
          <w:numId w:val="0"/>
        </w:numPr>
        <w:spacing w:before="0" w:after="0" w:line="480" w:lineRule="exact"/>
        <w:rPr>
          <w:rFonts w:hint="eastAsia" w:ascii="宋体" w:hAnsi="宋体"/>
          <w:bCs/>
          <w:color w:val="auto"/>
          <w:sz w:val="44"/>
          <w:szCs w:val="44"/>
          <w:highlight w:val="none"/>
        </w:rPr>
      </w:pPr>
      <w:r>
        <w:rPr>
          <w:rFonts w:hAnsi="宋体"/>
          <w:color w:val="auto"/>
          <w:sz w:val="24"/>
          <w:highlight w:val="none"/>
        </w:rPr>
        <w:br w:type="page"/>
      </w:r>
    </w:p>
    <w:p w14:paraId="3E03685A">
      <w:pPr>
        <w:pStyle w:val="6"/>
        <w:spacing w:line="360" w:lineRule="auto"/>
        <w:jc w:val="center"/>
        <w:rPr>
          <w:rFonts w:hint="eastAsia" w:ascii="宋体" w:hAnsi="宋体" w:eastAsia="宋体"/>
          <w:bCs w:val="0"/>
          <w:color w:val="auto"/>
          <w:sz w:val="44"/>
          <w:szCs w:val="44"/>
          <w:highlight w:val="none"/>
        </w:rPr>
      </w:pPr>
      <w:bookmarkStart w:id="100" w:name="_Toc11913"/>
      <w:r>
        <w:rPr>
          <w:rFonts w:hint="eastAsia" w:ascii="宋体" w:hAnsi="宋体" w:eastAsia="宋体"/>
          <w:bCs w:val="0"/>
          <w:color w:val="auto"/>
          <w:sz w:val="44"/>
          <w:szCs w:val="44"/>
          <w:highlight w:val="none"/>
        </w:rPr>
        <w:t>第六章   项目技术标准和要求</w:t>
      </w:r>
      <w:bookmarkEnd w:id="100"/>
    </w:p>
    <w:p w14:paraId="332E21A6">
      <w:pPr>
        <w:pStyle w:val="7"/>
        <w:numPr>
          <w:ilvl w:val="0"/>
          <w:numId w:val="0"/>
        </w:numPr>
        <w:spacing w:before="0" w:after="0" w:line="480" w:lineRule="exact"/>
        <w:rPr>
          <w:rFonts w:hint="eastAsia" w:hAnsi="宋体"/>
          <w:color w:val="auto"/>
          <w:sz w:val="28"/>
          <w:szCs w:val="28"/>
          <w:highlight w:val="none"/>
        </w:rPr>
      </w:pPr>
    </w:p>
    <w:p w14:paraId="05959BE9">
      <w:pPr>
        <w:numPr>
          <w:ilvl w:val="0"/>
          <w:numId w:val="0"/>
        </w:numPr>
        <w:spacing w:line="500" w:lineRule="exact"/>
        <w:rPr>
          <w:rFonts w:hint="eastAsia" w:hAnsi="宋体" w:cs="宋体"/>
          <w:b/>
          <w:color w:val="auto"/>
          <w:sz w:val="21"/>
          <w:szCs w:val="21"/>
          <w:highlight w:val="none"/>
        </w:rPr>
      </w:pPr>
      <w:r>
        <w:rPr>
          <w:rFonts w:hint="eastAsia" w:hAnsi="宋体" w:cs="宋体"/>
          <w:b/>
          <w:color w:val="auto"/>
          <w:sz w:val="21"/>
          <w:szCs w:val="21"/>
          <w:highlight w:val="none"/>
          <w:lang w:val="en-US" w:eastAsia="zh-CN"/>
        </w:rPr>
        <w:t>一、</w:t>
      </w:r>
      <w:r>
        <w:rPr>
          <w:rFonts w:hint="eastAsia" w:hAnsi="宋体" w:cs="宋体"/>
          <w:b/>
          <w:color w:val="auto"/>
          <w:sz w:val="21"/>
          <w:szCs w:val="21"/>
          <w:highlight w:val="none"/>
        </w:rPr>
        <w:t>项目概况</w:t>
      </w:r>
    </w:p>
    <w:p w14:paraId="03E556B6">
      <w:pPr>
        <w:widowControl/>
        <w:spacing w:line="460" w:lineRule="exact"/>
        <w:ind w:firstLine="424" w:firstLineChars="202"/>
        <w:rPr>
          <w:rFonts w:hint="eastAsia" w:cs="宋体"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t>1.项目编号：</w:t>
      </w:r>
      <w:r>
        <w:rPr>
          <w:rFonts w:hint="eastAsia" w:cs="宋体" w:asciiTheme="minorEastAsia" w:hAnsiTheme="minorEastAsia" w:eastAsiaTheme="minorEastAsia"/>
          <w:color w:val="auto"/>
          <w:sz w:val="21"/>
          <w:szCs w:val="21"/>
          <w:highlight w:val="none"/>
        </w:rPr>
        <w:t>TRZBC2024-81（</w:t>
      </w:r>
      <w:r>
        <w:rPr>
          <w:rFonts w:hint="eastAsia" w:cs="宋体" w:asciiTheme="minorEastAsia" w:hAnsiTheme="minorEastAsia" w:eastAsiaTheme="minorEastAsia"/>
          <w:color w:val="auto"/>
          <w:sz w:val="21"/>
          <w:szCs w:val="21"/>
          <w:highlight w:val="none"/>
          <w:lang w:eastAsia="zh-CN"/>
        </w:rPr>
        <w:t>政采云项目编号：BSZC2024-G3-00502-BSST-0032</w:t>
      </w:r>
      <w:r>
        <w:rPr>
          <w:rFonts w:hint="eastAsia" w:cs="宋体" w:asciiTheme="minorEastAsia" w:hAnsiTheme="minorEastAsia" w:eastAsiaTheme="minorEastAsia"/>
          <w:color w:val="auto"/>
          <w:sz w:val="21"/>
          <w:szCs w:val="21"/>
          <w:highlight w:val="none"/>
        </w:rPr>
        <w:t>）</w:t>
      </w:r>
    </w:p>
    <w:p w14:paraId="4BF1403B">
      <w:pPr>
        <w:widowControl/>
        <w:spacing w:line="460" w:lineRule="exact"/>
        <w:ind w:firstLine="424" w:firstLineChars="202"/>
        <w:rPr>
          <w:rFonts w:hint="eastAsia" w:cs="宋体"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t>2.项目名称：</w:t>
      </w:r>
      <w:r>
        <w:rPr>
          <w:rFonts w:hint="eastAsia" w:cs="宋体" w:asciiTheme="minorEastAsia" w:hAnsiTheme="minorEastAsia" w:eastAsiaTheme="minorEastAsia"/>
          <w:color w:val="auto"/>
          <w:sz w:val="21"/>
          <w:szCs w:val="21"/>
          <w:highlight w:val="none"/>
        </w:rPr>
        <w:t>保山市加油站流量数据采集系统建设安装项目</w:t>
      </w:r>
    </w:p>
    <w:p w14:paraId="5E1C9341">
      <w:pPr>
        <w:widowControl/>
        <w:spacing w:line="4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3.预算金额：¥4340000.00元。</w:t>
      </w:r>
    </w:p>
    <w:p w14:paraId="58A0CB88">
      <w:pPr>
        <w:widowControl/>
        <w:spacing w:line="4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4.最高限价：¥4340000.00元。</w:t>
      </w:r>
    </w:p>
    <w:p w14:paraId="1AB7E14E">
      <w:pPr>
        <w:widowControl/>
        <w:spacing w:line="4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5.采购需求：</w:t>
      </w:r>
    </w:p>
    <w:p w14:paraId="4E36C883">
      <w:pPr>
        <w:widowControl/>
        <w:spacing w:line="4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5.1采购内容：搭建和部署安装加油站流量数据采集系统（纯软件式智能数据采集方式，不在加油机上加装任何硬件设备），完成加油站流量数据采集系统与采购人指定相关信息系统和平台进行数据对接（含接口开发），开展加油站流量数据采集系统部署建设和优化调整、系统集成调试和适配，部署安装完成后开展试运行和检验验收，项目技术支持和培训指导，售后运维服务（在售后运维服务期限内根据政策和项目实际情况对系统进行免费升级、漏洞修复、系统运行维护等）。</w:t>
      </w:r>
    </w:p>
    <w:p w14:paraId="5D29C7CC">
      <w:pPr>
        <w:widowControl/>
        <w:spacing w:line="4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5.2项目服务地点：保山市商务局指定地点。</w:t>
      </w:r>
    </w:p>
    <w:p w14:paraId="720AC128">
      <w:pPr>
        <w:widowControl/>
        <w:spacing w:line="4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5.3标段划分：本项目共划分为1个标段，拟参与投标的投标人必须整体投标不得拆分。</w:t>
      </w:r>
    </w:p>
    <w:p w14:paraId="15D5D2F4">
      <w:pPr>
        <w:widowControl/>
        <w:spacing w:line="4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5.4投标报价要求：参与本项目的投标人应按要求填报此项目投标总价报价，投标报价须包含项目实施过程中发生的软件系统的采购费，软件系统搭建部署（含软件运行环境建设）和安装费，按照采购人要求对软件系统进行优化调整费，新建系统与采购人指定相关信息系统和平台进行数据对接（含系统接口开发）费、整体软件系统调试和适配服务费，项目试运行、检验验收费，技术支持服务、技术培训及售后运维服务等全部相关费用以及保证项目顺利开展的所有费用。</w:t>
      </w:r>
    </w:p>
    <w:p w14:paraId="7C28B27C">
      <w:pPr>
        <w:widowControl/>
        <w:spacing w:line="4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5.5付款方式：采购人与中标人合同约定。</w:t>
      </w:r>
    </w:p>
    <w:p w14:paraId="18F6D385">
      <w:pPr>
        <w:widowControl/>
        <w:spacing w:line="4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6.合同履行期限：合同签订后1个月内完成全部建设任务工作并达到初步验收标准，并根据项目初检的要求开展相应的软件系统优化整改直至完全达标通过最终验收。项目验收合格后提供不少于1年的免费售后运维服务。</w:t>
      </w:r>
    </w:p>
    <w:p w14:paraId="7840D378">
      <w:pPr>
        <w:tabs>
          <w:tab w:val="left" w:pos="900"/>
          <w:tab w:val="left" w:pos="1800"/>
        </w:tabs>
        <w:snapToGrid w:val="0"/>
        <w:spacing w:line="520" w:lineRule="exact"/>
        <w:ind w:firstLine="420" w:firstLineChars="200"/>
        <w:rPr>
          <w:rFonts w:hint="eastAsia" w:hAnsi="宋体"/>
          <w:color w:val="auto"/>
          <w:sz w:val="24"/>
          <w:szCs w:val="24"/>
          <w:highlight w:val="none"/>
        </w:rPr>
      </w:pPr>
      <w:r>
        <w:rPr>
          <w:rFonts w:hint="eastAsia" w:cs="宋体" w:asciiTheme="minorEastAsia" w:hAnsiTheme="minorEastAsia" w:eastAsiaTheme="minorEastAsia"/>
          <w:color w:val="auto"/>
          <w:sz w:val="21"/>
          <w:szCs w:val="21"/>
          <w:highlight w:val="none"/>
        </w:rPr>
        <w:t>7</w:t>
      </w:r>
      <w:r>
        <w:rPr>
          <w:rFonts w:cs="宋体" w:asciiTheme="minorEastAsia" w:hAnsiTheme="minorEastAsia" w:eastAsiaTheme="minorEastAsia"/>
          <w:color w:val="auto"/>
          <w:sz w:val="21"/>
          <w:szCs w:val="21"/>
          <w:highlight w:val="none"/>
        </w:rPr>
        <w:t>.本项目不接受联合体</w:t>
      </w:r>
      <w:r>
        <w:rPr>
          <w:rFonts w:hint="eastAsia" w:cs="宋体" w:asciiTheme="minorEastAsia" w:hAnsiTheme="minorEastAsia" w:eastAsiaTheme="minorEastAsia"/>
          <w:color w:val="auto"/>
          <w:sz w:val="21"/>
          <w:szCs w:val="21"/>
          <w:highlight w:val="none"/>
        </w:rPr>
        <w:t>投标</w:t>
      </w:r>
      <w:r>
        <w:rPr>
          <w:rFonts w:cs="宋体" w:asciiTheme="minorEastAsia" w:hAnsiTheme="minorEastAsia" w:eastAsiaTheme="minorEastAsia"/>
          <w:color w:val="auto"/>
          <w:sz w:val="21"/>
          <w:szCs w:val="21"/>
          <w:highlight w:val="none"/>
        </w:rPr>
        <w:t>。</w:t>
      </w:r>
    </w:p>
    <w:p w14:paraId="44E5726E">
      <w:pPr>
        <w:spacing w:line="460" w:lineRule="exact"/>
        <w:ind w:firstLine="561" w:firstLineChars="266"/>
        <w:rPr>
          <w:rFonts w:hint="eastAsia" w:hAnsi="宋体" w:cs="宋体"/>
          <w:b/>
          <w:color w:val="auto"/>
          <w:sz w:val="21"/>
          <w:szCs w:val="21"/>
          <w:highlight w:val="none"/>
        </w:rPr>
      </w:pPr>
      <w:r>
        <w:rPr>
          <w:rFonts w:hint="eastAsia" w:hAnsi="宋体" w:cs="宋体"/>
          <w:b/>
          <w:color w:val="auto"/>
          <w:sz w:val="21"/>
          <w:szCs w:val="21"/>
          <w:highlight w:val="none"/>
        </w:rPr>
        <w:t>二、项目采购需求</w:t>
      </w:r>
    </w:p>
    <w:p w14:paraId="5DFE9189">
      <w:pPr>
        <w:spacing w:line="460" w:lineRule="exact"/>
        <w:ind w:firstLine="561" w:firstLineChars="266"/>
        <w:rPr>
          <w:rFonts w:hint="eastAsia" w:hAnsi="宋体" w:cs="宋体"/>
          <w:b/>
          <w:color w:val="auto"/>
          <w:sz w:val="21"/>
          <w:szCs w:val="21"/>
          <w:highlight w:val="none"/>
        </w:rPr>
      </w:pPr>
      <w:r>
        <w:rPr>
          <w:rFonts w:hint="eastAsia" w:hAnsi="宋体" w:cs="宋体"/>
          <w:b/>
          <w:color w:val="auto"/>
          <w:sz w:val="21"/>
          <w:szCs w:val="21"/>
          <w:highlight w:val="none"/>
        </w:rPr>
        <w:t>（一）项目建设背景</w:t>
      </w:r>
    </w:p>
    <w:p w14:paraId="67EDF958">
      <w:pPr>
        <w:widowControl/>
        <w:spacing w:line="460" w:lineRule="exact"/>
        <w:ind w:firstLine="558" w:firstLineChars="266"/>
        <w:rPr>
          <w:rFonts w:hint="eastAsia" w:hAnsi="宋体" w:cs="宋体"/>
          <w:color w:val="auto"/>
          <w:sz w:val="21"/>
          <w:szCs w:val="21"/>
          <w:highlight w:val="none"/>
        </w:rPr>
      </w:pPr>
      <w:r>
        <w:rPr>
          <w:rFonts w:hint="eastAsia" w:hAnsi="宋体" w:cs="宋体"/>
          <w:color w:val="auto"/>
          <w:sz w:val="21"/>
          <w:szCs w:val="21"/>
          <w:highlight w:val="none"/>
        </w:rPr>
        <w:t>为进一步规范全市成品油零售市场监管、营造公平竞争的市场环境，切实加强成品油行业安全管理，根据市人民政府工作部署，决定建设“加油站流量数据采集系统”，充分利用技术手段有效保护消费者合法权益。按照“全市统一推进、属地协调配合”的原则，运用大数据、物联网等信息化技术手段，立足全市加油站管理现状，在全市所有在营加油站安装“数据采集系统”从而实现全市成品油购、销、存数据采集、管理、使用和平台展示等，为商务、市场监管、应急、公安、税务等部门提供更加精准的监管数据和更加有效的监管手段，营造公平有序的成品油市场环境。</w:t>
      </w:r>
    </w:p>
    <w:p w14:paraId="25CC198D">
      <w:pPr>
        <w:spacing w:line="460" w:lineRule="exact"/>
        <w:ind w:firstLine="561" w:firstLineChars="266"/>
        <w:rPr>
          <w:rFonts w:hint="eastAsia" w:hAnsi="宋体" w:cs="宋体"/>
          <w:b/>
          <w:color w:val="auto"/>
          <w:sz w:val="21"/>
          <w:szCs w:val="21"/>
          <w:highlight w:val="none"/>
        </w:rPr>
      </w:pPr>
      <w:r>
        <w:rPr>
          <w:rFonts w:hint="eastAsia" w:hAnsi="宋体" w:cs="宋体"/>
          <w:b/>
          <w:color w:val="auto"/>
          <w:sz w:val="21"/>
          <w:szCs w:val="21"/>
          <w:highlight w:val="none"/>
        </w:rPr>
        <w:t>（二）加油站流量数据采集系统建设需求</w:t>
      </w:r>
    </w:p>
    <w:p w14:paraId="3992C268">
      <w:pPr>
        <w:widowControl/>
        <w:spacing w:line="460" w:lineRule="exact"/>
        <w:ind w:firstLine="558" w:firstLineChars="266"/>
        <w:rPr>
          <w:rFonts w:hint="eastAsia" w:hAnsi="宋体" w:cs="宋体"/>
          <w:color w:val="auto"/>
          <w:sz w:val="21"/>
          <w:szCs w:val="21"/>
          <w:highlight w:val="none"/>
        </w:rPr>
      </w:pPr>
      <w:r>
        <w:rPr>
          <w:rFonts w:hint="eastAsia" w:hAnsi="宋体" w:cs="宋体"/>
          <w:color w:val="auto"/>
          <w:sz w:val="21"/>
          <w:szCs w:val="21"/>
          <w:highlight w:val="none"/>
        </w:rPr>
        <w:t>1.加油站流量数据采集系统功能和技术要求</w:t>
      </w:r>
    </w:p>
    <w:tbl>
      <w:tblPr>
        <w:tblStyle w:val="39"/>
        <w:tblW w:w="9887"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60"/>
        <w:gridCol w:w="1374"/>
        <w:gridCol w:w="1465"/>
        <w:gridCol w:w="6288"/>
      </w:tblGrid>
      <w:tr w14:paraId="1335E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887" w:type="dxa"/>
            <w:gridSpan w:val="4"/>
            <w:shd w:val="clear" w:color="auto" w:fill="auto"/>
            <w:vAlign w:val="center"/>
          </w:tcPr>
          <w:p w14:paraId="45193C86">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一、采集客户端</w:t>
            </w:r>
          </w:p>
        </w:tc>
      </w:tr>
      <w:tr w14:paraId="40DBF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760" w:type="dxa"/>
            <w:shd w:val="clear" w:color="auto" w:fill="auto"/>
            <w:vAlign w:val="center"/>
          </w:tcPr>
          <w:p w14:paraId="57E12460">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374" w:type="dxa"/>
            <w:shd w:val="clear" w:color="auto" w:fill="auto"/>
            <w:vAlign w:val="center"/>
          </w:tcPr>
          <w:p w14:paraId="744EC9FA">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一级功能</w:t>
            </w:r>
          </w:p>
        </w:tc>
        <w:tc>
          <w:tcPr>
            <w:tcW w:w="1465" w:type="dxa"/>
            <w:shd w:val="clear" w:color="auto" w:fill="auto"/>
            <w:vAlign w:val="center"/>
          </w:tcPr>
          <w:p w14:paraId="3D36C087">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二级功能</w:t>
            </w:r>
          </w:p>
        </w:tc>
        <w:tc>
          <w:tcPr>
            <w:tcW w:w="6288" w:type="dxa"/>
            <w:shd w:val="clear" w:color="auto" w:fill="auto"/>
            <w:vAlign w:val="center"/>
          </w:tcPr>
          <w:p w14:paraId="2667ED27">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功能描述</w:t>
            </w:r>
          </w:p>
        </w:tc>
      </w:tr>
      <w:tr w14:paraId="4ACA8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760" w:type="dxa"/>
            <w:vMerge w:val="restart"/>
            <w:shd w:val="clear" w:color="auto" w:fill="auto"/>
            <w:vAlign w:val="center"/>
          </w:tcPr>
          <w:p w14:paraId="2058F47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374" w:type="dxa"/>
            <w:vMerge w:val="restart"/>
            <w:shd w:val="clear" w:color="auto" w:fill="auto"/>
            <w:vAlign w:val="center"/>
          </w:tcPr>
          <w:p w14:paraId="3A68CE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状态监控</w:t>
            </w:r>
          </w:p>
        </w:tc>
        <w:tc>
          <w:tcPr>
            <w:tcW w:w="1465" w:type="dxa"/>
            <w:shd w:val="clear" w:color="auto" w:fill="auto"/>
            <w:vAlign w:val="center"/>
          </w:tcPr>
          <w:p w14:paraId="07F1954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在线状态</w:t>
            </w:r>
          </w:p>
        </w:tc>
        <w:tc>
          <w:tcPr>
            <w:tcW w:w="6288" w:type="dxa"/>
            <w:shd w:val="clear" w:color="auto" w:fill="auto"/>
            <w:vAlign w:val="center"/>
          </w:tcPr>
          <w:p w14:paraId="0EA45E4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客户端定时上报在线状态给监控管理系统，便于监控管理系统对加油站客户端做统一的在线状态检测。</w:t>
            </w:r>
          </w:p>
        </w:tc>
      </w:tr>
      <w:tr w14:paraId="53F41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760" w:type="dxa"/>
            <w:vMerge w:val="continue"/>
            <w:shd w:val="clear" w:color="auto" w:fill="auto"/>
            <w:vAlign w:val="center"/>
          </w:tcPr>
          <w:p w14:paraId="2AB92123">
            <w:pPr>
              <w:jc w:val="center"/>
              <w:rPr>
                <w:rFonts w:hint="eastAsia" w:ascii="宋体" w:hAnsi="宋体" w:eastAsia="宋体" w:cs="宋体"/>
                <w:i w:val="0"/>
                <w:iCs w:val="0"/>
                <w:color w:val="000000"/>
                <w:sz w:val="21"/>
                <w:szCs w:val="21"/>
                <w:u w:val="none"/>
              </w:rPr>
            </w:pPr>
          </w:p>
        </w:tc>
        <w:tc>
          <w:tcPr>
            <w:tcW w:w="1374" w:type="dxa"/>
            <w:vMerge w:val="continue"/>
            <w:shd w:val="clear" w:color="auto" w:fill="auto"/>
            <w:vAlign w:val="center"/>
          </w:tcPr>
          <w:p w14:paraId="696C8E4A">
            <w:pPr>
              <w:jc w:val="center"/>
              <w:rPr>
                <w:rFonts w:hint="eastAsia" w:ascii="宋体" w:hAnsi="宋体" w:eastAsia="宋体" w:cs="宋体"/>
                <w:i w:val="0"/>
                <w:iCs w:val="0"/>
                <w:color w:val="000000"/>
                <w:sz w:val="21"/>
                <w:szCs w:val="21"/>
                <w:u w:val="none"/>
              </w:rPr>
            </w:pPr>
          </w:p>
        </w:tc>
        <w:tc>
          <w:tcPr>
            <w:tcW w:w="1465" w:type="dxa"/>
            <w:shd w:val="clear" w:color="auto" w:fill="auto"/>
            <w:vAlign w:val="center"/>
          </w:tcPr>
          <w:p w14:paraId="6634EE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数据状态</w:t>
            </w:r>
          </w:p>
        </w:tc>
        <w:tc>
          <w:tcPr>
            <w:tcW w:w="6288" w:type="dxa"/>
            <w:shd w:val="clear" w:color="auto" w:fill="auto"/>
            <w:vAlign w:val="center"/>
          </w:tcPr>
          <w:p w14:paraId="6BF3EC7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▲将客户端数据更新情况实时上报监控系统后台（提供截图证明）</w:t>
            </w:r>
          </w:p>
        </w:tc>
      </w:tr>
      <w:tr w14:paraId="4EC14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760" w:type="dxa"/>
            <w:shd w:val="clear" w:color="auto" w:fill="auto"/>
            <w:vAlign w:val="center"/>
          </w:tcPr>
          <w:p w14:paraId="59B4D6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374" w:type="dxa"/>
            <w:vMerge w:val="restart"/>
            <w:shd w:val="clear" w:color="auto" w:fill="auto"/>
            <w:vAlign w:val="center"/>
          </w:tcPr>
          <w:p w14:paraId="36D39A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数据监控</w:t>
            </w:r>
          </w:p>
        </w:tc>
        <w:tc>
          <w:tcPr>
            <w:tcW w:w="1465" w:type="dxa"/>
            <w:vMerge w:val="restart"/>
            <w:shd w:val="clear" w:color="auto" w:fill="auto"/>
            <w:vAlign w:val="center"/>
          </w:tcPr>
          <w:p w14:paraId="03C1CF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监控采集方式</w:t>
            </w:r>
          </w:p>
        </w:tc>
        <w:tc>
          <w:tcPr>
            <w:tcW w:w="6288" w:type="dxa"/>
            <w:shd w:val="clear" w:color="auto" w:fill="auto"/>
            <w:vAlign w:val="center"/>
          </w:tcPr>
          <w:p w14:paraId="1199362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▲1、纯软件采集方式，对加油站经营做到零干涉、零感知、零破坏。不破坏加油机内外任何结构，不在加油机内添加任何设备。（提供截图证明）</w:t>
            </w:r>
          </w:p>
        </w:tc>
      </w:tr>
      <w:tr w14:paraId="5E6A1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760" w:type="dxa"/>
            <w:vMerge w:val="restart"/>
            <w:shd w:val="clear" w:color="auto" w:fill="auto"/>
            <w:vAlign w:val="center"/>
          </w:tcPr>
          <w:p w14:paraId="7B113F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374" w:type="dxa"/>
            <w:vMerge w:val="continue"/>
            <w:shd w:val="clear" w:color="auto" w:fill="auto"/>
            <w:vAlign w:val="center"/>
          </w:tcPr>
          <w:p w14:paraId="7C577F8C">
            <w:pPr>
              <w:jc w:val="center"/>
              <w:rPr>
                <w:rFonts w:hint="eastAsia" w:ascii="宋体" w:hAnsi="宋体" w:eastAsia="宋体" w:cs="宋体"/>
                <w:i w:val="0"/>
                <w:iCs w:val="0"/>
                <w:color w:val="000000"/>
                <w:sz w:val="21"/>
                <w:szCs w:val="21"/>
                <w:u w:val="none"/>
              </w:rPr>
            </w:pPr>
          </w:p>
        </w:tc>
        <w:tc>
          <w:tcPr>
            <w:tcW w:w="1465" w:type="dxa"/>
            <w:vMerge w:val="continue"/>
            <w:shd w:val="clear" w:color="auto" w:fill="auto"/>
            <w:vAlign w:val="center"/>
          </w:tcPr>
          <w:p w14:paraId="44CED38B">
            <w:pPr>
              <w:jc w:val="center"/>
              <w:rPr>
                <w:rFonts w:hint="eastAsia" w:ascii="宋体" w:hAnsi="宋体" w:eastAsia="宋体" w:cs="宋体"/>
                <w:i w:val="0"/>
                <w:iCs w:val="0"/>
                <w:color w:val="000000"/>
                <w:sz w:val="21"/>
                <w:szCs w:val="21"/>
                <w:u w:val="none"/>
              </w:rPr>
            </w:pPr>
          </w:p>
        </w:tc>
        <w:tc>
          <w:tcPr>
            <w:tcW w:w="6288" w:type="dxa"/>
            <w:shd w:val="clear" w:color="auto" w:fill="auto"/>
            <w:vAlign w:val="center"/>
          </w:tcPr>
          <w:p w14:paraId="31A6B26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▲2、非介入式智能数据采集方式，以旁观监督的方式采集数据，不介入加油站加油数据产生、传输、存储链条，实时采集数据。（提供截图证明）</w:t>
            </w:r>
          </w:p>
        </w:tc>
      </w:tr>
      <w:tr w14:paraId="6A5FC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760" w:type="dxa"/>
            <w:vMerge w:val="continue"/>
            <w:shd w:val="clear" w:color="auto" w:fill="auto"/>
            <w:vAlign w:val="center"/>
          </w:tcPr>
          <w:p w14:paraId="2BD6B09D">
            <w:pPr>
              <w:jc w:val="center"/>
              <w:rPr>
                <w:rFonts w:hint="eastAsia" w:ascii="宋体" w:hAnsi="宋体" w:eastAsia="宋体" w:cs="宋体"/>
                <w:i w:val="0"/>
                <w:iCs w:val="0"/>
                <w:color w:val="000000"/>
                <w:sz w:val="21"/>
                <w:szCs w:val="21"/>
                <w:u w:val="none"/>
              </w:rPr>
            </w:pPr>
          </w:p>
        </w:tc>
        <w:tc>
          <w:tcPr>
            <w:tcW w:w="1374" w:type="dxa"/>
            <w:vMerge w:val="continue"/>
            <w:shd w:val="clear" w:color="auto" w:fill="auto"/>
            <w:vAlign w:val="center"/>
          </w:tcPr>
          <w:p w14:paraId="7E555DA8">
            <w:pPr>
              <w:jc w:val="center"/>
              <w:rPr>
                <w:rFonts w:hint="eastAsia" w:ascii="宋体" w:hAnsi="宋体" w:eastAsia="宋体" w:cs="宋体"/>
                <w:i w:val="0"/>
                <w:iCs w:val="0"/>
                <w:color w:val="000000"/>
                <w:sz w:val="21"/>
                <w:szCs w:val="21"/>
                <w:u w:val="none"/>
              </w:rPr>
            </w:pPr>
          </w:p>
        </w:tc>
        <w:tc>
          <w:tcPr>
            <w:tcW w:w="1465" w:type="dxa"/>
            <w:vMerge w:val="continue"/>
            <w:shd w:val="clear" w:color="auto" w:fill="auto"/>
            <w:vAlign w:val="center"/>
          </w:tcPr>
          <w:p w14:paraId="60CFF82A">
            <w:pPr>
              <w:jc w:val="center"/>
              <w:rPr>
                <w:rFonts w:hint="eastAsia" w:ascii="宋体" w:hAnsi="宋体" w:eastAsia="宋体" w:cs="宋体"/>
                <w:i w:val="0"/>
                <w:iCs w:val="0"/>
                <w:color w:val="000000"/>
                <w:sz w:val="21"/>
                <w:szCs w:val="21"/>
                <w:u w:val="none"/>
              </w:rPr>
            </w:pPr>
          </w:p>
        </w:tc>
        <w:tc>
          <w:tcPr>
            <w:tcW w:w="6288" w:type="dxa"/>
            <w:shd w:val="clear" w:color="auto" w:fill="auto"/>
            <w:vAlign w:val="center"/>
          </w:tcPr>
          <w:p w14:paraId="27861BE5">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▲3、运用多维度数据采集与校验机制，客观真实的体现加油站实时经营活动情况，并实现数据直连上传监管云平台。（提供截图证明）</w:t>
            </w:r>
          </w:p>
        </w:tc>
      </w:tr>
      <w:tr w14:paraId="4F873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760" w:type="dxa"/>
            <w:shd w:val="clear" w:color="auto" w:fill="auto"/>
            <w:vAlign w:val="center"/>
          </w:tcPr>
          <w:p w14:paraId="7892CA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374" w:type="dxa"/>
            <w:vMerge w:val="continue"/>
            <w:shd w:val="clear" w:color="auto" w:fill="auto"/>
            <w:vAlign w:val="center"/>
          </w:tcPr>
          <w:p w14:paraId="5AB5AA48">
            <w:pPr>
              <w:jc w:val="center"/>
              <w:rPr>
                <w:rFonts w:hint="eastAsia" w:ascii="宋体" w:hAnsi="宋体" w:eastAsia="宋体" w:cs="宋体"/>
                <w:i w:val="0"/>
                <w:iCs w:val="0"/>
                <w:color w:val="000000"/>
                <w:sz w:val="21"/>
                <w:szCs w:val="21"/>
                <w:u w:val="none"/>
              </w:rPr>
            </w:pPr>
          </w:p>
        </w:tc>
        <w:tc>
          <w:tcPr>
            <w:tcW w:w="1465" w:type="dxa"/>
            <w:vMerge w:val="continue"/>
            <w:shd w:val="clear" w:color="auto" w:fill="auto"/>
            <w:vAlign w:val="center"/>
          </w:tcPr>
          <w:p w14:paraId="74679EE9">
            <w:pPr>
              <w:jc w:val="center"/>
              <w:rPr>
                <w:rFonts w:hint="eastAsia" w:ascii="宋体" w:hAnsi="宋体" w:eastAsia="宋体" w:cs="宋体"/>
                <w:i w:val="0"/>
                <w:iCs w:val="0"/>
                <w:color w:val="000000"/>
                <w:sz w:val="21"/>
                <w:szCs w:val="21"/>
                <w:u w:val="none"/>
              </w:rPr>
            </w:pPr>
          </w:p>
        </w:tc>
        <w:tc>
          <w:tcPr>
            <w:tcW w:w="6288" w:type="dxa"/>
            <w:shd w:val="clear" w:color="auto" w:fill="auto"/>
            <w:vAlign w:val="center"/>
          </w:tcPr>
          <w:p w14:paraId="3D88313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4、有扩展接口，可对接不同数据源，合同履行期限内负责本项目所涉及的数据接口开发和数据信息对接工作。</w:t>
            </w:r>
          </w:p>
        </w:tc>
      </w:tr>
      <w:tr w14:paraId="4EBD9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760" w:type="dxa"/>
            <w:vMerge w:val="restart"/>
            <w:shd w:val="clear" w:color="auto" w:fill="auto"/>
            <w:vAlign w:val="center"/>
          </w:tcPr>
          <w:p w14:paraId="509ED8B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374" w:type="dxa"/>
            <w:vMerge w:val="continue"/>
            <w:shd w:val="clear" w:color="auto" w:fill="auto"/>
            <w:vAlign w:val="center"/>
          </w:tcPr>
          <w:p w14:paraId="726D309C">
            <w:pPr>
              <w:jc w:val="center"/>
              <w:rPr>
                <w:rFonts w:hint="eastAsia" w:ascii="宋体" w:hAnsi="宋体" w:eastAsia="宋体" w:cs="宋体"/>
                <w:i w:val="0"/>
                <w:iCs w:val="0"/>
                <w:color w:val="000000"/>
                <w:sz w:val="21"/>
                <w:szCs w:val="21"/>
                <w:u w:val="none"/>
              </w:rPr>
            </w:pPr>
          </w:p>
        </w:tc>
        <w:tc>
          <w:tcPr>
            <w:tcW w:w="1465" w:type="dxa"/>
            <w:vMerge w:val="restart"/>
            <w:shd w:val="clear" w:color="auto" w:fill="auto"/>
            <w:vAlign w:val="center"/>
          </w:tcPr>
          <w:p w14:paraId="4BA34E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监控采集数据</w:t>
            </w:r>
          </w:p>
        </w:tc>
        <w:tc>
          <w:tcPr>
            <w:tcW w:w="6288" w:type="dxa"/>
            <w:shd w:val="clear" w:color="auto" w:fill="auto"/>
            <w:vAlign w:val="center"/>
          </w:tcPr>
          <w:p w14:paraId="294D93A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采集加油进油时间及数量；交易单价、油升量、金额；库存数量。</w:t>
            </w:r>
          </w:p>
        </w:tc>
      </w:tr>
      <w:tr w14:paraId="7BA89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760" w:type="dxa"/>
            <w:vMerge w:val="continue"/>
            <w:shd w:val="clear" w:color="auto" w:fill="auto"/>
            <w:vAlign w:val="center"/>
          </w:tcPr>
          <w:p w14:paraId="184E5A85">
            <w:pPr>
              <w:jc w:val="center"/>
              <w:rPr>
                <w:rFonts w:hint="eastAsia" w:ascii="宋体" w:hAnsi="宋体" w:eastAsia="宋体" w:cs="宋体"/>
                <w:i w:val="0"/>
                <w:iCs w:val="0"/>
                <w:color w:val="000000"/>
                <w:sz w:val="21"/>
                <w:szCs w:val="21"/>
                <w:u w:val="none"/>
              </w:rPr>
            </w:pPr>
          </w:p>
        </w:tc>
        <w:tc>
          <w:tcPr>
            <w:tcW w:w="1374" w:type="dxa"/>
            <w:vMerge w:val="continue"/>
            <w:shd w:val="clear" w:color="auto" w:fill="auto"/>
            <w:vAlign w:val="center"/>
          </w:tcPr>
          <w:p w14:paraId="54C8A6A7">
            <w:pPr>
              <w:jc w:val="center"/>
              <w:rPr>
                <w:rFonts w:hint="eastAsia" w:ascii="宋体" w:hAnsi="宋体" w:eastAsia="宋体" w:cs="宋体"/>
                <w:i w:val="0"/>
                <w:iCs w:val="0"/>
                <w:color w:val="000000"/>
                <w:sz w:val="21"/>
                <w:szCs w:val="21"/>
                <w:u w:val="none"/>
              </w:rPr>
            </w:pPr>
          </w:p>
        </w:tc>
        <w:tc>
          <w:tcPr>
            <w:tcW w:w="1465" w:type="dxa"/>
            <w:vMerge w:val="continue"/>
            <w:shd w:val="clear" w:color="auto" w:fill="auto"/>
            <w:vAlign w:val="center"/>
          </w:tcPr>
          <w:p w14:paraId="22EC1289">
            <w:pPr>
              <w:jc w:val="center"/>
              <w:rPr>
                <w:rFonts w:hint="eastAsia" w:ascii="宋体" w:hAnsi="宋体" w:eastAsia="宋体" w:cs="宋体"/>
                <w:i w:val="0"/>
                <w:iCs w:val="0"/>
                <w:color w:val="000000"/>
                <w:sz w:val="21"/>
                <w:szCs w:val="21"/>
                <w:u w:val="none"/>
              </w:rPr>
            </w:pPr>
          </w:p>
        </w:tc>
        <w:tc>
          <w:tcPr>
            <w:tcW w:w="6288" w:type="dxa"/>
            <w:shd w:val="clear" w:color="auto" w:fill="auto"/>
            <w:vAlign w:val="center"/>
          </w:tcPr>
          <w:p w14:paraId="60C3FA1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加油站进油时间及数量；销售油品、油量、金额；库存数量日累计。</w:t>
            </w:r>
          </w:p>
        </w:tc>
      </w:tr>
      <w:tr w14:paraId="3E273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760" w:type="dxa"/>
            <w:shd w:val="clear" w:color="auto" w:fill="auto"/>
            <w:vAlign w:val="center"/>
          </w:tcPr>
          <w:p w14:paraId="73651D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374" w:type="dxa"/>
            <w:vMerge w:val="continue"/>
            <w:shd w:val="clear" w:color="auto" w:fill="auto"/>
            <w:vAlign w:val="center"/>
          </w:tcPr>
          <w:p w14:paraId="05A6B2A8">
            <w:pPr>
              <w:jc w:val="center"/>
              <w:rPr>
                <w:rFonts w:hint="eastAsia" w:ascii="宋体" w:hAnsi="宋体" w:eastAsia="宋体" w:cs="宋体"/>
                <w:i w:val="0"/>
                <w:iCs w:val="0"/>
                <w:color w:val="000000"/>
                <w:sz w:val="21"/>
                <w:szCs w:val="21"/>
                <w:u w:val="none"/>
              </w:rPr>
            </w:pPr>
          </w:p>
        </w:tc>
        <w:tc>
          <w:tcPr>
            <w:tcW w:w="1465" w:type="dxa"/>
            <w:vMerge w:val="continue"/>
            <w:shd w:val="clear" w:color="auto" w:fill="auto"/>
            <w:vAlign w:val="center"/>
          </w:tcPr>
          <w:p w14:paraId="76E7A5B3">
            <w:pPr>
              <w:jc w:val="center"/>
              <w:rPr>
                <w:rFonts w:hint="eastAsia" w:ascii="宋体" w:hAnsi="宋体" w:eastAsia="宋体" w:cs="宋体"/>
                <w:i w:val="0"/>
                <w:iCs w:val="0"/>
                <w:color w:val="000000"/>
                <w:sz w:val="21"/>
                <w:szCs w:val="21"/>
                <w:u w:val="none"/>
              </w:rPr>
            </w:pPr>
          </w:p>
        </w:tc>
        <w:tc>
          <w:tcPr>
            <w:tcW w:w="6288" w:type="dxa"/>
            <w:shd w:val="clear" w:color="auto" w:fill="auto"/>
            <w:vAlign w:val="center"/>
          </w:tcPr>
          <w:p w14:paraId="7277D79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加油站进油时间及数量；销售油品、油量、金额；库存数量月累计。</w:t>
            </w:r>
          </w:p>
        </w:tc>
      </w:tr>
      <w:tr w14:paraId="7552D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760" w:type="dxa"/>
            <w:vMerge w:val="restart"/>
            <w:shd w:val="clear" w:color="auto" w:fill="auto"/>
            <w:vAlign w:val="center"/>
          </w:tcPr>
          <w:p w14:paraId="74974E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1374" w:type="dxa"/>
            <w:vMerge w:val="continue"/>
            <w:shd w:val="clear" w:color="auto" w:fill="auto"/>
            <w:vAlign w:val="center"/>
          </w:tcPr>
          <w:p w14:paraId="64A8A019">
            <w:pPr>
              <w:jc w:val="center"/>
              <w:rPr>
                <w:rFonts w:hint="eastAsia" w:ascii="宋体" w:hAnsi="宋体" w:eastAsia="宋体" w:cs="宋体"/>
                <w:i w:val="0"/>
                <w:iCs w:val="0"/>
                <w:color w:val="000000"/>
                <w:sz w:val="21"/>
                <w:szCs w:val="21"/>
                <w:u w:val="none"/>
              </w:rPr>
            </w:pPr>
          </w:p>
        </w:tc>
        <w:tc>
          <w:tcPr>
            <w:tcW w:w="1465" w:type="dxa"/>
            <w:vMerge w:val="continue"/>
            <w:shd w:val="clear" w:color="auto" w:fill="auto"/>
            <w:vAlign w:val="center"/>
          </w:tcPr>
          <w:p w14:paraId="1D03C7B9">
            <w:pPr>
              <w:jc w:val="center"/>
              <w:rPr>
                <w:rFonts w:hint="eastAsia" w:ascii="宋体" w:hAnsi="宋体" w:eastAsia="宋体" w:cs="宋体"/>
                <w:i w:val="0"/>
                <w:iCs w:val="0"/>
                <w:color w:val="000000"/>
                <w:sz w:val="21"/>
                <w:szCs w:val="21"/>
                <w:u w:val="none"/>
              </w:rPr>
            </w:pPr>
          </w:p>
        </w:tc>
        <w:tc>
          <w:tcPr>
            <w:tcW w:w="6288" w:type="dxa"/>
            <w:shd w:val="clear" w:color="auto" w:fill="auto"/>
            <w:vAlign w:val="center"/>
          </w:tcPr>
          <w:p w14:paraId="447074C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加油站库存数量；销售油品、油量、金额；库存数量其他时间周期累计。</w:t>
            </w:r>
          </w:p>
        </w:tc>
      </w:tr>
      <w:tr w14:paraId="7A1B3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760" w:type="dxa"/>
            <w:vMerge w:val="continue"/>
            <w:shd w:val="clear" w:color="auto" w:fill="auto"/>
            <w:vAlign w:val="center"/>
          </w:tcPr>
          <w:p w14:paraId="48EF1847">
            <w:pPr>
              <w:jc w:val="center"/>
              <w:rPr>
                <w:rFonts w:hint="eastAsia" w:ascii="宋体" w:hAnsi="宋体" w:eastAsia="宋体" w:cs="宋体"/>
                <w:i w:val="0"/>
                <w:iCs w:val="0"/>
                <w:color w:val="000000"/>
                <w:sz w:val="21"/>
                <w:szCs w:val="21"/>
                <w:u w:val="none"/>
              </w:rPr>
            </w:pPr>
          </w:p>
        </w:tc>
        <w:tc>
          <w:tcPr>
            <w:tcW w:w="1374" w:type="dxa"/>
            <w:vMerge w:val="continue"/>
            <w:shd w:val="clear" w:color="auto" w:fill="auto"/>
            <w:vAlign w:val="center"/>
          </w:tcPr>
          <w:p w14:paraId="18F56151">
            <w:pPr>
              <w:jc w:val="center"/>
              <w:rPr>
                <w:rFonts w:hint="eastAsia" w:ascii="宋体" w:hAnsi="宋体" w:eastAsia="宋体" w:cs="宋体"/>
                <w:i w:val="0"/>
                <w:iCs w:val="0"/>
                <w:color w:val="000000"/>
                <w:sz w:val="21"/>
                <w:szCs w:val="21"/>
                <w:u w:val="none"/>
              </w:rPr>
            </w:pPr>
          </w:p>
        </w:tc>
        <w:tc>
          <w:tcPr>
            <w:tcW w:w="1465" w:type="dxa"/>
            <w:shd w:val="clear" w:color="auto" w:fill="auto"/>
            <w:vAlign w:val="center"/>
          </w:tcPr>
          <w:p w14:paraId="44ED858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自动补数据</w:t>
            </w:r>
          </w:p>
        </w:tc>
        <w:tc>
          <w:tcPr>
            <w:tcW w:w="6288" w:type="dxa"/>
            <w:shd w:val="clear" w:color="auto" w:fill="auto"/>
            <w:vAlign w:val="center"/>
          </w:tcPr>
          <w:p w14:paraId="049B5AD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对由于断网重连情况缺失的1个月内历史数据自动进行补充监控采集，防止数据缺失</w:t>
            </w:r>
          </w:p>
        </w:tc>
      </w:tr>
      <w:tr w14:paraId="5A2AE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760" w:type="dxa"/>
            <w:shd w:val="clear" w:color="auto" w:fill="auto"/>
            <w:vAlign w:val="center"/>
          </w:tcPr>
          <w:p w14:paraId="1D90269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1374" w:type="dxa"/>
            <w:vMerge w:val="restart"/>
            <w:shd w:val="clear" w:color="auto" w:fill="auto"/>
            <w:vAlign w:val="center"/>
          </w:tcPr>
          <w:p w14:paraId="119F15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强制性</w:t>
            </w:r>
          </w:p>
        </w:tc>
        <w:tc>
          <w:tcPr>
            <w:tcW w:w="1465" w:type="dxa"/>
            <w:shd w:val="clear" w:color="auto" w:fill="auto"/>
            <w:vAlign w:val="center"/>
          </w:tcPr>
          <w:p w14:paraId="3DAC2ED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开机自启动</w:t>
            </w:r>
          </w:p>
        </w:tc>
        <w:tc>
          <w:tcPr>
            <w:tcW w:w="6288" w:type="dxa"/>
            <w:shd w:val="clear" w:color="auto" w:fill="auto"/>
            <w:vAlign w:val="center"/>
          </w:tcPr>
          <w:p w14:paraId="00DCE09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客户端安装成功后，计算机开机后，客户端自动启动运行，便于对加油站运营实现自动监控。</w:t>
            </w:r>
          </w:p>
        </w:tc>
      </w:tr>
      <w:tr w14:paraId="46584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760" w:type="dxa"/>
            <w:shd w:val="clear" w:color="auto" w:fill="auto"/>
            <w:vAlign w:val="center"/>
          </w:tcPr>
          <w:p w14:paraId="3EEA34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1374" w:type="dxa"/>
            <w:vMerge w:val="continue"/>
            <w:shd w:val="clear" w:color="auto" w:fill="auto"/>
            <w:vAlign w:val="center"/>
          </w:tcPr>
          <w:p w14:paraId="2CB4BB58">
            <w:pPr>
              <w:jc w:val="center"/>
              <w:rPr>
                <w:rFonts w:hint="eastAsia" w:ascii="宋体" w:hAnsi="宋体" w:eastAsia="宋体" w:cs="宋体"/>
                <w:i w:val="0"/>
                <w:iCs w:val="0"/>
                <w:color w:val="000000"/>
                <w:sz w:val="21"/>
                <w:szCs w:val="21"/>
                <w:u w:val="none"/>
              </w:rPr>
            </w:pPr>
          </w:p>
        </w:tc>
        <w:tc>
          <w:tcPr>
            <w:tcW w:w="1465" w:type="dxa"/>
            <w:shd w:val="clear" w:color="auto" w:fill="auto"/>
            <w:vAlign w:val="center"/>
          </w:tcPr>
          <w:p w14:paraId="349F9C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断网重连</w:t>
            </w:r>
          </w:p>
        </w:tc>
        <w:tc>
          <w:tcPr>
            <w:tcW w:w="6288" w:type="dxa"/>
            <w:shd w:val="clear" w:color="auto" w:fill="auto"/>
            <w:vAlign w:val="center"/>
          </w:tcPr>
          <w:p w14:paraId="3643580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客户端在网络状态不良下情况下发生连接失败，失败后重复尝试，直至成功。</w:t>
            </w:r>
          </w:p>
        </w:tc>
      </w:tr>
      <w:tr w14:paraId="4C3D2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760" w:type="dxa"/>
            <w:shd w:val="clear" w:color="auto" w:fill="auto"/>
            <w:vAlign w:val="center"/>
          </w:tcPr>
          <w:p w14:paraId="766B55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374" w:type="dxa"/>
            <w:shd w:val="clear" w:color="auto" w:fill="auto"/>
            <w:vAlign w:val="center"/>
          </w:tcPr>
          <w:p w14:paraId="34E069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安全性</w:t>
            </w:r>
          </w:p>
        </w:tc>
        <w:tc>
          <w:tcPr>
            <w:tcW w:w="1465" w:type="dxa"/>
            <w:shd w:val="clear" w:color="auto" w:fill="auto"/>
            <w:vAlign w:val="center"/>
          </w:tcPr>
          <w:p w14:paraId="3DE0A0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加密传输</w:t>
            </w:r>
          </w:p>
        </w:tc>
        <w:tc>
          <w:tcPr>
            <w:tcW w:w="6288" w:type="dxa"/>
            <w:shd w:val="clear" w:color="auto" w:fill="auto"/>
            <w:vAlign w:val="center"/>
          </w:tcPr>
          <w:p w14:paraId="38ED5FB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关键数据传输使用加密传输，确保数据的安全性。</w:t>
            </w:r>
          </w:p>
        </w:tc>
      </w:tr>
      <w:tr w14:paraId="7E132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9887" w:type="dxa"/>
            <w:gridSpan w:val="4"/>
            <w:shd w:val="clear" w:color="auto" w:fill="auto"/>
            <w:vAlign w:val="center"/>
          </w:tcPr>
          <w:p w14:paraId="2BAAD2F7">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二、数据管理后台</w:t>
            </w:r>
          </w:p>
        </w:tc>
      </w:tr>
      <w:tr w14:paraId="2E09A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760" w:type="dxa"/>
            <w:shd w:val="clear" w:color="auto" w:fill="auto"/>
            <w:vAlign w:val="center"/>
          </w:tcPr>
          <w:p w14:paraId="58FEA51D">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374" w:type="dxa"/>
            <w:shd w:val="clear" w:color="auto" w:fill="auto"/>
            <w:vAlign w:val="center"/>
          </w:tcPr>
          <w:p w14:paraId="7DBD230A">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项目</w:t>
            </w:r>
          </w:p>
        </w:tc>
        <w:tc>
          <w:tcPr>
            <w:tcW w:w="7753" w:type="dxa"/>
            <w:gridSpan w:val="2"/>
            <w:shd w:val="clear" w:color="auto" w:fill="auto"/>
            <w:vAlign w:val="center"/>
          </w:tcPr>
          <w:p w14:paraId="3BC26701">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功能描述</w:t>
            </w:r>
          </w:p>
        </w:tc>
      </w:tr>
      <w:tr w14:paraId="0FA99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760" w:type="dxa"/>
            <w:shd w:val="clear" w:color="auto" w:fill="auto"/>
            <w:vAlign w:val="center"/>
          </w:tcPr>
          <w:p w14:paraId="166F63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374" w:type="dxa"/>
            <w:vMerge w:val="restart"/>
            <w:shd w:val="clear" w:color="auto" w:fill="auto"/>
            <w:vAlign w:val="center"/>
          </w:tcPr>
          <w:p w14:paraId="778009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账号管理</w:t>
            </w:r>
          </w:p>
        </w:tc>
        <w:tc>
          <w:tcPr>
            <w:tcW w:w="1465" w:type="dxa"/>
            <w:shd w:val="clear" w:color="auto" w:fill="auto"/>
            <w:vAlign w:val="center"/>
          </w:tcPr>
          <w:p w14:paraId="57C37E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账号查询</w:t>
            </w:r>
          </w:p>
        </w:tc>
        <w:tc>
          <w:tcPr>
            <w:tcW w:w="6288" w:type="dxa"/>
            <w:shd w:val="clear" w:color="auto" w:fill="auto"/>
            <w:vAlign w:val="center"/>
          </w:tcPr>
          <w:p w14:paraId="0680764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支持“账号名称”、“识别号”、“油站名称”、“账号启用状态”、“在线状态”条件查询账号信息</w:t>
            </w:r>
          </w:p>
        </w:tc>
      </w:tr>
      <w:tr w14:paraId="742EB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760" w:type="dxa"/>
            <w:shd w:val="clear" w:color="auto" w:fill="auto"/>
            <w:vAlign w:val="center"/>
          </w:tcPr>
          <w:p w14:paraId="6C4E48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374" w:type="dxa"/>
            <w:vMerge w:val="continue"/>
            <w:shd w:val="clear" w:color="auto" w:fill="auto"/>
            <w:vAlign w:val="center"/>
          </w:tcPr>
          <w:p w14:paraId="781C10AA">
            <w:pPr>
              <w:jc w:val="center"/>
              <w:rPr>
                <w:rFonts w:hint="eastAsia" w:ascii="宋体" w:hAnsi="宋体" w:eastAsia="宋体" w:cs="宋体"/>
                <w:i w:val="0"/>
                <w:iCs w:val="0"/>
                <w:color w:val="000000"/>
                <w:sz w:val="21"/>
                <w:szCs w:val="21"/>
                <w:u w:val="none"/>
              </w:rPr>
            </w:pPr>
          </w:p>
        </w:tc>
        <w:tc>
          <w:tcPr>
            <w:tcW w:w="1465" w:type="dxa"/>
            <w:vMerge w:val="restart"/>
            <w:shd w:val="clear" w:color="auto" w:fill="auto"/>
            <w:vAlign w:val="center"/>
          </w:tcPr>
          <w:p w14:paraId="12C5613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管理系统登录</w:t>
            </w:r>
          </w:p>
        </w:tc>
        <w:tc>
          <w:tcPr>
            <w:tcW w:w="6288" w:type="dxa"/>
            <w:shd w:val="clear" w:color="auto" w:fill="auto"/>
            <w:vAlign w:val="center"/>
          </w:tcPr>
          <w:p w14:paraId="31A6CBD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通过浏览器访问web的方式进行登录</w:t>
            </w:r>
          </w:p>
        </w:tc>
      </w:tr>
      <w:tr w14:paraId="4DABC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760" w:type="dxa"/>
            <w:shd w:val="clear" w:color="auto" w:fill="auto"/>
            <w:vAlign w:val="center"/>
          </w:tcPr>
          <w:p w14:paraId="3FAB88C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374" w:type="dxa"/>
            <w:vMerge w:val="continue"/>
            <w:shd w:val="clear" w:color="auto" w:fill="auto"/>
            <w:vAlign w:val="center"/>
          </w:tcPr>
          <w:p w14:paraId="152EDF5F">
            <w:pPr>
              <w:jc w:val="center"/>
              <w:rPr>
                <w:rFonts w:hint="eastAsia" w:ascii="宋体" w:hAnsi="宋体" w:eastAsia="宋体" w:cs="宋体"/>
                <w:i w:val="0"/>
                <w:iCs w:val="0"/>
                <w:color w:val="000000"/>
                <w:sz w:val="21"/>
                <w:szCs w:val="21"/>
                <w:u w:val="none"/>
              </w:rPr>
            </w:pPr>
          </w:p>
        </w:tc>
        <w:tc>
          <w:tcPr>
            <w:tcW w:w="1465" w:type="dxa"/>
            <w:vMerge w:val="continue"/>
            <w:shd w:val="clear" w:color="auto" w:fill="auto"/>
            <w:vAlign w:val="center"/>
          </w:tcPr>
          <w:p w14:paraId="2D921150">
            <w:pPr>
              <w:jc w:val="center"/>
              <w:rPr>
                <w:rFonts w:hint="eastAsia" w:ascii="宋体" w:hAnsi="宋体" w:eastAsia="宋体" w:cs="宋体"/>
                <w:i w:val="0"/>
                <w:iCs w:val="0"/>
                <w:color w:val="000000"/>
                <w:sz w:val="21"/>
                <w:szCs w:val="21"/>
                <w:u w:val="none"/>
              </w:rPr>
            </w:pPr>
          </w:p>
        </w:tc>
        <w:tc>
          <w:tcPr>
            <w:tcW w:w="6288" w:type="dxa"/>
            <w:shd w:val="clear" w:color="auto" w:fill="auto"/>
            <w:vAlign w:val="center"/>
          </w:tcPr>
          <w:p w14:paraId="1792DBD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支持按州、区县权限账户登录</w:t>
            </w:r>
          </w:p>
        </w:tc>
      </w:tr>
      <w:tr w14:paraId="29910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760" w:type="dxa"/>
            <w:shd w:val="clear" w:color="auto" w:fill="auto"/>
            <w:vAlign w:val="center"/>
          </w:tcPr>
          <w:p w14:paraId="7C21A067">
            <w:pPr>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4</w:t>
            </w:r>
          </w:p>
        </w:tc>
        <w:tc>
          <w:tcPr>
            <w:tcW w:w="1374" w:type="dxa"/>
            <w:vMerge w:val="restart"/>
            <w:shd w:val="clear" w:color="auto" w:fill="auto"/>
            <w:vAlign w:val="center"/>
          </w:tcPr>
          <w:p w14:paraId="176134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状态监控</w:t>
            </w:r>
          </w:p>
        </w:tc>
        <w:tc>
          <w:tcPr>
            <w:tcW w:w="1465" w:type="dxa"/>
            <w:shd w:val="clear" w:color="auto" w:fill="auto"/>
            <w:vAlign w:val="center"/>
          </w:tcPr>
          <w:p w14:paraId="179545D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在线状态</w:t>
            </w:r>
          </w:p>
        </w:tc>
        <w:tc>
          <w:tcPr>
            <w:tcW w:w="6288" w:type="dxa"/>
            <w:shd w:val="clear" w:color="auto" w:fill="auto"/>
            <w:vAlign w:val="center"/>
          </w:tcPr>
          <w:p w14:paraId="2007C24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▲接收采集软件客户端在线状态数据，以列表形式展示加油站在线状态（提供截图证明）</w:t>
            </w:r>
          </w:p>
        </w:tc>
      </w:tr>
      <w:tr w14:paraId="467AB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760" w:type="dxa"/>
            <w:shd w:val="clear" w:color="auto" w:fill="auto"/>
            <w:vAlign w:val="center"/>
          </w:tcPr>
          <w:p w14:paraId="4579BCFB">
            <w:pPr>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6</w:t>
            </w:r>
          </w:p>
        </w:tc>
        <w:tc>
          <w:tcPr>
            <w:tcW w:w="1374" w:type="dxa"/>
            <w:vMerge w:val="continue"/>
            <w:shd w:val="clear" w:color="auto" w:fill="auto"/>
            <w:vAlign w:val="center"/>
          </w:tcPr>
          <w:p w14:paraId="6B285382">
            <w:pPr>
              <w:jc w:val="center"/>
              <w:rPr>
                <w:rFonts w:hint="eastAsia" w:ascii="宋体" w:hAnsi="宋体" w:eastAsia="宋体" w:cs="宋体"/>
                <w:i w:val="0"/>
                <w:iCs w:val="0"/>
                <w:color w:val="000000"/>
                <w:sz w:val="21"/>
                <w:szCs w:val="21"/>
                <w:u w:val="none"/>
              </w:rPr>
            </w:pPr>
          </w:p>
        </w:tc>
        <w:tc>
          <w:tcPr>
            <w:tcW w:w="1465" w:type="dxa"/>
            <w:shd w:val="clear" w:color="auto" w:fill="auto"/>
            <w:vAlign w:val="center"/>
          </w:tcPr>
          <w:p w14:paraId="04ECD7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数据状态</w:t>
            </w:r>
          </w:p>
        </w:tc>
        <w:tc>
          <w:tcPr>
            <w:tcW w:w="6288" w:type="dxa"/>
            <w:shd w:val="clear" w:color="auto" w:fill="auto"/>
            <w:vAlign w:val="center"/>
          </w:tcPr>
          <w:p w14:paraId="488FCA4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▲接收采集软件客户端在线状态数据，以列表形式展示加油站数据更新状态、最新数据时间（提供截图证明）</w:t>
            </w:r>
          </w:p>
        </w:tc>
      </w:tr>
      <w:tr w14:paraId="38A68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760" w:type="dxa"/>
            <w:shd w:val="clear" w:color="auto" w:fill="auto"/>
            <w:vAlign w:val="center"/>
          </w:tcPr>
          <w:p w14:paraId="362EF74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hAnsi="宋体" w:cs="宋体"/>
                <w:i w:val="0"/>
                <w:iCs w:val="0"/>
                <w:color w:val="000000"/>
                <w:sz w:val="21"/>
                <w:szCs w:val="21"/>
                <w:u w:val="none"/>
                <w:lang w:val="en-US" w:eastAsia="zh-CN"/>
              </w:rPr>
              <w:t>7</w:t>
            </w:r>
          </w:p>
        </w:tc>
        <w:tc>
          <w:tcPr>
            <w:tcW w:w="1374" w:type="dxa"/>
            <w:vMerge w:val="restart"/>
            <w:shd w:val="clear" w:color="auto" w:fill="auto"/>
            <w:vAlign w:val="center"/>
          </w:tcPr>
          <w:p w14:paraId="20E7F1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数据管理</w:t>
            </w:r>
          </w:p>
        </w:tc>
        <w:tc>
          <w:tcPr>
            <w:tcW w:w="1465" w:type="dxa"/>
            <w:shd w:val="clear" w:color="auto" w:fill="auto"/>
            <w:vAlign w:val="center"/>
          </w:tcPr>
          <w:p w14:paraId="100D16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油站数据</w:t>
            </w:r>
          </w:p>
        </w:tc>
        <w:tc>
          <w:tcPr>
            <w:tcW w:w="6288" w:type="dxa"/>
            <w:shd w:val="clear" w:color="auto" w:fill="auto"/>
            <w:vAlign w:val="center"/>
          </w:tcPr>
          <w:p w14:paraId="0E91820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以油站为单位对运营数据做统计管理</w:t>
            </w:r>
          </w:p>
        </w:tc>
      </w:tr>
      <w:tr w14:paraId="61708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760" w:type="dxa"/>
            <w:shd w:val="clear" w:color="auto" w:fill="auto"/>
            <w:vAlign w:val="center"/>
          </w:tcPr>
          <w:p w14:paraId="6B103C0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hAnsi="宋体" w:cs="宋体"/>
                <w:i w:val="0"/>
                <w:iCs w:val="0"/>
                <w:color w:val="000000"/>
                <w:sz w:val="21"/>
                <w:szCs w:val="21"/>
                <w:u w:val="none"/>
                <w:lang w:val="en-US" w:eastAsia="zh-CN"/>
              </w:rPr>
              <w:t>8</w:t>
            </w:r>
          </w:p>
        </w:tc>
        <w:tc>
          <w:tcPr>
            <w:tcW w:w="1374" w:type="dxa"/>
            <w:vMerge w:val="continue"/>
            <w:shd w:val="clear" w:color="auto" w:fill="auto"/>
            <w:vAlign w:val="center"/>
          </w:tcPr>
          <w:p w14:paraId="7E0898DE">
            <w:pPr>
              <w:jc w:val="center"/>
              <w:rPr>
                <w:rFonts w:hint="eastAsia" w:ascii="宋体" w:hAnsi="宋体" w:eastAsia="宋体" w:cs="宋体"/>
                <w:i w:val="0"/>
                <w:iCs w:val="0"/>
                <w:color w:val="000000"/>
                <w:sz w:val="21"/>
                <w:szCs w:val="21"/>
                <w:u w:val="none"/>
              </w:rPr>
            </w:pPr>
          </w:p>
        </w:tc>
        <w:tc>
          <w:tcPr>
            <w:tcW w:w="1465" w:type="dxa"/>
            <w:shd w:val="clear" w:color="auto" w:fill="auto"/>
            <w:vAlign w:val="center"/>
          </w:tcPr>
          <w:p w14:paraId="73CDC3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数据统计</w:t>
            </w:r>
          </w:p>
        </w:tc>
        <w:tc>
          <w:tcPr>
            <w:tcW w:w="6288" w:type="dxa"/>
            <w:shd w:val="clear" w:color="auto" w:fill="auto"/>
            <w:vAlign w:val="center"/>
          </w:tcPr>
          <w:p w14:paraId="5DEA15A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从时间维度，按年、月、日查询加油站进油数量、销售收入、库存数量。</w:t>
            </w:r>
          </w:p>
        </w:tc>
      </w:tr>
      <w:tr w14:paraId="6FD07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760" w:type="dxa"/>
            <w:shd w:val="clear" w:color="auto" w:fill="auto"/>
            <w:vAlign w:val="center"/>
          </w:tcPr>
          <w:p w14:paraId="2CFDEEB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hAnsi="宋体" w:cs="宋体"/>
                <w:i w:val="0"/>
                <w:iCs w:val="0"/>
                <w:color w:val="000000"/>
                <w:sz w:val="21"/>
                <w:szCs w:val="21"/>
                <w:u w:val="none"/>
                <w:lang w:val="en-US" w:eastAsia="zh-CN"/>
              </w:rPr>
              <w:t>9</w:t>
            </w:r>
          </w:p>
        </w:tc>
        <w:tc>
          <w:tcPr>
            <w:tcW w:w="1374" w:type="dxa"/>
            <w:vMerge w:val="continue"/>
            <w:shd w:val="clear" w:color="auto" w:fill="auto"/>
            <w:vAlign w:val="center"/>
          </w:tcPr>
          <w:p w14:paraId="4B50D91D">
            <w:pPr>
              <w:jc w:val="center"/>
              <w:rPr>
                <w:rFonts w:hint="eastAsia" w:ascii="宋体" w:hAnsi="宋体" w:eastAsia="宋体" w:cs="宋体"/>
                <w:i w:val="0"/>
                <w:iCs w:val="0"/>
                <w:color w:val="000000"/>
                <w:sz w:val="21"/>
                <w:szCs w:val="21"/>
                <w:u w:val="none"/>
              </w:rPr>
            </w:pPr>
          </w:p>
        </w:tc>
        <w:tc>
          <w:tcPr>
            <w:tcW w:w="1465" w:type="dxa"/>
            <w:shd w:val="clear" w:color="auto" w:fill="auto"/>
            <w:vAlign w:val="center"/>
          </w:tcPr>
          <w:p w14:paraId="1A82B3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数据导出</w:t>
            </w:r>
          </w:p>
        </w:tc>
        <w:tc>
          <w:tcPr>
            <w:tcW w:w="6288" w:type="dxa"/>
            <w:shd w:val="clear" w:color="auto" w:fill="auto"/>
            <w:vAlign w:val="center"/>
          </w:tcPr>
          <w:p w14:paraId="1BB01A7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支持加油站运营数据进行搜索导出功能</w:t>
            </w:r>
          </w:p>
        </w:tc>
      </w:tr>
      <w:tr w14:paraId="01600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37" w:hRule="atLeast"/>
        </w:trPr>
        <w:tc>
          <w:tcPr>
            <w:tcW w:w="760" w:type="dxa"/>
            <w:shd w:val="clear" w:color="auto" w:fill="auto"/>
            <w:vAlign w:val="center"/>
          </w:tcPr>
          <w:p w14:paraId="6F141CC3">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hAnsi="宋体" w:cs="宋体"/>
                <w:i w:val="0"/>
                <w:iCs w:val="0"/>
                <w:color w:val="000000"/>
                <w:sz w:val="21"/>
                <w:szCs w:val="21"/>
                <w:u w:val="none"/>
                <w:lang w:val="en-US" w:eastAsia="zh-CN"/>
              </w:rPr>
              <w:t>10</w:t>
            </w:r>
          </w:p>
        </w:tc>
        <w:tc>
          <w:tcPr>
            <w:tcW w:w="1374" w:type="dxa"/>
            <w:shd w:val="clear" w:color="auto" w:fill="auto"/>
            <w:vAlign w:val="center"/>
          </w:tcPr>
          <w:p w14:paraId="64797D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加油站管理</w:t>
            </w:r>
          </w:p>
        </w:tc>
        <w:tc>
          <w:tcPr>
            <w:tcW w:w="1465" w:type="dxa"/>
            <w:shd w:val="clear" w:color="auto" w:fill="auto"/>
            <w:vAlign w:val="center"/>
          </w:tcPr>
          <w:p w14:paraId="71D235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加油站查询</w:t>
            </w:r>
          </w:p>
        </w:tc>
        <w:tc>
          <w:tcPr>
            <w:tcW w:w="6288" w:type="dxa"/>
            <w:shd w:val="clear" w:color="auto" w:fill="auto"/>
            <w:vAlign w:val="center"/>
          </w:tcPr>
          <w:p w14:paraId="701BDEA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支持“加油站名称”、“在线状态”、“区/县”、“登录IP”条件查询</w:t>
            </w:r>
          </w:p>
        </w:tc>
      </w:tr>
      <w:tr w14:paraId="4C2A9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760" w:type="dxa"/>
            <w:shd w:val="clear" w:color="auto" w:fill="auto"/>
            <w:vAlign w:val="center"/>
          </w:tcPr>
          <w:p w14:paraId="7E47E3DB">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hAnsi="宋体" w:cs="宋体"/>
                <w:i w:val="0"/>
                <w:iCs w:val="0"/>
                <w:color w:val="000000"/>
                <w:sz w:val="21"/>
                <w:szCs w:val="21"/>
                <w:u w:val="none"/>
                <w:lang w:val="en-US" w:eastAsia="zh-CN"/>
              </w:rPr>
              <w:t>11</w:t>
            </w:r>
          </w:p>
        </w:tc>
        <w:tc>
          <w:tcPr>
            <w:tcW w:w="1374" w:type="dxa"/>
            <w:shd w:val="clear" w:color="auto" w:fill="auto"/>
            <w:vAlign w:val="center"/>
          </w:tcPr>
          <w:p w14:paraId="52B3AA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安全性</w:t>
            </w:r>
          </w:p>
        </w:tc>
        <w:tc>
          <w:tcPr>
            <w:tcW w:w="1465" w:type="dxa"/>
            <w:shd w:val="clear" w:color="auto" w:fill="auto"/>
            <w:vAlign w:val="center"/>
          </w:tcPr>
          <w:p w14:paraId="03EEC8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加密存储</w:t>
            </w:r>
          </w:p>
        </w:tc>
        <w:tc>
          <w:tcPr>
            <w:tcW w:w="6288" w:type="dxa"/>
            <w:shd w:val="clear" w:color="auto" w:fill="auto"/>
            <w:vAlign w:val="center"/>
          </w:tcPr>
          <w:p w14:paraId="476E13D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关键数据传输使用加密存储，确保关键数据的存储安全性。</w:t>
            </w:r>
          </w:p>
        </w:tc>
      </w:tr>
      <w:tr w14:paraId="28BD1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9887" w:type="dxa"/>
            <w:gridSpan w:val="4"/>
            <w:shd w:val="clear" w:color="auto" w:fill="auto"/>
            <w:vAlign w:val="center"/>
          </w:tcPr>
          <w:p w14:paraId="51FEDCAA">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三、预警平台—政府端</w:t>
            </w:r>
          </w:p>
        </w:tc>
      </w:tr>
      <w:tr w14:paraId="550D1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760" w:type="dxa"/>
            <w:shd w:val="clear" w:color="auto" w:fill="auto"/>
            <w:vAlign w:val="center"/>
          </w:tcPr>
          <w:p w14:paraId="37E38704">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374" w:type="dxa"/>
            <w:shd w:val="clear" w:color="auto" w:fill="auto"/>
            <w:vAlign w:val="center"/>
          </w:tcPr>
          <w:p w14:paraId="4635248D">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一级功能</w:t>
            </w:r>
          </w:p>
        </w:tc>
        <w:tc>
          <w:tcPr>
            <w:tcW w:w="1465" w:type="dxa"/>
            <w:shd w:val="clear" w:color="auto" w:fill="auto"/>
            <w:vAlign w:val="center"/>
          </w:tcPr>
          <w:p w14:paraId="7DCEB627">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二级功能</w:t>
            </w:r>
          </w:p>
        </w:tc>
        <w:tc>
          <w:tcPr>
            <w:tcW w:w="6288" w:type="dxa"/>
            <w:shd w:val="clear" w:color="auto" w:fill="auto"/>
            <w:vAlign w:val="center"/>
          </w:tcPr>
          <w:p w14:paraId="614E7AE8">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功能描述</w:t>
            </w:r>
          </w:p>
        </w:tc>
      </w:tr>
      <w:tr w14:paraId="79363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60" w:type="dxa"/>
            <w:shd w:val="clear" w:color="auto" w:fill="auto"/>
            <w:vAlign w:val="center"/>
          </w:tcPr>
          <w:p w14:paraId="330D59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374" w:type="dxa"/>
            <w:vMerge w:val="restart"/>
            <w:shd w:val="clear" w:color="auto" w:fill="auto"/>
            <w:vAlign w:val="center"/>
          </w:tcPr>
          <w:p w14:paraId="7143A5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公共服务</w:t>
            </w:r>
          </w:p>
        </w:tc>
        <w:tc>
          <w:tcPr>
            <w:tcW w:w="1465" w:type="dxa"/>
            <w:shd w:val="clear" w:color="auto" w:fill="auto"/>
            <w:vAlign w:val="center"/>
          </w:tcPr>
          <w:p w14:paraId="709B41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退出登录</w:t>
            </w:r>
          </w:p>
        </w:tc>
        <w:tc>
          <w:tcPr>
            <w:tcW w:w="6288" w:type="dxa"/>
            <w:shd w:val="clear" w:color="auto" w:fill="auto"/>
            <w:vAlign w:val="center"/>
          </w:tcPr>
          <w:p w14:paraId="437F9E1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退出当前登录状态</w:t>
            </w:r>
          </w:p>
        </w:tc>
      </w:tr>
      <w:tr w14:paraId="76EFD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760" w:type="dxa"/>
            <w:shd w:val="clear" w:color="auto" w:fill="auto"/>
            <w:vAlign w:val="center"/>
          </w:tcPr>
          <w:p w14:paraId="570B129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374" w:type="dxa"/>
            <w:vMerge w:val="continue"/>
            <w:shd w:val="clear" w:color="auto" w:fill="auto"/>
            <w:vAlign w:val="center"/>
          </w:tcPr>
          <w:p w14:paraId="6B661B17">
            <w:pPr>
              <w:jc w:val="center"/>
              <w:rPr>
                <w:rFonts w:hint="eastAsia" w:ascii="宋体" w:hAnsi="宋体" w:eastAsia="宋体" w:cs="宋体"/>
                <w:i w:val="0"/>
                <w:iCs w:val="0"/>
                <w:color w:val="000000"/>
                <w:sz w:val="21"/>
                <w:szCs w:val="21"/>
                <w:u w:val="none"/>
              </w:rPr>
            </w:pPr>
          </w:p>
        </w:tc>
        <w:tc>
          <w:tcPr>
            <w:tcW w:w="1465" w:type="dxa"/>
            <w:shd w:val="clear" w:color="auto" w:fill="auto"/>
            <w:vAlign w:val="center"/>
          </w:tcPr>
          <w:p w14:paraId="1CFE84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自动退出</w:t>
            </w:r>
          </w:p>
        </w:tc>
        <w:tc>
          <w:tcPr>
            <w:tcW w:w="6288" w:type="dxa"/>
            <w:shd w:val="clear" w:color="auto" w:fill="auto"/>
            <w:vAlign w:val="center"/>
          </w:tcPr>
          <w:p w14:paraId="229881C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无操作自动退出登录，登录状态下有操作时重新续签</w:t>
            </w:r>
          </w:p>
        </w:tc>
      </w:tr>
      <w:tr w14:paraId="177BD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760" w:type="dxa"/>
            <w:shd w:val="clear" w:color="auto" w:fill="auto"/>
            <w:vAlign w:val="center"/>
          </w:tcPr>
          <w:p w14:paraId="10B5BED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374" w:type="dxa"/>
            <w:shd w:val="clear" w:color="auto" w:fill="auto"/>
            <w:vAlign w:val="center"/>
          </w:tcPr>
          <w:p w14:paraId="18DF6F4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个人中心</w:t>
            </w:r>
          </w:p>
        </w:tc>
        <w:tc>
          <w:tcPr>
            <w:tcW w:w="1465" w:type="dxa"/>
            <w:shd w:val="clear" w:color="auto" w:fill="auto"/>
            <w:vAlign w:val="center"/>
          </w:tcPr>
          <w:p w14:paraId="6DA16B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登录账号基本信息展示</w:t>
            </w:r>
          </w:p>
        </w:tc>
        <w:tc>
          <w:tcPr>
            <w:tcW w:w="6288" w:type="dxa"/>
            <w:shd w:val="clear" w:color="auto" w:fill="auto"/>
            <w:vAlign w:val="center"/>
          </w:tcPr>
          <w:p w14:paraId="150EF2B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r>
      <w:tr w14:paraId="759D4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760" w:type="dxa"/>
            <w:shd w:val="clear" w:color="auto" w:fill="auto"/>
            <w:vAlign w:val="center"/>
          </w:tcPr>
          <w:p w14:paraId="418CBD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374" w:type="dxa"/>
            <w:shd w:val="clear" w:color="auto" w:fill="auto"/>
            <w:vAlign w:val="center"/>
          </w:tcPr>
          <w:p w14:paraId="1C9A70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权限</w:t>
            </w:r>
          </w:p>
        </w:tc>
        <w:tc>
          <w:tcPr>
            <w:tcW w:w="1465" w:type="dxa"/>
            <w:shd w:val="clear" w:color="auto" w:fill="auto"/>
            <w:vAlign w:val="center"/>
          </w:tcPr>
          <w:p w14:paraId="5875E6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6288" w:type="dxa"/>
            <w:shd w:val="clear" w:color="auto" w:fill="auto"/>
            <w:vAlign w:val="center"/>
          </w:tcPr>
          <w:p w14:paraId="543D8FF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利用配置区域进行区域管理限制</w:t>
            </w:r>
          </w:p>
        </w:tc>
      </w:tr>
      <w:tr w14:paraId="4EF49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760" w:type="dxa"/>
            <w:shd w:val="clear" w:color="auto" w:fill="auto"/>
            <w:vAlign w:val="center"/>
          </w:tcPr>
          <w:p w14:paraId="7D0334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374" w:type="dxa"/>
            <w:vMerge w:val="restart"/>
            <w:shd w:val="clear" w:color="auto" w:fill="auto"/>
            <w:vAlign w:val="center"/>
          </w:tcPr>
          <w:p w14:paraId="2C87F8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登录</w:t>
            </w:r>
          </w:p>
        </w:tc>
        <w:tc>
          <w:tcPr>
            <w:tcW w:w="1465" w:type="dxa"/>
            <w:shd w:val="clear" w:color="auto" w:fill="auto"/>
            <w:vAlign w:val="center"/>
          </w:tcPr>
          <w:p w14:paraId="3361A7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账号、密码、验证码</w:t>
            </w:r>
          </w:p>
        </w:tc>
        <w:tc>
          <w:tcPr>
            <w:tcW w:w="6288" w:type="dxa"/>
            <w:shd w:val="clear" w:color="auto" w:fill="auto"/>
            <w:vAlign w:val="center"/>
          </w:tcPr>
          <w:p w14:paraId="4183F3E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登录时输入账号、密码、验证码进行登录，进入系统</w:t>
            </w:r>
          </w:p>
        </w:tc>
      </w:tr>
      <w:tr w14:paraId="61E1D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760" w:type="dxa"/>
            <w:shd w:val="clear" w:color="auto" w:fill="auto"/>
            <w:vAlign w:val="center"/>
          </w:tcPr>
          <w:p w14:paraId="298DD06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374" w:type="dxa"/>
            <w:vMerge w:val="continue"/>
            <w:shd w:val="clear" w:color="auto" w:fill="auto"/>
            <w:vAlign w:val="center"/>
          </w:tcPr>
          <w:p w14:paraId="0158CB8B">
            <w:pPr>
              <w:jc w:val="center"/>
              <w:rPr>
                <w:rFonts w:hint="eastAsia" w:ascii="宋体" w:hAnsi="宋体" w:eastAsia="宋体" w:cs="宋体"/>
                <w:i w:val="0"/>
                <w:iCs w:val="0"/>
                <w:color w:val="000000"/>
                <w:sz w:val="21"/>
                <w:szCs w:val="21"/>
                <w:u w:val="none"/>
              </w:rPr>
            </w:pPr>
          </w:p>
        </w:tc>
        <w:tc>
          <w:tcPr>
            <w:tcW w:w="1465" w:type="dxa"/>
            <w:shd w:val="clear" w:color="auto" w:fill="auto"/>
            <w:vAlign w:val="center"/>
          </w:tcPr>
          <w:p w14:paraId="041E455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忘记密码</w:t>
            </w:r>
          </w:p>
        </w:tc>
        <w:tc>
          <w:tcPr>
            <w:tcW w:w="6288" w:type="dxa"/>
            <w:shd w:val="clear" w:color="auto" w:fill="auto"/>
            <w:vAlign w:val="center"/>
          </w:tcPr>
          <w:p w14:paraId="3B19B52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弹出联系运维人员弹窗</w:t>
            </w:r>
          </w:p>
        </w:tc>
      </w:tr>
      <w:tr w14:paraId="253E7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760" w:type="dxa"/>
            <w:shd w:val="clear" w:color="auto" w:fill="auto"/>
            <w:vAlign w:val="center"/>
          </w:tcPr>
          <w:p w14:paraId="124408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1374" w:type="dxa"/>
            <w:vMerge w:val="restart"/>
            <w:shd w:val="clear" w:color="auto" w:fill="auto"/>
            <w:vAlign w:val="center"/>
          </w:tcPr>
          <w:p w14:paraId="09A539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首页</w:t>
            </w:r>
          </w:p>
        </w:tc>
        <w:tc>
          <w:tcPr>
            <w:tcW w:w="1465" w:type="dxa"/>
            <w:vMerge w:val="restart"/>
            <w:shd w:val="clear" w:color="auto" w:fill="auto"/>
            <w:vAlign w:val="center"/>
          </w:tcPr>
          <w:p w14:paraId="43B74C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预警统计</w:t>
            </w:r>
          </w:p>
        </w:tc>
        <w:tc>
          <w:tcPr>
            <w:tcW w:w="6288" w:type="dxa"/>
            <w:vMerge w:val="restart"/>
            <w:shd w:val="clear" w:color="auto" w:fill="auto"/>
            <w:vAlign w:val="center"/>
          </w:tcPr>
          <w:p w14:paraId="498138E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预警统计</w:t>
            </w:r>
          </w:p>
        </w:tc>
      </w:tr>
      <w:tr w14:paraId="5B53E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760" w:type="dxa"/>
            <w:shd w:val="clear" w:color="auto" w:fill="auto"/>
            <w:vAlign w:val="center"/>
          </w:tcPr>
          <w:p w14:paraId="7F9261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1374" w:type="dxa"/>
            <w:vMerge w:val="continue"/>
            <w:shd w:val="clear" w:color="auto" w:fill="auto"/>
            <w:vAlign w:val="center"/>
          </w:tcPr>
          <w:p w14:paraId="27BF9A95">
            <w:pPr>
              <w:jc w:val="center"/>
              <w:rPr>
                <w:rFonts w:hint="eastAsia" w:ascii="宋体" w:hAnsi="宋体" w:eastAsia="宋体" w:cs="宋体"/>
                <w:i w:val="0"/>
                <w:iCs w:val="0"/>
                <w:color w:val="000000"/>
                <w:sz w:val="21"/>
                <w:szCs w:val="21"/>
                <w:u w:val="none"/>
              </w:rPr>
            </w:pPr>
          </w:p>
        </w:tc>
        <w:tc>
          <w:tcPr>
            <w:tcW w:w="1465" w:type="dxa"/>
            <w:vMerge w:val="continue"/>
            <w:shd w:val="clear" w:color="auto" w:fill="auto"/>
            <w:vAlign w:val="center"/>
          </w:tcPr>
          <w:p w14:paraId="0E78A796">
            <w:pPr>
              <w:jc w:val="center"/>
              <w:rPr>
                <w:rFonts w:hint="eastAsia" w:ascii="宋体" w:hAnsi="宋体" w:eastAsia="宋体" w:cs="宋体"/>
                <w:i w:val="0"/>
                <w:iCs w:val="0"/>
                <w:color w:val="000000"/>
                <w:sz w:val="21"/>
                <w:szCs w:val="21"/>
                <w:u w:val="none"/>
              </w:rPr>
            </w:pPr>
          </w:p>
        </w:tc>
        <w:tc>
          <w:tcPr>
            <w:tcW w:w="6288" w:type="dxa"/>
            <w:vMerge w:val="continue"/>
            <w:shd w:val="clear" w:color="auto" w:fill="auto"/>
            <w:vAlign w:val="center"/>
          </w:tcPr>
          <w:p w14:paraId="499766E1">
            <w:pPr>
              <w:jc w:val="left"/>
              <w:rPr>
                <w:rFonts w:hint="eastAsia" w:ascii="宋体" w:hAnsi="宋体" w:eastAsia="宋体" w:cs="宋体"/>
                <w:i w:val="0"/>
                <w:iCs w:val="0"/>
                <w:color w:val="000000"/>
                <w:sz w:val="21"/>
                <w:szCs w:val="21"/>
                <w:u w:val="none"/>
              </w:rPr>
            </w:pPr>
          </w:p>
        </w:tc>
      </w:tr>
      <w:tr w14:paraId="74D0A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760" w:type="dxa"/>
            <w:shd w:val="clear" w:color="auto" w:fill="auto"/>
            <w:vAlign w:val="center"/>
          </w:tcPr>
          <w:p w14:paraId="4F528F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1374" w:type="dxa"/>
            <w:vMerge w:val="continue"/>
            <w:shd w:val="clear" w:color="auto" w:fill="auto"/>
            <w:vAlign w:val="center"/>
          </w:tcPr>
          <w:p w14:paraId="7E013A79">
            <w:pPr>
              <w:jc w:val="center"/>
              <w:rPr>
                <w:rFonts w:hint="eastAsia" w:ascii="宋体" w:hAnsi="宋体" w:eastAsia="宋体" w:cs="宋体"/>
                <w:i w:val="0"/>
                <w:iCs w:val="0"/>
                <w:color w:val="000000"/>
                <w:sz w:val="21"/>
                <w:szCs w:val="21"/>
                <w:u w:val="none"/>
              </w:rPr>
            </w:pPr>
          </w:p>
        </w:tc>
        <w:tc>
          <w:tcPr>
            <w:tcW w:w="1465" w:type="dxa"/>
            <w:shd w:val="clear" w:color="auto" w:fill="auto"/>
            <w:vAlign w:val="center"/>
          </w:tcPr>
          <w:p w14:paraId="528295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油站统计</w:t>
            </w:r>
          </w:p>
        </w:tc>
        <w:tc>
          <w:tcPr>
            <w:tcW w:w="6288" w:type="dxa"/>
            <w:shd w:val="clear" w:color="auto" w:fill="auto"/>
            <w:vAlign w:val="center"/>
          </w:tcPr>
          <w:p w14:paraId="0514CD1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统计管理区域油站数</w:t>
            </w:r>
          </w:p>
        </w:tc>
      </w:tr>
      <w:tr w14:paraId="2A19C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760" w:type="dxa"/>
            <w:shd w:val="clear" w:color="auto" w:fill="auto"/>
            <w:vAlign w:val="center"/>
          </w:tcPr>
          <w:p w14:paraId="302736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374" w:type="dxa"/>
            <w:vMerge w:val="continue"/>
            <w:shd w:val="clear" w:color="auto" w:fill="auto"/>
            <w:vAlign w:val="center"/>
          </w:tcPr>
          <w:p w14:paraId="71CDF2A9">
            <w:pPr>
              <w:jc w:val="center"/>
              <w:rPr>
                <w:rFonts w:hint="eastAsia" w:ascii="宋体" w:hAnsi="宋体" w:eastAsia="宋体" w:cs="宋体"/>
                <w:i w:val="0"/>
                <w:iCs w:val="0"/>
                <w:color w:val="000000"/>
                <w:sz w:val="21"/>
                <w:szCs w:val="21"/>
                <w:u w:val="none"/>
              </w:rPr>
            </w:pPr>
          </w:p>
        </w:tc>
        <w:tc>
          <w:tcPr>
            <w:tcW w:w="1465" w:type="dxa"/>
            <w:shd w:val="clear" w:color="auto" w:fill="auto"/>
            <w:vAlign w:val="center"/>
          </w:tcPr>
          <w:p w14:paraId="1A101A9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展示预警信息数据</w:t>
            </w:r>
          </w:p>
        </w:tc>
        <w:tc>
          <w:tcPr>
            <w:tcW w:w="6288" w:type="dxa"/>
            <w:shd w:val="clear" w:color="auto" w:fill="auto"/>
            <w:vAlign w:val="center"/>
          </w:tcPr>
          <w:p w14:paraId="571BD2E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展示当前管理员需要进行处理预警的数据展示</w:t>
            </w:r>
          </w:p>
        </w:tc>
      </w:tr>
      <w:tr w14:paraId="3A27B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760" w:type="dxa"/>
            <w:shd w:val="clear" w:color="auto" w:fill="auto"/>
            <w:vAlign w:val="center"/>
          </w:tcPr>
          <w:p w14:paraId="1CBA6A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1374" w:type="dxa"/>
            <w:vMerge w:val="restart"/>
            <w:shd w:val="clear" w:color="auto" w:fill="auto"/>
            <w:vAlign w:val="center"/>
          </w:tcPr>
          <w:p w14:paraId="307743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预警引擎</w:t>
            </w:r>
          </w:p>
        </w:tc>
        <w:tc>
          <w:tcPr>
            <w:tcW w:w="1465" w:type="dxa"/>
            <w:vMerge w:val="restart"/>
            <w:shd w:val="clear" w:color="auto" w:fill="auto"/>
            <w:vAlign w:val="center"/>
          </w:tcPr>
          <w:p w14:paraId="58F4D61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预警类型</w:t>
            </w:r>
          </w:p>
        </w:tc>
        <w:tc>
          <w:tcPr>
            <w:tcW w:w="6288" w:type="dxa"/>
            <w:shd w:val="clear" w:color="auto" w:fill="auto"/>
            <w:vAlign w:val="center"/>
          </w:tcPr>
          <w:p w14:paraId="18245CF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▲非渠道油预警（提供截图证明）</w:t>
            </w:r>
          </w:p>
        </w:tc>
      </w:tr>
      <w:tr w14:paraId="20AB8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760" w:type="dxa"/>
            <w:shd w:val="clear" w:color="auto" w:fill="auto"/>
            <w:vAlign w:val="center"/>
          </w:tcPr>
          <w:p w14:paraId="1B59B5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1374" w:type="dxa"/>
            <w:vMerge w:val="continue"/>
            <w:shd w:val="clear" w:color="auto" w:fill="auto"/>
            <w:vAlign w:val="center"/>
          </w:tcPr>
          <w:p w14:paraId="61A71776">
            <w:pPr>
              <w:jc w:val="center"/>
              <w:rPr>
                <w:rFonts w:hint="eastAsia" w:ascii="宋体" w:hAnsi="宋体" w:eastAsia="宋体" w:cs="宋体"/>
                <w:i w:val="0"/>
                <w:iCs w:val="0"/>
                <w:color w:val="000000"/>
                <w:sz w:val="21"/>
                <w:szCs w:val="21"/>
                <w:u w:val="none"/>
              </w:rPr>
            </w:pPr>
          </w:p>
        </w:tc>
        <w:tc>
          <w:tcPr>
            <w:tcW w:w="1465" w:type="dxa"/>
            <w:vMerge w:val="continue"/>
            <w:shd w:val="clear" w:color="auto" w:fill="auto"/>
            <w:vAlign w:val="center"/>
          </w:tcPr>
          <w:p w14:paraId="35D7DC55">
            <w:pPr>
              <w:jc w:val="center"/>
              <w:rPr>
                <w:rFonts w:hint="eastAsia" w:ascii="宋体" w:hAnsi="宋体" w:eastAsia="宋体" w:cs="宋体"/>
                <w:i w:val="0"/>
                <w:iCs w:val="0"/>
                <w:color w:val="000000"/>
                <w:sz w:val="21"/>
                <w:szCs w:val="21"/>
                <w:u w:val="none"/>
              </w:rPr>
            </w:pPr>
          </w:p>
        </w:tc>
        <w:tc>
          <w:tcPr>
            <w:tcW w:w="6288" w:type="dxa"/>
            <w:shd w:val="clear" w:color="auto" w:fill="auto"/>
            <w:vAlign w:val="center"/>
          </w:tcPr>
          <w:p w14:paraId="799F017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▲申报偏差异常预警（提供截图证明）</w:t>
            </w:r>
          </w:p>
        </w:tc>
      </w:tr>
      <w:tr w14:paraId="6D4F4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760" w:type="dxa"/>
            <w:shd w:val="clear" w:color="auto" w:fill="auto"/>
            <w:vAlign w:val="center"/>
          </w:tcPr>
          <w:p w14:paraId="62A8DA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1374" w:type="dxa"/>
            <w:vMerge w:val="continue"/>
            <w:shd w:val="clear" w:color="auto" w:fill="auto"/>
            <w:vAlign w:val="center"/>
          </w:tcPr>
          <w:p w14:paraId="58CFC4C2">
            <w:pPr>
              <w:jc w:val="center"/>
              <w:rPr>
                <w:rFonts w:hint="eastAsia" w:ascii="宋体" w:hAnsi="宋体" w:eastAsia="宋体" w:cs="宋体"/>
                <w:i w:val="0"/>
                <w:iCs w:val="0"/>
                <w:color w:val="000000"/>
                <w:sz w:val="21"/>
                <w:szCs w:val="21"/>
                <w:u w:val="none"/>
              </w:rPr>
            </w:pPr>
          </w:p>
        </w:tc>
        <w:tc>
          <w:tcPr>
            <w:tcW w:w="1465" w:type="dxa"/>
            <w:vMerge w:val="continue"/>
            <w:shd w:val="clear" w:color="auto" w:fill="auto"/>
            <w:vAlign w:val="center"/>
          </w:tcPr>
          <w:p w14:paraId="6D3DB24F">
            <w:pPr>
              <w:jc w:val="center"/>
              <w:rPr>
                <w:rFonts w:hint="eastAsia" w:ascii="宋体" w:hAnsi="宋体" w:eastAsia="宋体" w:cs="宋体"/>
                <w:i w:val="0"/>
                <w:iCs w:val="0"/>
                <w:color w:val="000000"/>
                <w:sz w:val="21"/>
                <w:szCs w:val="21"/>
                <w:u w:val="none"/>
              </w:rPr>
            </w:pPr>
          </w:p>
        </w:tc>
        <w:tc>
          <w:tcPr>
            <w:tcW w:w="6288" w:type="dxa"/>
            <w:shd w:val="clear" w:color="auto" w:fill="auto"/>
            <w:vAlign w:val="center"/>
          </w:tcPr>
          <w:p w14:paraId="04AA61D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▲订单数不平衡预警（提供截图证明）</w:t>
            </w:r>
          </w:p>
        </w:tc>
      </w:tr>
      <w:tr w14:paraId="08013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760" w:type="dxa"/>
            <w:shd w:val="clear" w:color="auto" w:fill="auto"/>
            <w:vAlign w:val="center"/>
          </w:tcPr>
          <w:p w14:paraId="72CE82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1374" w:type="dxa"/>
            <w:vMerge w:val="continue"/>
            <w:shd w:val="clear" w:color="auto" w:fill="auto"/>
            <w:vAlign w:val="center"/>
          </w:tcPr>
          <w:p w14:paraId="0978E8DE">
            <w:pPr>
              <w:jc w:val="center"/>
              <w:rPr>
                <w:rFonts w:hint="eastAsia" w:ascii="宋体" w:hAnsi="宋体" w:eastAsia="宋体" w:cs="宋体"/>
                <w:i w:val="0"/>
                <w:iCs w:val="0"/>
                <w:color w:val="000000"/>
                <w:sz w:val="21"/>
                <w:szCs w:val="21"/>
                <w:u w:val="none"/>
              </w:rPr>
            </w:pPr>
          </w:p>
        </w:tc>
        <w:tc>
          <w:tcPr>
            <w:tcW w:w="1465" w:type="dxa"/>
            <w:vMerge w:val="continue"/>
            <w:shd w:val="clear" w:color="auto" w:fill="auto"/>
            <w:vAlign w:val="center"/>
          </w:tcPr>
          <w:p w14:paraId="4B2A473B">
            <w:pPr>
              <w:jc w:val="center"/>
              <w:rPr>
                <w:rFonts w:hint="eastAsia" w:ascii="宋体" w:hAnsi="宋体" w:eastAsia="宋体" w:cs="宋体"/>
                <w:i w:val="0"/>
                <w:iCs w:val="0"/>
                <w:color w:val="000000"/>
                <w:sz w:val="21"/>
                <w:szCs w:val="21"/>
                <w:u w:val="none"/>
              </w:rPr>
            </w:pPr>
          </w:p>
        </w:tc>
        <w:tc>
          <w:tcPr>
            <w:tcW w:w="6288" w:type="dxa"/>
            <w:shd w:val="clear" w:color="auto" w:fill="auto"/>
            <w:vAlign w:val="center"/>
          </w:tcPr>
          <w:p w14:paraId="5D76B1E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▲经营数据异常预警（提供截图证明）</w:t>
            </w:r>
          </w:p>
        </w:tc>
      </w:tr>
      <w:tr w14:paraId="7F21A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760" w:type="dxa"/>
            <w:shd w:val="clear" w:color="auto" w:fill="auto"/>
            <w:vAlign w:val="center"/>
          </w:tcPr>
          <w:p w14:paraId="740099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1374" w:type="dxa"/>
            <w:vMerge w:val="continue"/>
            <w:shd w:val="clear" w:color="auto" w:fill="auto"/>
            <w:vAlign w:val="center"/>
          </w:tcPr>
          <w:p w14:paraId="75442DD0">
            <w:pPr>
              <w:jc w:val="center"/>
              <w:rPr>
                <w:rFonts w:hint="eastAsia" w:ascii="宋体" w:hAnsi="宋体" w:eastAsia="宋体" w:cs="宋体"/>
                <w:i w:val="0"/>
                <w:iCs w:val="0"/>
                <w:color w:val="000000"/>
                <w:sz w:val="21"/>
                <w:szCs w:val="21"/>
                <w:u w:val="none"/>
              </w:rPr>
            </w:pPr>
          </w:p>
        </w:tc>
        <w:tc>
          <w:tcPr>
            <w:tcW w:w="1465" w:type="dxa"/>
            <w:vMerge w:val="continue"/>
            <w:shd w:val="clear" w:color="auto" w:fill="auto"/>
            <w:vAlign w:val="center"/>
          </w:tcPr>
          <w:p w14:paraId="3AFF858E">
            <w:pPr>
              <w:jc w:val="center"/>
              <w:rPr>
                <w:rFonts w:hint="eastAsia" w:ascii="宋体" w:hAnsi="宋体" w:eastAsia="宋体" w:cs="宋体"/>
                <w:i w:val="0"/>
                <w:iCs w:val="0"/>
                <w:color w:val="000000"/>
                <w:sz w:val="21"/>
                <w:szCs w:val="21"/>
                <w:u w:val="none"/>
              </w:rPr>
            </w:pPr>
          </w:p>
        </w:tc>
        <w:tc>
          <w:tcPr>
            <w:tcW w:w="6288" w:type="dxa"/>
            <w:shd w:val="clear" w:color="auto" w:fill="auto"/>
            <w:vAlign w:val="center"/>
          </w:tcPr>
          <w:p w14:paraId="0F6127D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▲加油机预警（提供截图证明）</w:t>
            </w:r>
          </w:p>
        </w:tc>
      </w:tr>
      <w:tr w14:paraId="268D2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760" w:type="dxa"/>
            <w:shd w:val="clear" w:color="auto" w:fill="auto"/>
            <w:vAlign w:val="center"/>
          </w:tcPr>
          <w:p w14:paraId="6773B9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1374" w:type="dxa"/>
            <w:vMerge w:val="continue"/>
            <w:shd w:val="clear" w:color="auto" w:fill="auto"/>
            <w:vAlign w:val="center"/>
          </w:tcPr>
          <w:p w14:paraId="3AA5D59C">
            <w:pPr>
              <w:jc w:val="center"/>
              <w:rPr>
                <w:rFonts w:hint="eastAsia" w:ascii="宋体" w:hAnsi="宋体" w:eastAsia="宋体" w:cs="宋体"/>
                <w:i w:val="0"/>
                <w:iCs w:val="0"/>
                <w:color w:val="000000"/>
                <w:sz w:val="21"/>
                <w:szCs w:val="21"/>
                <w:u w:val="none"/>
              </w:rPr>
            </w:pPr>
          </w:p>
        </w:tc>
        <w:tc>
          <w:tcPr>
            <w:tcW w:w="1465" w:type="dxa"/>
            <w:vMerge w:val="continue"/>
            <w:shd w:val="clear" w:color="auto" w:fill="auto"/>
            <w:vAlign w:val="center"/>
          </w:tcPr>
          <w:p w14:paraId="431D2509">
            <w:pPr>
              <w:jc w:val="center"/>
              <w:rPr>
                <w:rFonts w:hint="eastAsia" w:ascii="宋体" w:hAnsi="宋体" w:eastAsia="宋体" w:cs="宋体"/>
                <w:i w:val="0"/>
                <w:iCs w:val="0"/>
                <w:color w:val="000000"/>
                <w:sz w:val="21"/>
                <w:szCs w:val="21"/>
                <w:u w:val="none"/>
              </w:rPr>
            </w:pPr>
          </w:p>
        </w:tc>
        <w:tc>
          <w:tcPr>
            <w:tcW w:w="6288" w:type="dxa"/>
            <w:shd w:val="clear" w:color="auto" w:fill="auto"/>
            <w:vAlign w:val="center"/>
          </w:tcPr>
          <w:p w14:paraId="61612F4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▲经营系统异常预警（提供截图证明）</w:t>
            </w:r>
          </w:p>
        </w:tc>
      </w:tr>
      <w:tr w14:paraId="5FEFC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760" w:type="dxa"/>
            <w:shd w:val="clear" w:color="auto" w:fill="auto"/>
            <w:vAlign w:val="center"/>
          </w:tcPr>
          <w:p w14:paraId="1A9ED3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1374" w:type="dxa"/>
            <w:vMerge w:val="continue"/>
            <w:shd w:val="clear" w:color="auto" w:fill="auto"/>
            <w:vAlign w:val="center"/>
          </w:tcPr>
          <w:p w14:paraId="62524617">
            <w:pPr>
              <w:jc w:val="center"/>
              <w:rPr>
                <w:rFonts w:hint="eastAsia" w:ascii="宋体" w:hAnsi="宋体" w:eastAsia="宋体" w:cs="宋体"/>
                <w:i w:val="0"/>
                <w:iCs w:val="0"/>
                <w:color w:val="000000"/>
                <w:sz w:val="21"/>
                <w:szCs w:val="21"/>
                <w:u w:val="none"/>
              </w:rPr>
            </w:pPr>
          </w:p>
        </w:tc>
        <w:tc>
          <w:tcPr>
            <w:tcW w:w="1465" w:type="dxa"/>
            <w:vMerge w:val="continue"/>
            <w:shd w:val="clear" w:color="auto" w:fill="auto"/>
            <w:vAlign w:val="center"/>
          </w:tcPr>
          <w:p w14:paraId="7EB2D593">
            <w:pPr>
              <w:jc w:val="center"/>
              <w:rPr>
                <w:rFonts w:hint="eastAsia" w:ascii="宋体" w:hAnsi="宋体" w:eastAsia="宋体" w:cs="宋体"/>
                <w:i w:val="0"/>
                <w:iCs w:val="0"/>
                <w:color w:val="000000"/>
                <w:sz w:val="21"/>
                <w:szCs w:val="21"/>
                <w:u w:val="none"/>
              </w:rPr>
            </w:pPr>
          </w:p>
        </w:tc>
        <w:tc>
          <w:tcPr>
            <w:tcW w:w="6288" w:type="dxa"/>
            <w:shd w:val="clear" w:color="auto" w:fill="auto"/>
            <w:vAlign w:val="center"/>
          </w:tcPr>
          <w:p w14:paraId="2F7F71D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▲经营链路异常预警（提供截图证明）</w:t>
            </w:r>
          </w:p>
        </w:tc>
      </w:tr>
      <w:tr w14:paraId="02EB2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760" w:type="dxa"/>
            <w:shd w:val="clear" w:color="auto" w:fill="auto"/>
            <w:vAlign w:val="center"/>
          </w:tcPr>
          <w:p w14:paraId="0FFFF7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1374" w:type="dxa"/>
            <w:vMerge w:val="continue"/>
            <w:shd w:val="clear" w:color="auto" w:fill="auto"/>
            <w:vAlign w:val="center"/>
          </w:tcPr>
          <w:p w14:paraId="608FCAC2">
            <w:pPr>
              <w:jc w:val="center"/>
              <w:rPr>
                <w:rFonts w:hint="eastAsia" w:ascii="宋体" w:hAnsi="宋体" w:eastAsia="宋体" w:cs="宋体"/>
                <w:i w:val="0"/>
                <w:iCs w:val="0"/>
                <w:color w:val="000000"/>
                <w:sz w:val="21"/>
                <w:szCs w:val="21"/>
                <w:u w:val="none"/>
              </w:rPr>
            </w:pPr>
          </w:p>
        </w:tc>
        <w:tc>
          <w:tcPr>
            <w:tcW w:w="1465" w:type="dxa"/>
            <w:vMerge w:val="restart"/>
            <w:shd w:val="clear" w:color="auto" w:fill="auto"/>
            <w:vAlign w:val="center"/>
          </w:tcPr>
          <w:p w14:paraId="2CFE1C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预警分析</w:t>
            </w:r>
          </w:p>
        </w:tc>
        <w:tc>
          <w:tcPr>
            <w:tcW w:w="6288" w:type="dxa"/>
            <w:shd w:val="clear" w:color="auto" w:fill="auto"/>
            <w:vAlign w:val="center"/>
          </w:tcPr>
          <w:p w14:paraId="7961740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▲加油站双后台作弊预警分析功能，并提供此功能实行的演示和详细分析案例</w:t>
            </w:r>
          </w:p>
        </w:tc>
      </w:tr>
      <w:tr w14:paraId="7152C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760" w:type="dxa"/>
            <w:shd w:val="clear" w:color="auto" w:fill="auto"/>
            <w:vAlign w:val="center"/>
          </w:tcPr>
          <w:p w14:paraId="57CC000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w:t>
            </w:r>
          </w:p>
        </w:tc>
        <w:tc>
          <w:tcPr>
            <w:tcW w:w="1374" w:type="dxa"/>
            <w:vMerge w:val="continue"/>
            <w:shd w:val="clear" w:color="auto" w:fill="auto"/>
            <w:vAlign w:val="center"/>
          </w:tcPr>
          <w:p w14:paraId="26F42D92">
            <w:pPr>
              <w:jc w:val="center"/>
              <w:rPr>
                <w:rFonts w:hint="eastAsia" w:ascii="宋体" w:hAnsi="宋体" w:eastAsia="宋体" w:cs="宋体"/>
                <w:i w:val="0"/>
                <w:iCs w:val="0"/>
                <w:color w:val="000000"/>
                <w:sz w:val="21"/>
                <w:szCs w:val="21"/>
                <w:u w:val="none"/>
              </w:rPr>
            </w:pPr>
          </w:p>
        </w:tc>
        <w:tc>
          <w:tcPr>
            <w:tcW w:w="1465" w:type="dxa"/>
            <w:vMerge w:val="continue"/>
            <w:shd w:val="clear" w:color="auto" w:fill="auto"/>
            <w:vAlign w:val="center"/>
          </w:tcPr>
          <w:p w14:paraId="0FE02174">
            <w:pPr>
              <w:jc w:val="center"/>
              <w:rPr>
                <w:rFonts w:hint="eastAsia" w:ascii="宋体" w:hAnsi="宋体" w:eastAsia="宋体" w:cs="宋体"/>
                <w:i w:val="0"/>
                <w:iCs w:val="0"/>
                <w:color w:val="000000"/>
                <w:sz w:val="21"/>
                <w:szCs w:val="21"/>
                <w:u w:val="none"/>
              </w:rPr>
            </w:pPr>
          </w:p>
        </w:tc>
        <w:tc>
          <w:tcPr>
            <w:tcW w:w="6288" w:type="dxa"/>
            <w:shd w:val="clear" w:color="auto" w:fill="auto"/>
            <w:vAlign w:val="center"/>
          </w:tcPr>
          <w:p w14:paraId="17DCA4C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▲加油站云化作弊预警分析功能，并提供此功能实行的演示和详细分析案例</w:t>
            </w:r>
          </w:p>
        </w:tc>
      </w:tr>
      <w:tr w14:paraId="0E4C0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760" w:type="dxa"/>
            <w:shd w:val="clear" w:color="auto" w:fill="auto"/>
            <w:vAlign w:val="center"/>
          </w:tcPr>
          <w:p w14:paraId="46819C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1374" w:type="dxa"/>
            <w:vMerge w:val="continue"/>
            <w:shd w:val="clear" w:color="auto" w:fill="auto"/>
            <w:vAlign w:val="center"/>
          </w:tcPr>
          <w:p w14:paraId="6A52C04D">
            <w:pPr>
              <w:jc w:val="center"/>
              <w:rPr>
                <w:rFonts w:hint="eastAsia" w:ascii="宋体" w:hAnsi="宋体" w:eastAsia="宋体" w:cs="宋体"/>
                <w:i w:val="0"/>
                <w:iCs w:val="0"/>
                <w:color w:val="000000"/>
                <w:sz w:val="21"/>
                <w:szCs w:val="21"/>
                <w:u w:val="none"/>
              </w:rPr>
            </w:pPr>
          </w:p>
        </w:tc>
        <w:tc>
          <w:tcPr>
            <w:tcW w:w="1465" w:type="dxa"/>
            <w:vMerge w:val="continue"/>
            <w:shd w:val="clear" w:color="auto" w:fill="auto"/>
            <w:vAlign w:val="center"/>
          </w:tcPr>
          <w:p w14:paraId="2B29B295">
            <w:pPr>
              <w:jc w:val="center"/>
              <w:rPr>
                <w:rFonts w:hint="eastAsia" w:ascii="宋体" w:hAnsi="宋体" w:eastAsia="宋体" w:cs="宋体"/>
                <w:i w:val="0"/>
                <w:iCs w:val="0"/>
                <w:color w:val="000000"/>
                <w:sz w:val="21"/>
                <w:szCs w:val="21"/>
                <w:u w:val="none"/>
              </w:rPr>
            </w:pPr>
          </w:p>
        </w:tc>
        <w:tc>
          <w:tcPr>
            <w:tcW w:w="6288" w:type="dxa"/>
            <w:shd w:val="clear" w:color="auto" w:fill="auto"/>
            <w:vAlign w:val="center"/>
          </w:tcPr>
          <w:p w14:paraId="5B5E16E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▲加油站油卡云化作弊预警分析功能，并提供此功能实行的演示和详细分析案例</w:t>
            </w:r>
          </w:p>
        </w:tc>
      </w:tr>
      <w:tr w14:paraId="47F86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760" w:type="dxa"/>
            <w:shd w:val="clear" w:color="auto" w:fill="auto"/>
            <w:vAlign w:val="center"/>
          </w:tcPr>
          <w:p w14:paraId="32A175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c>
          <w:tcPr>
            <w:tcW w:w="1374" w:type="dxa"/>
            <w:vMerge w:val="continue"/>
            <w:shd w:val="clear" w:color="auto" w:fill="auto"/>
            <w:vAlign w:val="center"/>
          </w:tcPr>
          <w:p w14:paraId="2B53134F">
            <w:pPr>
              <w:jc w:val="center"/>
              <w:rPr>
                <w:rFonts w:hint="eastAsia" w:ascii="宋体" w:hAnsi="宋体" w:eastAsia="宋体" w:cs="宋体"/>
                <w:i w:val="0"/>
                <w:iCs w:val="0"/>
                <w:color w:val="000000"/>
                <w:sz w:val="21"/>
                <w:szCs w:val="21"/>
                <w:u w:val="none"/>
              </w:rPr>
            </w:pPr>
          </w:p>
        </w:tc>
        <w:tc>
          <w:tcPr>
            <w:tcW w:w="1465" w:type="dxa"/>
            <w:vMerge w:val="continue"/>
            <w:shd w:val="clear" w:color="auto" w:fill="auto"/>
            <w:vAlign w:val="center"/>
          </w:tcPr>
          <w:p w14:paraId="6F2D5A1F">
            <w:pPr>
              <w:jc w:val="center"/>
              <w:rPr>
                <w:rFonts w:hint="eastAsia" w:ascii="宋体" w:hAnsi="宋体" w:eastAsia="宋体" w:cs="宋体"/>
                <w:i w:val="0"/>
                <w:iCs w:val="0"/>
                <w:color w:val="000000"/>
                <w:sz w:val="21"/>
                <w:szCs w:val="21"/>
                <w:u w:val="none"/>
              </w:rPr>
            </w:pPr>
          </w:p>
        </w:tc>
        <w:tc>
          <w:tcPr>
            <w:tcW w:w="6288" w:type="dxa"/>
            <w:shd w:val="clear" w:color="auto" w:fill="auto"/>
            <w:vAlign w:val="center"/>
          </w:tcPr>
          <w:p w14:paraId="13B0A47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▲加油站双数据库作弊预警分析功能，并提供此功能实行的演示和详细分析案例</w:t>
            </w:r>
          </w:p>
        </w:tc>
      </w:tr>
      <w:tr w14:paraId="7BA91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760" w:type="dxa"/>
            <w:shd w:val="clear" w:color="auto" w:fill="auto"/>
            <w:vAlign w:val="center"/>
          </w:tcPr>
          <w:p w14:paraId="200354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c>
          <w:tcPr>
            <w:tcW w:w="1374" w:type="dxa"/>
            <w:vMerge w:val="continue"/>
            <w:shd w:val="clear" w:color="auto" w:fill="auto"/>
            <w:vAlign w:val="center"/>
          </w:tcPr>
          <w:p w14:paraId="7C5E2458">
            <w:pPr>
              <w:jc w:val="center"/>
              <w:rPr>
                <w:rFonts w:hint="eastAsia" w:ascii="宋体" w:hAnsi="宋体" w:eastAsia="宋体" w:cs="宋体"/>
                <w:i w:val="0"/>
                <w:iCs w:val="0"/>
                <w:color w:val="000000"/>
                <w:sz w:val="21"/>
                <w:szCs w:val="21"/>
                <w:u w:val="none"/>
              </w:rPr>
            </w:pPr>
          </w:p>
        </w:tc>
        <w:tc>
          <w:tcPr>
            <w:tcW w:w="1465" w:type="dxa"/>
            <w:vMerge w:val="continue"/>
            <w:shd w:val="clear" w:color="auto" w:fill="auto"/>
            <w:vAlign w:val="center"/>
          </w:tcPr>
          <w:p w14:paraId="4ABA130D">
            <w:pPr>
              <w:jc w:val="center"/>
              <w:rPr>
                <w:rFonts w:hint="eastAsia" w:ascii="宋体" w:hAnsi="宋体" w:eastAsia="宋体" w:cs="宋体"/>
                <w:i w:val="0"/>
                <w:iCs w:val="0"/>
                <w:color w:val="000000"/>
                <w:sz w:val="21"/>
                <w:szCs w:val="21"/>
                <w:u w:val="none"/>
              </w:rPr>
            </w:pPr>
          </w:p>
        </w:tc>
        <w:tc>
          <w:tcPr>
            <w:tcW w:w="6288" w:type="dxa"/>
            <w:shd w:val="clear" w:color="auto" w:fill="auto"/>
            <w:vAlign w:val="center"/>
          </w:tcPr>
          <w:p w14:paraId="6A298D9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▲加油站泵码数异常预警分析功能，并提供此功能实行的演示和详细分析案例</w:t>
            </w:r>
          </w:p>
        </w:tc>
      </w:tr>
      <w:tr w14:paraId="41667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760" w:type="dxa"/>
            <w:shd w:val="clear" w:color="auto" w:fill="auto"/>
            <w:vAlign w:val="center"/>
          </w:tcPr>
          <w:p w14:paraId="4DFBCD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w:t>
            </w:r>
          </w:p>
        </w:tc>
        <w:tc>
          <w:tcPr>
            <w:tcW w:w="1374" w:type="dxa"/>
            <w:vMerge w:val="continue"/>
            <w:shd w:val="clear" w:color="auto" w:fill="auto"/>
            <w:vAlign w:val="center"/>
          </w:tcPr>
          <w:p w14:paraId="2F14E0F4">
            <w:pPr>
              <w:jc w:val="center"/>
              <w:rPr>
                <w:rFonts w:hint="eastAsia" w:ascii="宋体" w:hAnsi="宋体" w:eastAsia="宋体" w:cs="宋体"/>
                <w:i w:val="0"/>
                <w:iCs w:val="0"/>
                <w:color w:val="000000"/>
                <w:sz w:val="21"/>
                <w:szCs w:val="21"/>
                <w:u w:val="none"/>
              </w:rPr>
            </w:pPr>
          </w:p>
        </w:tc>
        <w:tc>
          <w:tcPr>
            <w:tcW w:w="1465" w:type="dxa"/>
            <w:vMerge w:val="continue"/>
            <w:shd w:val="clear" w:color="auto" w:fill="auto"/>
            <w:vAlign w:val="center"/>
          </w:tcPr>
          <w:p w14:paraId="7EA62A12">
            <w:pPr>
              <w:jc w:val="center"/>
              <w:rPr>
                <w:rFonts w:hint="eastAsia" w:ascii="宋体" w:hAnsi="宋体" w:eastAsia="宋体" w:cs="宋体"/>
                <w:i w:val="0"/>
                <w:iCs w:val="0"/>
                <w:color w:val="000000"/>
                <w:sz w:val="21"/>
                <w:szCs w:val="21"/>
                <w:u w:val="none"/>
              </w:rPr>
            </w:pPr>
          </w:p>
        </w:tc>
        <w:tc>
          <w:tcPr>
            <w:tcW w:w="6288" w:type="dxa"/>
            <w:shd w:val="clear" w:color="auto" w:fill="auto"/>
            <w:vAlign w:val="center"/>
          </w:tcPr>
          <w:p w14:paraId="2507D7E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▲加油站修改订单金额作弊预警分析功能，并提供此功能实行的演示和详细分析案例</w:t>
            </w:r>
          </w:p>
        </w:tc>
      </w:tr>
      <w:tr w14:paraId="3B9F1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760" w:type="dxa"/>
            <w:shd w:val="clear" w:color="auto" w:fill="auto"/>
            <w:vAlign w:val="center"/>
          </w:tcPr>
          <w:p w14:paraId="07AF28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w:t>
            </w:r>
          </w:p>
        </w:tc>
        <w:tc>
          <w:tcPr>
            <w:tcW w:w="1374" w:type="dxa"/>
            <w:vMerge w:val="continue"/>
            <w:shd w:val="clear" w:color="auto" w:fill="auto"/>
            <w:vAlign w:val="center"/>
          </w:tcPr>
          <w:p w14:paraId="70762EB5">
            <w:pPr>
              <w:jc w:val="center"/>
              <w:rPr>
                <w:rFonts w:hint="eastAsia" w:ascii="宋体" w:hAnsi="宋体" w:eastAsia="宋体" w:cs="宋体"/>
                <w:i w:val="0"/>
                <w:iCs w:val="0"/>
                <w:color w:val="000000"/>
                <w:sz w:val="21"/>
                <w:szCs w:val="21"/>
                <w:u w:val="none"/>
              </w:rPr>
            </w:pPr>
          </w:p>
        </w:tc>
        <w:tc>
          <w:tcPr>
            <w:tcW w:w="1465" w:type="dxa"/>
            <w:vMerge w:val="continue"/>
            <w:shd w:val="clear" w:color="auto" w:fill="auto"/>
            <w:vAlign w:val="center"/>
          </w:tcPr>
          <w:p w14:paraId="4A8EB0AF">
            <w:pPr>
              <w:jc w:val="center"/>
              <w:rPr>
                <w:rFonts w:hint="eastAsia" w:ascii="宋体" w:hAnsi="宋体" w:eastAsia="宋体" w:cs="宋体"/>
                <w:i w:val="0"/>
                <w:iCs w:val="0"/>
                <w:color w:val="000000"/>
                <w:sz w:val="21"/>
                <w:szCs w:val="21"/>
                <w:u w:val="none"/>
              </w:rPr>
            </w:pPr>
          </w:p>
        </w:tc>
        <w:tc>
          <w:tcPr>
            <w:tcW w:w="6288" w:type="dxa"/>
            <w:shd w:val="clear" w:color="auto" w:fill="auto"/>
            <w:vAlign w:val="center"/>
          </w:tcPr>
          <w:p w14:paraId="5F339A7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▲加油站隐匿订单条数作弊预警分析功能，并提供此功能实行的演示和详细分析案例</w:t>
            </w:r>
          </w:p>
        </w:tc>
      </w:tr>
      <w:tr w14:paraId="14AA0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760" w:type="dxa"/>
            <w:shd w:val="clear" w:color="auto" w:fill="auto"/>
            <w:vAlign w:val="center"/>
          </w:tcPr>
          <w:p w14:paraId="66DDAD3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1374" w:type="dxa"/>
            <w:vMerge w:val="restart"/>
            <w:shd w:val="clear" w:color="auto" w:fill="auto"/>
            <w:vAlign w:val="center"/>
          </w:tcPr>
          <w:p w14:paraId="4EFFD4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预警管理</w:t>
            </w:r>
          </w:p>
        </w:tc>
        <w:tc>
          <w:tcPr>
            <w:tcW w:w="1465" w:type="dxa"/>
            <w:vMerge w:val="restart"/>
            <w:shd w:val="clear" w:color="auto" w:fill="auto"/>
            <w:vAlign w:val="center"/>
          </w:tcPr>
          <w:p w14:paraId="7792A9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预警列表</w:t>
            </w:r>
          </w:p>
        </w:tc>
        <w:tc>
          <w:tcPr>
            <w:tcW w:w="6288" w:type="dxa"/>
            <w:shd w:val="clear" w:color="auto" w:fill="auto"/>
            <w:vAlign w:val="center"/>
          </w:tcPr>
          <w:p w14:paraId="5413B7B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查看预警详细信息数据</w:t>
            </w:r>
          </w:p>
        </w:tc>
      </w:tr>
      <w:tr w14:paraId="68C31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760" w:type="dxa"/>
            <w:shd w:val="clear" w:color="auto" w:fill="auto"/>
            <w:vAlign w:val="center"/>
          </w:tcPr>
          <w:p w14:paraId="0BD085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w:t>
            </w:r>
          </w:p>
        </w:tc>
        <w:tc>
          <w:tcPr>
            <w:tcW w:w="1374" w:type="dxa"/>
            <w:vMerge w:val="continue"/>
            <w:shd w:val="clear" w:color="auto" w:fill="auto"/>
            <w:vAlign w:val="center"/>
          </w:tcPr>
          <w:p w14:paraId="1FC555EE">
            <w:pPr>
              <w:jc w:val="center"/>
              <w:rPr>
                <w:rFonts w:hint="eastAsia" w:ascii="宋体" w:hAnsi="宋体" w:eastAsia="宋体" w:cs="宋体"/>
                <w:i w:val="0"/>
                <w:iCs w:val="0"/>
                <w:color w:val="000000"/>
                <w:sz w:val="21"/>
                <w:szCs w:val="21"/>
                <w:u w:val="none"/>
              </w:rPr>
            </w:pPr>
          </w:p>
        </w:tc>
        <w:tc>
          <w:tcPr>
            <w:tcW w:w="1465" w:type="dxa"/>
            <w:vMerge w:val="continue"/>
            <w:shd w:val="clear" w:color="auto" w:fill="auto"/>
            <w:vAlign w:val="center"/>
          </w:tcPr>
          <w:p w14:paraId="7CDADE2E">
            <w:pPr>
              <w:jc w:val="center"/>
              <w:rPr>
                <w:rFonts w:hint="eastAsia" w:ascii="宋体" w:hAnsi="宋体" w:eastAsia="宋体" w:cs="宋体"/>
                <w:i w:val="0"/>
                <w:iCs w:val="0"/>
                <w:color w:val="000000"/>
                <w:sz w:val="21"/>
                <w:szCs w:val="21"/>
                <w:u w:val="none"/>
              </w:rPr>
            </w:pPr>
          </w:p>
        </w:tc>
        <w:tc>
          <w:tcPr>
            <w:tcW w:w="6288" w:type="dxa"/>
            <w:shd w:val="clear" w:color="auto" w:fill="auto"/>
            <w:vAlign w:val="center"/>
          </w:tcPr>
          <w:p w14:paraId="3572740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▲对需要整改油站提交的自查自纠报告进行确认，确认时候要求油站进行整改（提供截图证明）</w:t>
            </w:r>
          </w:p>
        </w:tc>
      </w:tr>
      <w:tr w14:paraId="634A8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760" w:type="dxa"/>
            <w:shd w:val="clear" w:color="auto" w:fill="auto"/>
            <w:vAlign w:val="center"/>
          </w:tcPr>
          <w:p w14:paraId="0744AB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w:t>
            </w:r>
          </w:p>
        </w:tc>
        <w:tc>
          <w:tcPr>
            <w:tcW w:w="1374" w:type="dxa"/>
            <w:vMerge w:val="continue"/>
            <w:shd w:val="clear" w:color="auto" w:fill="auto"/>
            <w:vAlign w:val="center"/>
          </w:tcPr>
          <w:p w14:paraId="63BB70B2">
            <w:pPr>
              <w:jc w:val="center"/>
              <w:rPr>
                <w:rFonts w:hint="eastAsia" w:ascii="宋体" w:hAnsi="宋体" w:eastAsia="宋体" w:cs="宋体"/>
                <w:i w:val="0"/>
                <w:iCs w:val="0"/>
                <w:color w:val="000000"/>
                <w:sz w:val="21"/>
                <w:szCs w:val="21"/>
                <w:u w:val="none"/>
              </w:rPr>
            </w:pPr>
          </w:p>
        </w:tc>
        <w:tc>
          <w:tcPr>
            <w:tcW w:w="1465" w:type="dxa"/>
            <w:vMerge w:val="continue"/>
            <w:shd w:val="clear" w:color="auto" w:fill="auto"/>
            <w:vAlign w:val="center"/>
          </w:tcPr>
          <w:p w14:paraId="7B4A4EE4">
            <w:pPr>
              <w:jc w:val="center"/>
              <w:rPr>
                <w:rFonts w:hint="eastAsia" w:ascii="宋体" w:hAnsi="宋体" w:eastAsia="宋体" w:cs="宋体"/>
                <w:i w:val="0"/>
                <w:iCs w:val="0"/>
                <w:color w:val="000000"/>
                <w:sz w:val="21"/>
                <w:szCs w:val="21"/>
                <w:u w:val="none"/>
              </w:rPr>
            </w:pPr>
          </w:p>
        </w:tc>
        <w:tc>
          <w:tcPr>
            <w:tcW w:w="6288" w:type="dxa"/>
            <w:shd w:val="clear" w:color="auto" w:fill="auto"/>
            <w:vAlign w:val="center"/>
          </w:tcPr>
          <w:p w14:paraId="64B912B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▲对无需整改加油站预警直接关闭整改，预警状态取消（提供截图证明）</w:t>
            </w:r>
          </w:p>
        </w:tc>
      </w:tr>
      <w:tr w14:paraId="2FA8C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760" w:type="dxa"/>
            <w:shd w:val="clear" w:color="auto" w:fill="auto"/>
            <w:vAlign w:val="center"/>
          </w:tcPr>
          <w:p w14:paraId="4A2BDB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w:t>
            </w:r>
          </w:p>
        </w:tc>
        <w:tc>
          <w:tcPr>
            <w:tcW w:w="1374" w:type="dxa"/>
            <w:vMerge w:val="continue"/>
            <w:shd w:val="clear" w:color="auto" w:fill="auto"/>
            <w:vAlign w:val="center"/>
          </w:tcPr>
          <w:p w14:paraId="56EB893D">
            <w:pPr>
              <w:jc w:val="center"/>
              <w:rPr>
                <w:rFonts w:hint="eastAsia" w:ascii="宋体" w:hAnsi="宋体" w:eastAsia="宋体" w:cs="宋体"/>
                <w:i w:val="0"/>
                <w:iCs w:val="0"/>
                <w:color w:val="000000"/>
                <w:sz w:val="21"/>
                <w:szCs w:val="21"/>
                <w:u w:val="none"/>
              </w:rPr>
            </w:pPr>
          </w:p>
        </w:tc>
        <w:tc>
          <w:tcPr>
            <w:tcW w:w="1465" w:type="dxa"/>
            <w:vMerge w:val="restart"/>
            <w:shd w:val="clear" w:color="auto" w:fill="auto"/>
            <w:vAlign w:val="center"/>
          </w:tcPr>
          <w:p w14:paraId="7B2649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整改审批</w:t>
            </w:r>
          </w:p>
        </w:tc>
        <w:tc>
          <w:tcPr>
            <w:tcW w:w="6288" w:type="dxa"/>
            <w:shd w:val="clear" w:color="auto" w:fill="auto"/>
            <w:vAlign w:val="center"/>
          </w:tcPr>
          <w:p w14:paraId="1169514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利用搜索参数进行数据搜索</w:t>
            </w:r>
          </w:p>
        </w:tc>
      </w:tr>
      <w:tr w14:paraId="6477B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760" w:type="dxa"/>
            <w:shd w:val="clear" w:color="auto" w:fill="auto"/>
            <w:vAlign w:val="center"/>
          </w:tcPr>
          <w:p w14:paraId="141B81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w:t>
            </w:r>
          </w:p>
        </w:tc>
        <w:tc>
          <w:tcPr>
            <w:tcW w:w="1374" w:type="dxa"/>
            <w:vMerge w:val="continue"/>
            <w:shd w:val="clear" w:color="auto" w:fill="auto"/>
            <w:vAlign w:val="center"/>
          </w:tcPr>
          <w:p w14:paraId="1E0934EC">
            <w:pPr>
              <w:jc w:val="center"/>
              <w:rPr>
                <w:rFonts w:hint="eastAsia" w:ascii="宋体" w:hAnsi="宋体" w:eastAsia="宋体" w:cs="宋体"/>
                <w:i w:val="0"/>
                <w:iCs w:val="0"/>
                <w:color w:val="000000"/>
                <w:sz w:val="21"/>
                <w:szCs w:val="21"/>
                <w:u w:val="none"/>
              </w:rPr>
            </w:pPr>
          </w:p>
        </w:tc>
        <w:tc>
          <w:tcPr>
            <w:tcW w:w="1465" w:type="dxa"/>
            <w:vMerge w:val="continue"/>
            <w:shd w:val="clear" w:color="auto" w:fill="auto"/>
            <w:vAlign w:val="center"/>
          </w:tcPr>
          <w:p w14:paraId="4C8CF819">
            <w:pPr>
              <w:jc w:val="center"/>
              <w:rPr>
                <w:rFonts w:hint="eastAsia" w:ascii="宋体" w:hAnsi="宋体" w:eastAsia="宋体" w:cs="宋体"/>
                <w:i w:val="0"/>
                <w:iCs w:val="0"/>
                <w:color w:val="000000"/>
                <w:sz w:val="21"/>
                <w:szCs w:val="21"/>
                <w:u w:val="none"/>
              </w:rPr>
            </w:pPr>
          </w:p>
        </w:tc>
        <w:tc>
          <w:tcPr>
            <w:tcW w:w="6288" w:type="dxa"/>
            <w:shd w:val="clear" w:color="auto" w:fill="auto"/>
            <w:vAlign w:val="center"/>
          </w:tcPr>
          <w:p w14:paraId="5531505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展示油站上传的整改信息进行整理</w:t>
            </w:r>
          </w:p>
        </w:tc>
      </w:tr>
      <w:tr w14:paraId="3ABA8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760" w:type="dxa"/>
            <w:shd w:val="clear" w:color="auto" w:fill="auto"/>
            <w:vAlign w:val="center"/>
          </w:tcPr>
          <w:p w14:paraId="20AEAA5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c>
          <w:tcPr>
            <w:tcW w:w="1374" w:type="dxa"/>
            <w:vMerge w:val="continue"/>
            <w:shd w:val="clear" w:color="auto" w:fill="auto"/>
            <w:vAlign w:val="center"/>
          </w:tcPr>
          <w:p w14:paraId="40F26C35">
            <w:pPr>
              <w:jc w:val="center"/>
              <w:rPr>
                <w:rFonts w:hint="eastAsia" w:ascii="宋体" w:hAnsi="宋体" w:eastAsia="宋体" w:cs="宋体"/>
                <w:i w:val="0"/>
                <w:iCs w:val="0"/>
                <w:color w:val="000000"/>
                <w:sz w:val="21"/>
                <w:szCs w:val="21"/>
                <w:u w:val="none"/>
              </w:rPr>
            </w:pPr>
          </w:p>
        </w:tc>
        <w:tc>
          <w:tcPr>
            <w:tcW w:w="1465" w:type="dxa"/>
            <w:vMerge w:val="continue"/>
            <w:shd w:val="clear" w:color="auto" w:fill="auto"/>
            <w:vAlign w:val="center"/>
          </w:tcPr>
          <w:p w14:paraId="31ACDED4">
            <w:pPr>
              <w:jc w:val="center"/>
              <w:rPr>
                <w:rFonts w:hint="eastAsia" w:ascii="宋体" w:hAnsi="宋体" w:eastAsia="宋体" w:cs="宋体"/>
                <w:i w:val="0"/>
                <w:iCs w:val="0"/>
                <w:color w:val="000000"/>
                <w:sz w:val="21"/>
                <w:szCs w:val="21"/>
                <w:u w:val="none"/>
              </w:rPr>
            </w:pPr>
          </w:p>
        </w:tc>
        <w:tc>
          <w:tcPr>
            <w:tcW w:w="6288" w:type="dxa"/>
            <w:shd w:val="clear" w:color="auto" w:fill="auto"/>
            <w:vAlign w:val="center"/>
          </w:tcPr>
          <w:p w14:paraId="1759A38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1、商务局对油站提交的整改信息进行审批操作，审批不通过的重新流转至油站提交整改信息阶段；审批通过，可进行观察期配置，没有特殊配置观察期的默认观察期为14天  2、经过多轮审批的预警，展示历史审批记录</w:t>
            </w:r>
          </w:p>
        </w:tc>
      </w:tr>
      <w:tr w14:paraId="12E41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60" w:type="dxa"/>
            <w:shd w:val="clear" w:color="auto" w:fill="auto"/>
            <w:vAlign w:val="center"/>
          </w:tcPr>
          <w:p w14:paraId="3E7C34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w:t>
            </w:r>
          </w:p>
        </w:tc>
        <w:tc>
          <w:tcPr>
            <w:tcW w:w="1374" w:type="dxa"/>
            <w:vMerge w:val="continue"/>
            <w:shd w:val="clear" w:color="auto" w:fill="auto"/>
            <w:vAlign w:val="center"/>
          </w:tcPr>
          <w:p w14:paraId="55BEDCE4">
            <w:pPr>
              <w:jc w:val="center"/>
              <w:rPr>
                <w:rFonts w:hint="eastAsia" w:ascii="宋体" w:hAnsi="宋体" w:eastAsia="宋体" w:cs="宋体"/>
                <w:i w:val="0"/>
                <w:iCs w:val="0"/>
                <w:color w:val="000000"/>
                <w:sz w:val="21"/>
                <w:szCs w:val="21"/>
                <w:u w:val="none"/>
              </w:rPr>
            </w:pPr>
          </w:p>
        </w:tc>
        <w:tc>
          <w:tcPr>
            <w:tcW w:w="1465" w:type="dxa"/>
            <w:vMerge w:val="continue"/>
            <w:shd w:val="clear" w:color="auto" w:fill="auto"/>
            <w:vAlign w:val="center"/>
          </w:tcPr>
          <w:p w14:paraId="04FC1145">
            <w:pPr>
              <w:jc w:val="center"/>
              <w:rPr>
                <w:rFonts w:hint="eastAsia" w:ascii="宋体" w:hAnsi="宋体" w:eastAsia="宋体" w:cs="宋体"/>
                <w:i w:val="0"/>
                <w:iCs w:val="0"/>
                <w:color w:val="000000"/>
                <w:sz w:val="21"/>
                <w:szCs w:val="21"/>
                <w:u w:val="none"/>
              </w:rPr>
            </w:pPr>
          </w:p>
        </w:tc>
        <w:tc>
          <w:tcPr>
            <w:tcW w:w="6288" w:type="dxa"/>
            <w:shd w:val="clear" w:color="auto" w:fill="auto"/>
            <w:vAlign w:val="center"/>
          </w:tcPr>
          <w:p w14:paraId="0093473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多次审批不通过情况下，需要填写流转督查原因/说明</w:t>
            </w:r>
          </w:p>
        </w:tc>
      </w:tr>
      <w:tr w14:paraId="7CD92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760" w:type="dxa"/>
            <w:shd w:val="clear" w:color="auto" w:fill="auto"/>
            <w:vAlign w:val="center"/>
          </w:tcPr>
          <w:p w14:paraId="7F340F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w:t>
            </w:r>
          </w:p>
        </w:tc>
        <w:tc>
          <w:tcPr>
            <w:tcW w:w="1374" w:type="dxa"/>
            <w:vMerge w:val="restart"/>
            <w:shd w:val="clear" w:color="auto" w:fill="auto"/>
            <w:vAlign w:val="center"/>
          </w:tcPr>
          <w:p w14:paraId="3B3E7D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油站管理</w:t>
            </w:r>
          </w:p>
        </w:tc>
        <w:tc>
          <w:tcPr>
            <w:tcW w:w="1465" w:type="dxa"/>
            <w:shd w:val="clear" w:color="auto" w:fill="auto"/>
            <w:vAlign w:val="center"/>
          </w:tcPr>
          <w:p w14:paraId="54A36A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搜索</w:t>
            </w:r>
          </w:p>
        </w:tc>
        <w:tc>
          <w:tcPr>
            <w:tcW w:w="6288" w:type="dxa"/>
            <w:shd w:val="clear" w:color="auto" w:fill="auto"/>
            <w:vAlign w:val="center"/>
          </w:tcPr>
          <w:p w14:paraId="13CB14B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利用搜索参数进行数据搜索</w:t>
            </w:r>
          </w:p>
        </w:tc>
      </w:tr>
      <w:tr w14:paraId="15353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60" w:type="dxa"/>
            <w:shd w:val="clear" w:color="auto" w:fill="auto"/>
            <w:vAlign w:val="center"/>
          </w:tcPr>
          <w:p w14:paraId="626798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w:t>
            </w:r>
          </w:p>
        </w:tc>
        <w:tc>
          <w:tcPr>
            <w:tcW w:w="1374" w:type="dxa"/>
            <w:vMerge w:val="continue"/>
            <w:shd w:val="clear" w:color="auto" w:fill="auto"/>
            <w:vAlign w:val="center"/>
          </w:tcPr>
          <w:p w14:paraId="2A415FF2">
            <w:pPr>
              <w:jc w:val="center"/>
              <w:rPr>
                <w:rFonts w:hint="eastAsia" w:ascii="宋体" w:hAnsi="宋体" w:eastAsia="宋体" w:cs="宋体"/>
                <w:i w:val="0"/>
                <w:iCs w:val="0"/>
                <w:color w:val="000000"/>
                <w:sz w:val="21"/>
                <w:szCs w:val="21"/>
                <w:u w:val="none"/>
              </w:rPr>
            </w:pPr>
          </w:p>
        </w:tc>
        <w:tc>
          <w:tcPr>
            <w:tcW w:w="1465" w:type="dxa"/>
            <w:shd w:val="clear" w:color="auto" w:fill="auto"/>
            <w:vAlign w:val="center"/>
          </w:tcPr>
          <w:p w14:paraId="39344F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油站展示列表</w:t>
            </w:r>
          </w:p>
        </w:tc>
        <w:tc>
          <w:tcPr>
            <w:tcW w:w="6288" w:type="dxa"/>
            <w:shd w:val="clear" w:color="auto" w:fill="auto"/>
            <w:vAlign w:val="center"/>
          </w:tcPr>
          <w:p w14:paraId="5420941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展示加油站信息数据列表</w:t>
            </w:r>
          </w:p>
        </w:tc>
      </w:tr>
      <w:tr w14:paraId="57B8B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760" w:type="dxa"/>
            <w:shd w:val="clear" w:color="auto" w:fill="auto"/>
            <w:vAlign w:val="center"/>
          </w:tcPr>
          <w:p w14:paraId="41FD435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w:t>
            </w:r>
          </w:p>
        </w:tc>
        <w:tc>
          <w:tcPr>
            <w:tcW w:w="1374" w:type="dxa"/>
            <w:vMerge w:val="continue"/>
            <w:shd w:val="clear" w:color="auto" w:fill="auto"/>
            <w:vAlign w:val="center"/>
          </w:tcPr>
          <w:p w14:paraId="2793352D">
            <w:pPr>
              <w:jc w:val="center"/>
              <w:rPr>
                <w:rFonts w:hint="eastAsia" w:ascii="宋体" w:hAnsi="宋体" w:eastAsia="宋体" w:cs="宋体"/>
                <w:i w:val="0"/>
                <w:iCs w:val="0"/>
                <w:color w:val="000000"/>
                <w:sz w:val="21"/>
                <w:szCs w:val="21"/>
                <w:u w:val="none"/>
              </w:rPr>
            </w:pPr>
          </w:p>
        </w:tc>
        <w:tc>
          <w:tcPr>
            <w:tcW w:w="1465" w:type="dxa"/>
            <w:shd w:val="clear" w:color="auto" w:fill="auto"/>
            <w:vAlign w:val="center"/>
          </w:tcPr>
          <w:p w14:paraId="37C23D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油站详情</w:t>
            </w:r>
          </w:p>
        </w:tc>
        <w:tc>
          <w:tcPr>
            <w:tcW w:w="6288" w:type="dxa"/>
            <w:shd w:val="clear" w:color="auto" w:fill="auto"/>
            <w:vAlign w:val="center"/>
          </w:tcPr>
          <w:p w14:paraId="6DFD350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查看油站基本参数信息、营业状态与工商信息</w:t>
            </w:r>
          </w:p>
        </w:tc>
      </w:tr>
      <w:tr w14:paraId="6BC8F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760" w:type="dxa"/>
            <w:shd w:val="clear" w:color="auto" w:fill="auto"/>
            <w:vAlign w:val="center"/>
          </w:tcPr>
          <w:p w14:paraId="0F8CDA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w:t>
            </w:r>
          </w:p>
        </w:tc>
        <w:tc>
          <w:tcPr>
            <w:tcW w:w="1374" w:type="dxa"/>
            <w:vMerge w:val="restart"/>
            <w:shd w:val="clear" w:color="auto" w:fill="auto"/>
            <w:vAlign w:val="center"/>
          </w:tcPr>
          <w:p w14:paraId="035857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数据统计</w:t>
            </w:r>
          </w:p>
        </w:tc>
        <w:tc>
          <w:tcPr>
            <w:tcW w:w="1465" w:type="dxa"/>
            <w:shd w:val="clear" w:color="auto" w:fill="auto"/>
            <w:vAlign w:val="center"/>
          </w:tcPr>
          <w:p w14:paraId="7D79A0C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预警数量</w:t>
            </w:r>
          </w:p>
        </w:tc>
        <w:tc>
          <w:tcPr>
            <w:tcW w:w="6288" w:type="dxa"/>
            <w:shd w:val="clear" w:color="auto" w:fill="auto"/>
            <w:vAlign w:val="center"/>
          </w:tcPr>
          <w:p w14:paraId="458D549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历史预警数据统计，包含预警总数、预警中、观察中，区域维度数据统计</w:t>
            </w:r>
          </w:p>
        </w:tc>
      </w:tr>
      <w:tr w14:paraId="12D7D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760" w:type="dxa"/>
            <w:shd w:val="clear" w:color="auto" w:fill="auto"/>
            <w:vAlign w:val="center"/>
          </w:tcPr>
          <w:p w14:paraId="7569044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w:t>
            </w:r>
          </w:p>
        </w:tc>
        <w:tc>
          <w:tcPr>
            <w:tcW w:w="1374" w:type="dxa"/>
            <w:vMerge w:val="continue"/>
            <w:shd w:val="clear" w:color="auto" w:fill="auto"/>
            <w:vAlign w:val="center"/>
          </w:tcPr>
          <w:p w14:paraId="1FDCC715">
            <w:pPr>
              <w:jc w:val="center"/>
              <w:rPr>
                <w:rFonts w:hint="eastAsia" w:ascii="宋体" w:hAnsi="宋体" w:eastAsia="宋体" w:cs="宋体"/>
                <w:i w:val="0"/>
                <w:iCs w:val="0"/>
                <w:color w:val="000000"/>
                <w:sz w:val="21"/>
                <w:szCs w:val="21"/>
                <w:u w:val="none"/>
              </w:rPr>
            </w:pPr>
          </w:p>
        </w:tc>
        <w:tc>
          <w:tcPr>
            <w:tcW w:w="1465" w:type="dxa"/>
            <w:shd w:val="clear" w:color="auto" w:fill="auto"/>
            <w:vAlign w:val="center"/>
          </w:tcPr>
          <w:p w14:paraId="1A30106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预警前后经营数据</w:t>
            </w:r>
          </w:p>
        </w:tc>
        <w:tc>
          <w:tcPr>
            <w:tcW w:w="6288" w:type="dxa"/>
            <w:shd w:val="clear" w:color="auto" w:fill="auto"/>
            <w:vAlign w:val="center"/>
          </w:tcPr>
          <w:p w14:paraId="295D6A9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对油站整改前与整改后数据比对</w:t>
            </w:r>
          </w:p>
        </w:tc>
      </w:tr>
      <w:tr w14:paraId="45066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9887" w:type="dxa"/>
            <w:gridSpan w:val="4"/>
            <w:shd w:val="clear" w:color="auto" w:fill="auto"/>
            <w:vAlign w:val="center"/>
          </w:tcPr>
          <w:p w14:paraId="4441EED3">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四、预警平台—油站端</w:t>
            </w:r>
          </w:p>
        </w:tc>
      </w:tr>
      <w:tr w14:paraId="3636A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760" w:type="dxa"/>
            <w:shd w:val="clear" w:color="auto" w:fill="auto"/>
            <w:vAlign w:val="center"/>
          </w:tcPr>
          <w:p w14:paraId="6CF62B7C">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374" w:type="dxa"/>
            <w:shd w:val="clear" w:color="auto" w:fill="auto"/>
            <w:vAlign w:val="center"/>
          </w:tcPr>
          <w:p w14:paraId="2610957A">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一级功能</w:t>
            </w:r>
          </w:p>
        </w:tc>
        <w:tc>
          <w:tcPr>
            <w:tcW w:w="1465" w:type="dxa"/>
            <w:shd w:val="clear" w:color="auto" w:fill="auto"/>
            <w:vAlign w:val="center"/>
          </w:tcPr>
          <w:p w14:paraId="6FF4D427">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二级功能</w:t>
            </w:r>
          </w:p>
        </w:tc>
        <w:tc>
          <w:tcPr>
            <w:tcW w:w="6288" w:type="dxa"/>
            <w:shd w:val="clear" w:color="auto" w:fill="auto"/>
            <w:vAlign w:val="center"/>
          </w:tcPr>
          <w:p w14:paraId="5CCF9972">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功能描述</w:t>
            </w:r>
          </w:p>
        </w:tc>
      </w:tr>
      <w:tr w14:paraId="3175B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760" w:type="dxa"/>
            <w:shd w:val="clear" w:color="auto" w:fill="auto"/>
            <w:vAlign w:val="center"/>
          </w:tcPr>
          <w:p w14:paraId="62F40F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374" w:type="dxa"/>
            <w:shd w:val="clear" w:color="auto" w:fill="auto"/>
            <w:vAlign w:val="center"/>
          </w:tcPr>
          <w:p w14:paraId="5F8C5F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公共</w:t>
            </w:r>
          </w:p>
        </w:tc>
        <w:tc>
          <w:tcPr>
            <w:tcW w:w="1465" w:type="dxa"/>
            <w:shd w:val="clear" w:color="auto" w:fill="auto"/>
            <w:vAlign w:val="center"/>
          </w:tcPr>
          <w:p w14:paraId="1D48A2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自动退出登录</w:t>
            </w:r>
          </w:p>
        </w:tc>
        <w:tc>
          <w:tcPr>
            <w:tcW w:w="6288" w:type="dxa"/>
            <w:shd w:val="clear" w:color="auto" w:fill="auto"/>
            <w:vAlign w:val="center"/>
          </w:tcPr>
          <w:p w14:paraId="02DCC6C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无操作实现自动退出登录，登录状态下有操作时重新续签</w:t>
            </w:r>
          </w:p>
        </w:tc>
      </w:tr>
      <w:tr w14:paraId="4CB78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760" w:type="dxa"/>
            <w:shd w:val="clear" w:color="auto" w:fill="auto"/>
            <w:vAlign w:val="center"/>
          </w:tcPr>
          <w:p w14:paraId="7DBA755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374" w:type="dxa"/>
            <w:vMerge w:val="restart"/>
            <w:shd w:val="clear" w:color="auto" w:fill="auto"/>
            <w:vAlign w:val="center"/>
          </w:tcPr>
          <w:p w14:paraId="02F880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登录</w:t>
            </w:r>
          </w:p>
        </w:tc>
        <w:tc>
          <w:tcPr>
            <w:tcW w:w="1465" w:type="dxa"/>
            <w:shd w:val="clear" w:color="auto" w:fill="auto"/>
            <w:vAlign w:val="center"/>
          </w:tcPr>
          <w:p w14:paraId="49EA86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账号、密码、验证码</w:t>
            </w:r>
          </w:p>
        </w:tc>
        <w:tc>
          <w:tcPr>
            <w:tcW w:w="6288" w:type="dxa"/>
            <w:shd w:val="clear" w:color="auto" w:fill="auto"/>
            <w:vAlign w:val="center"/>
          </w:tcPr>
          <w:p w14:paraId="51AA735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油站人员进入系统时需要进行账号密码验证，油站人员填写正确账号密码进入相应油站管理页面</w:t>
            </w:r>
          </w:p>
        </w:tc>
      </w:tr>
      <w:tr w14:paraId="775BC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760" w:type="dxa"/>
            <w:shd w:val="clear" w:color="auto" w:fill="auto"/>
            <w:vAlign w:val="center"/>
          </w:tcPr>
          <w:p w14:paraId="3137A9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374" w:type="dxa"/>
            <w:vMerge w:val="continue"/>
            <w:shd w:val="clear" w:color="auto" w:fill="auto"/>
            <w:vAlign w:val="center"/>
          </w:tcPr>
          <w:p w14:paraId="199CE3CC">
            <w:pPr>
              <w:jc w:val="center"/>
              <w:rPr>
                <w:rFonts w:hint="eastAsia" w:ascii="宋体" w:hAnsi="宋体" w:eastAsia="宋体" w:cs="宋体"/>
                <w:i w:val="0"/>
                <w:iCs w:val="0"/>
                <w:color w:val="000000"/>
                <w:sz w:val="21"/>
                <w:szCs w:val="21"/>
                <w:u w:val="none"/>
              </w:rPr>
            </w:pPr>
          </w:p>
        </w:tc>
        <w:tc>
          <w:tcPr>
            <w:tcW w:w="1465" w:type="dxa"/>
            <w:shd w:val="clear" w:color="auto" w:fill="auto"/>
            <w:vAlign w:val="center"/>
          </w:tcPr>
          <w:p w14:paraId="4E04F9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忘记密码</w:t>
            </w:r>
          </w:p>
        </w:tc>
        <w:tc>
          <w:tcPr>
            <w:tcW w:w="6288" w:type="dxa"/>
            <w:shd w:val="clear" w:color="auto" w:fill="auto"/>
            <w:vAlign w:val="center"/>
          </w:tcPr>
          <w:p w14:paraId="35769B4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油站人员忘记登录密码可利用后台配置的默认手机号码进行密码修改操作</w:t>
            </w:r>
          </w:p>
        </w:tc>
      </w:tr>
      <w:tr w14:paraId="1449D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760" w:type="dxa"/>
            <w:shd w:val="clear" w:color="auto" w:fill="auto"/>
            <w:vAlign w:val="center"/>
          </w:tcPr>
          <w:p w14:paraId="19E2342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374" w:type="dxa"/>
            <w:vMerge w:val="restart"/>
            <w:shd w:val="clear" w:color="auto" w:fill="auto"/>
            <w:vAlign w:val="center"/>
          </w:tcPr>
          <w:p w14:paraId="1F6648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预警管理</w:t>
            </w:r>
          </w:p>
        </w:tc>
        <w:tc>
          <w:tcPr>
            <w:tcW w:w="1465" w:type="dxa"/>
            <w:vMerge w:val="restart"/>
            <w:shd w:val="clear" w:color="auto" w:fill="auto"/>
            <w:vAlign w:val="center"/>
          </w:tcPr>
          <w:p w14:paraId="3C0228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预警管理</w:t>
            </w:r>
          </w:p>
        </w:tc>
        <w:tc>
          <w:tcPr>
            <w:tcW w:w="6288" w:type="dxa"/>
            <w:shd w:val="clear" w:color="auto" w:fill="auto"/>
            <w:vAlign w:val="center"/>
          </w:tcPr>
          <w:p w14:paraId="04DF036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预警历史数据展示列表，包含新预警、旧预警</w:t>
            </w:r>
          </w:p>
        </w:tc>
      </w:tr>
      <w:tr w14:paraId="3413E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760" w:type="dxa"/>
            <w:shd w:val="clear" w:color="auto" w:fill="auto"/>
            <w:vAlign w:val="center"/>
          </w:tcPr>
          <w:p w14:paraId="18EB0A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374" w:type="dxa"/>
            <w:vMerge w:val="continue"/>
            <w:shd w:val="clear" w:color="auto" w:fill="auto"/>
            <w:vAlign w:val="center"/>
          </w:tcPr>
          <w:p w14:paraId="56FCF203">
            <w:pPr>
              <w:jc w:val="center"/>
              <w:rPr>
                <w:rFonts w:hint="eastAsia" w:ascii="宋体" w:hAnsi="宋体" w:eastAsia="宋体" w:cs="宋体"/>
                <w:i w:val="0"/>
                <w:iCs w:val="0"/>
                <w:color w:val="000000"/>
                <w:sz w:val="21"/>
                <w:szCs w:val="21"/>
                <w:u w:val="none"/>
              </w:rPr>
            </w:pPr>
          </w:p>
        </w:tc>
        <w:tc>
          <w:tcPr>
            <w:tcW w:w="1465" w:type="dxa"/>
            <w:vMerge w:val="continue"/>
            <w:shd w:val="clear" w:color="auto" w:fill="auto"/>
            <w:vAlign w:val="center"/>
          </w:tcPr>
          <w:p w14:paraId="53735BBA">
            <w:pPr>
              <w:jc w:val="center"/>
              <w:rPr>
                <w:rFonts w:hint="eastAsia" w:ascii="宋体" w:hAnsi="宋体" w:eastAsia="宋体" w:cs="宋体"/>
                <w:i w:val="0"/>
                <w:iCs w:val="0"/>
                <w:color w:val="000000"/>
                <w:sz w:val="21"/>
                <w:szCs w:val="21"/>
                <w:u w:val="none"/>
              </w:rPr>
            </w:pPr>
          </w:p>
        </w:tc>
        <w:tc>
          <w:tcPr>
            <w:tcW w:w="6288" w:type="dxa"/>
            <w:shd w:val="clear" w:color="auto" w:fill="auto"/>
            <w:vAlign w:val="center"/>
          </w:tcPr>
          <w:p w14:paraId="3411A08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利用条件进行数据精确搜索</w:t>
            </w:r>
          </w:p>
        </w:tc>
      </w:tr>
      <w:tr w14:paraId="499E0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760" w:type="dxa"/>
            <w:shd w:val="clear" w:color="auto" w:fill="auto"/>
            <w:vAlign w:val="center"/>
          </w:tcPr>
          <w:p w14:paraId="2F6C73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374" w:type="dxa"/>
            <w:vMerge w:val="continue"/>
            <w:shd w:val="clear" w:color="auto" w:fill="auto"/>
            <w:vAlign w:val="center"/>
          </w:tcPr>
          <w:p w14:paraId="21944E13">
            <w:pPr>
              <w:jc w:val="center"/>
              <w:rPr>
                <w:rFonts w:hint="eastAsia" w:ascii="宋体" w:hAnsi="宋体" w:eastAsia="宋体" w:cs="宋体"/>
                <w:i w:val="0"/>
                <w:iCs w:val="0"/>
                <w:color w:val="000000"/>
                <w:sz w:val="21"/>
                <w:szCs w:val="21"/>
                <w:u w:val="none"/>
              </w:rPr>
            </w:pPr>
          </w:p>
        </w:tc>
        <w:tc>
          <w:tcPr>
            <w:tcW w:w="1465" w:type="dxa"/>
            <w:vMerge w:val="continue"/>
            <w:shd w:val="clear" w:color="auto" w:fill="auto"/>
            <w:vAlign w:val="center"/>
          </w:tcPr>
          <w:p w14:paraId="624F65A9">
            <w:pPr>
              <w:jc w:val="center"/>
              <w:rPr>
                <w:rFonts w:hint="eastAsia" w:ascii="宋体" w:hAnsi="宋体" w:eastAsia="宋体" w:cs="宋体"/>
                <w:i w:val="0"/>
                <w:iCs w:val="0"/>
                <w:color w:val="000000"/>
                <w:sz w:val="21"/>
                <w:szCs w:val="21"/>
                <w:u w:val="none"/>
              </w:rPr>
            </w:pPr>
          </w:p>
        </w:tc>
        <w:tc>
          <w:tcPr>
            <w:tcW w:w="6288" w:type="dxa"/>
            <w:shd w:val="clear" w:color="auto" w:fill="auto"/>
            <w:vAlign w:val="center"/>
          </w:tcPr>
          <w:p w14:paraId="303676D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查看预警数据信息，并且展示步骤</w:t>
            </w:r>
          </w:p>
        </w:tc>
      </w:tr>
      <w:tr w14:paraId="55760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760" w:type="dxa"/>
            <w:shd w:val="clear" w:color="auto" w:fill="auto"/>
            <w:vAlign w:val="center"/>
          </w:tcPr>
          <w:p w14:paraId="56ED82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1374" w:type="dxa"/>
            <w:vMerge w:val="continue"/>
            <w:shd w:val="clear" w:color="auto" w:fill="auto"/>
            <w:vAlign w:val="center"/>
          </w:tcPr>
          <w:p w14:paraId="1DEDC83E">
            <w:pPr>
              <w:jc w:val="center"/>
              <w:rPr>
                <w:rFonts w:hint="eastAsia" w:ascii="宋体" w:hAnsi="宋体" w:eastAsia="宋体" w:cs="宋体"/>
                <w:i w:val="0"/>
                <w:iCs w:val="0"/>
                <w:color w:val="000000"/>
                <w:sz w:val="21"/>
                <w:szCs w:val="21"/>
                <w:u w:val="none"/>
              </w:rPr>
            </w:pPr>
          </w:p>
        </w:tc>
        <w:tc>
          <w:tcPr>
            <w:tcW w:w="1465" w:type="dxa"/>
            <w:vMerge w:val="continue"/>
            <w:shd w:val="clear" w:color="auto" w:fill="auto"/>
            <w:vAlign w:val="center"/>
          </w:tcPr>
          <w:p w14:paraId="460322E4">
            <w:pPr>
              <w:jc w:val="center"/>
              <w:rPr>
                <w:rFonts w:hint="eastAsia" w:ascii="宋体" w:hAnsi="宋体" w:eastAsia="宋体" w:cs="宋体"/>
                <w:i w:val="0"/>
                <w:iCs w:val="0"/>
                <w:color w:val="000000"/>
                <w:sz w:val="21"/>
                <w:szCs w:val="21"/>
                <w:u w:val="none"/>
              </w:rPr>
            </w:pPr>
          </w:p>
        </w:tc>
        <w:tc>
          <w:tcPr>
            <w:tcW w:w="6288" w:type="dxa"/>
            <w:shd w:val="clear" w:color="auto" w:fill="auto"/>
            <w:vAlign w:val="center"/>
          </w:tcPr>
          <w:p w14:paraId="37ED960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下载文件模版</w:t>
            </w:r>
          </w:p>
        </w:tc>
      </w:tr>
      <w:tr w14:paraId="2A8BD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760" w:type="dxa"/>
            <w:shd w:val="clear" w:color="auto" w:fill="auto"/>
            <w:vAlign w:val="center"/>
          </w:tcPr>
          <w:p w14:paraId="09616C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1374" w:type="dxa"/>
            <w:vMerge w:val="continue"/>
            <w:shd w:val="clear" w:color="auto" w:fill="auto"/>
            <w:vAlign w:val="center"/>
          </w:tcPr>
          <w:p w14:paraId="6B301314">
            <w:pPr>
              <w:jc w:val="center"/>
              <w:rPr>
                <w:rFonts w:hint="eastAsia" w:ascii="宋体" w:hAnsi="宋体" w:eastAsia="宋体" w:cs="宋体"/>
                <w:i w:val="0"/>
                <w:iCs w:val="0"/>
                <w:color w:val="000000"/>
                <w:sz w:val="21"/>
                <w:szCs w:val="21"/>
                <w:u w:val="none"/>
              </w:rPr>
            </w:pPr>
          </w:p>
        </w:tc>
        <w:tc>
          <w:tcPr>
            <w:tcW w:w="1465" w:type="dxa"/>
            <w:vMerge w:val="continue"/>
            <w:shd w:val="clear" w:color="auto" w:fill="auto"/>
            <w:vAlign w:val="center"/>
          </w:tcPr>
          <w:p w14:paraId="532B3CB7">
            <w:pPr>
              <w:jc w:val="center"/>
              <w:rPr>
                <w:rFonts w:hint="eastAsia" w:ascii="宋体" w:hAnsi="宋体" w:eastAsia="宋体" w:cs="宋体"/>
                <w:i w:val="0"/>
                <w:iCs w:val="0"/>
                <w:color w:val="000000"/>
                <w:sz w:val="21"/>
                <w:szCs w:val="21"/>
                <w:u w:val="none"/>
              </w:rPr>
            </w:pPr>
          </w:p>
        </w:tc>
        <w:tc>
          <w:tcPr>
            <w:tcW w:w="6288" w:type="dxa"/>
            <w:shd w:val="clear" w:color="auto" w:fill="auto"/>
            <w:vAlign w:val="center"/>
          </w:tcPr>
          <w:p w14:paraId="20DBCAB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按照处理就成进行数据引导处理</w:t>
            </w:r>
          </w:p>
        </w:tc>
      </w:tr>
      <w:tr w14:paraId="5D637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760" w:type="dxa"/>
            <w:shd w:val="clear" w:color="auto" w:fill="auto"/>
            <w:vAlign w:val="center"/>
          </w:tcPr>
          <w:p w14:paraId="107879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1374" w:type="dxa"/>
            <w:vMerge w:val="continue"/>
            <w:shd w:val="clear" w:color="auto" w:fill="auto"/>
            <w:vAlign w:val="center"/>
          </w:tcPr>
          <w:p w14:paraId="69B5679D">
            <w:pPr>
              <w:jc w:val="center"/>
              <w:rPr>
                <w:rFonts w:hint="eastAsia" w:ascii="宋体" w:hAnsi="宋体" w:eastAsia="宋体" w:cs="宋体"/>
                <w:i w:val="0"/>
                <w:iCs w:val="0"/>
                <w:color w:val="000000"/>
                <w:sz w:val="21"/>
                <w:szCs w:val="21"/>
                <w:u w:val="none"/>
              </w:rPr>
            </w:pPr>
          </w:p>
        </w:tc>
        <w:tc>
          <w:tcPr>
            <w:tcW w:w="1465" w:type="dxa"/>
            <w:vMerge w:val="continue"/>
            <w:shd w:val="clear" w:color="auto" w:fill="auto"/>
            <w:vAlign w:val="center"/>
          </w:tcPr>
          <w:p w14:paraId="62D95C68">
            <w:pPr>
              <w:jc w:val="center"/>
              <w:rPr>
                <w:rFonts w:hint="eastAsia" w:ascii="宋体" w:hAnsi="宋体" w:eastAsia="宋体" w:cs="宋体"/>
                <w:i w:val="0"/>
                <w:iCs w:val="0"/>
                <w:color w:val="000000"/>
                <w:sz w:val="21"/>
                <w:szCs w:val="21"/>
                <w:u w:val="none"/>
              </w:rPr>
            </w:pPr>
          </w:p>
        </w:tc>
        <w:tc>
          <w:tcPr>
            <w:tcW w:w="6288" w:type="dxa"/>
            <w:shd w:val="clear" w:color="auto" w:fill="auto"/>
            <w:vAlign w:val="center"/>
          </w:tcPr>
          <w:p w14:paraId="49D654B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进入整改程序</w:t>
            </w:r>
          </w:p>
        </w:tc>
      </w:tr>
      <w:tr w14:paraId="13A7A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760" w:type="dxa"/>
            <w:shd w:val="clear" w:color="auto" w:fill="auto"/>
            <w:vAlign w:val="center"/>
          </w:tcPr>
          <w:p w14:paraId="0B69D2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374" w:type="dxa"/>
            <w:vMerge w:val="restart"/>
            <w:shd w:val="clear" w:color="auto" w:fill="auto"/>
            <w:vAlign w:val="center"/>
          </w:tcPr>
          <w:p w14:paraId="1FBFFA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油站管理</w:t>
            </w:r>
          </w:p>
        </w:tc>
        <w:tc>
          <w:tcPr>
            <w:tcW w:w="1465" w:type="dxa"/>
            <w:shd w:val="clear" w:color="auto" w:fill="auto"/>
            <w:vAlign w:val="center"/>
          </w:tcPr>
          <w:p w14:paraId="2AE74C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油站基本信息展示</w:t>
            </w:r>
          </w:p>
        </w:tc>
        <w:tc>
          <w:tcPr>
            <w:tcW w:w="6288" w:type="dxa"/>
            <w:shd w:val="clear" w:color="auto" w:fill="auto"/>
            <w:vAlign w:val="center"/>
          </w:tcPr>
          <w:p w14:paraId="5E56779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展示油站基本企业信息数据</w:t>
            </w:r>
          </w:p>
        </w:tc>
      </w:tr>
      <w:tr w14:paraId="44658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60" w:type="dxa"/>
            <w:shd w:val="clear" w:color="auto" w:fill="auto"/>
            <w:vAlign w:val="center"/>
          </w:tcPr>
          <w:p w14:paraId="49A6E8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1374" w:type="dxa"/>
            <w:vMerge w:val="continue"/>
            <w:shd w:val="clear" w:color="auto" w:fill="auto"/>
            <w:vAlign w:val="center"/>
          </w:tcPr>
          <w:p w14:paraId="05458697">
            <w:pPr>
              <w:jc w:val="center"/>
              <w:rPr>
                <w:rFonts w:hint="eastAsia" w:ascii="宋体" w:hAnsi="宋体" w:eastAsia="宋体" w:cs="宋体"/>
                <w:i w:val="0"/>
                <w:iCs w:val="0"/>
                <w:color w:val="000000"/>
                <w:sz w:val="21"/>
                <w:szCs w:val="21"/>
                <w:u w:val="none"/>
              </w:rPr>
            </w:pPr>
          </w:p>
        </w:tc>
        <w:tc>
          <w:tcPr>
            <w:tcW w:w="1465" w:type="dxa"/>
            <w:vMerge w:val="restart"/>
            <w:shd w:val="clear" w:color="auto" w:fill="auto"/>
            <w:vAlign w:val="center"/>
          </w:tcPr>
          <w:p w14:paraId="5FDA3B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预警接收管理</w:t>
            </w:r>
          </w:p>
        </w:tc>
        <w:tc>
          <w:tcPr>
            <w:tcW w:w="6288" w:type="dxa"/>
            <w:shd w:val="clear" w:color="auto" w:fill="auto"/>
            <w:vAlign w:val="center"/>
          </w:tcPr>
          <w:p w14:paraId="290FAA7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展示接收预警手机号码信息</w:t>
            </w:r>
          </w:p>
        </w:tc>
      </w:tr>
      <w:tr w14:paraId="161E0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760" w:type="dxa"/>
            <w:shd w:val="clear" w:color="auto" w:fill="auto"/>
            <w:vAlign w:val="center"/>
          </w:tcPr>
          <w:p w14:paraId="1F2F46E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1374" w:type="dxa"/>
            <w:vMerge w:val="continue"/>
            <w:shd w:val="clear" w:color="auto" w:fill="auto"/>
            <w:vAlign w:val="center"/>
          </w:tcPr>
          <w:p w14:paraId="036EA5DF">
            <w:pPr>
              <w:jc w:val="center"/>
              <w:rPr>
                <w:rFonts w:hint="eastAsia" w:ascii="宋体" w:hAnsi="宋体" w:eastAsia="宋体" w:cs="宋体"/>
                <w:i w:val="0"/>
                <w:iCs w:val="0"/>
                <w:color w:val="000000"/>
                <w:sz w:val="21"/>
                <w:szCs w:val="21"/>
                <w:u w:val="none"/>
              </w:rPr>
            </w:pPr>
          </w:p>
        </w:tc>
        <w:tc>
          <w:tcPr>
            <w:tcW w:w="1465" w:type="dxa"/>
            <w:vMerge w:val="continue"/>
            <w:shd w:val="clear" w:color="auto" w:fill="auto"/>
            <w:vAlign w:val="center"/>
          </w:tcPr>
          <w:p w14:paraId="63457019">
            <w:pPr>
              <w:jc w:val="center"/>
              <w:rPr>
                <w:rFonts w:hint="eastAsia" w:ascii="宋体" w:hAnsi="宋体" w:eastAsia="宋体" w:cs="宋体"/>
                <w:i w:val="0"/>
                <w:iCs w:val="0"/>
                <w:color w:val="000000"/>
                <w:sz w:val="21"/>
                <w:szCs w:val="21"/>
                <w:u w:val="none"/>
              </w:rPr>
            </w:pPr>
          </w:p>
        </w:tc>
        <w:tc>
          <w:tcPr>
            <w:tcW w:w="6288" w:type="dxa"/>
            <w:shd w:val="clear" w:color="auto" w:fill="auto"/>
            <w:vAlign w:val="center"/>
          </w:tcPr>
          <w:p w14:paraId="4959360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新增手机号码信息实现对预警手机号码进行新增配置操作，暂定预警手机号码配置个数为3</w:t>
            </w:r>
          </w:p>
        </w:tc>
      </w:tr>
      <w:tr w14:paraId="0CC4A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760" w:type="dxa"/>
            <w:shd w:val="clear" w:color="auto" w:fill="auto"/>
            <w:vAlign w:val="center"/>
          </w:tcPr>
          <w:p w14:paraId="25AF42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1374" w:type="dxa"/>
            <w:vMerge w:val="continue"/>
            <w:shd w:val="clear" w:color="auto" w:fill="auto"/>
            <w:vAlign w:val="center"/>
          </w:tcPr>
          <w:p w14:paraId="70914697">
            <w:pPr>
              <w:jc w:val="center"/>
              <w:rPr>
                <w:rFonts w:hint="eastAsia" w:ascii="宋体" w:hAnsi="宋体" w:eastAsia="宋体" w:cs="宋体"/>
                <w:i w:val="0"/>
                <w:iCs w:val="0"/>
                <w:color w:val="000000"/>
                <w:sz w:val="21"/>
                <w:szCs w:val="21"/>
                <w:u w:val="none"/>
              </w:rPr>
            </w:pPr>
          </w:p>
        </w:tc>
        <w:tc>
          <w:tcPr>
            <w:tcW w:w="1465" w:type="dxa"/>
            <w:vMerge w:val="continue"/>
            <w:shd w:val="clear" w:color="auto" w:fill="auto"/>
            <w:vAlign w:val="center"/>
          </w:tcPr>
          <w:p w14:paraId="06F1EA54">
            <w:pPr>
              <w:jc w:val="center"/>
              <w:rPr>
                <w:rFonts w:hint="eastAsia" w:ascii="宋体" w:hAnsi="宋体" w:eastAsia="宋体" w:cs="宋体"/>
                <w:i w:val="0"/>
                <w:iCs w:val="0"/>
                <w:color w:val="000000"/>
                <w:sz w:val="21"/>
                <w:szCs w:val="21"/>
                <w:u w:val="none"/>
              </w:rPr>
            </w:pPr>
          </w:p>
        </w:tc>
        <w:tc>
          <w:tcPr>
            <w:tcW w:w="6288" w:type="dxa"/>
            <w:shd w:val="clear" w:color="auto" w:fill="auto"/>
            <w:vAlign w:val="center"/>
          </w:tcPr>
          <w:p w14:paraId="33599E1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修改预警手机号码，管理员对预警手机号码进行修改需要默认手机号码进行短信认证操作</w:t>
            </w:r>
          </w:p>
        </w:tc>
      </w:tr>
      <w:tr w14:paraId="72474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760" w:type="dxa"/>
            <w:shd w:val="clear" w:color="auto" w:fill="auto"/>
            <w:vAlign w:val="center"/>
          </w:tcPr>
          <w:p w14:paraId="613729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1374" w:type="dxa"/>
            <w:vMerge w:val="continue"/>
            <w:shd w:val="clear" w:color="auto" w:fill="auto"/>
            <w:vAlign w:val="center"/>
          </w:tcPr>
          <w:p w14:paraId="3B0DE7D9">
            <w:pPr>
              <w:jc w:val="center"/>
              <w:rPr>
                <w:rFonts w:hint="eastAsia" w:ascii="宋体" w:hAnsi="宋体" w:eastAsia="宋体" w:cs="宋体"/>
                <w:i w:val="0"/>
                <w:iCs w:val="0"/>
                <w:color w:val="000000"/>
                <w:sz w:val="21"/>
                <w:szCs w:val="21"/>
                <w:u w:val="none"/>
              </w:rPr>
            </w:pPr>
          </w:p>
        </w:tc>
        <w:tc>
          <w:tcPr>
            <w:tcW w:w="1465" w:type="dxa"/>
            <w:vMerge w:val="continue"/>
            <w:shd w:val="clear" w:color="auto" w:fill="auto"/>
            <w:vAlign w:val="center"/>
          </w:tcPr>
          <w:p w14:paraId="3F1401F5">
            <w:pPr>
              <w:jc w:val="center"/>
              <w:rPr>
                <w:rFonts w:hint="eastAsia" w:ascii="宋体" w:hAnsi="宋体" w:eastAsia="宋体" w:cs="宋体"/>
                <w:i w:val="0"/>
                <w:iCs w:val="0"/>
                <w:color w:val="000000"/>
                <w:sz w:val="21"/>
                <w:szCs w:val="21"/>
                <w:u w:val="none"/>
              </w:rPr>
            </w:pPr>
          </w:p>
        </w:tc>
        <w:tc>
          <w:tcPr>
            <w:tcW w:w="6288" w:type="dxa"/>
            <w:shd w:val="clear" w:color="auto" w:fill="auto"/>
            <w:vAlign w:val="center"/>
          </w:tcPr>
          <w:p w14:paraId="01C9A93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删除接收手机号码，默认手机号码不可删除</w:t>
            </w:r>
          </w:p>
        </w:tc>
      </w:tr>
      <w:tr w14:paraId="2DCD4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760" w:type="dxa"/>
            <w:shd w:val="clear" w:color="auto" w:fill="auto"/>
            <w:vAlign w:val="center"/>
          </w:tcPr>
          <w:p w14:paraId="1C68D0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1374" w:type="dxa"/>
            <w:vMerge w:val="continue"/>
            <w:shd w:val="clear" w:color="auto" w:fill="auto"/>
            <w:vAlign w:val="center"/>
          </w:tcPr>
          <w:p w14:paraId="31478F87">
            <w:pPr>
              <w:jc w:val="center"/>
              <w:rPr>
                <w:rFonts w:hint="eastAsia" w:ascii="宋体" w:hAnsi="宋体" w:eastAsia="宋体" w:cs="宋体"/>
                <w:i w:val="0"/>
                <w:iCs w:val="0"/>
                <w:color w:val="000000"/>
                <w:sz w:val="21"/>
                <w:szCs w:val="21"/>
                <w:u w:val="none"/>
              </w:rPr>
            </w:pPr>
          </w:p>
        </w:tc>
        <w:tc>
          <w:tcPr>
            <w:tcW w:w="1465" w:type="dxa"/>
            <w:shd w:val="clear" w:color="auto" w:fill="auto"/>
            <w:vAlign w:val="center"/>
          </w:tcPr>
          <w:p w14:paraId="177FB04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修改密码</w:t>
            </w:r>
          </w:p>
        </w:tc>
        <w:tc>
          <w:tcPr>
            <w:tcW w:w="6288" w:type="dxa"/>
            <w:shd w:val="clear" w:color="auto" w:fill="auto"/>
            <w:vAlign w:val="center"/>
          </w:tcPr>
          <w:p w14:paraId="62C87F2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修改账号登录密码</w:t>
            </w:r>
          </w:p>
        </w:tc>
      </w:tr>
      <w:tr w14:paraId="22EE4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760" w:type="dxa"/>
            <w:shd w:val="clear" w:color="auto" w:fill="auto"/>
            <w:vAlign w:val="center"/>
          </w:tcPr>
          <w:p w14:paraId="79AF26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1374" w:type="dxa"/>
            <w:vMerge w:val="continue"/>
            <w:shd w:val="clear" w:color="auto" w:fill="auto"/>
            <w:vAlign w:val="center"/>
          </w:tcPr>
          <w:p w14:paraId="36312003">
            <w:pPr>
              <w:jc w:val="center"/>
              <w:rPr>
                <w:rFonts w:hint="eastAsia" w:ascii="宋体" w:hAnsi="宋体" w:eastAsia="宋体" w:cs="宋体"/>
                <w:i w:val="0"/>
                <w:iCs w:val="0"/>
                <w:color w:val="000000"/>
                <w:sz w:val="21"/>
                <w:szCs w:val="21"/>
                <w:u w:val="none"/>
              </w:rPr>
            </w:pPr>
          </w:p>
        </w:tc>
        <w:tc>
          <w:tcPr>
            <w:tcW w:w="1465" w:type="dxa"/>
            <w:shd w:val="clear" w:color="auto" w:fill="auto"/>
            <w:vAlign w:val="center"/>
          </w:tcPr>
          <w:p w14:paraId="569496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退出登录</w:t>
            </w:r>
          </w:p>
        </w:tc>
        <w:tc>
          <w:tcPr>
            <w:tcW w:w="6288" w:type="dxa"/>
            <w:shd w:val="clear" w:color="auto" w:fill="auto"/>
            <w:vAlign w:val="center"/>
          </w:tcPr>
          <w:p w14:paraId="484DD16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退出账号登录</w:t>
            </w:r>
          </w:p>
        </w:tc>
      </w:tr>
    </w:tbl>
    <w:p w14:paraId="494E45F6">
      <w:pPr>
        <w:widowControl/>
        <w:spacing w:line="460" w:lineRule="exact"/>
        <w:ind w:firstLine="558" w:firstLineChars="266"/>
        <w:rPr>
          <w:rFonts w:hint="eastAsia" w:hAnsi="宋体" w:cs="宋体"/>
          <w:color w:val="auto"/>
          <w:sz w:val="21"/>
          <w:szCs w:val="21"/>
          <w:highlight w:val="none"/>
        </w:rPr>
      </w:pPr>
      <w:r>
        <w:rPr>
          <w:rFonts w:hint="eastAsia" w:hAnsi="宋体" w:cs="宋体"/>
          <w:color w:val="auto"/>
          <w:sz w:val="21"/>
          <w:szCs w:val="21"/>
          <w:highlight w:val="none"/>
        </w:rPr>
        <w:t>2.加油站流量数据采集系统安装部署相关说明</w:t>
      </w:r>
    </w:p>
    <w:p w14:paraId="29282A12">
      <w:pPr>
        <w:widowControl/>
        <w:spacing w:line="460" w:lineRule="exact"/>
        <w:ind w:firstLine="558" w:firstLineChars="266"/>
        <w:rPr>
          <w:rFonts w:hint="eastAsia" w:hAnsi="宋体" w:cs="宋体"/>
          <w:color w:val="auto"/>
          <w:sz w:val="21"/>
          <w:szCs w:val="21"/>
          <w:highlight w:val="none"/>
        </w:rPr>
      </w:pPr>
      <w:r>
        <w:rPr>
          <w:rFonts w:hint="eastAsia" w:hAnsi="宋体" w:cs="宋体"/>
          <w:color w:val="auto"/>
          <w:sz w:val="21"/>
          <w:szCs w:val="21"/>
          <w:highlight w:val="none"/>
        </w:rPr>
        <w:t>2.1加油站流量数据属于商业机密，为保障数据信息的安全，本次采购加油站流量数据采集系统须部署到本地云资源池（不允许数据信息外流），通过项目承建方的本地云资源（包括：计算、网络、存储、中间件等）提供云服务（必须提供相应的本地云资源证明材料），从而实现整体系统的本地化部署、信息数据存储、运行维护等。后续若需要对系统进行安全评测等相关工作的，此工作由项目承建方负责完成和承担相应费用。</w:t>
      </w:r>
    </w:p>
    <w:p w14:paraId="6E8E339B">
      <w:pPr>
        <w:widowControl/>
        <w:spacing w:line="460" w:lineRule="exact"/>
        <w:ind w:firstLine="558" w:firstLineChars="266"/>
        <w:rPr>
          <w:rFonts w:hint="eastAsia" w:hAnsi="宋体" w:cs="宋体"/>
          <w:color w:val="auto"/>
          <w:sz w:val="21"/>
          <w:szCs w:val="21"/>
          <w:highlight w:val="none"/>
        </w:rPr>
      </w:pPr>
      <w:r>
        <w:rPr>
          <w:rFonts w:hint="eastAsia" w:hAnsi="宋体" w:cs="宋体"/>
          <w:color w:val="auto"/>
          <w:sz w:val="21"/>
          <w:szCs w:val="21"/>
          <w:highlight w:val="none"/>
        </w:rPr>
        <w:t>2.2</w:t>
      </w:r>
      <w:r>
        <w:rPr>
          <w:rFonts w:hint="eastAsia" w:hAnsi="宋体" w:cs="宋体"/>
          <w:color w:val="auto"/>
          <w:sz w:val="21"/>
          <w:szCs w:val="21"/>
          <w:highlight w:val="none"/>
          <w:lang w:bidi="ar"/>
        </w:rPr>
        <w:t>本地云资源环境技术参数及要求（投标人可以提供不低于以下技术标准要求的云资源，并须确保</w:t>
      </w:r>
      <w:r>
        <w:rPr>
          <w:rFonts w:hint="eastAsia" w:hAnsi="宋体" w:cs="宋体"/>
          <w:color w:val="auto"/>
          <w:sz w:val="21"/>
          <w:szCs w:val="21"/>
          <w:highlight w:val="none"/>
        </w:rPr>
        <w:t>加油站流量数据采集系统安全稳定运行</w:t>
      </w:r>
      <w:r>
        <w:rPr>
          <w:rFonts w:hint="eastAsia" w:hAnsi="宋体" w:cs="宋体"/>
          <w:color w:val="auto"/>
          <w:sz w:val="21"/>
          <w:szCs w:val="21"/>
          <w:highlight w:val="none"/>
          <w:lang w:bidi="ar"/>
        </w:rPr>
        <w:t>）</w:t>
      </w:r>
    </w:p>
    <w:p w14:paraId="0E1D9FA4">
      <w:pPr>
        <w:widowControl/>
        <w:spacing w:line="460" w:lineRule="exact"/>
        <w:ind w:firstLine="558" w:firstLineChars="266"/>
        <w:rPr>
          <w:rFonts w:hint="eastAsia" w:hAnsi="宋体" w:cs="宋体"/>
          <w:color w:val="auto"/>
          <w:sz w:val="21"/>
          <w:szCs w:val="21"/>
          <w:highlight w:val="none"/>
        </w:rPr>
      </w:pPr>
      <w:r>
        <w:rPr>
          <w:rFonts w:hint="eastAsia" w:hAnsi="宋体" w:cs="宋体"/>
          <w:color w:val="auto"/>
          <w:sz w:val="21"/>
          <w:szCs w:val="21"/>
          <w:highlight w:val="none"/>
        </w:rPr>
        <w:t>①云存储资源</w:t>
      </w:r>
      <w:r>
        <w:rPr>
          <w:rFonts w:hint="eastAsia" w:hAnsi="宋体" w:cs="宋体"/>
          <w:color w:val="auto"/>
          <w:sz w:val="21"/>
          <w:szCs w:val="21"/>
          <w:highlight w:val="none"/>
          <w:lang w:bidi="ar"/>
        </w:rPr>
        <w:t>技术参数及要求</w:t>
      </w:r>
    </w:p>
    <w:tbl>
      <w:tblPr>
        <w:tblStyle w:val="39"/>
        <w:tblW w:w="9836"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8"/>
        <w:gridCol w:w="1900"/>
        <w:gridCol w:w="1700"/>
        <w:gridCol w:w="1763"/>
        <w:gridCol w:w="1266"/>
        <w:gridCol w:w="771"/>
        <w:gridCol w:w="1288"/>
      </w:tblGrid>
      <w:tr w14:paraId="4C7FC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48" w:type="dxa"/>
            <w:shd w:val="clear" w:color="auto" w:fill="auto"/>
            <w:noWrap/>
            <w:vAlign w:val="center"/>
          </w:tcPr>
          <w:p w14:paraId="23A45C67">
            <w:pPr>
              <w:widowControl/>
              <w:jc w:val="center"/>
              <w:textAlignment w:val="center"/>
              <w:rPr>
                <w:rFonts w:hint="eastAsia" w:hAnsi="宋体" w:cs="宋体"/>
                <w:color w:val="auto"/>
                <w:sz w:val="21"/>
                <w:szCs w:val="21"/>
                <w:highlight w:val="none"/>
              </w:rPr>
            </w:pPr>
            <w:r>
              <w:rPr>
                <w:rFonts w:hint="eastAsia" w:hAnsi="宋体" w:cs="宋体"/>
                <w:color w:val="auto"/>
                <w:sz w:val="21"/>
                <w:szCs w:val="21"/>
                <w:highlight w:val="none"/>
                <w:lang w:bidi="ar"/>
              </w:rPr>
              <w:t>产品名称</w:t>
            </w:r>
          </w:p>
        </w:tc>
        <w:tc>
          <w:tcPr>
            <w:tcW w:w="1900" w:type="dxa"/>
            <w:shd w:val="clear" w:color="auto" w:fill="auto"/>
            <w:vAlign w:val="center"/>
          </w:tcPr>
          <w:p w14:paraId="1876155B">
            <w:pPr>
              <w:widowControl/>
              <w:jc w:val="center"/>
              <w:textAlignment w:val="center"/>
              <w:rPr>
                <w:rFonts w:hint="eastAsia" w:hAnsi="宋体" w:cs="宋体"/>
                <w:color w:val="auto"/>
                <w:sz w:val="21"/>
                <w:szCs w:val="21"/>
                <w:highlight w:val="none"/>
              </w:rPr>
            </w:pPr>
            <w:r>
              <w:rPr>
                <w:rFonts w:hint="eastAsia" w:hAnsi="宋体" w:cs="宋体"/>
                <w:color w:val="auto"/>
                <w:sz w:val="21"/>
                <w:szCs w:val="21"/>
                <w:highlight w:val="none"/>
                <w:lang w:bidi="ar"/>
              </w:rPr>
              <w:t>vCPU【单位：核】</w:t>
            </w:r>
          </w:p>
        </w:tc>
        <w:tc>
          <w:tcPr>
            <w:tcW w:w="1700" w:type="dxa"/>
            <w:shd w:val="clear" w:color="auto" w:fill="auto"/>
            <w:vAlign w:val="center"/>
          </w:tcPr>
          <w:p w14:paraId="1F7A193D">
            <w:pPr>
              <w:widowControl/>
              <w:jc w:val="center"/>
              <w:textAlignment w:val="center"/>
              <w:rPr>
                <w:rFonts w:hint="eastAsia" w:hAnsi="宋体" w:cs="宋体"/>
                <w:color w:val="auto"/>
                <w:sz w:val="21"/>
                <w:szCs w:val="21"/>
                <w:highlight w:val="none"/>
              </w:rPr>
            </w:pPr>
            <w:r>
              <w:rPr>
                <w:rFonts w:hint="eastAsia" w:hAnsi="宋体" w:cs="宋体"/>
                <w:color w:val="auto"/>
                <w:sz w:val="21"/>
                <w:szCs w:val="21"/>
                <w:highlight w:val="none"/>
                <w:lang w:bidi="ar"/>
              </w:rPr>
              <w:t>内存【单位：G】</w:t>
            </w:r>
          </w:p>
        </w:tc>
        <w:tc>
          <w:tcPr>
            <w:tcW w:w="1763" w:type="dxa"/>
            <w:shd w:val="clear" w:color="auto" w:fill="auto"/>
            <w:noWrap/>
            <w:vAlign w:val="center"/>
          </w:tcPr>
          <w:p w14:paraId="22102710">
            <w:pPr>
              <w:widowControl/>
              <w:jc w:val="center"/>
              <w:textAlignment w:val="center"/>
              <w:rPr>
                <w:rFonts w:hint="eastAsia" w:hAnsi="宋体" w:cs="宋体"/>
                <w:color w:val="auto"/>
                <w:sz w:val="21"/>
                <w:szCs w:val="21"/>
                <w:highlight w:val="none"/>
                <w:lang w:bidi="ar"/>
              </w:rPr>
            </w:pPr>
            <w:r>
              <w:rPr>
                <w:rFonts w:hint="eastAsia" w:hAnsi="宋体" w:cs="宋体"/>
                <w:color w:val="auto"/>
                <w:sz w:val="21"/>
                <w:szCs w:val="21"/>
                <w:highlight w:val="none"/>
                <w:lang w:bidi="ar"/>
              </w:rPr>
              <w:t>存储【单位：G】</w:t>
            </w:r>
          </w:p>
          <w:p w14:paraId="3CE955D8">
            <w:pPr>
              <w:widowControl/>
              <w:jc w:val="center"/>
              <w:textAlignment w:val="center"/>
              <w:rPr>
                <w:rFonts w:hint="eastAsia" w:hAnsi="宋体" w:cs="宋体"/>
                <w:color w:val="auto"/>
                <w:sz w:val="21"/>
                <w:szCs w:val="21"/>
                <w:highlight w:val="none"/>
              </w:rPr>
            </w:pPr>
            <w:r>
              <w:rPr>
                <w:rFonts w:hint="eastAsia" w:hAnsi="宋体" w:cs="宋体"/>
                <w:color w:val="auto"/>
                <w:sz w:val="21"/>
                <w:szCs w:val="21"/>
                <w:highlight w:val="none"/>
                <w:lang w:bidi="ar"/>
              </w:rPr>
              <w:t>硬盘</w:t>
            </w:r>
          </w:p>
        </w:tc>
        <w:tc>
          <w:tcPr>
            <w:tcW w:w="1266" w:type="dxa"/>
            <w:shd w:val="clear" w:color="auto" w:fill="auto"/>
            <w:noWrap/>
            <w:vAlign w:val="center"/>
          </w:tcPr>
          <w:p w14:paraId="7D014A2B">
            <w:pPr>
              <w:widowControl/>
              <w:jc w:val="center"/>
              <w:textAlignment w:val="center"/>
              <w:rPr>
                <w:rFonts w:hint="eastAsia" w:hAnsi="宋体" w:cs="宋体"/>
                <w:color w:val="auto"/>
                <w:sz w:val="21"/>
                <w:szCs w:val="21"/>
                <w:highlight w:val="none"/>
              </w:rPr>
            </w:pPr>
            <w:r>
              <w:rPr>
                <w:rFonts w:hint="eastAsia" w:hAnsi="宋体" w:cs="宋体"/>
                <w:color w:val="auto"/>
                <w:sz w:val="21"/>
                <w:szCs w:val="21"/>
                <w:highlight w:val="none"/>
                <w:lang w:bidi="ar"/>
              </w:rPr>
              <w:t>操作系统</w:t>
            </w:r>
          </w:p>
        </w:tc>
        <w:tc>
          <w:tcPr>
            <w:tcW w:w="771" w:type="dxa"/>
            <w:shd w:val="clear" w:color="auto" w:fill="auto"/>
            <w:noWrap/>
            <w:vAlign w:val="center"/>
          </w:tcPr>
          <w:p w14:paraId="34776FB8">
            <w:pPr>
              <w:widowControl/>
              <w:jc w:val="center"/>
              <w:textAlignment w:val="center"/>
              <w:rPr>
                <w:rFonts w:hint="eastAsia" w:hAnsi="宋体" w:cs="宋体"/>
                <w:color w:val="auto"/>
                <w:sz w:val="21"/>
                <w:szCs w:val="21"/>
                <w:highlight w:val="none"/>
              </w:rPr>
            </w:pPr>
            <w:r>
              <w:rPr>
                <w:rFonts w:hint="eastAsia" w:hAnsi="宋体" w:cs="宋体"/>
                <w:color w:val="auto"/>
                <w:sz w:val="21"/>
                <w:szCs w:val="21"/>
                <w:highlight w:val="none"/>
                <w:lang w:bidi="ar"/>
              </w:rPr>
              <w:t>数量</w:t>
            </w:r>
          </w:p>
        </w:tc>
        <w:tc>
          <w:tcPr>
            <w:tcW w:w="1288" w:type="dxa"/>
            <w:shd w:val="clear" w:color="auto" w:fill="auto"/>
            <w:vAlign w:val="center"/>
          </w:tcPr>
          <w:p w14:paraId="630B754B">
            <w:pPr>
              <w:widowControl/>
              <w:jc w:val="center"/>
              <w:textAlignment w:val="center"/>
              <w:rPr>
                <w:rFonts w:hint="eastAsia" w:hAnsi="宋体" w:cs="宋体"/>
                <w:color w:val="auto"/>
                <w:sz w:val="21"/>
                <w:szCs w:val="21"/>
                <w:highlight w:val="none"/>
              </w:rPr>
            </w:pPr>
            <w:r>
              <w:rPr>
                <w:rFonts w:hint="eastAsia" w:hAnsi="宋体" w:cs="宋体"/>
                <w:color w:val="auto"/>
                <w:sz w:val="21"/>
                <w:szCs w:val="21"/>
                <w:highlight w:val="none"/>
                <w:lang w:bidi="ar"/>
              </w:rPr>
              <w:t>备注</w:t>
            </w:r>
          </w:p>
        </w:tc>
      </w:tr>
      <w:tr w14:paraId="2E4FB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48" w:type="dxa"/>
            <w:shd w:val="clear" w:color="auto" w:fill="auto"/>
            <w:vAlign w:val="center"/>
          </w:tcPr>
          <w:p w14:paraId="414FE638">
            <w:pPr>
              <w:widowControl/>
              <w:jc w:val="left"/>
              <w:textAlignment w:val="center"/>
              <w:rPr>
                <w:rFonts w:hint="eastAsia" w:hAnsi="宋体" w:cs="宋体"/>
                <w:color w:val="auto"/>
                <w:sz w:val="21"/>
                <w:szCs w:val="21"/>
                <w:highlight w:val="none"/>
              </w:rPr>
            </w:pPr>
            <w:r>
              <w:rPr>
                <w:rFonts w:hint="eastAsia" w:hAnsi="宋体" w:cs="宋体"/>
                <w:color w:val="auto"/>
                <w:sz w:val="21"/>
                <w:szCs w:val="21"/>
                <w:highlight w:val="none"/>
                <w:lang w:bidi="ar"/>
              </w:rPr>
              <w:t>云主机</w:t>
            </w:r>
          </w:p>
        </w:tc>
        <w:tc>
          <w:tcPr>
            <w:tcW w:w="1900" w:type="dxa"/>
            <w:shd w:val="clear" w:color="auto" w:fill="auto"/>
            <w:vAlign w:val="center"/>
          </w:tcPr>
          <w:p w14:paraId="30A318C1">
            <w:pPr>
              <w:widowControl/>
              <w:jc w:val="left"/>
              <w:textAlignment w:val="center"/>
              <w:rPr>
                <w:rFonts w:hint="eastAsia" w:hAnsi="宋体" w:cs="宋体"/>
                <w:color w:val="auto"/>
                <w:sz w:val="21"/>
                <w:szCs w:val="21"/>
                <w:highlight w:val="none"/>
              </w:rPr>
            </w:pPr>
            <w:r>
              <w:rPr>
                <w:rFonts w:hint="eastAsia" w:hAnsi="宋体" w:cs="宋体"/>
                <w:color w:val="auto"/>
                <w:sz w:val="21"/>
                <w:szCs w:val="21"/>
                <w:highlight w:val="none"/>
                <w:lang w:bidi="ar"/>
              </w:rPr>
              <w:t>8</w:t>
            </w:r>
          </w:p>
        </w:tc>
        <w:tc>
          <w:tcPr>
            <w:tcW w:w="1700" w:type="dxa"/>
            <w:shd w:val="clear" w:color="auto" w:fill="auto"/>
            <w:vAlign w:val="center"/>
          </w:tcPr>
          <w:p w14:paraId="426EFAC0">
            <w:pPr>
              <w:widowControl/>
              <w:jc w:val="left"/>
              <w:textAlignment w:val="center"/>
              <w:rPr>
                <w:rFonts w:hint="eastAsia" w:hAnsi="宋体" w:cs="宋体"/>
                <w:color w:val="auto"/>
                <w:sz w:val="21"/>
                <w:szCs w:val="21"/>
                <w:highlight w:val="none"/>
              </w:rPr>
            </w:pPr>
            <w:r>
              <w:rPr>
                <w:rFonts w:hint="eastAsia" w:hAnsi="宋体" w:cs="宋体"/>
                <w:color w:val="auto"/>
                <w:sz w:val="21"/>
                <w:szCs w:val="21"/>
                <w:highlight w:val="none"/>
                <w:lang w:bidi="ar"/>
              </w:rPr>
              <w:t>16</w:t>
            </w:r>
          </w:p>
        </w:tc>
        <w:tc>
          <w:tcPr>
            <w:tcW w:w="1763" w:type="dxa"/>
            <w:shd w:val="clear" w:color="auto" w:fill="auto"/>
            <w:vAlign w:val="center"/>
          </w:tcPr>
          <w:p w14:paraId="5A22EE32">
            <w:pPr>
              <w:widowControl/>
              <w:jc w:val="left"/>
              <w:textAlignment w:val="center"/>
              <w:rPr>
                <w:rFonts w:hint="eastAsia" w:hAnsi="宋体" w:cs="宋体"/>
                <w:color w:val="auto"/>
                <w:sz w:val="21"/>
                <w:szCs w:val="21"/>
                <w:highlight w:val="none"/>
              </w:rPr>
            </w:pPr>
            <w:r>
              <w:rPr>
                <w:rFonts w:hint="eastAsia" w:hAnsi="宋体" w:cs="宋体"/>
                <w:color w:val="auto"/>
                <w:sz w:val="21"/>
                <w:szCs w:val="21"/>
                <w:highlight w:val="none"/>
                <w:lang w:bidi="ar"/>
              </w:rPr>
              <w:t>8</w:t>
            </w:r>
            <w:r>
              <w:rPr>
                <w:rStyle w:val="113"/>
                <w:rFonts w:hint="default"/>
                <w:color w:val="auto"/>
                <w:highlight w:val="none"/>
                <w:lang w:bidi="ar"/>
              </w:rPr>
              <w:t>00G</w:t>
            </w:r>
          </w:p>
        </w:tc>
        <w:tc>
          <w:tcPr>
            <w:tcW w:w="1266" w:type="dxa"/>
            <w:shd w:val="clear" w:color="auto" w:fill="auto"/>
            <w:vAlign w:val="center"/>
          </w:tcPr>
          <w:p w14:paraId="14E5B52D">
            <w:pPr>
              <w:widowControl/>
              <w:jc w:val="left"/>
              <w:textAlignment w:val="center"/>
              <w:rPr>
                <w:rFonts w:hint="eastAsia" w:hAnsi="宋体" w:cs="宋体"/>
                <w:color w:val="auto"/>
                <w:sz w:val="21"/>
                <w:szCs w:val="21"/>
                <w:highlight w:val="none"/>
              </w:rPr>
            </w:pPr>
            <w:r>
              <w:rPr>
                <w:rFonts w:hint="eastAsia" w:hAnsi="宋体" w:cs="宋体"/>
                <w:color w:val="auto"/>
                <w:sz w:val="21"/>
                <w:szCs w:val="21"/>
                <w:highlight w:val="none"/>
                <w:lang w:bidi="ar"/>
              </w:rPr>
              <w:t>Windows Server</w:t>
            </w:r>
            <w:r>
              <w:rPr>
                <w:rStyle w:val="113"/>
                <w:rFonts w:hint="default"/>
                <w:color w:val="auto"/>
                <w:highlight w:val="none"/>
                <w:lang w:bidi="ar"/>
              </w:rPr>
              <w:t>2012</w:t>
            </w:r>
          </w:p>
        </w:tc>
        <w:tc>
          <w:tcPr>
            <w:tcW w:w="771" w:type="dxa"/>
            <w:shd w:val="clear" w:color="auto" w:fill="auto"/>
            <w:vAlign w:val="center"/>
          </w:tcPr>
          <w:p w14:paraId="00E1783E">
            <w:pPr>
              <w:widowControl/>
              <w:jc w:val="left"/>
              <w:textAlignment w:val="center"/>
              <w:rPr>
                <w:rFonts w:hint="eastAsia" w:hAnsi="宋体" w:cs="宋体"/>
                <w:color w:val="auto"/>
                <w:sz w:val="21"/>
                <w:szCs w:val="21"/>
                <w:highlight w:val="none"/>
              </w:rPr>
            </w:pPr>
            <w:r>
              <w:rPr>
                <w:rFonts w:hint="eastAsia" w:hAnsi="宋体" w:cs="宋体"/>
                <w:color w:val="auto"/>
                <w:sz w:val="21"/>
                <w:szCs w:val="21"/>
                <w:highlight w:val="none"/>
                <w:lang w:bidi="ar"/>
              </w:rPr>
              <w:t>1</w:t>
            </w:r>
          </w:p>
        </w:tc>
        <w:tc>
          <w:tcPr>
            <w:tcW w:w="1288" w:type="dxa"/>
            <w:vMerge w:val="restart"/>
            <w:shd w:val="clear" w:color="auto" w:fill="auto"/>
            <w:vAlign w:val="center"/>
          </w:tcPr>
          <w:p w14:paraId="00B5F67A">
            <w:pPr>
              <w:widowControl/>
              <w:jc w:val="left"/>
              <w:textAlignment w:val="center"/>
              <w:rPr>
                <w:rStyle w:val="113"/>
                <w:rFonts w:hint="default"/>
                <w:color w:val="auto"/>
                <w:highlight w:val="none"/>
                <w:lang w:bidi="ar"/>
              </w:rPr>
            </w:pPr>
            <w:r>
              <w:rPr>
                <w:rFonts w:hint="eastAsia" w:hAnsi="宋体" w:cs="宋体"/>
                <w:color w:val="auto"/>
                <w:sz w:val="21"/>
                <w:szCs w:val="21"/>
                <w:highlight w:val="none"/>
                <w:lang w:bidi="ar"/>
              </w:rPr>
              <w:t>100M</w:t>
            </w:r>
            <w:r>
              <w:rPr>
                <w:rStyle w:val="113"/>
                <w:rFonts w:hint="default"/>
                <w:color w:val="auto"/>
                <w:highlight w:val="none"/>
                <w:lang w:bidi="ar"/>
              </w:rPr>
              <w:t>互联网出口带宽；</w:t>
            </w:r>
          </w:p>
          <w:p w14:paraId="4BE55AA1">
            <w:pPr>
              <w:widowControl/>
              <w:jc w:val="left"/>
              <w:textAlignment w:val="center"/>
              <w:rPr>
                <w:rFonts w:hint="eastAsia" w:hAnsi="宋体" w:cs="宋体"/>
                <w:color w:val="auto"/>
                <w:sz w:val="21"/>
                <w:szCs w:val="21"/>
                <w:highlight w:val="none"/>
              </w:rPr>
            </w:pPr>
            <w:r>
              <w:rPr>
                <w:rFonts w:hint="eastAsia" w:hAnsi="宋体" w:cs="宋体"/>
                <w:color w:val="auto"/>
                <w:sz w:val="21"/>
                <w:szCs w:val="21"/>
                <w:highlight w:val="none"/>
                <w:lang w:bidi="ar"/>
              </w:rPr>
              <w:t>三年。</w:t>
            </w:r>
          </w:p>
        </w:tc>
      </w:tr>
      <w:tr w14:paraId="638C8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48" w:type="dxa"/>
            <w:shd w:val="clear" w:color="auto" w:fill="auto"/>
            <w:vAlign w:val="center"/>
          </w:tcPr>
          <w:p w14:paraId="035DE86B">
            <w:pPr>
              <w:widowControl/>
              <w:jc w:val="left"/>
              <w:textAlignment w:val="center"/>
              <w:rPr>
                <w:rFonts w:hint="eastAsia" w:hAnsi="宋体" w:cs="宋体"/>
                <w:color w:val="auto"/>
                <w:sz w:val="21"/>
                <w:szCs w:val="21"/>
                <w:highlight w:val="none"/>
              </w:rPr>
            </w:pPr>
            <w:r>
              <w:rPr>
                <w:rFonts w:hint="eastAsia" w:hAnsi="宋体" w:cs="宋体"/>
                <w:color w:val="auto"/>
                <w:sz w:val="21"/>
                <w:szCs w:val="21"/>
                <w:highlight w:val="none"/>
                <w:lang w:bidi="ar"/>
              </w:rPr>
              <w:t>云主机</w:t>
            </w:r>
          </w:p>
        </w:tc>
        <w:tc>
          <w:tcPr>
            <w:tcW w:w="1900" w:type="dxa"/>
            <w:shd w:val="clear" w:color="auto" w:fill="auto"/>
            <w:vAlign w:val="center"/>
          </w:tcPr>
          <w:p w14:paraId="2C6D9B55">
            <w:pPr>
              <w:widowControl/>
              <w:jc w:val="left"/>
              <w:textAlignment w:val="center"/>
              <w:rPr>
                <w:rFonts w:hint="eastAsia" w:hAnsi="宋体" w:cs="宋体"/>
                <w:color w:val="auto"/>
                <w:sz w:val="21"/>
                <w:szCs w:val="21"/>
                <w:highlight w:val="none"/>
              </w:rPr>
            </w:pPr>
            <w:r>
              <w:rPr>
                <w:rFonts w:hint="eastAsia" w:hAnsi="宋体" w:cs="宋体"/>
                <w:color w:val="auto"/>
                <w:sz w:val="21"/>
                <w:szCs w:val="21"/>
                <w:highlight w:val="none"/>
                <w:lang w:bidi="ar"/>
              </w:rPr>
              <w:t>8</w:t>
            </w:r>
          </w:p>
        </w:tc>
        <w:tc>
          <w:tcPr>
            <w:tcW w:w="1700" w:type="dxa"/>
            <w:shd w:val="clear" w:color="auto" w:fill="auto"/>
            <w:vAlign w:val="center"/>
          </w:tcPr>
          <w:p w14:paraId="43401EEB">
            <w:pPr>
              <w:widowControl/>
              <w:jc w:val="left"/>
              <w:textAlignment w:val="center"/>
              <w:rPr>
                <w:rFonts w:hint="eastAsia" w:hAnsi="宋体" w:cs="宋体"/>
                <w:color w:val="auto"/>
                <w:sz w:val="21"/>
                <w:szCs w:val="21"/>
                <w:highlight w:val="none"/>
              </w:rPr>
            </w:pPr>
            <w:r>
              <w:rPr>
                <w:rFonts w:hint="eastAsia" w:hAnsi="宋体" w:cs="宋体"/>
                <w:color w:val="auto"/>
                <w:sz w:val="21"/>
                <w:szCs w:val="21"/>
                <w:highlight w:val="none"/>
                <w:lang w:bidi="ar"/>
              </w:rPr>
              <w:t>32</w:t>
            </w:r>
          </w:p>
        </w:tc>
        <w:tc>
          <w:tcPr>
            <w:tcW w:w="1763" w:type="dxa"/>
            <w:shd w:val="clear" w:color="auto" w:fill="auto"/>
            <w:vAlign w:val="center"/>
          </w:tcPr>
          <w:p w14:paraId="7354EB46">
            <w:pPr>
              <w:widowControl/>
              <w:jc w:val="left"/>
              <w:textAlignment w:val="center"/>
              <w:rPr>
                <w:rFonts w:hint="eastAsia" w:hAnsi="宋体" w:cs="宋体"/>
                <w:color w:val="auto"/>
                <w:sz w:val="21"/>
                <w:szCs w:val="21"/>
                <w:highlight w:val="none"/>
              </w:rPr>
            </w:pPr>
            <w:r>
              <w:rPr>
                <w:rFonts w:hint="eastAsia" w:hAnsi="宋体" w:cs="宋体"/>
                <w:color w:val="auto"/>
                <w:sz w:val="21"/>
                <w:szCs w:val="21"/>
                <w:highlight w:val="none"/>
                <w:lang w:bidi="ar"/>
              </w:rPr>
              <w:t>800</w:t>
            </w:r>
            <w:r>
              <w:rPr>
                <w:rStyle w:val="113"/>
                <w:rFonts w:hint="default"/>
                <w:color w:val="auto"/>
                <w:highlight w:val="none"/>
                <w:lang w:bidi="ar"/>
              </w:rPr>
              <w:t>G</w:t>
            </w:r>
          </w:p>
        </w:tc>
        <w:tc>
          <w:tcPr>
            <w:tcW w:w="1266" w:type="dxa"/>
            <w:shd w:val="clear" w:color="auto" w:fill="auto"/>
            <w:vAlign w:val="center"/>
          </w:tcPr>
          <w:p w14:paraId="716C9EA1">
            <w:pPr>
              <w:widowControl/>
              <w:jc w:val="left"/>
              <w:textAlignment w:val="center"/>
              <w:rPr>
                <w:rFonts w:hint="eastAsia" w:hAnsi="宋体" w:cs="宋体"/>
                <w:color w:val="auto"/>
                <w:sz w:val="21"/>
                <w:szCs w:val="21"/>
                <w:highlight w:val="none"/>
              </w:rPr>
            </w:pPr>
            <w:r>
              <w:rPr>
                <w:rFonts w:hint="eastAsia" w:hAnsi="宋体" w:cs="宋体"/>
                <w:color w:val="auto"/>
                <w:sz w:val="21"/>
                <w:szCs w:val="21"/>
                <w:highlight w:val="none"/>
                <w:lang w:bidi="ar"/>
              </w:rPr>
              <w:t>Linux</w:t>
            </w:r>
          </w:p>
        </w:tc>
        <w:tc>
          <w:tcPr>
            <w:tcW w:w="771" w:type="dxa"/>
            <w:shd w:val="clear" w:color="auto" w:fill="auto"/>
            <w:vAlign w:val="center"/>
          </w:tcPr>
          <w:p w14:paraId="7FE33046">
            <w:pPr>
              <w:widowControl/>
              <w:jc w:val="left"/>
              <w:textAlignment w:val="center"/>
              <w:rPr>
                <w:rFonts w:hint="eastAsia" w:hAnsi="宋体" w:cs="宋体"/>
                <w:color w:val="auto"/>
                <w:sz w:val="21"/>
                <w:szCs w:val="21"/>
                <w:highlight w:val="none"/>
              </w:rPr>
            </w:pPr>
            <w:r>
              <w:rPr>
                <w:rFonts w:hint="eastAsia" w:hAnsi="宋体" w:cs="宋体"/>
                <w:color w:val="auto"/>
                <w:sz w:val="21"/>
                <w:szCs w:val="21"/>
                <w:highlight w:val="none"/>
                <w:lang w:bidi="ar"/>
              </w:rPr>
              <w:t>3</w:t>
            </w:r>
          </w:p>
        </w:tc>
        <w:tc>
          <w:tcPr>
            <w:tcW w:w="1288" w:type="dxa"/>
            <w:vMerge w:val="continue"/>
            <w:shd w:val="clear" w:color="auto" w:fill="auto"/>
            <w:vAlign w:val="center"/>
          </w:tcPr>
          <w:p w14:paraId="48F43808">
            <w:pPr>
              <w:widowControl/>
              <w:jc w:val="left"/>
              <w:textAlignment w:val="center"/>
              <w:rPr>
                <w:rFonts w:hint="eastAsia" w:hAnsi="宋体" w:cs="宋体"/>
                <w:color w:val="auto"/>
                <w:sz w:val="21"/>
                <w:szCs w:val="21"/>
                <w:highlight w:val="none"/>
              </w:rPr>
            </w:pPr>
          </w:p>
        </w:tc>
      </w:tr>
    </w:tbl>
    <w:p w14:paraId="36D2B918">
      <w:pPr>
        <w:widowControl/>
        <w:spacing w:line="460" w:lineRule="exact"/>
        <w:ind w:firstLine="558" w:firstLineChars="266"/>
        <w:rPr>
          <w:rFonts w:hint="eastAsia" w:hAnsi="宋体" w:cs="宋体"/>
          <w:color w:val="auto"/>
          <w:sz w:val="21"/>
          <w:szCs w:val="21"/>
          <w:highlight w:val="none"/>
        </w:rPr>
      </w:pPr>
      <w:r>
        <w:rPr>
          <w:rFonts w:hint="eastAsia" w:hAnsi="宋体" w:cs="宋体"/>
          <w:color w:val="auto"/>
          <w:sz w:val="21"/>
          <w:szCs w:val="21"/>
          <w:highlight w:val="none"/>
        </w:rPr>
        <w:t>②其他云资源</w:t>
      </w:r>
      <w:r>
        <w:rPr>
          <w:rFonts w:hint="eastAsia" w:hAnsi="宋体" w:cs="宋体"/>
          <w:color w:val="auto"/>
          <w:sz w:val="21"/>
          <w:szCs w:val="21"/>
          <w:highlight w:val="none"/>
          <w:lang w:bidi="ar"/>
        </w:rPr>
        <w:t>根据</w:t>
      </w:r>
      <w:r>
        <w:rPr>
          <w:rFonts w:hint="eastAsia" w:hAnsi="宋体" w:cs="宋体"/>
          <w:color w:val="auto"/>
          <w:sz w:val="21"/>
          <w:szCs w:val="21"/>
          <w:highlight w:val="none"/>
        </w:rPr>
        <w:t>加油站流量数据采集系统部署安排提供满足建设运维的要求，在合同履行期限内出现需要云资源扩增的须无条件提供升级（不得增加任何费用），保障系统平稳、安全运行。</w:t>
      </w:r>
    </w:p>
    <w:p w14:paraId="3E744D7D">
      <w:pPr>
        <w:widowControl/>
        <w:spacing w:line="460" w:lineRule="exact"/>
        <w:ind w:firstLine="558" w:firstLineChars="266"/>
        <w:rPr>
          <w:rFonts w:hint="eastAsia" w:hAnsi="宋体" w:cs="宋体"/>
          <w:color w:val="auto"/>
          <w:sz w:val="21"/>
          <w:szCs w:val="21"/>
          <w:highlight w:val="none"/>
        </w:rPr>
      </w:pPr>
      <w:r>
        <w:rPr>
          <w:rFonts w:hint="eastAsia" w:hAnsi="宋体" w:cs="宋体"/>
          <w:color w:val="auto"/>
          <w:sz w:val="21"/>
          <w:szCs w:val="21"/>
          <w:highlight w:val="none"/>
        </w:rPr>
        <w:t>2.3系统部署安装区域要求“一、采集客户端”和“四、预警平台—油站端”两个系统模块（或登录模块）须安装部署到保山市辖区内每一家加油站中，确保加油站流量数据采集准确、及时，现涉及的加油站共计约124个（具体涉及安装部署的加油站数量以采购人提供的实际站点数为准）。“二、数据管理后台”和“三、预警平台—政府端”两个系统模块根据采购人要求将相关登录模块安装部署到指定地点。</w:t>
      </w:r>
    </w:p>
    <w:p w14:paraId="55F49B78">
      <w:pPr>
        <w:widowControl/>
        <w:spacing w:line="460" w:lineRule="exact"/>
        <w:ind w:firstLine="558" w:firstLineChars="266"/>
        <w:rPr>
          <w:rFonts w:hint="eastAsia" w:hAnsi="宋体" w:cs="宋体"/>
          <w:color w:val="auto"/>
          <w:sz w:val="21"/>
          <w:szCs w:val="21"/>
          <w:highlight w:val="none"/>
        </w:rPr>
      </w:pPr>
    </w:p>
    <w:p w14:paraId="486E20BB">
      <w:pPr>
        <w:widowControl/>
        <w:spacing w:line="460" w:lineRule="exact"/>
        <w:ind w:firstLine="558" w:firstLineChars="266"/>
        <w:rPr>
          <w:rFonts w:hint="eastAsia" w:hAnsi="宋体" w:cs="宋体"/>
          <w:color w:val="auto"/>
          <w:sz w:val="21"/>
          <w:szCs w:val="21"/>
          <w:highlight w:val="none"/>
        </w:rPr>
      </w:pPr>
      <w:r>
        <w:rPr>
          <w:rFonts w:hint="eastAsia" w:hAnsi="宋体" w:cs="宋体"/>
          <w:color w:val="auto"/>
          <w:sz w:val="21"/>
          <w:szCs w:val="21"/>
          <w:highlight w:val="none"/>
        </w:rPr>
        <w:t>3.项目管理与实施要求</w:t>
      </w:r>
    </w:p>
    <w:p w14:paraId="58E59B64">
      <w:pPr>
        <w:widowControl/>
        <w:spacing w:line="460" w:lineRule="exact"/>
        <w:ind w:firstLine="558" w:firstLineChars="266"/>
        <w:rPr>
          <w:rFonts w:hint="eastAsia" w:hAnsi="宋体" w:cs="宋体"/>
          <w:color w:val="auto"/>
          <w:sz w:val="21"/>
          <w:szCs w:val="21"/>
          <w:highlight w:val="none"/>
        </w:rPr>
      </w:pPr>
      <w:r>
        <w:rPr>
          <w:rFonts w:hint="eastAsia" w:hAnsi="宋体" w:cs="宋体"/>
          <w:color w:val="auto"/>
          <w:sz w:val="21"/>
          <w:szCs w:val="21"/>
          <w:highlight w:val="none"/>
        </w:rPr>
        <w:t>3.1.项目工作小组</w:t>
      </w:r>
    </w:p>
    <w:p w14:paraId="47578EB8">
      <w:pPr>
        <w:widowControl/>
        <w:spacing w:line="460" w:lineRule="exact"/>
        <w:ind w:firstLine="558" w:firstLineChars="266"/>
        <w:rPr>
          <w:rFonts w:hint="eastAsia" w:hAnsi="宋体" w:cs="宋体"/>
          <w:color w:val="auto"/>
          <w:sz w:val="21"/>
          <w:szCs w:val="21"/>
          <w:highlight w:val="none"/>
        </w:rPr>
      </w:pPr>
      <w:r>
        <w:rPr>
          <w:rFonts w:hint="eastAsia" w:hAnsi="宋体" w:cs="宋体"/>
          <w:color w:val="auto"/>
          <w:sz w:val="21"/>
          <w:szCs w:val="21"/>
          <w:highlight w:val="none"/>
        </w:rPr>
        <w:t>投标人应成立针对信息系统建设的项目工作组，在合同履行期限内以下人员除特殊情况外不得进行更换调整，成员包括：</w:t>
      </w:r>
    </w:p>
    <w:p w14:paraId="76469BDA">
      <w:pPr>
        <w:widowControl/>
        <w:spacing w:line="460" w:lineRule="exact"/>
        <w:ind w:firstLine="558" w:firstLineChars="266"/>
        <w:rPr>
          <w:rFonts w:hint="eastAsia" w:hAnsi="宋体" w:cs="宋体"/>
          <w:color w:val="auto"/>
          <w:sz w:val="21"/>
          <w:szCs w:val="21"/>
          <w:highlight w:val="none"/>
        </w:rPr>
      </w:pPr>
      <w:r>
        <w:rPr>
          <w:rFonts w:hint="eastAsia" w:hAnsi="宋体" w:cs="宋体"/>
          <w:color w:val="auto"/>
          <w:sz w:val="21"/>
          <w:szCs w:val="21"/>
          <w:highlight w:val="none"/>
        </w:rPr>
        <w:t>①项目经理：全权代表供应商执行各项技术及管理工作；</w:t>
      </w:r>
    </w:p>
    <w:p w14:paraId="0CA74181">
      <w:pPr>
        <w:widowControl/>
        <w:spacing w:line="460" w:lineRule="exact"/>
        <w:ind w:firstLine="558" w:firstLineChars="266"/>
        <w:rPr>
          <w:rFonts w:hint="eastAsia" w:hAnsi="宋体" w:cs="宋体"/>
          <w:color w:val="auto"/>
          <w:sz w:val="21"/>
          <w:szCs w:val="21"/>
          <w:highlight w:val="none"/>
        </w:rPr>
      </w:pPr>
      <w:r>
        <w:rPr>
          <w:rFonts w:hint="eastAsia" w:hAnsi="宋体" w:cs="宋体"/>
          <w:color w:val="auto"/>
          <w:sz w:val="21"/>
          <w:szCs w:val="21"/>
          <w:highlight w:val="none"/>
        </w:rPr>
        <w:t xml:space="preserve">②项目核心人员：具有信息系统应用管理和系统分析经验的项目技术人员； </w:t>
      </w:r>
    </w:p>
    <w:p w14:paraId="1508F61C">
      <w:pPr>
        <w:widowControl/>
        <w:spacing w:line="460" w:lineRule="exact"/>
        <w:ind w:firstLine="558" w:firstLineChars="266"/>
        <w:rPr>
          <w:rFonts w:hint="eastAsia" w:hAnsi="宋体" w:cs="宋体"/>
          <w:color w:val="auto"/>
          <w:sz w:val="21"/>
          <w:szCs w:val="21"/>
          <w:highlight w:val="none"/>
        </w:rPr>
      </w:pPr>
      <w:r>
        <w:rPr>
          <w:rFonts w:hint="eastAsia" w:hAnsi="宋体" w:cs="宋体"/>
          <w:color w:val="auto"/>
          <w:sz w:val="21"/>
          <w:szCs w:val="21"/>
          <w:highlight w:val="none"/>
        </w:rPr>
        <w:t>③项目实施人员：项目签约后，投标人须提供项目建设实施人员和后续驻场技术服务人员，人员须为供应商正式员工。投标人自行提供后续驻场技术服务人员的相应工作环境。</w:t>
      </w:r>
    </w:p>
    <w:p w14:paraId="7AE5ABE4">
      <w:pPr>
        <w:widowControl/>
        <w:spacing w:line="460" w:lineRule="exact"/>
        <w:ind w:firstLine="558" w:firstLineChars="266"/>
        <w:rPr>
          <w:rFonts w:hint="eastAsia" w:hAnsi="宋体" w:cs="宋体"/>
          <w:color w:val="auto"/>
          <w:sz w:val="21"/>
          <w:szCs w:val="21"/>
          <w:highlight w:val="none"/>
        </w:rPr>
      </w:pPr>
      <w:r>
        <w:rPr>
          <w:rFonts w:hint="eastAsia" w:hAnsi="宋体" w:cs="宋体"/>
          <w:color w:val="auto"/>
          <w:sz w:val="21"/>
          <w:szCs w:val="21"/>
          <w:highlight w:val="none"/>
        </w:rPr>
        <w:t>3.2.文档信息档案资料管理</w:t>
      </w:r>
    </w:p>
    <w:p w14:paraId="346B2CD7">
      <w:pPr>
        <w:widowControl/>
        <w:spacing w:line="460" w:lineRule="exact"/>
        <w:ind w:firstLine="558" w:firstLineChars="266"/>
        <w:rPr>
          <w:rFonts w:hint="eastAsia" w:hAnsi="宋体" w:cs="宋体"/>
          <w:color w:val="auto"/>
          <w:sz w:val="21"/>
          <w:szCs w:val="21"/>
          <w:highlight w:val="none"/>
        </w:rPr>
      </w:pPr>
      <w:r>
        <w:rPr>
          <w:rFonts w:hint="eastAsia" w:hAnsi="宋体" w:cs="宋体"/>
          <w:color w:val="auto"/>
          <w:sz w:val="21"/>
          <w:szCs w:val="21"/>
          <w:highlight w:val="none"/>
        </w:rPr>
        <w:t>文档是保证项目的实施连贯性的重要保证，投标人需要提供完善的文档，对项目进行过程中的文档进行有效的管理，并与采购人签署相应的系统和数据安全保密协议，接受采购人对项目各阶段评估分析和监督管理。</w:t>
      </w:r>
    </w:p>
    <w:p w14:paraId="6301F308">
      <w:pPr>
        <w:widowControl/>
        <w:spacing w:line="460" w:lineRule="exact"/>
        <w:ind w:firstLine="558" w:firstLineChars="266"/>
        <w:rPr>
          <w:rFonts w:hint="eastAsia" w:hAnsi="宋体" w:cs="宋体"/>
          <w:color w:val="auto"/>
          <w:sz w:val="21"/>
          <w:szCs w:val="21"/>
          <w:highlight w:val="none"/>
        </w:rPr>
      </w:pPr>
      <w:r>
        <w:rPr>
          <w:rFonts w:hint="eastAsia" w:hAnsi="宋体" w:cs="宋体"/>
          <w:color w:val="auto"/>
          <w:sz w:val="21"/>
          <w:szCs w:val="21"/>
          <w:highlight w:val="none"/>
        </w:rPr>
        <w:t>整个项目的过程包括项目建设、售后运维期间贯穿ISO9001和CMM的规范，使用国家标准码，提供齐全的项目管理、设计和开发、操作说明书面文档和电子版。</w:t>
      </w:r>
    </w:p>
    <w:p w14:paraId="74B9DABD">
      <w:pPr>
        <w:widowControl/>
        <w:spacing w:line="460" w:lineRule="exact"/>
        <w:ind w:firstLine="558" w:firstLineChars="266"/>
        <w:rPr>
          <w:rFonts w:hint="eastAsia" w:hAnsi="宋体" w:cs="宋体"/>
          <w:color w:val="auto"/>
          <w:sz w:val="21"/>
          <w:szCs w:val="21"/>
          <w:highlight w:val="none"/>
        </w:rPr>
      </w:pPr>
    </w:p>
    <w:p w14:paraId="3790A881">
      <w:pPr>
        <w:widowControl/>
        <w:spacing w:line="460" w:lineRule="exact"/>
        <w:ind w:firstLine="558" w:firstLineChars="266"/>
        <w:rPr>
          <w:rFonts w:hint="eastAsia" w:hAnsi="宋体" w:cs="宋体"/>
          <w:color w:val="auto"/>
          <w:sz w:val="21"/>
          <w:szCs w:val="21"/>
          <w:highlight w:val="none"/>
        </w:rPr>
      </w:pPr>
      <w:r>
        <w:rPr>
          <w:rFonts w:hint="eastAsia" w:hAnsi="宋体" w:cs="宋体"/>
          <w:color w:val="auto"/>
          <w:sz w:val="21"/>
          <w:szCs w:val="21"/>
          <w:highlight w:val="none"/>
        </w:rPr>
        <w:t>4.验收要求：软件系统完成安装部署（系统功能模块和相关技术指标达标），完成与相应系统对接后，软件系统将进入为期30日历天的试运行阶段，在试运行阶段采购人将组建验收小组根据软件系统的运行稳定状况、数据校验错误率等方面进行项目初验，若软件系统的系统运行不稳定（如：经常出现系统运行逻辑错误、功能运转不正常、数据对接不正常的），中标人应无条件对软件系统进行免费整改调整和优化（不得向采购人收取其他任何费用），直至达到软件系统运行稳定为止。若最终达不到标准，采购人将根据合同要求对中标人追究其违约责任并终止项目合同，若造成采购人相关损失的进行依法追偿。</w:t>
      </w:r>
    </w:p>
    <w:p w14:paraId="46219050">
      <w:pPr>
        <w:widowControl/>
        <w:spacing w:line="460" w:lineRule="exact"/>
        <w:ind w:firstLine="558" w:firstLineChars="266"/>
        <w:rPr>
          <w:rFonts w:hint="eastAsia" w:hAnsi="宋体" w:cs="宋体"/>
          <w:color w:val="auto"/>
          <w:sz w:val="21"/>
          <w:szCs w:val="21"/>
          <w:highlight w:val="none"/>
        </w:rPr>
      </w:pPr>
    </w:p>
    <w:p w14:paraId="16B6DEE4">
      <w:pPr>
        <w:widowControl/>
        <w:spacing w:line="460" w:lineRule="exact"/>
        <w:ind w:firstLine="558" w:firstLineChars="266"/>
        <w:rPr>
          <w:rFonts w:hint="eastAsia" w:hAnsi="宋体" w:cs="宋体"/>
          <w:color w:val="auto"/>
          <w:sz w:val="21"/>
          <w:szCs w:val="21"/>
          <w:highlight w:val="none"/>
        </w:rPr>
      </w:pPr>
      <w:r>
        <w:rPr>
          <w:rFonts w:hint="eastAsia" w:hAnsi="宋体" w:cs="宋体"/>
          <w:color w:val="auto"/>
          <w:sz w:val="21"/>
          <w:szCs w:val="21"/>
          <w:highlight w:val="none"/>
        </w:rPr>
        <w:t>5.技术培训要求</w:t>
      </w:r>
    </w:p>
    <w:p w14:paraId="3C379B4C">
      <w:pPr>
        <w:widowControl/>
        <w:spacing w:line="460" w:lineRule="exact"/>
        <w:ind w:firstLine="558" w:firstLineChars="266"/>
        <w:rPr>
          <w:rFonts w:hint="eastAsia" w:hAnsi="宋体" w:cs="宋体"/>
          <w:color w:val="auto"/>
          <w:sz w:val="21"/>
          <w:szCs w:val="21"/>
          <w:highlight w:val="none"/>
        </w:rPr>
      </w:pPr>
      <w:r>
        <w:rPr>
          <w:rFonts w:hint="eastAsia" w:hAnsi="宋体" w:cs="宋体"/>
          <w:color w:val="auto"/>
          <w:sz w:val="21"/>
          <w:szCs w:val="21"/>
          <w:highlight w:val="none"/>
        </w:rPr>
        <w:t>为保证项目顺利完成，投标人需准备一份完整的培训计划，对各类系统操作人员进行相关的培训，同时需要负责培训的实施；包括培训文档的准备。与培训相关的费用，投标人应当一并计算在投标报价中。</w:t>
      </w:r>
    </w:p>
    <w:p w14:paraId="3C2A796F">
      <w:pPr>
        <w:widowControl/>
        <w:spacing w:line="460" w:lineRule="exact"/>
        <w:ind w:firstLine="558" w:firstLineChars="266"/>
        <w:rPr>
          <w:rFonts w:hint="eastAsia" w:hAnsi="宋体" w:cs="宋体"/>
          <w:color w:val="auto"/>
          <w:sz w:val="21"/>
          <w:szCs w:val="21"/>
          <w:highlight w:val="none"/>
        </w:rPr>
      </w:pPr>
      <w:r>
        <w:rPr>
          <w:rFonts w:hint="eastAsia" w:hAnsi="宋体" w:cs="宋体"/>
          <w:color w:val="auto"/>
          <w:sz w:val="21"/>
          <w:szCs w:val="21"/>
          <w:highlight w:val="none"/>
        </w:rPr>
        <w:t>培训内容应包括</w:t>
      </w:r>
      <w:r>
        <w:rPr>
          <w:rFonts w:hint="eastAsia"/>
          <w:color w:val="auto"/>
          <w:sz w:val="21"/>
          <w:szCs w:val="21"/>
          <w:highlight w:val="none"/>
        </w:rPr>
        <w:t>系统特性、系统功能、故障诊断、安全技术与操作</w:t>
      </w:r>
      <w:r>
        <w:rPr>
          <w:rFonts w:hint="eastAsia" w:hAnsi="宋体" w:cs="宋体"/>
          <w:color w:val="auto"/>
          <w:sz w:val="21"/>
          <w:szCs w:val="21"/>
          <w:highlight w:val="none"/>
        </w:rPr>
        <w:t>等方面的内容，使各类系统操作人员能独立操作使用相应的系统模块。对与信息系统的相关技术，投标人也需要提供必要的手段保证能够将其传授予相关技术人员。</w:t>
      </w:r>
    </w:p>
    <w:p w14:paraId="611BA7A0">
      <w:pPr>
        <w:spacing w:line="460" w:lineRule="exact"/>
        <w:ind w:firstLine="561" w:firstLineChars="266"/>
        <w:rPr>
          <w:rFonts w:hint="eastAsia" w:hAnsi="宋体" w:cs="宋体"/>
          <w:b/>
          <w:color w:val="auto"/>
          <w:sz w:val="21"/>
          <w:szCs w:val="21"/>
          <w:highlight w:val="none"/>
        </w:rPr>
      </w:pPr>
    </w:p>
    <w:p w14:paraId="6172BF1F">
      <w:pPr>
        <w:spacing w:line="460" w:lineRule="exact"/>
        <w:ind w:firstLine="561" w:firstLineChars="266"/>
        <w:rPr>
          <w:rFonts w:hint="eastAsia" w:hAnsi="宋体" w:cs="宋体"/>
          <w:b/>
          <w:color w:val="auto"/>
          <w:sz w:val="21"/>
          <w:szCs w:val="21"/>
          <w:highlight w:val="none"/>
        </w:rPr>
      </w:pPr>
      <w:r>
        <w:rPr>
          <w:rFonts w:hint="eastAsia" w:hAnsi="宋体" w:cs="宋体"/>
          <w:b/>
          <w:color w:val="auto"/>
          <w:sz w:val="21"/>
          <w:szCs w:val="21"/>
          <w:highlight w:val="none"/>
        </w:rPr>
        <w:t>（三）售后运维服务要求</w:t>
      </w:r>
    </w:p>
    <w:p w14:paraId="16BA9A52">
      <w:pPr>
        <w:widowControl/>
        <w:spacing w:line="460" w:lineRule="exact"/>
        <w:ind w:firstLine="558" w:firstLineChars="266"/>
        <w:rPr>
          <w:rFonts w:hint="eastAsia" w:hAnsi="宋体" w:cs="宋体"/>
          <w:color w:val="auto"/>
          <w:sz w:val="21"/>
          <w:szCs w:val="21"/>
          <w:highlight w:val="none"/>
        </w:rPr>
      </w:pPr>
      <w:r>
        <w:rPr>
          <w:rFonts w:hint="eastAsia" w:hAnsi="宋体" w:cs="宋体"/>
          <w:color w:val="auto"/>
          <w:sz w:val="21"/>
          <w:szCs w:val="21"/>
          <w:highlight w:val="none"/>
        </w:rPr>
        <w:t>为保障采购产品的售后运维服务要求，投标人应具有完善的售后服务体系，须针对本项目提供不低于1年的免费售后运维服务期限（自项目最终验收合格之日起计算），在售后运维服务期限内提供免费上门和驻场运维服务和相关技术支持服务。售后运维服务包括：</w:t>
      </w:r>
    </w:p>
    <w:p w14:paraId="31D2D887">
      <w:pPr>
        <w:widowControl/>
        <w:spacing w:line="460" w:lineRule="exact"/>
        <w:ind w:firstLine="558" w:firstLineChars="266"/>
        <w:rPr>
          <w:rFonts w:hint="eastAsia" w:hAnsi="宋体" w:cs="宋体"/>
          <w:color w:val="auto"/>
          <w:sz w:val="21"/>
          <w:szCs w:val="21"/>
          <w:highlight w:val="none"/>
        </w:rPr>
      </w:pPr>
      <w:r>
        <w:rPr>
          <w:rFonts w:hint="eastAsia" w:hAnsi="宋体" w:cs="宋体"/>
          <w:color w:val="auto"/>
          <w:sz w:val="21"/>
          <w:szCs w:val="21"/>
          <w:highlight w:val="none"/>
        </w:rPr>
        <w:t>1.提供市级不少于2人、县级不少于5人的本地运维服务人员，驻场</w:t>
      </w:r>
      <w:r>
        <w:rPr>
          <w:rFonts w:hint="eastAsia" w:ascii="Times New Roman" w:cs="宋体"/>
          <w:color w:val="auto"/>
          <w:sz w:val="21"/>
          <w:szCs w:val="21"/>
          <w:highlight w:val="none"/>
          <w:lang w:bidi="ar"/>
        </w:rPr>
        <w:t>运维服务响应要求须提供</w:t>
      </w:r>
      <w:r>
        <w:rPr>
          <w:rFonts w:ascii="Times New Roman" w:cs="Calibri"/>
          <w:color w:val="auto"/>
          <w:sz w:val="21"/>
          <w:szCs w:val="21"/>
          <w:highlight w:val="none"/>
          <w:lang w:bidi="ar"/>
        </w:rPr>
        <w:t>365</w:t>
      </w:r>
      <w:r>
        <w:rPr>
          <w:rFonts w:hint="eastAsia" w:ascii="Times New Roman" w:cs="宋体"/>
          <w:color w:val="auto"/>
          <w:sz w:val="21"/>
          <w:szCs w:val="21"/>
          <w:highlight w:val="none"/>
          <w:lang w:bidi="ar"/>
        </w:rPr>
        <w:t>天</w:t>
      </w:r>
      <w:r>
        <w:rPr>
          <w:rFonts w:ascii="Times New Roman" w:cs="Calibri"/>
          <w:color w:val="auto"/>
          <w:sz w:val="21"/>
          <w:szCs w:val="21"/>
          <w:highlight w:val="none"/>
          <w:lang w:bidi="ar"/>
        </w:rPr>
        <w:t>*8</w:t>
      </w:r>
      <w:r>
        <w:rPr>
          <w:rFonts w:hint="eastAsia" w:ascii="Times New Roman" w:cs="宋体"/>
          <w:color w:val="auto"/>
          <w:sz w:val="21"/>
          <w:szCs w:val="21"/>
          <w:highlight w:val="none"/>
          <w:lang w:bidi="ar"/>
        </w:rPr>
        <w:t>小时上门维护服务，</w:t>
      </w:r>
      <w:r>
        <w:rPr>
          <w:rFonts w:ascii="Times New Roman" w:cs="Calibri"/>
          <w:color w:val="auto"/>
          <w:sz w:val="21"/>
          <w:szCs w:val="21"/>
          <w:highlight w:val="none"/>
          <w:lang w:bidi="ar"/>
        </w:rPr>
        <w:t>365</w:t>
      </w:r>
      <w:r>
        <w:rPr>
          <w:rFonts w:hint="eastAsia" w:ascii="Times New Roman" w:cs="宋体"/>
          <w:color w:val="auto"/>
          <w:sz w:val="21"/>
          <w:szCs w:val="21"/>
          <w:highlight w:val="none"/>
          <w:lang w:bidi="ar"/>
        </w:rPr>
        <w:t>天</w:t>
      </w:r>
      <w:r>
        <w:rPr>
          <w:rFonts w:ascii="Times New Roman" w:cs="Calibri"/>
          <w:color w:val="auto"/>
          <w:sz w:val="21"/>
          <w:szCs w:val="21"/>
          <w:highlight w:val="none"/>
          <w:lang w:bidi="ar"/>
        </w:rPr>
        <w:t>*24</w:t>
      </w:r>
      <w:r>
        <w:rPr>
          <w:rFonts w:hint="eastAsia" w:ascii="Times New Roman" w:cs="宋体"/>
          <w:color w:val="auto"/>
          <w:sz w:val="21"/>
          <w:szCs w:val="21"/>
          <w:highlight w:val="none"/>
          <w:lang w:bidi="ar"/>
        </w:rPr>
        <w:t>小时全天候上门应急服务，</w:t>
      </w:r>
      <w:r>
        <w:rPr>
          <w:rFonts w:ascii="Times New Roman" w:cs="Calibri"/>
          <w:color w:val="auto"/>
          <w:sz w:val="21"/>
          <w:szCs w:val="21"/>
          <w:highlight w:val="none"/>
          <w:lang w:bidi="ar"/>
        </w:rPr>
        <w:t>365</w:t>
      </w:r>
      <w:r>
        <w:rPr>
          <w:rFonts w:hint="eastAsia" w:ascii="Times New Roman" w:cs="宋体"/>
          <w:color w:val="auto"/>
          <w:sz w:val="21"/>
          <w:szCs w:val="21"/>
          <w:highlight w:val="none"/>
          <w:lang w:bidi="ar"/>
        </w:rPr>
        <w:t>天</w:t>
      </w:r>
      <w:r>
        <w:rPr>
          <w:rFonts w:ascii="Times New Roman" w:cs="Calibri"/>
          <w:color w:val="auto"/>
          <w:sz w:val="21"/>
          <w:szCs w:val="21"/>
          <w:highlight w:val="none"/>
          <w:lang w:bidi="ar"/>
        </w:rPr>
        <w:t>*24</w:t>
      </w:r>
      <w:r>
        <w:rPr>
          <w:rFonts w:hint="eastAsia" w:ascii="Times New Roman" w:cs="宋体"/>
          <w:color w:val="auto"/>
          <w:sz w:val="21"/>
          <w:szCs w:val="21"/>
          <w:highlight w:val="none"/>
          <w:lang w:bidi="ar"/>
        </w:rPr>
        <w:t>小时全天候远程和现场技术支持服务。</w:t>
      </w:r>
    </w:p>
    <w:p w14:paraId="61F9B3F7">
      <w:pPr>
        <w:widowControl/>
        <w:spacing w:line="460" w:lineRule="exact"/>
        <w:ind w:firstLine="558" w:firstLineChars="266"/>
        <w:rPr>
          <w:rFonts w:hint="eastAsia" w:hAnsi="宋体" w:cs="宋体"/>
          <w:color w:val="auto"/>
          <w:sz w:val="21"/>
          <w:szCs w:val="21"/>
          <w:highlight w:val="none"/>
        </w:rPr>
      </w:pPr>
      <w:r>
        <w:rPr>
          <w:rFonts w:hint="eastAsia" w:hAnsi="宋体" w:cs="宋体"/>
          <w:color w:val="auto"/>
          <w:sz w:val="21"/>
          <w:szCs w:val="21"/>
          <w:highlight w:val="none"/>
        </w:rPr>
        <w:t>2.对软件系统在运行中的故障排查、信息数据维护备份及恢复、系统及数据库适配调整提供运行维护工作。</w:t>
      </w:r>
    </w:p>
    <w:p w14:paraId="5CBDB265">
      <w:pPr>
        <w:widowControl/>
        <w:spacing w:line="460" w:lineRule="exact"/>
        <w:ind w:firstLine="558" w:firstLineChars="266"/>
        <w:rPr>
          <w:rFonts w:hint="eastAsia" w:hAnsi="宋体" w:cs="宋体"/>
          <w:color w:val="auto"/>
          <w:sz w:val="21"/>
          <w:szCs w:val="21"/>
          <w:highlight w:val="none"/>
        </w:rPr>
      </w:pPr>
      <w:r>
        <w:rPr>
          <w:rFonts w:hint="eastAsia" w:hAnsi="宋体" w:cs="宋体"/>
          <w:color w:val="auto"/>
          <w:sz w:val="21"/>
          <w:szCs w:val="21"/>
          <w:highlight w:val="none"/>
        </w:rPr>
        <w:t>3.在合同履行期限内，加油站流量数据采集系统出现或者因外部原因形成各类漏洞、BUG，须无条件进行系统修复、整改，确保采集的加油站流量数据真实有效、安全不外泄。</w:t>
      </w:r>
    </w:p>
    <w:p w14:paraId="4836CD34">
      <w:pPr>
        <w:widowControl/>
        <w:spacing w:line="460" w:lineRule="exact"/>
        <w:ind w:firstLine="558" w:firstLineChars="266"/>
        <w:rPr>
          <w:rFonts w:hint="eastAsia" w:hAnsi="宋体" w:cs="宋体"/>
          <w:color w:val="auto"/>
          <w:sz w:val="21"/>
          <w:szCs w:val="21"/>
          <w:highlight w:val="none"/>
        </w:rPr>
      </w:pPr>
      <w:r>
        <w:rPr>
          <w:rFonts w:hint="eastAsia" w:hAnsi="宋体" w:cs="宋体"/>
          <w:color w:val="auto"/>
          <w:sz w:val="21"/>
          <w:szCs w:val="21"/>
          <w:highlight w:val="none"/>
        </w:rPr>
        <w:t>4.</w:t>
      </w:r>
      <w:r>
        <w:rPr>
          <w:rFonts w:hint="eastAsia" w:ascii="方正仿宋_GBK" w:hAnsi="方正仿宋_GBK" w:eastAsia="方正仿宋_GBK" w:cs="方正仿宋_GBK"/>
          <w:color w:val="auto"/>
          <w:sz w:val="32"/>
          <w:szCs w:val="32"/>
          <w:highlight w:val="none"/>
        </w:rPr>
        <w:t xml:space="preserve"> </w:t>
      </w:r>
      <w:r>
        <w:rPr>
          <w:rFonts w:hint="eastAsia" w:cs="方正仿宋_GBK" w:asciiTheme="minorEastAsia" w:hAnsiTheme="minorEastAsia" w:eastAsiaTheme="minorEastAsia"/>
          <w:color w:val="auto"/>
          <w:sz w:val="21"/>
          <w:szCs w:val="21"/>
          <w:highlight w:val="none"/>
        </w:rPr>
        <w:t>日常巡检：在售后运维服务期限内，每1个月对整体系统进行一次全方位的巡检工作，巡检结束须向采购人提供巡检报告，发现重大安全隐患和故障的，须及时报告并进行妥善处理和整改升级，确保采购人充分了解整体系统的运行情况。</w:t>
      </w:r>
    </w:p>
    <w:p w14:paraId="743199CD">
      <w:pPr>
        <w:spacing w:line="460" w:lineRule="exact"/>
        <w:ind w:firstLine="561" w:firstLineChars="266"/>
        <w:rPr>
          <w:rFonts w:hint="eastAsia" w:hAnsi="宋体" w:cs="宋体"/>
          <w:b/>
          <w:color w:val="auto"/>
          <w:sz w:val="21"/>
          <w:szCs w:val="21"/>
          <w:highlight w:val="none"/>
        </w:rPr>
      </w:pPr>
    </w:p>
    <w:p w14:paraId="08C8C84D">
      <w:pPr>
        <w:spacing w:line="460" w:lineRule="exact"/>
        <w:ind w:firstLine="561" w:firstLineChars="266"/>
        <w:rPr>
          <w:rFonts w:hint="eastAsia" w:hAnsi="宋体" w:cs="宋体"/>
          <w:b/>
          <w:color w:val="auto"/>
          <w:sz w:val="21"/>
          <w:szCs w:val="21"/>
          <w:highlight w:val="none"/>
        </w:rPr>
      </w:pPr>
      <w:r>
        <w:rPr>
          <w:rFonts w:hint="eastAsia" w:hAnsi="宋体" w:cs="宋体"/>
          <w:b/>
          <w:color w:val="auto"/>
          <w:sz w:val="21"/>
          <w:szCs w:val="21"/>
          <w:highlight w:val="none"/>
        </w:rPr>
        <w:t>（四）项目其他相关要求及说明</w:t>
      </w:r>
    </w:p>
    <w:p w14:paraId="749FEB31">
      <w:pPr>
        <w:widowControl/>
        <w:spacing w:line="460" w:lineRule="exact"/>
        <w:ind w:firstLine="558" w:firstLineChars="266"/>
        <w:rPr>
          <w:color w:val="auto"/>
          <w:sz w:val="21"/>
          <w:szCs w:val="21"/>
          <w:highlight w:val="none"/>
        </w:rPr>
      </w:pPr>
      <w:r>
        <w:rPr>
          <w:rFonts w:hint="eastAsia"/>
          <w:color w:val="auto"/>
          <w:sz w:val="21"/>
          <w:szCs w:val="21"/>
          <w:highlight w:val="none"/>
        </w:rPr>
        <w:t>1.本次采购产品为成熟的软件系统，投标人可选择相当于或优于采购人所公布的设备技术性能及参数进行投标。为保障采购人在使用该软件或软件的任何一部分时，免受第三方提出的侵犯其专利权、商标权、著作权或其他知识产权的起诉，投标人拟提供的软件必须正版、合法，保障其合法权益，系统软件应具有软件著作权证明。</w:t>
      </w:r>
    </w:p>
    <w:p w14:paraId="5EBF94E8">
      <w:pPr>
        <w:widowControl/>
        <w:spacing w:line="460" w:lineRule="exact"/>
        <w:ind w:firstLine="558" w:firstLineChars="266"/>
        <w:rPr>
          <w:color w:val="auto"/>
          <w:sz w:val="21"/>
          <w:szCs w:val="21"/>
          <w:highlight w:val="none"/>
        </w:rPr>
      </w:pPr>
      <w:r>
        <w:rPr>
          <w:rFonts w:hint="eastAsia"/>
          <w:color w:val="auto"/>
          <w:sz w:val="21"/>
          <w:szCs w:val="21"/>
          <w:highlight w:val="none"/>
        </w:rPr>
        <w:t>注：投标人拟提供产品中所载明加油站流量数据采集系统技术性能不允许出现任何功能模块缺失（如</w:t>
      </w:r>
      <w:r>
        <w:rPr>
          <w:rFonts w:hint="eastAsia" w:hAnsi="宋体" w:cs="宋体"/>
          <w:color w:val="auto"/>
          <w:sz w:val="21"/>
          <w:szCs w:val="21"/>
          <w:highlight w:val="none"/>
        </w:rPr>
        <w:t>“加油站流量数据采集系统功能和技术要求”中</w:t>
      </w:r>
      <w:r>
        <w:rPr>
          <w:rFonts w:hint="eastAsia"/>
          <w:color w:val="auto"/>
          <w:sz w:val="21"/>
          <w:szCs w:val="21"/>
          <w:highlight w:val="none"/>
        </w:rPr>
        <w:t xml:space="preserve"> “一级功能、二级功能”等属于功能模块，“</w:t>
      </w:r>
      <w:r>
        <w:rPr>
          <w:rFonts w:hint="eastAsia" w:hAnsi="宋体" w:cs="宋体"/>
          <w:color w:val="auto"/>
          <w:sz w:val="21"/>
          <w:szCs w:val="21"/>
          <w:highlight w:val="none"/>
        </w:rPr>
        <w:t>加油站流量数据采集系统功能和技术要求</w:t>
      </w:r>
      <w:r>
        <w:rPr>
          <w:rFonts w:hint="eastAsia"/>
          <w:color w:val="auto"/>
          <w:sz w:val="21"/>
          <w:szCs w:val="21"/>
          <w:highlight w:val="none"/>
        </w:rPr>
        <w:t>”中所载明的每一项功能模块均不能出现缺失），否则视为实质性不响应。</w:t>
      </w:r>
    </w:p>
    <w:p w14:paraId="4966297C">
      <w:pPr>
        <w:widowControl/>
        <w:spacing w:line="460" w:lineRule="exact"/>
        <w:ind w:firstLine="558" w:firstLineChars="266"/>
        <w:rPr>
          <w:color w:val="auto"/>
          <w:sz w:val="21"/>
          <w:szCs w:val="21"/>
          <w:highlight w:val="none"/>
        </w:rPr>
      </w:pPr>
      <w:r>
        <w:rPr>
          <w:rFonts w:hint="eastAsia"/>
          <w:color w:val="auto"/>
          <w:sz w:val="21"/>
          <w:szCs w:val="21"/>
          <w:highlight w:val="none"/>
        </w:rPr>
        <w:t>2.本项目需要对本次采购的加油站流量数据采集系统进行系统功能演示，演示方式采用视频并配音解说进行实现（文件格式MP4），演示时长不超过20分钟，演示相关案例或原型，无需系统开发。视频演示须图像清晰、演示功能准确，配音解说须与视频显示内容一致。</w:t>
      </w:r>
    </w:p>
    <w:p w14:paraId="5A8184F3">
      <w:pPr>
        <w:widowControl/>
        <w:spacing w:line="460" w:lineRule="exact"/>
        <w:ind w:firstLine="558" w:firstLineChars="266"/>
        <w:rPr>
          <w:color w:val="auto"/>
          <w:sz w:val="21"/>
          <w:szCs w:val="21"/>
          <w:highlight w:val="none"/>
        </w:rPr>
      </w:pPr>
      <w:r>
        <w:rPr>
          <w:rFonts w:hint="eastAsia"/>
          <w:color w:val="auto"/>
          <w:sz w:val="21"/>
          <w:szCs w:val="21"/>
          <w:highlight w:val="none"/>
        </w:rPr>
        <w:t>2.1演示内容：</w:t>
      </w:r>
    </w:p>
    <w:p w14:paraId="026D4572">
      <w:pPr>
        <w:widowControl/>
        <w:spacing w:line="460" w:lineRule="exact"/>
        <w:ind w:firstLine="558" w:firstLineChars="266"/>
        <w:rPr>
          <w:color w:val="auto"/>
          <w:sz w:val="21"/>
          <w:szCs w:val="21"/>
          <w:highlight w:val="none"/>
        </w:rPr>
      </w:pPr>
      <w:r>
        <w:rPr>
          <w:rFonts w:hint="eastAsia"/>
          <w:color w:val="auto"/>
          <w:sz w:val="21"/>
          <w:szCs w:val="21"/>
          <w:highlight w:val="none"/>
        </w:rPr>
        <w:t>2.1.1加油站数据采集工具（要求：此部分必须使用实物加油机、加油站电脑系统等实物进行加油站数据采集工具演示并录制视频）：</w:t>
      </w:r>
    </w:p>
    <w:p w14:paraId="7B6F59B4">
      <w:pPr>
        <w:widowControl/>
        <w:spacing w:line="460" w:lineRule="exact"/>
        <w:ind w:firstLine="558" w:firstLineChars="266"/>
        <w:rPr>
          <w:color w:val="auto"/>
          <w:sz w:val="21"/>
          <w:szCs w:val="21"/>
          <w:highlight w:val="none"/>
        </w:rPr>
      </w:pPr>
      <w:r>
        <w:rPr>
          <w:rFonts w:hint="eastAsia"/>
          <w:color w:val="auto"/>
          <w:sz w:val="21"/>
          <w:szCs w:val="21"/>
          <w:highlight w:val="none"/>
        </w:rPr>
        <w:t>①数据采集方式，提供自动化采集演示；</w:t>
      </w:r>
    </w:p>
    <w:p w14:paraId="3FEAC5DF">
      <w:pPr>
        <w:widowControl/>
        <w:spacing w:line="460" w:lineRule="exact"/>
        <w:ind w:firstLine="558" w:firstLineChars="266"/>
        <w:rPr>
          <w:color w:val="auto"/>
          <w:sz w:val="21"/>
          <w:szCs w:val="21"/>
          <w:highlight w:val="none"/>
        </w:rPr>
      </w:pPr>
      <w:r>
        <w:rPr>
          <w:rFonts w:hint="eastAsia"/>
          <w:color w:val="auto"/>
          <w:sz w:val="21"/>
          <w:szCs w:val="21"/>
          <w:highlight w:val="none"/>
        </w:rPr>
        <w:t>②状态监测，提供客户端监测、通信链路监测；</w:t>
      </w:r>
    </w:p>
    <w:p w14:paraId="113F0642">
      <w:pPr>
        <w:widowControl/>
        <w:spacing w:line="460" w:lineRule="exact"/>
        <w:ind w:firstLine="558" w:firstLineChars="266"/>
        <w:rPr>
          <w:color w:val="auto"/>
          <w:sz w:val="21"/>
          <w:szCs w:val="21"/>
          <w:highlight w:val="none"/>
        </w:rPr>
      </w:pPr>
      <w:r>
        <w:rPr>
          <w:rFonts w:hint="eastAsia"/>
          <w:color w:val="auto"/>
          <w:sz w:val="21"/>
          <w:szCs w:val="21"/>
          <w:highlight w:val="none"/>
        </w:rPr>
        <w:t>③采集任务，提供采集相关任务配置。</w:t>
      </w:r>
    </w:p>
    <w:p w14:paraId="3EC40EE8">
      <w:pPr>
        <w:widowControl/>
        <w:spacing w:line="460" w:lineRule="exact"/>
        <w:ind w:firstLine="558" w:firstLineChars="266"/>
        <w:rPr>
          <w:color w:val="auto"/>
          <w:sz w:val="21"/>
          <w:szCs w:val="21"/>
          <w:highlight w:val="none"/>
        </w:rPr>
      </w:pPr>
      <w:r>
        <w:rPr>
          <w:rFonts w:hint="eastAsia"/>
          <w:color w:val="auto"/>
          <w:sz w:val="21"/>
          <w:szCs w:val="21"/>
          <w:highlight w:val="none"/>
        </w:rPr>
        <w:t>2.1.2预警系统演示：</w:t>
      </w:r>
    </w:p>
    <w:p w14:paraId="5185E77B">
      <w:pPr>
        <w:widowControl/>
        <w:spacing w:line="460" w:lineRule="exact"/>
        <w:ind w:firstLine="558" w:firstLineChars="266"/>
        <w:rPr>
          <w:color w:val="auto"/>
          <w:sz w:val="21"/>
          <w:szCs w:val="21"/>
          <w:highlight w:val="none"/>
        </w:rPr>
      </w:pPr>
      <w:r>
        <w:rPr>
          <w:rFonts w:hint="eastAsia"/>
          <w:color w:val="auto"/>
          <w:sz w:val="21"/>
          <w:szCs w:val="21"/>
          <w:highlight w:val="none"/>
        </w:rPr>
        <w:t>①演示预警系统（政府端和油站端）基本功能</w:t>
      </w:r>
    </w:p>
    <w:p w14:paraId="4A7D4122">
      <w:pPr>
        <w:widowControl/>
        <w:spacing w:line="460" w:lineRule="exact"/>
        <w:ind w:firstLine="558" w:firstLineChars="266"/>
        <w:rPr>
          <w:color w:val="auto"/>
          <w:sz w:val="21"/>
          <w:szCs w:val="21"/>
          <w:highlight w:val="none"/>
        </w:rPr>
      </w:pPr>
      <w:r>
        <w:rPr>
          <w:rFonts w:hint="eastAsia"/>
          <w:color w:val="auto"/>
          <w:sz w:val="21"/>
          <w:szCs w:val="21"/>
          <w:highlight w:val="none"/>
        </w:rPr>
        <w:t>②演示预警系统（政府端）数据分析功能</w:t>
      </w:r>
    </w:p>
    <w:p w14:paraId="475E2608">
      <w:pPr>
        <w:widowControl/>
        <w:spacing w:line="460" w:lineRule="exact"/>
        <w:ind w:firstLine="558" w:firstLineChars="266"/>
        <w:rPr>
          <w:color w:val="auto"/>
          <w:sz w:val="21"/>
          <w:szCs w:val="21"/>
          <w:highlight w:val="none"/>
        </w:rPr>
      </w:pPr>
      <w:r>
        <w:rPr>
          <w:rFonts w:hint="eastAsia"/>
          <w:color w:val="auto"/>
          <w:sz w:val="21"/>
          <w:szCs w:val="21"/>
          <w:highlight w:val="none"/>
        </w:rPr>
        <w:t>③演示预警系统（政府端）统计功能</w:t>
      </w:r>
    </w:p>
    <w:p w14:paraId="00A730A3">
      <w:pPr>
        <w:widowControl/>
        <w:spacing w:line="460" w:lineRule="exact"/>
        <w:ind w:firstLine="558" w:firstLineChars="266"/>
        <w:rPr>
          <w:color w:val="auto"/>
          <w:sz w:val="21"/>
          <w:szCs w:val="21"/>
          <w:highlight w:val="none"/>
        </w:rPr>
      </w:pPr>
      <w:r>
        <w:rPr>
          <w:rFonts w:hint="eastAsia"/>
          <w:color w:val="auto"/>
          <w:sz w:val="21"/>
          <w:szCs w:val="21"/>
          <w:highlight w:val="none"/>
        </w:rPr>
        <w:t>④演示预警类型及对应案例</w:t>
      </w:r>
    </w:p>
    <w:p w14:paraId="072D5CB1">
      <w:pPr>
        <w:widowControl/>
        <w:spacing w:line="460" w:lineRule="exact"/>
        <w:rPr>
          <w:color w:val="auto"/>
          <w:sz w:val="21"/>
          <w:szCs w:val="21"/>
          <w:highlight w:val="none"/>
        </w:rPr>
      </w:pPr>
    </w:p>
    <w:p w14:paraId="5DF35FD0">
      <w:pPr>
        <w:widowControl/>
        <w:spacing w:line="460" w:lineRule="exact"/>
        <w:ind w:firstLine="558" w:firstLineChars="266"/>
        <w:rPr>
          <w:color w:val="auto"/>
          <w:sz w:val="21"/>
          <w:szCs w:val="21"/>
          <w:highlight w:val="none"/>
        </w:rPr>
      </w:pPr>
      <w:r>
        <w:rPr>
          <w:rFonts w:hint="eastAsia"/>
          <w:color w:val="auto"/>
          <w:sz w:val="21"/>
          <w:szCs w:val="21"/>
          <w:highlight w:val="none"/>
        </w:rPr>
        <w:t>3.为保证本项目采购产品的质量，应标软件产品应和本次采购需求中规定的相关技术参数要求保持相当高的配合度，并根据项目实施现状配合协助采购人</w:t>
      </w:r>
      <w:r>
        <w:rPr>
          <w:rFonts w:hint="eastAsia" w:hAnsi="宋体" w:cs="宋体"/>
          <w:color w:val="auto"/>
          <w:sz w:val="21"/>
          <w:szCs w:val="21"/>
          <w:highlight w:val="none"/>
        </w:rPr>
        <w:t>完成加油站流量数据采集系统与采购人指定相关信息系统和平台进行数据对接（含接口开发）</w:t>
      </w:r>
      <w:r>
        <w:rPr>
          <w:rFonts w:hint="eastAsia"/>
          <w:color w:val="auto"/>
          <w:sz w:val="21"/>
          <w:szCs w:val="21"/>
          <w:highlight w:val="none"/>
        </w:rPr>
        <w:t>，开展</w:t>
      </w:r>
      <w:r>
        <w:rPr>
          <w:rFonts w:hint="eastAsia" w:hAnsi="宋体" w:cs="宋体"/>
          <w:color w:val="auto"/>
          <w:sz w:val="21"/>
          <w:szCs w:val="21"/>
          <w:highlight w:val="none"/>
        </w:rPr>
        <w:t>加油站流量数据采集系统部署建设和优化调整、系统集成调试和适配等</w:t>
      </w:r>
      <w:r>
        <w:rPr>
          <w:rFonts w:hint="eastAsia"/>
          <w:color w:val="auto"/>
          <w:sz w:val="21"/>
          <w:szCs w:val="21"/>
          <w:highlight w:val="none"/>
        </w:rPr>
        <w:t>工作。</w:t>
      </w:r>
    </w:p>
    <w:p w14:paraId="0D663356">
      <w:pPr>
        <w:widowControl/>
        <w:spacing w:line="460" w:lineRule="exact"/>
        <w:ind w:firstLine="558" w:firstLineChars="266"/>
        <w:rPr>
          <w:color w:val="auto"/>
          <w:sz w:val="21"/>
          <w:szCs w:val="21"/>
          <w:highlight w:val="none"/>
        </w:rPr>
      </w:pPr>
      <w:r>
        <w:rPr>
          <w:rFonts w:hint="eastAsia"/>
          <w:color w:val="auto"/>
          <w:sz w:val="21"/>
          <w:szCs w:val="21"/>
          <w:highlight w:val="none"/>
        </w:rPr>
        <w:t>4.投标人应选择相当于或优于采购人所公布的产品技术性能及参数进行投标，投标人所投产品须满足国家及行业的质量、安全技术标准及采购需求的技术标准。投标人若有幸中标，所供产品须按照投标文件中所承诺的产品技术性能指标、质量和相关承诺进行项目系统建设。若在项目建设完成初验时发现提供的产品达不到以上要求，采购人有权终止合同，并依法向中标人追究相应的法律责任以及追偿经济损失。</w:t>
      </w:r>
    </w:p>
    <w:p w14:paraId="71B75D4D">
      <w:pPr>
        <w:widowControl/>
        <w:spacing w:line="460" w:lineRule="exact"/>
        <w:ind w:firstLine="558" w:firstLineChars="266"/>
        <w:rPr>
          <w:color w:val="auto"/>
          <w:sz w:val="21"/>
          <w:szCs w:val="21"/>
          <w:highlight w:val="none"/>
        </w:rPr>
      </w:pPr>
      <w:r>
        <w:rPr>
          <w:rFonts w:hint="eastAsia"/>
          <w:color w:val="auto"/>
          <w:sz w:val="21"/>
          <w:szCs w:val="21"/>
          <w:highlight w:val="none"/>
        </w:rPr>
        <w:t>5.投标人须为采购产品的生产厂家（软件系统开发商）或代理商，所投主要产品必须满足国家现行行业规定的标准，须承诺按采购人要求的产品参数提供产品并保证供货，供货时须提供软件系统开发商的确认函、国家法定认可的第三方检测机构出具的产品检测报告（软件测试报告）。</w:t>
      </w:r>
    </w:p>
    <w:p w14:paraId="2B320EC0">
      <w:pPr>
        <w:widowControl/>
        <w:spacing w:line="460" w:lineRule="exact"/>
        <w:ind w:firstLine="420" w:firstLineChars="200"/>
        <w:jc w:val="left"/>
        <w:rPr>
          <w:color w:val="auto"/>
          <w:sz w:val="21"/>
          <w:szCs w:val="21"/>
          <w:highlight w:val="none"/>
        </w:rPr>
      </w:pPr>
      <w:r>
        <w:rPr>
          <w:rFonts w:hint="eastAsia"/>
          <w:color w:val="auto"/>
          <w:sz w:val="21"/>
          <w:szCs w:val="21"/>
          <w:highlight w:val="none"/>
        </w:rPr>
        <w:t>6.中标人须在签订合同前向采购人提交软件系统开发商出具的合法产品授权书及售后服务承诺书原件，以作为合同签订的依据。</w:t>
      </w:r>
    </w:p>
    <w:p w14:paraId="5962124F">
      <w:pPr>
        <w:widowControl/>
        <w:spacing w:line="460" w:lineRule="exact"/>
        <w:ind w:firstLine="420" w:firstLineChars="200"/>
        <w:jc w:val="left"/>
        <w:rPr>
          <w:rFonts w:hint="eastAsia" w:hAnsi="宋体" w:cs="宋体"/>
          <w:color w:val="auto"/>
          <w:sz w:val="21"/>
          <w:szCs w:val="21"/>
          <w:highlight w:val="none"/>
        </w:rPr>
      </w:pPr>
    </w:p>
    <w:p w14:paraId="2A6030D9">
      <w:pPr>
        <w:spacing w:line="360" w:lineRule="auto"/>
        <w:ind w:firstLine="480" w:firstLineChars="200"/>
        <w:rPr>
          <w:rFonts w:hint="eastAsia" w:hAnsi="宋体"/>
          <w:color w:val="auto"/>
          <w:sz w:val="24"/>
          <w:highlight w:val="none"/>
        </w:rPr>
      </w:pPr>
    </w:p>
    <w:p w14:paraId="23EB4FFC">
      <w:pPr>
        <w:pStyle w:val="6"/>
        <w:spacing w:line="360" w:lineRule="auto"/>
        <w:jc w:val="center"/>
        <w:rPr>
          <w:rFonts w:hint="eastAsia" w:ascii="宋体" w:hAnsi="宋体" w:eastAsia="宋体"/>
          <w:bCs w:val="0"/>
          <w:color w:val="auto"/>
          <w:sz w:val="44"/>
          <w:szCs w:val="44"/>
          <w:highlight w:val="none"/>
        </w:rPr>
      </w:pPr>
      <w:r>
        <w:rPr>
          <w:rFonts w:ascii="宋体" w:hAnsi="宋体" w:eastAsia="宋体"/>
          <w:bCs w:val="0"/>
          <w:color w:val="auto"/>
          <w:sz w:val="44"/>
          <w:szCs w:val="44"/>
          <w:highlight w:val="none"/>
        </w:rPr>
        <w:br w:type="page"/>
      </w:r>
      <w:bookmarkStart w:id="101" w:name="_Toc19835"/>
      <w:r>
        <w:rPr>
          <w:rFonts w:hint="eastAsia" w:ascii="宋体" w:hAnsi="宋体" w:eastAsia="宋体"/>
          <w:bCs w:val="0"/>
          <w:color w:val="auto"/>
          <w:sz w:val="44"/>
          <w:szCs w:val="44"/>
          <w:highlight w:val="none"/>
        </w:rPr>
        <w:t>第七章 合同样本</w:t>
      </w:r>
      <w:bookmarkEnd w:id="101"/>
    </w:p>
    <w:tbl>
      <w:tblPr>
        <w:tblStyle w:val="39"/>
        <w:tblW w:w="9750" w:type="dxa"/>
        <w:jc w:val="center"/>
        <w:tblCellSpacing w:w="0" w:type="dxa"/>
        <w:tblLayout w:type="fixed"/>
        <w:tblCellMar>
          <w:top w:w="0" w:type="dxa"/>
          <w:left w:w="0" w:type="dxa"/>
          <w:bottom w:w="0" w:type="dxa"/>
          <w:right w:w="0" w:type="dxa"/>
        </w:tblCellMar>
      </w:tblPr>
      <w:tblGrid>
        <w:gridCol w:w="9750"/>
      </w:tblGrid>
      <w:tr w14:paraId="3ED0D756">
        <w:tblPrEx>
          <w:tblCellMar>
            <w:top w:w="0" w:type="dxa"/>
            <w:left w:w="0" w:type="dxa"/>
            <w:bottom w:w="0" w:type="dxa"/>
            <w:right w:w="0" w:type="dxa"/>
          </w:tblCellMar>
        </w:tblPrEx>
        <w:trPr>
          <w:tblCellSpacing w:w="0" w:type="dxa"/>
          <w:jc w:val="center"/>
        </w:trPr>
        <w:tc>
          <w:tcPr>
            <w:tcW w:w="9750" w:type="dxa"/>
            <w:vAlign w:val="center"/>
          </w:tcPr>
          <w:tbl>
            <w:tblPr>
              <w:tblStyle w:val="39"/>
              <w:tblW w:w="9750" w:type="dxa"/>
              <w:tblCellSpacing w:w="0" w:type="dxa"/>
              <w:tblInd w:w="0" w:type="dxa"/>
              <w:tblLayout w:type="fixed"/>
              <w:tblCellMar>
                <w:top w:w="0" w:type="dxa"/>
                <w:left w:w="0" w:type="dxa"/>
                <w:bottom w:w="0" w:type="dxa"/>
                <w:right w:w="0" w:type="dxa"/>
              </w:tblCellMar>
            </w:tblPr>
            <w:tblGrid>
              <w:gridCol w:w="1306"/>
              <w:gridCol w:w="1281"/>
              <w:gridCol w:w="1590"/>
              <w:gridCol w:w="996"/>
              <w:gridCol w:w="1138"/>
              <w:gridCol w:w="1305"/>
              <w:gridCol w:w="2134"/>
            </w:tblGrid>
            <w:tr w14:paraId="3BE33E68">
              <w:tblPrEx>
                <w:tblCellMar>
                  <w:top w:w="0" w:type="dxa"/>
                  <w:left w:w="0" w:type="dxa"/>
                  <w:bottom w:w="0" w:type="dxa"/>
                  <w:right w:w="0" w:type="dxa"/>
                </w:tblCellMar>
              </w:tblPrEx>
              <w:trPr>
                <w:tblCellSpacing w:w="0" w:type="dxa"/>
              </w:trPr>
              <w:tc>
                <w:tcPr>
                  <w:tcW w:w="1306" w:type="dxa"/>
                  <w:vAlign w:val="center"/>
                </w:tcPr>
                <w:p w14:paraId="262D2D2C">
                  <w:pPr>
                    <w:widowControl/>
                    <w:jc w:val="right"/>
                    <w:rPr>
                      <w:rFonts w:cs="宋体"/>
                      <w:color w:val="auto"/>
                      <w:sz w:val="24"/>
                      <w:szCs w:val="24"/>
                      <w:highlight w:val="none"/>
                    </w:rPr>
                  </w:pPr>
                  <w:r>
                    <w:rPr>
                      <w:rFonts w:hint="eastAsia" w:cs="Arial"/>
                      <w:color w:val="auto"/>
                      <w:sz w:val="24"/>
                      <w:szCs w:val="24"/>
                      <w:highlight w:val="none"/>
                    </w:rPr>
                    <w:t>合同编号：</w:t>
                  </w:r>
                </w:p>
              </w:tc>
              <w:tc>
                <w:tcPr>
                  <w:tcW w:w="1281" w:type="dxa"/>
                  <w:vAlign w:val="center"/>
                </w:tcPr>
                <w:p w14:paraId="6BE41B4C">
                  <w:pPr>
                    <w:widowControl/>
                    <w:jc w:val="left"/>
                    <w:rPr>
                      <w:rFonts w:cs="宋体"/>
                      <w:color w:val="auto"/>
                      <w:sz w:val="24"/>
                      <w:szCs w:val="24"/>
                      <w:highlight w:val="none"/>
                    </w:rPr>
                  </w:pPr>
                </w:p>
              </w:tc>
              <w:tc>
                <w:tcPr>
                  <w:tcW w:w="1590" w:type="dxa"/>
                  <w:vAlign w:val="center"/>
                </w:tcPr>
                <w:p w14:paraId="5AE3A620">
                  <w:pPr>
                    <w:widowControl/>
                    <w:jc w:val="right"/>
                    <w:rPr>
                      <w:rFonts w:cs="宋体"/>
                      <w:color w:val="auto"/>
                      <w:sz w:val="24"/>
                      <w:szCs w:val="24"/>
                      <w:highlight w:val="none"/>
                    </w:rPr>
                  </w:pPr>
                  <w:r>
                    <w:rPr>
                      <w:rFonts w:hint="eastAsia" w:cs="Arial"/>
                      <w:color w:val="auto"/>
                      <w:sz w:val="24"/>
                      <w:szCs w:val="24"/>
                      <w:highlight w:val="none"/>
                    </w:rPr>
                    <w:t>合同自编号</w:t>
                  </w:r>
                  <w:r>
                    <w:rPr>
                      <w:rFonts w:cs="宋体"/>
                      <w:color w:val="auto"/>
                      <w:sz w:val="24"/>
                      <w:szCs w:val="24"/>
                      <w:highlight w:val="none"/>
                    </w:rPr>
                    <w:t>：</w:t>
                  </w:r>
                </w:p>
              </w:tc>
              <w:tc>
                <w:tcPr>
                  <w:tcW w:w="996" w:type="dxa"/>
                  <w:vAlign w:val="center"/>
                </w:tcPr>
                <w:p w14:paraId="69C64B55">
                  <w:pPr>
                    <w:widowControl/>
                    <w:jc w:val="left"/>
                    <w:rPr>
                      <w:rFonts w:cs="宋体"/>
                      <w:color w:val="auto"/>
                      <w:sz w:val="24"/>
                      <w:szCs w:val="24"/>
                      <w:highlight w:val="none"/>
                    </w:rPr>
                  </w:pPr>
                </w:p>
              </w:tc>
              <w:tc>
                <w:tcPr>
                  <w:tcW w:w="1138" w:type="dxa"/>
                  <w:vAlign w:val="center"/>
                </w:tcPr>
                <w:p w14:paraId="5966FAC6">
                  <w:pPr>
                    <w:widowControl/>
                    <w:jc w:val="left"/>
                    <w:rPr>
                      <w:rFonts w:cs="宋体"/>
                      <w:color w:val="auto"/>
                      <w:sz w:val="24"/>
                      <w:szCs w:val="24"/>
                      <w:highlight w:val="none"/>
                    </w:rPr>
                  </w:pPr>
                </w:p>
              </w:tc>
              <w:tc>
                <w:tcPr>
                  <w:tcW w:w="1305" w:type="dxa"/>
                  <w:vAlign w:val="center"/>
                </w:tcPr>
                <w:p w14:paraId="65975A67">
                  <w:pPr>
                    <w:widowControl/>
                    <w:spacing w:before="100" w:beforeAutospacing="1" w:after="100" w:afterAutospacing="1"/>
                    <w:jc w:val="left"/>
                    <w:rPr>
                      <w:rFonts w:cs="宋体"/>
                      <w:color w:val="auto"/>
                      <w:sz w:val="24"/>
                      <w:szCs w:val="24"/>
                      <w:highlight w:val="none"/>
                    </w:rPr>
                  </w:pPr>
                  <w:r>
                    <w:rPr>
                      <w:rFonts w:hint="eastAsia" w:cs="Arial"/>
                      <w:color w:val="auto"/>
                      <w:sz w:val="24"/>
                      <w:szCs w:val="24"/>
                      <w:highlight w:val="none"/>
                    </w:rPr>
                    <w:t>项目编号</w:t>
                  </w:r>
                  <w:r>
                    <w:rPr>
                      <w:rFonts w:cs="宋体"/>
                      <w:color w:val="auto"/>
                      <w:sz w:val="24"/>
                      <w:szCs w:val="24"/>
                      <w:highlight w:val="none"/>
                    </w:rPr>
                    <w:t xml:space="preserve">： </w:t>
                  </w:r>
                </w:p>
              </w:tc>
              <w:tc>
                <w:tcPr>
                  <w:tcW w:w="2134" w:type="dxa"/>
                  <w:vAlign w:val="center"/>
                </w:tcPr>
                <w:p w14:paraId="4295DDBB">
                  <w:pPr>
                    <w:widowControl/>
                    <w:jc w:val="left"/>
                    <w:rPr>
                      <w:rFonts w:cs="宋体"/>
                      <w:color w:val="auto"/>
                      <w:sz w:val="24"/>
                      <w:szCs w:val="24"/>
                      <w:highlight w:val="none"/>
                    </w:rPr>
                  </w:pPr>
                </w:p>
              </w:tc>
            </w:tr>
          </w:tbl>
          <w:p w14:paraId="20258733">
            <w:pPr>
              <w:widowControl/>
              <w:spacing w:after="240"/>
              <w:jc w:val="left"/>
              <w:rPr>
                <w:rFonts w:cs="宋体"/>
                <w:color w:val="auto"/>
                <w:sz w:val="24"/>
                <w:szCs w:val="24"/>
                <w:highlight w:val="none"/>
              </w:rPr>
            </w:pPr>
          </w:p>
          <w:p w14:paraId="0846D732">
            <w:pPr>
              <w:pStyle w:val="2"/>
              <w:ind w:left="560"/>
              <w:rPr>
                <w:color w:val="auto"/>
                <w:highlight w:val="none"/>
              </w:rPr>
            </w:pPr>
          </w:p>
        </w:tc>
      </w:tr>
      <w:tr w14:paraId="62CE8DFE">
        <w:tblPrEx>
          <w:tblCellMar>
            <w:top w:w="0" w:type="dxa"/>
            <w:left w:w="0" w:type="dxa"/>
            <w:bottom w:w="0" w:type="dxa"/>
            <w:right w:w="0" w:type="dxa"/>
          </w:tblCellMar>
        </w:tblPrEx>
        <w:trPr>
          <w:trHeight w:val="1319" w:hRule="atLeast"/>
          <w:tblCellSpacing w:w="0" w:type="dxa"/>
          <w:jc w:val="center"/>
        </w:trPr>
        <w:tc>
          <w:tcPr>
            <w:tcW w:w="9750" w:type="dxa"/>
            <w:vAlign w:val="center"/>
          </w:tcPr>
          <w:p w14:paraId="0A7FDBD4">
            <w:pPr>
              <w:widowControl/>
              <w:spacing w:after="240"/>
              <w:jc w:val="left"/>
              <w:rPr>
                <w:rFonts w:cs="Arial"/>
                <w:color w:val="auto"/>
                <w:sz w:val="24"/>
                <w:szCs w:val="24"/>
                <w:highlight w:val="none"/>
              </w:rPr>
            </w:pPr>
            <w:r>
              <w:rPr>
                <w:rFonts w:hint="eastAsia" w:cs="Arial"/>
                <w:color w:val="auto"/>
                <w:sz w:val="24"/>
                <w:szCs w:val="24"/>
                <w:highlight w:val="none"/>
              </w:rPr>
              <w:t>●本合同须加盖甲乙双方骑缝章有效</w:t>
            </w:r>
          </w:p>
          <w:p w14:paraId="7F720A6B">
            <w:pPr>
              <w:pStyle w:val="2"/>
              <w:ind w:left="560"/>
              <w:rPr>
                <w:color w:val="auto"/>
                <w:highlight w:val="none"/>
              </w:rPr>
            </w:pPr>
          </w:p>
          <w:p w14:paraId="05E04970">
            <w:pPr>
              <w:pStyle w:val="2"/>
              <w:ind w:left="560"/>
              <w:rPr>
                <w:color w:val="auto"/>
                <w:highlight w:val="none"/>
              </w:rPr>
            </w:pPr>
          </w:p>
        </w:tc>
      </w:tr>
      <w:tr w14:paraId="335A6248">
        <w:tblPrEx>
          <w:tblCellMar>
            <w:top w:w="0" w:type="dxa"/>
            <w:left w:w="0" w:type="dxa"/>
            <w:bottom w:w="0" w:type="dxa"/>
            <w:right w:w="0" w:type="dxa"/>
          </w:tblCellMar>
        </w:tblPrEx>
        <w:trPr>
          <w:tblCellSpacing w:w="0" w:type="dxa"/>
          <w:jc w:val="center"/>
        </w:trPr>
        <w:tc>
          <w:tcPr>
            <w:tcW w:w="9750" w:type="dxa"/>
            <w:vAlign w:val="center"/>
          </w:tcPr>
          <w:p w14:paraId="5B0E644E">
            <w:pPr>
              <w:widowControl/>
              <w:spacing w:after="240"/>
              <w:jc w:val="center"/>
              <w:rPr>
                <w:rFonts w:cs="宋体"/>
                <w:color w:val="auto"/>
                <w:sz w:val="24"/>
                <w:szCs w:val="24"/>
                <w:highlight w:val="none"/>
              </w:rPr>
            </w:pPr>
            <w:r>
              <w:rPr>
                <w:rFonts w:hint="eastAsia" w:cs="宋体"/>
                <w:color w:val="auto"/>
                <w:sz w:val="39"/>
                <w:szCs w:val="39"/>
                <w:highlight w:val="none"/>
              </w:rPr>
              <w:t>云南省政府采购</w:t>
            </w:r>
          </w:p>
        </w:tc>
      </w:tr>
      <w:tr w14:paraId="4949C8EF">
        <w:tblPrEx>
          <w:tblCellMar>
            <w:top w:w="0" w:type="dxa"/>
            <w:left w:w="0" w:type="dxa"/>
            <w:bottom w:w="0" w:type="dxa"/>
            <w:right w:w="0" w:type="dxa"/>
          </w:tblCellMar>
        </w:tblPrEx>
        <w:trPr>
          <w:tblCellSpacing w:w="0" w:type="dxa"/>
          <w:jc w:val="center"/>
        </w:trPr>
        <w:tc>
          <w:tcPr>
            <w:tcW w:w="9750" w:type="dxa"/>
            <w:vAlign w:val="center"/>
          </w:tcPr>
          <w:p w14:paraId="1CE1B2C2">
            <w:pPr>
              <w:widowControl/>
              <w:spacing w:after="240"/>
              <w:jc w:val="center"/>
              <w:rPr>
                <w:rFonts w:cs="宋体"/>
                <w:color w:val="auto"/>
                <w:sz w:val="24"/>
                <w:szCs w:val="24"/>
                <w:highlight w:val="none"/>
              </w:rPr>
            </w:pPr>
            <w:r>
              <w:rPr>
                <w:rFonts w:cs="宋体"/>
                <w:color w:val="auto"/>
                <w:sz w:val="24"/>
                <w:szCs w:val="24"/>
                <w:highlight w:val="none"/>
              </w:rPr>
              <w:t xml:space="preserve">（委托采购） </w:t>
            </w:r>
          </w:p>
          <w:p w14:paraId="673BD61B">
            <w:pPr>
              <w:pStyle w:val="2"/>
              <w:ind w:left="560"/>
              <w:rPr>
                <w:color w:val="auto"/>
                <w:highlight w:val="none"/>
              </w:rPr>
            </w:pPr>
          </w:p>
          <w:p w14:paraId="0FF9BB92">
            <w:pPr>
              <w:pStyle w:val="2"/>
              <w:ind w:left="560"/>
              <w:rPr>
                <w:color w:val="auto"/>
                <w:highlight w:val="none"/>
              </w:rPr>
            </w:pPr>
          </w:p>
        </w:tc>
      </w:tr>
      <w:tr w14:paraId="63DB3DBC">
        <w:tblPrEx>
          <w:tblCellMar>
            <w:top w:w="0" w:type="dxa"/>
            <w:left w:w="0" w:type="dxa"/>
            <w:bottom w:w="0" w:type="dxa"/>
            <w:right w:w="0" w:type="dxa"/>
          </w:tblCellMar>
        </w:tblPrEx>
        <w:trPr>
          <w:tblCellSpacing w:w="0" w:type="dxa"/>
          <w:jc w:val="center"/>
        </w:trPr>
        <w:tc>
          <w:tcPr>
            <w:tcW w:w="9750" w:type="dxa"/>
            <w:vAlign w:val="center"/>
          </w:tcPr>
          <w:p w14:paraId="0EC65B99">
            <w:pPr>
              <w:widowControl/>
              <w:spacing w:after="240"/>
              <w:jc w:val="center"/>
              <w:rPr>
                <w:rFonts w:cs="宋体"/>
                <w:color w:val="auto"/>
                <w:sz w:val="24"/>
                <w:szCs w:val="24"/>
                <w:highlight w:val="none"/>
              </w:rPr>
            </w:pPr>
            <w:r>
              <w:rPr>
                <w:rFonts w:hint="eastAsia" w:cs="Arial"/>
                <w:color w:val="auto"/>
                <w:sz w:val="63"/>
                <w:szCs w:val="63"/>
                <w:highlight w:val="none"/>
              </w:rPr>
              <w:t>合</w:t>
            </w:r>
          </w:p>
        </w:tc>
      </w:tr>
      <w:tr w14:paraId="738BDFF1">
        <w:tblPrEx>
          <w:tblCellMar>
            <w:top w:w="0" w:type="dxa"/>
            <w:left w:w="0" w:type="dxa"/>
            <w:bottom w:w="0" w:type="dxa"/>
            <w:right w:w="0" w:type="dxa"/>
          </w:tblCellMar>
        </w:tblPrEx>
        <w:trPr>
          <w:tblCellSpacing w:w="0" w:type="dxa"/>
          <w:jc w:val="center"/>
        </w:trPr>
        <w:tc>
          <w:tcPr>
            <w:tcW w:w="9750" w:type="dxa"/>
            <w:vAlign w:val="center"/>
          </w:tcPr>
          <w:p w14:paraId="52FF02AE">
            <w:pPr>
              <w:widowControl/>
              <w:spacing w:after="240"/>
              <w:jc w:val="center"/>
              <w:rPr>
                <w:rFonts w:cs="宋体"/>
                <w:color w:val="auto"/>
                <w:sz w:val="24"/>
                <w:szCs w:val="24"/>
                <w:highlight w:val="none"/>
              </w:rPr>
            </w:pPr>
            <w:r>
              <w:rPr>
                <w:rFonts w:hint="eastAsia" w:cs="Arial"/>
                <w:color w:val="auto"/>
                <w:sz w:val="63"/>
                <w:szCs w:val="63"/>
                <w:highlight w:val="none"/>
              </w:rPr>
              <w:t>同</w:t>
            </w:r>
          </w:p>
        </w:tc>
      </w:tr>
      <w:tr w14:paraId="24D4E900">
        <w:tblPrEx>
          <w:tblCellMar>
            <w:top w:w="0" w:type="dxa"/>
            <w:left w:w="0" w:type="dxa"/>
            <w:bottom w:w="0" w:type="dxa"/>
            <w:right w:w="0" w:type="dxa"/>
          </w:tblCellMar>
        </w:tblPrEx>
        <w:trPr>
          <w:tblCellSpacing w:w="0" w:type="dxa"/>
          <w:jc w:val="center"/>
        </w:trPr>
        <w:tc>
          <w:tcPr>
            <w:tcW w:w="9750" w:type="dxa"/>
            <w:vAlign w:val="center"/>
          </w:tcPr>
          <w:p w14:paraId="654AAD2B">
            <w:pPr>
              <w:widowControl/>
              <w:spacing w:after="240"/>
              <w:jc w:val="center"/>
              <w:rPr>
                <w:rFonts w:cs="Arial"/>
                <w:color w:val="auto"/>
                <w:sz w:val="63"/>
                <w:szCs w:val="63"/>
                <w:highlight w:val="none"/>
              </w:rPr>
            </w:pPr>
            <w:r>
              <w:rPr>
                <w:rFonts w:hint="eastAsia" w:cs="Arial"/>
                <w:color w:val="auto"/>
                <w:sz w:val="63"/>
                <w:szCs w:val="63"/>
                <w:highlight w:val="none"/>
              </w:rPr>
              <w:t>书</w:t>
            </w:r>
          </w:p>
          <w:p w14:paraId="14099D06">
            <w:pPr>
              <w:pStyle w:val="2"/>
              <w:ind w:left="560"/>
              <w:rPr>
                <w:color w:val="auto"/>
                <w:highlight w:val="none"/>
              </w:rPr>
            </w:pPr>
          </w:p>
          <w:p w14:paraId="1D2906D4">
            <w:pPr>
              <w:pStyle w:val="2"/>
              <w:ind w:left="560"/>
              <w:rPr>
                <w:color w:val="auto"/>
                <w:highlight w:val="none"/>
              </w:rPr>
            </w:pPr>
          </w:p>
          <w:p w14:paraId="3515CD06">
            <w:pPr>
              <w:widowControl/>
              <w:spacing w:after="240"/>
              <w:jc w:val="center"/>
              <w:rPr>
                <w:rFonts w:cs="宋体"/>
                <w:color w:val="auto"/>
                <w:sz w:val="24"/>
                <w:szCs w:val="24"/>
                <w:highlight w:val="none"/>
              </w:rPr>
            </w:pPr>
          </w:p>
          <w:p w14:paraId="1000A552">
            <w:pPr>
              <w:pStyle w:val="2"/>
              <w:ind w:left="560"/>
              <w:rPr>
                <w:color w:val="auto"/>
                <w:highlight w:val="none"/>
              </w:rPr>
            </w:pPr>
          </w:p>
        </w:tc>
      </w:tr>
      <w:tr w14:paraId="49A469CC">
        <w:tblPrEx>
          <w:tblCellMar>
            <w:top w:w="0" w:type="dxa"/>
            <w:left w:w="0" w:type="dxa"/>
            <w:bottom w:w="0" w:type="dxa"/>
            <w:right w:w="0" w:type="dxa"/>
          </w:tblCellMar>
        </w:tblPrEx>
        <w:trPr>
          <w:tblCellSpacing w:w="0" w:type="dxa"/>
          <w:jc w:val="center"/>
        </w:trPr>
        <w:tc>
          <w:tcPr>
            <w:tcW w:w="9750" w:type="dxa"/>
            <w:vAlign w:val="center"/>
          </w:tcPr>
          <w:p w14:paraId="32C16C5C">
            <w:pPr>
              <w:widowControl/>
              <w:spacing w:after="240"/>
              <w:jc w:val="center"/>
              <w:rPr>
                <w:rFonts w:cs="宋体"/>
                <w:color w:val="auto"/>
                <w:sz w:val="24"/>
                <w:szCs w:val="24"/>
                <w:highlight w:val="none"/>
              </w:rPr>
            </w:pPr>
            <w:r>
              <w:rPr>
                <w:rFonts w:hint="eastAsia" w:cs="宋体"/>
                <w:b/>
                <w:bCs/>
                <w:color w:val="auto"/>
                <w:sz w:val="27"/>
                <w:highlight w:val="none"/>
              </w:rPr>
              <w:t>签订地点：    </w:t>
            </w:r>
          </w:p>
        </w:tc>
      </w:tr>
      <w:tr w14:paraId="7ACDCF02">
        <w:tblPrEx>
          <w:tblCellMar>
            <w:top w:w="0" w:type="dxa"/>
            <w:left w:w="0" w:type="dxa"/>
            <w:bottom w:w="0" w:type="dxa"/>
            <w:right w:w="0" w:type="dxa"/>
          </w:tblCellMar>
        </w:tblPrEx>
        <w:trPr>
          <w:tblCellSpacing w:w="0" w:type="dxa"/>
          <w:jc w:val="center"/>
        </w:trPr>
        <w:tc>
          <w:tcPr>
            <w:tcW w:w="9750" w:type="dxa"/>
            <w:vAlign w:val="center"/>
          </w:tcPr>
          <w:p w14:paraId="7EA57E7A">
            <w:pPr>
              <w:widowControl/>
              <w:spacing w:after="240"/>
              <w:jc w:val="center"/>
              <w:rPr>
                <w:rFonts w:cs="宋体"/>
                <w:color w:val="auto"/>
                <w:sz w:val="24"/>
                <w:szCs w:val="24"/>
                <w:highlight w:val="none"/>
              </w:rPr>
            </w:pPr>
          </w:p>
        </w:tc>
      </w:tr>
      <w:tr w14:paraId="43743E12">
        <w:tblPrEx>
          <w:tblCellMar>
            <w:top w:w="0" w:type="dxa"/>
            <w:left w:w="0" w:type="dxa"/>
            <w:bottom w:w="0" w:type="dxa"/>
            <w:right w:w="0" w:type="dxa"/>
          </w:tblCellMar>
        </w:tblPrEx>
        <w:trPr>
          <w:trHeight w:val="910" w:hRule="atLeast"/>
          <w:tblCellSpacing w:w="0" w:type="dxa"/>
          <w:jc w:val="center"/>
        </w:trPr>
        <w:tc>
          <w:tcPr>
            <w:tcW w:w="9750" w:type="dxa"/>
            <w:vAlign w:val="center"/>
          </w:tcPr>
          <w:p w14:paraId="7FE8627A">
            <w:pPr>
              <w:widowControl/>
              <w:spacing w:before="100" w:beforeAutospacing="1" w:after="100" w:afterAutospacing="1"/>
              <w:jc w:val="center"/>
              <w:rPr>
                <w:rFonts w:cs="宋体"/>
                <w:color w:val="auto"/>
                <w:sz w:val="24"/>
                <w:szCs w:val="24"/>
                <w:highlight w:val="none"/>
              </w:rPr>
            </w:pPr>
            <w:r>
              <w:rPr>
                <w:rFonts w:hint="eastAsia" w:cs="Arial"/>
                <w:b/>
                <w:bCs/>
                <w:color w:val="auto"/>
                <w:sz w:val="27"/>
                <w:highlight w:val="none"/>
              </w:rPr>
              <w:t>云南省签订合同制</w:t>
            </w:r>
          </w:p>
        </w:tc>
      </w:tr>
    </w:tbl>
    <w:p w14:paraId="4355C9CA">
      <w:pPr>
        <w:rPr>
          <w:rFonts w:hint="eastAsia" w:asciiTheme="minorEastAsia" w:hAnsiTheme="minorEastAsia" w:eastAsiaTheme="minorEastAsia"/>
          <w:color w:val="auto"/>
          <w:highlight w:val="none"/>
        </w:rPr>
      </w:pPr>
    </w:p>
    <w:p w14:paraId="611D4B12">
      <w:pPr>
        <w:spacing w:line="720" w:lineRule="auto"/>
        <w:jc w:val="center"/>
        <w:rPr>
          <w:rFonts w:hint="eastAsia" w:hAnsi="宋体" w:cs="宋体"/>
          <w:b/>
          <w:color w:val="auto"/>
          <w:sz w:val="32"/>
          <w:szCs w:val="32"/>
          <w:highlight w:val="none"/>
        </w:rPr>
      </w:pPr>
      <w:r>
        <w:rPr>
          <w:rFonts w:hint="eastAsia" w:hAnsi="宋体" w:cs="宋体"/>
          <w:b/>
          <w:color w:val="auto"/>
          <w:sz w:val="30"/>
          <w:szCs w:val="30"/>
          <w:highlight w:val="none"/>
        </w:rPr>
        <w:t>政府采购合同书</w:t>
      </w:r>
      <w:r>
        <w:rPr>
          <w:rFonts w:hint="eastAsia" w:hAnsi="宋体" w:cs="宋体"/>
          <w:b/>
          <w:color w:val="auto"/>
          <w:sz w:val="32"/>
          <w:szCs w:val="32"/>
          <w:highlight w:val="none"/>
        </w:rPr>
        <w:t>（格式）</w:t>
      </w:r>
    </w:p>
    <w:p w14:paraId="64DFE3C0">
      <w:pPr>
        <w:snapToGrid w:val="0"/>
        <w:spacing w:line="400" w:lineRule="exact"/>
        <w:ind w:right="480" w:firstLine="6720" w:firstLineChars="2400"/>
        <w:rPr>
          <w:rFonts w:hint="eastAsia" w:hAnsi="宋体" w:cs="宋体"/>
          <w:color w:val="auto"/>
          <w:szCs w:val="21"/>
          <w:highlight w:val="none"/>
        </w:rPr>
      </w:pPr>
    </w:p>
    <w:p w14:paraId="068E89C9">
      <w:pPr>
        <w:spacing w:line="520" w:lineRule="exact"/>
        <w:rPr>
          <w:rFonts w:hint="eastAsia" w:hAnsi="宋体" w:cs="宋体"/>
          <w:color w:val="auto"/>
          <w:sz w:val="24"/>
          <w:szCs w:val="24"/>
          <w:highlight w:val="none"/>
        </w:rPr>
      </w:pPr>
      <w:r>
        <w:rPr>
          <w:rFonts w:hint="eastAsia" w:hAnsi="宋体" w:cs="宋体"/>
          <w:color w:val="auto"/>
          <w:sz w:val="24"/>
          <w:szCs w:val="24"/>
          <w:highlight w:val="none"/>
        </w:rPr>
        <w:t>项目名称：</w:t>
      </w:r>
    </w:p>
    <w:p w14:paraId="309D7909">
      <w:pPr>
        <w:spacing w:line="520" w:lineRule="exact"/>
        <w:rPr>
          <w:rFonts w:hint="eastAsia" w:hAnsi="宋体" w:cs="宋体"/>
          <w:color w:val="auto"/>
          <w:sz w:val="24"/>
          <w:szCs w:val="24"/>
          <w:highlight w:val="none"/>
        </w:rPr>
      </w:pPr>
      <w:r>
        <w:rPr>
          <w:rFonts w:hint="eastAsia" w:hAnsi="宋体" w:cs="宋体"/>
          <w:color w:val="auto"/>
          <w:sz w:val="24"/>
          <w:szCs w:val="24"/>
          <w:highlight w:val="none"/>
        </w:rPr>
        <w:t>项目编号：</w:t>
      </w:r>
    </w:p>
    <w:p w14:paraId="346FB819">
      <w:pPr>
        <w:spacing w:line="520" w:lineRule="exact"/>
        <w:rPr>
          <w:rFonts w:hint="eastAsia" w:hAnsi="宋体" w:cs="宋体"/>
          <w:color w:val="auto"/>
          <w:sz w:val="24"/>
          <w:szCs w:val="24"/>
          <w:highlight w:val="none"/>
        </w:rPr>
      </w:pPr>
      <w:r>
        <w:rPr>
          <w:rFonts w:hint="eastAsia" w:hAnsi="宋体" w:cs="宋体"/>
          <w:color w:val="auto"/>
          <w:sz w:val="24"/>
          <w:szCs w:val="24"/>
          <w:highlight w:val="none"/>
        </w:rPr>
        <w:t>分标号（有分标时填写）：</w:t>
      </w:r>
    </w:p>
    <w:p w14:paraId="5D7ABA32">
      <w:pPr>
        <w:spacing w:line="520" w:lineRule="exact"/>
        <w:rPr>
          <w:rFonts w:hint="eastAsia" w:hAnsi="宋体" w:cs="宋体"/>
          <w:color w:val="auto"/>
          <w:sz w:val="24"/>
          <w:szCs w:val="24"/>
          <w:highlight w:val="none"/>
        </w:rPr>
      </w:pPr>
    </w:p>
    <w:p w14:paraId="3014E553">
      <w:pPr>
        <w:spacing w:line="520" w:lineRule="exact"/>
        <w:rPr>
          <w:rFonts w:hint="eastAsia" w:hAnsi="宋体" w:cs="宋体"/>
          <w:color w:val="auto"/>
          <w:sz w:val="24"/>
          <w:szCs w:val="24"/>
          <w:highlight w:val="none"/>
        </w:rPr>
      </w:pPr>
      <w:r>
        <w:rPr>
          <w:rFonts w:hint="eastAsia" w:hAnsi="宋体" w:cs="宋体"/>
          <w:color w:val="auto"/>
          <w:sz w:val="24"/>
          <w:szCs w:val="24"/>
          <w:highlight w:val="none"/>
        </w:rPr>
        <w:t>甲方（买方）：</w:t>
      </w:r>
    </w:p>
    <w:p w14:paraId="6EDBA5E8">
      <w:pPr>
        <w:spacing w:line="520" w:lineRule="exact"/>
        <w:rPr>
          <w:rFonts w:hint="eastAsia" w:hAnsi="宋体" w:cs="宋体"/>
          <w:color w:val="auto"/>
          <w:sz w:val="24"/>
          <w:szCs w:val="24"/>
          <w:highlight w:val="none"/>
        </w:rPr>
      </w:pPr>
      <w:r>
        <w:rPr>
          <w:rFonts w:hint="eastAsia" w:hAnsi="宋体" w:cs="宋体"/>
          <w:color w:val="auto"/>
          <w:sz w:val="24"/>
          <w:szCs w:val="24"/>
          <w:highlight w:val="none"/>
        </w:rPr>
        <w:t>乙方（卖方）：</w:t>
      </w:r>
    </w:p>
    <w:p w14:paraId="55029BA8">
      <w:pPr>
        <w:spacing w:line="520" w:lineRule="exact"/>
        <w:rPr>
          <w:rFonts w:hint="eastAsia" w:hAnsi="宋体" w:cs="宋体"/>
          <w:b/>
          <w:color w:val="auto"/>
          <w:sz w:val="24"/>
          <w:szCs w:val="24"/>
          <w:highlight w:val="none"/>
        </w:rPr>
      </w:pPr>
    </w:p>
    <w:p w14:paraId="4D95D83A">
      <w:pPr>
        <w:spacing w:line="520" w:lineRule="exact"/>
        <w:ind w:firstLine="480" w:firstLineChars="200"/>
        <w:rPr>
          <w:rFonts w:hint="eastAsia" w:hAnsi="宋体" w:cs="宋体"/>
          <w:b/>
          <w:color w:val="auto"/>
          <w:sz w:val="24"/>
          <w:szCs w:val="24"/>
          <w:highlight w:val="none"/>
        </w:rPr>
      </w:pPr>
      <w:r>
        <w:rPr>
          <w:rFonts w:hint="eastAsia" w:hAnsi="宋体" w:cs="宋体"/>
          <w:color w:val="auto"/>
          <w:sz w:val="24"/>
          <w:szCs w:val="24"/>
          <w:highlight w:val="none"/>
        </w:rPr>
        <w:t>根据  年  月  日</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政府采购项目的采购结果，甲方接受乙方对本项目的投标文件，甲、乙双方同意签署本合同（以下简称合同）。</w:t>
      </w:r>
    </w:p>
    <w:p w14:paraId="51868FDD">
      <w:pPr>
        <w:spacing w:line="520" w:lineRule="exact"/>
        <w:rPr>
          <w:rFonts w:hint="eastAsia" w:hAnsi="宋体" w:cs="宋体"/>
          <w:b/>
          <w:color w:val="auto"/>
          <w:sz w:val="24"/>
          <w:szCs w:val="24"/>
          <w:highlight w:val="none"/>
        </w:rPr>
      </w:pPr>
    </w:p>
    <w:p w14:paraId="56C968CF">
      <w:pPr>
        <w:spacing w:line="520" w:lineRule="exact"/>
        <w:rPr>
          <w:rFonts w:hint="eastAsia" w:hAnsi="宋体" w:cs="宋体"/>
          <w:b/>
          <w:bCs/>
          <w:color w:val="auto"/>
          <w:sz w:val="24"/>
          <w:szCs w:val="24"/>
          <w:highlight w:val="none"/>
        </w:rPr>
      </w:pPr>
      <w:r>
        <w:rPr>
          <w:rFonts w:hint="eastAsia" w:hAnsi="宋体" w:cs="宋体"/>
          <w:b/>
          <w:bCs/>
          <w:color w:val="auto"/>
          <w:sz w:val="24"/>
          <w:szCs w:val="24"/>
          <w:highlight w:val="none"/>
        </w:rPr>
        <w:t>1.  采购内容</w:t>
      </w:r>
    </w:p>
    <w:p w14:paraId="76B2CE48">
      <w:pPr>
        <w:tabs>
          <w:tab w:val="left" w:pos="5220"/>
        </w:tabs>
        <w:spacing w:line="520" w:lineRule="exact"/>
        <w:ind w:firstLine="480" w:firstLineChars="200"/>
        <w:rPr>
          <w:rFonts w:hint="eastAsia" w:hAnsi="宋体" w:cs="宋体"/>
          <w:color w:val="auto"/>
          <w:sz w:val="24"/>
          <w:szCs w:val="24"/>
          <w:highlight w:val="none"/>
          <w:u w:val="single"/>
        </w:rPr>
      </w:pPr>
      <w:r>
        <w:rPr>
          <w:rFonts w:hint="eastAsia" w:hAnsi="宋体" w:cs="宋体"/>
          <w:color w:val="auto"/>
          <w:sz w:val="24"/>
          <w:szCs w:val="24"/>
          <w:highlight w:val="none"/>
        </w:rPr>
        <w:t>1.1 服务名称：</w:t>
      </w:r>
    </w:p>
    <w:p w14:paraId="4F9622DA">
      <w:pPr>
        <w:tabs>
          <w:tab w:val="left" w:pos="5220"/>
        </w:tabs>
        <w:spacing w:line="52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1.2采购内容：</w:t>
      </w:r>
    </w:p>
    <w:p w14:paraId="183245A2">
      <w:pPr>
        <w:tabs>
          <w:tab w:val="left" w:pos="5145"/>
        </w:tabs>
        <w:spacing w:line="520" w:lineRule="exact"/>
        <w:rPr>
          <w:rFonts w:hint="eastAsia" w:hAnsi="宋体" w:cs="宋体"/>
          <w:b/>
          <w:bCs/>
          <w:color w:val="auto"/>
          <w:sz w:val="24"/>
          <w:szCs w:val="24"/>
          <w:highlight w:val="none"/>
        </w:rPr>
      </w:pPr>
      <w:r>
        <w:rPr>
          <w:rFonts w:hint="eastAsia" w:hAnsi="宋体" w:cs="宋体"/>
          <w:b/>
          <w:bCs/>
          <w:color w:val="auto"/>
          <w:sz w:val="24"/>
          <w:szCs w:val="24"/>
          <w:highlight w:val="none"/>
        </w:rPr>
        <w:t>2.  合同金额</w:t>
      </w:r>
    </w:p>
    <w:p w14:paraId="39E3A49A">
      <w:pPr>
        <w:tabs>
          <w:tab w:val="left" w:pos="5250"/>
          <w:tab w:val="left" w:pos="5940"/>
        </w:tabs>
        <w:spacing w:line="520" w:lineRule="exact"/>
        <w:ind w:firstLine="470" w:firstLineChars="196"/>
        <w:rPr>
          <w:rFonts w:hint="eastAsia" w:hAnsi="宋体" w:cs="宋体"/>
          <w:bCs/>
          <w:color w:val="auto"/>
          <w:sz w:val="24"/>
          <w:szCs w:val="24"/>
          <w:highlight w:val="none"/>
        </w:rPr>
      </w:pPr>
      <w:r>
        <w:rPr>
          <w:rFonts w:hint="eastAsia" w:hAnsi="宋体" w:cs="宋体"/>
          <w:bCs/>
          <w:color w:val="auto"/>
          <w:sz w:val="24"/>
          <w:szCs w:val="24"/>
          <w:highlight w:val="none"/>
        </w:rPr>
        <w:t>2.1 本合同金额为人民币（大写）：</w:t>
      </w:r>
      <w:r>
        <w:rPr>
          <w:rFonts w:hint="eastAsia" w:hAnsi="宋体" w:cs="宋体"/>
          <w:bCs/>
          <w:color w:val="auto"/>
          <w:sz w:val="24"/>
          <w:szCs w:val="24"/>
          <w:highlight w:val="none"/>
          <w:u w:val="single"/>
        </w:rPr>
        <w:t xml:space="preserve">　　　　　　      </w:t>
      </w:r>
      <w:r>
        <w:rPr>
          <w:rFonts w:hint="eastAsia" w:hAnsi="宋体" w:cs="宋体"/>
          <w:bCs/>
          <w:color w:val="auto"/>
          <w:sz w:val="24"/>
          <w:szCs w:val="24"/>
          <w:highlight w:val="none"/>
        </w:rPr>
        <w:t>元（￥</w:t>
      </w:r>
      <w:r>
        <w:rPr>
          <w:rFonts w:hint="eastAsia" w:hAnsi="宋体" w:cs="宋体"/>
          <w:bCs/>
          <w:color w:val="auto"/>
          <w:sz w:val="24"/>
          <w:szCs w:val="24"/>
          <w:highlight w:val="none"/>
          <w:u w:val="single"/>
        </w:rPr>
        <w:t xml:space="preserve">　　　　　　 </w:t>
      </w:r>
      <w:r>
        <w:rPr>
          <w:rFonts w:hint="eastAsia" w:hAnsi="宋体" w:cs="宋体"/>
          <w:bCs/>
          <w:color w:val="auto"/>
          <w:sz w:val="24"/>
          <w:szCs w:val="24"/>
          <w:highlight w:val="none"/>
        </w:rPr>
        <w:t>元）。</w:t>
      </w:r>
    </w:p>
    <w:p w14:paraId="12A0FC66">
      <w:pPr>
        <w:tabs>
          <w:tab w:val="left" w:pos="5250"/>
          <w:tab w:val="left" w:pos="5940"/>
        </w:tabs>
        <w:spacing w:line="520" w:lineRule="exact"/>
        <w:ind w:firstLine="470" w:firstLineChars="196"/>
        <w:rPr>
          <w:rFonts w:hint="eastAsia" w:hAnsi="宋体" w:cs="宋体"/>
          <w:bCs/>
          <w:color w:val="auto"/>
          <w:sz w:val="24"/>
          <w:szCs w:val="24"/>
          <w:highlight w:val="none"/>
        </w:rPr>
      </w:pPr>
      <w:r>
        <w:rPr>
          <w:rFonts w:hint="eastAsia" w:hAnsi="宋体" w:cs="宋体"/>
          <w:bCs/>
          <w:color w:val="auto"/>
          <w:sz w:val="24"/>
          <w:szCs w:val="24"/>
          <w:highlight w:val="none"/>
        </w:rPr>
        <w:t>2.2合同金额明细表</w:t>
      </w:r>
    </w:p>
    <w:p w14:paraId="335B3F82">
      <w:pPr>
        <w:pStyle w:val="51"/>
        <w:spacing w:line="520" w:lineRule="exact"/>
        <w:rPr>
          <w:rFonts w:hint="eastAsia" w:ascii="宋体" w:hAnsi="宋体" w:cs="宋体"/>
          <w:color w:val="auto"/>
          <w:sz w:val="24"/>
          <w:szCs w:val="24"/>
          <w:highlight w:val="none"/>
        </w:rPr>
      </w:pPr>
    </w:p>
    <w:p w14:paraId="356CAD8B">
      <w:pPr>
        <w:pStyle w:val="51"/>
        <w:spacing w:line="520" w:lineRule="exact"/>
        <w:rPr>
          <w:rFonts w:hint="eastAsia" w:ascii="宋体" w:hAnsi="宋体" w:cs="宋体"/>
          <w:color w:val="auto"/>
          <w:sz w:val="24"/>
          <w:szCs w:val="24"/>
          <w:highlight w:val="none"/>
        </w:rPr>
      </w:pPr>
    </w:p>
    <w:p w14:paraId="2320553B">
      <w:pPr>
        <w:pStyle w:val="51"/>
        <w:spacing w:line="520" w:lineRule="exact"/>
        <w:rPr>
          <w:rFonts w:hint="eastAsia" w:ascii="宋体" w:hAnsi="宋体" w:cs="宋体"/>
          <w:color w:val="auto"/>
          <w:sz w:val="24"/>
          <w:szCs w:val="24"/>
          <w:highlight w:val="none"/>
        </w:rPr>
      </w:pPr>
    </w:p>
    <w:p w14:paraId="102CAB31">
      <w:pPr>
        <w:tabs>
          <w:tab w:val="left" w:pos="5940"/>
        </w:tabs>
        <w:spacing w:line="520" w:lineRule="exact"/>
        <w:rPr>
          <w:rFonts w:hint="eastAsia" w:hAnsi="宋体" w:cs="宋体"/>
          <w:b/>
          <w:bCs/>
          <w:color w:val="auto"/>
          <w:sz w:val="24"/>
          <w:szCs w:val="24"/>
          <w:highlight w:val="none"/>
        </w:rPr>
      </w:pPr>
      <w:r>
        <w:rPr>
          <w:rFonts w:hint="eastAsia" w:hAnsi="宋体" w:cs="宋体"/>
          <w:b/>
          <w:bCs/>
          <w:color w:val="auto"/>
          <w:sz w:val="24"/>
          <w:szCs w:val="24"/>
          <w:highlight w:val="none"/>
        </w:rPr>
        <w:t>3.  项目完成期限要求</w:t>
      </w:r>
    </w:p>
    <w:p w14:paraId="62217054">
      <w:pPr>
        <w:tabs>
          <w:tab w:val="left" w:pos="5220"/>
        </w:tabs>
        <w:spacing w:line="520" w:lineRule="exact"/>
        <w:ind w:firstLine="360"/>
        <w:rPr>
          <w:rFonts w:hint="eastAsia" w:hAnsi="宋体" w:cs="宋体"/>
          <w:bCs/>
          <w:color w:val="auto"/>
          <w:sz w:val="24"/>
          <w:szCs w:val="24"/>
          <w:highlight w:val="none"/>
          <w:u w:val="single"/>
        </w:rPr>
      </w:pPr>
      <w:r>
        <w:rPr>
          <w:rFonts w:hint="eastAsia" w:hAnsi="宋体" w:cs="宋体"/>
          <w:bCs/>
          <w:color w:val="auto"/>
          <w:sz w:val="24"/>
          <w:szCs w:val="24"/>
          <w:highlight w:val="none"/>
        </w:rPr>
        <w:t>3.1 项目完成期限（合同履行期限）：</w:t>
      </w:r>
    </w:p>
    <w:p w14:paraId="40B5D060">
      <w:pPr>
        <w:spacing w:line="520" w:lineRule="exact"/>
        <w:ind w:firstLine="360"/>
        <w:rPr>
          <w:rFonts w:hint="eastAsia" w:hAnsi="宋体" w:cs="宋体"/>
          <w:bCs/>
          <w:color w:val="auto"/>
          <w:sz w:val="24"/>
          <w:szCs w:val="24"/>
          <w:highlight w:val="none"/>
        </w:rPr>
      </w:pPr>
      <w:r>
        <w:rPr>
          <w:rFonts w:hint="eastAsia" w:hAnsi="宋体" w:cs="宋体"/>
          <w:bCs/>
          <w:color w:val="auto"/>
          <w:sz w:val="24"/>
          <w:szCs w:val="24"/>
          <w:highlight w:val="none"/>
        </w:rPr>
        <w:t>3.2 项目实施地点：</w:t>
      </w:r>
    </w:p>
    <w:p w14:paraId="5D37CE6D">
      <w:pPr>
        <w:spacing w:line="520" w:lineRule="exact"/>
        <w:ind w:firstLine="360"/>
        <w:rPr>
          <w:rFonts w:hint="eastAsia" w:hAnsi="宋体" w:cs="宋体"/>
          <w:b/>
          <w:color w:val="auto"/>
          <w:sz w:val="24"/>
          <w:szCs w:val="24"/>
          <w:highlight w:val="none"/>
        </w:rPr>
      </w:pPr>
      <w:r>
        <w:rPr>
          <w:rFonts w:hint="eastAsia" w:hAnsi="宋体" w:cs="宋体"/>
          <w:bCs/>
          <w:color w:val="auto"/>
          <w:sz w:val="24"/>
          <w:szCs w:val="24"/>
          <w:highlight w:val="none"/>
        </w:rPr>
        <w:t>3.3</w:t>
      </w:r>
      <w:r>
        <w:rPr>
          <w:rFonts w:hint="eastAsia" w:hAnsi="宋体" w:cs="宋体"/>
          <w:color w:val="auto"/>
          <w:sz w:val="24"/>
          <w:szCs w:val="24"/>
          <w:highlight w:val="none"/>
        </w:rPr>
        <w:t>乙方必须按响应文件承诺的技术标准、性能要求、质量标准等向甲方提供符合采购要求及验收要求的服务成果。</w:t>
      </w:r>
    </w:p>
    <w:p w14:paraId="242AFA77">
      <w:pPr>
        <w:spacing w:line="520" w:lineRule="exact"/>
        <w:ind w:left="410" w:hanging="410" w:hangingChars="170"/>
        <w:rPr>
          <w:rFonts w:hint="eastAsia" w:hAnsi="宋体" w:cs="宋体"/>
          <w:b/>
          <w:color w:val="auto"/>
          <w:sz w:val="24"/>
          <w:szCs w:val="24"/>
          <w:highlight w:val="none"/>
        </w:rPr>
      </w:pPr>
      <w:r>
        <w:rPr>
          <w:rFonts w:hint="eastAsia" w:hAnsi="宋体" w:cs="宋体"/>
          <w:b/>
          <w:bCs/>
          <w:color w:val="auto"/>
          <w:sz w:val="24"/>
          <w:szCs w:val="24"/>
          <w:highlight w:val="none"/>
        </w:rPr>
        <w:t>4.  履约保证金</w:t>
      </w:r>
    </w:p>
    <w:p w14:paraId="12E8B175">
      <w:pPr>
        <w:spacing w:line="52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乙方在签订后向甲方提供合同总金额5%的履约保证金。</w:t>
      </w:r>
    </w:p>
    <w:p w14:paraId="3FEEFAC0">
      <w:pPr>
        <w:spacing w:line="520" w:lineRule="exact"/>
        <w:ind w:left="412" w:hanging="412" w:hangingChars="171"/>
        <w:rPr>
          <w:rFonts w:hint="eastAsia" w:hAnsi="宋体" w:cs="宋体"/>
          <w:b/>
          <w:color w:val="auto"/>
          <w:sz w:val="24"/>
          <w:szCs w:val="24"/>
          <w:highlight w:val="none"/>
        </w:rPr>
      </w:pPr>
      <w:r>
        <w:rPr>
          <w:rFonts w:hint="eastAsia" w:hAnsi="宋体" w:cs="宋体"/>
          <w:b/>
          <w:bCs/>
          <w:color w:val="auto"/>
          <w:sz w:val="24"/>
          <w:szCs w:val="24"/>
          <w:highlight w:val="none"/>
        </w:rPr>
        <w:t>5.  产权</w:t>
      </w:r>
    </w:p>
    <w:p w14:paraId="42A098A7">
      <w:pPr>
        <w:spacing w:line="520" w:lineRule="exact"/>
        <w:ind w:firstLine="480" w:firstLineChars="200"/>
        <w:rPr>
          <w:rFonts w:hint="eastAsia" w:hAnsi="宋体" w:cs="宋体"/>
          <w:b/>
          <w:color w:val="auto"/>
          <w:sz w:val="24"/>
          <w:szCs w:val="24"/>
          <w:highlight w:val="none"/>
        </w:rPr>
      </w:pPr>
      <w:r>
        <w:rPr>
          <w:rFonts w:hint="eastAsia" w:hAnsi="宋体" w:cs="宋体"/>
          <w:color w:val="auto"/>
          <w:sz w:val="24"/>
          <w:szCs w:val="24"/>
          <w:highlight w:val="none"/>
        </w:rPr>
        <w:t>5.1 乙方应保证所提供的服务或其任何一部分均不会侵犯任何第三方的专利权、商标权或著作权</w:t>
      </w:r>
      <w:r>
        <w:rPr>
          <w:rFonts w:hint="eastAsia" w:hAnsi="宋体" w:cs="宋体"/>
          <w:bCs/>
          <w:color w:val="auto"/>
          <w:sz w:val="24"/>
          <w:szCs w:val="24"/>
          <w:highlight w:val="none"/>
        </w:rPr>
        <w:t>。</w:t>
      </w:r>
    </w:p>
    <w:p w14:paraId="4EA6739D">
      <w:pPr>
        <w:spacing w:line="520" w:lineRule="exact"/>
        <w:ind w:firstLine="480" w:firstLineChars="200"/>
        <w:rPr>
          <w:rFonts w:hint="eastAsia" w:hAnsi="宋体" w:cs="宋体"/>
          <w:b/>
          <w:color w:val="auto"/>
          <w:sz w:val="24"/>
          <w:szCs w:val="24"/>
          <w:highlight w:val="none"/>
        </w:rPr>
      </w:pPr>
      <w:r>
        <w:rPr>
          <w:rFonts w:hint="eastAsia" w:hAnsi="宋体" w:cs="宋体"/>
          <w:color w:val="auto"/>
          <w:sz w:val="24"/>
          <w:szCs w:val="24"/>
          <w:highlight w:val="none"/>
        </w:rPr>
        <w:t>5.2 乙方保证所交付服务的所有权完全属于乙方且无任何抵押、查封等产权瑕疵。如乙方所交付服务有产权瑕疵的，视为乙方违约，按照本合同第10.3项的约定处理。但在已经全部支付完合同款后才发现有产权瑕疵的，乙方除了支付违约金还应负担甲方由此产生的一切损失。</w:t>
      </w:r>
    </w:p>
    <w:p w14:paraId="2AE317A6">
      <w:pPr>
        <w:spacing w:line="520" w:lineRule="exact"/>
        <w:rPr>
          <w:rFonts w:hint="eastAsia" w:hAnsi="宋体" w:cs="宋体"/>
          <w:b/>
          <w:color w:val="auto"/>
          <w:sz w:val="24"/>
          <w:szCs w:val="24"/>
          <w:highlight w:val="none"/>
        </w:rPr>
      </w:pPr>
      <w:r>
        <w:rPr>
          <w:rFonts w:hint="eastAsia" w:hAnsi="宋体" w:cs="宋体"/>
          <w:b/>
          <w:bCs/>
          <w:color w:val="auto"/>
          <w:sz w:val="24"/>
          <w:szCs w:val="24"/>
          <w:highlight w:val="none"/>
        </w:rPr>
        <w:t>6.  技术资料</w:t>
      </w:r>
    </w:p>
    <w:p w14:paraId="4F769E0D">
      <w:pPr>
        <w:spacing w:line="52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6.1 甲方向乙方提供服务的有关技术资料。</w:t>
      </w:r>
    </w:p>
    <w:p w14:paraId="6E56D59D">
      <w:pPr>
        <w:spacing w:line="52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6.2 乙方应在采购文件规定的时间向甲方提供使用服务的有关技术资料。</w:t>
      </w:r>
    </w:p>
    <w:p w14:paraId="35220108">
      <w:pPr>
        <w:spacing w:line="52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6.3 没有甲方事先书面同意，乙方不得将甲方提供的有关合同或任何合同条文、规格、计划、图纸、样品或资料提供给与履行本合同无关的其他任何人。即使向与履行本合同有关的人员提供，也应注意保密并限于履行合同的必需范围。</w:t>
      </w:r>
    </w:p>
    <w:p w14:paraId="2CD3AD47">
      <w:pPr>
        <w:spacing w:line="520" w:lineRule="exact"/>
        <w:rPr>
          <w:rFonts w:hint="eastAsia" w:hAnsi="宋体" w:cs="宋体"/>
          <w:b/>
          <w:bCs/>
          <w:color w:val="auto"/>
          <w:sz w:val="24"/>
          <w:szCs w:val="24"/>
          <w:highlight w:val="none"/>
        </w:rPr>
      </w:pPr>
      <w:r>
        <w:rPr>
          <w:rFonts w:hint="eastAsia" w:hAnsi="宋体" w:cs="宋体"/>
          <w:b/>
          <w:bCs/>
          <w:color w:val="auto"/>
          <w:sz w:val="24"/>
          <w:szCs w:val="24"/>
          <w:highlight w:val="none"/>
        </w:rPr>
        <w:t>7.  验收</w:t>
      </w:r>
    </w:p>
    <w:p w14:paraId="09185BCB">
      <w:pPr>
        <w:tabs>
          <w:tab w:val="left" w:pos="0"/>
        </w:tabs>
        <w:spacing w:line="52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7.1 乙方应对提交的服务成果作出全面检查和整理，并列出清单，作为甲方验收和使用的技术条件依据，清单应随提交的服务成果交给甲方。</w:t>
      </w:r>
    </w:p>
    <w:p w14:paraId="02478111">
      <w:pPr>
        <w:tabs>
          <w:tab w:val="left" w:pos="0"/>
        </w:tabs>
        <w:spacing w:line="52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7.2 乙方在指定地点提交服务成果后，甲方应在  个工作日内依据采购文件、乙方的竞标文件等组织验收，验收完毕后作出书面验收报告。验收时乙方必须在现场。</w:t>
      </w:r>
    </w:p>
    <w:p w14:paraId="03F2647D">
      <w:pPr>
        <w:tabs>
          <w:tab w:val="left" w:pos="0"/>
        </w:tabs>
        <w:spacing w:line="52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7.3 对复杂的服务，甲方可请国家认可的专业机构参与验收，并由其出具验收报告，相关费用由甲方承担。</w:t>
      </w:r>
    </w:p>
    <w:p w14:paraId="6355D08F">
      <w:pPr>
        <w:spacing w:line="520" w:lineRule="exact"/>
        <w:rPr>
          <w:rFonts w:hint="eastAsia" w:hAnsi="宋体" w:cs="宋体"/>
          <w:b/>
          <w:bCs/>
          <w:color w:val="auto"/>
          <w:sz w:val="24"/>
          <w:szCs w:val="24"/>
          <w:highlight w:val="none"/>
        </w:rPr>
      </w:pPr>
      <w:r>
        <w:rPr>
          <w:rFonts w:hint="eastAsia" w:hAnsi="宋体" w:cs="宋体"/>
          <w:b/>
          <w:bCs/>
          <w:color w:val="auto"/>
          <w:sz w:val="24"/>
          <w:szCs w:val="24"/>
          <w:highlight w:val="none"/>
        </w:rPr>
        <w:t>8.  合同款支付</w:t>
      </w:r>
    </w:p>
    <w:p w14:paraId="0052F1F8">
      <w:pPr>
        <w:tabs>
          <w:tab w:val="left" w:pos="5145"/>
          <w:tab w:val="left" w:pos="5355"/>
          <w:tab w:val="left" w:pos="6195"/>
        </w:tabs>
        <w:spacing w:line="520" w:lineRule="exact"/>
        <w:ind w:firstLine="480" w:firstLineChars="200"/>
        <w:rPr>
          <w:rFonts w:hint="eastAsia" w:hAnsi="宋体" w:cs="宋体"/>
          <w:bCs/>
          <w:color w:val="auto"/>
          <w:sz w:val="24"/>
          <w:szCs w:val="24"/>
          <w:highlight w:val="none"/>
          <w:u w:val="single"/>
        </w:rPr>
      </w:pPr>
      <w:r>
        <w:rPr>
          <w:rFonts w:hint="eastAsia" w:hAnsi="宋体" w:cs="宋体"/>
          <w:bCs/>
          <w:color w:val="auto"/>
          <w:sz w:val="24"/>
          <w:szCs w:val="24"/>
          <w:highlight w:val="none"/>
        </w:rPr>
        <w:t>8.1 付款方式：    。</w:t>
      </w:r>
    </w:p>
    <w:p w14:paraId="67B5F5B0">
      <w:pPr>
        <w:tabs>
          <w:tab w:val="left" w:pos="5145"/>
          <w:tab w:val="left" w:pos="5355"/>
          <w:tab w:val="left" w:pos="6195"/>
        </w:tabs>
        <w:spacing w:line="520" w:lineRule="exact"/>
        <w:ind w:firstLine="480" w:firstLineChars="200"/>
        <w:rPr>
          <w:rFonts w:hint="eastAsia" w:hAnsi="宋体" w:cs="宋体"/>
          <w:bCs/>
          <w:color w:val="auto"/>
          <w:sz w:val="24"/>
          <w:szCs w:val="24"/>
          <w:highlight w:val="none"/>
          <w:u w:val="single"/>
        </w:rPr>
      </w:pPr>
      <w:r>
        <w:rPr>
          <w:rFonts w:hint="eastAsia" w:hAnsi="宋体" w:cs="宋体"/>
          <w:color w:val="auto"/>
          <w:sz w:val="24"/>
          <w:szCs w:val="24"/>
          <w:highlight w:val="none"/>
        </w:rPr>
        <w:t>8.2 付款流程：甲方在上述规定时间内向财政部门提交付款申请，财政部门受理后则视为甲方已向乙方进行支付合同款项。</w:t>
      </w:r>
    </w:p>
    <w:p w14:paraId="6F2AE6D7">
      <w:pPr>
        <w:tabs>
          <w:tab w:val="left" w:pos="5145"/>
          <w:tab w:val="left" w:pos="5355"/>
          <w:tab w:val="left" w:pos="6195"/>
        </w:tabs>
        <w:spacing w:line="52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8.3 政府采购过程中，如采购人、供应商或采购代理机构存在违法行为，政府采购监督管理部门可视情况书面通知采购人暂停采购活动，并延期支付合同款。</w:t>
      </w:r>
    </w:p>
    <w:p w14:paraId="1AB8AB78">
      <w:pPr>
        <w:spacing w:line="520" w:lineRule="exact"/>
        <w:rPr>
          <w:rFonts w:hint="eastAsia" w:hAnsi="宋体" w:cs="宋体"/>
          <w:b/>
          <w:bCs/>
          <w:color w:val="auto"/>
          <w:sz w:val="24"/>
          <w:szCs w:val="24"/>
          <w:highlight w:val="none"/>
        </w:rPr>
      </w:pPr>
      <w:r>
        <w:rPr>
          <w:rFonts w:hint="eastAsia" w:hAnsi="宋体" w:cs="宋体"/>
          <w:b/>
          <w:bCs/>
          <w:color w:val="auto"/>
          <w:sz w:val="24"/>
          <w:szCs w:val="24"/>
          <w:highlight w:val="none"/>
        </w:rPr>
        <w:t>9.  售后服务要求</w:t>
      </w:r>
    </w:p>
    <w:p w14:paraId="73DE8450">
      <w:pPr>
        <w:spacing w:line="52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9.1 乙方提供服务的质量保证期为：</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（自提交服务验收合格之日起计）</w:t>
      </w:r>
    </w:p>
    <w:p w14:paraId="72436130">
      <w:pPr>
        <w:spacing w:line="52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9.2在本合同第9.1项约定的质量保证期内，乙方应对服务出现的问题负责处理解决并承担一切费用。</w:t>
      </w:r>
    </w:p>
    <w:p w14:paraId="110C87DD">
      <w:pPr>
        <w:tabs>
          <w:tab w:val="left" w:pos="5250"/>
        </w:tabs>
        <w:spacing w:line="520" w:lineRule="exact"/>
        <w:ind w:firstLine="480" w:firstLineChars="200"/>
        <w:rPr>
          <w:rFonts w:hint="eastAsia" w:hAnsi="宋体" w:cs="宋体"/>
          <w:color w:val="auto"/>
          <w:sz w:val="24"/>
          <w:szCs w:val="24"/>
          <w:highlight w:val="none"/>
          <w:u w:val="single"/>
        </w:rPr>
      </w:pPr>
      <w:r>
        <w:rPr>
          <w:rFonts w:hint="eastAsia" w:hAnsi="宋体" w:cs="宋体"/>
          <w:color w:val="auto"/>
          <w:sz w:val="24"/>
          <w:szCs w:val="24"/>
          <w:highlight w:val="none"/>
        </w:rPr>
        <w:t>9.3 其他售后服务要求：</w:t>
      </w:r>
      <w:r>
        <w:rPr>
          <w:rFonts w:hint="eastAsia" w:hAnsi="宋体" w:cs="宋体"/>
          <w:color w:val="auto"/>
          <w:sz w:val="24"/>
          <w:szCs w:val="24"/>
          <w:highlight w:val="none"/>
          <w:u w:val="single"/>
        </w:rPr>
        <w:t xml:space="preserve">                         。</w:t>
      </w:r>
    </w:p>
    <w:p w14:paraId="0744FDDE">
      <w:pPr>
        <w:spacing w:line="520" w:lineRule="exact"/>
        <w:rPr>
          <w:rFonts w:hint="eastAsia" w:hAnsi="宋体" w:cs="宋体"/>
          <w:b/>
          <w:bCs/>
          <w:color w:val="auto"/>
          <w:sz w:val="24"/>
          <w:szCs w:val="24"/>
          <w:highlight w:val="none"/>
        </w:rPr>
      </w:pPr>
      <w:r>
        <w:rPr>
          <w:rFonts w:hint="eastAsia" w:hAnsi="宋体" w:cs="宋体"/>
          <w:b/>
          <w:bCs/>
          <w:color w:val="auto"/>
          <w:sz w:val="24"/>
          <w:szCs w:val="24"/>
          <w:highlight w:val="none"/>
        </w:rPr>
        <w:t>10.  违约责任</w:t>
      </w:r>
    </w:p>
    <w:p w14:paraId="7BC61631">
      <w:pPr>
        <w:spacing w:line="52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10.1 甲方无正当理由拒收服务的，甲方向乙方偿付拒收服务费总值的违约金。</w:t>
      </w:r>
    </w:p>
    <w:p w14:paraId="6ED569DF">
      <w:pPr>
        <w:spacing w:line="52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10.2 甲方无故逾期验收或办理合同款支付手续的，甲方应按逾期付款总额每日向乙方支付违约金。</w:t>
      </w:r>
    </w:p>
    <w:p w14:paraId="6705C1A4">
      <w:pPr>
        <w:spacing w:line="52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10.3 乙方逾期交付服务的，乙方应按逾期提供服务总额每日向甲方支付违约金，由甲方从待付服务费中扣除。逾期超过约定日期个工作日不能提供服务的，甲方可解除本合同。乙方因逾期提供服务或因其他违约行为导致甲方解除合同的，乙方应向甲方支付合同总值的违约金，如造成甲方损失超过违约金的，超出部分由乙方继续承担赔偿责任。</w:t>
      </w:r>
    </w:p>
    <w:p w14:paraId="6F797E46">
      <w:pPr>
        <w:spacing w:line="520" w:lineRule="exact"/>
        <w:rPr>
          <w:rFonts w:hint="eastAsia" w:hAnsi="宋体" w:cs="宋体"/>
          <w:b/>
          <w:bCs/>
          <w:color w:val="auto"/>
          <w:sz w:val="24"/>
          <w:szCs w:val="24"/>
          <w:highlight w:val="none"/>
        </w:rPr>
      </w:pPr>
      <w:r>
        <w:rPr>
          <w:rFonts w:hint="eastAsia" w:hAnsi="宋体" w:cs="宋体"/>
          <w:b/>
          <w:bCs/>
          <w:color w:val="auto"/>
          <w:sz w:val="24"/>
          <w:szCs w:val="24"/>
          <w:highlight w:val="none"/>
        </w:rPr>
        <w:t>11.  不可抗力事件处理</w:t>
      </w:r>
    </w:p>
    <w:p w14:paraId="5BF2AD23">
      <w:pPr>
        <w:spacing w:line="52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11.1 在合同有效期内，任何一方因不可抗力事件导致不能履行合同，则合同履行期可延长，其延长期与不可抗力影响期相同。</w:t>
      </w:r>
    </w:p>
    <w:p w14:paraId="5B0BF801">
      <w:pPr>
        <w:spacing w:line="52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11.2 不可抗力事件发生后，应立即通知对方，并寄送有关权威机构出具的证明。</w:t>
      </w:r>
    </w:p>
    <w:p w14:paraId="45BC4FF4">
      <w:pPr>
        <w:spacing w:line="52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11.3 不可抗力事件延续120天以上，双方应通过友好协商，确定是否继续履行合同。</w:t>
      </w:r>
    </w:p>
    <w:p w14:paraId="3680A752">
      <w:pPr>
        <w:spacing w:line="520" w:lineRule="exact"/>
        <w:rPr>
          <w:rFonts w:hint="eastAsia" w:hAnsi="宋体" w:cs="宋体"/>
          <w:b/>
          <w:bCs/>
          <w:color w:val="auto"/>
          <w:sz w:val="24"/>
          <w:szCs w:val="24"/>
          <w:highlight w:val="none"/>
        </w:rPr>
      </w:pPr>
      <w:r>
        <w:rPr>
          <w:rFonts w:hint="eastAsia" w:hAnsi="宋体" w:cs="宋体"/>
          <w:b/>
          <w:bCs/>
          <w:color w:val="auto"/>
          <w:sz w:val="24"/>
          <w:szCs w:val="24"/>
          <w:highlight w:val="none"/>
        </w:rPr>
        <w:t>12.  诉讼</w:t>
      </w:r>
    </w:p>
    <w:p w14:paraId="174BCC72">
      <w:pPr>
        <w:tabs>
          <w:tab w:val="left" w:pos="0"/>
        </w:tabs>
        <w:spacing w:line="52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12.1 双方在执行合同中所发生的一切争议，应通过协商解决。如协商不成，可向合同签订的法院起诉，合同签订地在此约定为保山市隆阳区。</w:t>
      </w:r>
    </w:p>
    <w:p w14:paraId="5F0A9FC0">
      <w:pPr>
        <w:spacing w:line="520" w:lineRule="exact"/>
        <w:rPr>
          <w:rFonts w:hint="eastAsia" w:hAnsi="宋体" w:cs="宋体"/>
          <w:b/>
          <w:bCs/>
          <w:color w:val="auto"/>
          <w:sz w:val="24"/>
          <w:szCs w:val="24"/>
          <w:highlight w:val="none"/>
        </w:rPr>
      </w:pPr>
      <w:r>
        <w:rPr>
          <w:rFonts w:hint="eastAsia" w:hAnsi="宋体" w:cs="宋体"/>
          <w:b/>
          <w:bCs/>
          <w:color w:val="auto"/>
          <w:sz w:val="24"/>
          <w:szCs w:val="24"/>
          <w:highlight w:val="none"/>
        </w:rPr>
        <w:t>13.  合同生效及其他</w:t>
      </w:r>
    </w:p>
    <w:p w14:paraId="58690D72">
      <w:pPr>
        <w:spacing w:line="52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13.1 合同经双方法定代表人或授权委托代理人签字并加盖单位公章后生效。</w:t>
      </w:r>
    </w:p>
    <w:p w14:paraId="3C8B77EE">
      <w:pPr>
        <w:spacing w:line="52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13.2 合同执行中涉及采购资金和采购内容修改或补充的，须经本级财政部门审批，并签订书面补充协议报政府采购监督管理部门备案，方可作为主合同不可分割的一部分。</w:t>
      </w:r>
    </w:p>
    <w:p w14:paraId="69FDB84D">
      <w:pPr>
        <w:spacing w:line="52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13.3 下述合同附件为本合同不可分割的部分并与本合同具有同等效力：</w:t>
      </w:r>
    </w:p>
    <w:p w14:paraId="0A55DD28">
      <w:pPr>
        <w:spacing w:line="52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（1）成交通知书；</w:t>
      </w:r>
    </w:p>
    <w:p w14:paraId="3D864929">
      <w:pPr>
        <w:spacing w:line="52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（2）采购需求；</w:t>
      </w:r>
    </w:p>
    <w:p w14:paraId="2EE339DA">
      <w:pPr>
        <w:spacing w:line="52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（3）文件的澄清和修改；</w:t>
      </w:r>
    </w:p>
    <w:p w14:paraId="5928836F">
      <w:pPr>
        <w:spacing w:line="52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（4）投标文件；</w:t>
      </w:r>
    </w:p>
    <w:p w14:paraId="5F05499A">
      <w:pPr>
        <w:spacing w:line="52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（5）相关技术资料表、商务条款偏离表；</w:t>
      </w:r>
    </w:p>
    <w:p w14:paraId="4186CA75">
      <w:pPr>
        <w:spacing w:line="52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（6）中标人澄清函（如有）；</w:t>
      </w:r>
    </w:p>
    <w:p w14:paraId="0580DE85">
      <w:pPr>
        <w:spacing w:line="52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（7）其他与本合同相关的资料。</w:t>
      </w:r>
    </w:p>
    <w:p w14:paraId="43491359">
      <w:pPr>
        <w:spacing w:line="52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13.4 本合同未尽事宜，遵照《中华人民共和国民法典》有关条文执行。</w:t>
      </w:r>
    </w:p>
    <w:p w14:paraId="2C20BB2E">
      <w:pPr>
        <w:spacing w:line="52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13.5本合同一式陆份，具有同等法律效力，甲方肆份，乙方贰份，政府采购监督管理部门一份，由采购人自合同签订之日起三个工作日内报本级政府采购监督管理部门备案。</w:t>
      </w:r>
    </w:p>
    <w:p w14:paraId="17C8743F">
      <w:pPr>
        <w:spacing w:line="520" w:lineRule="exact"/>
        <w:ind w:firstLine="360"/>
        <w:rPr>
          <w:rFonts w:hint="eastAsia" w:hAnsi="宋体" w:cs="宋体"/>
          <w:color w:val="auto"/>
          <w:sz w:val="24"/>
          <w:szCs w:val="24"/>
          <w:highlight w:val="none"/>
        </w:rPr>
      </w:pPr>
    </w:p>
    <w:p w14:paraId="4A074E7D">
      <w:pPr>
        <w:spacing w:line="520" w:lineRule="exact"/>
        <w:rPr>
          <w:rFonts w:hint="eastAsia" w:hAnsi="宋体" w:cs="宋体"/>
          <w:b/>
          <w:color w:val="auto"/>
          <w:sz w:val="24"/>
          <w:szCs w:val="24"/>
          <w:highlight w:val="none"/>
        </w:rPr>
      </w:pPr>
      <w:r>
        <w:rPr>
          <w:rFonts w:hint="eastAsia" w:hAnsi="宋体" w:cs="宋体"/>
          <w:b/>
          <w:color w:val="auto"/>
          <w:sz w:val="24"/>
          <w:szCs w:val="24"/>
          <w:highlight w:val="none"/>
        </w:rPr>
        <w:t>注：1、本合同书仅供签订正式合同时参考用，正式合同书应包括此参考格式之内容。</w:t>
      </w:r>
    </w:p>
    <w:p w14:paraId="53A8EC7B">
      <w:pPr>
        <w:spacing w:line="520" w:lineRule="exact"/>
        <w:ind w:firstLine="480"/>
        <w:rPr>
          <w:color w:val="auto"/>
          <w:sz w:val="24"/>
          <w:szCs w:val="24"/>
          <w:highlight w:val="none"/>
        </w:rPr>
      </w:pPr>
      <w:r>
        <w:rPr>
          <w:rFonts w:hint="eastAsia" w:hAnsi="宋体" w:cs="宋体"/>
          <w:b/>
          <w:color w:val="auto"/>
          <w:sz w:val="24"/>
          <w:szCs w:val="24"/>
          <w:highlight w:val="none"/>
        </w:rPr>
        <w:t>2、合同签订双方可根据项目的具体要求进行修订，但合同条款不得与采购文件和中标人递交的投标文件有实质性偏离。</w:t>
      </w:r>
      <w:r>
        <w:rPr>
          <w:rFonts w:hAnsi="宋体" w:cs="宋体"/>
          <w:color w:val="auto"/>
          <w:sz w:val="24"/>
          <w:szCs w:val="24"/>
          <w:highlight w:val="none"/>
        </w:rPr>
        <w:br w:type="page"/>
      </w:r>
    </w:p>
    <w:p w14:paraId="53F10062">
      <w:pPr>
        <w:spacing w:line="520" w:lineRule="exact"/>
        <w:ind w:firstLine="480"/>
        <w:rPr>
          <w:color w:val="auto"/>
          <w:sz w:val="21"/>
          <w:szCs w:val="21"/>
          <w:highlight w:val="none"/>
        </w:rPr>
      </w:pPr>
    </w:p>
    <w:tbl>
      <w:tblPr>
        <w:tblStyle w:val="39"/>
        <w:tblW w:w="9704" w:type="dxa"/>
        <w:jc w:val="center"/>
        <w:tblCellSpacing w:w="0" w:type="dxa"/>
        <w:tblLayout w:type="fixed"/>
        <w:tblCellMar>
          <w:top w:w="0" w:type="dxa"/>
          <w:left w:w="0" w:type="dxa"/>
          <w:bottom w:w="0" w:type="dxa"/>
          <w:right w:w="0" w:type="dxa"/>
        </w:tblCellMar>
      </w:tblPr>
      <w:tblGrid>
        <w:gridCol w:w="1650"/>
        <w:gridCol w:w="8054"/>
      </w:tblGrid>
      <w:tr w14:paraId="78B3E89D">
        <w:tblPrEx>
          <w:tblCellMar>
            <w:top w:w="0" w:type="dxa"/>
            <w:left w:w="0" w:type="dxa"/>
            <w:bottom w:w="0" w:type="dxa"/>
            <w:right w:w="0" w:type="dxa"/>
          </w:tblCellMar>
        </w:tblPrEx>
        <w:trPr>
          <w:tblCellSpacing w:w="0" w:type="dxa"/>
          <w:jc w:val="center"/>
        </w:trPr>
        <w:tc>
          <w:tcPr>
            <w:tcW w:w="9704" w:type="dxa"/>
            <w:gridSpan w:val="2"/>
            <w:vAlign w:val="center"/>
          </w:tcPr>
          <w:p w14:paraId="7FD3DF24">
            <w:pPr>
              <w:widowControl/>
              <w:spacing w:after="240"/>
              <w:jc w:val="left"/>
              <w:rPr>
                <w:rFonts w:cs="宋体"/>
                <w:color w:val="auto"/>
                <w:sz w:val="24"/>
                <w:szCs w:val="24"/>
                <w:highlight w:val="none"/>
              </w:rPr>
            </w:pPr>
          </w:p>
          <w:p w14:paraId="2C016675">
            <w:pPr>
              <w:widowControl/>
              <w:spacing w:after="240"/>
              <w:jc w:val="left"/>
              <w:rPr>
                <w:rFonts w:cs="宋体"/>
                <w:color w:val="auto"/>
                <w:sz w:val="24"/>
                <w:szCs w:val="24"/>
                <w:highlight w:val="none"/>
              </w:rPr>
            </w:pPr>
            <w:r>
              <w:rPr>
                <w:rFonts w:cs="宋体"/>
                <w:color w:val="auto"/>
                <w:sz w:val="24"/>
                <w:szCs w:val="24"/>
                <w:highlight w:val="none"/>
              </w:rPr>
              <w:t>甲方（采购人公章）名 称：</w:t>
            </w:r>
            <w:r>
              <w:rPr>
                <w:rFonts w:hint="eastAsia" w:cs="宋体"/>
                <w:color w:val="auto"/>
                <w:sz w:val="24"/>
                <w:szCs w:val="24"/>
                <w:highlight w:val="none"/>
              </w:rPr>
              <w:t>保山市商务局</w:t>
            </w:r>
          </w:p>
        </w:tc>
      </w:tr>
      <w:tr w14:paraId="671131D4">
        <w:tblPrEx>
          <w:tblCellMar>
            <w:top w:w="0" w:type="dxa"/>
            <w:left w:w="0" w:type="dxa"/>
            <w:bottom w:w="0" w:type="dxa"/>
            <w:right w:w="0" w:type="dxa"/>
          </w:tblCellMar>
        </w:tblPrEx>
        <w:trPr>
          <w:tblCellSpacing w:w="0" w:type="dxa"/>
          <w:jc w:val="center"/>
        </w:trPr>
        <w:tc>
          <w:tcPr>
            <w:tcW w:w="1650" w:type="dxa"/>
            <w:vAlign w:val="center"/>
          </w:tcPr>
          <w:p w14:paraId="7FEDBFA5">
            <w:pPr>
              <w:widowControl/>
              <w:jc w:val="left"/>
              <w:rPr>
                <w:rFonts w:cs="宋体"/>
                <w:color w:val="auto"/>
                <w:sz w:val="24"/>
                <w:szCs w:val="24"/>
                <w:highlight w:val="none"/>
              </w:rPr>
            </w:pPr>
          </w:p>
        </w:tc>
        <w:tc>
          <w:tcPr>
            <w:tcW w:w="8054" w:type="dxa"/>
            <w:vAlign w:val="center"/>
          </w:tcPr>
          <w:p w14:paraId="32ED58BB">
            <w:pPr>
              <w:widowControl/>
              <w:spacing w:after="240"/>
              <w:jc w:val="left"/>
              <w:rPr>
                <w:rFonts w:cs="宋体"/>
                <w:color w:val="auto"/>
                <w:sz w:val="24"/>
                <w:szCs w:val="24"/>
                <w:highlight w:val="none"/>
              </w:rPr>
            </w:pPr>
            <w:r>
              <w:rPr>
                <w:rFonts w:cs="宋体"/>
                <w:color w:val="auto"/>
                <w:sz w:val="24"/>
                <w:szCs w:val="24"/>
                <w:highlight w:val="none"/>
              </w:rPr>
              <w:t>地 址：</w:t>
            </w:r>
          </w:p>
        </w:tc>
      </w:tr>
      <w:tr w14:paraId="79C0A5D7">
        <w:tblPrEx>
          <w:tblCellMar>
            <w:top w:w="0" w:type="dxa"/>
            <w:left w:w="0" w:type="dxa"/>
            <w:bottom w:w="0" w:type="dxa"/>
            <w:right w:w="0" w:type="dxa"/>
          </w:tblCellMar>
        </w:tblPrEx>
        <w:trPr>
          <w:tblCellSpacing w:w="0" w:type="dxa"/>
          <w:jc w:val="center"/>
        </w:trPr>
        <w:tc>
          <w:tcPr>
            <w:tcW w:w="1650" w:type="dxa"/>
            <w:vAlign w:val="center"/>
          </w:tcPr>
          <w:p w14:paraId="53D1A1E7">
            <w:pPr>
              <w:widowControl/>
              <w:jc w:val="left"/>
              <w:rPr>
                <w:rFonts w:cs="宋体"/>
                <w:color w:val="auto"/>
                <w:sz w:val="24"/>
                <w:szCs w:val="24"/>
                <w:highlight w:val="none"/>
              </w:rPr>
            </w:pPr>
          </w:p>
        </w:tc>
        <w:tc>
          <w:tcPr>
            <w:tcW w:w="8054" w:type="dxa"/>
            <w:vAlign w:val="center"/>
          </w:tcPr>
          <w:p w14:paraId="3C018885">
            <w:pPr>
              <w:widowControl/>
              <w:spacing w:after="240"/>
              <w:jc w:val="left"/>
              <w:rPr>
                <w:rFonts w:cs="宋体"/>
                <w:color w:val="auto"/>
                <w:sz w:val="24"/>
                <w:szCs w:val="24"/>
                <w:highlight w:val="none"/>
              </w:rPr>
            </w:pPr>
            <w:r>
              <w:rPr>
                <w:rFonts w:cs="宋体"/>
                <w:color w:val="auto"/>
                <w:sz w:val="24"/>
                <w:szCs w:val="24"/>
                <w:highlight w:val="none"/>
              </w:rPr>
              <w:t>邮 编：</w:t>
            </w:r>
          </w:p>
        </w:tc>
      </w:tr>
      <w:tr w14:paraId="417E554E">
        <w:tblPrEx>
          <w:tblCellMar>
            <w:top w:w="0" w:type="dxa"/>
            <w:left w:w="0" w:type="dxa"/>
            <w:bottom w:w="0" w:type="dxa"/>
            <w:right w:w="0" w:type="dxa"/>
          </w:tblCellMar>
        </w:tblPrEx>
        <w:trPr>
          <w:tblCellSpacing w:w="0" w:type="dxa"/>
          <w:jc w:val="center"/>
        </w:trPr>
        <w:tc>
          <w:tcPr>
            <w:tcW w:w="1650" w:type="dxa"/>
            <w:vAlign w:val="center"/>
          </w:tcPr>
          <w:p w14:paraId="0A7E460D">
            <w:pPr>
              <w:widowControl/>
              <w:jc w:val="left"/>
              <w:rPr>
                <w:rFonts w:cs="宋体"/>
                <w:color w:val="auto"/>
                <w:sz w:val="24"/>
                <w:szCs w:val="24"/>
                <w:highlight w:val="none"/>
              </w:rPr>
            </w:pPr>
          </w:p>
        </w:tc>
        <w:tc>
          <w:tcPr>
            <w:tcW w:w="8054" w:type="dxa"/>
            <w:vAlign w:val="center"/>
          </w:tcPr>
          <w:p w14:paraId="31642EA6">
            <w:pPr>
              <w:widowControl/>
              <w:spacing w:after="240"/>
              <w:jc w:val="left"/>
              <w:rPr>
                <w:rFonts w:cs="宋体"/>
                <w:color w:val="auto"/>
                <w:sz w:val="24"/>
                <w:szCs w:val="24"/>
                <w:highlight w:val="none"/>
              </w:rPr>
            </w:pPr>
            <w:r>
              <w:rPr>
                <w:rFonts w:cs="宋体"/>
                <w:color w:val="auto"/>
                <w:sz w:val="24"/>
                <w:szCs w:val="24"/>
                <w:highlight w:val="none"/>
              </w:rPr>
              <w:t>法定代表人（负责人）或委托代理人：</w:t>
            </w:r>
          </w:p>
        </w:tc>
      </w:tr>
      <w:tr w14:paraId="21D75D1B">
        <w:tblPrEx>
          <w:tblCellMar>
            <w:top w:w="0" w:type="dxa"/>
            <w:left w:w="0" w:type="dxa"/>
            <w:bottom w:w="0" w:type="dxa"/>
            <w:right w:w="0" w:type="dxa"/>
          </w:tblCellMar>
        </w:tblPrEx>
        <w:trPr>
          <w:tblCellSpacing w:w="0" w:type="dxa"/>
          <w:jc w:val="center"/>
        </w:trPr>
        <w:tc>
          <w:tcPr>
            <w:tcW w:w="1650" w:type="dxa"/>
            <w:vAlign w:val="center"/>
          </w:tcPr>
          <w:p w14:paraId="28A1E81B">
            <w:pPr>
              <w:widowControl/>
              <w:jc w:val="left"/>
              <w:rPr>
                <w:rFonts w:cs="宋体"/>
                <w:color w:val="auto"/>
                <w:sz w:val="24"/>
                <w:szCs w:val="24"/>
                <w:highlight w:val="none"/>
              </w:rPr>
            </w:pPr>
          </w:p>
        </w:tc>
        <w:tc>
          <w:tcPr>
            <w:tcW w:w="8054" w:type="dxa"/>
            <w:vAlign w:val="center"/>
          </w:tcPr>
          <w:p w14:paraId="0F6B00F2">
            <w:pPr>
              <w:widowControl/>
              <w:spacing w:after="240"/>
              <w:jc w:val="left"/>
              <w:rPr>
                <w:rFonts w:cs="宋体"/>
                <w:color w:val="auto"/>
                <w:sz w:val="24"/>
                <w:szCs w:val="24"/>
                <w:highlight w:val="none"/>
              </w:rPr>
            </w:pPr>
            <w:r>
              <w:rPr>
                <w:rFonts w:hint="eastAsia" w:cs="宋体"/>
                <w:color w:val="auto"/>
                <w:sz w:val="24"/>
                <w:szCs w:val="24"/>
                <w:highlight w:val="none"/>
              </w:rPr>
              <w:t>联系人</w:t>
            </w:r>
            <w:r>
              <w:rPr>
                <w:rFonts w:cs="宋体"/>
                <w:color w:val="auto"/>
                <w:sz w:val="24"/>
                <w:szCs w:val="24"/>
                <w:highlight w:val="none"/>
              </w:rPr>
              <w:t>：</w:t>
            </w:r>
          </w:p>
        </w:tc>
      </w:tr>
      <w:tr w14:paraId="380446F2">
        <w:tblPrEx>
          <w:tblCellMar>
            <w:top w:w="0" w:type="dxa"/>
            <w:left w:w="0" w:type="dxa"/>
            <w:bottom w:w="0" w:type="dxa"/>
            <w:right w:w="0" w:type="dxa"/>
          </w:tblCellMar>
        </w:tblPrEx>
        <w:trPr>
          <w:tblCellSpacing w:w="0" w:type="dxa"/>
          <w:jc w:val="center"/>
        </w:trPr>
        <w:tc>
          <w:tcPr>
            <w:tcW w:w="1650" w:type="dxa"/>
            <w:vAlign w:val="center"/>
          </w:tcPr>
          <w:p w14:paraId="752D21A6">
            <w:pPr>
              <w:widowControl/>
              <w:jc w:val="left"/>
              <w:rPr>
                <w:rFonts w:cs="宋体"/>
                <w:color w:val="auto"/>
                <w:sz w:val="24"/>
                <w:szCs w:val="24"/>
                <w:highlight w:val="none"/>
              </w:rPr>
            </w:pPr>
          </w:p>
        </w:tc>
        <w:tc>
          <w:tcPr>
            <w:tcW w:w="8054" w:type="dxa"/>
            <w:vAlign w:val="center"/>
          </w:tcPr>
          <w:p w14:paraId="5A928B3B">
            <w:pPr>
              <w:widowControl/>
              <w:spacing w:after="240"/>
              <w:jc w:val="left"/>
              <w:rPr>
                <w:rFonts w:cs="宋体"/>
                <w:color w:val="auto"/>
                <w:sz w:val="24"/>
                <w:szCs w:val="24"/>
                <w:highlight w:val="none"/>
              </w:rPr>
            </w:pPr>
            <w:r>
              <w:rPr>
                <w:rFonts w:cs="宋体"/>
                <w:color w:val="auto"/>
                <w:sz w:val="24"/>
                <w:szCs w:val="24"/>
                <w:highlight w:val="none"/>
              </w:rPr>
              <w:t>电 话：</w:t>
            </w:r>
          </w:p>
        </w:tc>
      </w:tr>
      <w:tr w14:paraId="67226A0E">
        <w:tblPrEx>
          <w:tblCellMar>
            <w:top w:w="0" w:type="dxa"/>
            <w:left w:w="0" w:type="dxa"/>
            <w:bottom w:w="0" w:type="dxa"/>
            <w:right w:w="0" w:type="dxa"/>
          </w:tblCellMar>
        </w:tblPrEx>
        <w:trPr>
          <w:trHeight w:val="673" w:hRule="atLeast"/>
          <w:tblCellSpacing w:w="0" w:type="dxa"/>
          <w:jc w:val="center"/>
        </w:trPr>
        <w:tc>
          <w:tcPr>
            <w:tcW w:w="1650" w:type="dxa"/>
            <w:vAlign w:val="center"/>
          </w:tcPr>
          <w:p w14:paraId="2B8C9746">
            <w:pPr>
              <w:widowControl/>
              <w:jc w:val="left"/>
              <w:rPr>
                <w:rFonts w:cs="宋体"/>
                <w:color w:val="auto"/>
                <w:sz w:val="24"/>
                <w:szCs w:val="24"/>
                <w:highlight w:val="none"/>
              </w:rPr>
            </w:pPr>
          </w:p>
        </w:tc>
        <w:tc>
          <w:tcPr>
            <w:tcW w:w="8054" w:type="dxa"/>
            <w:vAlign w:val="center"/>
          </w:tcPr>
          <w:p w14:paraId="57ED72E9">
            <w:pPr>
              <w:widowControl/>
              <w:spacing w:after="240"/>
              <w:jc w:val="left"/>
              <w:rPr>
                <w:rFonts w:cs="宋体"/>
                <w:color w:val="auto"/>
                <w:sz w:val="24"/>
                <w:szCs w:val="24"/>
                <w:highlight w:val="none"/>
              </w:rPr>
            </w:pPr>
            <w:r>
              <w:rPr>
                <w:rFonts w:cs="宋体"/>
                <w:color w:val="auto"/>
                <w:sz w:val="24"/>
                <w:szCs w:val="24"/>
                <w:highlight w:val="none"/>
              </w:rPr>
              <w:t>签订日期：</w:t>
            </w:r>
          </w:p>
        </w:tc>
      </w:tr>
      <w:tr w14:paraId="2901FF02">
        <w:tblPrEx>
          <w:tblCellMar>
            <w:top w:w="0" w:type="dxa"/>
            <w:left w:w="0" w:type="dxa"/>
            <w:bottom w:w="0" w:type="dxa"/>
            <w:right w:w="0" w:type="dxa"/>
          </w:tblCellMar>
        </w:tblPrEx>
        <w:trPr>
          <w:tblCellSpacing w:w="0" w:type="dxa"/>
          <w:jc w:val="center"/>
        </w:trPr>
        <w:tc>
          <w:tcPr>
            <w:tcW w:w="9704" w:type="dxa"/>
            <w:gridSpan w:val="2"/>
            <w:vAlign w:val="center"/>
          </w:tcPr>
          <w:p w14:paraId="68198934">
            <w:pPr>
              <w:widowControl/>
              <w:spacing w:after="240"/>
              <w:jc w:val="left"/>
              <w:rPr>
                <w:rFonts w:cs="宋体"/>
                <w:color w:val="auto"/>
                <w:sz w:val="24"/>
                <w:szCs w:val="24"/>
                <w:highlight w:val="none"/>
              </w:rPr>
            </w:pPr>
            <w:r>
              <w:rPr>
                <w:rFonts w:cs="宋体"/>
                <w:color w:val="auto"/>
                <w:sz w:val="24"/>
                <w:szCs w:val="24"/>
                <w:highlight w:val="none"/>
              </w:rPr>
              <w:t>乙方（</w:t>
            </w:r>
            <w:r>
              <w:rPr>
                <w:rFonts w:hint="eastAsia" w:cs="宋体"/>
                <w:color w:val="auto"/>
                <w:sz w:val="24"/>
                <w:szCs w:val="24"/>
                <w:highlight w:val="none"/>
              </w:rPr>
              <w:t>中标人</w:t>
            </w:r>
            <w:r>
              <w:rPr>
                <w:rFonts w:cs="宋体"/>
                <w:color w:val="auto"/>
                <w:sz w:val="24"/>
                <w:szCs w:val="24"/>
                <w:highlight w:val="none"/>
              </w:rPr>
              <w:t xml:space="preserve">公章）名 称： </w:t>
            </w:r>
          </w:p>
        </w:tc>
      </w:tr>
      <w:tr w14:paraId="2976F7D3">
        <w:tblPrEx>
          <w:tblCellMar>
            <w:top w:w="0" w:type="dxa"/>
            <w:left w:w="0" w:type="dxa"/>
            <w:bottom w:w="0" w:type="dxa"/>
            <w:right w:w="0" w:type="dxa"/>
          </w:tblCellMar>
        </w:tblPrEx>
        <w:trPr>
          <w:tblCellSpacing w:w="0" w:type="dxa"/>
          <w:jc w:val="center"/>
        </w:trPr>
        <w:tc>
          <w:tcPr>
            <w:tcW w:w="1650" w:type="dxa"/>
            <w:vAlign w:val="center"/>
          </w:tcPr>
          <w:p w14:paraId="0DDBBC13">
            <w:pPr>
              <w:widowControl/>
              <w:jc w:val="left"/>
              <w:rPr>
                <w:rFonts w:cs="宋体"/>
                <w:color w:val="auto"/>
                <w:sz w:val="24"/>
                <w:szCs w:val="24"/>
                <w:highlight w:val="none"/>
              </w:rPr>
            </w:pPr>
          </w:p>
        </w:tc>
        <w:tc>
          <w:tcPr>
            <w:tcW w:w="8054" w:type="dxa"/>
            <w:vAlign w:val="center"/>
          </w:tcPr>
          <w:p w14:paraId="0AC29513">
            <w:pPr>
              <w:widowControl/>
              <w:spacing w:after="240"/>
              <w:jc w:val="left"/>
              <w:rPr>
                <w:rFonts w:cs="宋体"/>
                <w:color w:val="auto"/>
                <w:sz w:val="24"/>
                <w:szCs w:val="24"/>
                <w:highlight w:val="none"/>
              </w:rPr>
            </w:pPr>
            <w:r>
              <w:rPr>
                <w:rFonts w:cs="宋体"/>
                <w:color w:val="auto"/>
                <w:sz w:val="24"/>
                <w:szCs w:val="24"/>
                <w:highlight w:val="none"/>
              </w:rPr>
              <w:t>地 址：</w:t>
            </w:r>
          </w:p>
        </w:tc>
      </w:tr>
      <w:tr w14:paraId="22460F6F">
        <w:tblPrEx>
          <w:tblCellMar>
            <w:top w:w="0" w:type="dxa"/>
            <w:left w:w="0" w:type="dxa"/>
            <w:bottom w:w="0" w:type="dxa"/>
            <w:right w:w="0" w:type="dxa"/>
          </w:tblCellMar>
        </w:tblPrEx>
        <w:trPr>
          <w:tblCellSpacing w:w="0" w:type="dxa"/>
          <w:jc w:val="center"/>
        </w:trPr>
        <w:tc>
          <w:tcPr>
            <w:tcW w:w="1650" w:type="dxa"/>
            <w:vAlign w:val="center"/>
          </w:tcPr>
          <w:p w14:paraId="46B8E066">
            <w:pPr>
              <w:widowControl/>
              <w:jc w:val="left"/>
              <w:rPr>
                <w:rFonts w:cs="宋体"/>
                <w:color w:val="auto"/>
                <w:sz w:val="24"/>
                <w:szCs w:val="24"/>
                <w:highlight w:val="none"/>
              </w:rPr>
            </w:pPr>
          </w:p>
        </w:tc>
        <w:tc>
          <w:tcPr>
            <w:tcW w:w="8054" w:type="dxa"/>
            <w:vAlign w:val="center"/>
          </w:tcPr>
          <w:p w14:paraId="385097AC">
            <w:pPr>
              <w:widowControl/>
              <w:spacing w:after="240"/>
              <w:jc w:val="left"/>
              <w:rPr>
                <w:rFonts w:cs="宋体"/>
                <w:color w:val="auto"/>
                <w:sz w:val="24"/>
                <w:szCs w:val="24"/>
                <w:highlight w:val="none"/>
              </w:rPr>
            </w:pPr>
            <w:r>
              <w:rPr>
                <w:rFonts w:cs="宋体"/>
                <w:color w:val="auto"/>
                <w:sz w:val="24"/>
                <w:szCs w:val="24"/>
                <w:highlight w:val="none"/>
              </w:rPr>
              <w:t>邮 编：</w:t>
            </w:r>
          </w:p>
        </w:tc>
      </w:tr>
      <w:tr w14:paraId="24297AFD">
        <w:tblPrEx>
          <w:tblCellMar>
            <w:top w:w="0" w:type="dxa"/>
            <w:left w:w="0" w:type="dxa"/>
            <w:bottom w:w="0" w:type="dxa"/>
            <w:right w:w="0" w:type="dxa"/>
          </w:tblCellMar>
        </w:tblPrEx>
        <w:trPr>
          <w:tblCellSpacing w:w="0" w:type="dxa"/>
          <w:jc w:val="center"/>
        </w:trPr>
        <w:tc>
          <w:tcPr>
            <w:tcW w:w="1650" w:type="dxa"/>
            <w:vAlign w:val="center"/>
          </w:tcPr>
          <w:p w14:paraId="1B7DF5ED">
            <w:pPr>
              <w:widowControl/>
              <w:jc w:val="left"/>
              <w:rPr>
                <w:rFonts w:cs="宋体"/>
                <w:color w:val="auto"/>
                <w:sz w:val="24"/>
                <w:szCs w:val="24"/>
                <w:highlight w:val="none"/>
              </w:rPr>
            </w:pPr>
          </w:p>
        </w:tc>
        <w:tc>
          <w:tcPr>
            <w:tcW w:w="8054" w:type="dxa"/>
            <w:vAlign w:val="center"/>
          </w:tcPr>
          <w:p w14:paraId="23B96E47">
            <w:pPr>
              <w:widowControl/>
              <w:spacing w:after="240"/>
              <w:jc w:val="left"/>
              <w:rPr>
                <w:rFonts w:cs="宋体"/>
                <w:color w:val="auto"/>
                <w:sz w:val="24"/>
                <w:szCs w:val="24"/>
                <w:highlight w:val="none"/>
              </w:rPr>
            </w:pPr>
            <w:r>
              <w:rPr>
                <w:rFonts w:cs="宋体"/>
                <w:color w:val="auto"/>
                <w:sz w:val="24"/>
                <w:szCs w:val="24"/>
                <w:highlight w:val="none"/>
              </w:rPr>
              <w:t>法定代表人（负责人）或委托代理人：</w:t>
            </w:r>
          </w:p>
        </w:tc>
      </w:tr>
      <w:tr w14:paraId="2CBF13D6">
        <w:tblPrEx>
          <w:tblCellMar>
            <w:top w:w="0" w:type="dxa"/>
            <w:left w:w="0" w:type="dxa"/>
            <w:bottom w:w="0" w:type="dxa"/>
            <w:right w:w="0" w:type="dxa"/>
          </w:tblCellMar>
        </w:tblPrEx>
        <w:trPr>
          <w:tblCellSpacing w:w="0" w:type="dxa"/>
          <w:jc w:val="center"/>
        </w:trPr>
        <w:tc>
          <w:tcPr>
            <w:tcW w:w="1650" w:type="dxa"/>
            <w:vAlign w:val="center"/>
          </w:tcPr>
          <w:p w14:paraId="32292135">
            <w:pPr>
              <w:widowControl/>
              <w:jc w:val="left"/>
              <w:rPr>
                <w:rFonts w:cs="宋体"/>
                <w:color w:val="auto"/>
                <w:sz w:val="24"/>
                <w:szCs w:val="24"/>
                <w:highlight w:val="none"/>
              </w:rPr>
            </w:pPr>
          </w:p>
        </w:tc>
        <w:tc>
          <w:tcPr>
            <w:tcW w:w="8054" w:type="dxa"/>
            <w:vAlign w:val="center"/>
          </w:tcPr>
          <w:p w14:paraId="1720EBBA">
            <w:pPr>
              <w:widowControl/>
              <w:spacing w:after="240"/>
              <w:jc w:val="left"/>
              <w:rPr>
                <w:rFonts w:cs="宋体"/>
                <w:color w:val="auto"/>
                <w:sz w:val="24"/>
                <w:szCs w:val="24"/>
                <w:highlight w:val="none"/>
              </w:rPr>
            </w:pPr>
            <w:r>
              <w:rPr>
                <w:rFonts w:hint="eastAsia" w:cs="宋体"/>
                <w:color w:val="auto"/>
                <w:sz w:val="24"/>
                <w:szCs w:val="24"/>
                <w:highlight w:val="none"/>
              </w:rPr>
              <w:t>项目负责人：</w:t>
            </w:r>
          </w:p>
          <w:p w14:paraId="4039518E">
            <w:pPr>
              <w:widowControl/>
              <w:spacing w:after="240"/>
              <w:jc w:val="left"/>
              <w:rPr>
                <w:rFonts w:cs="宋体"/>
                <w:color w:val="auto"/>
                <w:sz w:val="24"/>
                <w:szCs w:val="24"/>
                <w:highlight w:val="none"/>
              </w:rPr>
            </w:pPr>
            <w:r>
              <w:rPr>
                <w:rFonts w:cs="宋体"/>
                <w:color w:val="auto"/>
                <w:sz w:val="24"/>
                <w:szCs w:val="24"/>
                <w:highlight w:val="none"/>
              </w:rPr>
              <w:t>经办人：</w:t>
            </w:r>
          </w:p>
        </w:tc>
      </w:tr>
      <w:tr w14:paraId="70A80412">
        <w:tblPrEx>
          <w:tblCellMar>
            <w:top w:w="0" w:type="dxa"/>
            <w:left w:w="0" w:type="dxa"/>
            <w:bottom w:w="0" w:type="dxa"/>
            <w:right w:w="0" w:type="dxa"/>
          </w:tblCellMar>
        </w:tblPrEx>
        <w:trPr>
          <w:tblCellSpacing w:w="0" w:type="dxa"/>
          <w:jc w:val="center"/>
        </w:trPr>
        <w:tc>
          <w:tcPr>
            <w:tcW w:w="1650" w:type="dxa"/>
            <w:vAlign w:val="center"/>
          </w:tcPr>
          <w:p w14:paraId="7E0DA84B">
            <w:pPr>
              <w:widowControl/>
              <w:jc w:val="left"/>
              <w:rPr>
                <w:rFonts w:cs="宋体"/>
                <w:color w:val="auto"/>
                <w:sz w:val="24"/>
                <w:szCs w:val="24"/>
                <w:highlight w:val="none"/>
              </w:rPr>
            </w:pPr>
          </w:p>
        </w:tc>
        <w:tc>
          <w:tcPr>
            <w:tcW w:w="8054" w:type="dxa"/>
            <w:vAlign w:val="center"/>
          </w:tcPr>
          <w:p w14:paraId="4E1B787D">
            <w:pPr>
              <w:widowControl/>
              <w:spacing w:after="240"/>
              <w:jc w:val="left"/>
              <w:rPr>
                <w:rFonts w:cs="宋体"/>
                <w:color w:val="auto"/>
                <w:sz w:val="24"/>
                <w:szCs w:val="24"/>
                <w:highlight w:val="none"/>
              </w:rPr>
            </w:pPr>
            <w:r>
              <w:rPr>
                <w:rFonts w:cs="宋体"/>
                <w:color w:val="auto"/>
                <w:sz w:val="24"/>
                <w:szCs w:val="24"/>
                <w:highlight w:val="none"/>
              </w:rPr>
              <w:t>电 话：</w:t>
            </w:r>
          </w:p>
        </w:tc>
      </w:tr>
      <w:tr w14:paraId="2A6BD8C1">
        <w:tblPrEx>
          <w:tblCellMar>
            <w:top w:w="0" w:type="dxa"/>
            <w:left w:w="0" w:type="dxa"/>
            <w:bottom w:w="0" w:type="dxa"/>
            <w:right w:w="0" w:type="dxa"/>
          </w:tblCellMar>
        </w:tblPrEx>
        <w:trPr>
          <w:tblCellSpacing w:w="0" w:type="dxa"/>
          <w:jc w:val="center"/>
        </w:trPr>
        <w:tc>
          <w:tcPr>
            <w:tcW w:w="1650" w:type="dxa"/>
            <w:vAlign w:val="center"/>
          </w:tcPr>
          <w:p w14:paraId="53FB26B3">
            <w:pPr>
              <w:widowControl/>
              <w:jc w:val="left"/>
              <w:rPr>
                <w:rFonts w:cs="宋体"/>
                <w:color w:val="auto"/>
                <w:sz w:val="24"/>
                <w:szCs w:val="24"/>
                <w:highlight w:val="none"/>
              </w:rPr>
            </w:pPr>
          </w:p>
        </w:tc>
        <w:tc>
          <w:tcPr>
            <w:tcW w:w="8054" w:type="dxa"/>
            <w:vAlign w:val="center"/>
          </w:tcPr>
          <w:p w14:paraId="1AF28831">
            <w:pPr>
              <w:widowControl/>
              <w:spacing w:after="240"/>
              <w:jc w:val="left"/>
              <w:rPr>
                <w:rFonts w:cs="宋体"/>
                <w:color w:val="auto"/>
                <w:sz w:val="24"/>
                <w:szCs w:val="24"/>
                <w:highlight w:val="none"/>
              </w:rPr>
            </w:pPr>
            <w:r>
              <w:rPr>
                <w:rFonts w:cs="宋体"/>
                <w:color w:val="auto"/>
                <w:sz w:val="24"/>
                <w:szCs w:val="24"/>
                <w:highlight w:val="none"/>
              </w:rPr>
              <w:t>签订日期：</w:t>
            </w:r>
          </w:p>
        </w:tc>
      </w:tr>
    </w:tbl>
    <w:p w14:paraId="2B469A7A">
      <w:pPr>
        <w:spacing w:line="520" w:lineRule="exact"/>
        <w:ind w:firstLine="480"/>
        <w:rPr>
          <w:rFonts w:hint="eastAsia" w:asciiTheme="minorEastAsia" w:hAnsiTheme="minorEastAsia" w:eastAsiaTheme="minorEastAsia"/>
          <w:color w:val="auto"/>
          <w:highlight w:val="none"/>
        </w:rPr>
      </w:pPr>
    </w:p>
    <w:sectPr>
      <w:pgSz w:w="11906" w:h="16838"/>
      <w:pgMar w:top="1418" w:right="1134" w:bottom="1246"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00" w:usb3="00000000" w:csb0="00040000" w:csb1="00000000"/>
  </w:font>
  <w:font w:name="华文中宋">
    <w:altName w:val="宋体"/>
    <w:panose1 w:val="02010600040101010101"/>
    <w:charset w:val="86"/>
    <w:family w:val="auto"/>
    <w:pitch w:val="default"/>
    <w:sig w:usb0="00000000" w:usb1="00000000" w:usb2="00000010" w:usb3="00000000" w:csb0="0004009F" w:csb1="00000000"/>
  </w:font>
  <w:font w:name="MS Sans Serif">
    <w:altName w:val="Arial"/>
    <w:panose1 w:val="00000000000000000000"/>
    <w:charset w:val="00"/>
    <w:family w:val="swiss"/>
    <w:pitch w:val="default"/>
    <w:sig w:usb0="00000000" w:usb1="00000000" w:usb2="00000000" w:usb3="00000000" w:csb0="00000001" w:csb1="00000000"/>
  </w:font>
  <w:font w:name="楷体_GB2312">
    <w:altName w:val="楷体"/>
    <w:panose1 w:val="00000000000000000000"/>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华文楷体">
    <w:altName w:val="宋体"/>
    <w:panose1 w:val="02010600040101010101"/>
    <w:charset w:val="86"/>
    <w:family w:val="auto"/>
    <w:pitch w:val="default"/>
    <w:sig w:usb0="00000000" w:usb1="00000000" w:usb2="00000010" w:usb3="00000000" w:csb0="0004009F" w:csb1="00000000"/>
  </w:font>
  <w:font w:name="仿宋">
    <w:panose1 w:val="02010609060101010101"/>
    <w:charset w:val="86"/>
    <w:family w:val="modern"/>
    <w:pitch w:val="default"/>
    <w:sig w:usb0="800002BF" w:usb1="38CF7CFA" w:usb2="00000016" w:usb3="00000000" w:csb0="00040001" w:csb1="00000000"/>
  </w:font>
  <w:font w:name="方正仿宋_GBK">
    <w:altName w:val="微软雅黑"/>
    <w:panose1 w:val="03000509000000000000"/>
    <w:charset w:val="86"/>
    <w:family w:val="script"/>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2328ED">
    <w:pPr>
      <w:pStyle w:val="29"/>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E9E4577">
                          <w:pPr>
                            <w:pStyle w:val="29"/>
                          </w:pPr>
                          <w:r>
                            <w:fldChar w:fldCharType="begin"/>
                          </w:r>
                          <w:r>
                            <w:instrText xml:space="preserve"> PAGE  \* MERGEFORMAT </w:instrText>
                          </w:r>
                          <w:r>
                            <w:fldChar w:fldCharType="separate"/>
                          </w:r>
                          <w:r>
                            <w:t>91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B4HF0wAgAAY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eEybMsbPXO&#10;8ggd5fF2dQyQs1M5itIrge7EDWav69PwTuJw/7nvoh7/Dc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FB4HF0wAgAAYwQAAA4AAAAAAAAAAQAgAAAAHwEAAGRycy9lMm9Eb2MueG1sUEsFBgAA&#10;AAAGAAYAWQEAAMEFAAAAAA==&#10;">
              <v:fill on="f" focussize="0,0"/>
              <v:stroke on="f" weight="0.5pt"/>
              <v:imagedata o:title=""/>
              <o:lock v:ext="edit" aspectratio="f"/>
              <v:textbox inset="0mm,0mm,0mm,0mm" style="mso-fit-shape-to-text:t;">
                <w:txbxContent>
                  <w:p w14:paraId="4E9E4577">
                    <w:pPr>
                      <w:pStyle w:val="29"/>
                    </w:pPr>
                    <w:r>
                      <w:fldChar w:fldCharType="begin"/>
                    </w:r>
                    <w:r>
                      <w:instrText xml:space="preserve"> PAGE  \* MERGEFORMAT </w:instrText>
                    </w:r>
                    <w:r>
                      <w:fldChar w:fldCharType="separate"/>
                    </w:r>
                    <w:r>
                      <w:t>91</w:t>
                    </w:r>
                    <w:r>
                      <w:fldChar w:fldCharType="end"/>
                    </w:r>
                  </w:p>
                </w:txbxContent>
              </v:textbox>
            </v:shape>
          </w:pict>
        </mc:Fallback>
      </mc:AlternateContent>
    </w:r>
  </w:p>
  <w:p w14:paraId="52671A07">
    <w:pPr>
      <w:pStyle w:val="29"/>
      <w:ind w:right="360"/>
      <w:jc w:val="right"/>
    </w:pPr>
    <w:r>
      <w:rPr>
        <w:rFonts w:hint="eastAsia" w:hAnsi="宋体"/>
      </w:rPr>
      <w:t>保山市天瑞建设工程招标咨询有限公司编制</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EEF667">
    <w:pPr>
      <w:pStyle w:val="29"/>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118BFCB">
                          <w:pPr>
                            <w:pStyle w:val="29"/>
                          </w:pPr>
                          <w:r>
                            <w:fldChar w:fldCharType="begin"/>
                          </w:r>
                          <w:r>
                            <w:instrText xml:space="preserve"> PAGE  \* MERGEFORMAT </w:instrText>
                          </w:r>
                          <w:r>
                            <w:fldChar w:fldCharType="separate"/>
                          </w:r>
                          <w:r>
                            <w:t>73</w:t>
                          </w:r>
                          <w:r>
                            <w:fldChar w:fldCharType="end"/>
                          </w:r>
                        </w:p>
                      </w:txbxContent>
                    </wps:txbx>
                    <wps:bodyPr wrap="none" lIns="0" tIns="0" rIns="0" bIns="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SAYMIBAACNAwAADgAAAGRycy9lMm9Eb2MueG1srVPNjtMwEL6vxDtY&#10;vlNni4S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DV1S4rjFgZ9//jj/ejw/fCdv&#10;sjx9gBqz7gLmpeG9H3BpZj+gM7MeVLT5i3wIxlHc00VcOSQi8qPVcrWqMCQwNl8Qnz09DxHSB+kt&#10;yUZDI06viMqPnyCNqXNKrub8rTamTNC4vxyImT0s9z72mK007IaJ0M63J+TT4+Ab6nDPKTEfHeqa&#10;d2Q24mzsJiPXgPDukLBw6SejjlBTMZxSYTRtVF6DP+8l6+kv2vw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Av0gGDCAQAAjQMAAA4AAAAAAAAAAQAgAAAAHgEAAGRycy9lMm9Eb2MueG1sUEsF&#10;BgAAAAAGAAYAWQEAAFIFAAAAAA==&#10;">
              <v:fill on="f" focussize="0,0"/>
              <v:stroke on="f"/>
              <v:imagedata o:title=""/>
              <o:lock v:ext="edit" aspectratio="f"/>
              <v:textbox inset="0mm,0mm,0mm,0mm" style="mso-fit-shape-to-text:t;">
                <w:txbxContent>
                  <w:p w14:paraId="4118BFCB">
                    <w:pPr>
                      <w:pStyle w:val="29"/>
                    </w:pPr>
                    <w:r>
                      <w:fldChar w:fldCharType="begin"/>
                    </w:r>
                    <w:r>
                      <w:instrText xml:space="preserve"> PAGE  \* MERGEFORMAT </w:instrText>
                    </w:r>
                    <w:r>
                      <w:fldChar w:fldCharType="separate"/>
                    </w:r>
                    <w:r>
                      <w:t>73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1BE9AE">
    <w:pPr>
      <w:pStyle w:val="30"/>
    </w:pPr>
    <w:r>
      <w:rPr>
        <w:rFonts w:hint="eastAsia"/>
      </w:rPr>
      <w:t>保山市加油站流量数据采集系统建设安装项目招标文件                 项目编号：TRZBC2024-81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B"/>
    <w:multiLevelType w:val="multilevel"/>
    <w:tmpl w:val="0000000B"/>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pStyle w:val="7"/>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lvlText w:val="           "/>
      <w:lvlJc w:val="left"/>
      <w:pPr>
        <w:tabs>
          <w:tab w:val="left" w:pos="1440"/>
        </w:tabs>
        <w:ind w:left="1152" w:hanging="1152"/>
      </w:pPr>
      <w:rPr>
        <w:rFonts w:hint="eastAsia"/>
      </w:rPr>
    </w:lvl>
    <w:lvl w:ilvl="6" w:tentative="0">
      <w:start w:val="1"/>
      <w:numFmt w:val="decimal"/>
      <w:lvlText w:val="%1.%2.%3.%4.%5.%6.%7"/>
      <w:lvlJc w:val="left"/>
      <w:pPr>
        <w:tabs>
          <w:tab w:val="left" w:pos="2520"/>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
    <w:nsid w:val="140079A2"/>
    <w:multiLevelType w:val="multilevel"/>
    <w:tmpl w:val="140079A2"/>
    <w:lvl w:ilvl="0" w:tentative="0">
      <w:start w:val="1"/>
      <w:numFmt w:val="decimal"/>
      <w:lvlText w:val="%1."/>
      <w:lvlJc w:val="left"/>
      <w:pPr>
        <w:ind w:left="1242" w:hanging="382"/>
      </w:pPr>
      <w:rPr>
        <w:rFonts w:hint="default" w:ascii="仿宋" w:hAnsi="仿宋" w:eastAsia="仿宋"/>
        <w:spacing w:val="0"/>
        <w:sz w:val="24"/>
        <w:szCs w:val="24"/>
      </w:rPr>
    </w:lvl>
    <w:lvl w:ilvl="1" w:tentative="0">
      <w:start w:val="0"/>
      <w:numFmt w:val="bullet"/>
      <w:lvlText w:val="•"/>
      <w:lvlJc w:val="left"/>
      <w:pPr>
        <w:ind w:left="2010" w:hanging="382"/>
      </w:pPr>
      <w:rPr>
        <w:rFonts w:hint="default" w:ascii="Times New Roman" w:hAnsi="Times New Roman" w:cs="Times New Roman"/>
      </w:rPr>
    </w:lvl>
    <w:lvl w:ilvl="2" w:tentative="0">
      <w:start w:val="0"/>
      <w:numFmt w:val="bullet"/>
      <w:lvlText w:val="•"/>
      <w:lvlJc w:val="left"/>
      <w:pPr>
        <w:ind w:left="2781" w:hanging="382"/>
      </w:pPr>
      <w:rPr>
        <w:rFonts w:hint="default" w:ascii="Times New Roman" w:hAnsi="Times New Roman" w:cs="Times New Roman"/>
      </w:rPr>
    </w:lvl>
    <w:lvl w:ilvl="3" w:tentative="0">
      <w:start w:val="0"/>
      <w:numFmt w:val="bullet"/>
      <w:lvlText w:val="•"/>
      <w:lvlJc w:val="left"/>
      <w:pPr>
        <w:ind w:left="3551" w:hanging="382"/>
      </w:pPr>
      <w:rPr>
        <w:rFonts w:hint="default" w:ascii="Times New Roman" w:hAnsi="Times New Roman" w:cs="Times New Roman"/>
      </w:rPr>
    </w:lvl>
    <w:lvl w:ilvl="4" w:tentative="0">
      <w:start w:val="0"/>
      <w:numFmt w:val="bullet"/>
      <w:lvlText w:val="•"/>
      <w:lvlJc w:val="left"/>
      <w:pPr>
        <w:ind w:left="4322" w:hanging="382"/>
      </w:pPr>
      <w:rPr>
        <w:rFonts w:hint="default" w:ascii="Times New Roman" w:hAnsi="Times New Roman" w:cs="Times New Roman"/>
      </w:rPr>
    </w:lvl>
    <w:lvl w:ilvl="5" w:tentative="0">
      <w:start w:val="0"/>
      <w:numFmt w:val="bullet"/>
      <w:lvlText w:val="•"/>
      <w:lvlJc w:val="left"/>
      <w:pPr>
        <w:ind w:left="5093" w:hanging="382"/>
      </w:pPr>
      <w:rPr>
        <w:rFonts w:hint="default" w:ascii="Times New Roman" w:hAnsi="Times New Roman" w:cs="Times New Roman"/>
      </w:rPr>
    </w:lvl>
    <w:lvl w:ilvl="6" w:tentative="0">
      <w:start w:val="0"/>
      <w:numFmt w:val="bullet"/>
      <w:lvlText w:val="•"/>
      <w:lvlJc w:val="left"/>
      <w:pPr>
        <w:ind w:left="5863" w:hanging="382"/>
      </w:pPr>
      <w:rPr>
        <w:rFonts w:hint="default" w:ascii="Times New Roman" w:hAnsi="Times New Roman" w:cs="Times New Roman"/>
      </w:rPr>
    </w:lvl>
    <w:lvl w:ilvl="7" w:tentative="0">
      <w:start w:val="0"/>
      <w:numFmt w:val="bullet"/>
      <w:lvlText w:val="•"/>
      <w:lvlJc w:val="left"/>
      <w:pPr>
        <w:ind w:left="6634" w:hanging="382"/>
      </w:pPr>
      <w:rPr>
        <w:rFonts w:hint="default" w:ascii="Times New Roman" w:hAnsi="Times New Roman" w:cs="Times New Roman"/>
      </w:rPr>
    </w:lvl>
    <w:lvl w:ilvl="8" w:tentative="0">
      <w:start w:val="0"/>
      <w:numFmt w:val="bullet"/>
      <w:lvlText w:val="•"/>
      <w:lvlJc w:val="left"/>
      <w:pPr>
        <w:ind w:left="7404" w:hanging="382"/>
      </w:pPr>
      <w:rPr>
        <w:rFonts w:hint="default" w:ascii="Times New Roman" w:hAnsi="Times New Roman" w:cs="Times New Roman"/>
      </w:rPr>
    </w:lvl>
  </w:abstractNum>
  <w:abstractNum w:abstractNumId="2">
    <w:nsid w:val="420C153B"/>
    <w:multiLevelType w:val="multilevel"/>
    <w:tmpl w:val="420C153B"/>
    <w:lvl w:ilvl="0" w:tentative="0">
      <w:start w:val="1"/>
      <w:numFmt w:val="decimal"/>
      <w:pStyle w:val="108"/>
      <w:lvlText w:val="%1."/>
      <w:lvlJc w:val="left"/>
      <w:pPr>
        <w:tabs>
          <w:tab w:val="left" w:pos="709"/>
        </w:tabs>
        <w:ind w:left="709" w:hanging="709"/>
      </w:pPr>
      <w:rPr>
        <w:rFonts w:cs="Times New Roman"/>
      </w:rPr>
    </w:lvl>
    <w:lvl w:ilvl="1" w:tentative="0">
      <w:start w:val="1"/>
      <w:numFmt w:val="decimal"/>
      <w:lvlText w:val="%1.%2"/>
      <w:lvlJc w:val="left"/>
      <w:pPr>
        <w:tabs>
          <w:tab w:val="left" w:pos="709"/>
        </w:tabs>
        <w:ind w:left="709" w:hanging="709"/>
      </w:pPr>
      <w:rPr>
        <w:rFonts w:cs="Times New Roman"/>
      </w:rPr>
    </w:lvl>
    <w:lvl w:ilvl="2" w:tentative="0">
      <w:start w:val="1"/>
      <w:numFmt w:val="decimal"/>
      <w:lvlText w:val="%1.%2.%3."/>
      <w:lvlJc w:val="left"/>
      <w:pPr>
        <w:tabs>
          <w:tab w:val="left" w:pos="425"/>
        </w:tabs>
        <w:ind w:left="425" w:hanging="425"/>
      </w:pPr>
      <w:rPr>
        <w:rFonts w:cs="Times New Roman"/>
      </w:rPr>
    </w:lvl>
    <w:lvl w:ilvl="3" w:tentative="0">
      <w:start w:val="1"/>
      <w:numFmt w:val="decimal"/>
      <w:lvlText w:val="%1.%2.%3.%4."/>
      <w:lvlJc w:val="left"/>
      <w:pPr>
        <w:tabs>
          <w:tab w:val="left" w:pos="851"/>
        </w:tabs>
        <w:ind w:left="851" w:hanging="851"/>
      </w:pPr>
      <w:rPr>
        <w:rFonts w:cs="Times New Roman"/>
      </w:rPr>
    </w:lvl>
    <w:lvl w:ilvl="4" w:tentative="0">
      <w:start w:val="1"/>
      <w:numFmt w:val="decimal"/>
      <w:lvlText w:val="%1.%2.%3.%4.%5."/>
      <w:lvlJc w:val="left"/>
      <w:pPr>
        <w:tabs>
          <w:tab w:val="left" w:pos="992"/>
        </w:tabs>
        <w:ind w:left="992" w:hanging="992"/>
      </w:pPr>
      <w:rPr>
        <w:rFonts w:cs="Times New Roman"/>
      </w:rPr>
    </w:lvl>
    <w:lvl w:ilvl="5" w:tentative="0">
      <w:start w:val="1"/>
      <w:numFmt w:val="decimal"/>
      <w:lvlText w:val="%1.%2.%3.%4.%5.%6."/>
      <w:lvlJc w:val="left"/>
      <w:pPr>
        <w:tabs>
          <w:tab w:val="left" w:pos="1134"/>
        </w:tabs>
        <w:ind w:left="1134" w:hanging="1134"/>
      </w:pPr>
      <w:rPr>
        <w:rFonts w:cs="Times New Roman"/>
      </w:rPr>
    </w:lvl>
    <w:lvl w:ilvl="6" w:tentative="0">
      <w:start w:val="1"/>
      <w:numFmt w:val="decimal"/>
      <w:lvlText w:val="%1.%2.%3.%4.%5.%6.%7."/>
      <w:lvlJc w:val="left"/>
      <w:pPr>
        <w:tabs>
          <w:tab w:val="left" w:pos="1276"/>
        </w:tabs>
        <w:ind w:left="1276" w:hanging="1276"/>
      </w:pPr>
      <w:rPr>
        <w:rFonts w:cs="Times New Roman"/>
      </w:rPr>
    </w:lvl>
    <w:lvl w:ilvl="7" w:tentative="0">
      <w:start w:val="1"/>
      <w:numFmt w:val="decimal"/>
      <w:lvlText w:val="%1.%2.%3.%4.%5.%6.%7.%8."/>
      <w:lvlJc w:val="left"/>
      <w:pPr>
        <w:tabs>
          <w:tab w:val="left" w:pos="1418"/>
        </w:tabs>
        <w:ind w:left="1418" w:hanging="1418"/>
      </w:pPr>
      <w:rPr>
        <w:rFonts w:cs="Times New Roman"/>
      </w:rPr>
    </w:lvl>
    <w:lvl w:ilvl="8" w:tentative="0">
      <w:start w:val="1"/>
      <w:numFmt w:val="decimal"/>
      <w:lvlText w:val="%1.%2.%3.%4.%5.%6.%7.%8.%9."/>
      <w:lvlJc w:val="left"/>
      <w:pPr>
        <w:tabs>
          <w:tab w:val="left" w:pos="1559"/>
        </w:tabs>
        <w:ind w:left="1559" w:hanging="1559"/>
      </w:pPr>
      <w:rPr>
        <w:rFonts w:cs="Times New Roman"/>
      </w:rPr>
    </w:lvl>
  </w:abstractNum>
  <w:abstractNum w:abstractNumId="3">
    <w:nsid w:val="56D2FB0D"/>
    <w:multiLevelType w:val="singleLevel"/>
    <w:tmpl w:val="56D2FB0D"/>
    <w:lvl w:ilvl="0" w:tentative="0">
      <w:start w:val="1"/>
      <w:numFmt w:val="decimal"/>
      <w:suff w:val="nothing"/>
      <w:lvlText w:val="（%1）"/>
      <w:lvlJc w:val="left"/>
    </w:lvl>
  </w:abstractNum>
  <w:abstractNum w:abstractNumId="4">
    <w:nsid w:val="56D30047"/>
    <w:multiLevelType w:val="singleLevel"/>
    <w:tmpl w:val="56D30047"/>
    <w:lvl w:ilvl="0" w:tentative="0">
      <w:start w:val="1"/>
      <w:numFmt w:val="decimal"/>
      <w:suff w:val="nothing"/>
      <w:lvlText w:val="（%1）"/>
      <w:lvlJc w:val="left"/>
    </w:lvl>
  </w:abstractNum>
  <w:abstractNum w:abstractNumId="5">
    <w:nsid w:val="56D305CA"/>
    <w:multiLevelType w:val="multilevel"/>
    <w:tmpl w:val="56D305CA"/>
    <w:lvl w:ilvl="0" w:tentative="0">
      <w:start w:val="3"/>
      <w:numFmt w:val="decimal"/>
      <w:suff w:val="nothing"/>
      <w:lvlText w:val="%1."/>
      <w:lvlJc w:val="left"/>
    </w:lvl>
    <w:lvl w:ilvl="1" w:tentative="0">
      <w:start w:val="6"/>
      <w:numFmt w:val="decimal"/>
      <w:isLgl/>
      <w:lvlText w:val="%1.%2"/>
      <w:lvlJc w:val="left"/>
      <w:pPr>
        <w:tabs>
          <w:tab w:val="left" w:pos="960"/>
        </w:tabs>
        <w:ind w:left="960" w:hanging="480"/>
      </w:pPr>
      <w:rPr>
        <w:rFonts w:hint="default"/>
      </w:rPr>
    </w:lvl>
    <w:lvl w:ilvl="2" w:tentative="0">
      <w:start w:val="1"/>
      <w:numFmt w:val="decimal"/>
      <w:isLgl/>
      <w:lvlText w:val="%1.%2.%3"/>
      <w:lvlJc w:val="left"/>
      <w:pPr>
        <w:tabs>
          <w:tab w:val="left" w:pos="1680"/>
        </w:tabs>
        <w:ind w:left="1680" w:hanging="720"/>
      </w:pPr>
      <w:rPr>
        <w:rFonts w:hint="default"/>
      </w:rPr>
    </w:lvl>
    <w:lvl w:ilvl="3" w:tentative="0">
      <w:start w:val="1"/>
      <w:numFmt w:val="decimal"/>
      <w:isLgl/>
      <w:lvlText w:val="%1.%2.%3.%4"/>
      <w:lvlJc w:val="left"/>
      <w:pPr>
        <w:tabs>
          <w:tab w:val="left" w:pos="2520"/>
        </w:tabs>
        <w:ind w:left="2520" w:hanging="1080"/>
      </w:pPr>
      <w:rPr>
        <w:rFonts w:hint="default"/>
      </w:rPr>
    </w:lvl>
    <w:lvl w:ilvl="4" w:tentative="0">
      <w:start w:val="1"/>
      <w:numFmt w:val="decimal"/>
      <w:isLgl/>
      <w:lvlText w:val="%1.%2.%3.%4.%5"/>
      <w:lvlJc w:val="left"/>
      <w:pPr>
        <w:tabs>
          <w:tab w:val="left" w:pos="3000"/>
        </w:tabs>
        <w:ind w:left="3000" w:hanging="1080"/>
      </w:pPr>
      <w:rPr>
        <w:rFonts w:hint="default"/>
      </w:rPr>
    </w:lvl>
    <w:lvl w:ilvl="5" w:tentative="0">
      <w:start w:val="1"/>
      <w:numFmt w:val="decimal"/>
      <w:isLgl/>
      <w:lvlText w:val="%1.%2.%3.%4.%5.%6"/>
      <w:lvlJc w:val="left"/>
      <w:pPr>
        <w:tabs>
          <w:tab w:val="left" w:pos="3840"/>
        </w:tabs>
        <w:ind w:left="3840" w:hanging="1440"/>
      </w:pPr>
      <w:rPr>
        <w:rFonts w:hint="default"/>
      </w:rPr>
    </w:lvl>
    <w:lvl w:ilvl="6" w:tentative="0">
      <w:start w:val="1"/>
      <w:numFmt w:val="decimal"/>
      <w:isLgl/>
      <w:lvlText w:val="%1.%2.%3.%4.%5.%6.%7"/>
      <w:lvlJc w:val="left"/>
      <w:pPr>
        <w:tabs>
          <w:tab w:val="left" w:pos="4680"/>
        </w:tabs>
        <w:ind w:left="4680" w:hanging="1800"/>
      </w:pPr>
      <w:rPr>
        <w:rFonts w:hint="default"/>
      </w:rPr>
    </w:lvl>
    <w:lvl w:ilvl="7" w:tentative="0">
      <w:start w:val="1"/>
      <w:numFmt w:val="decimal"/>
      <w:isLgl/>
      <w:lvlText w:val="%1.%2.%3.%4.%5.%6.%7.%8"/>
      <w:lvlJc w:val="left"/>
      <w:pPr>
        <w:tabs>
          <w:tab w:val="left" w:pos="5160"/>
        </w:tabs>
        <w:ind w:left="5160" w:hanging="1800"/>
      </w:pPr>
      <w:rPr>
        <w:rFonts w:hint="default"/>
      </w:rPr>
    </w:lvl>
    <w:lvl w:ilvl="8" w:tentative="0">
      <w:start w:val="1"/>
      <w:numFmt w:val="decimal"/>
      <w:isLgl/>
      <w:lvlText w:val="%1.%2.%3.%4.%5.%6.%7.%8.%9"/>
      <w:lvlJc w:val="left"/>
      <w:pPr>
        <w:tabs>
          <w:tab w:val="left" w:pos="6000"/>
        </w:tabs>
        <w:ind w:left="6000" w:hanging="2160"/>
      </w:pPr>
      <w:rPr>
        <w:rFonts w:hint="default"/>
      </w:rPr>
    </w:lvl>
  </w:abstractNum>
  <w:abstractNum w:abstractNumId="6">
    <w:nsid w:val="56D646B7"/>
    <w:multiLevelType w:val="singleLevel"/>
    <w:tmpl w:val="56D646B7"/>
    <w:lvl w:ilvl="0" w:tentative="0">
      <w:start w:val="1"/>
      <w:numFmt w:val="decimal"/>
      <w:suff w:val="nothing"/>
      <w:lvlText w:val="%1."/>
      <w:lvlJc w:val="left"/>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4"/>
  </w:num>
  <w:num w:numId="5">
    <w:abstractNumId w:val="5"/>
  </w:num>
  <w:num w:numId="6">
    <w:abstractNumId w:val="1"/>
    <w:lvlOverride w:ilvl="0">
      <w:startOverride w:val="1"/>
    </w:lvlOverride>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drawingGridHorizontalSpacing w:val="140"/>
  <w:drawingGridVerticalSpacing w:val="38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I1MGFkOTliMWMxZjRlNmI3ODIxY2E1NGNhODc3MGUifQ=="/>
  </w:docVars>
  <w:rsids>
    <w:rsidRoot w:val="000072BF"/>
    <w:rsid w:val="00001127"/>
    <w:rsid w:val="0000140E"/>
    <w:rsid w:val="0000491E"/>
    <w:rsid w:val="000063F6"/>
    <w:rsid w:val="00006C05"/>
    <w:rsid w:val="000072BF"/>
    <w:rsid w:val="00007959"/>
    <w:rsid w:val="00007BAB"/>
    <w:rsid w:val="000108CA"/>
    <w:rsid w:val="00010A6A"/>
    <w:rsid w:val="00010E48"/>
    <w:rsid w:val="00012E9F"/>
    <w:rsid w:val="000132CE"/>
    <w:rsid w:val="00014BD0"/>
    <w:rsid w:val="000178B6"/>
    <w:rsid w:val="00021827"/>
    <w:rsid w:val="0002392D"/>
    <w:rsid w:val="00023D48"/>
    <w:rsid w:val="00025687"/>
    <w:rsid w:val="00025E2E"/>
    <w:rsid w:val="000264A7"/>
    <w:rsid w:val="000304D7"/>
    <w:rsid w:val="00031568"/>
    <w:rsid w:val="000337C6"/>
    <w:rsid w:val="00033B3B"/>
    <w:rsid w:val="00034A0D"/>
    <w:rsid w:val="000355BB"/>
    <w:rsid w:val="00035D6A"/>
    <w:rsid w:val="000417A3"/>
    <w:rsid w:val="00044436"/>
    <w:rsid w:val="00045C6A"/>
    <w:rsid w:val="0005004D"/>
    <w:rsid w:val="00050FA7"/>
    <w:rsid w:val="00053551"/>
    <w:rsid w:val="00054597"/>
    <w:rsid w:val="00054954"/>
    <w:rsid w:val="00055B04"/>
    <w:rsid w:val="0005730F"/>
    <w:rsid w:val="00057B3B"/>
    <w:rsid w:val="000612C0"/>
    <w:rsid w:val="000612CE"/>
    <w:rsid w:val="00062522"/>
    <w:rsid w:val="00063527"/>
    <w:rsid w:val="00070A81"/>
    <w:rsid w:val="00070FC3"/>
    <w:rsid w:val="0007110C"/>
    <w:rsid w:val="00073D15"/>
    <w:rsid w:val="000754EF"/>
    <w:rsid w:val="00075D7F"/>
    <w:rsid w:val="00082982"/>
    <w:rsid w:val="00082A4A"/>
    <w:rsid w:val="0008381A"/>
    <w:rsid w:val="00083A5E"/>
    <w:rsid w:val="000916CA"/>
    <w:rsid w:val="00093CD1"/>
    <w:rsid w:val="00095825"/>
    <w:rsid w:val="00097240"/>
    <w:rsid w:val="00097C6E"/>
    <w:rsid w:val="000A106B"/>
    <w:rsid w:val="000A2152"/>
    <w:rsid w:val="000A27F2"/>
    <w:rsid w:val="000A3B31"/>
    <w:rsid w:val="000A61E5"/>
    <w:rsid w:val="000A703A"/>
    <w:rsid w:val="000B08E6"/>
    <w:rsid w:val="000B1D24"/>
    <w:rsid w:val="000B2252"/>
    <w:rsid w:val="000B286C"/>
    <w:rsid w:val="000B3159"/>
    <w:rsid w:val="000B32A4"/>
    <w:rsid w:val="000B3F0E"/>
    <w:rsid w:val="000B60DA"/>
    <w:rsid w:val="000B6467"/>
    <w:rsid w:val="000B7392"/>
    <w:rsid w:val="000B73B6"/>
    <w:rsid w:val="000C2B6E"/>
    <w:rsid w:val="000C2CF7"/>
    <w:rsid w:val="000C3267"/>
    <w:rsid w:val="000C5204"/>
    <w:rsid w:val="000C5381"/>
    <w:rsid w:val="000C5D04"/>
    <w:rsid w:val="000C6BB8"/>
    <w:rsid w:val="000C7242"/>
    <w:rsid w:val="000C7F29"/>
    <w:rsid w:val="000D3EA9"/>
    <w:rsid w:val="000D46A5"/>
    <w:rsid w:val="000E0188"/>
    <w:rsid w:val="000E03DF"/>
    <w:rsid w:val="000E0B77"/>
    <w:rsid w:val="000E1772"/>
    <w:rsid w:val="000E3B59"/>
    <w:rsid w:val="000E4051"/>
    <w:rsid w:val="000E41E4"/>
    <w:rsid w:val="000E481A"/>
    <w:rsid w:val="000E5FBF"/>
    <w:rsid w:val="000E6CAB"/>
    <w:rsid w:val="000F006A"/>
    <w:rsid w:val="000F0BDB"/>
    <w:rsid w:val="000F0D8F"/>
    <w:rsid w:val="000F4B1D"/>
    <w:rsid w:val="000F5C17"/>
    <w:rsid w:val="000F6442"/>
    <w:rsid w:val="000F69EA"/>
    <w:rsid w:val="0010007E"/>
    <w:rsid w:val="001007F8"/>
    <w:rsid w:val="00100DE1"/>
    <w:rsid w:val="001044EB"/>
    <w:rsid w:val="00105800"/>
    <w:rsid w:val="00106750"/>
    <w:rsid w:val="00106AAE"/>
    <w:rsid w:val="00107707"/>
    <w:rsid w:val="00112C18"/>
    <w:rsid w:val="00114DE4"/>
    <w:rsid w:val="00115238"/>
    <w:rsid w:val="001171E4"/>
    <w:rsid w:val="00120F90"/>
    <w:rsid w:val="00123CD5"/>
    <w:rsid w:val="001249B1"/>
    <w:rsid w:val="00125377"/>
    <w:rsid w:val="00126355"/>
    <w:rsid w:val="00126CD1"/>
    <w:rsid w:val="00126E4D"/>
    <w:rsid w:val="00130492"/>
    <w:rsid w:val="00131366"/>
    <w:rsid w:val="00131C5D"/>
    <w:rsid w:val="00132E2A"/>
    <w:rsid w:val="00133B62"/>
    <w:rsid w:val="00134FF5"/>
    <w:rsid w:val="0013568F"/>
    <w:rsid w:val="001358AD"/>
    <w:rsid w:val="00135D79"/>
    <w:rsid w:val="00136243"/>
    <w:rsid w:val="00136CE9"/>
    <w:rsid w:val="00136ED3"/>
    <w:rsid w:val="00140B4B"/>
    <w:rsid w:val="00141C1C"/>
    <w:rsid w:val="0014251C"/>
    <w:rsid w:val="00142F45"/>
    <w:rsid w:val="0014366B"/>
    <w:rsid w:val="00145674"/>
    <w:rsid w:val="0014669F"/>
    <w:rsid w:val="001524A1"/>
    <w:rsid w:val="00155754"/>
    <w:rsid w:val="001561A6"/>
    <w:rsid w:val="00157289"/>
    <w:rsid w:val="00160087"/>
    <w:rsid w:val="00160AA7"/>
    <w:rsid w:val="00160DAD"/>
    <w:rsid w:val="00165737"/>
    <w:rsid w:val="00165D60"/>
    <w:rsid w:val="001672EA"/>
    <w:rsid w:val="00167432"/>
    <w:rsid w:val="00167802"/>
    <w:rsid w:val="00170A1C"/>
    <w:rsid w:val="001711B7"/>
    <w:rsid w:val="00171356"/>
    <w:rsid w:val="001719D9"/>
    <w:rsid w:val="00171E4C"/>
    <w:rsid w:val="00176091"/>
    <w:rsid w:val="0017630E"/>
    <w:rsid w:val="00177769"/>
    <w:rsid w:val="00181415"/>
    <w:rsid w:val="001836A5"/>
    <w:rsid w:val="00183DC3"/>
    <w:rsid w:val="00190824"/>
    <w:rsid w:val="00192D71"/>
    <w:rsid w:val="001949A5"/>
    <w:rsid w:val="00194F3B"/>
    <w:rsid w:val="0019656F"/>
    <w:rsid w:val="001A1108"/>
    <w:rsid w:val="001A1886"/>
    <w:rsid w:val="001A1D37"/>
    <w:rsid w:val="001A35E8"/>
    <w:rsid w:val="001A439D"/>
    <w:rsid w:val="001A457F"/>
    <w:rsid w:val="001A5106"/>
    <w:rsid w:val="001A5450"/>
    <w:rsid w:val="001A59CA"/>
    <w:rsid w:val="001A64C4"/>
    <w:rsid w:val="001A7B06"/>
    <w:rsid w:val="001B0769"/>
    <w:rsid w:val="001B1C5B"/>
    <w:rsid w:val="001B2E10"/>
    <w:rsid w:val="001B422C"/>
    <w:rsid w:val="001B5D38"/>
    <w:rsid w:val="001B7164"/>
    <w:rsid w:val="001C005D"/>
    <w:rsid w:val="001C27F1"/>
    <w:rsid w:val="001C2ADE"/>
    <w:rsid w:val="001C36A0"/>
    <w:rsid w:val="001D0109"/>
    <w:rsid w:val="001D064C"/>
    <w:rsid w:val="001D1F44"/>
    <w:rsid w:val="001D6211"/>
    <w:rsid w:val="001D6FB7"/>
    <w:rsid w:val="001E0E24"/>
    <w:rsid w:val="001E2731"/>
    <w:rsid w:val="001E41F3"/>
    <w:rsid w:val="001E58B5"/>
    <w:rsid w:val="001E69A7"/>
    <w:rsid w:val="001F092C"/>
    <w:rsid w:val="001F0B7C"/>
    <w:rsid w:val="001F0F21"/>
    <w:rsid w:val="001F1EFC"/>
    <w:rsid w:val="001F2471"/>
    <w:rsid w:val="001F4EAB"/>
    <w:rsid w:val="001F4F87"/>
    <w:rsid w:val="001F5D6F"/>
    <w:rsid w:val="001F608B"/>
    <w:rsid w:val="001F64EA"/>
    <w:rsid w:val="001F66FF"/>
    <w:rsid w:val="001F6B1D"/>
    <w:rsid w:val="001F78AD"/>
    <w:rsid w:val="001F7E16"/>
    <w:rsid w:val="002054F3"/>
    <w:rsid w:val="00206157"/>
    <w:rsid w:val="002065B7"/>
    <w:rsid w:val="00207F5C"/>
    <w:rsid w:val="002101B2"/>
    <w:rsid w:val="00211DB2"/>
    <w:rsid w:val="00213C2A"/>
    <w:rsid w:val="00215413"/>
    <w:rsid w:val="00215AA4"/>
    <w:rsid w:val="0021707F"/>
    <w:rsid w:val="00217372"/>
    <w:rsid w:val="00220EF0"/>
    <w:rsid w:val="0022250B"/>
    <w:rsid w:val="002232F2"/>
    <w:rsid w:val="00225AB7"/>
    <w:rsid w:val="0023214D"/>
    <w:rsid w:val="00233A72"/>
    <w:rsid w:val="002377C8"/>
    <w:rsid w:val="00237FC0"/>
    <w:rsid w:val="00241A85"/>
    <w:rsid w:val="002429B1"/>
    <w:rsid w:val="002445AD"/>
    <w:rsid w:val="00245A16"/>
    <w:rsid w:val="00247EC2"/>
    <w:rsid w:val="0025073D"/>
    <w:rsid w:val="00250F98"/>
    <w:rsid w:val="002510EF"/>
    <w:rsid w:val="002519E5"/>
    <w:rsid w:val="002542E7"/>
    <w:rsid w:val="00254751"/>
    <w:rsid w:val="00256228"/>
    <w:rsid w:val="002569C2"/>
    <w:rsid w:val="00257093"/>
    <w:rsid w:val="002611FB"/>
    <w:rsid w:val="002630BB"/>
    <w:rsid w:val="00265867"/>
    <w:rsid w:val="002677BC"/>
    <w:rsid w:val="00270446"/>
    <w:rsid w:val="00273041"/>
    <w:rsid w:val="00276294"/>
    <w:rsid w:val="002766FF"/>
    <w:rsid w:val="00276EBF"/>
    <w:rsid w:val="00280AA0"/>
    <w:rsid w:val="002823BA"/>
    <w:rsid w:val="00283F9A"/>
    <w:rsid w:val="00284370"/>
    <w:rsid w:val="00291C77"/>
    <w:rsid w:val="00293852"/>
    <w:rsid w:val="002940EE"/>
    <w:rsid w:val="002956B0"/>
    <w:rsid w:val="00295D08"/>
    <w:rsid w:val="0029630E"/>
    <w:rsid w:val="00296F5C"/>
    <w:rsid w:val="00297D25"/>
    <w:rsid w:val="002A0610"/>
    <w:rsid w:val="002A0F77"/>
    <w:rsid w:val="002A1294"/>
    <w:rsid w:val="002A14AE"/>
    <w:rsid w:val="002A177F"/>
    <w:rsid w:val="002A20BB"/>
    <w:rsid w:val="002A4546"/>
    <w:rsid w:val="002A5BF6"/>
    <w:rsid w:val="002A64BF"/>
    <w:rsid w:val="002A755A"/>
    <w:rsid w:val="002B0263"/>
    <w:rsid w:val="002B1EB1"/>
    <w:rsid w:val="002B333D"/>
    <w:rsid w:val="002B48FB"/>
    <w:rsid w:val="002B4F52"/>
    <w:rsid w:val="002B52ED"/>
    <w:rsid w:val="002B59DA"/>
    <w:rsid w:val="002B5B8C"/>
    <w:rsid w:val="002B65AA"/>
    <w:rsid w:val="002B7653"/>
    <w:rsid w:val="002C0437"/>
    <w:rsid w:val="002C14BB"/>
    <w:rsid w:val="002C220C"/>
    <w:rsid w:val="002C326B"/>
    <w:rsid w:val="002C377B"/>
    <w:rsid w:val="002C3B73"/>
    <w:rsid w:val="002C7D92"/>
    <w:rsid w:val="002C7F07"/>
    <w:rsid w:val="002D1019"/>
    <w:rsid w:val="002D1DF8"/>
    <w:rsid w:val="002D2911"/>
    <w:rsid w:val="002D39F0"/>
    <w:rsid w:val="002D6985"/>
    <w:rsid w:val="002E2B88"/>
    <w:rsid w:val="002E3574"/>
    <w:rsid w:val="002E3C12"/>
    <w:rsid w:val="002E6A21"/>
    <w:rsid w:val="002E6C1E"/>
    <w:rsid w:val="002E7306"/>
    <w:rsid w:val="002F00E5"/>
    <w:rsid w:val="002F0801"/>
    <w:rsid w:val="002F216D"/>
    <w:rsid w:val="002F640D"/>
    <w:rsid w:val="002F716B"/>
    <w:rsid w:val="002F736B"/>
    <w:rsid w:val="00300C5F"/>
    <w:rsid w:val="00303FAA"/>
    <w:rsid w:val="003056A3"/>
    <w:rsid w:val="00305CE7"/>
    <w:rsid w:val="0030697E"/>
    <w:rsid w:val="00307D03"/>
    <w:rsid w:val="00311915"/>
    <w:rsid w:val="00315566"/>
    <w:rsid w:val="00315F5C"/>
    <w:rsid w:val="00316072"/>
    <w:rsid w:val="0031646B"/>
    <w:rsid w:val="00320D74"/>
    <w:rsid w:val="00320F92"/>
    <w:rsid w:val="0032275F"/>
    <w:rsid w:val="00323B78"/>
    <w:rsid w:val="00325103"/>
    <w:rsid w:val="00326AB0"/>
    <w:rsid w:val="00331A0B"/>
    <w:rsid w:val="00332D9E"/>
    <w:rsid w:val="003331EB"/>
    <w:rsid w:val="0033347D"/>
    <w:rsid w:val="0033470D"/>
    <w:rsid w:val="00336354"/>
    <w:rsid w:val="0033682F"/>
    <w:rsid w:val="003414BC"/>
    <w:rsid w:val="0034286A"/>
    <w:rsid w:val="00344072"/>
    <w:rsid w:val="00344FA2"/>
    <w:rsid w:val="00347575"/>
    <w:rsid w:val="00350CD7"/>
    <w:rsid w:val="0035154A"/>
    <w:rsid w:val="0035212C"/>
    <w:rsid w:val="0035312C"/>
    <w:rsid w:val="003531F6"/>
    <w:rsid w:val="0035327C"/>
    <w:rsid w:val="0035388F"/>
    <w:rsid w:val="00354256"/>
    <w:rsid w:val="00362D91"/>
    <w:rsid w:val="00362E1F"/>
    <w:rsid w:val="00363018"/>
    <w:rsid w:val="003631C0"/>
    <w:rsid w:val="00366941"/>
    <w:rsid w:val="00366B94"/>
    <w:rsid w:val="00373211"/>
    <w:rsid w:val="0037368C"/>
    <w:rsid w:val="00375686"/>
    <w:rsid w:val="00377E16"/>
    <w:rsid w:val="00380D6F"/>
    <w:rsid w:val="00382640"/>
    <w:rsid w:val="00383878"/>
    <w:rsid w:val="003849A4"/>
    <w:rsid w:val="00385FA1"/>
    <w:rsid w:val="00386F64"/>
    <w:rsid w:val="00390243"/>
    <w:rsid w:val="0039208D"/>
    <w:rsid w:val="00392B7E"/>
    <w:rsid w:val="003936BF"/>
    <w:rsid w:val="00394588"/>
    <w:rsid w:val="0039497E"/>
    <w:rsid w:val="003A01A8"/>
    <w:rsid w:val="003A12B7"/>
    <w:rsid w:val="003A3A0A"/>
    <w:rsid w:val="003A3B73"/>
    <w:rsid w:val="003A442B"/>
    <w:rsid w:val="003A4DB8"/>
    <w:rsid w:val="003A4E43"/>
    <w:rsid w:val="003B0433"/>
    <w:rsid w:val="003B1AFE"/>
    <w:rsid w:val="003B1FF7"/>
    <w:rsid w:val="003B2C6E"/>
    <w:rsid w:val="003B2F4A"/>
    <w:rsid w:val="003B3FCF"/>
    <w:rsid w:val="003B4357"/>
    <w:rsid w:val="003B6E32"/>
    <w:rsid w:val="003B70EE"/>
    <w:rsid w:val="003B7F41"/>
    <w:rsid w:val="003B7F6A"/>
    <w:rsid w:val="003C017F"/>
    <w:rsid w:val="003C2790"/>
    <w:rsid w:val="003C7974"/>
    <w:rsid w:val="003D05B3"/>
    <w:rsid w:val="003D1370"/>
    <w:rsid w:val="003D2362"/>
    <w:rsid w:val="003D24A0"/>
    <w:rsid w:val="003D2A5D"/>
    <w:rsid w:val="003D2F1B"/>
    <w:rsid w:val="003D2F58"/>
    <w:rsid w:val="003D4CE7"/>
    <w:rsid w:val="003D7253"/>
    <w:rsid w:val="003E05EC"/>
    <w:rsid w:val="003E0D9D"/>
    <w:rsid w:val="003E0E83"/>
    <w:rsid w:val="003E15F5"/>
    <w:rsid w:val="003E1A93"/>
    <w:rsid w:val="003E23B6"/>
    <w:rsid w:val="003E3741"/>
    <w:rsid w:val="003E5069"/>
    <w:rsid w:val="003E51A5"/>
    <w:rsid w:val="003E5ADC"/>
    <w:rsid w:val="003E68AA"/>
    <w:rsid w:val="003F0F2F"/>
    <w:rsid w:val="003F1DE2"/>
    <w:rsid w:val="003F218A"/>
    <w:rsid w:val="003F27B7"/>
    <w:rsid w:val="003F3CC3"/>
    <w:rsid w:val="003F4A5E"/>
    <w:rsid w:val="003F5438"/>
    <w:rsid w:val="003F6199"/>
    <w:rsid w:val="004014B8"/>
    <w:rsid w:val="004016E2"/>
    <w:rsid w:val="00401959"/>
    <w:rsid w:val="00403617"/>
    <w:rsid w:val="00403B5E"/>
    <w:rsid w:val="004075AD"/>
    <w:rsid w:val="00411129"/>
    <w:rsid w:val="00411377"/>
    <w:rsid w:val="004149C2"/>
    <w:rsid w:val="00414D43"/>
    <w:rsid w:val="0041526C"/>
    <w:rsid w:val="00416564"/>
    <w:rsid w:val="00417A14"/>
    <w:rsid w:val="00417F6A"/>
    <w:rsid w:val="00420498"/>
    <w:rsid w:val="0042450D"/>
    <w:rsid w:val="00426BD2"/>
    <w:rsid w:val="00427E35"/>
    <w:rsid w:val="004317AC"/>
    <w:rsid w:val="004331C8"/>
    <w:rsid w:val="00433C2B"/>
    <w:rsid w:val="004368FD"/>
    <w:rsid w:val="00436CAF"/>
    <w:rsid w:val="0043719E"/>
    <w:rsid w:val="00437F53"/>
    <w:rsid w:val="0044129A"/>
    <w:rsid w:val="004417F8"/>
    <w:rsid w:val="004421A7"/>
    <w:rsid w:val="00443541"/>
    <w:rsid w:val="0044396C"/>
    <w:rsid w:val="004453A5"/>
    <w:rsid w:val="00445868"/>
    <w:rsid w:val="00450153"/>
    <w:rsid w:val="004516C6"/>
    <w:rsid w:val="00452A03"/>
    <w:rsid w:val="0045341B"/>
    <w:rsid w:val="00455399"/>
    <w:rsid w:val="0045714E"/>
    <w:rsid w:val="004579D2"/>
    <w:rsid w:val="00457AB1"/>
    <w:rsid w:val="004606A9"/>
    <w:rsid w:val="0046081C"/>
    <w:rsid w:val="00460FEE"/>
    <w:rsid w:val="00461A0A"/>
    <w:rsid w:val="0046202A"/>
    <w:rsid w:val="00463C6C"/>
    <w:rsid w:val="004653A2"/>
    <w:rsid w:val="00466422"/>
    <w:rsid w:val="0046687B"/>
    <w:rsid w:val="004700DD"/>
    <w:rsid w:val="00472D43"/>
    <w:rsid w:val="00472E00"/>
    <w:rsid w:val="00473112"/>
    <w:rsid w:val="00473829"/>
    <w:rsid w:val="00474640"/>
    <w:rsid w:val="004767A9"/>
    <w:rsid w:val="00477492"/>
    <w:rsid w:val="004779AB"/>
    <w:rsid w:val="004801B8"/>
    <w:rsid w:val="00480B36"/>
    <w:rsid w:val="00483F09"/>
    <w:rsid w:val="00484CAF"/>
    <w:rsid w:val="0048651E"/>
    <w:rsid w:val="00486836"/>
    <w:rsid w:val="00487813"/>
    <w:rsid w:val="0049002D"/>
    <w:rsid w:val="004901AF"/>
    <w:rsid w:val="004921FF"/>
    <w:rsid w:val="004934E5"/>
    <w:rsid w:val="00493AEF"/>
    <w:rsid w:val="00494F2B"/>
    <w:rsid w:val="00495619"/>
    <w:rsid w:val="0049564F"/>
    <w:rsid w:val="00496027"/>
    <w:rsid w:val="00496BFB"/>
    <w:rsid w:val="00497804"/>
    <w:rsid w:val="00497DB7"/>
    <w:rsid w:val="004A1609"/>
    <w:rsid w:val="004A1790"/>
    <w:rsid w:val="004A28AA"/>
    <w:rsid w:val="004A692C"/>
    <w:rsid w:val="004B0BA6"/>
    <w:rsid w:val="004B44D6"/>
    <w:rsid w:val="004C0C38"/>
    <w:rsid w:val="004C25FA"/>
    <w:rsid w:val="004C3845"/>
    <w:rsid w:val="004C3F70"/>
    <w:rsid w:val="004C4358"/>
    <w:rsid w:val="004C48FA"/>
    <w:rsid w:val="004C4931"/>
    <w:rsid w:val="004D190F"/>
    <w:rsid w:val="004D230D"/>
    <w:rsid w:val="004D311D"/>
    <w:rsid w:val="004D40F9"/>
    <w:rsid w:val="004D4D71"/>
    <w:rsid w:val="004D5777"/>
    <w:rsid w:val="004D5BAA"/>
    <w:rsid w:val="004D64FB"/>
    <w:rsid w:val="004D6917"/>
    <w:rsid w:val="004E02BD"/>
    <w:rsid w:val="004E092C"/>
    <w:rsid w:val="004E1638"/>
    <w:rsid w:val="004E2869"/>
    <w:rsid w:val="004E3BBA"/>
    <w:rsid w:val="004E4D1F"/>
    <w:rsid w:val="004E6318"/>
    <w:rsid w:val="004E77AA"/>
    <w:rsid w:val="004F3608"/>
    <w:rsid w:val="004F3807"/>
    <w:rsid w:val="004F5645"/>
    <w:rsid w:val="004F618D"/>
    <w:rsid w:val="004F759E"/>
    <w:rsid w:val="00501719"/>
    <w:rsid w:val="00502132"/>
    <w:rsid w:val="005031AB"/>
    <w:rsid w:val="005047C8"/>
    <w:rsid w:val="00505472"/>
    <w:rsid w:val="00505F3D"/>
    <w:rsid w:val="0050647C"/>
    <w:rsid w:val="00507695"/>
    <w:rsid w:val="00507ED9"/>
    <w:rsid w:val="00511113"/>
    <w:rsid w:val="00511E44"/>
    <w:rsid w:val="005130F1"/>
    <w:rsid w:val="00514A57"/>
    <w:rsid w:val="00516185"/>
    <w:rsid w:val="00517E89"/>
    <w:rsid w:val="00520B17"/>
    <w:rsid w:val="00521AE1"/>
    <w:rsid w:val="00525ACE"/>
    <w:rsid w:val="00526A2A"/>
    <w:rsid w:val="00527083"/>
    <w:rsid w:val="00527AAD"/>
    <w:rsid w:val="005316F1"/>
    <w:rsid w:val="00532BC5"/>
    <w:rsid w:val="00536205"/>
    <w:rsid w:val="00536A42"/>
    <w:rsid w:val="00537341"/>
    <w:rsid w:val="0053744D"/>
    <w:rsid w:val="00537A05"/>
    <w:rsid w:val="00540CAE"/>
    <w:rsid w:val="005410E2"/>
    <w:rsid w:val="00541752"/>
    <w:rsid w:val="00545593"/>
    <w:rsid w:val="00547C77"/>
    <w:rsid w:val="00551A5C"/>
    <w:rsid w:val="005520AC"/>
    <w:rsid w:val="00552ABF"/>
    <w:rsid w:val="005569B1"/>
    <w:rsid w:val="0055781A"/>
    <w:rsid w:val="0056027C"/>
    <w:rsid w:val="00561B19"/>
    <w:rsid w:val="00562C78"/>
    <w:rsid w:val="00563353"/>
    <w:rsid w:val="0056358A"/>
    <w:rsid w:val="005641B5"/>
    <w:rsid w:val="00564EF1"/>
    <w:rsid w:val="00565530"/>
    <w:rsid w:val="00566E19"/>
    <w:rsid w:val="00571C02"/>
    <w:rsid w:val="005761DF"/>
    <w:rsid w:val="005778ED"/>
    <w:rsid w:val="00577DBD"/>
    <w:rsid w:val="00581899"/>
    <w:rsid w:val="00581C7A"/>
    <w:rsid w:val="00581CDB"/>
    <w:rsid w:val="00582E91"/>
    <w:rsid w:val="00583616"/>
    <w:rsid w:val="005867D7"/>
    <w:rsid w:val="0058705A"/>
    <w:rsid w:val="005871D4"/>
    <w:rsid w:val="00587A66"/>
    <w:rsid w:val="005909B2"/>
    <w:rsid w:val="00590B4B"/>
    <w:rsid w:val="00590E8F"/>
    <w:rsid w:val="00590ED1"/>
    <w:rsid w:val="005914BE"/>
    <w:rsid w:val="005922AF"/>
    <w:rsid w:val="0059385C"/>
    <w:rsid w:val="0059455C"/>
    <w:rsid w:val="0059488C"/>
    <w:rsid w:val="00594E9B"/>
    <w:rsid w:val="00596081"/>
    <w:rsid w:val="005A0DE5"/>
    <w:rsid w:val="005A3A74"/>
    <w:rsid w:val="005A3C3A"/>
    <w:rsid w:val="005A59BE"/>
    <w:rsid w:val="005A6B79"/>
    <w:rsid w:val="005B0316"/>
    <w:rsid w:val="005B0432"/>
    <w:rsid w:val="005B2049"/>
    <w:rsid w:val="005B489C"/>
    <w:rsid w:val="005B4AE1"/>
    <w:rsid w:val="005B5BE9"/>
    <w:rsid w:val="005B6670"/>
    <w:rsid w:val="005B6793"/>
    <w:rsid w:val="005B6923"/>
    <w:rsid w:val="005B7867"/>
    <w:rsid w:val="005B7D32"/>
    <w:rsid w:val="005C6B03"/>
    <w:rsid w:val="005D290D"/>
    <w:rsid w:val="005D7857"/>
    <w:rsid w:val="005D7BD2"/>
    <w:rsid w:val="005E02C1"/>
    <w:rsid w:val="005E4186"/>
    <w:rsid w:val="005E6FB8"/>
    <w:rsid w:val="005E792C"/>
    <w:rsid w:val="005F01E4"/>
    <w:rsid w:val="005F3030"/>
    <w:rsid w:val="005F3710"/>
    <w:rsid w:val="005F38B6"/>
    <w:rsid w:val="005F44C5"/>
    <w:rsid w:val="005F59CD"/>
    <w:rsid w:val="005F634C"/>
    <w:rsid w:val="00604A55"/>
    <w:rsid w:val="00604F2B"/>
    <w:rsid w:val="00610DA6"/>
    <w:rsid w:val="00616AD7"/>
    <w:rsid w:val="00616FA7"/>
    <w:rsid w:val="00617288"/>
    <w:rsid w:val="00617E7A"/>
    <w:rsid w:val="00622B18"/>
    <w:rsid w:val="006236F7"/>
    <w:rsid w:val="00623DA3"/>
    <w:rsid w:val="00624E91"/>
    <w:rsid w:val="006273A5"/>
    <w:rsid w:val="006274DA"/>
    <w:rsid w:val="00630184"/>
    <w:rsid w:val="006308BF"/>
    <w:rsid w:val="00630D6B"/>
    <w:rsid w:val="00637140"/>
    <w:rsid w:val="006377B9"/>
    <w:rsid w:val="00641783"/>
    <w:rsid w:val="00643E73"/>
    <w:rsid w:val="00645392"/>
    <w:rsid w:val="00645F4B"/>
    <w:rsid w:val="006465AF"/>
    <w:rsid w:val="00646601"/>
    <w:rsid w:val="00646A9E"/>
    <w:rsid w:val="00650628"/>
    <w:rsid w:val="00653A94"/>
    <w:rsid w:val="006542E6"/>
    <w:rsid w:val="00654FA4"/>
    <w:rsid w:val="006554D4"/>
    <w:rsid w:val="00655657"/>
    <w:rsid w:val="00655A4A"/>
    <w:rsid w:val="0065600F"/>
    <w:rsid w:val="006562EF"/>
    <w:rsid w:val="0065640D"/>
    <w:rsid w:val="00656A3F"/>
    <w:rsid w:val="00657B08"/>
    <w:rsid w:val="00657CE6"/>
    <w:rsid w:val="00657DF7"/>
    <w:rsid w:val="00660778"/>
    <w:rsid w:val="00660EFB"/>
    <w:rsid w:val="0066149E"/>
    <w:rsid w:val="006621DB"/>
    <w:rsid w:val="00662664"/>
    <w:rsid w:val="00662F9B"/>
    <w:rsid w:val="00663DDA"/>
    <w:rsid w:val="00664FE9"/>
    <w:rsid w:val="00666772"/>
    <w:rsid w:val="0066730F"/>
    <w:rsid w:val="00673486"/>
    <w:rsid w:val="00673AA5"/>
    <w:rsid w:val="00674503"/>
    <w:rsid w:val="0067659B"/>
    <w:rsid w:val="006776FE"/>
    <w:rsid w:val="0068036B"/>
    <w:rsid w:val="00683505"/>
    <w:rsid w:val="00684D7A"/>
    <w:rsid w:val="00686A39"/>
    <w:rsid w:val="00690851"/>
    <w:rsid w:val="006916EA"/>
    <w:rsid w:val="0069224D"/>
    <w:rsid w:val="006A01E4"/>
    <w:rsid w:val="006A0486"/>
    <w:rsid w:val="006A06F5"/>
    <w:rsid w:val="006A1061"/>
    <w:rsid w:val="006A1087"/>
    <w:rsid w:val="006A12D3"/>
    <w:rsid w:val="006A25E3"/>
    <w:rsid w:val="006A2AC8"/>
    <w:rsid w:val="006A4831"/>
    <w:rsid w:val="006A5B22"/>
    <w:rsid w:val="006A5FC8"/>
    <w:rsid w:val="006A775D"/>
    <w:rsid w:val="006B1BD1"/>
    <w:rsid w:val="006B2D97"/>
    <w:rsid w:val="006B3EBC"/>
    <w:rsid w:val="006B4595"/>
    <w:rsid w:val="006B4871"/>
    <w:rsid w:val="006B578D"/>
    <w:rsid w:val="006B6052"/>
    <w:rsid w:val="006C0B36"/>
    <w:rsid w:val="006C1FC0"/>
    <w:rsid w:val="006C24C5"/>
    <w:rsid w:val="006C294B"/>
    <w:rsid w:val="006C5A82"/>
    <w:rsid w:val="006C5CC1"/>
    <w:rsid w:val="006D115E"/>
    <w:rsid w:val="006D17AF"/>
    <w:rsid w:val="006D1F2F"/>
    <w:rsid w:val="006D28A3"/>
    <w:rsid w:val="006D3062"/>
    <w:rsid w:val="006D307B"/>
    <w:rsid w:val="006D41ED"/>
    <w:rsid w:val="006D53BA"/>
    <w:rsid w:val="006D5923"/>
    <w:rsid w:val="006D653B"/>
    <w:rsid w:val="006D7F34"/>
    <w:rsid w:val="006E0039"/>
    <w:rsid w:val="006E4123"/>
    <w:rsid w:val="006E549A"/>
    <w:rsid w:val="006E5949"/>
    <w:rsid w:val="006F07C9"/>
    <w:rsid w:val="006F0A49"/>
    <w:rsid w:val="006F21AB"/>
    <w:rsid w:val="006F3360"/>
    <w:rsid w:val="006F3588"/>
    <w:rsid w:val="006F5DC1"/>
    <w:rsid w:val="00700EDB"/>
    <w:rsid w:val="00700FE7"/>
    <w:rsid w:val="007013DA"/>
    <w:rsid w:val="0070165B"/>
    <w:rsid w:val="0070184C"/>
    <w:rsid w:val="00701B27"/>
    <w:rsid w:val="0070242E"/>
    <w:rsid w:val="0070356A"/>
    <w:rsid w:val="00703E78"/>
    <w:rsid w:val="00706712"/>
    <w:rsid w:val="007070B4"/>
    <w:rsid w:val="007076C6"/>
    <w:rsid w:val="00707C3F"/>
    <w:rsid w:val="00710BF5"/>
    <w:rsid w:val="00712E8B"/>
    <w:rsid w:val="00714B2D"/>
    <w:rsid w:val="00717CD1"/>
    <w:rsid w:val="00723E0D"/>
    <w:rsid w:val="007247EB"/>
    <w:rsid w:val="00730CE8"/>
    <w:rsid w:val="00736AFE"/>
    <w:rsid w:val="00736F99"/>
    <w:rsid w:val="00737208"/>
    <w:rsid w:val="00742D6F"/>
    <w:rsid w:val="00744705"/>
    <w:rsid w:val="00744E19"/>
    <w:rsid w:val="007459BD"/>
    <w:rsid w:val="0074666F"/>
    <w:rsid w:val="00747FA7"/>
    <w:rsid w:val="007513E6"/>
    <w:rsid w:val="007521B5"/>
    <w:rsid w:val="0075552B"/>
    <w:rsid w:val="00756D83"/>
    <w:rsid w:val="00757BAF"/>
    <w:rsid w:val="00757D4A"/>
    <w:rsid w:val="00762530"/>
    <w:rsid w:val="00763F27"/>
    <w:rsid w:val="00764A77"/>
    <w:rsid w:val="00764CA0"/>
    <w:rsid w:val="00772336"/>
    <w:rsid w:val="0077343A"/>
    <w:rsid w:val="00774A71"/>
    <w:rsid w:val="00774E72"/>
    <w:rsid w:val="00775D3F"/>
    <w:rsid w:val="00776F5C"/>
    <w:rsid w:val="007809F9"/>
    <w:rsid w:val="007819BE"/>
    <w:rsid w:val="00781ECB"/>
    <w:rsid w:val="007839DD"/>
    <w:rsid w:val="00790C1D"/>
    <w:rsid w:val="007946CF"/>
    <w:rsid w:val="007957FB"/>
    <w:rsid w:val="00796D5E"/>
    <w:rsid w:val="007A182C"/>
    <w:rsid w:val="007A39A5"/>
    <w:rsid w:val="007A751A"/>
    <w:rsid w:val="007B15A4"/>
    <w:rsid w:val="007B1D38"/>
    <w:rsid w:val="007B346D"/>
    <w:rsid w:val="007B3C54"/>
    <w:rsid w:val="007B53AC"/>
    <w:rsid w:val="007B5667"/>
    <w:rsid w:val="007B6ECF"/>
    <w:rsid w:val="007C061A"/>
    <w:rsid w:val="007C08E6"/>
    <w:rsid w:val="007C46FC"/>
    <w:rsid w:val="007C6330"/>
    <w:rsid w:val="007C6F8A"/>
    <w:rsid w:val="007D06CE"/>
    <w:rsid w:val="007D19FE"/>
    <w:rsid w:val="007D1CEF"/>
    <w:rsid w:val="007D63F8"/>
    <w:rsid w:val="007D64BB"/>
    <w:rsid w:val="007D6D88"/>
    <w:rsid w:val="007D6E67"/>
    <w:rsid w:val="007E11D3"/>
    <w:rsid w:val="007E20D5"/>
    <w:rsid w:val="007E2D91"/>
    <w:rsid w:val="007E3A2C"/>
    <w:rsid w:val="007E4815"/>
    <w:rsid w:val="007E59BC"/>
    <w:rsid w:val="007E5DFB"/>
    <w:rsid w:val="007E6F92"/>
    <w:rsid w:val="007E7B49"/>
    <w:rsid w:val="007F19E7"/>
    <w:rsid w:val="007F6B04"/>
    <w:rsid w:val="007F6D46"/>
    <w:rsid w:val="00806C48"/>
    <w:rsid w:val="00810E95"/>
    <w:rsid w:val="00813396"/>
    <w:rsid w:val="008149A2"/>
    <w:rsid w:val="00814B17"/>
    <w:rsid w:val="008160E9"/>
    <w:rsid w:val="008165F6"/>
    <w:rsid w:val="0081674E"/>
    <w:rsid w:val="0081674F"/>
    <w:rsid w:val="00820379"/>
    <w:rsid w:val="0082077B"/>
    <w:rsid w:val="0082118E"/>
    <w:rsid w:val="008213C8"/>
    <w:rsid w:val="00821454"/>
    <w:rsid w:val="008251F7"/>
    <w:rsid w:val="008253CA"/>
    <w:rsid w:val="0082772A"/>
    <w:rsid w:val="0083263F"/>
    <w:rsid w:val="00841CEE"/>
    <w:rsid w:val="00841E2B"/>
    <w:rsid w:val="00842474"/>
    <w:rsid w:val="0084471A"/>
    <w:rsid w:val="008509B8"/>
    <w:rsid w:val="00850C44"/>
    <w:rsid w:val="008514FC"/>
    <w:rsid w:val="00854651"/>
    <w:rsid w:val="00855A9E"/>
    <w:rsid w:val="008562C2"/>
    <w:rsid w:val="00856C8B"/>
    <w:rsid w:val="00856DF1"/>
    <w:rsid w:val="0086234B"/>
    <w:rsid w:val="008623E8"/>
    <w:rsid w:val="00862B52"/>
    <w:rsid w:val="00863865"/>
    <w:rsid w:val="00863921"/>
    <w:rsid w:val="00863932"/>
    <w:rsid w:val="00863C09"/>
    <w:rsid w:val="00865E95"/>
    <w:rsid w:val="00866878"/>
    <w:rsid w:val="008672A8"/>
    <w:rsid w:val="008675C6"/>
    <w:rsid w:val="008701C9"/>
    <w:rsid w:val="00871B69"/>
    <w:rsid w:val="00872519"/>
    <w:rsid w:val="00873B9E"/>
    <w:rsid w:val="00873E8A"/>
    <w:rsid w:val="00874614"/>
    <w:rsid w:val="0087471D"/>
    <w:rsid w:val="0088441F"/>
    <w:rsid w:val="008852EE"/>
    <w:rsid w:val="00886659"/>
    <w:rsid w:val="00890551"/>
    <w:rsid w:val="008916E8"/>
    <w:rsid w:val="008919F1"/>
    <w:rsid w:val="00895249"/>
    <w:rsid w:val="008952F2"/>
    <w:rsid w:val="008A2B4B"/>
    <w:rsid w:val="008A2DAF"/>
    <w:rsid w:val="008A4A9D"/>
    <w:rsid w:val="008A69EA"/>
    <w:rsid w:val="008A6AB2"/>
    <w:rsid w:val="008A7353"/>
    <w:rsid w:val="008B0168"/>
    <w:rsid w:val="008B6428"/>
    <w:rsid w:val="008C156B"/>
    <w:rsid w:val="008C538D"/>
    <w:rsid w:val="008C58DD"/>
    <w:rsid w:val="008C6A16"/>
    <w:rsid w:val="008D06CF"/>
    <w:rsid w:val="008D4283"/>
    <w:rsid w:val="008D621E"/>
    <w:rsid w:val="008D640C"/>
    <w:rsid w:val="008E02DB"/>
    <w:rsid w:val="008E1395"/>
    <w:rsid w:val="008E45C0"/>
    <w:rsid w:val="008F2FFB"/>
    <w:rsid w:val="008F573C"/>
    <w:rsid w:val="008F7171"/>
    <w:rsid w:val="0090254A"/>
    <w:rsid w:val="0090378A"/>
    <w:rsid w:val="009042ED"/>
    <w:rsid w:val="00905822"/>
    <w:rsid w:val="00906F73"/>
    <w:rsid w:val="009145F3"/>
    <w:rsid w:val="00916033"/>
    <w:rsid w:val="00916695"/>
    <w:rsid w:val="00916859"/>
    <w:rsid w:val="00922D9F"/>
    <w:rsid w:val="00923357"/>
    <w:rsid w:val="0092362A"/>
    <w:rsid w:val="009243B2"/>
    <w:rsid w:val="00924CD6"/>
    <w:rsid w:val="00926F1F"/>
    <w:rsid w:val="00932BF1"/>
    <w:rsid w:val="00932DAA"/>
    <w:rsid w:val="00934F27"/>
    <w:rsid w:val="009359EE"/>
    <w:rsid w:val="00942216"/>
    <w:rsid w:val="009430B4"/>
    <w:rsid w:val="00943E2E"/>
    <w:rsid w:val="00944242"/>
    <w:rsid w:val="00945E55"/>
    <w:rsid w:val="00946173"/>
    <w:rsid w:val="00946B1E"/>
    <w:rsid w:val="00947CFA"/>
    <w:rsid w:val="00953759"/>
    <w:rsid w:val="00953A4C"/>
    <w:rsid w:val="009545B8"/>
    <w:rsid w:val="00955D4C"/>
    <w:rsid w:val="009607B9"/>
    <w:rsid w:val="00961330"/>
    <w:rsid w:val="00961C07"/>
    <w:rsid w:val="00962586"/>
    <w:rsid w:val="009675C0"/>
    <w:rsid w:val="009678E9"/>
    <w:rsid w:val="00967D3D"/>
    <w:rsid w:val="00967E58"/>
    <w:rsid w:val="009759D7"/>
    <w:rsid w:val="00975BFD"/>
    <w:rsid w:val="00977272"/>
    <w:rsid w:val="009775DD"/>
    <w:rsid w:val="00977756"/>
    <w:rsid w:val="00977E57"/>
    <w:rsid w:val="00980F63"/>
    <w:rsid w:val="0098488B"/>
    <w:rsid w:val="00984B38"/>
    <w:rsid w:val="009868DB"/>
    <w:rsid w:val="00992D64"/>
    <w:rsid w:val="00994A0C"/>
    <w:rsid w:val="00997237"/>
    <w:rsid w:val="009A0768"/>
    <w:rsid w:val="009A15DB"/>
    <w:rsid w:val="009A181D"/>
    <w:rsid w:val="009A3881"/>
    <w:rsid w:val="009A6370"/>
    <w:rsid w:val="009A66B7"/>
    <w:rsid w:val="009B12AD"/>
    <w:rsid w:val="009B3531"/>
    <w:rsid w:val="009B4B13"/>
    <w:rsid w:val="009B5FB3"/>
    <w:rsid w:val="009B6026"/>
    <w:rsid w:val="009B64C8"/>
    <w:rsid w:val="009B7F2D"/>
    <w:rsid w:val="009C2DE0"/>
    <w:rsid w:val="009C36DC"/>
    <w:rsid w:val="009C42C7"/>
    <w:rsid w:val="009C43BD"/>
    <w:rsid w:val="009C5CEE"/>
    <w:rsid w:val="009C7147"/>
    <w:rsid w:val="009C79CE"/>
    <w:rsid w:val="009D14DE"/>
    <w:rsid w:val="009D1AA8"/>
    <w:rsid w:val="009D3234"/>
    <w:rsid w:val="009D3AA3"/>
    <w:rsid w:val="009D4B33"/>
    <w:rsid w:val="009D4D28"/>
    <w:rsid w:val="009D66D8"/>
    <w:rsid w:val="009E04C6"/>
    <w:rsid w:val="009E117F"/>
    <w:rsid w:val="009E3284"/>
    <w:rsid w:val="009E337E"/>
    <w:rsid w:val="009E33F2"/>
    <w:rsid w:val="009E5338"/>
    <w:rsid w:val="009E560D"/>
    <w:rsid w:val="009E5736"/>
    <w:rsid w:val="009E57F4"/>
    <w:rsid w:val="009E5C28"/>
    <w:rsid w:val="009E784A"/>
    <w:rsid w:val="009F1EAA"/>
    <w:rsid w:val="009F3DE2"/>
    <w:rsid w:val="009F436F"/>
    <w:rsid w:val="009F4A01"/>
    <w:rsid w:val="009F591E"/>
    <w:rsid w:val="009F7E61"/>
    <w:rsid w:val="00A007CE"/>
    <w:rsid w:val="00A01DCC"/>
    <w:rsid w:val="00A035C1"/>
    <w:rsid w:val="00A036E0"/>
    <w:rsid w:val="00A037D5"/>
    <w:rsid w:val="00A04EC0"/>
    <w:rsid w:val="00A060D5"/>
    <w:rsid w:val="00A0648B"/>
    <w:rsid w:val="00A07426"/>
    <w:rsid w:val="00A0752E"/>
    <w:rsid w:val="00A07E94"/>
    <w:rsid w:val="00A10606"/>
    <w:rsid w:val="00A1202E"/>
    <w:rsid w:val="00A12BEB"/>
    <w:rsid w:val="00A13801"/>
    <w:rsid w:val="00A14619"/>
    <w:rsid w:val="00A1557D"/>
    <w:rsid w:val="00A15E76"/>
    <w:rsid w:val="00A21C86"/>
    <w:rsid w:val="00A23C68"/>
    <w:rsid w:val="00A26402"/>
    <w:rsid w:val="00A26F9E"/>
    <w:rsid w:val="00A27206"/>
    <w:rsid w:val="00A30466"/>
    <w:rsid w:val="00A30C88"/>
    <w:rsid w:val="00A31DAE"/>
    <w:rsid w:val="00A31E00"/>
    <w:rsid w:val="00A31E06"/>
    <w:rsid w:val="00A32637"/>
    <w:rsid w:val="00A3349C"/>
    <w:rsid w:val="00A34AB2"/>
    <w:rsid w:val="00A35A5D"/>
    <w:rsid w:val="00A36586"/>
    <w:rsid w:val="00A36F7E"/>
    <w:rsid w:val="00A3701C"/>
    <w:rsid w:val="00A37199"/>
    <w:rsid w:val="00A37AEB"/>
    <w:rsid w:val="00A401CE"/>
    <w:rsid w:val="00A42967"/>
    <w:rsid w:val="00A44066"/>
    <w:rsid w:val="00A45858"/>
    <w:rsid w:val="00A459C3"/>
    <w:rsid w:val="00A466D0"/>
    <w:rsid w:val="00A46771"/>
    <w:rsid w:val="00A471BC"/>
    <w:rsid w:val="00A47720"/>
    <w:rsid w:val="00A505F5"/>
    <w:rsid w:val="00A5631E"/>
    <w:rsid w:val="00A56C4C"/>
    <w:rsid w:val="00A57741"/>
    <w:rsid w:val="00A616BB"/>
    <w:rsid w:val="00A64C02"/>
    <w:rsid w:val="00A6574B"/>
    <w:rsid w:val="00A65A1D"/>
    <w:rsid w:val="00A6776F"/>
    <w:rsid w:val="00A74193"/>
    <w:rsid w:val="00A7589C"/>
    <w:rsid w:val="00A77B46"/>
    <w:rsid w:val="00A81B6F"/>
    <w:rsid w:val="00A820EF"/>
    <w:rsid w:val="00A8316F"/>
    <w:rsid w:val="00A83B10"/>
    <w:rsid w:val="00A8558C"/>
    <w:rsid w:val="00A9153B"/>
    <w:rsid w:val="00A94C04"/>
    <w:rsid w:val="00A976A1"/>
    <w:rsid w:val="00A97D34"/>
    <w:rsid w:val="00AA11F6"/>
    <w:rsid w:val="00AA23DB"/>
    <w:rsid w:val="00AA2B6D"/>
    <w:rsid w:val="00AA3D49"/>
    <w:rsid w:val="00AA4A66"/>
    <w:rsid w:val="00AA75B9"/>
    <w:rsid w:val="00AB0A0C"/>
    <w:rsid w:val="00AB0ABC"/>
    <w:rsid w:val="00AB19DE"/>
    <w:rsid w:val="00AB1BD2"/>
    <w:rsid w:val="00AB35F0"/>
    <w:rsid w:val="00AB4722"/>
    <w:rsid w:val="00AB5421"/>
    <w:rsid w:val="00AB7853"/>
    <w:rsid w:val="00AC03A8"/>
    <w:rsid w:val="00AC3DCA"/>
    <w:rsid w:val="00AC424A"/>
    <w:rsid w:val="00AC573D"/>
    <w:rsid w:val="00AC6089"/>
    <w:rsid w:val="00AD115C"/>
    <w:rsid w:val="00AD19C5"/>
    <w:rsid w:val="00AD31CC"/>
    <w:rsid w:val="00AD3C5C"/>
    <w:rsid w:val="00AD3DD7"/>
    <w:rsid w:val="00AD5DAC"/>
    <w:rsid w:val="00AE0BD5"/>
    <w:rsid w:val="00AE49BC"/>
    <w:rsid w:val="00AE6720"/>
    <w:rsid w:val="00AE6C6F"/>
    <w:rsid w:val="00AE7D65"/>
    <w:rsid w:val="00AF1681"/>
    <w:rsid w:val="00AF5443"/>
    <w:rsid w:val="00AF560A"/>
    <w:rsid w:val="00AF7EF0"/>
    <w:rsid w:val="00B022F9"/>
    <w:rsid w:val="00B02CEE"/>
    <w:rsid w:val="00B02DC5"/>
    <w:rsid w:val="00B05F68"/>
    <w:rsid w:val="00B06C93"/>
    <w:rsid w:val="00B0785A"/>
    <w:rsid w:val="00B10E0C"/>
    <w:rsid w:val="00B1297E"/>
    <w:rsid w:val="00B1430D"/>
    <w:rsid w:val="00B159DF"/>
    <w:rsid w:val="00B176E7"/>
    <w:rsid w:val="00B17A34"/>
    <w:rsid w:val="00B17CEA"/>
    <w:rsid w:val="00B209B5"/>
    <w:rsid w:val="00B22658"/>
    <w:rsid w:val="00B24405"/>
    <w:rsid w:val="00B25E60"/>
    <w:rsid w:val="00B30E8E"/>
    <w:rsid w:val="00B36214"/>
    <w:rsid w:val="00B40C27"/>
    <w:rsid w:val="00B41314"/>
    <w:rsid w:val="00B4242F"/>
    <w:rsid w:val="00B42A32"/>
    <w:rsid w:val="00B42E79"/>
    <w:rsid w:val="00B45123"/>
    <w:rsid w:val="00B45F44"/>
    <w:rsid w:val="00B47691"/>
    <w:rsid w:val="00B47C30"/>
    <w:rsid w:val="00B5016E"/>
    <w:rsid w:val="00B505BE"/>
    <w:rsid w:val="00B51590"/>
    <w:rsid w:val="00B522C1"/>
    <w:rsid w:val="00B53376"/>
    <w:rsid w:val="00B56ECB"/>
    <w:rsid w:val="00B65B10"/>
    <w:rsid w:val="00B70BEE"/>
    <w:rsid w:val="00B71096"/>
    <w:rsid w:val="00B71333"/>
    <w:rsid w:val="00B719F3"/>
    <w:rsid w:val="00B73B2A"/>
    <w:rsid w:val="00B743C2"/>
    <w:rsid w:val="00B75F6A"/>
    <w:rsid w:val="00B76276"/>
    <w:rsid w:val="00B77E31"/>
    <w:rsid w:val="00B824D5"/>
    <w:rsid w:val="00B82D71"/>
    <w:rsid w:val="00B840C5"/>
    <w:rsid w:val="00B84667"/>
    <w:rsid w:val="00B860C6"/>
    <w:rsid w:val="00B9064B"/>
    <w:rsid w:val="00B9231C"/>
    <w:rsid w:val="00B9440F"/>
    <w:rsid w:val="00B95347"/>
    <w:rsid w:val="00B96573"/>
    <w:rsid w:val="00B97C83"/>
    <w:rsid w:val="00BA11FF"/>
    <w:rsid w:val="00BA13B2"/>
    <w:rsid w:val="00BA33DE"/>
    <w:rsid w:val="00BA3E4D"/>
    <w:rsid w:val="00BA5408"/>
    <w:rsid w:val="00BB0F12"/>
    <w:rsid w:val="00BB1265"/>
    <w:rsid w:val="00BB54B2"/>
    <w:rsid w:val="00BC07C5"/>
    <w:rsid w:val="00BC28F4"/>
    <w:rsid w:val="00BC2AEC"/>
    <w:rsid w:val="00BC2CF6"/>
    <w:rsid w:val="00BC4903"/>
    <w:rsid w:val="00BD2DDE"/>
    <w:rsid w:val="00BD31AC"/>
    <w:rsid w:val="00BD395E"/>
    <w:rsid w:val="00BD660B"/>
    <w:rsid w:val="00BD669F"/>
    <w:rsid w:val="00BD7010"/>
    <w:rsid w:val="00BD7F7A"/>
    <w:rsid w:val="00BE09EB"/>
    <w:rsid w:val="00BE3192"/>
    <w:rsid w:val="00BE632E"/>
    <w:rsid w:val="00BF0720"/>
    <w:rsid w:val="00BF0B27"/>
    <w:rsid w:val="00BF0D1B"/>
    <w:rsid w:val="00BF1195"/>
    <w:rsid w:val="00BF53E6"/>
    <w:rsid w:val="00BF61B4"/>
    <w:rsid w:val="00BF6A12"/>
    <w:rsid w:val="00BF74D3"/>
    <w:rsid w:val="00C0063D"/>
    <w:rsid w:val="00C02D47"/>
    <w:rsid w:val="00C0543D"/>
    <w:rsid w:val="00C05B46"/>
    <w:rsid w:val="00C05DE6"/>
    <w:rsid w:val="00C06B61"/>
    <w:rsid w:val="00C07866"/>
    <w:rsid w:val="00C10005"/>
    <w:rsid w:val="00C10026"/>
    <w:rsid w:val="00C11980"/>
    <w:rsid w:val="00C12CA6"/>
    <w:rsid w:val="00C12ED5"/>
    <w:rsid w:val="00C13033"/>
    <w:rsid w:val="00C152ED"/>
    <w:rsid w:val="00C15AE7"/>
    <w:rsid w:val="00C166FD"/>
    <w:rsid w:val="00C1689B"/>
    <w:rsid w:val="00C16CA3"/>
    <w:rsid w:val="00C22657"/>
    <w:rsid w:val="00C22C89"/>
    <w:rsid w:val="00C22DF2"/>
    <w:rsid w:val="00C23E45"/>
    <w:rsid w:val="00C327C5"/>
    <w:rsid w:val="00C32E00"/>
    <w:rsid w:val="00C33002"/>
    <w:rsid w:val="00C349AF"/>
    <w:rsid w:val="00C43C05"/>
    <w:rsid w:val="00C45E5F"/>
    <w:rsid w:val="00C473C2"/>
    <w:rsid w:val="00C51B8F"/>
    <w:rsid w:val="00C5273B"/>
    <w:rsid w:val="00C539C8"/>
    <w:rsid w:val="00C53A98"/>
    <w:rsid w:val="00C53D58"/>
    <w:rsid w:val="00C54F3E"/>
    <w:rsid w:val="00C5513F"/>
    <w:rsid w:val="00C55D1F"/>
    <w:rsid w:val="00C60B6F"/>
    <w:rsid w:val="00C61693"/>
    <w:rsid w:val="00C61C9A"/>
    <w:rsid w:val="00C62C33"/>
    <w:rsid w:val="00C62FC7"/>
    <w:rsid w:val="00C63A86"/>
    <w:rsid w:val="00C64638"/>
    <w:rsid w:val="00C650C5"/>
    <w:rsid w:val="00C677A1"/>
    <w:rsid w:val="00C679C6"/>
    <w:rsid w:val="00C72057"/>
    <w:rsid w:val="00C722AE"/>
    <w:rsid w:val="00C733DE"/>
    <w:rsid w:val="00C7351D"/>
    <w:rsid w:val="00C754A4"/>
    <w:rsid w:val="00C76313"/>
    <w:rsid w:val="00C8016D"/>
    <w:rsid w:val="00C86030"/>
    <w:rsid w:val="00C8679F"/>
    <w:rsid w:val="00C92248"/>
    <w:rsid w:val="00C92433"/>
    <w:rsid w:val="00C96066"/>
    <w:rsid w:val="00C976B2"/>
    <w:rsid w:val="00C97809"/>
    <w:rsid w:val="00CA0B1B"/>
    <w:rsid w:val="00CA1B13"/>
    <w:rsid w:val="00CA1CAA"/>
    <w:rsid w:val="00CA3C0D"/>
    <w:rsid w:val="00CA4E46"/>
    <w:rsid w:val="00CA5FC1"/>
    <w:rsid w:val="00CA62F1"/>
    <w:rsid w:val="00CB0624"/>
    <w:rsid w:val="00CB13C1"/>
    <w:rsid w:val="00CB14D9"/>
    <w:rsid w:val="00CB2577"/>
    <w:rsid w:val="00CB442A"/>
    <w:rsid w:val="00CB4B7F"/>
    <w:rsid w:val="00CB54C2"/>
    <w:rsid w:val="00CB6B28"/>
    <w:rsid w:val="00CB6BB3"/>
    <w:rsid w:val="00CC0E3C"/>
    <w:rsid w:val="00CC2CC5"/>
    <w:rsid w:val="00CC53F6"/>
    <w:rsid w:val="00CC714D"/>
    <w:rsid w:val="00CC7D95"/>
    <w:rsid w:val="00CC7E21"/>
    <w:rsid w:val="00CD042E"/>
    <w:rsid w:val="00CD06A4"/>
    <w:rsid w:val="00CD0F4E"/>
    <w:rsid w:val="00CD350C"/>
    <w:rsid w:val="00CD4341"/>
    <w:rsid w:val="00CD50E5"/>
    <w:rsid w:val="00CD6A20"/>
    <w:rsid w:val="00CE0940"/>
    <w:rsid w:val="00CE2A92"/>
    <w:rsid w:val="00CE2B42"/>
    <w:rsid w:val="00CE30BF"/>
    <w:rsid w:val="00CE3820"/>
    <w:rsid w:val="00CE6790"/>
    <w:rsid w:val="00CF00E5"/>
    <w:rsid w:val="00CF1D25"/>
    <w:rsid w:val="00CF3235"/>
    <w:rsid w:val="00CF4039"/>
    <w:rsid w:val="00CF7104"/>
    <w:rsid w:val="00D001E2"/>
    <w:rsid w:val="00D0243F"/>
    <w:rsid w:val="00D027A8"/>
    <w:rsid w:val="00D02E8D"/>
    <w:rsid w:val="00D0716C"/>
    <w:rsid w:val="00D07608"/>
    <w:rsid w:val="00D1094A"/>
    <w:rsid w:val="00D10DD0"/>
    <w:rsid w:val="00D112A7"/>
    <w:rsid w:val="00D11FEE"/>
    <w:rsid w:val="00D14703"/>
    <w:rsid w:val="00D2054F"/>
    <w:rsid w:val="00D210FD"/>
    <w:rsid w:val="00D2144B"/>
    <w:rsid w:val="00D21B83"/>
    <w:rsid w:val="00D24572"/>
    <w:rsid w:val="00D25B7B"/>
    <w:rsid w:val="00D26843"/>
    <w:rsid w:val="00D30429"/>
    <w:rsid w:val="00D30D14"/>
    <w:rsid w:val="00D3164E"/>
    <w:rsid w:val="00D31BFC"/>
    <w:rsid w:val="00D3308A"/>
    <w:rsid w:val="00D3416F"/>
    <w:rsid w:val="00D36439"/>
    <w:rsid w:val="00D36D47"/>
    <w:rsid w:val="00D37C34"/>
    <w:rsid w:val="00D37F25"/>
    <w:rsid w:val="00D40519"/>
    <w:rsid w:val="00D422AA"/>
    <w:rsid w:val="00D42754"/>
    <w:rsid w:val="00D42F7C"/>
    <w:rsid w:val="00D47B28"/>
    <w:rsid w:val="00D50C61"/>
    <w:rsid w:val="00D5123D"/>
    <w:rsid w:val="00D520F2"/>
    <w:rsid w:val="00D545E9"/>
    <w:rsid w:val="00D5548E"/>
    <w:rsid w:val="00D57F5E"/>
    <w:rsid w:val="00D62FAE"/>
    <w:rsid w:val="00D63AF1"/>
    <w:rsid w:val="00D646DC"/>
    <w:rsid w:val="00D65331"/>
    <w:rsid w:val="00D65E49"/>
    <w:rsid w:val="00D66F22"/>
    <w:rsid w:val="00D67C96"/>
    <w:rsid w:val="00D70467"/>
    <w:rsid w:val="00D71607"/>
    <w:rsid w:val="00D71635"/>
    <w:rsid w:val="00D71AD0"/>
    <w:rsid w:val="00D71DAD"/>
    <w:rsid w:val="00D729CF"/>
    <w:rsid w:val="00D73491"/>
    <w:rsid w:val="00D80484"/>
    <w:rsid w:val="00D82E48"/>
    <w:rsid w:val="00D8417A"/>
    <w:rsid w:val="00D84F10"/>
    <w:rsid w:val="00D86BDC"/>
    <w:rsid w:val="00D94FAC"/>
    <w:rsid w:val="00D95FCE"/>
    <w:rsid w:val="00D96842"/>
    <w:rsid w:val="00D9710D"/>
    <w:rsid w:val="00DA00C3"/>
    <w:rsid w:val="00DA0207"/>
    <w:rsid w:val="00DA0752"/>
    <w:rsid w:val="00DA0CC5"/>
    <w:rsid w:val="00DA2A3A"/>
    <w:rsid w:val="00DA3046"/>
    <w:rsid w:val="00DA4A7A"/>
    <w:rsid w:val="00DA4BD5"/>
    <w:rsid w:val="00DA7095"/>
    <w:rsid w:val="00DA7930"/>
    <w:rsid w:val="00DB0119"/>
    <w:rsid w:val="00DB01F3"/>
    <w:rsid w:val="00DB035A"/>
    <w:rsid w:val="00DB0592"/>
    <w:rsid w:val="00DB16AA"/>
    <w:rsid w:val="00DB2F12"/>
    <w:rsid w:val="00DB42A7"/>
    <w:rsid w:val="00DB64AA"/>
    <w:rsid w:val="00DC59AE"/>
    <w:rsid w:val="00DC6955"/>
    <w:rsid w:val="00DC6C3A"/>
    <w:rsid w:val="00DD0AC0"/>
    <w:rsid w:val="00DD1A26"/>
    <w:rsid w:val="00DD306F"/>
    <w:rsid w:val="00DD3E20"/>
    <w:rsid w:val="00DD402E"/>
    <w:rsid w:val="00DD53D4"/>
    <w:rsid w:val="00DD6F15"/>
    <w:rsid w:val="00DD70E4"/>
    <w:rsid w:val="00DD781D"/>
    <w:rsid w:val="00DE03AE"/>
    <w:rsid w:val="00DE1E4A"/>
    <w:rsid w:val="00DE5B2E"/>
    <w:rsid w:val="00DE6BB1"/>
    <w:rsid w:val="00DE7DDC"/>
    <w:rsid w:val="00DF084A"/>
    <w:rsid w:val="00DF1085"/>
    <w:rsid w:val="00DF213C"/>
    <w:rsid w:val="00DF22D3"/>
    <w:rsid w:val="00DF4928"/>
    <w:rsid w:val="00DF60DD"/>
    <w:rsid w:val="00DF6101"/>
    <w:rsid w:val="00DF751B"/>
    <w:rsid w:val="00E00302"/>
    <w:rsid w:val="00E009F8"/>
    <w:rsid w:val="00E0359D"/>
    <w:rsid w:val="00E037D4"/>
    <w:rsid w:val="00E06993"/>
    <w:rsid w:val="00E07267"/>
    <w:rsid w:val="00E108D5"/>
    <w:rsid w:val="00E121DB"/>
    <w:rsid w:val="00E12A2A"/>
    <w:rsid w:val="00E144F2"/>
    <w:rsid w:val="00E14A9E"/>
    <w:rsid w:val="00E154A5"/>
    <w:rsid w:val="00E15985"/>
    <w:rsid w:val="00E20B46"/>
    <w:rsid w:val="00E21D93"/>
    <w:rsid w:val="00E26DBF"/>
    <w:rsid w:val="00E30A96"/>
    <w:rsid w:val="00E336CF"/>
    <w:rsid w:val="00E33B14"/>
    <w:rsid w:val="00E346C0"/>
    <w:rsid w:val="00E3749E"/>
    <w:rsid w:val="00E37CA7"/>
    <w:rsid w:val="00E40029"/>
    <w:rsid w:val="00E43609"/>
    <w:rsid w:val="00E43821"/>
    <w:rsid w:val="00E43AAF"/>
    <w:rsid w:val="00E46DB7"/>
    <w:rsid w:val="00E4759B"/>
    <w:rsid w:val="00E50573"/>
    <w:rsid w:val="00E513B3"/>
    <w:rsid w:val="00E537A2"/>
    <w:rsid w:val="00E53E4F"/>
    <w:rsid w:val="00E5565B"/>
    <w:rsid w:val="00E56D0F"/>
    <w:rsid w:val="00E57CE2"/>
    <w:rsid w:val="00E57D42"/>
    <w:rsid w:val="00E57ED2"/>
    <w:rsid w:val="00E60C6B"/>
    <w:rsid w:val="00E6127A"/>
    <w:rsid w:val="00E62037"/>
    <w:rsid w:val="00E6329A"/>
    <w:rsid w:val="00E63D24"/>
    <w:rsid w:val="00E63F16"/>
    <w:rsid w:val="00E6547F"/>
    <w:rsid w:val="00E6756E"/>
    <w:rsid w:val="00E71A88"/>
    <w:rsid w:val="00E75B5F"/>
    <w:rsid w:val="00E766F6"/>
    <w:rsid w:val="00E801BD"/>
    <w:rsid w:val="00E850B9"/>
    <w:rsid w:val="00E86D49"/>
    <w:rsid w:val="00E92BF2"/>
    <w:rsid w:val="00E9359D"/>
    <w:rsid w:val="00E94435"/>
    <w:rsid w:val="00E95476"/>
    <w:rsid w:val="00E964BE"/>
    <w:rsid w:val="00E976F2"/>
    <w:rsid w:val="00E97AC1"/>
    <w:rsid w:val="00EA004B"/>
    <w:rsid w:val="00EA2217"/>
    <w:rsid w:val="00EA5CA7"/>
    <w:rsid w:val="00EB1DA7"/>
    <w:rsid w:val="00EB23B6"/>
    <w:rsid w:val="00EB61AA"/>
    <w:rsid w:val="00EB6C6B"/>
    <w:rsid w:val="00EB7644"/>
    <w:rsid w:val="00EB767A"/>
    <w:rsid w:val="00EB7D51"/>
    <w:rsid w:val="00EC1749"/>
    <w:rsid w:val="00EC5C36"/>
    <w:rsid w:val="00EC786F"/>
    <w:rsid w:val="00ED0380"/>
    <w:rsid w:val="00ED201D"/>
    <w:rsid w:val="00ED2F8C"/>
    <w:rsid w:val="00ED32D5"/>
    <w:rsid w:val="00ED5AD3"/>
    <w:rsid w:val="00ED67D0"/>
    <w:rsid w:val="00ED696C"/>
    <w:rsid w:val="00ED6C49"/>
    <w:rsid w:val="00ED74A7"/>
    <w:rsid w:val="00ED7ADF"/>
    <w:rsid w:val="00EE13E4"/>
    <w:rsid w:val="00EE1769"/>
    <w:rsid w:val="00EE1B0C"/>
    <w:rsid w:val="00EE2F09"/>
    <w:rsid w:val="00EE4338"/>
    <w:rsid w:val="00EF0AF3"/>
    <w:rsid w:val="00EF0FC6"/>
    <w:rsid w:val="00EF1685"/>
    <w:rsid w:val="00EF2325"/>
    <w:rsid w:val="00EF4E11"/>
    <w:rsid w:val="00EF7086"/>
    <w:rsid w:val="00F0051B"/>
    <w:rsid w:val="00F0077C"/>
    <w:rsid w:val="00F023B7"/>
    <w:rsid w:val="00F027BB"/>
    <w:rsid w:val="00F02E73"/>
    <w:rsid w:val="00F046F1"/>
    <w:rsid w:val="00F17574"/>
    <w:rsid w:val="00F17920"/>
    <w:rsid w:val="00F20362"/>
    <w:rsid w:val="00F2149E"/>
    <w:rsid w:val="00F21685"/>
    <w:rsid w:val="00F21C53"/>
    <w:rsid w:val="00F22379"/>
    <w:rsid w:val="00F2258E"/>
    <w:rsid w:val="00F23200"/>
    <w:rsid w:val="00F27511"/>
    <w:rsid w:val="00F27C05"/>
    <w:rsid w:val="00F31DBF"/>
    <w:rsid w:val="00F3220A"/>
    <w:rsid w:val="00F33308"/>
    <w:rsid w:val="00F336BA"/>
    <w:rsid w:val="00F33B02"/>
    <w:rsid w:val="00F345FB"/>
    <w:rsid w:val="00F35C2A"/>
    <w:rsid w:val="00F374D9"/>
    <w:rsid w:val="00F378B0"/>
    <w:rsid w:val="00F426F3"/>
    <w:rsid w:val="00F43B8E"/>
    <w:rsid w:val="00F4414A"/>
    <w:rsid w:val="00F4561D"/>
    <w:rsid w:val="00F45A26"/>
    <w:rsid w:val="00F45F53"/>
    <w:rsid w:val="00F46463"/>
    <w:rsid w:val="00F47B35"/>
    <w:rsid w:val="00F5037B"/>
    <w:rsid w:val="00F5117B"/>
    <w:rsid w:val="00F51A52"/>
    <w:rsid w:val="00F51EB7"/>
    <w:rsid w:val="00F5336B"/>
    <w:rsid w:val="00F5338A"/>
    <w:rsid w:val="00F53A0B"/>
    <w:rsid w:val="00F55E1F"/>
    <w:rsid w:val="00F55F72"/>
    <w:rsid w:val="00F566F5"/>
    <w:rsid w:val="00F569A0"/>
    <w:rsid w:val="00F60E25"/>
    <w:rsid w:val="00F61FED"/>
    <w:rsid w:val="00F63075"/>
    <w:rsid w:val="00F63291"/>
    <w:rsid w:val="00F6430F"/>
    <w:rsid w:val="00F65ADD"/>
    <w:rsid w:val="00F7475E"/>
    <w:rsid w:val="00F75923"/>
    <w:rsid w:val="00F76D56"/>
    <w:rsid w:val="00F77F59"/>
    <w:rsid w:val="00F80590"/>
    <w:rsid w:val="00F85C49"/>
    <w:rsid w:val="00F86123"/>
    <w:rsid w:val="00F861F6"/>
    <w:rsid w:val="00F864F8"/>
    <w:rsid w:val="00F9113E"/>
    <w:rsid w:val="00F94328"/>
    <w:rsid w:val="00F9448B"/>
    <w:rsid w:val="00F94E75"/>
    <w:rsid w:val="00F96CFB"/>
    <w:rsid w:val="00FA043A"/>
    <w:rsid w:val="00FA248A"/>
    <w:rsid w:val="00FA4AFA"/>
    <w:rsid w:val="00FA740F"/>
    <w:rsid w:val="00FA78D0"/>
    <w:rsid w:val="00FB1BAE"/>
    <w:rsid w:val="00FB42E8"/>
    <w:rsid w:val="00FB557C"/>
    <w:rsid w:val="00FB5924"/>
    <w:rsid w:val="00FB6249"/>
    <w:rsid w:val="00FB637D"/>
    <w:rsid w:val="00FB71F6"/>
    <w:rsid w:val="00FC0448"/>
    <w:rsid w:val="00FC04E0"/>
    <w:rsid w:val="00FC2938"/>
    <w:rsid w:val="00FC2AF4"/>
    <w:rsid w:val="00FC387D"/>
    <w:rsid w:val="00FC3F96"/>
    <w:rsid w:val="00FC4621"/>
    <w:rsid w:val="00FC6136"/>
    <w:rsid w:val="00FD1F6E"/>
    <w:rsid w:val="00FD22EA"/>
    <w:rsid w:val="00FD24BF"/>
    <w:rsid w:val="00FD4DE0"/>
    <w:rsid w:val="00FE0BDA"/>
    <w:rsid w:val="00FE16D4"/>
    <w:rsid w:val="00FE1760"/>
    <w:rsid w:val="00FE1B33"/>
    <w:rsid w:val="00FE2958"/>
    <w:rsid w:val="00FE2E22"/>
    <w:rsid w:val="00FE3462"/>
    <w:rsid w:val="00FE536E"/>
    <w:rsid w:val="00FE5976"/>
    <w:rsid w:val="00FE633A"/>
    <w:rsid w:val="00FF124A"/>
    <w:rsid w:val="00FF2966"/>
    <w:rsid w:val="00FF31BA"/>
    <w:rsid w:val="00FF3772"/>
    <w:rsid w:val="00FF4C45"/>
    <w:rsid w:val="00FF5E06"/>
    <w:rsid w:val="00FF6875"/>
    <w:rsid w:val="00FF7A30"/>
    <w:rsid w:val="01086C64"/>
    <w:rsid w:val="010A1426"/>
    <w:rsid w:val="011131BD"/>
    <w:rsid w:val="0116266C"/>
    <w:rsid w:val="012C3843"/>
    <w:rsid w:val="013C34D8"/>
    <w:rsid w:val="014F4893"/>
    <w:rsid w:val="014F5F03"/>
    <w:rsid w:val="01534B43"/>
    <w:rsid w:val="015A7B77"/>
    <w:rsid w:val="015D43A1"/>
    <w:rsid w:val="015E4AD6"/>
    <w:rsid w:val="016124C5"/>
    <w:rsid w:val="016E59F3"/>
    <w:rsid w:val="018949C7"/>
    <w:rsid w:val="01BB2C25"/>
    <w:rsid w:val="01F33098"/>
    <w:rsid w:val="01FC2C01"/>
    <w:rsid w:val="020149A5"/>
    <w:rsid w:val="020411DA"/>
    <w:rsid w:val="02072A78"/>
    <w:rsid w:val="02145195"/>
    <w:rsid w:val="0232503D"/>
    <w:rsid w:val="02342499"/>
    <w:rsid w:val="02376971"/>
    <w:rsid w:val="02380E83"/>
    <w:rsid w:val="025D1946"/>
    <w:rsid w:val="02825024"/>
    <w:rsid w:val="02862195"/>
    <w:rsid w:val="028B5457"/>
    <w:rsid w:val="029307AF"/>
    <w:rsid w:val="02A97FA7"/>
    <w:rsid w:val="02B01361"/>
    <w:rsid w:val="02BE3A7E"/>
    <w:rsid w:val="02C0725B"/>
    <w:rsid w:val="02CE3596"/>
    <w:rsid w:val="02D212D8"/>
    <w:rsid w:val="02DA63DE"/>
    <w:rsid w:val="02EB188F"/>
    <w:rsid w:val="02F33413"/>
    <w:rsid w:val="02FC4FF1"/>
    <w:rsid w:val="03031C3D"/>
    <w:rsid w:val="030D0562"/>
    <w:rsid w:val="030E1BF4"/>
    <w:rsid w:val="03101F14"/>
    <w:rsid w:val="032064E7"/>
    <w:rsid w:val="03210BC6"/>
    <w:rsid w:val="03217B69"/>
    <w:rsid w:val="03302C1B"/>
    <w:rsid w:val="033E696D"/>
    <w:rsid w:val="033F4E09"/>
    <w:rsid w:val="03431CA1"/>
    <w:rsid w:val="03457CFC"/>
    <w:rsid w:val="03597303"/>
    <w:rsid w:val="035D2856"/>
    <w:rsid w:val="035F2C2C"/>
    <w:rsid w:val="036978DB"/>
    <w:rsid w:val="036E13C0"/>
    <w:rsid w:val="03793528"/>
    <w:rsid w:val="037C2AF6"/>
    <w:rsid w:val="037D7B0A"/>
    <w:rsid w:val="03830824"/>
    <w:rsid w:val="039E6955"/>
    <w:rsid w:val="03AD58A1"/>
    <w:rsid w:val="03B94246"/>
    <w:rsid w:val="03BD5AE4"/>
    <w:rsid w:val="03CC2D68"/>
    <w:rsid w:val="03E543DB"/>
    <w:rsid w:val="03F759BD"/>
    <w:rsid w:val="0400583E"/>
    <w:rsid w:val="04094AFD"/>
    <w:rsid w:val="041B16D3"/>
    <w:rsid w:val="042518DB"/>
    <w:rsid w:val="042552AA"/>
    <w:rsid w:val="042D72D2"/>
    <w:rsid w:val="04310280"/>
    <w:rsid w:val="043A1855"/>
    <w:rsid w:val="043D6204"/>
    <w:rsid w:val="0440490F"/>
    <w:rsid w:val="04443687"/>
    <w:rsid w:val="044C6E68"/>
    <w:rsid w:val="045B70AB"/>
    <w:rsid w:val="045D2E23"/>
    <w:rsid w:val="045F303F"/>
    <w:rsid w:val="046C750A"/>
    <w:rsid w:val="048D195A"/>
    <w:rsid w:val="048E56D2"/>
    <w:rsid w:val="04903021"/>
    <w:rsid w:val="049B394B"/>
    <w:rsid w:val="04C325B9"/>
    <w:rsid w:val="04C540C6"/>
    <w:rsid w:val="04E2157A"/>
    <w:rsid w:val="04F918BB"/>
    <w:rsid w:val="04FD0162"/>
    <w:rsid w:val="050339CA"/>
    <w:rsid w:val="052F2A11"/>
    <w:rsid w:val="053316C9"/>
    <w:rsid w:val="0543590B"/>
    <w:rsid w:val="0549670F"/>
    <w:rsid w:val="054D765A"/>
    <w:rsid w:val="057523EE"/>
    <w:rsid w:val="057F6DC9"/>
    <w:rsid w:val="0580326D"/>
    <w:rsid w:val="058B39C0"/>
    <w:rsid w:val="05A25EBF"/>
    <w:rsid w:val="05A64CE0"/>
    <w:rsid w:val="05A80173"/>
    <w:rsid w:val="05CA273A"/>
    <w:rsid w:val="05D11D1B"/>
    <w:rsid w:val="05D45367"/>
    <w:rsid w:val="05DA2426"/>
    <w:rsid w:val="05DD592B"/>
    <w:rsid w:val="05E03D0C"/>
    <w:rsid w:val="05E12708"/>
    <w:rsid w:val="05E4659E"/>
    <w:rsid w:val="05E97064"/>
    <w:rsid w:val="05EA6F2B"/>
    <w:rsid w:val="05ED01D7"/>
    <w:rsid w:val="05FE0636"/>
    <w:rsid w:val="061D615F"/>
    <w:rsid w:val="06242F11"/>
    <w:rsid w:val="06287461"/>
    <w:rsid w:val="064417FB"/>
    <w:rsid w:val="065B15E4"/>
    <w:rsid w:val="06632E6C"/>
    <w:rsid w:val="066A45CD"/>
    <w:rsid w:val="067E1BD0"/>
    <w:rsid w:val="068A1C09"/>
    <w:rsid w:val="069A210C"/>
    <w:rsid w:val="069B0ABE"/>
    <w:rsid w:val="06A81000"/>
    <w:rsid w:val="06AE640A"/>
    <w:rsid w:val="06B55198"/>
    <w:rsid w:val="06B754DD"/>
    <w:rsid w:val="06C13B3D"/>
    <w:rsid w:val="06C919E1"/>
    <w:rsid w:val="06D511C9"/>
    <w:rsid w:val="06E6018A"/>
    <w:rsid w:val="06EB5121"/>
    <w:rsid w:val="06F37A6F"/>
    <w:rsid w:val="06F832D7"/>
    <w:rsid w:val="07013F3A"/>
    <w:rsid w:val="07097292"/>
    <w:rsid w:val="070A6F33"/>
    <w:rsid w:val="070A7192"/>
    <w:rsid w:val="0718605C"/>
    <w:rsid w:val="071B6E72"/>
    <w:rsid w:val="071C5217"/>
    <w:rsid w:val="07240C85"/>
    <w:rsid w:val="072462FD"/>
    <w:rsid w:val="07273F13"/>
    <w:rsid w:val="072E0AA7"/>
    <w:rsid w:val="07354B47"/>
    <w:rsid w:val="07397B77"/>
    <w:rsid w:val="074402CA"/>
    <w:rsid w:val="07445783"/>
    <w:rsid w:val="07484826"/>
    <w:rsid w:val="0752203A"/>
    <w:rsid w:val="077063E1"/>
    <w:rsid w:val="07740BAF"/>
    <w:rsid w:val="077C7570"/>
    <w:rsid w:val="07811241"/>
    <w:rsid w:val="07837045"/>
    <w:rsid w:val="079A613C"/>
    <w:rsid w:val="079E3E7E"/>
    <w:rsid w:val="079E79DA"/>
    <w:rsid w:val="079F6970"/>
    <w:rsid w:val="07A62D33"/>
    <w:rsid w:val="07A75C76"/>
    <w:rsid w:val="07AB19A2"/>
    <w:rsid w:val="07B64182"/>
    <w:rsid w:val="07C12195"/>
    <w:rsid w:val="07C17B6D"/>
    <w:rsid w:val="07CB62B5"/>
    <w:rsid w:val="07EA270D"/>
    <w:rsid w:val="07FF4EC7"/>
    <w:rsid w:val="080A32C2"/>
    <w:rsid w:val="081606E4"/>
    <w:rsid w:val="0818225B"/>
    <w:rsid w:val="081D2FF5"/>
    <w:rsid w:val="081D3018"/>
    <w:rsid w:val="081E4AEB"/>
    <w:rsid w:val="08204893"/>
    <w:rsid w:val="08225745"/>
    <w:rsid w:val="08372E6A"/>
    <w:rsid w:val="08430582"/>
    <w:rsid w:val="084F33CB"/>
    <w:rsid w:val="08601134"/>
    <w:rsid w:val="08606AB8"/>
    <w:rsid w:val="087143C3"/>
    <w:rsid w:val="087370B9"/>
    <w:rsid w:val="087679A3"/>
    <w:rsid w:val="08777BE0"/>
    <w:rsid w:val="087D5B89"/>
    <w:rsid w:val="088A61B1"/>
    <w:rsid w:val="088E4FD3"/>
    <w:rsid w:val="08940648"/>
    <w:rsid w:val="08997D49"/>
    <w:rsid w:val="089E23F4"/>
    <w:rsid w:val="08A35785"/>
    <w:rsid w:val="08A60BF7"/>
    <w:rsid w:val="08A708AD"/>
    <w:rsid w:val="08AB3A01"/>
    <w:rsid w:val="08B03E69"/>
    <w:rsid w:val="08B27E06"/>
    <w:rsid w:val="08C25A1E"/>
    <w:rsid w:val="08D37B58"/>
    <w:rsid w:val="08E458C1"/>
    <w:rsid w:val="08F33D56"/>
    <w:rsid w:val="08FE3363"/>
    <w:rsid w:val="090F2EFE"/>
    <w:rsid w:val="093C7F4C"/>
    <w:rsid w:val="093E4477"/>
    <w:rsid w:val="0951690E"/>
    <w:rsid w:val="09540C99"/>
    <w:rsid w:val="09585107"/>
    <w:rsid w:val="095E3AB5"/>
    <w:rsid w:val="09657E30"/>
    <w:rsid w:val="096A04BC"/>
    <w:rsid w:val="096E162E"/>
    <w:rsid w:val="097924AD"/>
    <w:rsid w:val="09813405"/>
    <w:rsid w:val="098552F6"/>
    <w:rsid w:val="09903D2D"/>
    <w:rsid w:val="0992531D"/>
    <w:rsid w:val="099B67B3"/>
    <w:rsid w:val="09C20894"/>
    <w:rsid w:val="09C556F2"/>
    <w:rsid w:val="09D37BC5"/>
    <w:rsid w:val="09D43B87"/>
    <w:rsid w:val="09D75426"/>
    <w:rsid w:val="09DE50CA"/>
    <w:rsid w:val="0A1B6300"/>
    <w:rsid w:val="0A21777C"/>
    <w:rsid w:val="0A323F62"/>
    <w:rsid w:val="0A3676D6"/>
    <w:rsid w:val="0A374116"/>
    <w:rsid w:val="0A397E8E"/>
    <w:rsid w:val="0A3E23FE"/>
    <w:rsid w:val="0A5B7DD0"/>
    <w:rsid w:val="0A5C0B3F"/>
    <w:rsid w:val="0A951E77"/>
    <w:rsid w:val="0AA6125B"/>
    <w:rsid w:val="0AB539B9"/>
    <w:rsid w:val="0AB60822"/>
    <w:rsid w:val="0AC40089"/>
    <w:rsid w:val="0AE34C36"/>
    <w:rsid w:val="0AFE4579"/>
    <w:rsid w:val="0B01622E"/>
    <w:rsid w:val="0B026EC9"/>
    <w:rsid w:val="0B0C7351"/>
    <w:rsid w:val="0B183F48"/>
    <w:rsid w:val="0B1D50BA"/>
    <w:rsid w:val="0B1F0E32"/>
    <w:rsid w:val="0B1F52D6"/>
    <w:rsid w:val="0B205C4E"/>
    <w:rsid w:val="0B297F03"/>
    <w:rsid w:val="0B401DD6"/>
    <w:rsid w:val="0B4E7969"/>
    <w:rsid w:val="0B541DC7"/>
    <w:rsid w:val="0B621946"/>
    <w:rsid w:val="0B6658C1"/>
    <w:rsid w:val="0B770C6E"/>
    <w:rsid w:val="0B7B4809"/>
    <w:rsid w:val="0B7F0BFB"/>
    <w:rsid w:val="0B9510F4"/>
    <w:rsid w:val="0BA53A2D"/>
    <w:rsid w:val="0BAF1B6E"/>
    <w:rsid w:val="0BB579E9"/>
    <w:rsid w:val="0BF95B27"/>
    <w:rsid w:val="0BFF4052"/>
    <w:rsid w:val="0C177D5B"/>
    <w:rsid w:val="0C182DB8"/>
    <w:rsid w:val="0C355241"/>
    <w:rsid w:val="0C37664F"/>
    <w:rsid w:val="0C394176"/>
    <w:rsid w:val="0C3A4E1C"/>
    <w:rsid w:val="0C473E0A"/>
    <w:rsid w:val="0C5E1E2E"/>
    <w:rsid w:val="0C5E3BDC"/>
    <w:rsid w:val="0C6D4563"/>
    <w:rsid w:val="0C825B1D"/>
    <w:rsid w:val="0C970E9C"/>
    <w:rsid w:val="0CC417A8"/>
    <w:rsid w:val="0CC779D3"/>
    <w:rsid w:val="0CCA7F6F"/>
    <w:rsid w:val="0CD45A1D"/>
    <w:rsid w:val="0CD82D1D"/>
    <w:rsid w:val="0CDF2F6F"/>
    <w:rsid w:val="0CEC768D"/>
    <w:rsid w:val="0D0227BA"/>
    <w:rsid w:val="0D215336"/>
    <w:rsid w:val="0D237401"/>
    <w:rsid w:val="0D240982"/>
    <w:rsid w:val="0D29243C"/>
    <w:rsid w:val="0D3037CB"/>
    <w:rsid w:val="0D312C9C"/>
    <w:rsid w:val="0D450893"/>
    <w:rsid w:val="0D5F19BA"/>
    <w:rsid w:val="0D637C2D"/>
    <w:rsid w:val="0D650A0F"/>
    <w:rsid w:val="0D662B71"/>
    <w:rsid w:val="0D676AC1"/>
    <w:rsid w:val="0D6C6ADC"/>
    <w:rsid w:val="0D7031F0"/>
    <w:rsid w:val="0D782A7C"/>
    <w:rsid w:val="0D7C07BE"/>
    <w:rsid w:val="0D7F02AE"/>
    <w:rsid w:val="0D7F39F3"/>
    <w:rsid w:val="0D7F47A4"/>
    <w:rsid w:val="0D8623D3"/>
    <w:rsid w:val="0D8C75AD"/>
    <w:rsid w:val="0D945ED5"/>
    <w:rsid w:val="0DC454CA"/>
    <w:rsid w:val="0DD128FD"/>
    <w:rsid w:val="0DD423A8"/>
    <w:rsid w:val="0DD759F4"/>
    <w:rsid w:val="0DE20414"/>
    <w:rsid w:val="0DF36426"/>
    <w:rsid w:val="0DFC545B"/>
    <w:rsid w:val="0E241EB1"/>
    <w:rsid w:val="0E3177FA"/>
    <w:rsid w:val="0E3706E7"/>
    <w:rsid w:val="0E3A41D5"/>
    <w:rsid w:val="0E3B7858"/>
    <w:rsid w:val="0E425004"/>
    <w:rsid w:val="0E480FA0"/>
    <w:rsid w:val="0E4B22C7"/>
    <w:rsid w:val="0E7C659C"/>
    <w:rsid w:val="0E805742"/>
    <w:rsid w:val="0E813745"/>
    <w:rsid w:val="0E8813E4"/>
    <w:rsid w:val="0E975183"/>
    <w:rsid w:val="0EAD6A25"/>
    <w:rsid w:val="0ED148DA"/>
    <w:rsid w:val="0ED92450"/>
    <w:rsid w:val="0EDB59B8"/>
    <w:rsid w:val="0EE752CD"/>
    <w:rsid w:val="0EEC26ED"/>
    <w:rsid w:val="0EF00994"/>
    <w:rsid w:val="0EF218B5"/>
    <w:rsid w:val="0F117DC1"/>
    <w:rsid w:val="0F251C7F"/>
    <w:rsid w:val="0F39623B"/>
    <w:rsid w:val="0F45027E"/>
    <w:rsid w:val="0F475D53"/>
    <w:rsid w:val="0F5764BE"/>
    <w:rsid w:val="0F6459AD"/>
    <w:rsid w:val="0F737E43"/>
    <w:rsid w:val="0F81030D"/>
    <w:rsid w:val="0F827BE2"/>
    <w:rsid w:val="0F8309E5"/>
    <w:rsid w:val="0F8F594E"/>
    <w:rsid w:val="0FC401FA"/>
    <w:rsid w:val="0FC93A62"/>
    <w:rsid w:val="0FD6061F"/>
    <w:rsid w:val="0FD83CA6"/>
    <w:rsid w:val="0FF70217"/>
    <w:rsid w:val="0FFE2CF5"/>
    <w:rsid w:val="10026020"/>
    <w:rsid w:val="100D48FD"/>
    <w:rsid w:val="10190546"/>
    <w:rsid w:val="10274FD4"/>
    <w:rsid w:val="1031492B"/>
    <w:rsid w:val="10324003"/>
    <w:rsid w:val="1032785A"/>
    <w:rsid w:val="10374E70"/>
    <w:rsid w:val="103F17D0"/>
    <w:rsid w:val="1040224D"/>
    <w:rsid w:val="105300C1"/>
    <w:rsid w:val="1053212B"/>
    <w:rsid w:val="10555467"/>
    <w:rsid w:val="105C48D7"/>
    <w:rsid w:val="105E41AB"/>
    <w:rsid w:val="10627354"/>
    <w:rsid w:val="107A6B0B"/>
    <w:rsid w:val="1081365F"/>
    <w:rsid w:val="10986240"/>
    <w:rsid w:val="10B1077E"/>
    <w:rsid w:val="10B65D95"/>
    <w:rsid w:val="10C364AD"/>
    <w:rsid w:val="10C65213"/>
    <w:rsid w:val="10DB3A4D"/>
    <w:rsid w:val="10E5667A"/>
    <w:rsid w:val="10EA3C90"/>
    <w:rsid w:val="10EE2B84"/>
    <w:rsid w:val="10F43AC4"/>
    <w:rsid w:val="10FE629D"/>
    <w:rsid w:val="111927C8"/>
    <w:rsid w:val="11194576"/>
    <w:rsid w:val="111D4066"/>
    <w:rsid w:val="111D5839"/>
    <w:rsid w:val="11203B56"/>
    <w:rsid w:val="11247572"/>
    <w:rsid w:val="1127475F"/>
    <w:rsid w:val="112B53FC"/>
    <w:rsid w:val="112F5B47"/>
    <w:rsid w:val="116C28F7"/>
    <w:rsid w:val="117B00BB"/>
    <w:rsid w:val="117B0D8C"/>
    <w:rsid w:val="11812847"/>
    <w:rsid w:val="1185547F"/>
    <w:rsid w:val="11A110D7"/>
    <w:rsid w:val="11AF7E92"/>
    <w:rsid w:val="11B147AE"/>
    <w:rsid w:val="11BC011F"/>
    <w:rsid w:val="11C24C0D"/>
    <w:rsid w:val="11D010D8"/>
    <w:rsid w:val="11D43A3D"/>
    <w:rsid w:val="11D5049D"/>
    <w:rsid w:val="11DF608A"/>
    <w:rsid w:val="11ED1C8A"/>
    <w:rsid w:val="120E39AF"/>
    <w:rsid w:val="121D3354"/>
    <w:rsid w:val="121E1FB4"/>
    <w:rsid w:val="121E6AEB"/>
    <w:rsid w:val="122A25C8"/>
    <w:rsid w:val="122A278C"/>
    <w:rsid w:val="125A65E4"/>
    <w:rsid w:val="126637EB"/>
    <w:rsid w:val="12680669"/>
    <w:rsid w:val="126E39D3"/>
    <w:rsid w:val="12706417"/>
    <w:rsid w:val="127E0B34"/>
    <w:rsid w:val="128B14A3"/>
    <w:rsid w:val="128D5195"/>
    <w:rsid w:val="12AE60A6"/>
    <w:rsid w:val="12C312F3"/>
    <w:rsid w:val="12C348D8"/>
    <w:rsid w:val="12C9796E"/>
    <w:rsid w:val="12CF75E2"/>
    <w:rsid w:val="12D8372B"/>
    <w:rsid w:val="12DB4D5B"/>
    <w:rsid w:val="12DB7D35"/>
    <w:rsid w:val="12DD14E8"/>
    <w:rsid w:val="12EF7943"/>
    <w:rsid w:val="12F4756B"/>
    <w:rsid w:val="12F64B6E"/>
    <w:rsid w:val="12F86B39"/>
    <w:rsid w:val="131D034D"/>
    <w:rsid w:val="13286CF2"/>
    <w:rsid w:val="132E6DCE"/>
    <w:rsid w:val="1330111B"/>
    <w:rsid w:val="13385187"/>
    <w:rsid w:val="133F0FD6"/>
    <w:rsid w:val="134C0770"/>
    <w:rsid w:val="134C3473"/>
    <w:rsid w:val="134D0507"/>
    <w:rsid w:val="1360023A"/>
    <w:rsid w:val="13791725"/>
    <w:rsid w:val="1380268A"/>
    <w:rsid w:val="13A20852"/>
    <w:rsid w:val="13A24CF6"/>
    <w:rsid w:val="13AC157B"/>
    <w:rsid w:val="13C54288"/>
    <w:rsid w:val="13CE33F5"/>
    <w:rsid w:val="13D50C28"/>
    <w:rsid w:val="13E470BD"/>
    <w:rsid w:val="13E56991"/>
    <w:rsid w:val="13E744B7"/>
    <w:rsid w:val="13EB044B"/>
    <w:rsid w:val="13F01035"/>
    <w:rsid w:val="141F00F5"/>
    <w:rsid w:val="1437543F"/>
    <w:rsid w:val="143A6CDD"/>
    <w:rsid w:val="145C30F7"/>
    <w:rsid w:val="146B50E8"/>
    <w:rsid w:val="14783B21"/>
    <w:rsid w:val="14787805"/>
    <w:rsid w:val="147F6DE6"/>
    <w:rsid w:val="14861704"/>
    <w:rsid w:val="148B12E6"/>
    <w:rsid w:val="148F527B"/>
    <w:rsid w:val="149A3C1F"/>
    <w:rsid w:val="149C1746"/>
    <w:rsid w:val="149C7998"/>
    <w:rsid w:val="14A5330C"/>
    <w:rsid w:val="14B16F70"/>
    <w:rsid w:val="14BC3B96"/>
    <w:rsid w:val="14D81917"/>
    <w:rsid w:val="14DC5FE6"/>
    <w:rsid w:val="14EB4064"/>
    <w:rsid w:val="14EB6229"/>
    <w:rsid w:val="14F779D9"/>
    <w:rsid w:val="15001CD4"/>
    <w:rsid w:val="150A4901"/>
    <w:rsid w:val="150F2719"/>
    <w:rsid w:val="151D7059"/>
    <w:rsid w:val="15212515"/>
    <w:rsid w:val="152E4A94"/>
    <w:rsid w:val="153B1DB4"/>
    <w:rsid w:val="154B7030"/>
    <w:rsid w:val="154F67B8"/>
    <w:rsid w:val="157409F8"/>
    <w:rsid w:val="15787ABD"/>
    <w:rsid w:val="157B75AD"/>
    <w:rsid w:val="15A417A0"/>
    <w:rsid w:val="15AC59B8"/>
    <w:rsid w:val="15B11221"/>
    <w:rsid w:val="15B36D47"/>
    <w:rsid w:val="15BB3E4D"/>
    <w:rsid w:val="15C01464"/>
    <w:rsid w:val="15C73F04"/>
    <w:rsid w:val="15D2013C"/>
    <w:rsid w:val="15E3096C"/>
    <w:rsid w:val="15EF58A5"/>
    <w:rsid w:val="1605367F"/>
    <w:rsid w:val="16094BB9"/>
    <w:rsid w:val="1615355E"/>
    <w:rsid w:val="16183950"/>
    <w:rsid w:val="161F618A"/>
    <w:rsid w:val="162B5097"/>
    <w:rsid w:val="163D4862"/>
    <w:rsid w:val="164B1656"/>
    <w:rsid w:val="16525E01"/>
    <w:rsid w:val="165627BA"/>
    <w:rsid w:val="16585B40"/>
    <w:rsid w:val="16816E45"/>
    <w:rsid w:val="16873D30"/>
    <w:rsid w:val="16893F4C"/>
    <w:rsid w:val="16935FB9"/>
    <w:rsid w:val="16940921"/>
    <w:rsid w:val="16AE14EF"/>
    <w:rsid w:val="16B43E2E"/>
    <w:rsid w:val="16CB4564"/>
    <w:rsid w:val="16DB6033"/>
    <w:rsid w:val="16E6314C"/>
    <w:rsid w:val="16E77900"/>
    <w:rsid w:val="16EF3DAF"/>
    <w:rsid w:val="16F076FE"/>
    <w:rsid w:val="16F13FCB"/>
    <w:rsid w:val="16F94C2D"/>
    <w:rsid w:val="16FB4072"/>
    <w:rsid w:val="170F61FF"/>
    <w:rsid w:val="17101F77"/>
    <w:rsid w:val="171E6442"/>
    <w:rsid w:val="17215F32"/>
    <w:rsid w:val="172C5003"/>
    <w:rsid w:val="173739A8"/>
    <w:rsid w:val="17424826"/>
    <w:rsid w:val="174D42AB"/>
    <w:rsid w:val="1760369B"/>
    <w:rsid w:val="177469AA"/>
    <w:rsid w:val="17852965"/>
    <w:rsid w:val="178F0FE3"/>
    <w:rsid w:val="17B1645B"/>
    <w:rsid w:val="17B165EA"/>
    <w:rsid w:val="17CC7A8D"/>
    <w:rsid w:val="17D631C0"/>
    <w:rsid w:val="17DB5730"/>
    <w:rsid w:val="17DE788F"/>
    <w:rsid w:val="17E064BA"/>
    <w:rsid w:val="17E958A0"/>
    <w:rsid w:val="17FC3D52"/>
    <w:rsid w:val="1800023D"/>
    <w:rsid w:val="18047D2E"/>
    <w:rsid w:val="18062254"/>
    <w:rsid w:val="180D4CD7"/>
    <w:rsid w:val="180D75BF"/>
    <w:rsid w:val="183B3024"/>
    <w:rsid w:val="184055B9"/>
    <w:rsid w:val="184D6FA7"/>
    <w:rsid w:val="184D7FB5"/>
    <w:rsid w:val="185A07A3"/>
    <w:rsid w:val="185D743E"/>
    <w:rsid w:val="185F1807"/>
    <w:rsid w:val="1863235F"/>
    <w:rsid w:val="18673E19"/>
    <w:rsid w:val="18701DE2"/>
    <w:rsid w:val="188430C7"/>
    <w:rsid w:val="188C4D77"/>
    <w:rsid w:val="188D7D18"/>
    <w:rsid w:val="189866C8"/>
    <w:rsid w:val="18A24E51"/>
    <w:rsid w:val="18A72D74"/>
    <w:rsid w:val="18AD3F21"/>
    <w:rsid w:val="18BC5F12"/>
    <w:rsid w:val="18D07A46"/>
    <w:rsid w:val="18D331C9"/>
    <w:rsid w:val="18D86AC4"/>
    <w:rsid w:val="18DA6CE0"/>
    <w:rsid w:val="18DC1D03"/>
    <w:rsid w:val="18DF60A5"/>
    <w:rsid w:val="18F57676"/>
    <w:rsid w:val="19063631"/>
    <w:rsid w:val="1910625E"/>
    <w:rsid w:val="19204FCE"/>
    <w:rsid w:val="192173E3"/>
    <w:rsid w:val="194203E4"/>
    <w:rsid w:val="19445F08"/>
    <w:rsid w:val="194674E2"/>
    <w:rsid w:val="194F1CD5"/>
    <w:rsid w:val="194F4DD1"/>
    <w:rsid w:val="196C2483"/>
    <w:rsid w:val="198540F4"/>
    <w:rsid w:val="198A6011"/>
    <w:rsid w:val="19924659"/>
    <w:rsid w:val="199767A0"/>
    <w:rsid w:val="199926F8"/>
    <w:rsid w:val="199A4C29"/>
    <w:rsid w:val="19A35324"/>
    <w:rsid w:val="19B44871"/>
    <w:rsid w:val="19CC487B"/>
    <w:rsid w:val="19D656C2"/>
    <w:rsid w:val="19DA212E"/>
    <w:rsid w:val="19EA6AAF"/>
    <w:rsid w:val="19ED29B7"/>
    <w:rsid w:val="19F45B80"/>
    <w:rsid w:val="19F65454"/>
    <w:rsid w:val="1A02204B"/>
    <w:rsid w:val="1A026195"/>
    <w:rsid w:val="1A051B3B"/>
    <w:rsid w:val="1A085DD8"/>
    <w:rsid w:val="1A2D0E85"/>
    <w:rsid w:val="1A312930"/>
    <w:rsid w:val="1A3F3CC7"/>
    <w:rsid w:val="1A4C6DBB"/>
    <w:rsid w:val="1A516B2E"/>
    <w:rsid w:val="1A5B5BFF"/>
    <w:rsid w:val="1A620D3B"/>
    <w:rsid w:val="1A6374B3"/>
    <w:rsid w:val="1A670100"/>
    <w:rsid w:val="1A702CF1"/>
    <w:rsid w:val="1A7602D2"/>
    <w:rsid w:val="1A831D72"/>
    <w:rsid w:val="1A892250"/>
    <w:rsid w:val="1A930EF5"/>
    <w:rsid w:val="1A9C297F"/>
    <w:rsid w:val="1A9D78C2"/>
    <w:rsid w:val="1AAB21F7"/>
    <w:rsid w:val="1AC9700C"/>
    <w:rsid w:val="1ADA57F2"/>
    <w:rsid w:val="1ADF238C"/>
    <w:rsid w:val="1AE54D49"/>
    <w:rsid w:val="1AE56525"/>
    <w:rsid w:val="1AF20311"/>
    <w:rsid w:val="1AF35E37"/>
    <w:rsid w:val="1B081E13"/>
    <w:rsid w:val="1B0B3181"/>
    <w:rsid w:val="1B216501"/>
    <w:rsid w:val="1B4B5C73"/>
    <w:rsid w:val="1B720792"/>
    <w:rsid w:val="1B746F78"/>
    <w:rsid w:val="1B793BCF"/>
    <w:rsid w:val="1B7E6EF2"/>
    <w:rsid w:val="1BA50EE0"/>
    <w:rsid w:val="1BB77BD7"/>
    <w:rsid w:val="1BC04907"/>
    <w:rsid w:val="1BD26992"/>
    <w:rsid w:val="1BD9327F"/>
    <w:rsid w:val="1BDD4B1E"/>
    <w:rsid w:val="1BE85270"/>
    <w:rsid w:val="1BEA2F39"/>
    <w:rsid w:val="1C100A5A"/>
    <w:rsid w:val="1C161DDD"/>
    <w:rsid w:val="1C203BF3"/>
    <w:rsid w:val="1C222F92"/>
    <w:rsid w:val="1C3B5CE8"/>
    <w:rsid w:val="1C3E1334"/>
    <w:rsid w:val="1C3F5BE8"/>
    <w:rsid w:val="1C4F7B96"/>
    <w:rsid w:val="1C591AE1"/>
    <w:rsid w:val="1C5E0883"/>
    <w:rsid w:val="1C5F1621"/>
    <w:rsid w:val="1C62632F"/>
    <w:rsid w:val="1C6425E2"/>
    <w:rsid w:val="1C6C1EF5"/>
    <w:rsid w:val="1C6F14EE"/>
    <w:rsid w:val="1C9F6277"/>
    <w:rsid w:val="1CA234AD"/>
    <w:rsid w:val="1CA70C88"/>
    <w:rsid w:val="1CA74E49"/>
    <w:rsid w:val="1CAF6F51"/>
    <w:rsid w:val="1CB05D8E"/>
    <w:rsid w:val="1CBF3D37"/>
    <w:rsid w:val="1CCA3FD1"/>
    <w:rsid w:val="1CDA2E0B"/>
    <w:rsid w:val="1CDF6673"/>
    <w:rsid w:val="1CE007B0"/>
    <w:rsid w:val="1D3E783E"/>
    <w:rsid w:val="1D4316AD"/>
    <w:rsid w:val="1D455796"/>
    <w:rsid w:val="1D4A4435"/>
    <w:rsid w:val="1D507571"/>
    <w:rsid w:val="1D507F5F"/>
    <w:rsid w:val="1D5F70F7"/>
    <w:rsid w:val="1D8A760F"/>
    <w:rsid w:val="1DA90ACE"/>
    <w:rsid w:val="1DAA0909"/>
    <w:rsid w:val="1DB61054"/>
    <w:rsid w:val="1DC15D79"/>
    <w:rsid w:val="1DD01570"/>
    <w:rsid w:val="1DD107F8"/>
    <w:rsid w:val="1DD71DF7"/>
    <w:rsid w:val="1DD73D67"/>
    <w:rsid w:val="1DDA1BEE"/>
    <w:rsid w:val="1E083FBE"/>
    <w:rsid w:val="1E1A3944"/>
    <w:rsid w:val="1E30040C"/>
    <w:rsid w:val="1E390B15"/>
    <w:rsid w:val="1E4324A1"/>
    <w:rsid w:val="1E4458F1"/>
    <w:rsid w:val="1E592455"/>
    <w:rsid w:val="1E674B72"/>
    <w:rsid w:val="1E6D1BAD"/>
    <w:rsid w:val="1E7B061E"/>
    <w:rsid w:val="1E7D7EF2"/>
    <w:rsid w:val="1E946D28"/>
    <w:rsid w:val="1EAC4C7B"/>
    <w:rsid w:val="1EB05EE2"/>
    <w:rsid w:val="1EB31B66"/>
    <w:rsid w:val="1EB8717C"/>
    <w:rsid w:val="1EBF050A"/>
    <w:rsid w:val="1EDF41B4"/>
    <w:rsid w:val="1EED664D"/>
    <w:rsid w:val="1EF02DBA"/>
    <w:rsid w:val="1F0D14E1"/>
    <w:rsid w:val="1F132604"/>
    <w:rsid w:val="1F170346"/>
    <w:rsid w:val="1F196151"/>
    <w:rsid w:val="1F3F789D"/>
    <w:rsid w:val="1F400656"/>
    <w:rsid w:val="1F461963"/>
    <w:rsid w:val="1F5570C1"/>
    <w:rsid w:val="1F5F3A9B"/>
    <w:rsid w:val="1F6F66B0"/>
    <w:rsid w:val="1F7C7944"/>
    <w:rsid w:val="1F7E48B7"/>
    <w:rsid w:val="1F9D69AD"/>
    <w:rsid w:val="1F9F7C74"/>
    <w:rsid w:val="1FA176A9"/>
    <w:rsid w:val="1FA3607E"/>
    <w:rsid w:val="1FA567E1"/>
    <w:rsid w:val="1FAF67D1"/>
    <w:rsid w:val="1FC524E9"/>
    <w:rsid w:val="1FCD13A1"/>
    <w:rsid w:val="1FD40B49"/>
    <w:rsid w:val="1FD819B2"/>
    <w:rsid w:val="1FDE70B6"/>
    <w:rsid w:val="1FE83A91"/>
    <w:rsid w:val="200135A9"/>
    <w:rsid w:val="20034F03"/>
    <w:rsid w:val="2009699D"/>
    <w:rsid w:val="20185446"/>
    <w:rsid w:val="201E7CD7"/>
    <w:rsid w:val="2027280B"/>
    <w:rsid w:val="202848F8"/>
    <w:rsid w:val="2033249B"/>
    <w:rsid w:val="20401B1F"/>
    <w:rsid w:val="20607ACB"/>
    <w:rsid w:val="20623843"/>
    <w:rsid w:val="206B43DE"/>
    <w:rsid w:val="206C2914"/>
    <w:rsid w:val="20716543"/>
    <w:rsid w:val="208A0FEC"/>
    <w:rsid w:val="208C2C5B"/>
    <w:rsid w:val="20987265"/>
    <w:rsid w:val="209D2FFE"/>
    <w:rsid w:val="20A06EA1"/>
    <w:rsid w:val="20A16929"/>
    <w:rsid w:val="20AB3EC2"/>
    <w:rsid w:val="20B47E17"/>
    <w:rsid w:val="20C20786"/>
    <w:rsid w:val="20C77B4A"/>
    <w:rsid w:val="20CD3904"/>
    <w:rsid w:val="20D44015"/>
    <w:rsid w:val="20DB53A4"/>
    <w:rsid w:val="20E10FBD"/>
    <w:rsid w:val="20E51AC6"/>
    <w:rsid w:val="20F03AF9"/>
    <w:rsid w:val="20F44BDA"/>
    <w:rsid w:val="21076199"/>
    <w:rsid w:val="21157E5B"/>
    <w:rsid w:val="21204F6E"/>
    <w:rsid w:val="21205910"/>
    <w:rsid w:val="21224D81"/>
    <w:rsid w:val="213760C2"/>
    <w:rsid w:val="21543AA8"/>
    <w:rsid w:val="21695B1C"/>
    <w:rsid w:val="217079BC"/>
    <w:rsid w:val="21867A05"/>
    <w:rsid w:val="218B6DCA"/>
    <w:rsid w:val="21937A2C"/>
    <w:rsid w:val="219826A7"/>
    <w:rsid w:val="219D58C9"/>
    <w:rsid w:val="219F0AC7"/>
    <w:rsid w:val="21AC3DC2"/>
    <w:rsid w:val="21B04A82"/>
    <w:rsid w:val="21BE719F"/>
    <w:rsid w:val="21C24356"/>
    <w:rsid w:val="21C85928"/>
    <w:rsid w:val="21C916A0"/>
    <w:rsid w:val="21CB12DF"/>
    <w:rsid w:val="21D70261"/>
    <w:rsid w:val="21E77118"/>
    <w:rsid w:val="21EF5F52"/>
    <w:rsid w:val="21F00B60"/>
    <w:rsid w:val="21F90759"/>
    <w:rsid w:val="21FE57EE"/>
    <w:rsid w:val="22066450"/>
    <w:rsid w:val="221A55CD"/>
    <w:rsid w:val="221E379A"/>
    <w:rsid w:val="222F3BF9"/>
    <w:rsid w:val="22581750"/>
    <w:rsid w:val="22596EC8"/>
    <w:rsid w:val="22643B2A"/>
    <w:rsid w:val="2267302D"/>
    <w:rsid w:val="22765384"/>
    <w:rsid w:val="227A3683"/>
    <w:rsid w:val="228965D3"/>
    <w:rsid w:val="228A0E2F"/>
    <w:rsid w:val="22926C59"/>
    <w:rsid w:val="22995516"/>
    <w:rsid w:val="22AB5E06"/>
    <w:rsid w:val="22AC0867"/>
    <w:rsid w:val="22BF31CF"/>
    <w:rsid w:val="22D32730"/>
    <w:rsid w:val="22D47138"/>
    <w:rsid w:val="22D64075"/>
    <w:rsid w:val="22E42C35"/>
    <w:rsid w:val="22E54C87"/>
    <w:rsid w:val="22EB084B"/>
    <w:rsid w:val="22FB1D2D"/>
    <w:rsid w:val="22FD7853"/>
    <w:rsid w:val="23190AF3"/>
    <w:rsid w:val="231D6147"/>
    <w:rsid w:val="233B037C"/>
    <w:rsid w:val="234D0F8D"/>
    <w:rsid w:val="236A498B"/>
    <w:rsid w:val="236E24FF"/>
    <w:rsid w:val="23764AF4"/>
    <w:rsid w:val="239312F5"/>
    <w:rsid w:val="239C21B8"/>
    <w:rsid w:val="23AB79FA"/>
    <w:rsid w:val="23B14C77"/>
    <w:rsid w:val="23B343B6"/>
    <w:rsid w:val="23B6792D"/>
    <w:rsid w:val="23C8740E"/>
    <w:rsid w:val="23CA5FC4"/>
    <w:rsid w:val="23CF5A5D"/>
    <w:rsid w:val="23D7358B"/>
    <w:rsid w:val="23E822B1"/>
    <w:rsid w:val="23E909AC"/>
    <w:rsid w:val="23EF1892"/>
    <w:rsid w:val="23FC3FAF"/>
    <w:rsid w:val="24015121"/>
    <w:rsid w:val="24107A5A"/>
    <w:rsid w:val="241A2687"/>
    <w:rsid w:val="24217A5F"/>
    <w:rsid w:val="242F7EE0"/>
    <w:rsid w:val="24452828"/>
    <w:rsid w:val="24525D5B"/>
    <w:rsid w:val="24632CB5"/>
    <w:rsid w:val="24642706"/>
    <w:rsid w:val="24681644"/>
    <w:rsid w:val="246E3050"/>
    <w:rsid w:val="246F070F"/>
    <w:rsid w:val="2474508C"/>
    <w:rsid w:val="247B3126"/>
    <w:rsid w:val="248144B4"/>
    <w:rsid w:val="2483647E"/>
    <w:rsid w:val="248D775C"/>
    <w:rsid w:val="249266C1"/>
    <w:rsid w:val="24967F5F"/>
    <w:rsid w:val="24A106B2"/>
    <w:rsid w:val="24A32186"/>
    <w:rsid w:val="24B03B5D"/>
    <w:rsid w:val="24B46637"/>
    <w:rsid w:val="24BD65B2"/>
    <w:rsid w:val="24C820E3"/>
    <w:rsid w:val="24C874D4"/>
    <w:rsid w:val="24C90335"/>
    <w:rsid w:val="24DB5972"/>
    <w:rsid w:val="24DC16EA"/>
    <w:rsid w:val="24DE1906"/>
    <w:rsid w:val="24EC0600"/>
    <w:rsid w:val="24F627AC"/>
    <w:rsid w:val="250F386E"/>
    <w:rsid w:val="251B66B7"/>
    <w:rsid w:val="251F3AB0"/>
    <w:rsid w:val="25257535"/>
    <w:rsid w:val="25262F8B"/>
    <w:rsid w:val="25287ED0"/>
    <w:rsid w:val="25387269"/>
    <w:rsid w:val="253A6130"/>
    <w:rsid w:val="253F5CBC"/>
    <w:rsid w:val="25402651"/>
    <w:rsid w:val="25474FA8"/>
    <w:rsid w:val="255B5BEE"/>
    <w:rsid w:val="256B319A"/>
    <w:rsid w:val="256F255E"/>
    <w:rsid w:val="257162D7"/>
    <w:rsid w:val="257227BA"/>
    <w:rsid w:val="258204E4"/>
    <w:rsid w:val="258E0855"/>
    <w:rsid w:val="259326F1"/>
    <w:rsid w:val="25AD37B3"/>
    <w:rsid w:val="25AF5AD6"/>
    <w:rsid w:val="25B05051"/>
    <w:rsid w:val="25B06DFF"/>
    <w:rsid w:val="25C1695A"/>
    <w:rsid w:val="25C66622"/>
    <w:rsid w:val="25C97EC1"/>
    <w:rsid w:val="25D24FC7"/>
    <w:rsid w:val="25DB6D3F"/>
    <w:rsid w:val="25F02265"/>
    <w:rsid w:val="260E3B25"/>
    <w:rsid w:val="2610044F"/>
    <w:rsid w:val="26121868"/>
    <w:rsid w:val="26143832"/>
    <w:rsid w:val="2626177D"/>
    <w:rsid w:val="262F00B9"/>
    <w:rsid w:val="2637307C"/>
    <w:rsid w:val="26387C84"/>
    <w:rsid w:val="264B24A9"/>
    <w:rsid w:val="26741DCB"/>
    <w:rsid w:val="267B2845"/>
    <w:rsid w:val="26C1503C"/>
    <w:rsid w:val="26C746AA"/>
    <w:rsid w:val="26CB6C26"/>
    <w:rsid w:val="26CF552F"/>
    <w:rsid w:val="26D25359"/>
    <w:rsid w:val="26D528A9"/>
    <w:rsid w:val="26D70D00"/>
    <w:rsid w:val="26D7660D"/>
    <w:rsid w:val="26E11F8E"/>
    <w:rsid w:val="26F22E8B"/>
    <w:rsid w:val="26F92A28"/>
    <w:rsid w:val="26FE0374"/>
    <w:rsid w:val="26FE1CAB"/>
    <w:rsid w:val="271909D4"/>
    <w:rsid w:val="27204648"/>
    <w:rsid w:val="27335F39"/>
    <w:rsid w:val="274E0D01"/>
    <w:rsid w:val="275C51BA"/>
    <w:rsid w:val="27615186"/>
    <w:rsid w:val="27682B6B"/>
    <w:rsid w:val="277C53C2"/>
    <w:rsid w:val="277E7202"/>
    <w:rsid w:val="278B39A6"/>
    <w:rsid w:val="278C564A"/>
    <w:rsid w:val="279544FE"/>
    <w:rsid w:val="27955252"/>
    <w:rsid w:val="27960276"/>
    <w:rsid w:val="279C73CC"/>
    <w:rsid w:val="279D25D9"/>
    <w:rsid w:val="27A9326C"/>
    <w:rsid w:val="27B91A8A"/>
    <w:rsid w:val="27CB4B01"/>
    <w:rsid w:val="27DF1C1D"/>
    <w:rsid w:val="27ED433A"/>
    <w:rsid w:val="27FA6A57"/>
    <w:rsid w:val="27FD0D2F"/>
    <w:rsid w:val="27FE7525"/>
    <w:rsid w:val="280C74A6"/>
    <w:rsid w:val="28151E87"/>
    <w:rsid w:val="28211A6B"/>
    <w:rsid w:val="2834453D"/>
    <w:rsid w:val="28373807"/>
    <w:rsid w:val="283B19EF"/>
    <w:rsid w:val="283B4950"/>
    <w:rsid w:val="283F26BC"/>
    <w:rsid w:val="28433F5A"/>
    <w:rsid w:val="284D4DD9"/>
    <w:rsid w:val="2858552C"/>
    <w:rsid w:val="2859377E"/>
    <w:rsid w:val="286A598B"/>
    <w:rsid w:val="28833BA0"/>
    <w:rsid w:val="28840018"/>
    <w:rsid w:val="28991DCC"/>
    <w:rsid w:val="28B0085E"/>
    <w:rsid w:val="28C01A4F"/>
    <w:rsid w:val="28C037FD"/>
    <w:rsid w:val="28D472A8"/>
    <w:rsid w:val="28D56B7C"/>
    <w:rsid w:val="28DC43AF"/>
    <w:rsid w:val="28E73FFA"/>
    <w:rsid w:val="28F214DC"/>
    <w:rsid w:val="28F36F76"/>
    <w:rsid w:val="28F519E7"/>
    <w:rsid w:val="29171209"/>
    <w:rsid w:val="29272FC4"/>
    <w:rsid w:val="292C49EE"/>
    <w:rsid w:val="29347D47"/>
    <w:rsid w:val="293D2E5D"/>
    <w:rsid w:val="294301F5"/>
    <w:rsid w:val="29491A44"/>
    <w:rsid w:val="29593F67"/>
    <w:rsid w:val="295D104C"/>
    <w:rsid w:val="29851F68"/>
    <w:rsid w:val="29984105"/>
    <w:rsid w:val="29A0362E"/>
    <w:rsid w:val="29A97E6C"/>
    <w:rsid w:val="29E7224E"/>
    <w:rsid w:val="29FA076A"/>
    <w:rsid w:val="29FF7627"/>
    <w:rsid w:val="2A0140CD"/>
    <w:rsid w:val="2A1D6A2D"/>
    <w:rsid w:val="2A245994"/>
    <w:rsid w:val="2A2B2EF8"/>
    <w:rsid w:val="2A2F26E2"/>
    <w:rsid w:val="2A3004CC"/>
    <w:rsid w:val="2A337FFE"/>
    <w:rsid w:val="2A4A348B"/>
    <w:rsid w:val="2A4B4C8A"/>
    <w:rsid w:val="2A4B5348"/>
    <w:rsid w:val="2A522B7B"/>
    <w:rsid w:val="2A687D75"/>
    <w:rsid w:val="2A6D1762"/>
    <w:rsid w:val="2A6E594A"/>
    <w:rsid w:val="2AA624EE"/>
    <w:rsid w:val="2AAA2E79"/>
    <w:rsid w:val="2AB44E6A"/>
    <w:rsid w:val="2AC84BEB"/>
    <w:rsid w:val="2ACB0237"/>
    <w:rsid w:val="2ADD7F15"/>
    <w:rsid w:val="2AFC6642"/>
    <w:rsid w:val="2AFC7C94"/>
    <w:rsid w:val="2AFF1E1F"/>
    <w:rsid w:val="2B073965"/>
    <w:rsid w:val="2B0760E4"/>
    <w:rsid w:val="2B0A6FB1"/>
    <w:rsid w:val="2B0C6412"/>
    <w:rsid w:val="2B1478F6"/>
    <w:rsid w:val="2B1716CE"/>
    <w:rsid w:val="2B17413C"/>
    <w:rsid w:val="2B274B2D"/>
    <w:rsid w:val="2B275402"/>
    <w:rsid w:val="2B2838DB"/>
    <w:rsid w:val="2B544339"/>
    <w:rsid w:val="2B5F6386"/>
    <w:rsid w:val="2B7D3EBC"/>
    <w:rsid w:val="2B996EB9"/>
    <w:rsid w:val="2B9E76FA"/>
    <w:rsid w:val="2BA30F6E"/>
    <w:rsid w:val="2BC37160"/>
    <w:rsid w:val="2BC453B2"/>
    <w:rsid w:val="2BDB00FF"/>
    <w:rsid w:val="2BE772F2"/>
    <w:rsid w:val="2BF6650A"/>
    <w:rsid w:val="2BF91D68"/>
    <w:rsid w:val="2C0E0D23"/>
    <w:rsid w:val="2C154579"/>
    <w:rsid w:val="2C1F3EF3"/>
    <w:rsid w:val="2C202EC4"/>
    <w:rsid w:val="2C2036A9"/>
    <w:rsid w:val="2C2A3340"/>
    <w:rsid w:val="2C2E6CCF"/>
    <w:rsid w:val="2C305C3B"/>
    <w:rsid w:val="2C376479"/>
    <w:rsid w:val="2C3A0591"/>
    <w:rsid w:val="2C5F50DB"/>
    <w:rsid w:val="2C825543"/>
    <w:rsid w:val="2C923EDB"/>
    <w:rsid w:val="2C92443B"/>
    <w:rsid w:val="2CA52ED6"/>
    <w:rsid w:val="2CA90A4C"/>
    <w:rsid w:val="2CB1338F"/>
    <w:rsid w:val="2CC47634"/>
    <w:rsid w:val="2CF10D5A"/>
    <w:rsid w:val="2CFC5020"/>
    <w:rsid w:val="2CFE70ED"/>
    <w:rsid w:val="2D031F0A"/>
    <w:rsid w:val="2D186A37"/>
    <w:rsid w:val="2D1F12BC"/>
    <w:rsid w:val="2D1F6B19"/>
    <w:rsid w:val="2D236108"/>
    <w:rsid w:val="2D241E80"/>
    <w:rsid w:val="2D367DBD"/>
    <w:rsid w:val="2D4402E1"/>
    <w:rsid w:val="2D4A3C0B"/>
    <w:rsid w:val="2D4D7629"/>
    <w:rsid w:val="2D4E2469"/>
    <w:rsid w:val="2D510738"/>
    <w:rsid w:val="2D6A01DB"/>
    <w:rsid w:val="2D7050C6"/>
    <w:rsid w:val="2D727A5B"/>
    <w:rsid w:val="2D81692A"/>
    <w:rsid w:val="2D9708A4"/>
    <w:rsid w:val="2DA4527D"/>
    <w:rsid w:val="2DA51213"/>
    <w:rsid w:val="2DA54B8B"/>
    <w:rsid w:val="2DAF2092"/>
    <w:rsid w:val="2DC24EE3"/>
    <w:rsid w:val="2DCF7395"/>
    <w:rsid w:val="2DD1025A"/>
    <w:rsid w:val="2DD170C2"/>
    <w:rsid w:val="2DDD7CDF"/>
    <w:rsid w:val="2DE73F83"/>
    <w:rsid w:val="2E073865"/>
    <w:rsid w:val="2E30540C"/>
    <w:rsid w:val="2E375631"/>
    <w:rsid w:val="2E3903BB"/>
    <w:rsid w:val="2E3C5442"/>
    <w:rsid w:val="2E4722CA"/>
    <w:rsid w:val="2E5A72C5"/>
    <w:rsid w:val="2E690493"/>
    <w:rsid w:val="2E7A52DF"/>
    <w:rsid w:val="2E820D75"/>
    <w:rsid w:val="2E8B665B"/>
    <w:rsid w:val="2E905A1F"/>
    <w:rsid w:val="2E916F82"/>
    <w:rsid w:val="2EA76DB2"/>
    <w:rsid w:val="2EA8720D"/>
    <w:rsid w:val="2EB6421E"/>
    <w:rsid w:val="2EE26290"/>
    <w:rsid w:val="2EE61AE3"/>
    <w:rsid w:val="2EFC30B5"/>
    <w:rsid w:val="2EFD43BB"/>
    <w:rsid w:val="2F0D6706"/>
    <w:rsid w:val="2F1C5003"/>
    <w:rsid w:val="2F210D6D"/>
    <w:rsid w:val="2F2E7AAF"/>
    <w:rsid w:val="2F360B18"/>
    <w:rsid w:val="2F590507"/>
    <w:rsid w:val="2F650C5A"/>
    <w:rsid w:val="2F666780"/>
    <w:rsid w:val="2F6B3D97"/>
    <w:rsid w:val="2F786B4C"/>
    <w:rsid w:val="2F8512FC"/>
    <w:rsid w:val="2F9B28CE"/>
    <w:rsid w:val="2F9C6646"/>
    <w:rsid w:val="2FCA31B3"/>
    <w:rsid w:val="2FCD4A51"/>
    <w:rsid w:val="2FE050AA"/>
    <w:rsid w:val="2FE543C3"/>
    <w:rsid w:val="2FEC2B4C"/>
    <w:rsid w:val="2FF26950"/>
    <w:rsid w:val="2FF66463"/>
    <w:rsid w:val="2FF81272"/>
    <w:rsid w:val="2FFB336C"/>
    <w:rsid w:val="2FFB3907"/>
    <w:rsid w:val="3017590C"/>
    <w:rsid w:val="30325911"/>
    <w:rsid w:val="303B19BB"/>
    <w:rsid w:val="304764C2"/>
    <w:rsid w:val="3050190A"/>
    <w:rsid w:val="30573A3A"/>
    <w:rsid w:val="30676840"/>
    <w:rsid w:val="30736576"/>
    <w:rsid w:val="30893C43"/>
    <w:rsid w:val="309967C8"/>
    <w:rsid w:val="30A532D8"/>
    <w:rsid w:val="30A92DC8"/>
    <w:rsid w:val="30AC4667"/>
    <w:rsid w:val="30BF25EC"/>
    <w:rsid w:val="30C8785A"/>
    <w:rsid w:val="30D15875"/>
    <w:rsid w:val="30DA7426"/>
    <w:rsid w:val="30DB6EB9"/>
    <w:rsid w:val="30E67B79"/>
    <w:rsid w:val="30EE2ED1"/>
    <w:rsid w:val="30F1651D"/>
    <w:rsid w:val="31025886"/>
    <w:rsid w:val="31046251"/>
    <w:rsid w:val="310D6069"/>
    <w:rsid w:val="31105B45"/>
    <w:rsid w:val="311A1F18"/>
    <w:rsid w:val="312A1B32"/>
    <w:rsid w:val="313136FF"/>
    <w:rsid w:val="3138467B"/>
    <w:rsid w:val="313E2043"/>
    <w:rsid w:val="313E5C07"/>
    <w:rsid w:val="31466869"/>
    <w:rsid w:val="31572824"/>
    <w:rsid w:val="316311C9"/>
    <w:rsid w:val="31663AC4"/>
    <w:rsid w:val="316E7B6E"/>
    <w:rsid w:val="3173284C"/>
    <w:rsid w:val="318D4D20"/>
    <w:rsid w:val="319D4FDD"/>
    <w:rsid w:val="319E48F7"/>
    <w:rsid w:val="31B1601B"/>
    <w:rsid w:val="31BE28A4"/>
    <w:rsid w:val="31CD0D39"/>
    <w:rsid w:val="31D0549A"/>
    <w:rsid w:val="31E5266C"/>
    <w:rsid w:val="31F91B2E"/>
    <w:rsid w:val="32026C34"/>
    <w:rsid w:val="320318B4"/>
    <w:rsid w:val="32171FB4"/>
    <w:rsid w:val="3225597D"/>
    <w:rsid w:val="322E49F9"/>
    <w:rsid w:val="32364B30"/>
    <w:rsid w:val="323963CE"/>
    <w:rsid w:val="323C0F4E"/>
    <w:rsid w:val="3244724D"/>
    <w:rsid w:val="324B1648"/>
    <w:rsid w:val="3250348C"/>
    <w:rsid w:val="32581235"/>
    <w:rsid w:val="3258433F"/>
    <w:rsid w:val="3258636B"/>
    <w:rsid w:val="325D0BB5"/>
    <w:rsid w:val="32621481"/>
    <w:rsid w:val="32B27636"/>
    <w:rsid w:val="32B31CDC"/>
    <w:rsid w:val="32BA750F"/>
    <w:rsid w:val="32D01FD9"/>
    <w:rsid w:val="32F347CF"/>
    <w:rsid w:val="32FC175E"/>
    <w:rsid w:val="331108DD"/>
    <w:rsid w:val="331523C1"/>
    <w:rsid w:val="33184235"/>
    <w:rsid w:val="331F3816"/>
    <w:rsid w:val="332C05E2"/>
    <w:rsid w:val="33321C39"/>
    <w:rsid w:val="336F53BC"/>
    <w:rsid w:val="3371204F"/>
    <w:rsid w:val="338F274A"/>
    <w:rsid w:val="33960E8A"/>
    <w:rsid w:val="33981EAF"/>
    <w:rsid w:val="33A361F5"/>
    <w:rsid w:val="33A855B9"/>
    <w:rsid w:val="33AB50A9"/>
    <w:rsid w:val="33DB773D"/>
    <w:rsid w:val="33DC1707"/>
    <w:rsid w:val="33F14B6C"/>
    <w:rsid w:val="33F97BC3"/>
    <w:rsid w:val="340731E4"/>
    <w:rsid w:val="341B6A4C"/>
    <w:rsid w:val="3428494C"/>
    <w:rsid w:val="34371CE9"/>
    <w:rsid w:val="343E5F1E"/>
    <w:rsid w:val="344277BC"/>
    <w:rsid w:val="34491DD2"/>
    <w:rsid w:val="34546879"/>
    <w:rsid w:val="346076B1"/>
    <w:rsid w:val="346314E0"/>
    <w:rsid w:val="34673F86"/>
    <w:rsid w:val="34711E4F"/>
    <w:rsid w:val="34750B27"/>
    <w:rsid w:val="34763909"/>
    <w:rsid w:val="347C5A95"/>
    <w:rsid w:val="348154F2"/>
    <w:rsid w:val="34820207"/>
    <w:rsid w:val="34842926"/>
    <w:rsid w:val="348C0A37"/>
    <w:rsid w:val="348F22D5"/>
    <w:rsid w:val="3496630F"/>
    <w:rsid w:val="34983880"/>
    <w:rsid w:val="34C150B5"/>
    <w:rsid w:val="34CC6681"/>
    <w:rsid w:val="34D32B0A"/>
    <w:rsid w:val="34D56D0F"/>
    <w:rsid w:val="34DF500B"/>
    <w:rsid w:val="34E15227"/>
    <w:rsid w:val="34E23D89"/>
    <w:rsid w:val="34E72111"/>
    <w:rsid w:val="34E85657"/>
    <w:rsid w:val="34EF0FC6"/>
    <w:rsid w:val="34EF3BFF"/>
    <w:rsid w:val="350E769E"/>
    <w:rsid w:val="351A4295"/>
    <w:rsid w:val="35213875"/>
    <w:rsid w:val="352A7547"/>
    <w:rsid w:val="352E101F"/>
    <w:rsid w:val="35357C69"/>
    <w:rsid w:val="35395D69"/>
    <w:rsid w:val="353F1C65"/>
    <w:rsid w:val="354D6418"/>
    <w:rsid w:val="3552799D"/>
    <w:rsid w:val="355407A8"/>
    <w:rsid w:val="355A0026"/>
    <w:rsid w:val="356C2617"/>
    <w:rsid w:val="357175FF"/>
    <w:rsid w:val="35757A7E"/>
    <w:rsid w:val="3577244E"/>
    <w:rsid w:val="358856A2"/>
    <w:rsid w:val="35917DCF"/>
    <w:rsid w:val="35A3118C"/>
    <w:rsid w:val="35A804C7"/>
    <w:rsid w:val="35AA20E5"/>
    <w:rsid w:val="35B64B86"/>
    <w:rsid w:val="35BB78D2"/>
    <w:rsid w:val="35C91CF6"/>
    <w:rsid w:val="35D11805"/>
    <w:rsid w:val="35D6236E"/>
    <w:rsid w:val="35F745D6"/>
    <w:rsid w:val="360B30A2"/>
    <w:rsid w:val="361C1AAD"/>
    <w:rsid w:val="36301896"/>
    <w:rsid w:val="36316394"/>
    <w:rsid w:val="36401C22"/>
    <w:rsid w:val="36481A4A"/>
    <w:rsid w:val="366A1737"/>
    <w:rsid w:val="367A5617"/>
    <w:rsid w:val="367E60DF"/>
    <w:rsid w:val="36857E34"/>
    <w:rsid w:val="368943FB"/>
    <w:rsid w:val="369F17C7"/>
    <w:rsid w:val="369F3613"/>
    <w:rsid w:val="36AE2339"/>
    <w:rsid w:val="36C941C4"/>
    <w:rsid w:val="36DD557A"/>
    <w:rsid w:val="36F124CE"/>
    <w:rsid w:val="36F30C44"/>
    <w:rsid w:val="36FB1EA4"/>
    <w:rsid w:val="37054AD1"/>
    <w:rsid w:val="370756AF"/>
    <w:rsid w:val="37184804"/>
    <w:rsid w:val="372E2279"/>
    <w:rsid w:val="372F2FE1"/>
    <w:rsid w:val="37307DA0"/>
    <w:rsid w:val="373158C6"/>
    <w:rsid w:val="37335AE2"/>
    <w:rsid w:val="37346684"/>
    <w:rsid w:val="37546D06"/>
    <w:rsid w:val="37585548"/>
    <w:rsid w:val="375F15B5"/>
    <w:rsid w:val="375F45E1"/>
    <w:rsid w:val="376C68FE"/>
    <w:rsid w:val="37736187"/>
    <w:rsid w:val="377E29CE"/>
    <w:rsid w:val="378E03DF"/>
    <w:rsid w:val="3798060A"/>
    <w:rsid w:val="37983B97"/>
    <w:rsid w:val="37A42790"/>
    <w:rsid w:val="37A84A17"/>
    <w:rsid w:val="37BB7829"/>
    <w:rsid w:val="37C42B4F"/>
    <w:rsid w:val="37C97400"/>
    <w:rsid w:val="37E74B44"/>
    <w:rsid w:val="37F012DD"/>
    <w:rsid w:val="37F05781"/>
    <w:rsid w:val="38184D3B"/>
    <w:rsid w:val="381B5D14"/>
    <w:rsid w:val="383E64EC"/>
    <w:rsid w:val="38467CC8"/>
    <w:rsid w:val="384A0187"/>
    <w:rsid w:val="38675A43"/>
    <w:rsid w:val="38741F0E"/>
    <w:rsid w:val="38752EFE"/>
    <w:rsid w:val="387719FE"/>
    <w:rsid w:val="387B504A"/>
    <w:rsid w:val="387D5266"/>
    <w:rsid w:val="387E4B3B"/>
    <w:rsid w:val="3898506E"/>
    <w:rsid w:val="389A3789"/>
    <w:rsid w:val="38AF0F59"/>
    <w:rsid w:val="38AF73EA"/>
    <w:rsid w:val="38B1475B"/>
    <w:rsid w:val="38CA6E75"/>
    <w:rsid w:val="38CD7870"/>
    <w:rsid w:val="38D806EF"/>
    <w:rsid w:val="38E47094"/>
    <w:rsid w:val="38E835B2"/>
    <w:rsid w:val="39064BD6"/>
    <w:rsid w:val="39094D4C"/>
    <w:rsid w:val="390C65EA"/>
    <w:rsid w:val="390F1C37"/>
    <w:rsid w:val="391D4354"/>
    <w:rsid w:val="3922196A"/>
    <w:rsid w:val="39290401"/>
    <w:rsid w:val="393618B9"/>
    <w:rsid w:val="393D0756"/>
    <w:rsid w:val="394A2C6F"/>
    <w:rsid w:val="394D5347"/>
    <w:rsid w:val="39586914"/>
    <w:rsid w:val="395B16E1"/>
    <w:rsid w:val="395F496C"/>
    <w:rsid w:val="39691347"/>
    <w:rsid w:val="397D5450"/>
    <w:rsid w:val="39804AD4"/>
    <w:rsid w:val="39846181"/>
    <w:rsid w:val="399C50DC"/>
    <w:rsid w:val="399F745E"/>
    <w:rsid w:val="39A405D1"/>
    <w:rsid w:val="39A46622"/>
    <w:rsid w:val="39A618CD"/>
    <w:rsid w:val="39B06F76"/>
    <w:rsid w:val="39B527DE"/>
    <w:rsid w:val="39BC0097"/>
    <w:rsid w:val="39D07618"/>
    <w:rsid w:val="39D30EB6"/>
    <w:rsid w:val="39D55A01"/>
    <w:rsid w:val="39E25C88"/>
    <w:rsid w:val="39F22086"/>
    <w:rsid w:val="3A0808C5"/>
    <w:rsid w:val="3A081016"/>
    <w:rsid w:val="3A0B2CF9"/>
    <w:rsid w:val="3A1313E9"/>
    <w:rsid w:val="3A156948"/>
    <w:rsid w:val="3A1E124C"/>
    <w:rsid w:val="3A43428E"/>
    <w:rsid w:val="3A5B3385"/>
    <w:rsid w:val="3A5F67E9"/>
    <w:rsid w:val="3A663AD8"/>
    <w:rsid w:val="3A667F7C"/>
    <w:rsid w:val="3A6844E3"/>
    <w:rsid w:val="3A75112A"/>
    <w:rsid w:val="3A7B3A28"/>
    <w:rsid w:val="3A900B55"/>
    <w:rsid w:val="3A9952BB"/>
    <w:rsid w:val="3A9D37AC"/>
    <w:rsid w:val="3ABE1B66"/>
    <w:rsid w:val="3AC21656"/>
    <w:rsid w:val="3ACA5240"/>
    <w:rsid w:val="3AD0485E"/>
    <w:rsid w:val="3AD46C94"/>
    <w:rsid w:val="3AEF1D20"/>
    <w:rsid w:val="3AF811CC"/>
    <w:rsid w:val="3AFD61EB"/>
    <w:rsid w:val="3B023801"/>
    <w:rsid w:val="3B07342C"/>
    <w:rsid w:val="3B0752BB"/>
    <w:rsid w:val="3B196D9D"/>
    <w:rsid w:val="3B1A08AC"/>
    <w:rsid w:val="3B1B0D67"/>
    <w:rsid w:val="3B1D0027"/>
    <w:rsid w:val="3B1F2605"/>
    <w:rsid w:val="3B35727E"/>
    <w:rsid w:val="3B3616FD"/>
    <w:rsid w:val="3B3F0042"/>
    <w:rsid w:val="3B467D63"/>
    <w:rsid w:val="3B4E4C98"/>
    <w:rsid w:val="3B5610D1"/>
    <w:rsid w:val="3B7010B2"/>
    <w:rsid w:val="3B8561E0"/>
    <w:rsid w:val="3B866FF0"/>
    <w:rsid w:val="3B8E1539"/>
    <w:rsid w:val="3B992AF8"/>
    <w:rsid w:val="3B9C1EA7"/>
    <w:rsid w:val="3BA50AE5"/>
    <w:rsid w:val="3BAD60C9"/>
    <w:rsid w:val="3BB20EFB"/>
    <w:rsid w:val="3BC046A9"/>
    <w:rsid w:val="3BD20FA1"/>
    <w:rsid w:val="3BE03C86"/>
    <w:rsid w:val="3BF21AC7"/>
    <w:rsid w:val="3BF92411"/>
    <w:rsid w:val="3C096343"/>
    <w:rsid w:val="3C105729"/>
    <w:rsid w:val="3C256AF1"/>
    <w:rsid w:val="3C265C15"/>
    <w:rsid w:val="3C3C1CDF"/>
    <w:rsid w:val="3C3D7460"/>
    <w:rsid w:val="3C4247F2"/>
    <w:rsid w:val="3C4B384D"/>
    <w:rsid w:val="3C522566"/>
    <w:rsid w:val="3C572F9F"/>
    <w:rsid w:val="3C5A58BF"/>
    <w:rsid w:val="3C5B34B7"/>
    <w:rsid w:val="3C5E09DA"/>
    <w:rsid w:val="3C5F6A31"/>
    <w:rsid w:val="3C6727D2"/>
    <w:rsid w:val="3C6866D6"/>
    <w:rsid w:val="3C70144A"/>
    <w:rsid w:val="3C77021F"/>
    <w:rsid w:val="3C834471"/>
    <w:rsid w:val="3C860462"/>
    <w:rsid w:val="3C8D359E"/>
    <w:rsid w:val="3CAB1C76"/>
    <w:rsid w:val="3CAB4D29"/>
    <w:rsid w:val="3CAC611A"/>
    <w:rsid w:val="3CB6212B"/>
    <w:rsid w:val="3CBD6A1B"/>
    <w:rsid w:val="3CD016DD"/>
    <w:rsid w:val="3CD13DD3"/>
    <w:rsid w:val="3CD63197"/>
    <w:rsid w:val="3CD967E3"/>
    <w:rsid w:val="3CE30CFC"/>
    <w:rsid w:val="3CEA279F"/>
    <w:rsid w:val="3CEA6C43"/>
    <w:rsid w:val="3D131211"/>
    <w:rsid w:val="3D1837B0"/>
    <w:rsid w:val="3D233F03"/>
    <w:rsid w:val="3D344362"/>
    <w:rsid w:val="3D455749"/>
    <w:rsid w:val="3D4F6AA6"/>
    <w:rsid w:val="3D6F7148"/>
    <w:rsid w:val="3D712EC0"/>
    <w:rsid w:val="3D736C38"/>
    <w:rsid w:val="3D826776"/>
    <w:rsid w:val="3D973978"/>
    <w:rsid w:val="3DB02FBD"/>
    <w:rsid w:val="3DC87FF6"/>
    <w:rsid w:val="3DD52FFD"/>
    <w:rsid w:val="3DD776F7"/>
    <w:rsid w:val="3DDD2303"/>
    <w:rsid w:val="3DEB55B3"/>
    <w:rsid w:val="3DED6027"/>
    <w:rsid w:val="3DFA1107"/>
    <w:rsid w:val="3DFA611C"/>
    <w:rsid w:val="3DFE06F4"/>
    <w:rsid w:val="3E0109F8"/>
    <w:rsid w:val="3E045AE2"/>
    <w:rsid w:val="3E077380"/>
    <w:rsid w:val="3E0C5804"/>
    <w:rsid w:val="3E163FEE"/>
    <w:rsid w:val="3E1E24A7"/>
    <w:rsid w:val="3E204A00"/>
    <w:rsid w:val="3E3B41B2"/>
    <w:rsid w:val="3E4203B8"/>
    <w:rsid w:val="3E4D3FD8"/>
    <w:rsid w:val="3E5636F5"/>
    <w:rsid w:val="3E601943"/>
    <w:rsid w:val="3E614560"/>
    <w:rsid w:val="3E670F9D"/>
    <w:rsid w:val="3E730D7F"/>
    <w:rsid w:val="3E743935"/>
    <w:rsid w:val="3E8310FD"/>
    <w:rsid w:val="3E854E75"/>
    <w:rsid w:val="3E9C718F"/>
    <w:rsid w:val="3E9F580B"/>
    <w:rsid w:val="3EC11C25"/>
    <w:rsid w:val="3EC60FE9"/>
    <w:rsid w:val="3ED23E32"/>
    <w:rsid w:val="3EE80F60"/>
    <w:rsid w:val="3EEF088A"/>
    <w:rsid w:val="3EF47B3D"/>
    <w:rsid w:val="3EF94F1B"/>
    <w:rsid w:val="3F0365C7"/>
    <w:rsid w:val="3F0F0BE2"/>
    <w:rsid w:val="3F1803C8"/>
    <w:rsid w:val="3F220916"/>
    <w:rsid w:val="3F373C95"/>
    <w:rsid w:val="3F561268"/>
    <w:rsid w:val="3F601A73"/>
    <w:rsid w:val="3F6E3B5B"/>
    <w:rsid w:val="3F724CCD"/>
    <w:rsid w:val="3F9335C1"/>
    <w:rsid w:val="3F9D6C41"/>
    <w:rsid w:val="3FB84DD6"/>
    <w:rsid w:val="3FC45529"/>
    <w:rsid w:val="3FC61A40"/>
    <w:rsid w:val="3FD544E6"/>
    <w:rsid w:val="3FDF3E39"/>
    <w:rsid w:val="3FE169B6"/>
    <w:rsid w:val="3FEE07F8"/>
    <w:rsid w:val="3FFC140D"/>
    <w:rsid w:val="40055B41"/>
    <w:rsid w:val="400E59F9"/>
    <w:rsid w:val="400F4510"/>
    <w:rsid w:val="40153FD6"/>
    <w:rsid w:val="4021514C"/>
    <w:rsid w:val="402B4847"/>
    <w:rsid w:val="402F139F"/>
    <w:rsid w:val="404B5C4A"/>
    <w:rsid w:val="405014B2"/>
    <w:rsid w:val="40837C7B"/>
    <w:rsid w:val="40923879"/>
    <w:rsid w:val="40D02FFE"/>
    <w:rsid w:val="40DB02E1"/>
    <w:rsid w:val="40ED0AAF"/>
    <w:rsid w:val="40F736DC"/>
    <w:rsid w:val="40FB141E"/>
    <w:rsid w:val="40FF4D48"/>
    <w:rsid w:val="4105229D"/>
    <w:rsid w:val="41134F23"/>
    <w:rsid w:val="411A40CF"/>
    <w:rsid w:val="411C3143"/>
    <w:rsid w:val="41377F7D"/>
    <w:rsid w:val="413B5CBF"/>
    <w:rsid w:val="416A3D71"/>
    <w:rsid w:val="416B088F"/>
    <w:rsid w:val="41856F3A"/>
    <w:rsid w:val="41994793"/>
    <w:rsid w:val="419B5BF7"/>
    <w:rsid w:val="41BB5B1D"/>
    <w:rsid w:val="41C45CB4"/>
    <w:rsid w:val="41CF4659"/>
    <w:rsid w:val="41D40344"/>
    <w:rsid w:val="41DE04EF"/>
    <w:rsid w:val="41F12885"/>
    <w:rsid w:val="41F36599"/>
    <w:rsid w:val="41F91A2B"/>
    <w:rsid w:val="41FD2F74"/>
    <w:rsid w:val="42177BFE"/>
    <w:rsid w:val="42181B5C"/>
    <w:rsid w:val="421B33FA"/>
    <w:rsid w:val="421D3616"/>
    <w:rsid w:val="42267C08"/>
    <w:rsid w:val="422B07CD"/>
    <w:rsid w:val="42365F67"/>
    <w:rsid w:val="423774C3"/>
    <w:rsid w:val="423E2E20"/>
    <w:rsid w:val="42415557"/>
    <w:rsid w:val="42492C9C"/>
    <w:rsid w:val="424A34B0"/>
    <w:rsid w:val="426245F1"/>
    <w:rsid w:val="4267663F"/>
    <w:rsid w:val="426A0E03"/>
    <w:rsid w:val="426D6123"/>
    <w:rsid w:val="42703746"/>
    <w:rsid w:val="427114DC"/>
    <w:rsid w:val="42834FCF"/>
    <w:rsid w:val="42870A90"/>
    <w:rsid w:val="4289012F"/>
    <w:rsid w:val="428E3AAD"/>
    <w:rsid w:val="42917A7F"/>
    <w:rsid w:val="42923059"/>
    <w:rsid w:val="42A507A7"/>
    <w:rsid w:val="42B86E9B"/>
    <w:rsid w:val="42C459E2"/>
    <w:rsid w:val="42D737C5"/>
    <w:rsid w:val="42D77C69"/>
    <w:rsid w:val="42F36125"/>
    <w:rsid w:val="4313237B"/>
    <w:rsid w:val="43140575"/>
    <w:rsid w:val="431B0487"/>
    <w:rsid w:val="431C742A"/>
    <w:rsid w:val="432033BE"/>
    <w:rsid w:val="432A5D9F"/>
    <w:rsid w:val="433D0B92"/>
    <w:rsid w:val="434F69ED"/>
    <w:rsid w:val="43505326"/>
    <w:rsid w:val="435766B4"/>
    <w:rsid w:val="43584C99"/>
    <w:rsid w:val="435F5AD1"/>
    <w:rsid w:val="436B215F"/>
    <w:rsid w:val="436D5ED7"/>
    <w:rsid w:val="437A4C70"/>
    <w:rsid w:val="438A5246"/>
    <w:rsid w:val="43AD2778"/>
    <w:rsid w:val="43B835F7"/>
    <w:rsid w:val="43D23F8D"/>
    <w:rsid w:val="43D815DD"/>
    <w:rsid w:val="43D84B60"/>
    <w:rsid w:val="43DF71C6"/>
    <w:rsid w:val="43E268C5"/>
    <w:rsid w:val="43E528FB"/>
    <w:rsid w:val="43EA520C"/>
    <w:rsid w:val="43F65A46"/>
    <w:rsid w:val="43FC55F1"/>
    <w:rsid w:val="44062F6B"/>
    <w:rsid w:val="441219F8"/>
    <w:rsid w:val="44136A7F"/>
    <w:rsid w:val="441F577B"/>
    <w:rsid w:val="44290050"/>
    <w:rsid w:val="442B1CB9"/>
    <w:rsid w:val="44376E65"/>
    <w:rsid w:val="44674861"/>
    <w:rsid w:val="44897F08"/>
    <w:rsid w:val="4491572C"/>
    <w:rsid w:val="449F6565"/>
    <w:rsid w:val="44A46D96"/>
    <w:rsid w:val="44B55D88"/>
    <w:rsid w:val="44BE6249"/>
    <w:rsid w:val="44C958CE"/>
    <w:rsid w:val="44D34460"/>
    <w:rsid w:val="44D75CFE"/>
    <w:rsid w:val="44DF2C9A"/>
    <w:rsid w:val="44E0071B"/>
    <w:rsid w:val="44F854AA"/>
    <w:rsid w:val="44F87A23"/>
    <w:rsid w:val="45015418"/>
    <w:rsid w:val="45085EB8"/>
    <w:rsid w:val="45097E82"/>
    <w:rsid w:val="450A60D4"/>
    <w:rsid w:val="450B1E4C"/>
    <w:rsid w:val="450B4C3A"/>
    <w:rsid w:val="451F26F1"/>
    <w:rsid w:val="4521341D"/>
    <w:rsid w:val="452E0FC6"/>
    <w:rsid w:val="453A628D"/>
    <w:rsid w:val="454D5FC1"/>
    <w:rsid w:val="45576E3F"/>
    <w:rsid w:val="456C596F"/>
    <w:rsid w:val="45801494"/>
    <w:rsid w:val="459C5503"/>
    <w:rsid w:val="45B222C8"/>
    <w:rsid w:val="45BA4303"/>
    <w:rsid w:val="45CF2E79"/>
    <w:rsid w:val="45D71050"/>
    <w:rsid w:val="45E52BA0"/>
    <w:rsid w:val="45EB289C"/>
    <w:rsid w:val="45F145F1"/>
    <w:rsid w:val="45F3102E"/>
    <w:rsid w:val="46095A4C"/>
    <w:rsid w:val="46115240"/>
    <w:rsid w:val="463F1DAD"/>
    <w:rsid w:val="46420831"/>
    <w:rsid w:val="4654512D"/>
    <w:rsid w:val="465E2BBD"/>
    <w:rsid w:val="4662784A"/>
    <w:rsid w:val="466C06C8"/>
    <w:rsid w:val="4677696F"/>
    <w:rsid w:val="467D516A"/>
    <w:rsid w:val="468E4AE3"/>
    <w:rsid w:val="46902048"/>
    <w:rsid w:val="46963997"/>
    <w:rsid w:val="469A6FE4"/>
    <w:rsid w:val="46A77952"/>
    <w:rsid w:val="46B207D1"/>
    <w:rsid w:val="46D06EA9"/>
    <w:rsid w:val="46DA6E91"/>
    <w:rsid w:val="47064679"/>
    <w:rsid w:val="47095F17"/>
    <w:rsid w:val="47241EE6"/>
    <w:rsid w:val="47246A79"/>
    <w:rsid w:val="472B3393"/>
    <w:rsid w:val="472D336E"/>
    <w:rsid w:val="473A67BC"/>
    <w:rsid w:val="473B751F"/>
    <w:rsid w:val="4740313F"/>
    <w:rsid w:val="474E7DCE"/>
    <w:rsid w:val="47514BAE"/>
    <w:rsid w:val="4754480D"/>
    <w:rsid w:val="47633879"/>
    <w:rsid w:val="476F4CAD"/>
    <w:rsid w:val="477C3392"/>
    <w:rsid w:val="478D7F75"/>
    <w:rsid w:val="47A1053F"/>
    <w:rsid w:val="47A53945"/>
    <w:rsid w:val="47AD0DCF"/>
    <w:rsid w:val="47B50951"/>
    <w:rsid w:val="47C36A0E"/>
    <w:rsid w:val="47C63E08"/>
    <w:rsid w:val="47D71C0C"/>
    <w:rsid w:val="47DF0FED"/>
    <w:rsid w:val="47EB386F"/>
    <w:rsid w:val="47EC042F"/>
    <w:rsid w:val="47EF6F11"/>
    <w:rsid w:val="47F210A1"/>
    <w:rsid w:val="47F6064A"/>
    <w:rsid w:val="47FC782A"/>
    <w:rsid w:val="480908C5"/>
    <w:rsid w:val="480B6323"/>
    <w:rsid w:val="48195416"/>
    <w:rsid w:val="481C49F5"/>
    <w:rsid w:val="481E59F2"/>
    <w:rsid w:val="4828061F"/>
    <w:rsid w:val="482D3E87"/>
    <w:rsid w:val="483861EC"/>
    <w:rsid w:val="483B59A8"/>
    <w:rsid w:val="483C5127"/>
    <w:rsid w:val="484A6F23"/>
    <w:rsid w:val="484C53BE"/>
    <w:rsid w:val="484D62D8"/>
    <w:rsid w:val="485F3534"/>
    <w:rsid w:val="48646CC4"/>
    <w:rsid w:val="48677399"/>
    <w:rsid w:val="486A6E89"/>
    <w:rsid w:val="48714F9B"/>
    <w:rsid w:val="487E65AC"/>
    <w:rsid w:val="48873C0C"/>
    <w:rsid w:val="489772F0"/>
    <w:rsid w:val="489807FE"/>
    <w:rsid w:val="489B644E"/>
    <w:rsid w:val="48BD1CA8"/>
    <w:rsid w:val="48E3171C"/>
    <w:rsid w:val="48E40A1B"/>
    <w:rsid w:val="48EE7ABB"/>
    <w:rsid w:val="48F055E1"/>
    <w:rsid w:val="48F2260D"/>
    <w:rsid w:val="492601CA"/>
    <w:rsid w:val="49320DB8"/>
    <w:rsid w:val="49354808"/>
    <w:rsid w:val="495042D1"/>
    <w:rsid w:val="49575FF0"/>
    <w:rsid w:val="495851E9"/>
    <w:rsid w:val="495A7761"/>
    <w:rsid w:val="496A6DF5"/>
    <w:rsid w:val="497D0831"/>
    <w:rsid w:val="49816239"/>
    <w:rsid w:val="49896D28"/>
    <w:rsid w:val="498D5180"/>
    <w:rsid w:val="49902920"/>
    <w:rsid w:val="49971F00"/>
    <w:rsid w:val="4999690A"/>
    <w:rsid w:val="499A10EF"/>
    <w:rsid w:val="49AF2386"/>
    <w:rsid w:val="49D22F38"/>
    <w:rsid w:val="49EF3AEA"/>
    <w:rsid w:val="4A081EFA"/>
    <w:rsid w:val="4A0E636B"/>
    <w:rsid w:val="4A192ACE"/>
    <w:rsid w:val="4A1B48DF"/>
    <w:rsid w:val="4A201EF6"/>
    <w:rsid w:val="4A243EC7"/>
    <w:rsid w:val="4A2F3EE7"/>
    <w:rsid w:val="4A61284F"/>
    <w:rsid w:val="4A631DE2"/>
    <w:rsid w:val="4A8173A9"/>
    <w:rsid w:val="4A871F75"/>
    <w:rsid w:val="4A941E17"/>
    <w:rsid w:val="4ACA1E61"/>
    <w:rsid w:val="4AD4401C"/>
    <w:rsid w:val="4AD8632C"/>
    <w:rsid w:val="4ADB406F"/>
    <w:rsid w:val="4AE40AB2"/>
    <w:rsid w:val="4AF13892"/>
    <w:rsid w:val="4B0A7451"/>
    <w:rsid w:val="4B12573E"/>
    <w:rsid w:val="4B143967"/>
    <w:rsid w:val="4B1D6F30"/>
    <w:rsid w:val="4B217CD3"/>
    <w:rsid w:val="4B35377F"/>
    <w:rsid w:val="4B517221"/>
    <w:rsid w:val="4B5D2E6D"/>
    <w:rsid w:val="4B60512F"/>
    <w:rsid w:val="4B6A45F5"/>
    <w:rsid w:val="4B6E0A3F"/>
    <w:rsid w:val="4B71239F"/>
    <w:rsid w:val="4B726C8C"/>
    <w:rsid w:val="4B75360D"/>
    <w:rsid w:val="4B893ACB"/>
    <w:rsid w:val="4B9F639D"/>
    <w:rsid w:val="4BAD53BF"/>
    <w:rsid w:val="4BB167B4"/>
    <w:rsid w:val="4BBF755A"/>
    <w:rsid w:val="4BC87F01"/>
    <w:rsid w:val="4BD32786"/>
    <w:rsid w:val="4BE40D01"/>
    <w:rsid w:val="4BE62047"/>
    <w:rsid w:val="4BED5E07"/>
    <w:rsid w:val="4BF2602B"/>
    <w:rsid w:val="4C0373D9"/>
    <w:rsid w:val="4C0C0625"/>
    <w:rsid w:val="4C123AC0"/>
    <w:rsid w:val="4C1415E6"/>
    <w:rsid w:val="4C1621E1"/>
    <w:rsid w:val="4C2537F3"/>
    <w:rsid w:val="4C352402"/>
    <w:rsid w:val="4C373527"/>
    <w:rsid w:val="4C4C6FD2"/>
    <w:rsid w:val="4C59775A"/>
    <w:rsid w:val="4C602A7D"/>
    <w:rsid w:val="4C612DC3"/>
    <w:rsid w:val="4C753E98"/>
    <w:rsid w:val="4C767332"/>
    <w:rsid w:val="4C8F5A79"/>
    <w:rsid w:val="4C94563B"/>
    <w:rsid w:val="4C983248"/>
    <w:rsid w:val="4C9B1D07"/>
    <w:rsid w:val="4CB84D79"/>
    <w:rsid w:val="4CBA258C"/>
    <w:rsid w:val="4CBA7A74"/>
    <w:rsid w:val="4CC823D1"/>
    <w:rsid w:val="4CD314A1"/>
    <w:rsid w:val="4CD4551D"/>
    <w:rsid w:val="4CD50BB3"/>
    <w:rsid w:val="4CE0596C"/>
    <w:rsid w:val="4CE27B91"/>
    <w:rsid w:val="4CF12E00"/>
    <w:rsid w:val="4CFF067F"/>
    <w:rsid w:val="4D193ED6"/>
    <w:rsid w:val="4D1E3D56"/>
    <w:rsid w:val="4D1F603C"/>
    <w:rsid w:val="4D2C698A"/>
    <w:rsid w:val="4D3006A2"/>
    <w:rsid w:val="4D3D2DBF"/>
    <w:rsid w:val="4D4545BE"/>
    <w:rsid w:val="4D616AAD"/>
    <w:rsid w:val="4D673998"/>
    <w:rsid w:val="4D74733E"/>
    <w:rsid w:val="4D7F0BFD"/>
    <w:rsid w:val="4D8057DD"/>
    <w:rsid w:val="4D8B3B2A"/>
    <w:rsid w:val="4D8B405A"/>
    <w:rsid w:val="4D8E361A"/>
    <w:rsid w:val="4D924EB8"/>
    <w:rsid w:val="4DA737D8"/>
    <w:rsid w:val="4DA86541"/>
    <w:rsid w:val="4DA92202"/>
    <w:rsid w:val="4DAD28CA"/>
    <w:rsid w:val="4DBC1F35"/>
    <w:rsid w:val="4DC81654"/>
    <w:rsid w:val="4DE6376B"/>
    <w:rsid w:val="4DEA5B15"/>
    <w:rsid w:val="4DEF230B"/>
    <w:rsid w:val="4DF44835"/>
    <w:rsid w:val="4DF53699"/>
    <w:rsid w:val="4DF7391F"/>
    <w:rsid w:val="4E10612E"/>
    <w:rsid w:val="4E140A69"/>
    <w:rsid w:val="4E151645"/>
    <w:rsid w:val="4E1E499E"/>
    <w:rsid w:val="4E2374AB"/>
    <w:rsid w:val="4E262B85"/>
    <w:rsid w:val="4E2B62C1"/>
    <w:rsid w:val="4E2C0D76"/>
    <w:rsid w:val="4E3046D1"/>
    <w:rsid w:val="4E395334"/>
    <w:rsid w:val="4E3C3076"/>
    <w:rsid w:val="4E3E0B9C"/>
    <w:rsid w:val="4E451F2B"/>
    <w:rsid w:val="4E6600F3"/>
    <w:rsid w:val="4E760336"/>
    <w:rsid w:val="4E771829"/>
    <w:rsid w:val="4E7740AE"/>
    <w:rsid w:val="4E7C6A13"/>
    <w:rsid w:val="4E7F40B7"/>
    <w:rsid w:val="4E802F63"/>
    <w:rsid w:val="4E834801"/>
    <w:rsid w:val="4E850579"/>
    <w:rsid w:val="4E9F7009"/>
    <w:rsid w:val="4EA65F89"/>
    <w:rsid w:val="4EAF077C"/>
    <w:rsid w:val="4EB70E3E"/>
    <w:rsid w:val="4EBE1CDD"/>
    <w:rsid w:val="4EBE7F2F"/>
    <w:rsid w:val="4EC24CB8"/>
    <w:rsid w:val="4ED015FC"/>
    <w:rsid w:val="4EEC684A"/>
    <w:rsid w:val="4EEE6F4F"/>
    <w:rsid w:val="4EF0595D"/>
    <w:rsid w:val="4EF94AC3"/>
    <w:rsid w:val="4F053468"/>
    <w:rsid w:val="4F10078B"/>
    <w:rsid w:val="4F1638C7"/>
    <w:rsid w:val="4F314719"/>
    <w:rsid w:val="4F3258DF"/>
    <w:rsid w:val="4F396F7C"/>
    <w:rsid w:val="4F3B332E"/>
    <w:rsid w:val="4F57124F"/>
    <w:rsid w:val="4F5F0A3F"/>
    <w:rsid w:val="4F6665FD"/>
    <w:rsid w:val="4F6B272A"/>
    <w:rsid w:val="4F732AC8"/>
    <w:rsid w:val="4F7D348C"/>
    <w:rsid w:val="4F9C7EC6"/>
    <w:rsid w:val="4FA42C81"/>
    <w:rsid w:val="4FAA4EE6"/>
    <w:rsid w:val="4FAE3B00"/>
    <w:rsid w:val="4FBA6948"/>
    <w:rsid w:val="4FC21359"/>
    <w:rsid w:val="4FD20B4A"/>
    <w:rsid w:val="4FD41CE9"/>
    <w:rsid w:val="4FD80505"/>
    <w:rsid w:val="4FD95020"/>
    <w:rsid w:val="4FE52FDF"/>
    <w:rsid w:val="4FF46A7D"/>
    <w:rsid w:val="50305A6C"/>
    <w:rsid w:val="50326C26"/>
    <w:rsid w:val="50346555"/>
    <w:rsid w:val="503B2116"/>
    <w:rsid w:val="503C1161"/>
    <w:rsid w:val="50501E08"/>
    <w:rsid w:val="50506965"/>
    <w:rsid w:val="50553883"/>
    <w:rsid w:val="50591CBD"/>
    <w:rsid w:val="505C17AE"/>
    <w:rsid w:val="506643DA"/>
    <w:rsid w:val="50666188"/>
    <w:rsid w:val="506737F2"/>
    <w:rsid w:val="50681E96"/>
    <w:rsid w:val="506B7C43"/>
    <w:rsid w:val="50715B8A"/>
    <w:rsid w:val="50854DD4"/>
    <w:rsid w:val="508F1B83"/>
    <w:rsid w:val="50937573"/>
    <w:rsid w:val="50946DC2"/>
    <w:rsid w:val="5097353C"/>
    <w:rsid w:val="509B4084"/>
    <w:rsid w:val="509C4E6C"/>
    <w:rsid w:val="50A3118B"/>
    <w:rsid w:val="50AE0678"/>
    <w:rsid w:val="50B03D7C"/>
    <w:rsid w:val="50CA3508"/>
    <w:rsid w:val="50CA4969"/>
    <w:rsid w:val="50CE6FD2"/>
    <w:rsid w:val="50D5061B"/>
    <w:rsid w:val="50EB2841"/>
    <w:rsid w:val="50ED14DC"/>
    <w:rsid w:val="50F33EC0"/>
    <w:rsid w:val="510C31D4"/>
    <w:rsid w:val="5116195C"/>
    <w:rsid w:val="511D40E7"/>
    <w:rsid w:val="511F2F07"/>
    <w:rsid w:val="512A07CE"/>
    <w:rsid w:val="512B50A2"/>
    <w:rsid w:val="51305DFD"/>
    <w:rsid w:val="51542485"/>
    <w:rsid w:val="516C3C72"/>
    <w:rsid w:val="516E3547"/>
    <w:rsid w:val="51823496"/>
    <w:rsid w:val="51856AE2"/>
    <w:rsid w:val="51A200D0"/>
    <w:rsid w:val="51A528A0"/>
    <w:rsid w:val="51AA02F7"/>
    <w:rsid w:val="51AE7DE7"/>
    <w:rsid w:val="51B95814"/>
    <w:rsid w:val="51C575AF"/>
    <w:rsid w:val="51C8534D"/>
    <w:rsid w:val="51CC4980"/>
    <w:rsid w:val="51D92CB9"/>
    <w:rsid w:val="51EB63C3"/>
    <w:rsid w:val="51EE28D9"/>
    <w:rsid w:val="51EF7344"/>
    <w:rsid w:val="51F15F26"/>
    <w:rsid w:val="51F36142"/>
    <w:rsid w:val="51F779E0"/>
    <w:rsid w:val="51FD48CA"/>
    <w:rsid w:val="520338D8"/>
    <w:rsid w:val="520420FD"/>
    <w:rsid w:val="5212481A"/>
    <w:rsid w:val="521C4BBD"/>
    <w:rsid w:val="522037C5"/>
    <w:rsid w:val="522307D5"/>
    <w:rsid w:val="522E5D3A"/>
    <w:rsid w:val="523B3F32"/>
    <w:rsid w:val="52434EB9"/>
    <w:rsid w:val="5247070E"/>
    <w:rsid w:val="52552541"/>
    <w:rsid w:val="52552958"/>
    <w:rsid w:val="525C788D"/>
    <w:rsid w:val="526306E9"/>
    <w:rsid w:val="52635D60"/>
    <w:rsid w:val="52696AED"/>
    <w:rsid w:val="52742DDF"/>
    <w:rsid w:val="52831274"/>
    <w:rsid w:val="528F5286"/>
    <w:rsid w:val="52990BE9"/>
    <w:rsid w:val="52A82A88"/>
    <w:rsid w:val="52B02227"/>
    <w:rsid w:val="52CD5925"/>
    <w:rsid w:val="52D7336D"/>
    <w:rsid w:val="53126132"/>
    <w:rsid w:val="531367DE"/>
    <w:rsid w:val="531D7670"/>
    <w:rsid w:val="533B173C"/>
    <w:rsid w:val="53417F80"/>
    <w:rsid w:val="534A3B3F"/>
    <w:rsid w:val="535D7D17"/>
    <w:rsid w:val="53620EBE"/>
    <w:rsid w:val="536D782E"/>
    <w:rsid w:val="53733096"/>
    <w:rsid w:val="53887C35"/>
    <w:rsid w:val="53894F6C"/>
    <w:rsid w:val="538C4158"/>
    <w:rsid w:val="539C2D37"/>
    <w:rsid w:val="53A771E4"/>
    <w:rsid w:val="53A95E5E"/>
    <w:rsid w:val="53AE2320"/>
    <w:rsid w:val="53B06098"/>
    <w:rsid w:val="53B10062"/>
    <w:rsid w:val="53BB67EB"/>
    <w:rsid w:val="53C421A6"/>
    <w:rsid w:val="53C438F2"/>
    <w:rsid w:val="53CC6C4A"/>
    <w:rsid w:val="53D37FD9"/>
    <w:rsid w:val="53E30BC0"/>
    <w:rsid w:val="53ED2A94"/>
    <w:rsid w:val="53F73CC7"/>
    <w:rsid w:val="53F817ED"/>
    <w:rsid w:val="5409320B"/>
    <w:rsid w:val="54210D44"/>
    <w:rsid w:val="544834FC"/>
    <w:rsid w:val="5449029B"/>
    <w:rsid w:val="544E58B1"/>
    <w:rsid w:val="5453288A"/>
    <w:rsid w:val="54701995"/>
    <w:rsid w:val="54825801"/>
    <w:rsid w:val="54831787"/>
    <w:rsid w:val="548553F0"/>
    <w:rsid w:val="548E5CAE"/>
    <w:rsid w:val="54992FD0"/>
    <w:rsid w:val="549D01D5"/>
    <w:rsid w:val="549D2B88"/>
    <w:rsid w:val="54A11E85"/>
    <w:rsid w:val="54AC4E44"/>
    <w:rsid w:val="54B17356"/>
    <w:rsid w:val="54BA6AA3"/>
    <w:rsid w:val="54BF0D1B"/>
    <w:rsid w:val="54C75945"/>
    <w:rsid w:val="54CE480A"/>
    <w:rsid w:val="54CF6529"/>
    <w:rsid w:val="54D1276A"/>
    <w:rsid w:val="54D23DEC"/>
    <w:rsid w:val="54E5197C"/>
    <w:rsid w:val="54FF2C49"/>
    <w:rsid w:val="55085A60"/>
    <w:rsid w:val="550B5550"/>
    <w:rsid w:val="5515048D"/>
    <w:rsid w:val="551663CF"/>
    <w:rsid w:val="55176D6D"/>
    <w:rsid w:val="55234417"/>
    <w:rsid w:val="552A1E7A"/>
    <w:rsid w:val="5531145B"/>
    <w:rsid w:val="553B7BE4"/>
    <w:rsid w:val="55400D0F"/>
    <w:rsid w:val="55456CB4"/>
    <w:rsid w:val="55746A8E"/>
    <w:rsid w:val="557B04A7"/>
    <w:rsid w:val="557D644E"/>
    <w:rsid w:val="558167B1"/>
    <w:rsid w:val="558700E6"/>
    <w:rsid w:val="55902E4B"/>
    <w:rsid w:val="55935C72"/>
    <w:rsid w:val="55974A50"/>
    <w:rsid w:val="559F7C8A"/>
    <w:rsid w:val="55CA0CDC"/>
    <w:rsid w:val="55D24836"/>
    <w:rsid w:val="55E311B9"/>
    <w:rsid w:val="55E71B19"/>
    <w:rsid w:val="55EF10B1"/>
    <w:rsid w:val="55F61D5C"/>
    <w:rsid w:val="55F93F3C"/>
    <w:rsid w:val="56044479"/>
    <w:rsid w:val="561439D5"/>
    <w:rsid w:val="561C1EA0"/>
    <w:rsid w:val="561F3061"/>
    <w:rsid w:val="56226FF5"/>
    <w:rsid w:val="5623022D"/>
    <w:rsid w:val="562B5EAA"/>
    <w:rsid w:val="56312D95"/>
    <w:rsid w:val="56344AF0"/>
    <w:rsid w:val="565C15FA"/>
    <w:rsid w:val="566233FF"/>
    <w:rsid w:val="5667626A"/>
    <w:rsid w:val="566D67EB"/>
    <w:rsid w:val="567A4851"/>
    <w:rsid w:val="567B780A"/>
    <w:rsid w:val="567C4958"/>
    <w:rsid w:val="568455BA"/>
    <w:rsid w:val="56A7547E"/>
    <w:rsid w:val="56A950C0"/>
    <w:rsid w:val="56B866E7"/>
    <w:rsid w:val="56BD48C7"/>
    <w:rsid w:val="56C43B9A"/>
    <w:rsid w:val="56C836F9"/>
    <w:rsid w:val="56E85B49"/>
    <w:rsid w:val="56E97B5B"/>
    <w:rsid w:val="570748B7"/>
    <w:rsid w:val="570A0F13"/>
    <w:rsid w:val="572B1EDA"/>
    <w:rsid w:val="572C012C"/>
    <w:rsid w:val="572C2443"/>
    <w:rsid w:val="57315C98"/>
    <w:rsid w:val="5737262D"/>
    <w:rsid w:val="574249AC"/>
    <w:rsid w:val="574B7235"/>
    <w:rsid w:val="574D74B3"/>
    <w:rsid w:val="57850F55"/>
    <w:rsid w:val="57A439FC"/>
    <w:rsid w:val="57AA3916"/>
    <w:rsid w:val="57B83763"/>
    <w:rsid w:val="57C33019"/>
    <w:rsid w:val="57C974C9"/>
    <w:rsid w:val="57DB113B"/>
    <w:rsid w:val="57DB28FB"/>
    <w:rsid w:val="582C415B"/>
    <w:rsid w:val="58433163"/>
    <w:rsid w:val="58466FCB"/>
    <w:rsid w:val="584D343E"/>
    <w:rsid w:val="58626FCF"/>
    <w:rsid w:val="586B07E0"/>
    <w:rsid w:val="58701FCB"/>
    <w:rsid w:val="5873180F"/>
    <w:rsid w:val="588A580E"/>
    <w:rsid w:val="588B2B5D"/>
    <w:rsid w:val="58C03568"/>
    <w:rsid w:val="58D72319"/>
    <w:rsid w:val="58EE3AE1"/>
    <w:rsid w:val="58F702C5"/>
    <w:rsid w:val="59034EBC"/>
    <w:rsid w:val="59151B75"/>
    <w:rsid w:val="591C5F7E"/>
    <w:rsid w:val="593343FF"/>
    <w:rsid w:val="59367040"/>
    <w:rsid w:val="59397C10"/>
    <w:rsid w:val="59527BF2"/>
    <w:rsid w:val="59686B4C"/>
    <w:rsid w:val="59771406"/>
    <w:rsid w:val="597B0EF6"/>
    <w:rsid w:val="59806267"/>
    <w:rsid w:val="59914BC8"/>
    <w:rsid w:val="599B64F4"/>
    <w:rsid w:val="59BC0163"/>
    <w:rsid w:val="59D13ABB"/>
    <w:rsid w:val="59D979CB"/>
    <w:rsid w:val="59E06FAB"/>
    <w:rsid w:val="59E44A57"/>
    <w:rsid w:val="59EC5008"/>
    <w:rsid w:val="59F004D4"/>
    <w:rsid w:val="59F15AC9"/>
    <w:rsid w:val="59FB2037"/>
    <w:rsid w:val="59FF5D6D"/>
    <w:rsid w:val="5A0966E9"/>
    <w:rsid w:val="5A0D0F2A"/>
    <w:rsid w:val="5A0E58C7"/>
    <w:rsid w:val="5A4B7536"/>
    <w:rsid w:val="5A4E2167"/>
    <w:rsid w:val="5A5359CF"/>
    <w:rsid w:val="5A56726E"/>
    <w:rsid w:val="5A571BE9"/>
    <w:rsid w:val="5A5917FB"/>
    <w:rsid w:val="5A5F4374"/>
    <w:rsid w:val="5A743FEE"/>
    <w:rsid w:val="5A81078E"/>
    <w:rsid w:val="5A865DA5"/>
    <w:rsid w:val="5A8E6DB3"/>
    <w:rsid w:val="5A986342"/>
    <w:rsid w:val="5AA8066B"/>
    <w:rsid w:val="5AB6202D"/>
    <w:rsid w:val="5ABF4E13"/>
    <w:rsid w:val="5ACF620B"/>
    <w:rsid w:val="5AD36E31"/>
    <w:rsid w:val="5AEA3722"/>
    <w:rsid w:val="5AEA3CD9"/>
    <w:rsid w:val="5AEE6358"/>
    <w:rsid w:val="5AEE7138"/>
    <w:rsid w:val="5AFA67D1"/>
    <w:rsid w:val="5AFE32A0"/>
    <w:rsid w:val="5B04316E"/>
    <w:rsid w:val="5B0968EE"/>
    <w:rsid w:val="5B0F4685"/>
    <w:rsid w:val="5B150ED7"/>
    <w:rsid w:val="5B3550D5"/>
    <w:rsid w:val="5B3C2907"/>
    <w:rsid w:val="5B4922C9"/>
    <w:rsid w:val="5B6854AA"/>
    <w:rsid w:val="5B6A1223"/>
    <w:rsid w:val="5B6D2AC1"/>
    <w:rsid w:val="5B751975"/>
    <w:rsid w:val="5B7A6F8C"/>
    <w:rsid w:val="5B7C4AB2"/>
    <w:rsid w:val="5B8B64E7"/>
    <w:rsid w:val="5BA05EEC"/>
    <w:rsid w:val="5BA069F2"/>
    <w:rsid w:val="5BA54009"/>
    <w:rsid w:val="5BD46EBF"/>
    <w:rsid w:val="5BDE576D"/>
    <w:rsid w:val="5BE30063"/>
    <w:rsid w:val="5BF02794"/>
    <w:rsid w:val="5BF449E8"/>
    <w:rsid w:val="5BFD2097"/>
    <w:rsid w:val="5C0056E3"/>
    <w:rsid w:val="5C050F4B"/>
    <w:rsid w:val="5C076A71"/>
    <w:rsid w:val="5C0E6052"/>
    <w:rsid w:val="5C164F06"/>
    <w:rsid w:val="5C1D44E7"/>
    <w:rsid w:val="5C2F44B3"/>
    <w:rsid w:val="5C325E65"/>
    <w:rsid w:val="5C397382"/>
    <w:rsid w:val="5C427C1E"/>
    <w:rsid w:val="5C4E764E"/>
    <w:rsid w:val="5C5F2336"/>
    <w:rsid w:val="5C7B0540"/>
    <w:rsid w:val="5C8961F4"/>
    <w:rsid w:val="5C8B66DE"/>
    <w:rsid w:val="5C8D59C8"/>
    <w:rsid w:val="5C9D59A0"/>
    <w:rsid w:val="5CA15BF1"/>
    <w:rsid w:val="5CBD35D4"/>
    <w:rsid w:val="5CC05393"/>
    <w:rsid w:val="5CC15D6D"/>
    <w:rsid w:val="5CC977C8"/>
    <w:rsid w:val="5CD32DF8"/>
    <w:rsid w:val="5CDE2BD0"/>
    <w:rsid w:val="5CF6176C"/>
    <w:rsid w:val="5CF94EA1"/>
    <w:rsid w:val="5D095BA1"/>
    <w:rsid w:val="5D1458EA"/>
    <w:rsid w:val="5D1A4185"/>
    <w:rsid w:val="5D1F7DEB"/>
    <w:rsid w:val="5D262F36"/>
    <w:rsid w:val="5D2A4A6D"/>
    <w:rsid w:val="5D2C4F72"/>
    <w:rsid w:val="5D3D1041"/>
    <w:rsid w:val="5D465377"/>
    <w:rsid w:val="5D4A2337"/>
    <w:rsid w:val="5D663C6C"/>
    <w:rsid w:val="5D6E48CE"/>
    <w:rsid w:val="5D82261B"/>
    <w:rsid w:val="5D891708"/>
    <w:rsid w:val="5D8B722E"/>
    <w:rsid w:val="5D9316CA"/>
    <w:rsid w:val="5DA55197"/>
    <w:rsid w:val="5DAF73C1"/>
    <w:rsid w:val="5DC170F4"/>
    <w:rsid w:val="5DE11544"/>
    <w:rsid w:val="5DEB5F1F"/>
    <w:rsid w:val="5DFA48AC"/>
    <w:rsid w:val="5E005E6E"/>
    <w:rsid w:val="5E062D59"/>
    <w:rsid w:val="5E134288"/>
    <w:rsid w:val="5E197A93"/>
    <w:rsid w:val="5E1B6804"/>
    <w:rsid w:val="5E2C27BF"/>
    <w:rsid w:val="5E3B6EA6"/>
    <w:rsid w:val="5E3C677A"/>
    <w:rsid w:val="5E414336"/>
    <w:rsid w:val="5E4C5503"/>
    <w:rsid w:val="5E542C08"/>
    <w:rsid w:val="5E5514CA"/>
    <w:rsid w:val="5E5568A8"/>
    <w:rsid w:val="5E671A49"/>
    <w:rsid w:val="5E700844"/>
    <w:rsid w:val="5E824AD5"/>
    <w:rsid w:val="5E843D51"/>
    <w:rsid w:val="5E9B16F3"/>
    <w:rsid w:val="5EA02575"/>
    <w:rsid w:val="5EA306D2"/>
    <w:rsid w:val="5EA41270"/>
    <w:rsid w:val="5EB81FFB"/>
    <w:rsid w:val="5EC7569F"/>
    <w:rsid w:val="5ED52E57"/>
    <w:rsid w:val="5EDF4B83"/>
    <w:rsid w:val="5EE825CE"/>
    <w:rsid w:val="5EF3322C"/>
    <w:rsid w:val="5EFA28BD"/>
    <w:rsid w:val="5F0436EB"/>
    <w:rsid w:val="5F04373C"/>
    <w:rsid w:val="5F0C558A"/>
    <w:rsid w:val="5F121FCF"/>
    <w:rsid w:val="5F1916CC"/>
    <w:rsid w:val="5F221E14"/>
    <w:rsid w:val="5F27742B"/>
    <w:rsid w:val="5F322057"/>
    <w:rsid w:val="5F465B03"/>
    <w:rsid w:val="5F4D6E91"/>
    <w:rsid w:val="5F6E6E08"/>
    <w:rsid w:val="5F7753BE"/>
    <w:rsid w:val="5F9433E4"/>
    <w:rsid w:val="5F9F3465"/>
    <w:rsid w:val="5FB7134F"/>
    <w:rsid w:val="5FB94527"/>
    <w:rsid w:val="5FC0745B"/>
    <w:rsid w:val="5FC131EA"/>
    <w:rsid w:val="5FE44ED2"/>
    <w:rsid w:val="5FF358A6"/>
    <w:rsid w:val="5FFB68ED"/>
    <w:rsid w:val="5FFC2665"/>
    <w:rsid w:val="60017C7C"/>
    <w:rsid w:val="600323AE"/>
    <w:rsid w:val="600339F4"/>
    <w:rsid w:val="60077B92"/>
    <w:rsid w:val="60173560"/>
    <w:rsid w:val="601E25DC"/>
    <w:rsid w:val="60263A9A"/>
    <w:rsid w:val="602C2E66"/>
    <w:rsid w:val="6037369D"/>
    <w:rsid w:val="60382285"/>
    <w:rsid w:val="603E2348"/>
    <w:rsid w:val="606131E6"/>
    <w:rsid w:val="60966616"/>
    <w:rsid w:val="60AA20C1"/>
    <w:rsid w:val="60B44CEE"/>
    <w:rsid w:val="60B47AF9"/>
    <w:rsid w:val="60B80DB8"/>
    <w:rsid w:val="60CB3A82"/>
    <w:rsid w:val="60D31618"/>
    <w:rsid w:val="60DB5A1A"/>
    <w:rsid w:val="60E70C20"/>
    <w:rsid w:val="60E863B5"/>
    <w:rsid w:val="60E92BEA"/>
    <w:rsid w:val="60EE50B8"/>
    <w:rsid w:val="60FB46CB"/>
    <w:rsid w:val="611750CF"/>
    <w:rsid w:val="612D48F1"/>
    <w:rsid w:val="61363955"/>
    <w:rsid w:val="61397B7D"/>
    <w:rsid w:val="6142054C"/>
    <w:rsid w:val="61446113"/>
    <w:rsid w:val="6151253D"/>
    <w:rsid w:val="615A5895"/>
    <w:rsid w:val="615F2EAC"/>
    <w:rsid w:val="61691F7C"/>
    <w:rsid w:val="61834DEC"/>
    <w:rsid w:val="61972646"/>
    <w:rsid w:val="61B76844"/>
    <w:rsid w:val="61F02009"/>
    <w:rsid w:val="61F335F4"/>
    <w:rsid w:val="620B4DE2"/>
    <w:rsid w:val="620F1CE8"/>
    <w:rsid w:val="624502F4"/>
    <w:rsid w:val="624F78B5"/>
    <w:rsid w:val="62566677"/>
    <w:rsid w:val="62581C80"/>
    <w:rsid w:val="625A074E"/>
    <w:rsid w:val="625B68E6"/>
    <w:rsid w:val="6260353D"/>
    <w:rsid w:val="62610D92"/>
    <w:rsid w:val="627821ED"/>
    <w:rsid w:val="629A05EE"/>
    <w:rsid w:val="62B32E3B"/>
    <w:rsid w:val="62BE4137"/>
    <w:rsid w:val="62C50B89"/>
    <w:rsid w:val="62D508D8"/>
    <w:rsid w:val="62D7209B"/>
    <w:rsid w:val="62DF26A5"/>
    <w:rsid w:val="62E250F0"/>
    <w:rsid w:val="62E312EC"/>
    <w:rsid w:val="62EE39CE"/>
    <w:rsid w:val="62F66C4B"/>
    <w:rsid w:val="62FA7330"/>
    <w:rsid w:val="62FB6C04"/>
    <w:rsid w:val="63027F93"/>
    <w:rsid w:val="630755A9"/>
    <w:rsid w:val="63250213"/>
    <w:rsid w:val="63250BED"/>
    <w:rsid w:val="632C3261"/>
    <w:rsid w:val="634E4F86"/>
    <w:rsid w:val="63526AAF"/>
    <w:rsid w:val="635D341B"/>
    <w:rsid w:val="635D53AC"/>
    <w:rsid w:val="63617251"/>
    <w:rsid w:val="638825FB"/>
    <w:rsid w:val="638D1F52"/>
    <w:rsid w:val="639A641D"/>
    <w:rsid w:val="63AE3C76"/>
    <w:rsid w:val="63B219B9"/>
    <w:rsid w:val="63D74F7B"/>
    <w:rsid w:val="63D87F9C"/>
    <w:rsid w:val="63D94B6E"/>
    <w:rsid w:val="63DB2028"/>
    <w:rsid w:val="63EB4ECB"/>
    <w:rsid w:val="63EF49BB"/>
    <w:rsid w:val="63FC70D8"/>
    <w:rsid w:val="6408772E"/>
    <w:rsid w:val="640B731B"/>
    <w:rsid w:val="640F6E0B"/>
    <w:rsid w:val="64153CF6"/>
    <w:rsid w:val="641C7E74"/>
    <w:rsid w:val="64371EBE"/>
    <w:rsid w:val="643F0D73"/>
    <w:rsid w:val="64482A94"/>
    <w:rsid w:val="644840CB"/>
    <w:rsid w:val="64616F3B"/>
    <w:rsid w:val="64632CB3"/>
    <w:rsid w:val="647E4B8D"/>
    <w:rsid w:val="648669A1"/>
    <w:rsid w:val="648D343B"/>
    <w:rsid w:val="649C538F"/>
    <w:rsid w:val="64AA2690"/>
    <w:rsid w:val="64AD03D2"/>
    <w:rsid w:val="64AF7CA6"/>
    <w:rsid w:val="64BB6D8A"/>
    <w:rsid w:val="64C179D9"/>
    <w:rsid w:val="64DB4F3F"/>
    <w:rsid w:val="64DE2339"/>
    <w:rsid w:val="64E21E2A"/>
    <w:rsid w:val="64FD4EB5"/>
    <w:rsid w:val="650417B4"/>
    <w:rsid w:val="650E5F14"/>
    <w:rsid w:val="65187666"/>
    <w:rsid w:val="65247367"/>
    <w:rsid w:val="655B4BDA"/>
    <w:rsid w:val="655D3BA6"/>
    <w:rsid w:val="656D441E"/>
    <w:rsid w:val="658B6451"/>
    <w:rsid w:val="659536BB"/>
    <w:rsid w:val="65997DFD"/>
    <w:rsid w:val="65A40001"/>
    <w:rsid w:val="65B5753E"/>
    <w:rsid w:val="65BF6897"/>
    <w:rsid w:val="65C14135"/>
    <w:rsid w:val="65C22647"/>
    <w:rsid w:val="65C56FC1"/>
    <w:rsid w:val="65CA3AA1"/>
    <w:rsid w:val="65CC4346"/>
    <w:rsid w:val="65CC501A"/>
    <w:rsid w:val="65D02D84"/>
    <w:rsid w:val="65F101BF"/>
    <w:rsid w:val="65F20792"/>
    <w:rsid w:val="65FA708D"/>
    <w:rsid w:val="66080D5A"/>
    <w:rsid w:val="660A1AE2"/>
    <w:rsid w:val="66170870"/>
    <w:rsid w:val="6627667E"/>
    <w:rsid w:val="662B7094"/>
    <w:rsid w:val="662C6383"/>
    <w:rsid w:val="6637091A"/>
    <w:rsid w:val="663A1628"/>
    <w:rsid w:val="663E7534"/>
    <w:rsid w:val="6655487D"/>
    <w:rsid w:val="6663343E"/>
    <w:rsid w:val="6671147A"/>
    <w:rsid w:val="668005C9"/>
    <w:rsid w:val="66A80876"/>
    <w:rsid w:val="66AF21DF"/>
    <w:rsid w:val="66BD4EB0"/>
    <w:rsid w:val="66C235E6"/>
    <w:rsid w:val="66CB4B3F"/>
    <w:rsid w:val="66CF63DE"/>
    <w:rsid w:val="66FF0F75"/>
    <w:rsid w:val="67095D94"/>
    <w:rsid w:val="671C168D"/>
    <w:rsid w:val="67256946"/>
    <w:rsid w:val="672F50CE"/>
    <w:rsid w:val="67344FE3"/>
    <w:rsid w:val="675C3383"/>
    <w:rsid w:val="6760797E"/>
    <w:rsid w:val="67611BBB"/>
    <w:rsid w:val="676314F1"/>
    <w:rsid w:val="67670D0C"/>
    <w:rsid w:val="676A6106"/>
    <w:rsid w:val="676C50EE"/>
    <w:rsid w:val="678E6299"/>
    <w:rsid w:val="67B0426C"/>
    <w:rsid w:val="67B57F54"/>
    <w:rsid w:val="67B97DDD"/>
    <w:rsid w:val="67DA561C"/>
    <w:rsid w:val="67F0485E"/>
    <w:rsid w:val="681C1928"/>
    <w:rsid w:val="6850657F"/>
    <w:rsid w:val="686053D0"/>
    <w:rsid w:val="68667AE0"/>
    <w:rsid w:val="68757459"/>
    <w:rsid w:val="6894168D"/>
    <w:rsid w:val="689618A9"/>
    <w:rsid w:val="689C2C37"/>
    <w:rsid w:val="689C6E97"/>
    <w:rsid w:val="689F715F"/>
    <w:rsid w:val="68A8338A"/>
    <w:rsid w:val="68AB4C28"/>
    <w:rsid w:val="68B00491"/>
    <w:rsid w:val="68B91BAE"/>
    <w:rsid w:val="68C911ED"/>
    <w:rsid w:val="68CF3A3A"/>
    <w:rsid w:val="68D51C51"/>
    <w:rsid w:val="68DD74D8"/>
    <w:rsid w:val="68E1064A"/>
    <w:rsid w:val="68E86BFA"/>
    <w:rsid w:val="68EB2432"/>
    <w:rsid w:val="69006D22"/>
    <w:rsid w:val="6904782B"/>
    <w:rsid w:val="69086C34"/>
    <w:rsid w:val="69124CA8"/>
    <w:rsid w:val="69256789"/>
    <w:rsid w:val="694C1F68"/>
    <w:rsid w:val="695C3AB5"/>
    <w:rsid w:val="696D52BC"/>
    <w:rsid w:val="697176F0"/>
    <w:rsid w:val="69736A48"/>
    <w:rsid w:val="6987701B"/>
    <w:rsid w:val="698A2A90"/>
    <w:rsid w:val="699835BA"/>
    <w:rsid w:val="699D7D47"/>
    <w:rsid w:val="69AE49D0"/>
    <w:rsid w:val="69AF0EE7"/>
    <w:rsid w:val="69B144C0"/>
    <w:rsid w:val="69B3090F"/>
    <w:rsid w:val="69DD72DF"/>
    <w:rsid w:val="69EC72A7"/>
    <w:rsid w:val="69FD14B4"/>
    <w:rsid w:val="69FE4AF1"/>
    <w:rsid w:val="6A024D1C"/>
    <w:rsid w:val="6A044156"/>
    <w:rsid w:val="6A061C0F"/>
    <w:rsid w:val="6A1F4B45"/>
    <w:rsid w:val="6A242416"/>
    <w:rsid w:val="6A5079C7"/>
    <w:rsid w:val="6A540158"/>
    <w:rsid w:val="6A672C87"/>
    <w:rsid w:val="6A75729C"/>
    <w:rsid w:val="6A794FDE"/>
    <w:rsid w:val="6A902328"/>
    <w:rsid w:val="6A927E4E"/>
    <w:rsid w:val="6AA10091"/>
    <w:rsid w:val="6AAF0A00"/>
    <w:rsid w:val="6AAF3105"/>
    <w:rsid w:val="6AB528A3"/>
    <w:rsid w:val="6ABA4192"/>
    <w:rsid w:val="6ABE2C83"/>
    <w:rsid w:val="6AC41408"/>
    <w:rsid w:val="6ADA17F5"/>
    <w:rsid w:val="6AE61F48"/>
    <w:rsid w:val="6AF1546D"/>
    <w:rsid w:val="6AF324D6"/>
    <w:rsid w:val="6B113469"/>
    <w:rsid w:val="6B195B02"/>
    <w:rsid w:val="6B1C5D1F"/>
    <w:rsid w:val="6B340F05"/>
    <w:rsid w:val="6B6D177C"/>
    <w:rsid w:val="6B930322"/>
    <w:rsid w:val="6BB64010"/>
    <w:rsid w:val="6BC32289"/>
    <w:rsid w:val="6BC81F96"/>
    <w:rsid w:val="6BCA7159"/>
    <w:rsid w:val="6BD10E4A"/>
    <w:rsid w:val="6BD61FBC"/>
    <w:rsid w:val="6BDA04D7"/>
    <w:rsid w:val="6BE4345E"/>
    <w:rsid w:val="6BEA5A68"/>
    <w:rsid w:val="6BF0713D"/>
    <w:rsid w:val="6BF642E0"/>
    <w:rsid w:val="6BFA2912"/>
    <w:rsid w:val="6BFB7C75"/>
    <w:rsid w:val="6C0C11E0"/>
    <w:rsid w:val="6C1C0317"/>
    <w:rsid w:val="6C202F44"/>
    <w:rsid w:val="6C223454"/>
    <w:rsid w:val="6C2E5427"/>
    <w:rsid w:val="6C37655B"/>
    <w:rsid w:val="6C6C46CF"/>
    <w:rsid w:val="6C7E24CF"/>
    <w:rsid w:val="6C8B724B"/>
    <w:rsid w:val="6C9F2CF6"/>
    <w:rsid w:val="6CAC3E0C"/>
    <w:rsid w:val="6CB73B9C"/>
    <w:rsid w:val="6CC83FFB"/>
    <w:rsid w:val="6CC843F9"/>
    <w:rsid w:val="6CD75FEC"/>
    <w:rsid w:val="6CEE0BD6"/>
    <w:rsid w:val="6CF44DF0"/>
    <w:rsid w:val="6D0006D3"/>
    <w:rsid w:val="6D06067F"/>
    <w:rsid w:val="6D0A4613"/>
    <w:rsid w:val="6D12171A"/>
    <w:rsid w:val="6D394241"/>
    <w:rsid w:val="6D5405A3"/>
    <w:rsid w:val="6D611D5A"/>
    <w:rsid w:val="6D7B72BF"/>
    <w:rsid w:val="6D874D7F"/>
    <w:rsid w:val="6D8819DC"/>
    <w:rsid w:val="6D8A15A1"/>
    <w:rsid w:val="6D9234DB"/>
    <w:rsid w:val="6D9C4B09"/>
    <w:rsid w:val="6DA854E0"/>
    <w:rsid w:val="6DB1246A"/>
    <w:rsid w:val="6DBD7B21"/>
    <w:rsid w:val="6DD4629B"/>
    <w:rsid w:val="6DDF0252"/>
    <w:rsid w:val="6DE14E91"/>
    <w:rsid w:val="6DE91E99"/>
    <w:rsid w:val="6DEE4DF9"/>
    <w:rsid w:val="6E076CD8"/>
    <w:rsid w:val="6E0C7F17"/>
    <w:rsid w:val="6E10219F"/>
    <w:rsid w:val="6E1958AC"/>
    <w:rsid w:val="6E302627"/>
    <w:rsid w:val="6E376CB2"/>
    <w:rsid w:val="6E386F5E"/>
    <w:rsid w:val="6E4507E3"/>
    <w:rsid w:val="6E4833ED"/>
    <w:rsid w:val="6E49116B"/>
    <w:rsid w:val="6E5B2C4D"/>
    <w:rsid w:val="6E5D2F46"/>
    <w:rsid w:val="6E677844"/>
    <w:rsid w:val="6E6F43E5"/>
    <w:rsid w:val="6E7E30C2"/>
    <w:rsid w:val="6E801271"/>
    <w:rsid w:val="6E82642B"/>
    <w:rsid w:val="6E934195"/>
    <w:rsid w:val="6E9C74ED"/>
    <w:rsid w:val="6EA168B2"/>
    <w:rsid w:val="6EBF3031"/>
    <w:rsid w:val="6EC31E6C"/>
    <w:rsid w:val="6ED8604B"/>
    <w:rsid w:val="6EEA46FD"/>
    <w:rsid w:val="6EEE3C72"/>
    <w:rsid w:val="6F07576D"/>
    <w:rsid w:val="6F102042"/>
    <w:rsid w:val="6F163899"/>
    <w:rsid w:val="6F2A2001"/>
    <w:rsid w:val="6F2B1415"/>
    <w:rsid w:val="6F2F210F"/>
    <w:rsid w:val="6F35524C"/>
    <w:rsid w:val="6F4162E7"/>
    <w:rsid w:val="6F5053F2"/>
    <w:rsid w:val="6F5A2F04"/>
    <w:rsid w:val="6F62333D"/>
    <w:rsid w:val="6F7B5355"/>
    <w:rsid w:val="6F7B6582"/>
    <w:rsid w:val="6F8473B0"/>
    <w:rsid w:val="6F86196C"/>
    <w:rsid w:val="6F864031"/>
    <w:rsid w:val="6F8A37EA"/>
    <w:rsid w:val="6F957231"/>
    <w:rsid w:val="6F9B77A5"/>
    <w:rsid w:val="6FB76E31"/>
    <w:rsid w:val="6FC566E6"/>
    <w:rsid w:val="6FCA1E38"/>
    <w:rsid w:val="6FD1766A"/>
    <w:rsid w:val="6FD75DF0"/>
    <w:rsid w:val="6FDD6763"/>
    <w:rsid w:val="6FE55EDD"/>
    <w:rsid w:val="6FE56C72"/>
    <w:rsid w:val="6FE872A8"/>
    <w:rsid w:val="6FFE7D34"/>
    <w:rsid w:val="70057314"/>
    <w:rsid w:val="700D7BA6"/>
    <w:rsid w:val="70162811"/>
    <w:rsid w:val="7023779A"/>
    <w:rsid w:val="70293533"/>
    <w:rsid w:val="702F7EED"/>
    <w:rsid w:val="7038498C"/>
    <w:rsid w:val="703C3596"/>
    <w:rsid w:val="70447E3C"/>
    <w:rsid w:val="704E4817"/>
    <w:rsid w:val="706165C6"/>
    <w:rsid w:val="706250EF"/>
    <w:rsid w:val="706437CE"/>
    <w:rsid w:val="70710506"/>
    <w:rsid w:val="70834969"/>
    <w:rsid w:val="708E10B8"/>
    <w:rsid w:val="708F0AF3"/>
    <w:rsid w:val="709366CE"/>
    <w:rsid w:val="70967F6C"/>
    <w:rsid w:val="70A703CB"/>
    <w:rsid w:val="70BB79D3"/>
    <w:rsid w:val="70C64CF5"/>
    <w:rsid w:val="70D94A29"/>
    <w:rsid w:val="70DE3740"/>
    <w:rsid w:val="70E17439"/>
    <w:rsid w:val="70F112FE"/>
    <w:rsid w:val="710220C4"/>
    <w:rsid w:val="71086014"/>
    <w:rsid w:val="71123A97"/>
    <w:rsid w:val="711E68DF"/>
    <w:rsid w:val="71261F6E"/>
    <w:rsid w:val="7129767D"/>
    <w:rsid w:val="71357D58"/>
    <w:rsid w:val="71484A3D"/>
    <w:rsid w:val="715D14A7"/>
    <w:rsid w:val="716D48E6"/>
    <w:rsid w:val="717402AD"/>
    <w:rsid w:val="71744751"/>
    <w:rsid w:val="71761BE2"/>
    <w:rsid w:val="717870B6"/>
    <w:rsid w:val="717D2E76"/>
    <w:rsid w:val="717F6C52"/>
    <w:rsid w:val="71837B47"/>
    <w:rsid w:val="718D136F"/>
    <w:rsid w:val="719E17CE"/>
    <w:rsid w:val="719E532A"/>
    <w:rsid w:val="71A87999"/>
    <w:rsid w:val="71B97C16"/>
    <w:rsid w:val="71D40D2D"/>
    <w:rsid w:val="71D60F68"/>
    <w:rsid w:val="71F72C8D"/>
    <w:rsid w:val="71FE6305"/>
    <w:rsid w:val="72081FCD"/>
    <w:rsid w:val="720A0C12"/>
    <w:rsid w:val="720D24B0"/>
    <w:rsid w:val="720F447A"/>
    <w:rsid w:val="72200254"/>
    <w:rsid w:val="72255A4C"/>
    <w:rsid w:val="72333507"/>
    <w:rsid w:val="72395053"/>
    <w:rsid w:val="72427F2D"/>
    <w:rsid w:val="72690127"/>
    <w:rsid w:val="726B684E"/>
    <w:rsid w:val="726F4DEB"/>
    <w:rsid w:val="72760055"/>
    <w:rsid w:val="727D5DD0"/>
    <w:rsid w:val="728C4332"/>
    <w:rsid w:val="72913F07"/>
    <w:rsid w:val="72AB13CD"/>
    <w:rsid w:val="72C214EC"/>
    <w:rsid w:val="72C60FDD"/>
    <w:rsid w:val="72D336FA"/>
    <w:rsid w:val="72DB610A"/>
    <w:rsid w:val="72E512AD"/>
    <w:rsid w:val="72E90D42"/>
    <w:rsid w:val="72FF629D"/>
    <w:rsid w:val="73013DC3"/>
    <w:rsid w:val="73041B05"/>
    <w:rsid w:val="731224AE"/>
    <w:rsid w:val="732D21D9"/>
    <w:rsid w:val="73303423"/>
    <w:rsid w:val="733817AF"/>
    <w:rsid w:val="735635E4"/>
    <w:rsid w:val="735B764F"/>
    <w:rsid w:val="73657C18"/>
    <w:rsid w:val="7366631C"/>
    <w:rsid w:val="736F5FA9"/>
    <w:rsid w:val="737427E7"/>
    <w:rsid w:val="73877F55"/>
    <w:rsid w:val="738844E4"/>
    <w:rsid w:val="73922C6D"/>
    <w:rsid w:val="739C3AEB"/>
    <w:rsid w:val="739D59F7"/>
    <w:rsid w:val="739F4877"/>
    <w:rsid w:val="73A10265"/>
    <w:rsid w:val="73A265D4"/>
    <w:rsid w:val="73B13A3B"/>
    <w:rsid w:val="73BA097D"/>
    <w:rsid w:val="73C03C7E"/>
    <w:rsid w:val="73D23A0B"/>
    <w:rsid w:val="73D9089C"/>
    <w:rsid w:val="73DE4104"/>
    <w:rsid w:val="73DF0C28"/>
    <w:rsid w:val="73E5545F"/>
    <w:rsid w:val="73E831D5"/>
    <w:rsid w:val="740F3B71"/>
    <w:rsid w:val="741140C2"/>
    <w:rsid w:val="741B5358"/>
    <w:rsid w:val="74375745"/>
    <w:rsid w:val="74383473"/>
    <w:rsid w:val="743C5E3D"/>
    <w:rsid w:val="745148D6"/>
    <w:rsid w:val="7452064E"/>
    <w:rsid w:val="74620891"/>
    <w:rsid w:val="746C1710"/>
    <w:rsid w:val="74786C6B"/>
    <w:rsid w:val="747A2889"/>
    <w:rsid w:val="74820F33"/>
    <w:rsid w:val="748A4B39"/>
    <w:rsid w:val="749312CB"/>
    <w:rsid w:val="74A344B3"/>
    <w:rsid w:val="74A72748"/>
    <w:rsid w:val="74B66E2F"/>
    <w:rsid w:val="74BD06EE"/>
    <w:rsid w:val="74BE7A92"/>
    <w:rsid w:val="74C9120A"/>
    <w:rsid w:val="74D02E07"/>
    <w:rsid w:val="74E474F8"/>
    <w:rsid w:val="74EC2851"/>
    <w:rsid w:val="74F859FB"/>
    <w:rsid w:val="75042415"/>
    <w:rsid w:val="750758DC"/>
    <w:rsid w:val="75196D51"/>
    <w:rsid w:val="752B5A68"/>
    <w:rsid w:val="753A180E"/>
    <w:rsid w:val="753D30AC"/>
    <w:rsid w:val="75646EFD"/>
    <w:rsid w:val="756849F0"/>
    <w:rsid w:val="757B07AC"/>
    <w:rsid w:val="75975410"/>
    <w:rsid w:val="75A35605"/>
    <w:rsid w:val="75B54435"/>
    <w:rsid w:val="75D02172"/>
    <w:rsid w:val="75EB2B08"/>
    <w:rsid w:val="75FA7285"/>
    <w:rsid w:val="760065B4"/>
    <w:rsid w:val="760360A4"/>
    <w:rsid w:val="760C31AA"/>
    <w:rsid w:val="764A3CD3"/>
    <w:rsid w:val="7653307E"/>
    <w:rsid w:val="765B1A3C"/>
    <w:rsid w:val="765B474D"/>
    <w:rsid w:val="76764AC8"/>
    <w:rsid w:val="76796B5A"/>
    <w:rsid w:val="767B0BC5"/>
    <w:rsid w:val="76804D81"/>
    <w:rsid w:val="769A2923"/>
    <w:rsid w:val="769B1CAF"/>
    <w:rsid w:val="76A2766B"/>
    <w:rsid w:val="76B34539"/>
    <w:rsid w:val="76C9109B"/>
    <w:rsid w:val="76D35A76"/>
    <w:rsid w:val="76E47C83"/>
    <w:rsid w:val="77040325"/>
    <w:rsid w:val="771816DB"/>
    <w:rsid w:val="771E05C9"/>
    <w:rsid w:val="772938E8"/>
    <w:rsid w:val="77324E93"/>
    <w:rsid w:val="773F310C"/>
    <w:rsid w:val="77470212"/>
    <w:rsid w:val="775D3592"/>
    <w:rsid w:val="77611A98"/>
    <w:rsid w:val="77623AE4"/>
    <w:rsid w:val="777035B9"/>
    <w:rsid w:val="77934172"/>
    <w:rsid w:val="77937D0A"/>
    <w:rsid w:val="779A6D27"/>
    <w:rsid w:val="779C1A04"/>
    <w:rsid w:val="77A318EC"/>
    <w:rsid w:val="77CD4BBB"/>
    <w:rsid w:val="77D61BF0"/>
    <w:rsid w:val="77DE0431"/>
    <w:rsid w:val="77E67A2B"/>
    <w:rsid w:val="77F63D39"/>
    <w:rsid w:val="77FA3327"/>
    <w:rsid w:val="77FA5F49"/>
    <w:rsid w:val="783B3BF7"/>
    <w:rsid w:val="7840713B"/>
    <w:rsid w:val="7844752F"/>
    <w:rsid w:val="784D3606"/>
    <w:rsid w:val="786264D7"/>
    <w:rsid w:val="7869596B"/>
    <w:rsid w:val="786C7F30"/>
    <w:rsid w:val="7875549E"/>
    <w:rsid w:val="787C0BC1"/>
    <w:rsid w:val="787C544D"/>
    <w:rsid w:val="78864247"/>
    <w:rsid w:val="788B412F"/>
    <w:rsid w:val="789C2C49"/>
    <w:rsid w:val="78A77A8D"/>
    <w:rsid w:val="78D855C6"/>
    <w:rsid w:val="78DD498A"/>
    <w:rsid w:val="78F607DD"/>
    <w:rsid w:val="78FA3D25"/>
    <w:rsid w:val="790E7239"/>
    <w:rsid w:val="79112886"/>
    <w:rsid w:val="79132AA2"/>
    <w:rsid w:val="792527C2"/>
    <w:rsid w:val="792813C0"/>
    <w:rsid w:val="792C5912"/>
    <w:rsid w:val="79314CD6"/>
    <w:rsid w:val="793A002E"/>
    <w:rsid w:val="793C4EF8"/>
    <w:rsid w:val="797C169A"/>
    <w:rsid w:val="79865629"/>
    <w:rsid w:val="79894B12"/>
    <w:rsid w:val="79A33E26"/>
    <w:rsid w:val="79A53FA3"/>
    <w:rsid w:val="79AE0C83"/>
    <w:rsid w:val="79B0094A"/>
    <w:rsid w:val="79BE2A0E"/>
    <w:rsid w:val="79CB0C87"/>
    <w:rsid w:val="79CB6ED9"/>
    <w:rsid w:val="79D77D74"/>
    <w:rsid w:val="79F71A7C"/>
    <w:rsid w:val="79FA2362"/>
    <w:rsid w:val="7A0338FD"/>
    <w:rsid w:val="7A081EDB"/>
    <w:rsid w:val="7A0D1276"/>
    <w:rsid w:val="7A0D5743"/>
    <w:rsid w:val="7A1820DA"/>
    <w:rsid w:val="7A1847B2"/>
    <w:rsid w:val="7A2D7B93"/>
    <w:rsid w:val="7A3251AA"/>
    <w:rsid w:val="7A400E8E"/>
    <w:rsid w:val="7A4152DC"/>
    <w:rsid w:val="7A523156"/>
    <w:rsid w:val="7A530E81"/>
    <w:rsid w:val="7A546ECE"/>
    <w:rsid w:val="7A822A1F"/>
    <w:rsid w:val="7A8A6D94"/>
    <w:rsid w:val="7AAD5F02"/>
    <w:rsid w:val="7AAE4487"/>
    <w:rsid w:val="7AB83901"/>
    <w:rsid w:val="7AF34939"/>
    <w:rsid w:val="7AF536F6"/>
    <w:rsid w:val="7AF80259"/>
    <w:rsid w:val="7B29350D"/>
    <w:rsid w:val="7B486307"/>
    <w:rsid w:val="7B487E2F"/>
    <w:rsid w:val="7B705F89"/>
    <w:rsid w:val="7B7470FC"/>
    <w:rsid w:val="7B8A1910"/>
    <w:rsid w:val="7B95573E"/>
    <w:rsid w:val="7B9A2996"/>
    <w:rsid w:val="7BA56A97"/>
    <w:rsid w:val="7BAC2D3A"/>
    <w:rsid w:val="7BB73824"/>
    <w:rsid w:val="7BBA5457"/>
    <w:rsid w:val="7BC04D1F"/>
    <w:rsid w:val="7BC473B5"/>
    <w:rsid w:val="7BE0021F"/>
    <w:rsid w:val="7BE7739F"/>
    <w:rsid w:val="7BEE3352"/>
    <w:rsid w:val="7BF070CA"/>
    <w:rsid w:val="7C025299"/>
    <w:rsid w:val="7C0B7A60"/>
    <w:rsid w:val="7C172CEB"/>
    <w:rsid w:val="7C176606"/>
    <w:rsid w:val="7C2619F1"/>
    <w:rsid w:val="7C2D1BED"/>
    <w:rsid w:val="7C2D3E7B"/>
    <w:rsid w:val="7C322D26"/>
    <w:rsid w:val="7C4A4A2C"/>
    <w:rsid w:val="7C60507B"/>
    <w:rsid w:val="7C6A0C2B"/>
    <w:rsid w:val="7C6D3EE4"/>
    <w:rsid w:val="7C6F1B7B"/>
    <w:rsid w:val="7C743857"/>
    <w:rsid w:val="7C972256"/>
    <w:rsid w:val="7CA0464C"/>
    <w:rsid w:val="7CA7686B"/>
    <w:rsid w:val="7CA83501"/>
    <w:rsid w:val="7CAB1522"/>
    <w:rsid w:val="7CBC0D5A"/>
    <w:rsid w:val="7CBE3583"/>
    <w:rsid w:val="7CE427BB"/>
    <w:rsid w:val="7D0276F9"/>
    <w:rsid w:val="7D0A7D18"/>
    <w:rsid w:val="7D1868D9"/>
    <w:rsid w:val="7D1961AD"/>
    <w:rsid w:val="7D1B715F"/>
    <w:rsid w:val="7D254B52"/>
    <w:rsid w:val="7D380D29"/>
    <w:rsid w:val="7D39535A"/>
    <w:rsid w:val="7D3D633F"/>
    <w:rsid w:val="7D4A280A"/>
    <w:rsid w:val="7D98037D"/>
    <w:rsid w:val="7DA93E8E"/>
    <w:rsid w:val="7DAB4284"/>
    <w:rsid w:val="7DB12889"/>
    <w:rsid w:val="7DB83977"/>
    <w:rsid w:val="7DC26844"/>
    <w:rsid w:val="7DE22A43"/>
    <w:rsid w:val="7DEB18F7"/>
    <w:rsid w:val="7DF12600"/>
    <w:rsid w:val="7DF369FE"/>
    <w:rsid w:val="7DF764EE"/>
    <w:rsid w:val="7DFC4D28"/>
    <w:rsid w:val="7DFF53A3"/>
    <w:rsid w:val="7E002EC9"/>
    <w:rsid w:val="7E0E5C00"/>
    <w:rsid w:val="7E0F44BF"/>
    <w:rsid w:val="7E1302A3"/>
    <w:rsid w:val="7E156974"/>
    <w:rsid w:val="7E161FF2"/>
    <w:rsid w:val="7E233C95"/>
    <w:rsid w:val="7E2E7A36"/>
    <w:rsid w:val="7E571891"/>
    <w:rsid w:val="7E5D57D2"/>
    <w:rsid w:val="7E5D5A37"/>
    <w:rsid w:val="7E6873EC"/>
    <w:rsid w:val="7E794DA6"/>
    <w:rsid w:val="7E7F0292"/>
    <w:rsid w:val="7E85231C"/>
    <w:rsid w:val="7E8B6C36"/>
    <w:rsid w:val="7E954A46"/>
    <w:rsid w:val="7E955828"/>
    <w:rsid w:val="7E9608A6"/>
    <w:rsid w:val="7EB32033"/>
    <w:rsid w:val="7EBD5E33"/>
    <w:rsid w:val="7EC47257"/>
    <w:rsid w:val="7EC9775F"/>
    <w:rsid w:val="7EE57BDF"/>
    <w:rsid w:val="7F187F76"/>
    <w:rsid w:val="7F1B26B0"/>
    <w:rsid w:val="7F211C9E"/>
    <w:rsid w:val="7F221CF3"/>
    <w:rsid w:val="7F2C0419"/>
    <w:rsid w:val="7F2C0507"/>
    <w:rsid w:val="7F315A30"/>
    <w:rsid w:val="7F345520"/>
    <w:rsid w:val="7F376DBE"/>
    <w:rsid w:val="7F3B788F"/>
    <w:rsid w:val="7F572FBC"/>
    <w:rsid w:val="7F711680"/>
    <w:rsid w:val="7F7E679B"/>
    <w:rsid w:val="7F806F63"/>
    <w:rsid w:val="7F843806"/>
    <w:rsid w:val="7F8A5140"/>
    <w:rsid w:val="7F8E4C30"/>
    <w:rsid w:val="7F8F6BFA"/>
    <w:rsid w:val="7F954211"/>
    <w:rsid w:val="7F9F0C78"/>
    <w:rsid w:val="7FA17792"/>
    <w:rsid w:val="7FA50424"/>
    <w:rsid w:val="7FB16B71"/>
    <w:rsid w:val="7FB5625E"/>
    <w:rsid w:val="7FBD5515"/>
    <w:rsid w:val="7FD90B07"/>
    <w:rsid w:val="7FDB3BED"/>
    <w:rsid w:val="7FDB6D2A"/>
    <w:rsid w:val="7FDE556A"/>
    <w:rsid w:val="7FE9455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qFormat="1" w:unhideWhenUsed="0" w:uiPriority="0" w:semiHidden="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qFormat="1" w:unhideWhenUsed="0" w:uiPriority="0" w:semiHidden="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99"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0"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Times New Roman" w:eastAsia="宋体" w:cs="Times New Roman"/>
      <w:sz w:val="28"/>
      <w:lang w:val="en-US" w:eastAsia="zh-CN" w:bidi="ar-SA"/>
    </w:rPr>
  </w:style>
  <w:style w:type="paragraph" w:styleId="5">
    <w:name w:val="heading 1"/>
    <w:basedOn w:val="1"/>
    <w:next w:val="1"/>
    <w:link w:val="60"/>
    <w:qFormat/>
    <w:uiPriority w:val="0"/>
    <w:pPr>
      <w:keepNext/>
      <w:widowControl/>
      <w:tabs>
        <w:tab w:val="left" w:pos="432"/>
      </w:tabs>
      <w:ind w:left="432" w:hanging="432"/>
      <w:jc w:val="center"/>
      <w:outlineLvl w:val="0"/>
    </w:pPr>
    <w:rPr>
      <w:rFonts w:ascii="黑体" w:eastAsia="黑体"/>
      <w:sz w:val="52"/>
    </w:rPr>
  </w:style>
  <w:style w:type="paragraph" w:styleId="6">
    <w:name w:val="heading 2"/>
    <w:basedOn w:val="1"/>
    <w:next w:val="1"/>
    <w:link w:val="75"/>
    <w:qFormat/>
    <w:uiPriority w:val="9"/>
    <w:pPr>
      <w:keepNext/>
      <w:keepLines/>
      <w:widowControl/>
      <w:spacing w:before="260" w:after="260" w:line="416" w:lineRule="auto"/>
      <w:jc w:val="left"/>
      <w:outlineLvl w:val="1"/>
    </w:pPr>
    <w:rPr>
      <w:rFonts w:ascii="Arial" w:hAnsi="Arial" w:eastAsia="黑体"/>
      <w:b/>
      <w:bCs/>
      <w:sz w:val="32"/>
      <w:szCs w:val="32"/>
    </w:rPr>
  </w:style>
  <w:style w:type="paragraph" w:styleId="7">
    <w:name w:val="heading 3"/>
    <w:basedOn w:val="8"/>
    <w:next w:val="1"/>
    <w:link w:val="64"/>
    <w:qFormat/>
    <w:uiPriority w:val="0"/>
    <w:pPr>
      <w:keepNext/>
      <w:keepLines/>
      <w:widowControl/>
      <w:numPr>
        <w:ilvl w:val="2"/>
        <w:numId w:val="1"/>
      </w:numPr>
      <w:tabs>
        <w:tab w:val="left" w:pos="432"/>
      </w:tabs>
      <w:spacing w:before="120" w:after="120" w:line="360" w:lineRule="auto"/>
      <w:jc w:val="center"/>
      <w:outlineLvl w:val="2"/>
    </w:pPr>
    <w:rPr>
      <w:rFonts w:ascii="Times New Roman"/>
      <w:b/>
      <w:sz w:val="32"/>
    </w:rPr>
  </w:style>
  <w:style w:type="paragraph" w:styleId="9">
    <w:name w:val="heading 4"/>
    <w:basedOn w:val="1"/>
    <w:next w:val="1"/>
    <w:link w:val="81"/>
    <w:qFormat/>
    <w:uiPriority w:val="0"/>
    <w:pPr>
      <w:keepNext/>
      <w:keepLines/>
      <w:widowControl/>
      <w:spacing w:before="280" w:after="290" w:line="376" w:lineRule="auto"/>
      <w:jc w:val="left"/>
      <w:outlineLvl w:val="3"/>
    </w:pPr>
    <w:rPr>
      <w:rFonts w:ascii="Arial" w:hAnsi="Arial" w:eastAsia="黑体"/>
      <w:b/>
      <w:bCs/>
      <w:szCs w:val="28"/>
    </w:rPr>
  </w:style>
  <w:style w:type="paragraph" w:styleId="10">
    <w:name w:val="heading 5"/>
    <w:basedOn w:val="1"/>
    <w:next w:val="1"/>
    <w:link w:val="65"/>
    <w:qFormat/>
    <w:uiPriority w:val="0"/>
    <w:pPr>
      <w:keepNext/>
      <w:keepLines/>
      <w:widowControl/>
      <w:spacing w:before="280" w:after="290" w:line="376" w:lineRule="auto"/>
      <w:jc w:val="left"/>
      <w:outlineLvl w:val="4"/>
    </w:pPr>
    <w:rPr>
      <w:rFonts w:ascii="Times New Roman"/>
      <w:b/>
      <w:bCs/>
      <w:szCs w:val="28"/>
    </w:rPr>
  </w:style>
  <w:style w:type="paragraph" w:styleId="11">
    <w:name w:val="heading 6"/>
    <w:basedOn w:val="1"/>
    <w:next w:val="1"/>
    <w:link w:val="54"/>
    <w:qFormat/>
    <w:uiPriority w:val="0"/>
    <w:pPr>
      <w:keepNext/>
      <w:keepLines/>
      <w:widowControl/>
      <w:tabs>
        <w:tab w:val="left" w:pos="1440"/>
      </w:tabs>
      <w:spacing w:before="240" w:after="64" w:line="320" w:lineRule="auto"/>
      <w:ind w:left="1152" w:hanging="1152"/>
      <w:jc w:val="left"/>
      <w:outlineLvl w:val="5"/>
    </w:pPr>
    <w:rPr>
      <w:rFonts w:ascii="Arial" w:hAnsi="Arial" w:eastAsia="黑体"/>
      <w:b/>
      <w:bCs/>
      <w:sz w:val="24"/>
      <w:szCs w:val="24"/>
    </w:rPr>
  </w:style>
  <w:style w:type="paragraph" w:styleId="12">
    <w:name w:val="heading 7"/>
    <w:basedOn w:val="1"/>
    <w:next w:val="1"/>
    <w:link w:val="56"/>
    <w:qFormat/>
    <w:uiPriority w:val="0"/>
    <w:pPr>
      <w:keepNext/>
      <w:keepLines/>
      <w:widowControl/>
      <w:tabs>
        <w:tab w:val="left" w:pos="2520"/>
      </w:tabs>
      <w:spacing w:before="240" w:after="64" w:line="320" w:lineRule="auto"/>
      <w:ind w:left="1296" w:hanging="1296"/>
      <w:jc w:val="left"/>
      <w:outlineLvl w:val="6"/>
    </w:pPr>
    <w:rPr>
      <w:rFonts w:ascii="Times New Roman"/>
      <w:b/>
      <w:bCs/>
      <w:sz w:val="24"/>
      <w:szCs w:val="24"/>
    </w:rPr>
  </w:style>
  <w:style w:type="paragraph" w:styleId="13">
    <w:name w:val="heading 8"/>
    <w:basedOn w:val="1"/>
    <w:next w:val="1"/>
    <w:link w:val="76"/>
    <w:qFormat/>
    <w:uiPriority w:val="0"/>
    <w:pPr>
      <w:keepNext/>
      <w:keepLines/>
      <w:widowControl/>
      <w:tabs>
        <w:tab w:val="left" w:pos="1440"/>
      </w:tabs>
      <w:spacing w:before="240" w:after="64" w:line="320" w:lineRule="auto"/>
      <w:ind w:left="1440" w:hanging="1440"/>
      <w:jc w:val="left"/>
      <w:outlineLvl w:val="7"/>
    </w:pPr>
    <w:rPr>
      <w:rFonts w:ascii="Arial" w:hAnsi="Arial" w:eastAsia="黑体"/>
      <w:sz w:val="24"/>
      <w:szCs w:val="24"/>
    </w:rPr>
  </w:style>
  <w:style w:type="paragraph" w:styleId="14">
    <w:name w:val="heading 9"/>
    <w:basedOn w:val="1"/>
    <w:next w:val="1"/>
    <w:link w:val="69"/>
    <w:qFormat/>
    <w:uiPriority w:val="0"/>
    <w:pPr>
      <w:keepNext/>
      <w:keepLines/>
      <w:widowControl/>
      <w:tabs>
        <w:tab w:val="left" w:pos="1584"/>
      </w:tabs>
      <w:spacing w:before="240" w:after="64" w:line="320" w:lineRule="auto"/>
      <w:ind w:left="1584" w:hanging="1584"/>
      <w:jc w:val="left"/>
      <w:outlineLvl w:val="8"/>
    </w:pPr>
    <w:rPr>
      <w:rFonts w:ascii="Arial" w:hAnsi="Arial" w:eastAsia="黑体"/>
      <w:sz w:val="21"/>
      <w:szCs w:val="21"/>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unhideWhenUsed/>
    <w:qFormat/>
    <w:uiPriority w:val="99"/>
    <w:pPr>
      <w:ind w:left="200" w:leftChars="200" w:firstLine="420" w:firstLineChars="200"/>
    </w:pPr>
    <w:rPr>
      <w:sz w:val="21"/>
      <w:szCs w:val="24"/>
    </w:rPr>
  </w:style>
  <w:style w:type="paragraph" w:styleId="3">
    <w:name w:val="Body Text Indent"/>
    <w:basedOn w:val="1"/>
    <w:next w:val="4"/>
    <w:link w:val="71"/>
    <w:qFormat/>
    <w:uiPriority w:val="99"/>
    <w:pPr>
      <w:widowControl/>
      <w:spacing w:after="120"/>
      <w:ind w:left="420"/>
      <w:jc w:val="left"/>
    </w:pPr>
    <w:rPr>
      <w:sz w:val="20"/>
    </w:rPr>
  </w:style>
  <w:style w:type="paragraph" w:customStyle="1" w:styleId="4">
    <w:name w:val="样式 正文文字缩进 + 小四 首行缩进:  2 字符"/>
    <w:basedOn w:val="1"/>
    <w:qFormat/>
    <w:uiPriority w:val="0"/>
    <w:pPr>
      <w:spacing w:line="600" w:lineRule="exact"/>
      <w:jc w:val="center"/>
    </w:pPr>
    <w:rPr>
      <w:b/>
      <w:u w:val="double"/>
    </w:rPr>
  </w:style>
  <w:style w:type="paragraph" w:customStyle="1" w:styleId="8">
    <w:name w:val="无缩进正文"/>
    <w:basedOn w:val="1"/>
    <w:next w:val="1"/>
    <w:qFormat/>
    <w:uiPriority w:val="0"/>
  </w:style>
  <w:style w:type="paragraph" w:styleId="15">
    <w:name w:val="index 8"/>
    <w:basedOn w:val="1"/>
    <w:next w:val="1"/>
    <w:qFormat/>
    <w:uiPriority w:val="0"/>
    <w:pPr>
      <w:ind w:left="1400" w:leftChars="1400"/>
    </w:pPr>
  </w:style>
  <w:style w:type="paragraph" w:styleId="16">
    <w:name w:val="Normal Indent"/>
    <w:basedOn w:val="1"/>
    <w:link w:val="84"/>
    <w:qFormat/>
    <w:uiPriority w:val="0"/>
    <w:pPr>
      <w:widowControl/>
      <w:ind w:firstLine="420"/>
      <w:jc w:val="left"/>
    </w:pPr>
    <w:rPr>
      <w:rFonts w:ascii="Times New Roman"/>
      <w:sz w:val="20"/>
    </w:rPr>
  </w:style>
  <w:style w:type="paragraph" w:styleId="17">
    <w:name w:val="caption"/>
    <w:basedOn w:val="1"/>
    <w:next w:val="1"/>
    <w:link w:val="83"/>
    <w:qFormat/>
    <w:uiPriority w:val="0"/>
    <w:pPr>
      <w:spacing w:line="360" w:lineRule="auto"/>
      <w:ind w:firstLine="200" w:firstLineChars="200"/>
    </w:pPr>
    <w:rPr>
      <w:rFonts w:ascii="Arial" w:hAnsi="Arial" w:eastAsia="黑体"/>
      <w:kern w:val="2"/>
      <w:sz w:val="20"/>
    </w:rPr>
  </w:style>
  <w:style w:type="paragraph" w:styleId="18">
    <w:name w:val="Document Map"/>
    <w:basedOn w:val="1"/>
    <w:link w:val="63"/>
    <w:qFormat/>
    <w:uiPriority w:val="0"/>
    <w:pPr>
      <w:widowControl/>
      <w:shd w:val="clear" w:color="auto" w:fill="000080"/>
      <w:jc w:val="left"/>
    </w:pPr>
    <w:rPr>
      <w:rFonts w:ascii="Times New Roman"/>
      <w:sz w:val="20"/>
    </w:rPr>
  </w:style>
  <w:style w:type="paragraph" w:styleId="19">
    <w:name w:val="toa heading"/>
    <w:basedOn w:val="1"/>
    <w:next w:val="1"/>
    <w:qFormat/>
    <w:uiPriority w:val="0"/>
    <w:pPr>
      <w:spacing w:before="120"/>
    </w:pPr>
    <w:rPr>
      <w:rFonts w:ascii="Arial" w:hAnsi="Arial" w:eastAsia="微软雅黑"/>
      <w:sz w:val="24"/>
      <w:szCs w:val="21"/>
    </w:rPr>
  </w:style>
  <w:style w:type="paragraph" w:styleId="20">
    <w:name w:val="annotation text"/>
    <w:basedOn w:val="1"/>
    <w:link w:val="67"/>
    <w:qFormat/>
    <w:uiPriority w:val="0"/>
    <w:pPr>
      <w:jc w:val="left"/>
    </w:pPr>
    <w:rPr>
      <w:rFonts w:ascii="Times New Roman"/>
      <w:kern w:val="2"/>
      <w:sz w:val="21"/>
      <w:szCs w:val="24"/>
    </w:rPr>
  </w:style>
  <w:style w:type="paragraph" w:styleId="21">
    <w:name w:val="Body Text 3"/>
    <w:basedOn w:val="1"/>
    <w:link w:val="59"/>
    <w:qFormat/>
    <w:uiPriority w:val="0"/>
    <w:pPr>
      <w:spacing w:after="120"/>
    </w:pPr>
    <w:rPr>
      <w:rFonts w:ascii="Times New Roman"/>
      <w:kern w:val="2"/>
      <w:sz w:val="16"/>
      <w:szCs w:val="16"/>
    </w:rPr>
  </w:style>
  <w:style w:type="paragraph" w:styleId="22">
    <w:name w:val="Body Text"/>
    <w:basedOn w:val="1"/>
    <w:next w:val="1"/>
    <w:link w:val="72"/>
    <w:qFormat/>
    <w:uiPriority w:val="0"/>
    <w:pPr>
      <w:widowControl/>
      <w:spacing w:after="120"/>
      <w:jc w:val="left"/>
    </w:pPr>
    <w:rPr>
      <w:sz w:val="20"/>
    </w:rPr>
  </w:style>
  <w:style w:type="paragraph" w:styleId="23">
    <w:name w:val="toc 3"/>
    <w:basedOn w:val="1"/>
    <w:next w:val="1"/>
    <w:qFormat/>
    <w:uiPriority w:val="39"/>
    <w:pPr>
      <w:widowControl/>
      <w:tabs>
        <w:tab w:val="right" w:leader="dot" w:pos="9218"/>
      </w:tabs>
      <w:spacing w:line="360" w:lineRule="auto"/>
      <w:ind w:left="840"/>
      <w:jc w:val="left"/>
    </w:pPr>
    <w:rPr>
      <w:rFonts w:ascii="仿宋_GB2312" w:hAnsi="华文中宋" w:eastAsia="仿宋_GB2312"/>
      <w:b/>
      <w:sz w:val="24"/>
    </w:rPr>
  </w:style>
  <w:style w:type="paragraph" w:styleId="24">
    <w:name w:val="Plain Text"/>
    <w:basedOn w:val="1"/>
    <w:next w:val="25"/>
    <w:link w:val="80"/>
    <w:qFormat/>
    <w:uiPriority w:val="0"/>
    <w:rPr>
      <w:rFonts w:hAnsi="Courier New"/>
      <w:kern w:val="2"/>
      <w:sz w:val="21"/>
      <w:szCs w:val="21"/>
    </w:rPr>
  </w:style>
  <w:style w:type="paragraph" w:customStyle="1" w:styleId="2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26">
    <w:name w:val="Date"/>
    <w:basedOn w:val="1"/>
    <w:next w:val="1"/>
    <w:link w:val="66"/>
    <w:qFormat/>
    <w:uiPriority w:val="0"/>
    <w:rPr>
      <w:rFonts w:ascii="Times New Roman"/>
      <w:kern w:val="2"/>
      <w:sz w:val="24"/>
    </w:rPr>
  </w:style>
  <w:style w:type="paragraph" w:styleId="27">
    <w:name w:val="Body Text Indent 2"/>
    <w:basedOn w:val="1"/>
    <w:link w:val="68"/>
    <w:qFormat/>
    <w:uiPriority w:val="0"/>
    <w:pPr>
      <w:widowControl/>
      <w:overflowPunct w:val="0"/>
      <w:autoSpaceDE w:val="0"/>
      <w:autoSpaceDN w:val="0"/>
      <w:adjustRightInd w:val="0"/>
      <w:spacing w:line="360" w:lineRule="auto"/>
      <w:ind w:firstLine="555"/>
      <w:textAlignment w:val="baseline"/>
    </w:pPr>
    <w:rPr>
      <w:rFonts w:hAnsi="MS Sans Serif"/>
      <w:spacing w:val="12"/>
      <w:sz w:val="24"/>
    </w:rPr>
  </w:style>
  <w:style w:type="paragraph" w:styleId="28">
    <w:name w:val="Balloon Text"/>
    <w:basedOn w:val="1"/>
    <w:link w:val="70"/>
    <w:qFormat/>
    <w:uiPriority w:val="0"/>
    <w:rPr>
      <w:rFonts w:ascii="Times New Roman"/>
      <w:kern w:val="2"/>
      <w:sz w:val="18"/>
      <w:szCs w:val="18"/>
    </w:rPr>
  </w:style>
  <w:style w:type="paragraph" w:styleId="29">
    <w:name w:val="footer"/>
    <w:basedOn w:val="1"/>
    <w:link w:val="77"/>
    <w:qFormat/>
    <w:uiPriority w:val="0"/>
    <w:pPr>
      <w:tabs>
        <w:tab w:val="center" w:pos="4153"/>
        <w:tab w:val="right" w:pos="8306"/>
      </w:tabs>
      <w:snapToGrid w:val="0"/>
      <w:jc w:val="left"/>
    </w:pPr>
    <w:rPr>
      <w:rFonts w:ascii="Times New Roman"/>
      <w:kern w:val="2"/>
      <w:sz w:val="18"/>
      <w:szCs w:val="18"/>
    </w:rPr>
  </w:style>
  <w:style w:type="paragraph" w:styleId="30">
    <w:name w:val="header"/>
    <w:basedOn w:val="1"/>
    <w:link w:val="73"/>
    <w:qFormat/>
    <w:uiPriority w:val="0"/>
    <w:pPr>
      <w:pBdr>
        <w:bottom w:val="single" w:color="auto" w:sz="6" w:space="1"/>
      </w:pBdr>
      <w:tabs>
        <w:tab w:val="center" w:pos="4153"/>
        <w:tab w:val="right" w:pos="8306"/>
      </w:tabs>
      <w:snapToGrid w:val="0"/>
      <w:jc w:val="center"/>
    </w:pPr>
    <w:rPr>
      <w:rFonts w:ascii="Times New Roman"/>
      <w:kern w:val="2"/>
      <w:sz w:val="18"/>
      <w:szCs w:val="18"/>
    </w:rPr>
  </w:style>
  <w:style w:type="paragraph" w:styleId="31">
    <w:name w:val="toc 1"/>
    <w:basedOn w:val="1"/>
    <w:next w:val="1"/>
    <w:qFormat/>
    <w:uiPriority w:val="39"/>
  </w:style>
  <w:style w:type="paragraph" w:styleId="32">
    <w:name w:val="Body Text Indent 3"/>
    <w:basedOn w:val="1"/>
    <w:link w:val="79"/>
    <w:qFormat/>
    <w:uiPriority w:val="0"/>
    <w:pPr>
      <w:widowControl/>
      <w:overflowPunct w:val="0"/>
      <w:autoSpaceDE w:val="0"/>
      <w:autoSpaceDN w:val="0"/>
      <w:adjustRightInd w:val="0"/>
      <w:spacing w:line="360" w:lineRule="auto"/>
      <w:ind w:firstLine="540"/>
      <w:textAlignment w:val="baseline"/>
    </w:pPr>
    <w:rPr>
      <w:rFonts w:hAnsi="MS Sans Serif"/>
      <w:color w:val="000000"/>
      <w:sz w:val="24"/>
    </w:rPr>
  </w:style>
  <w:style w:type="paragraph" w:styleId="33">
    <w:name w:val="toc 2"/>
    <w:basedOn w:val="1"/>
    <w:next w:val="1"/>
    <w:qFormat/>
    <w:uiPriority w:val="39"/>
    <w:pPr>
      <w:widowControl/>
      <w:tabs>
        <w:tab w:val="left" w:pos="1260"/>
        <w:tab w:val="right" w:leader="dot" w:pos="9218"/>
      </w:tabs>
      <w:spacing w:line="360" w:lineRule="auto"/>
      <w:ind w:left="420"/>
      <w:jc w:val="left"/>
    </w:pPr>
    <w:rPr>
      <w:rFonts w:ascii="仿宋_GB2312" w:eastAsia="仿宋_GB2312"/>
      <w:b/>
      <w:sz w:val="24"/>
    </w:rPr>
  </w:style>
  <w:style w:type="paragraph" w:styleId="34">
    <w:name w:val="Body Text 2"/>
    <w:basedOn w:val="1"/>
    <w:qFormat/>
    <w:uiPriority w:val="99"/>
    <w:rPr>
      <w:rFonts w:cs="宋体"/>
      <w:sz w:val="20"/>
    </w:rPr>
  </w:style>
  <w:style w:type="paragraph" w:styleId="35">
    <w:name w:val="Normal (Web)"/>
    <w:basedOn w:val="1"/>
    <w:qFormat/>
    <w:uiPriority w:val="99"/>
    <w:pPr>
      <w:widowControl/>
      <w:spacing w:before="100" w:beforeAutospacing="1" w:after="100" w:afterAutospacing="1"/>
      <w:jc w:val="left"/>
    </w:pPr>
    <w:rPr>
      <w:rFonts w:ascii="Times New Roman" w:hAnsi="宋体"/>
      <w:sz w:val="24"/>
      <w:szCs w:val="24"/>
    </w:rPr>
  </w:style>
  <w:style w:type="paragraph" w:styleId="36">
    <w:name w:val="Title"/>
    <w:next w:val="1"/>
    <w:qFormat/>
    <w:uiPriority w:val="10"/>
    <w:pPr>
      <w:jc w:val="center"/>
    </w:pPr>
    <w:rPr>
      <w:rFonts w:ascii="Times New Roman" w:hAnsi="Times New Roman" w:eastAsia="宋体" w:cs="Times New Roman"/>
      <w:b/>
      <w:bCs/>
      <w:szCs w:val="32"/>
      <w:lang w:val="en-US" w:eastAsia="zh-CN" w:bidi="ar-SA"/>
    </w:rPr>
  </w:style>
  <w:style w:type="paragraph" w:styleId="37">
    <w:name w:val="annotation subject"/>
    <w:basedOn w:val="20"/>
    <w:next w:val="20"/>
    <w:link w:val="58"/>
    <w:qFormat/>
    <w:uiPriority w:val="0"/>
    <w:pPr>
      <w:widowControl/>
    </w:pPr>
    <w:rPr>
      <w:b/>
      <w:bCs/>
      <w:kern w:val="0"/>
      <w:sz w:val="20"/>
      <w:szCs w:val="20"/>
    </w:rPr>
  </w:style>
  <w:style w:type="paragraph" w:styleId="38">
    <w:name w:val="Body Text First Indent"/>
    <w:basedOn w:val="1"/>
    <w:qFormat/>
    <w:uiPriority w:val="0"/>
    <w:pPr>
      <w:ind w:firstLine="480" w:firstLineChars="200"/>
    </w:pPr>
    <w:rPr>
      <w:szCs w:val="21"/>
    </w:rPr>
  </w:style>
  <w:style w:type="table" w:styleId="40">
    <w:name w:val="Table Grid"/>
    <w:basedOn w:val="3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2">
    <w:name w:val="Strong"/>
    <w:qFormat/>
    <w:uiPriority w:val="0"/>
    <w:rPr>
      <w:b/>
      <w:bCs/>
    </w:rPr>
  </w:style>
  <w:style w:type="character" w:styleId="43">
    <w:name w:val="page number"/>
    <w:basedOn w:val="41"/>
    <w:qFormat/>
    <w:uiPriority w:val="0"/>
  </w:style>
  <w:style w:type="character" w:styleId="44">
    <w:name w:val="FollowedHyperlink"/>
    <w:qFormat/>
    <w:uiPriority w:val="0"/>
    <w:rPr>
      <w:color w:val="800080"/>
      <w:u w:val="single"/>
    </w:rPr>
  </w:style>
  <w:style w:type="character" w:styleId="45">
    <w:name w:val="Hyperlink"/>
    <w:qFormat/>
    <w:uiPriority w:val="99"/>
    <w:rPr>
      <w:color w:val="0000FF"/>
      <w:u w:val="single"/>
    </w:rPr>
  </w:style>
  <w:style w:type="character" w:styleId="46">
    <w:name w:val="annotation reference"/>
    <w:qFormat/>
    <w:uiPriority w:val="0"/>
    <w:rPr>
      <w:sz w:val="21"/>
      <w:szCs w:val="21"/>
    </w:rPr>
  </w:style>
  <w:style w:type="paragraph" w:customStyle="1" w:styleId="47">
    <w:name w:val="正文文本首行缩进 21"/>
    <w:basedOn w:val="3"/>
    <w:qFormat/>
    <w:uiPriority w:val="99"/>
    <w:pPr>
      <w:spacing w:line="200" w:lineRule="atLeast"/>
      <w:ind w:firstLine="420"/>
    </w:pPr>
    <w:rPr>
      <w:rFonts w:hAnsi="Courier New"/>
      <w:spacing w:val="-4"/>
      <w:sz w:val="18"/>
    </w:rPr>
  </w:style>
  <w:style w:type="paragraph" w:customStyle="1" w:styleId="48">
    <w:name w:val="正文（自定义）"/>
    <w:basedOn w:val="1"/>
    <w:qFormat/>
    <w:uiPriority w:val="0"/>
    <w:pPr>
      <w:ind w:firstLine="200" w:firstLineChars="200"/>
    </w:pPr>
    <w:rPr>
      <w:rFonts w:ascii="仿宋_GB2312" w:hAnsi="仿宋_GB2312" w:eastAsia="仿宋_GB2312"/>
      <w:sz w:val="32"/>
    </w:rPr>
  </w:style>
  <w:style w:type="paragraph" w:customStyle="1" w:styleId="49">
    <w:name w:val="图表目录1"/>
    <w:basedOn w:val="50"/>
    <w:next w:val="50"/>
    <w:qFormat/>
    <w:uiPriority w:val="0"/>
    <w:pPr>
      <w:spacing w:beforeAutospacing="1" w:afterAutospacing="1"/>
      <w:ind w:left="200" w:leftChars="200" w:hanging="200" w:hangingChars="200"/>
    </w:pPr>
  </w:style>
  <w:style w:type="paragraph" w:customStyle="1" w:styleId="50">
    <w:name w:val="正文 New New New New New New New New New New New New New New New New New New New New New New New New New New New New New New New New New New New New New New New New New New New New New New New New New New New New New New New New New New New New New New Ne"/>
    <w:next w:val="49"/>
    <w:qFormat/>
    <w:uiPriority w:val="0"/>
    <w:pPr>
      <w:widowControl w:val="0"/>
      <w:jc w:val="both"/>
    </w:pPr>
    <w:rPr>
      <w:rFonts w:ascii="Times New Roman" w:hAnsi="Times New Roman" w:eastAsia="宋体" w:cs="黑体"/>
      <w:kern w:val="2"/>
      <w:sz w:val="21"/>
      <w:szCs w:val="24"/>
      <w:lang w:val="en-US" w:eastAsia="zh-CN" w:bidi="ar-SA"/>
    </w:rPr>
  </w:style>
  <w:style w:type="paragraph" w:customStyle="1" w:styleId="51">
    <w:name w:val="无间隔1"/>
    <w:next w:val="1"/>
    <w:qFormat/>
    <w:uiPriority w:val="0"/>
    <w:pPr>
      <w:widowControl w:val="0"/>
      <w:jc w:val="both"/>
    </w:pPr>
    <w:rPr>
      <w:rFonts w:ascii="Calibri" w:hAnsi="Calibri" w:eastAsia="宋体" w:cs="Times New Roman"/>
      <w:kern w:val="2"/>
      <w:sz w:val="21"/>
      <w:szCs w:val="22"/>
      <w:lang w:val="en-US" w:eastAsia="zh-CN" w:bidi="ar-SA"/>
    </w:rPr>
  </w:style>
  <w:style w:type="character" w:customStyle="1" w:styleId="52">
    <w:name w:val="grame"/>
    <w:qFormat/>
    <w:uiPriority w:val="0"/>
  </w:style>
  <w:style w:type="character" w:customStyle="1" w:styleId="53">
    <w:name w:val="style11"/>
    <w:qFormat/>
    <w:uiPriority w:val="0"/>
    <w:rPr>
      <w:color w:val="000000"/>
      <w:sz w:val="18"/>
      <w:szCs w:val="18"/>
    </w:rPr>
  </w:style>
  <w:style w:type="character" w:customStyle="1" w:styleId="54">
    <w:name w:val="标题 6 字符"/>
    <w:link w:val="11"/>
    <w:qFormat/>
    <w:uiPriority w:val="0"/>
    <w:rPr>
      <w:rFonts w:ascii="Arial" w:hAnsi="Arial" w:eastAsia="黑体"/>
      <w:b/>
      <w:bCs/>
      <w:sz w:val="24"/>
      <w:szCs w:val="24"/>
    </w:rPr>
  </w:style>
  <w:style w:type="character" w:customStyle="1" w:styleId="55">
    <w:name w:val="批注框文本 Char"/>
    <w:qFormat/>
    <w:uiPriority w:val="0"/>
    <w:rPr>
      <w:rFonts w:eastAsia="宋体"/>
      <w:kern w:val="2"/>
      <w:sz w:val="18"/>
      <w:szCs w:val="18"/>
      <w:lang w:val="en-US" w:eastAsia="zh-CN" w:bidi="ar-SA"/>
    </w:rPr>
  </w:style>
  <w:style w:type="character" w:customStyle="1" w:styleId="56">
    <w:name w:val="标题 7 字符"/>
    <w:link w:val="12"/>
    <w:qFormat/>
    <w:uiPriority w:val="0"/>
    <w:rPr>
      <w:b/>
      <w:bCs/>
      <w:sz w:val="24"/>
      <w:szCs w:val="24"/>
    </w:rPr>
  </w:style>
  <w:style w:type="character" w:customStyle="1" w:styleId="57">
    <w:name w:val="纯文本 Char1"/>
    <w:qFormat/>
    <w:uiPriority w:val="99"/>
    <w:rPr>
      <w:rFonts w:ascii="宋体" w:hAnsi="Courier New" w:cs="Courier New"/>
      <w:kern w:val="2"/>
      <w:sz w:val="21"/>
      <w:szCs w:val="21"/>
    </w:rPr>
  </w:style>
  <w:style w:type="character" w:customStyle="1" w:styleId="58">
    <w:name w:val="批注主题 字符"/>
    <w:link w:val="37"/>
    <w:qFormat/>
    <w:uiPriority w:val="0"/>
    <w:rPr>
      <w:b/>
      <w:bCs/>
    </w:rPr>
  </w:style>
  <w:style w:type="character" w:customStyle="1" w:styleId="59">
    <w:name w:val="正文文本 3 字符"/>
    <w:link w:val="21"/>
    <w:qFormat/>
    <w:uiPriority w:val="0"/>
    <w:rPr>
      <w:kern w:val="2"/>
      <w:sz w:val="16"/>
      <w:szCs w:val="16"/>
    </w:rPr>
  </w:style>
  <w:style w:type="character" w:customStyle="1" w:styleId="60">
    <w:name w:val="标题 1 字符"/>
    <w:link w:val="5"/>
    <w:qFormat/>
    <w:uiPriority w:val="0"/>
    <w:rPr>
      <w:rFonts w:ascii="黑体" w:eastAsia="黑体"/>
      <w:sz w:val="52"/>
    </w:rPr>
  </w:style>
  <w:style w:type="character" w:customStyle="1" w:styleId="61">
    <w:name w:val="超级链接"/>
    <w:qFormat/>
    <w:uiPriority w:val="0"/>
    <w:rPr>
      <w:rFonts w:ascii="Times New Roman" w:eastAsia="宋体"/>
      <w:color w:val="0000FF"/>
      <w:sz w:val="21"/>
      <w:u w:val="single" w:color="0000FF"/>
      <w:vertAlign w:val="baseline"/>
      <w:lang w:val="en-US" w:eastAsia="zh-CN"/>
    </w:rPr>
  </w:style>
  <w:style w:type="character" w:customStyle="1" w:styleId="62">
    <w:name w:val="链接"/>
    <w:qFormat/>
    <w:uiPriority w:val="0"/>
    <w:rPr>
      <w:rFonts w:ascii="Times New Roman" w:eastAsia="宋体"/>
      <w:color w:val="0000FF"/>
      <w:sz w:val="21"/>
      <w:u w:val="single" w:color="0000FF"/>
      <w:vertAlign w:val="baseline"/>
      <w:lang w:val="en-US" w:eastAsia="zh-CN"/>
    </w:rPr>
  </w:style>
  <w:style w:type="character" w:customStyle="1" w:styleId="63">
    <w:name w:val="文档结构图 字符"/>
    <w:link w:val="18"/>
    <w:qFormat/>
    <w:uiPriority w:val="0"/>
    <w:rPr>
      <w:shd w:val="clear" w:color="auto" w:fill="000080"/>
    </w:rPr>
  </w:style>
  <w:style w:type="character" w:customStyle="1" w:styleId="64">
    <w:name w:val="标题 3 字符"/>
    <w:link w:val="7"/>
    <w:qFormat/>
    <w:uiPriority w:val="0"/>
    <w:rPr>
      <w:b/>
      <w:sz w:val="32"/>
    </w:rPr>
  </w:style>
  <w:style w:type="character" w:customStyle="1" w:styleId="65">
    <w:name w:val="标题 5 字符"/>
    <w:link w:val="10"/>
    <w:qFormat/>
    <w:uiPriority w:val="0"/>
    <w:rPr>
      <w:b/>
      <w:bCs/>
      <w:sz w:val="28"/>
      <w:szCs w:val="28"/>
    </w:rPr>
  </w:style>
  <w:style w:type="character" w:customStyle="1" w:styleId="66">
    <w:name w:val="日期 字符"/>
    <w:link w:val="26"/>
    <w:qFormat/>
    <w:uiPriority w:val="0"/>
    <w:rPr>
      <w:kern w:val="2"/>
      <w:sz w:val="24"/>
    </w:rPr>
  </w:style>
  <w:style w:type="character" w:customStyle="1" w:styleId="67">
    <w:name w:val="批注文字 字符"/>
    <w:link w:val="20"/>
    <w:qFormat/>
    <w:uiPriority w:val="0"/>
    <w:rPr>
      <w:kern w:val="2"/>
      <w:sz w:val="21"/>
      <w:szCs w:val="24"/>
    </w:rPr>
  </w:style>
  <w:style w:type="character" w:customStyle="1" w:styleId="68">
    <w:name w:val="正文文本缩进 2 字符"/>
    <w:link w:val="27"/>
    <w:qFormat/>
    <w:uiPriority w:val="0"/>
    <w:rPr>
      <w:rFonts w:ascii="宋体" w:hAnsi="MS Sans Serif"/>
      <w:spacing w:val="12"/>
      <w:sz w:val="24"/>
    </w:rPr>
  </w:style>
  <w:style w:type="character" w:customStyle="1" w:styleId="69">
    <w:name w:val="标题 9 字符"/>
    <w:link w:val="14"/>
    <w:qFormat/>
    <w:uiPriority w:val="0"/>
    <w:rPr>
      <w:rFonts w:ascii="Arial" w:hAnsi="Arial" w:eastAsia="黑体"/>
      <w:sz w:val="21"/>
      <w:szCs w:val="21"/>
    </w:rPr>
  </w:style>
  <w:style w:type="character" w:customStyle="1" w:styleId="70">
    <w:name w:val="批注框文本 字符"/>
    <w:link w:val="28"/>
    <w:qFormat/>
    <w:uiPriority w:val="0"/>
    <w:rPr>
      <w:kern w:val="2"/>
      <w:sz w:val="18"/>
      <w:szCs w:val="18"/>
    </w:rPr>
  </w:style>
  <w:style w:type="character" w:customStyle="1" w:styleId="71">
    <w:name w:val="正文文本缩进 字符"/>
    <w:basedOn w:val="41"/>
    <w:link w:val="3"/>
    <w:qFormat/>
    <w:uiPriority w:val="99"/>
  </w:style>
  <w:style w:type="character" w:customStyle="1" w:styleId="72">
    <w:name w:val="正文文本 字符"/>
    <w:basedOn w:val="41"/>
    <w:link w:val="22"/>
    <w:qFormat/>
    <w:uiPriority w:val="0"/>
  </w:style>
  <w:style w:type="character" w:customStyle="1" w:styleId="73">
    <w:name w:val="页眉 字符"/>
    <w:link w:val="30"/>
    <w:qFormat/>
    <w:uiPriority w:val="0"/>
    <w:rPr>
      <w:kern w:val="2"/>
      <w:sz w:val="18"/>
      <w:szCs w:val="18"/>
    </w:rPr>
  </w:style>
  <w:style w:type="character" w:customStyle="1" w:styleId="74">
    <w:name w:val="cpx12hei21"/>
    <w:qFormat/>
    <w:uiPriority w:val="0"/>
    <w:rPr>
      <w:rFonts w:hint="default"/>
      <w:color w:val="0C0C0E"/>
      <w:sz w:val="18"/>
      <w:szCs w:val="18"/>
      <w:u w:val="none"/>
    </w:rPr>
  </w:style>
  <w:style w:type="character" w:customStyle="1" w:styleId="75">
    <w:name w:val="标题 2 字符"/>
    <w:link w:val="6"/>
    <w:qFormat/>
    <w:uiPriority w:val="9"/>
    <w:rPr>
      <w:rFonts w:ascii="Arial" w:hAnsi="Arial" w:eastAsia="黑体"/>
      <w:b/>
      <w:bCs/>
      <w:sz w:val="32"/>
      <w:szCs w:val="32"/>
    </w:rPr>
  </w:style>
  <w:style w:type="character" w:customStyle="1" w:styleId="76">
    <w:name w:val="标题 8 字符"/>
    <w:link w:val="13"/>
    <w:qFormat/>
    <w:uiPriority w:val="0"/>
    <w:rPr>
      <w:rFonts w:ascii="Arial" w:hAnsi="Arial" w:eastAsia="黑体"/>
      <w:sz w:val="24"/>
      <w:szCs w:val="24"/>
    </w:rPr>
  </w:style>
  <w:style w:type="character" w:customStyle="1" w:styleId="77">
    <w:name w:val="页脚 字符"/>
    <w:link w:val="29"/>
    <w:qFormat/>
    <w:uiPriority w:val="0"/>
    <w:rPr>
      <w:kern w:val="2"/>
      <w:sz w:val="18"/>
      <w:szCs w:val="18"/>
    </w:rPr>
  </w:style>
  <w:style w:type="character" w:customStyle="1" w:styleId="78">
    <w:name w:val="页脚 Char"/>
    <w:qFormat/>
    <w:uiPriority w:val="99"/>
    <w:rPr>
      <w:rFonts w:eastAsia="宋体"/>
      <w:kern w:val="2"/>
      <w:sz w:val="18"/>
      <w:lang w:val="en-US" w:eastAsia="zh-CN" w:bidi="ar-SA"/>
    </w:rPr>
  </w:style>
  <w:style w:type="character" w:customStyle="1" w:styleId="79">
    <w:name w:val="正文文本缩进 3 字符"/>
    <w:link w:val="32"/>
    <w:qFormat/>
    <w:uiPriority w:val="0"/>
    <w:rPr>
      <w:rFonts w:ascii="宋体" w:hAnsi="MS Sans Serif"/>
      <w:color w:val="000000"/>
      <w:sz w:val="24"/>
    </w:rPr>
  </w:style>
  <w:style w:type="character" w:customStyle="1" w:styleId="80">
    <w:name w:val="纯文本 字符"/>
    <w:link w:val="24"/>
    <w:qFormat/>
    <w:uiPriority w:val="0"/>
    <w:rPr>
      <w:rFonts w:ascii="宋体" w:hAnsi="Courier New" w:cs="Courier New"/>
      <w:kern w:val="2"/>
      <w:sz w:val="21"/>
      <w:szCs w:val="21"/>
    </w:rPr>
  </w:style>
  <w:style w:type="character" w:customStyle="1" w:styleId="81">
    <w:name w:val="标题 4 字符"/>
    <w:link w:val="9"/>
    <w:qFormat/>
    <w:uiPriority w:val="0"/>
    <w:rPr>
      <w:rFonts w:ascii="Arial" w:hAnsi="Arial" w:eastAsia="黑体"/>
      <w:b/>
      <w:bCs/>
      <w:sz w:val="28"/>
      <w:szCs w:val="28"/>
    </w:rPr>
  </w:style>
  <w:style w:type="character" w:customStyle="1" w:styleId="82">
    <w:name w:val="批注主题 Char1"/>
    <w:qFormat/>
    <w:uiPriority w:val="0"/>
    <w:rPr>
      <w:b/>
      <w:bCs/>
      <w:kern w:val="2"/>
      <w:sz w:val="21"/>
      <w:szCs w:val="24"/>
    </w:rPr>
  </w:style>
  <w:style w:type="character" w:customStyle="1" w:styleId="83">
    <w:name w:val="题注 字符"/>
    <w:link w:val="17"/>
    <w:qFormat/>
    <w:uiPriority w:val="0"/>
    <w:rPr>
      <w:rFonts w:ascii="Arial" w:hAnsi="Arial" w:eastAsia="黑体"/>
      <w:kern w:val="2"/>
    </w:rPr>
  </w:style>
  <w:style w:type="character" w:customStyle="1" w:styleId="84">
    <w:name w:val="正文缩进 字符"/>
    <w:link w:val="16"/>
    <w:qFormat/>
    <w:uiPriority w:val="0"/>
    <w:rPr>
      <w:rFonts w:eastAsia="宋体"/>
      <w:lang w:val="en-US" w:eastAsia="zh-CN" w:bidi="ar-SA"/>
    </w:rPr>
  </w:style>
  <w:style w:type="character" w:customStyle="1" w:styleId="85">
    <w:name w:val="纯文本 Char"/>
    <w:qFormat/>
    <w:uiPriority w:val="0"/>
    <w:rPr>
      <w:rFonts w:ascii="宋体" w:hAnsi="Courier New" w:eastAsia="宋体"/>
      <w:kern w:val="2"/>
      <w:sz w:val="21"/>
      <w:lang w:val="en-US" w:eastAsia="zh-CN" w:bidi="ar-SA"/>
    </w:rPr>
  </w:style>
  <w:style w:type="paragraph" w:customStyle="1" w:styleId="86">
    <w:name w:val="Table Paragraph"/>
    <w:basedOn w:val="1"/>
    <w:qFormat/>
    <w:uiPriority w:val="1"/>
    <w:pPr>
      <w:jc w:val="left"/>
    </w:pPr>
    <w:rPr>
      <w:rFonts w:ascii="Calibri" w:hAnsi="Calibri"/>
      <w:sz w:val="22"/>
      <w:szCs w:val="22"/>
      <w:lang w:eastAsia="en-US"/>
    </w:rPr>
  </w:style>
  <w:style w:type="paragraph" w:customStyle="1" w:styleId="87">
    <w:name w:val="附件1."/>
    <w:basedOn w:val="5"/>
    <w:qFormat/>
    <w:uiPriority w:val="0"/>
    <w:pPr>
      <w:keepNext w:val="0"/>
      <w:widowControl w:val="0"/>
      <w:tabs>
        <w:tab w:val="left" w:pos="360"/>
        <w:tab w:val="left" w:pos="420"/>
        <w:tab w:val="clear" w:pos="432"/>
      </w:tabs>
      <w:spacing w:line="360" w:lineRule="auto"/>
      <w:ind w:left="567" w:hanging="567"/>
      <w:jc w:val="both"/>
    </w:pPr>
    <w:rPr>
      <w:rFonts w:ascii="Times New Roman" w:eastAsia="宋体"/>
      <w:bCs/>
      <w:kern w:val="44"/>
      <w:sz w:val="24"/>
      <w:szCs w:val="44"/>
    </w:rPr>
  </w:style>
  <w:style w:type="paragraph" w:customStyle="1" w:styleId="88">
    <w:name w:val="qw"/>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styleId="89">
    <w:name w:val="List Paragraph"/>
    <w:basedOn w:val="1"/>
    <w:qFormat/>
    <w:uiPriority w:val="0"/>
    <w:pPr>
      <w:spacing w:line="360" w:lineRule="auto"/>
      <w:ind w:firstLine="420" w:firstLineChars="200"/>
    </w:pPr>
    <w:rPr>
      <w:sz w:val="24"/>
    </w:rPr>
  </w:style>
  <w:style w:type="paragraph" w:customStyle="1" w:styleId="90">
    <w:name w:val="Absatz2AL"/>
    <w:basedOn w:val="22"/>
    <w:next w:val="1"/>
    <w:qFormat/>
    <w:uiPriority w:val="0"/>
    <w:pPr>
      <w:overflowPunct w:val="0"/>
      <w:autoSpaceDE w:val="0"/>
      <w:autoSpaceDN w:val="0"/>
      <w:adjustRightInd w:val="0"/>
      <w:spacing w:after="0"/>
      <w:jc w:val="both"/>
    </w:pPr>
    <w:rPr>
      <w:rFonts w:eastAsia="楷体_GB2312"/>
      <w:sz w:val="24"/>
      <w:lang w:val="de-DE"/>
    </w:rPr>
  </w:style>
  <w:style w:type="paragraph" w:customStyle="1" w:styleId="91">
    <w:name w:val="样式 标题 2H2Heading 2 HiddenHeading 2 CCBSheading 22nd levelh..."/>
    <w:basedOn w:val="6"/>
    <w:qFormat/>
    <w:uiPriority w:val="0"/>
    <w:pPr>
      <w:widowControl w:val="0"/>
      <w:spacing w:before="120" w:after="0" w:line="240" w:lineRule="auto"/>
      <w:ind w:left="576" w:hanging="576"/>
      <w:jc w:val="both"/>
    </w:pPr>
    <w:rPr>
      <w:rFonts w:ascii="宋体" w:hAnsi="宋体" w:cs="宋体"/>
      <w:b w:val="0"/>
      <w:bCs w:val="0"/>
      <w:color w:val="000000"/>
      <w:sz w:val="28"/>
      <w:szCs w:val="28"/>
    </w:rPr>
  </w:style>
  <w:style w:type="paragraph" w:customStyle="1" w:styleId="92">
    <w:name w:val="正文1"/>
    <w:qFormat/>
    <w:uiPriority w:val="0"/>
    <w:pPr>
      <w:widowControl w:val="0"/>
      <w:adjustRightInd w:val="0"/>
      <w:spacing w:line="312" w:lineRule="atLeast"/>
      <w:jc w:val="both"/>
      <w:textAlignment w:val="baseline"/>
    </w:pPr>
    <w:rPr>
      <w:rFonts w:ascii="宋体" w:hAnsi="Times New Roman" w:eastAsia="宋体" w:cs="Times New Roman"/>
      <w:sz w:val="28"/>
      <w:lang w:val="en-US" w:eastAsia="zh-CN" w:bidi="ar-SA"/>
    </w:rPr>
  </w:style>
  <w:style w:type="paragraph" w:customStyle="1" w:styleId="93">
    <w:name w:val="TOC 标题1"/>
    <w:basedOn w:val="5"/>
    <w:next w:val="1"/>
    <w:qFormat/>
    <w:uiPriority w:val="39"/>
    <w:pPr>
      <w:keepLines/>
      <w:spacing w:before="480" w:line="276" w:lineRule="auto"/>
      <w:ind w:left="0" w:firstLine="0"/>
      <w:jc w:val="left"/>
      <w:outlineLvl w:val="9"/>
    </w:pPr>
    <w:rPr>
      <w:rFonts w:ascii="Cambria" w:hAnsi="Cambria" w:eastAsia="宋体"/>
      <w:b/>
      <w:bCs/>
      <w:color w:val="365F91"/>
      <w:sz w:val="28"/>
      <w:szCs w:val="28"/>
    </w:rPr>
  </w:style>
  <w:style w:type="paragraph" w:customStyle="1" w:styleId="94">
    <w:name w:val="09正文_wh"/>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paragraph" w:customStyle="1" w:styleId="95">
    <w:name w:val="Char Char Char Char Char Char1 Char Char Char Char Char Char Char"/>
    <w:basedOn w:val="1"/>
    <w:qFormat/>
    <w:uiPriority w:val="0"/>
  </w:style>
  <w:style w:type="paragraph" w:customStyle="1" w:styleId="96">
    <w:name w:val="_Style 2"/>
    <w:basedOn w:val="1"/>
    <w:semiHidden/>
    <w:qFormat/>
    <w:uiPriority w:val="0"/>
    <w:rPr>
      <w:szCs w:val="21"/>
    </w:rPr>
  </w:style>
  <w:style w:type="table" w:customStyle="1" w:styleId="97">
    <w:name w:val="Table Normal"/>
    <w:unhideWhenUsed/>
    <w:qFormat/>
    <w:uiPriority w:val="2"/>
    <w:pPr>
      <w:widowControl w:val="0"/>
    </w:pPr>
    <w:rPr>
      <w:rFonts w:ascii="Calibri" w:hAnsi="Calibri"/>
      <w:sz w:val="22"/>
      <w:szCs w:val="22"/>
      <w:lang w:eastAsia="en-US"/>
    </w:rPr>
    <w:tblPr>
      <w:tblCellMar>
        <w:top w:w="0" w:type="dxa"/>
        <w:left w:w="0" w:type="dxa"/>
        <w:bottom w:w="0" w:type="dxa"/>
        <w:right w:w="0" w:type="dxa"/>
      </w:tblCellMar>
    </w:tblPr>
  </w:style>
  <w:style w:type="paragraph" w:customStyle="1" w:styleId="98">
    <w:name w:val="Char Char Char Char"/>
    <w:basedOn w:val="1"/>
    <w:qFormat/>
    <w:uiPriority w:val="0"/>
    <w:pPr>
      <w:widowControl/>
      <w:spacing w:after="160" w:line="240" w:lineRule="exact"/>
      <w:jc w:val="left"/>
    </w:pPr>
    <w:rPr>
      <w:rFonts w:ascii="Verdana" w:hAnsi="Verdana"/>
      <w:sz w:val="20"/>
      <w:szCs w:val="24"/>
      <w:lang w:eastAsia="en-US"/>
    </w:rPr>
  </w:style>
  <w:style w:type="paragraph" w:customStyle="1" w:styleId="99">
    <w:name w:val="Char Char Char Char1"/>
    <w:basedOn w:val="1"/>
    <w:qFormat/>
    <w:uiPriority w:val="0"/>
    <w:pPr>
      <w:widowControl/>
      <w:spacing w:after="160" w:line="240" w:lineRule="exact"/>
      <w:jc w:val="left"/>
    </w:pPr>
    <w:rPr>
      <w:rFonts w:ascii="Verdana" w:hAnsi="Verdana"/>
      <w:sz w:val="20"/>
      <w:szCs w:val="24"/>
      <w:lang w:eastAsia="en-US"/>
    </w:rPr>
  </w:style>
  <w:style w:type="paragraph" w:customStyle="1" w:styleId="100">
    <w:name w:val="Char"/>
    <w:basedOn w:val="1"/>
    <w:qFormat/>
    <w:uiPriority w:val="0"/>
    <w:rPr>
      <w:rFonts w:ascii="Times New Roman"/>
      <w:kern w:val="2"/>
      <w:sz w:val="21"/>
      <w:szCs w:val="24"/>
    </w:rPr>
  </w:style>
  <w:style w:type="paragraph" w:customStyle="1" w:styleId="101">
    <w:name w:val="列出段落1"/>
    <w:basedOn w:val="1"/>
    <w:qFormat/>
    <w:uiPriority w:val="99"/>
    <w:pPr>
      <w:ind w:firstLine="420" w:firstLineChars="200"/>
    </w:pPr>
    <w:rPr>
      <w:rFonts w:ascii="Calibri" w:hAnsi="Calibri" w:cs="黑体"/>
      <w:kern w:val="2"/>
      <w:sz w:val="21"/>
      <w:szCs w:val="22"/>
    </w:rPr>
  </w:style>
  <w:style w:type="paragraph" w:customStyle="1" w:styleId="102">
    <w:name w:val="p2"/>
    <w:basedOn w:val="1"/>
    <w:qFormat/>
    <w:uiPriority w:val="99"/>
    <w:pPr>
      <w:widowControl/>
      <w:spacing w:line="480" w:lineRule="auto"/>
      <w:ind w:firstLine="420"/>
      <w:jc w:val="left"/>
    </w:pPr>
    <w:rPr>
      <w:rFonts w:hAnsi="宋体" w:cs="宋体"/>
      <w:sz w:val="21"/>
      <w:szCs w:val="21"/>
    </w:rPr>
  </w:style>
  <w:style w:type="paragraph" w:customStyle="1" w:styleId="103">
    <w:name w:val="p0"/>
    <w:basedOn w:val="1"/>
    <w:qFormat/>
    <w:uiPriority w:val="0"/>
    <w:pPr>
      <w:widowControl/>
    </w:pPr>
    <w:rPr>
      <w:rFonts w:ascii="Times New Roman"/>
      <w:sz w:val="21"/>
      <w:szCs w:val="21"/>
    </w:rPr>
  </w:style>
  <w:style w:type="character" w:customStyle="1" w:styleId="104">
    <w:name w:val="font21"/>
    <w:basedOn w:val="41"/>
    <w:qFormat/>
    <w:uiPriority w:val="0"/>
    <w:rPr>
      <w:rFonts w:ascii="宋体" w:hAnsi="宋体" w:eastAsia="宋体" w:cs="宋体"/>
      <w:color w:val="000000"/>
      <w:sz w:val="24"/>
      <w:szCs w:val="24"/>
      <w:u w:val="none"/>
    </w:rPr>
  </w:style>
  <w:style w:type="character" w:customStyle="1" w:styleId="105">
    <w:name w:val="font31"/>
    <w:basedOn w:val="41"/>
    <w:qFormat/>
    <w:uiPriority w:val="0"/>
    <w:rPr>
      <w:rFonts w:hint="eastAsia" w:ascii="宋体" w:hAnsi="宋体" w:eastAsia="宋体" w:cs="宋体"/>
      <w:color w:val="000000"/>
      <w:sz w:val="22"/>
      <w:szCs w:val="22"/>
      <w:u w:val="none"/>
    </w:rPr>
  </w:style>
  <w:style w:type="paragraph" w:customStyle="1" w:styleId="106">
    <w:name w:val="标题 11"/>
    <w:basedOn w:val="1"/>
    <w:qFormat/>
    <w:uiPriority w:val="1"/>
    <w:pPr>
      <w:autoSpaceDE w:val="0"/>
      <w:autoSpaceDN w:val="0"/>
      <w:spacing w:before="38"/>
      <w:ind w:left="1482" w:right="1677"/>
      <w:jc w:val="center"/>
      <w:outlineLvl w:val="1"/>
    </w:pPr>
    <w:rPr>
      <w:rFonts w:hAnsi="宋体" w:cs="宋体"/>
      <w:b/>
      <w:bCs/>
      <w:sz w:val="36"/>
      <w:szCs w:val="36"/>
      <w:lang w:val="zh-CN" w:bidi="zh-CN"/>
    </w:rPr>
  </w:style>
  <w:style w:type="paragraph" w:customStyle="1" w:styleId="107">
    <w:name w:val="列出段落2"/>
    <w:basedOn w:val="1"/>
    <w:unhideWhenUsed/>
    <w:qFormat/>
    <w:uiPriority w:val="0"/>
    <w:pPr>
      <w:ind w:firstLine="420" w:firstLineChars="200"/>
    </w:pPr>
  </w:style>
  <w:style w:type="paragraph" w:customStyle="1" w:styleId="108">
    <w:name w:val="样式1"/>
    <w:basedOn w:val="1"/>
    <w:qFormat/>
    <w:uiPriority w:val="0"/>
    <w:pPr>
      <w:numPr>
        <w:ilvl w:val="0"/>
        <w:numId w:val="2"/>
      </w:numPr>
      <w:adjustRightInd w:val="0"/>
    </w:pPr>
    <w:rPr>
      <w:sz w:val="21"/>
      <w:szCs w:val="21"/>
    </w:rPr>
  </w:style>
  <w:style w:type="paragraph" w:customStyle="1" w:styleId="109">
    <w:name w:val="正文文本缩进1"/>
    <w:basedOn w:val="1"/>
    <w:qFormat/>
    <w:uiPriority w:val="0"/>
    <w:pPr>
      <w:spacing w:line="200" w:lineRule="exact"/>
      <w:ind w:firstLine="301"/>
    </w:pPr>
    <w:rPr>
      <w:rFonts w:ascii="Times New Roman"/>
      <w:spacing w:val="-4"/>
      <w:sz w:val="18"/>
    </w:rPr>
  </w:style>
  <w:style w:type="paragraph" w:customStyle="1" w:styleId="110">
    <w:name w:val="一级条标题"/>
    <w:basedOn w:val="1"/>
    <w:next w:val="1"/>
    <w:qFormat/>
    <w:uiPriority w:val="99"/>
    <w:pPr>
      <w:widowControl/>
      <w:ind w:left="420"/>
      <w:outlineLvl w:val="2"/>
    </w:pPr>
    <w:rPr>
      <w:rFonts w:ascii="黑体" w:eastAsia="黑体" w:cs="黑体"/>
    </w:rPr>
  </w:style>
  <w:style w:type="paragraph" w:customStyle="1" w:styleId="111">
    <w:name w:val="表格段落"/>
    <w:qFormat/>
    <w:locked/>
    <w:uiPriority w:val="0"/>
    <w:pPr>
      <w:spacing w:line="300" w:lineRule="auto"/>
    </w:pPr>
    <w:rPr>
      <w:rFonts w:ascii="Times New Roman" w:hAnsi="Times New Roman" w:eastAsia="宋体" w:cs="Times New Roman"/>
      <w:kern w:val="2"/>
      <w:sz w:val="24"/>
      <w:szCs w:val="22"/>
      <w:lang w:val="en-US" w:eastAsia="zh-CN" w:bidi="ar-SA"/>
    </w:rPr>
  </w:style>
  <w:style w:type="paragraph" w:customStyle="1" w:styleId="112">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113">
    <w:name w:val="font11"/>
    <w:basedOn w:val="41"/>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C4B3A07-7CB2-4D34-9AE4-B4E2B4D6496B}">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85</Pages>
  <Words>41322</Words>
  <Characters>43942</Characters>
  <Lines>358</Lines>
  <Paragraphs>101</Paragraphs>
  <TotalTime>13</TotalTime>
  <ScaleCrop>false</ScaleCrop>
  <LinksUpToDate>false</LinksUpToDate>
  <CharactersWithSpaces>45708</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2018-01-25T07:30:00Z</dcterms:created>
  <dc:creator>微软用户</dc:creator>
  <cp:lastModifiedBy>王飞</cp:lastModifiedBy>
  <cp:lastPrinted>2024-08-09T09:58:00Z</cp:lastPrinted>
  <dcterms:modified xsi:type="dcterms:W3CDTF">2024-08-11T03:23:02Z</dcterms:modified>
  <dc:title>保山中心城市棚户区改造火车站片区房屋征收与拆除项目</dc:title>
  <cp:revision>380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3FC1822A1AAC4965A5F895013E3C748D_13</vt:lpwstr>
  </property>
  <property fmtid="{D5CDD505-2E9C-101B-9397-08002B2CF9AE}" pid="4" name="KSOSaveFontToCloudKey">
    <vt:lpwstr>592266204_btnclosed</vt:lpwstr>
  </property>
</Properties>
</file>