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87400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0"/>
        <w:jc w:val="center"/>
        <w:textAlignment w:val="auto"/>
        <w:rPr>
          <w:rStyle w:val="8"/>
          <w:rFonts w:hint="eastAsia" w:ascii="宋体" w:hAnsi="宋体" w:eastAsia="宋体" w:cs="宋体"/>
          <w:b/>
          <w:bCs/>
          <w:i w:val="0"/>
          <w:iCs w:val="0"/>
          <w:caps w:val="0"/>
          <w:color w:val="222222"/>
          <w:spacing w:val="0"/>
          <w:sz w:val="24"/>
          <w:szCs w:val="24"/>
          <w:shd w:val="clear" w:fill="FFFFFF"/>
        </w:rPr>
      </w:pPr>
      <w:bookmarkStart w:id="0" w:name="_GoBack"/>
      <w:r>
        <w:rPr>
          <w:rStyle w:val="8"/>
          <w:rFonts w:hint="eastAsia" w:ascii="宋体" w:hAnsi="宋体" w:eastAsia="宋体" w:cs="宋体"/>
          <w:b/>
          <w:bCs/>
          <w:i w:val="0"/>
          <w:iCs w:val="0"/>
          <w:caps w:val="0"/>
          <w:color w:val="222222"/>
          <w:spacing w:val="0"/>
          <w:sz w:val="24"/>
          <w:szCs w:val="24"/>
          <w:shd w:val="clear" w:fill="FFFFFF"/>
        </w:rPr>
        <w:t>清华附中福州学校2025年饮水机采购更正公告（第一次）</w:t>
      </w:r>
    </w:p>
    <w:bookmarkEnd w:id="0"/>
    <w:p w14:paraId="39EDF4F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宋体" w:hAnsi="宋体" w:eastAsia="宋体" w:cs="宋体"/>
          <w:b w:val="0"/>
          <w:bCs w:val="0"/>
          <w:i w:val="0"/>
          <w:iCs w:val="0"/>
          <w:caps w:val="0"/>
          <w:color w:val="222222"/>
          <w:spacing w:val="0"/>
          <w:sz w:val="24"/>
          <w:szCs w:val="24"/>
        </w:rPr>
      </w:pPr>
      <w:r>
        <w:rPr>
          <w:rStyle w:val="8"/>
          <w:rFonts w:hint="eastAsia" w:ascii="宋体" w:hAnsi="宋体" w:eastAsia="宋体" w:cs="宋体"/>
          <w:b/>
          <w:bCs/>
          <w:i w:val="0"/>
          <w:iCs w:val="0"/>
          <w:caps w:val="0"/>
          <w:color w:val="222222"/>
          <w:spacing w:val="0"/>
          <w:sz w:val="24"/>
          <w:szCs w:val="24"/>
          <w:shd w:val="clear" w:fill="FFFFFF"/>
        </w:rPr>
        <w:t>一、项目基本情况</w:t>
      </w:r>
    </w:p>
    <w:p w14:paraId="65B8F18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i w:val="0"/>
          <w:iCs w:val="0"/>
          <w:caps w:val="0"/>
          <w:color w:val="222222"/>
          <w:spacing w:val="0"/>
          <w:sz w:val="24"/>
          <w:szCs w:val="24"/>
          <w:lang w:eastAsia="zh-CN"/>
        </w:rPr>
      </w:pPr>
      <w:r>
        <w:rPr>
          <w:rFonts w:hint="eastAsia" w:ascii="宋体" w:hAnsi="宋体" w:eastAsia="宋体" w:cs="宋体"/>
          <w:i w:val="0"/>
          <w:iCs w:val="0"/>
          <w:caps w:val="0"/>
          <w:color w:val="222222"/>
          <w:spacing w:val="0"/>
          <w:sz w:val="24"/>
          <w:szCs w:val="24"/>
          <w:shd w:val="clear" w:fill="FFFFFF"/>
        </w:rPr>
        <w:t>原公告的采购项目编号：</w:t>
      </w:r>
      <w:r>
        <w:rPr>
          <w:rFonts w:hint="eastAsia" w:ascii="宋体" w:hAnsi="宋体" w:eastAsia="宋体" w:cs="宋体"/>
          <w:i w:val="0"/>
          <w:iCs w:val="0"/>
          <w:caps w:val="0"/>
          <w:color w:val="222222"/>
          <w:spacing w:val="0"/>
          <w:sz w:val="24"/>
          <w:szCs w:val="24"/>
          <w:shd w:val="clear" w:fill="FFFFFF"/>
          <w:lang w:eastAsia="zh-CN"/>
        </w:rPr>
        <w:t>[350101]FJXFZB[GK]2025002</w:t>
      </w:r>
    </w:p>
    <w:p w14:paraId="29B0DE1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i w:val="0"/>
          <w:iCs w:val="0"/>
          <w:caps w:val="0"/>
          <w:color w:val="222222"/>
          <w:spacing w:val="0"/>
          <w:sz w:val="24"/>
          <w:szCs w:val="24"/>
          <w:lang w:eastAsia="zh-CN"/>
        </w:rPr>
      </w:pPr>
      <w:r>
        <w:rPr>
          <w:rFonts w:hint="eastAsia" w:ascii="宋体" w:hAnsi="宋体" w:eastAsia="宋体" w:cs="宋体"/>
          <w:i w:val="0"/>
          <w:iCs w:val="0"/>
          <w:caps w:val="0"/>
          <w:color w:val="222222"/>
          <w:spacing w:val="0"/>
          <w:sz w:val="24"/>
          <w:szCs w:val="24"/>
          <w:shd w:val="clear" w:fill="FFFFFF"/>
        </w:rPr>
        <w:t>原公告的采购项目名称：</w:t>
      </w:r>
      <w:r>
        <w:rPr>
          <w:rFonts w:hint="eastAsia" w:ascii="宋体" w:hAnsi="宋体" w:eastAsia="宋体" w:cs="宋体"/>
          <w:i w:val="0"/>
          <w:iCs w:val="0"/>
          <w:caps w:val="0"/>
          <w:color w:val="222222"/>
          <w:spacing w:val="0"/>
          <w:sz w:val="24"/>
          <w:szCs w:val="24"/>
          <w:shd w:val="clear" w:fill="FFFFFF"/>
          <w:lang w:eastAsia="zh-CN"/>
        </w:rPr>
        <w:t>清华附中福州学校2025年饮水机</w:t>
      </w:r>
    </w:p>
    <w:p w14:paraId="59E322F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shd w:val="clear" w:fill="FFFFFF"/>
        </w:rPr>
        <w:t>首次公告日期：2025年</w:t>
      </w:r>
      <w:r>
        <w:rPr>
          <w:rFonts w:hint="eastAsia" w:ascii="宋体" w:hAnsi="宋体" w:eastAsia="宋体" w:cs="宋体"/>
          <w:i w:val="0"/>
          <w:iCs w:val="0"/>
          <w:caps w:val="0"/>
          <w:color w:val="222222"/>
          <w:spacing w:val="0"/>
          <w:sz w:val="24"/>
          <w:szCs w:val="24"/>
          <w:shd w:val="clear" w:fill="FFFFFF"/>
          <w:lang w:val="en-US" w:eastAsia="zh-CN"/>
        </w:rPr>
        <w:t>07</w:t>
      </w:r>
      <w:r>
        <w:rPr>
          <w:rFonts w:hint="eastAsia" w:ascii="宋体" w:hAnsi="宋体" w:eastAsia="宋体" w:cs="宋体"/>
          <w:i w:val="0"/>
          <w:iCs w:val="0"/>
          <w:caps w:val="0"/>
          <w:color w:val="222222"/>
          <w:spacing w:val="0"/>
          <w:sz w:val="24"/>
          <w:szCs w:val="24"/>
          <w:shd w:val="clear" w:fill="FFFFFF"/>
        </w:rPr>
        <w:t>月</w:t>
      </w:r>
      <w:r>
        <w:rPr>
          <w:rFonts w:hint="eastAsia" w:ascii="宋体" w:hAnsi="宋体" w:eastAsia="宋体" w:cs="宋体"/>
          <w:i w:val="0"/>
          <w:iCs w:val="0"/>
          <w:caps w:val="0"/>
          <w:color w:val="222222"/>
          <w:spacing w:val="0"/>
          <w:sz w:val="24"/>
          <w:szCs w:val="24"/>
          <w:shd w:val="clear" w:fill="FFFFFF"/>
          <w:lang w:val="en-US" w:eastAsia="zh-CN"/>
        </w:rPr>
        <w:t>10</w:t>
      </w:r>
      <w:r>
        <w:rPr>
          <w:rFonts w:hint="eastAsia" w:ascii="宋体" w:hAnsi="宋体" w:eastAsia="宋体" w:cs="宋体"/>
          <w:i w:val="0"/>
          <w:iCs w:val="0"/>
          <w:caps w:val="0"/>
          <w:color w:val="222222"/>
          <w:spacing w:val="0"/>
          <w:sz w:val="24"/>
          <w:szCs w:val="24"/>
          <w:shd w:val="clear" w:fill="FFFFFF"/>
        </w:rPr>
        <w:t>日</w:t>
      </w:r>
    </w:p>
    <w:p w14:paraId="382085C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宋体" w:hAnsi="宋体" w:eastAsia="宋体" w:cs="宋体"/>
          <w:b w:val="0"/>
          <w:bCs w:val="0"/>
          <w:i w:val="0"/>
          <w:iCs w:val="0"/>
          <w:caps w:val="0"/>
          <w:color w:val="222222"/>
          <w:spacing w:val="0"/>
          <w:sz w:val="24"/>
          <w:szCs w:val="24"/>
        </w:rPr>
      </w:pPr>
      <w:r>
        <w:rPr>
          <w:rStyle w:val="8"/>
          <w:rFonts w:hint="eastAsia" w:ascii="宋体" w:hAnsi="宋体" w:eastAsia="宋体" w:cs="宋体"/>
          <w:b/>
          <w:bCs/>
          <w:i w:val="0"/>
          <w:iCs w:val="0"/>
          <w:caps w:val="0"/>
          <w:color w:val="222222"/>
          <w:spacing w:val="0"/>
          <w:sz w:val="24"/>
          <w:szCs w:val="24"/>
          <w:shd w:val="clear" w:fill="FFFFFF"/>
        </w:rPr>
        <w:t>二、更正信息：</w:t>
      </w:r>
    </w:p>
    <w:p w14:paraId="1D6739D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sz w:val="24"/>
          <w:szCs w:val="24"/>
          <w:lang w:val="en-US" w:eastAsia="zh-CN"/>
        </w:rPr>
      </w:pPr>
      <w:r>
        <w:rPr>
          <w:rFonts w:hint="eastAsia" w:ascii="宋体" w:hAnsi="宋体" w:eastAsia="宋体" w:cs="宋体"/>
          <w:i w:val="0"/>
          <w:iCs w:val="0"/>
          <w:caps w:val="0"/>
          <w:color w:val="222222"/>
          <w:spacing w:val="0"/>
          <w:sz w:val="24"/>
          <w:szCs w:val="24"/>
          <w:shd w:val="clear" w:fill="FFFFFF"/>
        </w:rPr>
        <w:t>更正事项：</w:t>
      </w:r>
      <w:r>
        <w:rPr>
          <w:rFonts w:hint="eastAsia" w:ascii="宋体" w:hAnsi="宋体" w:eastAsia="宋体" w:cs="宋体"/>
          <w:i w:val="0"/>
          <w:iCs w:val="0"/>
          <w:caps w:val="0"/>
          <w:color w:val="222222"/>
          <w:spacing w:val="0"/>
          <w:sz w:val="24"/>
          <w:szCs w:val="24"/>
          <w:shd w:val="clear" w:fill="FFFFFF"/>
          <w:lang w:val="en-US" w:eastAsia="zh-CN"/>
        </w:rPr>
        <w:t>采购文件</w:t>
      </w:r>
    </w:p>
    <w:p w14:paraId="6B9537F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exact"/>
        <w:ind w:left="0" w:right="0" w:firstLine="480"/>
        <w:jc w:val="both"/>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shd w:val="clear" w:fill="FFFFFF"/>
          <w:lang w:val="en-US" w:eastAsia="zh-CN" w:bidi="ar"/>
        </w:rPr>
        <w:t>更正原因：</w:t>
      </w:r>
      <w:r>
        <w:rPr>
          <w:rFonts w:hint="eastAsia" w:ascii="宋体" w:hAnsi="宋体" w:eastAsia="宋体" w:cs="宋体"/>
          <w:i w:val="0"/>
          <w:iCs w:val="0"/>
          <w:caps w:val="0"/>
          <w:color w:val="222222"/>
          <w:spacing w:val="0"/>
          <w:sz w:val="24"/>
          <w:szCs w:val="24"/>
          <w:shd w:val="clear" w:fill="FFFFFF"/>
        </w:rPr>
        <w:t>修改评分项</w:t>
      </w:r>
      <w:r>
        <w:rPr>
          <w:rFonts w:hint="eastAsia" w:ascii="宋体" w:hAnsi="宋体" w:eastAsia="宋体" w:cs="宋体"/>
          <w:i w:val="0"/>
          <w:iCs w:val="0"/>
          <w:caps w:val="0"/>
          <w:color w:val="222222"/>
          <w:spacing w:val="0"/>
          <w:sz w:val="24"/>
          <w:szCs w:val="24"/>
          <w:shd w:val="clear" w:fill="FFFFFF"/>
          <w:lang w:eastAsia="zh-CN"/>
        </w:rPr>
        <w:t>、</w:t>
      </w:r>
      <w:r>
        <w:rPr>
          <w:rFonts w:hint="eastAsia" w:ascii="宋体" w:hAnsi="宋体" w:eastAsia="宋体" w:cs="宋体"/>
          <w:i w:val="0"/>
          <w:iCs w:val="0"/>
          <w:caps w:val="0"/>
          <w:color w:val="222222"/>
          <w:spacing w:val="0"/>
          <w:kern w:val="0"/>
          <w:sz w:val="24"/>
          <w:szCs w:val="24"/>
          <w:shd w:val="clear" w:fill="FFFFFF"/>
          <w:lang w:val="en-US" w:eastAsia="zh-CN" w:bidi="ar"/>
        </w:rPr>
        <w:t>完善招标内容及要求</w:t>
      </w:r>
    </w:p>
    <w:p w14:paraId="546DB2F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222222"/>
          <w:spacing w:val="0"/>
          <w:sz w:val="24"/>
          <w:szCs w:val="24"/>
          <w:shd w:val="clear" w:fill="FFFFFF"/>
        </w:rPr>
        <w:t>更正内容：</w:t>
      </w:r>
    </w:p>
    <w:p w14:paraId="3CFD74A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4"/>
          <w:szCs w:val="24"/>
        </w:rPr>
      </w:pPr>
      <w:r>
        <w:rPr>
          <w:rFonts w:hint="eastAsia" w:ascii="宋体" w:hAnsi="宋体" w:eastAsia="宋体" w:cs="宋体"/>
          <w:i w:val="0"/>
          <w:iCs w:val="0"/>
          <w:caps w:val="0"/>
          <w:color w:val="auto"/>
          <w:spacing w:val="0"/>
          <w:sz w:val="24"/>
          <w:szCs w:val="24"/>
          <w:shd w:val="clear" w:fill="FFFFFF"/>
        </w:rPr>
        <w:t>原公告的投标文件提交截止时间：2025-09-30 09:30:00，更正为：2025-09-17 14:00:00。</w:t>
      </w:r>
    </w:p>
    <w:p w14:paraId="4CACB38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4"/>
          <w:szCs w:val="24"/>
        </w:rPr>
      </w:pPr>
      <w:r>
        <w:rPr>
          <w:rFonts w:hint="eastAsia" w:ascii="宋体" w:hAnsi="宋体" w:eastAsia="宋体" w:cs="宋体"/>
          <w:i w:val="0"/>
          <w:iCs w:val="0"/>
          <w:caps w:val="0"/>
          <w:color w:val="auto"/>
          <w:spacing w:val="0"/>
          <w:sz w:val="24"/>
          <w:szCs w:val="24"/>
          <w:shd w:val="clear" w:fill="FFFFFF"/>
        </w:rPr>
        <w:t>原公告的开标时间：2025-09-30 09:30:00，更正为：2025-09-17 14:00:00。</w:t>
      </w:r>
    </w:p>
    <w:p w14:paraId="1676244F">
      <w:pPr>
        <w:pStyle w:val="9"/>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原招标文件第四章 资格审查与评标“二、评标”“7.2评标标准”技术项中</w:t>
      </w:r>
    </w:p>
    <w:tbl>
      <w:tblPr>
        <w:tblStyle w:val="6"/>
        <w:tblW w:w="1015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73"/>
        <w:gridCol w:w="732"/>
        <w:gridCol w:w="1344"/>
        <w:gridCol w:w="7107"/>
      </w:tblGrid>
      <w:tr w14:paraId="04BA40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38D981F4">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3、检测报告1</w:t>
            </w:r>
          </w:p>
        </w:tc>
        <w:tc>
          <w:tcPr>
            <w:tcW w:w="732" w:type="dxa"/>
          </w:tcPr>
          <w:p w14:paraId="5DA16043">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67E3DCF8">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7107" w:type="dxa"/>
          </w:tcPr>
          <w:p w14:paraId="42B8BA76">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投标人提供产品部件“反渗透净水机增压泵”连续运行一段时间后水泵性能的检测报告，检测依据为《QB_T 4697-2014 家用和类似用途反渗透净水机、纳滤净水机专用加压泵》。检测结果需要达到：①在额定条件连续正常运行2000小时情况下达到无漏水，电机卡死现象，流量和压力性能参数不低于额定参数的80%的得0.5分；②在额定条件下，连续正常运行＞2000小时达到无漏水，电机卡死现象，流量和压力性能参数不低于额定参数的80%的得0.8分；③在额定条件下，连续正常运行＞4000小时达到无漏水，电机卡死现象，流量和压力性能参数不低于额定参数的80%的得1.2分；④在额定条件下，连续正常运行＞6000小时达到无漏水，电机卡死现象，流量和压力性能参数不低于额定参数的80%的得1.6分；⑤在额定条件下，连续正常运行＞8000小时达到无漏水，电机卡死现象，流量和压力性能参数不低于额定参数的80%的得2分； 注：⑴投标人须提供国家认可的检测机构出具的相 关检测报告复印件并加盖投标人公章，检测报告中受检(或委托)单位须为投标人或投标产品制造商，且检测报告须至少具有CMA标识；⑵投标人未提供检测报告或者不符合要求的不得分。</w:t>
            </w:r>
          </w:p>
        </w:tc>
      </w:tr>
      <w:tr w14:paraId="2810BA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34AEBDB1">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4、检测报告2</w:t>
            </w:r>
          </w:p>
        </w:tc>
        <w:tc>
          <w:tcPr>
            <w:tcW w:w="732" w:type="dxa"/>
          </w:tcPr>
          <w:p w14:paraId="1107F778">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5F92E605">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7107" w:type="dxa"/>
          </w:tcPr>
          <w:p w14:paraId="0C842E95">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投标人提供产品部件“反渗透净水机增压泵”噪音的检测报告，检验依据均参照QB_T 4697-2014 家用和类似用途反渗透净水机、纳滤净水机专用加压泵》、《GBT 4214.1-2017 家用和类似用途电器噪声测试方法 通用要求》。检测结果需要达到：检测结果达到：①首次运行2000小时增压水泵运行噪音≤42dB(A)，连续工作＞2000小时，增压水泵运行噪音≤45dB(A)的得0.5分；②首次运行2000小时增压水泵运行噪音≤42dB(A)，连续工作＞4000小时，增压水泵运行噪音≤45dB(A)的得1分；③首次运行2000小时增压水泵运行噪音≤42dB(A)，连续工作＞6000小时，增压水泵运行噪音≤45dB(A)的得1.5分；④首次运行2000小时后增压水泵运行噪音≤42dB(A)，连续工作＞8000小时，增压水泵运行噪音≤45dB(A)的得2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p>
        </w:tc>
      </w:tr>
      <w:tr w14:paraId="286E88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5E2800ED">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5、检测报告3</w:t>
            </w:r>
          </w:p>
        </w:tc>
        <w:tc>
          <w:tcPr>
            <w:tcW w:w="732" w:type="dxa"/>
          </w:tcPr>
          <w:p w14:paraId="71E422B4">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649A4CD6">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7107" w:type="dxa"/>
          </w:tcPr>
          <w:p w14:paraId="53308BC6">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提供产品部件“反渗透RO膜装置”和“反渗透RO膜”的检测报告，检验依据均参照GB/T30307-2023《家用和类似用途饮用水处理装置》。检测内容包含：①针对细菌（至少要包含大肠杆菌、噬菌体）的去除率均≥99.9%；抗生素（至少要包含土霉素、强力霉素、金霉素）的去除率均≥99%；药品残留（至少要包含氨苄西林、磺胺嘧啶、磺胺二甲基嘧啶、红霉素、诺氟沙星）的去除率均≥95.5%。②报告里需要具有整套反渗透RO膜装置（需包含滤芯、水泵）样品照片。③针对颗粒计数（＞2.0μm）的去除率达到≥99.5%；针对颗粒计数（＞3.0μm）的去除率达到≥99.8%；针对颗粒计数（＞4.0μm）的去除率达到≥99.8%；针对颗粒计数（＞5.0μm）的去除率达到≥99.9%；④报告里需要具有反渗透RO膜的样品照片。检测内容中①和②的检验依据均参照GB/T30307-2023《家用和类似用途饮用水处理装置》。检测内容中③和④的检测方法为GB/T 29024.4-2017 粒度分析 单颗粒的光学测量方法 第4部分：洁净间光散射尘埃粒子计数器。全部满足的得2分，否则不得分。 注：⑴投标人须提供国家认可的检测机构出具的相 关检测报告复印件并加盖投标人公章，检测报告中受检(或委托)单位须为投标人或投标产品制造商；（2）投标人可提供一份或多份检测报告进行证明，多份检测报告同一类检测指标数据不一致的，评审时以较差的数据为准。（3）投标人未提供检测告或者不符合要求的不得分。</w:t>
            </w:r>
          </w:p>
        </w:tc>
      </w:tr>
      <w:tr w14:paraId="728E0B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125637CE">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6、检测报告4</w:t>
            </w:r>
          </w:p>
        </w:tc>
        <w:tc>
          <w:tcPr>
            <w:tcW w:w="732" w:type="dxa"/>
          </w:tcPr>
          <w:p w14:paraId="6B1D30D5">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279D1850">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7107" w:type="dxa"/>
          </w:tcPr>
          <w:p w14:paraId="15E43777">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提供产品部件“前置复合滤芯”和“后置活性炭滤芯装置”的检测报告。检测依据为GB/T30307-2023《家用和类似用途饮用水处理装置》检测内容为：①净化效率（至少要包含土臭素）的去除率≥95%；②报告里需要具有整套后置活性炭滤芯装置和前置复合滤芯装置（需包含滤芯、水泵等）的样品照片。全部满足的得2分，否则不得分。 注：⑴投标人须提供国家认可的检测机构出具的相 关检测报告复印件并加盖投标人公章，检测报告中受检(或委托)单位须为投标人或投标产品制造商；（2）投标人未提供检测报告或者不符合要求的不得分。</w:t>
            </w:r>
          </w:p>
        </w:tc>
      </w:tr>
      <w:tr w14:paraId="6923E9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10064272">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7、检测报告5</w:t>
            </w:r>
          </w:p>
        </w:tc>
        <w:tc>
          <w:tcPr>
            <w:tcW w:w="732" w:type="dxa"/>
          </w:tcPr>
          <w:p w14:paraId="6D1E6F39">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5A67D739">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7107" w:type="dxa"/>
          </w:tcPr>
          <w:p w14:paraId="0DEDAA99">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提供产品部件“橡胶件”的检验报告，检验依据GB 4806.7-2016《食品安全国家标准 食品接触用塑料材料及制品》。检测内容为：①感官要求（感官 、浸泡液 ）检测结果符合要求；②总迁移量（水，40℃，10d ）≤5mg/dm²、高锰酸钾消耗量（水，60℃，2h ）≤3mg/kg；③重金属（以Pb计）≤1mg/kg。 全部满足的得2分，否则不得分。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p>
        </w:tc>
      </w:tr>
      <w:tr w14:paraId="694432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4FC2846F">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8、检测报告6</w:t>
            </w:r>
          </w:p>
        </w:tc>
        <w:tc>
          <w:tcPr>
            <w:tcW w:w="732" w:type="dxa"/>
          </w:tcPr>
          <w:p w14:paraId="15583AEA">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5AF184AB">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7107" w:type="dxa"/>
          </w:tcPr>
          <w:p w14:paraId="600BB49A">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提供产品部件“紫外线杀菌器”的检测报告，检验依据均参照《生活饮用水消毒剂和消毒设备卫生安全评价规范》（试行）（卫监督发[2005]336号）4.2.2；检测报告（紫外线杀菌器）。检测内容为：①试验需要重复三次以上。每次需要加标不同容量的原水做试验。②每次样品连续通电≧450小时后，在水箱正中间采集水样后检测，大肠杆菌的消毒效果达到合格。全部满足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p>
        </w:tc>
      </w:tr>
      <w:tr w14:paraId="587F40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60B17776">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9、检测报告7</w:t>
            </w:r>
          </w:p>
        </w:tc>
        <w:tc>
          <w:tcPr>
            <w:tcW w:w="732" w:type="dxa"/>
          </w:tcPr>
          <w:p w14:paraId="01A49B05">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178B313C">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7107" w:type="dxa"/>
          </w:tcPr>
          <w:p w14:paraId="7B8742CC">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投标人提供产品部件“同轴套管转换器”的检测报告。对送检样品进行了卫生安全性检验。检验方法采用《生活饮用水标准检验方法》 GB / T 5750-2006，样品处理方法按照《生活饮用水输配水设备及防护材料卫生安全评价规范》(2001）附录 A 进行。样品浸泡水采用附录A1.3.1节配制。浸泡时间24h±1h，浸泡温度25℃±5℃。检测内容有：①色、浑浊度、臭和味、肉眼可见物和耗氧量。②砷、镉、铬（六价）、铝、铅、汞、铁、锰、铜和锌；③PH、溶解性总固体、三氯甲烷、挥发酚类（以苯酚计，以上3项检测内容的结果都符合《生活饮用水输配水设备及防护材料卫生安全评价规范》(2001）附录 A对饮用水输水设备的要求，并都达到合格的得2分，否则不得分。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p>
        </w:tc>
      </w:tr>
      <w:tr w14:paraId="130987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3B16EB61">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10、检测报告8</w:t>
            </w:r>
          </w:p>
        </w:tc>
        <w:tc>
          <w:tcPr>
            <w:tcW w:w="732" w:type="dxa"/>
          </w:tcPr>
          <w:p w14:paraId="277868C6">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706FC1C3">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7107" w:type="dxa"/>
          </w:tcPr>
          <w:p w14:paraId="103BBAEA">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提供产品部件“滤芯端盖/中心管”的检验报告，检验依据为GB 4806.7-2016《食品安全国家标准 食品接触用塑料材料及制品》。检测内容为：①感官要求（感官 、浸泡液 ）检测结果符合要求；②总迁移量（水，40℃，10d ）≤5mg/dm²、高锰酸钾消耗量（水，60℃，2h ）≤3mg/kg；③重金属（以Pb计）≤1mg/kg；④脱色试验（植物油、 无水乙醇、浸泡液 ）检测结果都为阴性。 全部满足的得2分，否则不得分。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p>
        </w:tc>
      </w:tr>
      <w:tr w14:paraId="5BD35C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582E3254">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11、检测报告9</w:t>
            </w:r>
          </w:p>
        </w:tc>
        <w:tc>
          <w:tcPr>
            <w:tcW w:w="732" w:type="dxa"/>
          </w:tcPr>
          <w:p w14:paraId="09F1FF3F">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42C9D5A3">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7107" w:type="dxa"/>
          </w:tcPr>
          <w:p w14:paraId="45C5DB42">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提供产品部件“阀体”的检验报告，检验依据为GB 4806.7-2016《食品安全国家标准 食品接触用塑料材料及制品》。检测内容为：①感官要求（感官 、浸泡液 ）检测结果符合要求；②总迁移量（水，40℃，10d ）≤5mg/dm²、高锰酸钾消耗量（水，60℃，2h ）≤3mg/kg；③重金属（以Pb计）≤1mg/kg；④脱色试验（植物油、 无水乙醇、浸泡液 ）检测结果都为阴性。 全部满足的得2分，否则不得分。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p>
        </w:tc>
      </w:tr>
      <w:tr w14:paraId="2841DB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053C9A9D">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12、检测报告10</w:t>
            </w:r>
          </w:p>
        </w:tc>
        <w:tc>
          <w:tcPr>
            <w:tcW w:w="732" w:type="dxa"/>
          </w:tcPr>
          <w:p w14:paraId="0DDECD24">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30ACE9BF">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7107" w:type="dxa"/>
          </w:tcPr>
          <w:p w14:paraId="70C9E82A">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投标人提供产品部件“水箱”的检测报告，对送检样品进行了卫生安全性检验。检验方法采用《生活饮用水标准检验方法》 GB / T 5750-2006，样品处理方法按照《生活饮用水输配水设备及防护材料卫生安全评价规范》(2001）附录 A 进行。样品浸泡水采用附录A1.3.1节配制。浸泡时间24h±1h，浸泡温度25℃±5℃。检测内容有：①色、浑浊度、臭和味、肉眼可见物和耗氧量；②砷、镉、铬（六价）、滤、铅、汞、钡、锑、锡；③PH、溶解性总固体、三氯甲烷、挥发酚类（以苯酚计）、四氯化碳。以上3项检测内容的结果都符合《生活饮用水输配水设备及防护材料卫生安全评价规范》(2001）附录 A对饮用水输水设备的要求，并都达到合格的得2分，否则不得分。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p>
        </w:tc>
      </w:tr>
      <w:tr w14:paraId="0BA6F3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0947F498">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13、检测报告11</w:t>
            </w:r>
          </w:p>
        </w:tc>
        <w:tc>
          <w:tcPr>
            <w:tcW w:w="732" w:type="dxa"/>
          </w:tcPr>
          <w:p w14:paraId="03DFF96D">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3059B09E">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7107" w:type="dxa"/>
          </w:tcPr>
          <w:p w14:paraId="01C56A03">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提供产品部件“水路板”的检验报告，检验依据GB 4806.7-2016《食品安全国家标准 食品接触用塑料材料及制品》。检测内容为：①感官要求（感官 、浸泡液 ）检测结果符合要求；②总迁移量（水，40℃，10d ）≤5mg/dm²、高锰酸钾消耗量（水，60℃，2h ）≤3mg/kg；③重金属（以Pb计）≤1mg/kg；④脱色试验（植物油、 无水乙醇、浸泡液 ）检测结果都为阴性。全部满足的得2分，否则不得分。 注：⑴投标人须提供国家认可的检测机构出具的相 关检测报告复印件并加盖投标人公章，检测报告中受检(或委托)单位须为投标人或投标产品制造商，且检测报告须至少具有CMA标识。（2）投标人未</w:t>
            </w:r>
          </w:p>
        </w:tc>
      </w:tr>
      <w:tr w14:paraId="24513C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2CD7585E">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14、检测报告12</w:t>
            </w:r>
          </w:p>
        </w:tc>
        <w:tc>
          <w:tcPr>
            <w:tcW w:w="732" w:type="dxa"/>
          </w:tcPr>
          <w:p w14:paraId="580CB8DA">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5A1F7DD0">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7107" w:type="dxa"/>
          </w:tcPr>
          <w:p w14:paraId="2184CEC6">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提供产品部件“滤瓶塑料壳体”的检验报告，检验依据GB 4806.7-2016《食品安全国家标准 食品接触用塑料材料及制品》。检测内容为：①感官要求（感官 、浸泡液 ）检测结果符合要求；②总迁移量（水，40℃，10d ）≤5mg/dm²、高锰酸钾消耗量（水，60℃，2h ）≤3mg/kg；③重金属（以Pb计）≤1mg/kg。 全部满足的得2分，否则不得分。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p>
        </w:tc>
      </w:tr>
      <w:tr w14:paraId="0CE1E6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64B51C84">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15、检测报告13</w:t>
            </w:r>
          </w:p>
        </w:tc>
        <w:tc>
          <w:tcPr>
            <w:tcW w:w="732" w:type="dxa"/>
          </w:tcPr>
          <w:p w14:paraId="7C92CAF5">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683D2E3D">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7107" w:type="dxa"/>
          </w:tcPr>
          <w:p w14:paraId="1B390D8D">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提供产品部件“水泵壳”的检验报告，检验依据GB 4806.7-2016《食品安全国家标准 食品接触用塑料材料及制品》。检测内容为：①感官要求（感官 、浸泡液 ）检测结果符合要求；②总迁移量（水，40℃，10d ）≤8mg/dm²、高锰酸钾消耗量（水，60℃，2h ）≤3mg/kg；③重金属（以Pb计）≤1mg/kg；④脱色试验（植物油、 无水乙醇、浸泡液 ）检测结果都为阴性。全部满足的得2分，否则不得分。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p>
        </w:tc>
      </w:tr>
      <w:tr w14:paraId="6D74BA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5AD8DF85">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16、检测报告14</w:t>
            </w:r>
          </w:p>
        </w:tc>
        <w:tc>
          <w:tcPr>
            <w:tcW w:w="732" w:type="dxa"/>
          </w:tcPr>
          <w:p w14:paraId="1C20B65D">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16E0BE06">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7107" w:type="dxa"/>
          </w:tcPr>
          <w:p w14:paraId="4885D63C">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提供产品部件“热胆或热罐”的检验报告，检验依据依据 GB 4806.9-2016《食品接触用金属材料及制品》、GB 31604.1-2015《食品安全国家标准 食品接触材料及制品迁移试验通则》、 GB 5009.156-2016《食品安全国家标准 食品接触材料及制品迁移试验预处理方法通则》、GB31604.49-2016《食品安全国家标准 食品接触材料及制品 砷、镉、铬、铅的测定和砷、镉、铬、镍、铅、锑、锌迁移量的测定标准》。检测内容为：①热胆（热罐）食品接触层材质为304不锈钢；②感官要求（接触食品的表面应清洁，镀层不应开裂、剥落，焊接部应光洁，无气孔、裂缝、毛刺）检测结果合格；③迁移试验所得浸泡液无异臭；④理化指标,按照浸泡条件（6dm²/L,4%（体积分数）乙酸， 煮沸30 min ，室 温放置24 h ）后，铅≤0.01mg/kg、铬≤0.01mg/kg、镍≤0.005、mg/kg、镉≤0.005mg/kg、砷≤0.01mg/kg。全部满足的得2分，否则不得分。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p>
        </w:tc>
      </w:tr>
    </w:tbl>
    <w:p w14:paraId="5C85B98B">
      <w:pPr>
        <w:pStyle w:val="9"/>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textAlignment w:val="auto"/>
        <w:rPr>
          <w:rFonts w:hint="eastAsia" w:ascii="宋体" w:hAnsi="宋体" w:eastAsia="宋体" w:cs="宋体"/>
          <w:color w:val="auto"/>
          <w:sz w:val="24"/>
          <w:szCs w:val="24"/>
          <w:lang w:val="en-US" w:eastAsia="zh-CN"/>
        </w:rPr>
      </w:pPr>
    </w:p>
    <w:p w14:paraId="0BEF21DB">
      <w:pPr>
        <w:pStyle w:val="9"/>
        <w:keepNext w:val="0"/>
        <w:keepLines w:val="0"/>
        <w:pageBreakBefore w:val="0"/>
        <w:kinsoku/>
        <w:wordWrap/>
        <w:overflowPunct/>
        <w:topLinePunct w:val="0"/>
        <w:autoSpaceDE/>
        <w:autoSpaceDN/>
        <w:bidi w:val="0"/>
        <w:adjustRightInd/>
        <w:snapToGrid/>
        <w:spacing w:beforeAutospacing="0" w:afterAutospacing="0" w:line="360" w:lineRule="exact"/>
        <w:ind w:firstLine="482" w:firstLineChars="200"/>
        <w:textAlignment w:val="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现更正为：</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73"/>
        <w:gridCol w:w="732"/>
        <w:gridCol w:w="1344"/>
        <w:gridCol w:w="6820"/>
      </w:tblGrid>
      <w:tr w14:paraId="2ADDED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25A4F724">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3、检测报告1</w:t>
            </w:r>
          </w:p>
        </w:tc>
        <w:tc>
          <w:tcPr>
            <w:tcW w:w="732" w:type="dxa"/>
          </w:tcPr>
          <w:p w14:paraId="21226DF3">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020ADC94">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6820" w:type="dxa"/>
          </w:tcPr>
          <w:p w14:paraId="08C5314D">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投标人提供产品部件“反渗透净水机增压泵”连续运行一段时间后水泵性能的检测报告，检测依据为《QB_T 4697-2014 家用和类似用途反渗透净水机、纳滤净水机专用加压泵》。检测结果需要达到：在额定条件连续正常运行2000小时情况下达到无漏水，电机卡死现象，流量和压力性能参数不低于额定参数的80%的得2分； 注：⑴投标人须提供国家认可的检测机构出具的相 关检测报告复印件并加盖投标人公章，检测报告中受检(或委托)单位须为投标人或投标产品制造商，且检测报告须至少具有CMA标识；⑵投标人未提供检测报告或者不符合要求的不得分。</w:t>
            </w:r>
            <w:r>
              <w:rPr>
                <w:rFonts w:hint="eastAsia" w:ascii="宋体" w:hAnsi="宋体" w:eastAsia="宋体" w:cs="宋体"/>
                <w:color w:val="auto"/>
                <w:sz w:val="24"/>
                <w:szCs w:val="24"/>
                <w:lang w:val="en-US" w:eastAsia="zh-CN"/>
              </w:rPr>
              <w:t>（3）产品部件名称与本评分项所列明的名称不完全一致的，但经评标委员会认定，属于同类产品的视同符合本项评分要求）</w:t>
            </w:r>
          </w:p>
        </w:tc>
      </w:tr>
      <w:tr w14:paraId="6D9CBF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009AA6B3">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4、检测报告2</w:t>
            </w:r>
          </w:p>
        </w:tc>
        <w:tc>
          <w:tcPr>
            <w:tcW w:w="732" w:type="dxa"/>
          </w:tcPr>
          <w:p w14:paraId="7094136C">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69B1AA26">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6820" w:type="dxa"/>
          </w:tcPr>
          <w:p w14:paraId="4CF92582">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投标人提供产品部件“反渗透净水机增压泵”噪音的检测报告，检验依据均参照QB_T 4697-2014 家用和类似用途反渗透净水机、纳滤净水机专用加压泵》、《GBT 4214.1-2017 家用和类似用途电器噪声测试方法 通用要求》。检测结果达到：首次运行2000小时增压水泵运行噪音≤42dB(A)的得2分；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r>
              <w:rPr>
                <w:rFonts w:hint="eastAsia" w:ascii="宋体" w:hAnsi="宋体" w:eastAsia="宋体" w:cs="宋体"/>
                <w:color w:val="auto"/>
                <w:sz w:val="24"/>
                <w:szCs w:val="24"/>
                <w:lang w:val="en-US" w:eastAsia="zh-CN"/>
              </w:rPr>
              <w:t>（3）产品部件名称与本评分项所列明的名称不完全一致的，但经评标委员会认定，属于同类产品的视同符合本项评分要求）</w:t>
            </w:r>
          </w:p>
        </w:tc>
      </w:tr>
      <w:tr w14:paraId="46400F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116883CF">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5、检测报告3</w:t>
            </w:r>
          </w:p>
        </w:tc>
        <w:tc>
          <w:tcPr>
            <w:tcW w:w="732" w:type="dxa"/>
          </w:tcPr>
          <w:p w14:paraId="4BF8289E">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58C8CDA9">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6820" w:type="dxa"/>
          </w:tcPr>
          <w:p w14:paraId="6389D83C">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提供产品部件“反渗透RO膜装置”和“反渗透RO膜”的检测报告，检验依据均参照GB/T30307-2023《家用和类似用途饮用水处理装置》。检测内容包含：①针对细菌（至少要包含大肠杆菌、噬菌体）的去除率均≥99.9%；抗生素（至少要包含土霉素、强力霉素、金霉素）的去除率均≥99%；药品残留（至少要包含氨苄西林、磺胺嘧啶、磺胺二甲基嘧啶、红霉素、诺氟沙星）的去除率均≥95.5%。②报告里需要具有整套反渗透RO膜装置（需包含滤芯、水泵）样品照片。③针对颗粒计数（＞2.0μm）的去除率达到≥99.5%；针对颗粒计数（＞3.0μm）的去除率达到≥99.8%；针对颗粒计数（＞4.0μm）的去除率达到≥99.8%；针对颗粒计数（＞5.0μm）的去除率达到≥99.9%；④报告里需要具有反渗透RO膜的样品照片。检测内容中①和②的检验依据均参照GB/T30307-2023《家用和类似用途饮用水处理装置》。检测内容中③和④的检测方法为GB/T 29024.4-2017 粒度分析 单颗粒的光学测量方法 第4部分：洁净间光散射尘埃粒子计数器。全部满足的得2分，否则不得分。 注：⑴投标人须提供国家认可的检测机构出具的相 关检测报告复印件并加盖投标人公章，检测报告中受检(或委托)单位须为投标人或投标产品制造商；（2）投标人可提供一份或多份检测报告进行证明，多份检测报告同一类检测指标数据不一致的，评审时以较差的数据为准。（3）投标人未提供检测告或者不符合要求的不得分。</w:t>
            </w:r>
            <w:r>
              <w:rPr>
                <w:rFonts w:hint="eastAsia" w:ascii="宋体" w:hAnsi="宋体" w:eastAsia="宋体" w:cs="宋体"/>
                <w:color w:val="auto"/>
                <w:sz w:val="24"/>
                <w:szCs w:val="24"/>
                <w:lang w:val="en-US" w:eastAsia="zh-CN"/>
              </w:rPr>
              <w:t>（3）产品部件名称与本评分项所列明的名称不完全一致的，但经评标委员会认定，属于同类产品的视同符合本项评分要求）</w:t>
            </w:r>
          </w:p>
        </w:tc>
      </w:tr>
      <w:tr w14:paraId="2DFE38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76007A1C">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6、检测报告4</w:t>
            </w:r>
          </w:p>
        </w:tc>
        <w:tc>
          <w:tcPr>
            <w:tcW w:w="732" w:type="dxa"/>
          </w:tcPr>
          <w:p w14:paraId="700F8F95">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5F09A7D1">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6820" w:type="dxa"/>
          </w:tcPr>
          <w:p w14:paraId="2EB0B83B">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提供产品部件“前置复合滤芯”和“后置活性炭滤芯装置”的检测报告。检测依据为GB/T30307-2023《家用和类似用途饮用水处理装置》检测内容为：①净化效率（至少要包含土臭素）的去除率≥95%；②报告里需要具有整套后置活性炭滤芯装置和前置复合滤芯装置（需包含滤芯、水泵等）的样品照片。全部满足的得2分，否则不得分。 注：⑴投标人须提供国家认可的检测机构出具的相 关检测报告复印件并加盖投标人公章，检测报告中受检(或委托)单位须为投标人或投标产品制造商；（2）投标人未提供检测报告或者不符合要求的不得分。</w:t>
            </w:r>
            <w:r>
              <w:rPr>
                <w:rFonts w:hint="eastAsia" w:ascii="宋体" w:hAnsi="宋体" w:eastAsia="宋体" w:cs="宋体"/>
                <w:color w:val="auto"/>
                <w:sz w:val="24"/>
                <w:szCs w:val="24"/>
                <w:lang w:val="en-US" w:eastAsia="zh-CN"/>
              </w:rPr>
              <w:t>（3）产品部件名称与本评分项所列明的名称不完全一致的，但经评标委员会认定，属于同类产品的视同符合本项评分要求）</w:t>
            </w:r>
          </w:p>
        </w:tc>
      </w:tr>
      <w:tr w14:paraId="77CEFF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158ABBFD">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7、检测报告5</w:t>
            </w:r>
          </w:p>
        </w:tc>
        <w:tc>
          <w:tcPr>
            <w:tcW w:w="732" w:type="dxa"/>
          </w:tcPr>
          <w:p w14:paraId="7AD5417F">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088773A0">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6820" w:type="dxa"/>
          </w:tcPr>
          <w:p w14:paraId="3A4D3519">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提供产品部件“橡胶件”的检验报告，检验依据GB 4806.7-20</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《食品安全国家标准 食品接触用塑料材料及制品》。检测内容为：①感官要求（感官 、浸泡液 ）检测结果符合要求；②总迁移量（水，40℃，10d ）≤5mg/dm²、高锰酸钾消耗量（水，60℃，2h ）≤3mg/kg；③重金属（以Pb计）≤1mg/kg。 全部满足的得2分，否则不得分。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r>
              <w:rPr>
                <w:rFonts w:hint="eastAsia" w:ascii="宋体" w:hAnsi="宋体" w:eastAsia="宋体" w:cs="宋体"/>
                <w:color w:val="auto"/>
                <w:sz w:val="24"/>
                <w:szCs w:val="24"/>
                <w:lang w:val="en-US" w:eastAsia="zh-CN"/>
              </w:rPr>
              <w:t>（3）产品部件名称与本评分项所列明的名称不完全一致的，但经评标委员会认定，属于同类产品的视同符合本项评分要求）</w:t>
            </w:r>
          </w:p>
        </w:tc>
      </w:tr>
      <w:tr w14:paraId="09B0F7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26106233">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8、检测报告6</w:t>
            </w:r>
          </w:p>
        </w:tc>
        <w:tc>
          <w:tcPr>
            <w:tcW w:w="732" w:type="dxa"/>
          </w:tcPr>
          <w:p w14:paraId="7BC03F5D">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19B15A75">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6820" w:type="dxa"/>
          </w:tcPr>
          <w:p w14:paraId="337C79F7">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提供产品部件“紫外线杀菌器”的检测报告，检验依据均参照《生活饮用水消毒剂和消毒设备卫生安全评价规范》（试行）（卫监督发[2005]336号）4.2.2；检测报告（紫外线杀菌器）。检测内容为：①试验需要重复三次以上。每次需要加标不同容量的原水做试验。②每次样品连续通电≧450小时后，在水箱正中间采集水样后检测，大肠杆菌的消毒效果达到合格。全部满足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r>
              <w:rPr>
                <w:rFonts w:hint="eastAsia" w:ascii="宋体" w:hAnsi="宋体" w:eastAsia="宋体" w:cs="宋体"/>
                <w:color w:val="auto"/>
                <w:sz w:val="24"/>
                <w:szCs w:val="24"/>
                <w:lang w:val="en-US" w:eastAsia="zh-CN"/>
              </w:rPr>
              <w:t>（3）产品部件名称与本评分项所列明的名称不完全一致的，但经评标委员会认定，属于同类产品的视同符合本项评分要求）</w:t>
            </w:r>
          </w:p>
        </w:tc>
      </w:tr>
      <w:tr w14:paraId="16D559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32321E52">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9、检测报告7</w:t>
            </w:r>
          </w:p>
        </w:tc>
        <w:tc>
          <w:tcPr>
            <w:tcW w:w="732" w:type="dxa"/>
          </w:tcPr>
          <w:p w14:paraId="45605F42">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554B51D4">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6820" w:type="dxa"/>
          </w:tcPr>
          <w:p w14:paraId="61083853">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投标人提供产品部件“同轴套管转换器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lang w:eastAsia="zh-CN"/>
              </w:rPr>
              <w:t>“同轴换热器”</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lang w:eastAsia="zh-CN"/>
              </w:rPr>
              <w:t>“同轴套管换热器”）</w:t>
            </w:r>
            <w:r>
              <w:rPr>
                <w:rFonts w:hint="eastAsia" w:ascii="宋体" w:hAnsi="宋体" w:eastAsia="宋体" w:cs="宋体"/>
                <w:color w:val="auto"/>
                <w:sz w:val="24"/>
                <w:szCs w:val="24"/>
              </w:rPr>
              <w:t>”的检测报告。对送检样品进行了卫生安全性检验。检验方法采用《生活饮用水标准检验方法》 GB / T 5750-20</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，样品处理方法按照《生活饮用水输配水设备及防护材料卫生安全评价规范》(2001）附录 A 进行。样品浸泡水采用附录A1.3.1节配制。浸泡时间24h±1h，浸泡温度25℃±5℃。检测内容有：①色、浑浊度、臭和味、肉眼可见物和耗氧量。②砷、镉、铬（六价）、铝、铅、汞、铁、锰、铜和锌；③PH、溶解性总固体、三氯甲烷、挥发酚类（以苯酚计，以上3项检测内容的结果都符合《生活饮用水输配水设备及防护材料卫生安全评价规范》(2001）附录 A对饮用水输水设备的要求，并都达到合格的得2分，否则不得分。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r>
              <w:rPr>
                <w:rFonts w:hint="eastAsia" w:ascii="宋体" w:hAnsi="宋体" w:eastAsia="宋体" w:cs="宋体"/>
                <w:color w:val="auto"/>
                <w:sz w:val="24"/>
                <w:szCs w:val="24"/>
                <w:lang w:val="en-US" w:eastAsia="zh-CN"/>
              </w:rPr>
              <w:t>（3）产品部件名称与本评分项所列明的名称不完全一致的，但经评标委员会认定，属于同类产品的视同符合本项评分要求）</w:t>
            </w:r>
          </w:p>
        </w:tc>
      </w:tr>
      <w:tr w14:paraId="066ABD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086BEDF9">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10、检测报告8</w:t>
            </w:r>
          </w:p>
        </w:tc>
        <w:tc>
          <w:tcPr>
            <w:tcW w:w="732" w:type="dxa"/>
          </w:tcPr>
          <w:p w14:paraId="2651B45B">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3EB2791B">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6820" w:type="dxa"/>
          </w:tcPr>
          <w:p w14:paraId="12B07C43">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提供产品部件“滤芯端盖/中心管”的检验报告，检验依据为GB 4806.7-20</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《食品安全国家标准 食品接触用塑料材料及制品》。检测内容为：①感官要求（感官 、浸泡液 ）检测结果符合要求；②总迁移量（水，40℃，10d ）≤5mg/dm²、高锰酸钾消耗量（水，60℃，2h ）≤3mg/kg；③重金属（以Pb计）≤1mg/kg；④脱色试验（植物油、 无水乙醇、浸泡液 ）检测结果都为阴性。 全部满足的得2分，否则不得分。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r>
              <w:rPr>
                <w:rFonts w:hint="eastAsia" w:ascii="宋体" w:hAnsi="宋体" w:eastAsia="宋体" w:cs="宋体"/>
                <w:color w:val="auto"/>
                <w:sz w:val="24"/>
                <w:szCs w:val="24"/>
                <w:lang w:val="en-US" w:eastAsia="zh-CN"/>
              </w:rPr>
              <w:t>（3）产品部件名称与本评分项所列明的名称不完全一致的，但经评标委员会认定，属于同类产品的视同符合本项评分要求）</w:t>
            </w:r>
          </w:p>
        </w:tc>
      </w:tr>
      <w:tr w14:paraId="6960FB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26506E39">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11、检测报告9</w:t>
            </w:r>
          </w:p>
        </w:tc>
        <w:tc>
          <w:tcPr>
            <w:tcW w:w="732" w:type="dxa"/>
          </w:tcPr>
          <w:p w14:paraId="61AC230B">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27643C5E">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6820" w:type="dxa"/>
          </w:tcPr>
          <w:p w14:paraId="28DDCEAA">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提供产品部件“阀体”的检验报告，检验依据为GB 4806.7-20</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《食品安全国家标准 食品接触用塑料材料及制品》。检测内容为：①感官要求（感官 、浸泡液 ）检测结果符合要求；②总迁移量（水，40℃，10d ）≤5mg/dm²、高锰酸钾消耗量（水，60℃，2h ）≤3mg/kg；③重金属（以Pb计）≤1mg/kg；④脱色试验（植物油、 无水乙醇、浸泡液 ）检测结果都为阴性。 全部满足的得2分，否则不得分。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r>
              <w:rPr>
                <w:rFonts w:hint="eastAsia" w:ascii="宋体" w:hAnsi="宋体" w:eastAsia="宋体" w:cs="宋体"/>
                <w:color w:val="auto"/>
                <w:sz w:val="24"/>
                <w:szCs w:val="24"/>
                <w:lang w:val="en-US" w:eastAsia="zh-CN"/>
              </w:rPr>
              <w:t>（3）产品部件名称与本评分项所列明的名称不完全一致的，但经评标委员会认定，属于同类产品的视同符合本项评分要求）</w:t>
            </w:r>
          </w:p>
        </w:tc>
      </w:tr>
      <w:tr w14:paraId="4F4890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3F088823">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12、检测报告10</w:t>
            </w:r>
          </w:p>
        </w:tc>
        <w:tc>
          <w:tcPr>
            <w:tcW w:w="732" w:type="dxa"/>
          </w:tcPr>
          <w:p w14:paraId="594319B5">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659A9B26">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6820" w:type="dxa"/>
          </w:tcPr>
          <w:p w14:paraId="02D370DE">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投标人提供产品部件“水箱”的检测报告，对送检样品进行了卫生安全性检验。检验方法采用《生活饮用水标准检验方法》 GB / T 5750-20</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，样品处理方法按照《生活饮用水输配水设备及防护材料卫生安全评价规范》(2001）附录 A 进行。样品浸泡水采用附录A1.3.1节配制。浸泡时间24h±1h，浸泡温度25℃±5℃。检测内容有：①色、浑浊度、臭和味、肉眼可见物和耗氧量；②砷、镉、铬（六价）、滤、铅、汞、钡、锑、锡；③PH、溶解性总固体、三氯甲烷、挥发酚类（以苯酚计）、四氯化碳。以上3项检测内容的结果都符合《生活饮用水输配水设备及防护材料卫生安全评价规范》(2001）附录 A对饮用水输水设备的要求，并都达到合格的得2分，否则不得分。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r>
              <w:rPr>
                <w:rFonts w:hint="eastAsia" w:ascii="宋体" w:hAnsi="宋体" w:eastAsia="宋体" w:cs="宋体"/>
                <w:color w:val="auto"/>
                <w:sz w:val="24"/>
                <w:szCs w:val="24"/>
                <w:lang w:val="en-US" w:eastAsia="zh-CN"/>
              </w:rPr>
              <w:t>（3）产品部件名称与本评分项所列明的名称不完全一致的，但经评标委员会认定，属于同类产品的视同符合本项评分要求）</w:t>
            </w:r>
          </w:p>
        </w:tc>
      </w:tr>
      <w:tr w14:paraId="2A938B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1DF7BD38">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13、检测报告11</w:t>
            </w:r>
          </w:p>
        </w:tc>
        <w:tc>
          <w:tcPr>
            <w:tcW w:w="732" w:type="dxa"/>
          </w:tcPr>
          <w:p w14:paraId="377C5153">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6FDA1B47">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6820" w:type="dxa"/>
          </w:tcPr>
          <w:p w14:paraId="22DF38DE">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提供产品部件“水路板”的检验报告，检验依据GB 4806.7-20</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《食品安全国家标准 食品接触用塑料材料及制品》。检测内容为：①感官要求（感官 、浸泡液 ）检测结果符合要求；②总迁移量（水，40℃，10d ）≤5mg/dm²、高锰酸钾消耗量（水，60℃，2h ）≤3mg/kg；③重金属（以Pb计）≤1mg/kg；④脱色试验（植物油、 无水乙醇、浸泡液 ）检测结果都为阴性。全部满足的得2分，否则不得分。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r>
              <w:rPr>
                <w:rFonts w:hint="eastAsia" w:ascii="宋体" w:hAnsi="宋体" w:eastAsia="宋体" w:cs="宋体"/>
                <w:color w:val="auto"/>
                <w:sz w:val="24"/>
                <w:szCs w:val="24"/>
                <w:lang w:val="en-US" w:eastAsia="zh-CN"/>
              </w:rPr>
              <w:t>（3）产品部件名称与本评分项所列明的名称不完全一致的，但经评标委员会认定，属于同类产品的视同符合本项评分要求）</w:t>
            </w:r>
          </w:p>
        </w:tc>
      </w:tr>
      <w:tr w14:paraId="0004D4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4B43AFB3">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14、检测报告12</w:t>
            </w:r>
          </w:p>
        </w:tc>
        <w:tc>
          <w:tcPr>
            <w:tcW w:w="732" w:type="dxa"/>
          </w:tcPr>
          <w:p w14:paraId="4E92F2AE">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2773D3D4">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6820" w:type="dxa"/>
          </w:tcPr>
          <w:p w14:paraId="46F1CCA0">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提供产品部件“滤瓶塑料壳体”的检验报告，检验依据GB 4806.7-20</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《食品安全国家标准 食品接触用塑料材料及制品》。检测内容为：①感官要求（感官 、浸泡液 ）检测结果符合要求；②总迁移量（水，40℃，10d ）≤5mg/dm²、高锰酸钾消耗量（水，60℃，2h ）≤3mg/kg；③重金属（以Pb计）≤1mg/kg。 全部满足的得2分，否则不得分。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r>
              <w:rPr>
                <w:rFonts w:hint="eastAsia" w:ascii="宋体" w:hAnsi="宋体" w:eastAsia="宋体" w:cs="宋体"/>
                <w:color w:val="auto"/>
                <w:sz w:val="24"/>
                <w:szCs w:val="24"/>
                <w:lang w:val="en-US" w:eastAsia="zh-CN"/>
              </w:rPr>
              <w:t>（3）产品部件名称与本评分项所列明的名称不完全一致的，但经评标委员会认定，属于同类产品的视同符合本项评分要求）</w:t>
            </w:r>
          </w:p>
        </w:tc>
      </w:tr>
      <w:tr w14:paraId="4E90FD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711FC6C5">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15、检测报告13</w:t>
            </w:r>
          </w:p>
        </w:tc>
        <w:tc>
          <w:tcPr>
            <w:tcW w:w="732" w:type="dxa"/>
          </w:tcPr>
          <w:p w14:paraId="4CFF2FD9">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715484AA">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6820" w:type="dxa"/>
          </w:tcPr>
          <w:p w14:paraId="62CC0C4B">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提供产品部件“水泵壳”的检验报告，检验依据GB 4806.7-20</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《食品安全国家标准 食品接触用塑料材料及制品》。检测内容为：①感官要求（感官 、浸泡液 ）检测结果符合要求；②总迁移量（水，40℃，10d ）≤8mg/dm²、高锰酸钾消耗量（水，60℃，2h ）≤3mg/kg；③重金属（以Pb计）≤1mg/kg；④脱色试验（植物油、 无水乙醇、浸泡液 ）检测结果都为阴性。全部满足的得2分，否则不得分。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r>
              <w:rPr>
                <w:rFonts w:hint="eastAsia" w:ascii="宋体" w:hAnsi="宋体" w:eastAsia="宋体" w:cs="宋体"/>
                <w:color w:val="auto"/>
                <w:sz w:val="24"/>
                <w:szCs w:val="24"/>
                <w:lang w:val="en-US" w:eastAsia="zh-CN"/>
              </w:rPr>
              <w:t>（3）产品部件名称与本评分项所列明的名称不完全一致的，但经评标委员会认定，属于同类产品的视同符合本项评分要求）</w:t>
            </w:r>
          </w:p>
        </w:tc>
      </w:tr>
      <w:tr w14:paraId="7D268E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 w:type="dxa"/>
          </w:tcPr>
          <w:p w14:paraId="3FC965D5">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16、检测报告14</w:t>
            </w:r>
          </w:p>
        </w:tc>
        <w:tc>
          <w:tcPr>
            <w:tcW w:w="732" w:type="dxa"/>
          </w:tcPr>
          <w:p w14:paraId="0B567ED1">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w:t>
            </w:r>
          </w:p>
        </w:tc>
        <w:tc>
          <w:tcPr>
            <w:tcW w:w="1344" w:type="dxa"/>
          </w:tcPr>
          <w:p w14:paraId="01521D0C">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6820" w:type="dxa"/>
          </w:tcPr>
          <w:p w14:paraId="0F8E46BE">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提供产品部件“热胆或热罐”的检验报告，检验依据依据 GB 4806.9-20</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《食品接触用金属材料及制品》、GB 31604.1-20</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《食品安全国家标准 食品接触材料及制品迁移试验通则》、 GB 5009.156-2016《食品安全国家标准 食品接触材料及制品迁移试验预处理方法通则》、</w:t>
            </w:r>
            <w:r>
              <w:rPr>
                <w:rFonts w:hint="eastAsia" w:ascii="宋体" w:hAnsi="宋体" w:eastAsia="宋体" w:cs="宋体"/>
                <w:color w:val="auto"/>
                <w:sz w:val="24"/>
                <w:szCs w:val="24"/>
                <w:lang w:val="en-US" w:eastAsia="zh-CN"/>
              </w:rPr>
              <w:t>GB31604.49-2023《食品安全国家标准　食品接触材料及制品多元素的测定和多元素迁移量的测定》</w:t>
            </w:r>
            <w:r>
              <w:rPr>
                <w:rFonts w:hint="eastAsia" w:ascii="宋体" w:hAnsi="宋体" w:eastAsia="宋体" w:cs="宋体"/>
                <w:color w:val="auto"/>
                <w:sz w:val="24"/>
                <w:szCs w:val="24"/>
              </w:rPr>
              <w:t>。检测内容为：①热胆（热罐）食品接触层材质为304不锈钢；②感官要求（接触食品的表面应清洁，镀层不应开裂、剥落，焊接部应光洁，无气孔、裂缝、毛刺）检测结果合格；③迁移试验所得浸泡液无异臭；④理化指标,按照浸泡条件（6dm²/L,4%（体积分数）乙酸， 煮沸30 min ，室 温放置24 h ）后，铅≤0.01mg/kg、铬≤0.01mg/kg、镍≤0.005、mg/kg、镉≤0.005mg/kg、砷≤0.01mg/kg。全部满足的得2分，否则不得分。 注：⑴投标人须提供国家认可的检测机构出具的相 关检测报告复印件并加盖投标人公章，检测报告中受检(或委托)单位须为投标人或投标产品制造商，且检测报告须至少具有CMA标识。（2）投标人未提供检测报告或者不符合要求的不得分。</w:t>
            </w:r>
            <w:r>
              <w:rPr>
                <w:rFonts w:hint="eastAsia" w:ascii="宋体" w:hAnsi="宋体" w:eastAsia="宋体" w:cs="宋体"/>
                <w:color w:val="auto"/>
                <w:sz w:val="24"/>
                <w:szCs w:val="24"/>
                <w:lang w:val="en-US" w:eastAsia="zh-CN"/>
              </w:rPr>
              <w:t>（3）产品部件名称与本评分项所列明的名称不完全一致的，但经评标委员会认定，属于同类产品的视同符合本项评分要求）</w:t>
            </w:r>
          </w:p>
        </w:tc>
      </w:tr>
    </w:tbl>
    <w:p w14:paraId="440B9EC0">
      <w:pPr>
        <w:pStyle w:val="9"/>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sz w:val="24"/>
          <w:szCs w:val="24"/>
          <w:lang w:eastAsia="zh-CN"/>
        </w:rPr>
      </w:pPr>
    </w:p>
    <w:p w14:paraId="6BC23818">
      <w:pPr>
        <w:pStyle w:val="9"/>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原招标文件第四章 资格审查与评标“二、评标”“7.2评标标准”商务项中</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9"/>
        <w:gridCol w:w="768"/>
        <w:gridCol w:w="1332"/>
        <w:gridCol w:w="6050"/>
      </w:tblGrid>
      <w:tr w14:paraId="6B4B9F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9" w:type="dxa"/>
          </w:tcPr>
          <w:p w14:paraId="4E2823DD">
            <w:pPr>
              <w:pStyle w:val="9"/>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3、产品保险保障</w:t>
            </w:r>
          </w:p>
        </w:tc>
        <w:tc>
          <w:tcPr>
            <w:tcW w:w="768" w:type="dxa"/>
          </w:tcPr>
          <w:p w14:paraId="40431801">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3.00</w:t>
            </w:r>
          </w:p>
        </w:tc>
        <w:tc>
          <w:tcPr>
            <w:tcW w:w="1332" w:type="dxa"/>
          </w:tcPr>
          <w:p w14:paraId="15EE0C32">
            <w:pPr>
              <w:pStyle w:val="9"/>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6050" w:type="dxa"/>
          </w:tcPr>
          <w:p w14:paraId="7DAD7393">
            <w:pPr>
              <w:pStyle w:val="9"/>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投标人或所投产品制造商拥有对所投标产品投保公众责任险和产品责任险： 保险类型为产品责任险和公众责任险的，合计保额在5000万元人民币（含）以上的得3分； 已投标的须提供有效期内的保单或合同复印件作为证明材料，否则不得分。没有投保的，可以给予承诺，中标后对所投产品给予投保，需提供承诺函，没有承诺函的不得分。</w:t>
            </w:r>
          </w:p>
        </w:tc>
      </w:tr>
    </w:tbl>
    <w:p w14:paraId="22F069B2">
      <w:pPr>
        <w:pStyle w:val="9"/>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现更正为：</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9"/>
        <w:gridCol w:w="768"/>
        <w:gridCol w:w="1332"/>
        <w:gridCol w:w="6062"/>
      </w:tblGrid>
      <w:tr w14:paraId="607696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9" w:type="dxa"/>
          </w:tcPr>
          <w:p w14:paraId="6833A214">
            <w:pPr>
              <w:pStyle w:val="9"/>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3、产品保险保障</w:t>
            </w:r>
          </w:p>
        </w:tc>
        <w:tc>
          <w:tcPr>
            <w:tcW w:w="768" w:type="dxa"/>
          </w:tcPr>
          <w:p w14:paraId="55F9A502">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3.00</w:t>
            </w:r>
          </w:p>
        </w:tc>
        <w:tc>
          <w:tcPr>
            <w:tcW w:w="1332" w:type="dxa"/>
          </w:tcPr>
          <w:p w14:paraId="7705BBCC">
            <w:pPr>
              <w:pStyle w:val="9"/>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6062" w:type="dxa"/>
          </w:tcPr>
          <w:p w14:paraId="070DD70C">
            <w:pPr>
              <w:pStyle w:val="9"/>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供应商出具承诺函对产品购买产品保险，并目承诺所购买的保险若不足以承担后续产品造成的事故影响，由投标人自行承担造成的后果，承诺函格式自拟，满足要求的得3分，否则不得分。</w:t>
            </w:r>
          </w:p>
        </w:tc>
      </w:tr>
    </w:tbl>
    <w:p w14:paraId="349C22CA">
      <w:pPr>
        <w:pStyle w:val="9"/>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bCs/>
          <w:i w:val="0"/>
          <w:iCs w:val="0"/>
          <w:caps w:val="0"/>
          <w:color w:val="auto"/>
          <w:spacing w:val="0"/>
          <w:sz w:val="24"/>
          <w:szCs w:val="24"/>
          <w:shd w:val="clear" w:fill="FFFFFF"/>
          <w:lang w:val="en-US" w:eastAsia="zh-CN"/>
        </w:rPr>
      </w:pPr>
    </w:p>
    <w:p w14:paraId="5909D63B">
      <w:pPr>
        <w:pStyle w:val="9"/>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00" w:lineRule="exact"/>
        <w:ind w:firstLine="482" w:firstLineChars="200"/>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b/>
          <w:bCs/>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lang w:val="en-US" w:eastAsia="zh-CN"/>
        </w:rPr>
        <w:t>招标文件第五章</w:t>
      </w:r>
      <w:r>
        <w:rPr>
          <w:rFonts w:hint="eastAsia" w:ascii="宋体" w:hAnsi="宋体" w:eastAsia="宋体" w:cs="宋体"/>
          <w:b w:val="0"/>
          <w:bCs w:val="0"/>
          <w:i w:val="0"/>
          <w:iCs w:val="0"/>
          <w:caps w:val="0"/>
          <w:color w:val="auto"/>
          <w:spacing w:val="0"/>
          <w:sz w:val="24"/>
          <w:szCs w:val="24"/>
          <w:shd w:val="clear" w:fill="FFFFFF"/>
          <w:lang w:val="en-US" w:eastAsia="zh-CN"/>
        </w:rPr>
        <w:t>“</w:t>
      </w:r>
      <w:r>
        <w:rPr>
          <w:rFonts w:hint="eastAsia" w:ascii="宋体" w:hAnsi="宋体" w:eastAsia="宋体" w:cs="宋体"/>
          <w:b w:val="0"/>
          <w:bCs w:val="0"/>
          <w:color w:val="auto"/>
          <w:sz w:val="24"/>
          <w:szCs w:val="24"/>
        </w:rPr>
        <w:t>二、技术和服务要求</w:t>
      </w:r>
      <w:r>
        <w:rPr>
          <w:rFonts w:hint="eastAsia" w:ascii="宋体" w:hAnsi="宋体" w:eastAsia="宋体" w:cs="宋体"/>
          <w:b w:val="0"/>
          <w:bCs w:val="0"/>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lang w:val="en-US" w:eastAsia="zh-CN"/>
        </w:rPr>
        <w:t>中“（一）技术参数清单要求”的“序号2：4出水口饮水机”中：</w:t>
      </w:r>
    </w:p>
    <w:p w14:paraId="611B044C">
      <w:pPr>
        <w:pStyle w:val="9"/>
        <w:keepNext w:val="0"/>
        <w:keepLines w:val="0"/>
        <w:pageBreakBefore w:val="0"/>
        <w:widowControl/>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（评审项15）</w:t>
      </w:r>
      <w:r>
        <w:rPr>
          <w:rFonts w:hint="eastAsia" w:ascii="宋体" w:hAnsi="宋体" w:eastAsia="宋体" w:cs="宋体"/>
          <w:color w:val="auto"/>
          <w:sz w:val="24"/>
          <w:szCs w:val="24"/>
        </w:rPr>
        <w:t>3、出水口之间需要根据机器外径尺寸保持合理的间距，400mm≥每两个出水口的间距≥350mm；具有≥1个高出水口，400mm≥高出水口距离接水盘距离＞300mm。具有≥2个低出水口，300mm≥低出水口距离接水盘距离≥250mm</w:t>
      </w:r>
      <w:r>
        <w:rPr>
          <w:rFonts w:hint="eastAsia" w:ascii="宋体" w:hAnsi="宋体" w:eastAsia="宋体" w:cs="宋体"/>
          <w:b/>
          <w:color w:val="auto"/>
          <w:sz w:val="24"/>
          <w:szCs w:val="24"/>
        </w:rPr>
        <w:t>。提供产品实物照片或产品使用说明书给予佐证。</w:t>
      </w:r>
    </w:p>
    <w:p w14:paraId="71E94CC2">
      <w:pPr>
        <w:pStyle w:val="9"/>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现更正为：</w:t>
      </w:r>
    </w:p>
    <w:p w14:paraId="4793D022">
      <w:pPr>
        <w:pStyle w:val="9"/>
        <w:keepNext w:val="0"/>
        <w:keepLines w:val="0"/>
        <w:pageBreakBefore w:val="0"/>
        <w:widowControl/>
        <w:kinsoku/>
        <w:wordWrap/>
        <w:overflowPunct/>
        <w:topLinePunct w:val="0"/>
        <w:autoSpaceDE/>
        <w:autoSpaceDN/>
        <w:bidi w:val="0"/>
        <w:adjustRightInd/>
        <w:snapToGrid/>
        <w:spacing w:line="400" w:lineRule="exact"/>
        <w:ind w:firstLine="241" w:firstLineChars="100"/>
        <w:jc w:val="left"/>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（评审项15）</w:t>
      </w:r>
      <w:r>
        <w:rPr>
          <w:rFonts w:hint="eastAsia" w:ascii="宋体" w:hAnsi="宋体" w:eastAsia="宋体" w:cs="宋体"/>
          <w:color w:val="auto"/>
          <w:sz w:val="24"/>
          <w:szCs w:val="24"/>
        </w:rPr>
        <w:t>3、出水口之间需要根据机器外径尺寸保持合理的间距，400mm≥每两个出水口的间距≥350mm；</w:t>
      </w:r>
      <w:r>
        <w:rPr>
          <w:rFonts w:hint="eastAsia" w:ascii="宋体" w:hAnsi="宋体" w:eastAsia="宋体" w:cs="宋体"/>
          <w:b/>
          <w:color w:val="auto"/>
          <w:sz w:val="24"/>
          <w:szCs w:val="24"/>
        </w:rPr>
        <w:t>提供产品实物照片或产品使用说明书给予佐证。</w:t>
      </w:r>
    </w:p>
    <w:p w14:paraId="4282A29E">
      <w:pPr>
        <w:pStyle w:val="9"/>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00" w:lineRule="exact"/>
        <w:ind w:firstLine="482" w:firstLineChars="200"/>
        <w:textAlignment w:val="auto"/>
        <w:rPr>
          <w:rFonts w:hint="eastAsia" w:ascii="宋体" w:hAnsi="宋体" w:eastAsia="宋体" w:cs="宋体"/>
          <w:b/>
          <w:bCs/>
          <w:i w:val="0"/>
          <w:iCs w:val="0"/>
          <w:caps w:val="0"/>
          <w:color w:val="auto"/>
          <w:spacing w:val="0"/>
          <w:sz w:val="24"/>
          <w:szCs w:val="24"/>
          <w:shd w:val="clear" w:fill="FFFFFF"/>
          <w:lang w:val="en-US" w:eastAsia="zh-CN"/>
        </w:rPr>
      </w:pPr>
    </w:p>
    <w:p w14:paraId="70AF30CD">
      <w:pPr>
        <w:pStyle w:val="9"/>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00" w:lineRule="exact"/>
        <w:ind w:firstLine="482" w:firstLineChars="200"/>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b/>
          <w:bCs/>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lang w:val="en-US" w:eastAsia="zh-CN"/>
        </w:rPr>
        <w:t>招标文件第五章</w:t>
      </w:r>
      <w:r>
        <w:rPr>
          <w:rFonts w:hint="eastAsia" w:ascii="宋体" w:hAnsi="宋体" w:eastAsia="宋体" w:cs="宋体"/>
          <w:b w:val="0"/>
          <w:bCs w:val="0"/>
          <w:i w:val="0"/>
          <w:iCs w:val="0"/>
          <w:caps w:val="0"/>
          <w:color w:val="auto"/>
          <w:spacing w:val="0"/>
          <w:sz w:val="24"/>
          <w:szCs w:val="24"/>
          <w:shd w:val="clear" w:fill="FFFFFF"/>
          <w:lang w:val="en-US" w:eastAsia="zh-CN"/>
        </w:rPr>
        <w:t>“</w:t>
      </w:r>
      <w:r>
        <w:rPr>
          <w:rFonts w:hint="eastAsia" w:ascii="宋体" w:hAnsi="宋体" w:eastAsia="宋体" w:cs="宋体"/>
          <w:b w:val="0"/>
          <w:bCs w:val="0"/>
          <w:color w:val="auto"/>
          <w:sz w:val="24"/>
          <w:szCs w:val="24"/>
        </w:rPr>
        <w:t>二、技术和服务要求</w:t>
      </w:r>
      <w:r>
        <w:rPr>
          <w:rFonts w:hint="eastAsia" w:ascii="宋体" w:hAnsi="宋体" w:eastAsia="宋体" w:cs="宋体"/>
          <w:b w:val="0"/>
          <w:bCs w:val="0"/>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lang w:val="en-US" w:eastAsia="zh-CN"/>
        </w:rPr>
        <w:t>中“（一）技术参数清单要求”的“序号2：4出水口饮水机”中：</w:t>
      </w:r>
    </w:p>
    <w:p w14:paraId="74E8A04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（评审项26）</w:t>
      </w:r>
      <w:r>
        <w:rPr>
          <w:rFonts w:hint="eastAsia" w:ascii="宋体" w:hAnsi="宋体" w:eastAsia="宋体" w:cs="宋体"/>
          <w:color w:val="auto"/>
          <w:sz w:val="24"/>
          <w:szCs w:val="24"/>
        </w:rPr>
        <w:t>17、产品尺寸(宽×厚×高mm)：1200×500×1300mm（尺寸允许±50mm偏差）</w:t>
      </w:r>
    </w:p>
    <w:p w14:paraId="4712897E">
      <w:pPr>
        <w:pStyle w:val="9"/>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现更正为：</w:t>
      </w:r>
    </w:p>
    <w:p w14:paraId="1ABFA14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b/>
          <w:color w:val="auto"/>
          <w:sz w:val="24"/>
          <w:szCs w:val="24"/>
        </w:rPr>
        <w:t>（评审项26）</w:t>
      </w:r>
      <w:r>
        <w:rPr>
          <w:rFonts w:hint="eastAsia" w:ascii="宋体" w:hAnsi="宋体" w:eastAsia="宋体" w:cs="宋体"/>
          <w:color w:val="auto"/>
          <w:sz w:val="24"/>
          <w:szCs w:val="24"/>
        </w:rPr>
        <w:t>17、产品尺寸(宽×厚×高mm)：</w:t>
      </w:r>
      <w:r>
        <w:rPr>
          <w:rFonts w:hint="eastAsia" w:ascii="宋体" w:hAnsi="宋体" w:eastAsia="宋体" w:cs="宋体"/>
          <w:color w:val="auto"/>
          <w:sz w:val="24"/>
          <w:szCs w:val="24"/>
          <w:lang w:val="en-US" w:eastAsia="zh-CN"/>
        </w:rPr>
        <w:t>1400</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450</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1400mm(尺寸允许士100mm偏差)</w:t>
      </w:r>
    </w:p>
    <w:p w14:paraId="688D1EC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222222"/>
          <w:spacing w:val="0"/>
          <w:sz w:val="24"/>
          <w:szCs w:val="24"/>
          <w:shd w:val="clear" w:fill="FFFFFF"/>
        </w:rPr>
        <w:t>其他内容不变</w:t>
      </w:r>
    </w:p>
    <w:p w14:paraId="2F4FFB9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222222"/>
          <w:spacing w:val="0"/>
          <w:sz w:val="24"/>
          <w:szCs w:val="24"/>
          <w:shd w:val="clear" w:fill="FFFFFF"/>
        </w:rPr>
        <w:t>更正日期：2025年</w:t>
      </w:r>
      <w:r>
        <w:rPr>
          <w:rFonts w:hint="eastAsia" w:ascii="宋体" w:hAnsi="宋体" w:eastAsia="宋体" w:cs="宋体"/>
          <w:i w:val="0"/>
          <w:iCs w:val="0"/>
          <w:caps w:val="0"/>
          <w:color w:val="222222"/>
          <w:spacing w:val="0"/>
          <w:sz w:val="24"/>
          <w:szCs w:val="24"/>
          <w:shd w:val="clear" w:fill="FFFFFF"/>
          <w:lang w:val="en-US" w:eastAsia="zh-CN"/>
        </w:rPr>
        <w:t>08</w:t>
      </w:r>
      <w:r>
        <w:rPr>
          <w:rFonts w:hint="eastAsia" w:ascii="宋体" w:hAnsi="宋体" w:eastAsia="宋体" w:cs="宋体"/>
          <w:i w:val="0"/>
          <w:iCs w:val="0"/>
          <w:caps w:val="0"/>
          <w:color w:val="222222"/>
          <w:spacing w:val="0"/>
          <w:sz w:val="24"/>
          <w:szCs w:val="24"/>
          <w:shd w:val="clear" w:fill="FFFFFF"/>
        </w:rPr>
        <w:t>月</w:t>
      </w:r>
      <w:r>
        <w:rPr>
          <w:rFonts w:hint="eastAsia" w:ascii="宋体" w:hAnsi="宋体" w:eastAsia="宋体" w:cs="宋体"/>
          <w:i w:val="0"/>
          <w:iCs w:val="0"/>
          <w:caps w:val="0"/>
          <w:color w:val="222222"/>
          <w:spacing w:val="0"/>
          <w:sz w:val="24"/>
          <w:szCs w:val="24"/>
          <w:shd w:val="clear" w:fill="FFFFFF"/>
          <w:lang w:val="en-US" w:eastAsia="zh-CN"/>
        </w:rPr>
        <w:t>29</w:t>
      </w:r>
      <w:r>
        <w:rPr>
          <w:rFonts w:hint="eastAsia" w:ascii="宋体" w:hAnsi="宋体" w:eastAsia="宋体" w:cs="宋体"/>
          <w:i w:val="0"/>
          <w:iCs w:val="0"/>
          <w:caps w:val="0"/>
          <w:color w:val="222222"/>
          <w:spacing w:val="0"/>
          <w:sz w:val="24"/>
          <w:szCs w:val="24"/>
          <w:shd w:val="clear" w:fill="FFFFFF"/>
        </w:rPr>
        <w:t>日</w:t>
      </w:r>
    </w:p>
    <w:p w14:paraId="3722465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宋体" w:hAnsi="宋体" w:eastAsia="宋体" w:cs="宋体"/>
          <w:b w:val="0"/>
          <w:bCs w:val="0"/>
          <w:i w:val="0"/>
          <w:iCs w:val="0"/>
          <w:caps w:val="0"/>
          <w:color w:val="222222"/>
          <w:spacing w:val="0"/>
          <w:sz w:val="24"/>
          <w:szCs w:val="24"/>
        </w:rPr>
      </w:pPr>
      <w:r>
        <w:rPr>
          <w:rStyle w:val="8"/>
          <w:rFonts w:hint="eastAsia" w:ascii="宋体" w:hAnsi="宋体" w:eastAsia="宋体" w:cs="宋体"/>
          <w:b/>
          <w:bCs/>
          <w:i w:val="0"/>
          <w:iCs w:val="0"/>
          <w:caps w:val="0"/>
          <w:color w:val="222222"/>
          <w:spacing w:val="0"/>
          <w:sz w:val="24"/>
          <w:szCs w:val="24"/>
          <w:shd w:val="clear" w:fill="FFFFFF"/>
        </w:rPr>
        <w:t>三、其他补充事项</w:t>
      </w:r>
    </w:p>
    <w:p w14:paraId="6AC83AC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222222"/>
          <w:spacing w:val="0"/>
          <w:sz w:val="24"/>
          <w:szCs w:val="24"/>
          <w:shd w:val="clear" w:fill="FFFFFF"/>
        </w:rPr>
        <w:t>无</w:t>
      </w:r>
    </w:p>
    <w:p w14:paraId="7AAC9BB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0"/>
        <w:jc w:val="left"/>
        <w:textAlignment w:val="auto"/>
        <w:rPr>
          <w:rFonts w:hint="eastAsia" w:ascii="宋体" w:hAnsi="宋体" w:eastAsia="宋体" w:cs="宋体"/>
          <w:b w:val="0"/>
          <w:bCs w:val="0"/>
          <w:i w:val="0"/>
          <w:iCs w:val="0"/>
          <w:caps w:val="0"/>
          <w:color w:val="222222"/>
          <w:spacing w:val="0"/>
          <w:sz w:val="24"/>
          <w:szCs w:val="24"/>
        </w:rPr>
      </w:pPr>
      <w:r>
        <w:rPr>
          <w:rStyle w:val="8"/>
          <w:rFonts w:hint="eastAsia" w:ascii="宋体" w:hAnsi="宋体" w:eastAsia="宋体" w:cs="宋体"/>
          <w:b/>
          <w:bCs/>
          <w:i w:val="0"/>
          <w:iCs w:val="0"/>
          <w:caps w:val="0"/>
          <w:color w:val="222222"/>
          <w:spacing w:val="0"/>
          <w:sz w:val="24"/>
          <w:szCs w:val="24"/>
          <w:shd w:val="clear" w:fill="FFFFFF"/>
        </w:rPr>
        <w:t>四、凡对本次公告内容提出询问，请按以下方式联系。</w:t>
      </w:r>
    </w:p>
    <w:p w14:paraId="008C593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222222"/>
          <w:spacing w:val="0"/>
          <w:sz w:val="24"/>
          <w:szCs w:val="24"/>
          <w:shd w:val="clear" w:fill="FFFFFF"/>
        </w:rPr>
        <w:t>1.采购人信息</w:t>
      </w:r>
    </w:p>
    <w:p w14:paraId="76481EA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222222"/>
          <w:spacing w:val="0"/>
          <w:sz w:val="24"/>
          <w:szCs w:val="24"/>
          <w:shd w:val="clear" w:fill="FFFFFF"/>
        </w:rPr>
        <w:t>名称：福州市教育局</w:t>
      </w:r>
    </w:p>
    <w:p w14:paraId="4C90B2E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222222"/>
          <w:spacing w:val="0"/>
          <w:sz w:val="24"/>
          <w:szCs w:val="24"/>
          <w:shd w:val="clear" w:fill="FFFFFF"/>
        </w:rPr>
        <w:t>地址：南江滨西大道193号2幢8-12层</w:t>
      </w:r>
    </w:p>
    <w:p w14:paraId="0F3ACBA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222222"/>
          <w:spacing w:val="0"/>
          <w:sz w:val="24"/>
          <w:szCs w:val="24"/>
          <w:shd w:val="clear" w:fill="FFFFFF"/>
        </w:rPr>
        <w:t>联系方式：13666090489</w:t>
      </w:r>
    </w:p>
    <w:p w14:paraId="524DB11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222222"/>
          <w:spacing w:val="0"/>
          <w:sz w:val="24"/>
          <w:szCs w:val="24"/>
          <w:shd w:val="clear" w:fill="FFFFFF"/>
        </w:rPr>
        <w:t>2.采购代理机构信息</w:t>
      </w:r>
    </w:p>
    <w:p w14:paraId="2DA84A0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222222"/>
          <w:spacing w:val="0"/>
          <w:sz w:val="24"/>
          <w:szCs w:val="24"/>
          <w:shd w:val="clear" w:fill="FFFFFF"/>
        </w:rPr>
        <w:t>名称：</w:t>
      </w:r>
      <w:r>
        <w:rPr>
          <w:rFonts w:hint="eastAsia" w:ascii="宋体" w:hAnsi="宋体" w:eastAsia="宋体" w:cs="宋体"/>
          <w:i w:val="0"/>
          <w:iCs w:val="0"/>
          <w:caps w:val="0"/>
          <w:color w:val="222222"/>
          <w:spacing w:val="0"/>
          <w:sz w:val="24"/>
          <w:szCs w:val="24"/>
          <w:shd w:val="clear" w:fill="FFFFFF"/>
          <w:lang w:eastAsia="zh-CN"/>
        </w:rPr>
        <w:t>福建信发招标代理有限公司</w:t>
      </w:r>
    </w:p>
    <w:p w14:paraId="2330516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222222"/>
          <w:spacing w:val="0"/>
          <w:sz w:val="24"/>
          <w:szCs w:val="24"/>
          <w:shd w:val="clear" w:fill="FFFFFF"/>
        </w:rPr>
        <w:t>地址：福州市晋安区华林路257号福侨大厦14层（斗门地铁站C出口步行150米）</w:t>
      </w:r>
    </w:p>
    <w:p w14:paraId="58A9952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222222"/>
          <w:spacing w:val="0"/>
          <w:sz w:val="24"/>
          <w:szCs w:val="24"/>
          <w:shd w:val="clear" w:fill="FFFFFF"/>
        </w:rPr>
        <w:t>联系方式：0591-88002309</w:t>
      </w:r>
    </w:p>
    <w:p w14:paraId="47074A8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222222"/>
          <w:spacing w:val="0"/>
          <w:sz w:val="24"/>
          <w:szCs w:val="24"/>
          <w:shd w:val="clear" w:fill="FFFFFF"/>
        </w:rPr>
        <w:t>3.项目联系方式</w:t>
      </w:r>
    </w:p>
    <w:p w14:paraId="3BD72F8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222222"/>
          <w:spacing w:val="0"/>
          <w:sz w:val="24"/>
          <w:szCs w:val="24"/>
          <w:shd w:val="clear" w:fill="FFFFFF"/>
        </w:rPr>
        <w:t>项目联系人：陈爱光</w:t>
      </w:r>
    </w:p>
    <w:p w14:paraId="2BDF853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sz w:val="24"/>
          <w:szCs w:val="24"/>
          <w:lang w:val="en-US" w:eastAsia="zh-CN"/>
        </w:rPr>
      </w:pPr>
      <w:r>
        <w:rPr>
          <w:rFonts w:hint="eastAsia" w:ascii="宋体" w:hAnsi="宋体" w:eastAsia="宋体" w:cs="宋体"/>
          <w:i w:val="0"/>
          <w:iCs w:val="0"/>
          <w:caps w:val="0"/>
          <w:color w:val="222222"/>
          <w:spacing w:val="0"/>
          <w:sz w:val="24"/>
          <w:szCs w:val="24"/>
          <w:shd w:val="clear" w:fill="FFFFFF"/>
        </w:rPr>
        <w:t>电话：0591-</w:t>
      </w:r>
      <w:r>
        <w:rPr>
          <w:rFonts w:hint="eastAsia" w:ascii="宋体" w:hAnsi="宋体" w:eastAsia="宋体" w:cs="宋体"/>
          <w:i w:val="0"/>
          <w:iCs w:val="0"/>
          <w:caps w:val="0"/>
          <w:color w:val="222222"/>
          <w:spacing w:val="0"/>
          <w:sz w:val="24"/>
          <w:szCs w:val="24"/>
          <w:shd w:val="clear" w:fill="FFFFFF"/>
          <w:lang w:val="en-US" w:eastAsia="zh-CN"/>
        </w:rPr>
        <w:t>88002309</w:t>
      </w:r>
    </w:p>
    <w:p w14:paraId="616BB64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jc w:val="right"/>
        <w:textAlignment w:val="auto"/>
        <w:rPr>
          <w:rFonts w:hint="eastAsia" w:ascii="宋体" w:hAnsi="宋体" w:eastAsia="宋体" w:cs="宋体"/>
          <w:i w:val="0"/>
          <w:iCs w:val="0"/>
          <w:caps w:val="0"/>
          <w:color w:val="222222"/>
          <w:spacing w:val="0"/>
          <w:sz w:val="24"/>
          <w:szCs w:val="24"/>
          <w:lang w:eastAsia="zh-CN"/>
        </w:rPr>
      </w:pPr>
      <w:r>
        <w:rPr>
          <w:rFonts w:hint="eastAsia" w:ascii="宋体" w:hAnsi="宋体" w:eastAsia="宋体" w:cs="宋体"/>
          <w:i w:val="0"/>
          <w:iCs w:val="0"/>
          <w:caps w:val="0"/>
          <w:color w:val="222222"/>
          <w:spacing w:val="0"/>
          <w:sz w:val="24"/>
          <w:szCs w:val="24"/>
          <w:shd w:val="clear" w:fill="FFFFFF"/>
          <w:lang w:eastAsia="zh-CN"/>
        </w:rPr>
        <w:t>福建信发招标代理有限公司</w:t>
      </w:r>
    </w:p>
    <w:p w14:paraId="07BC31C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jc w:val="right"/>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shd w:val="clear" w:fill="FFFFFF"/>
        </w:rPr>
        <w:t>2025年</w:t>
      </w:r>
      <w:r>
        <w:rPr>
          <w:rFonts w:hint="eastAsia" w:ascii="宋体" w:hAnsi="宋体" w:eastAsia="宋体" w:cs="宋体"/>
          <w:i w:val="0"/>
          <w:iCs w:val="0"/>
          <w:caps w:val="0"/>
          <w:color w:val="222222"/>
          <w:spacing w:val="0"/>
          <w:sz w:val="24"/>
          <w:szCs w:val="24"/>
          <w:shd w:val="clear" w:fill="FFFFFF"/>
          <w:lang w:val="en-US" w:eastAsia="zh-CN"/>
        </w:rPr>
        <w:t>8</w:t>
      </w:r>
      <w:r>
        <w:rPr>
          <w:rFonts w:hint="eastAsia" w:ascii="宋体" w:hAnsi="宋体" w:eastAsia="宋体" w:cs="宋体"/>
          <w:i w:val="0"/>
          <w:iCs w:val="0"/>
          <w:caps w:val="0"/>
          <w:color w:val="222222"/>
          <w:spacing w:val="0"/>
          <w:sz w:val="24"/>
          <w:szCs w:val="24"/>
          <w:shd w:val="clear" w:fill="FFFFFF"/>
        </w:rPr>
        <w:t>月</w:t>
      </w:r>
      <w:r>
        <w:rPr>
          <w:rFonts w:hint="eastAsia" w:ascii="宋体" w:hAnsi="宋体" w:eastAsia="宋体" w:cs="宋体"/>
          <w:i w:val="0"/>
          <w:iCs w:val="0"/>
          <w:caps w:val="0"/>
          <w:color w:val="222222"/>
          <w:spacing w:val="0"/>
          <w:sz w:val="24"/>
          <w:szCs w:val="24"/>
          <w:shd w:val="clear" w:fill="FFFFFF"/>
          <w:lang w:val="en-US" w:eastAsia="zh-CN"/>
        </w:rPr>
        <w:t>29</w:t>
      </w:r>
      <w:r>
        <w:rPr>
          <w:rFonts w:hint="eastAsia" w:ascii="宋体" w:hAnsi="宋体" w:eastAsia="宋体" w:cs="宋体"/>
          <w:i w:val="0"/>
          <w:iCs w:val="0"/>
          <w:caps w:val="0"/>
          <w:color w:val="222222"/>
          <w:spacing w:val="0"/>
          <w:sz w:val="24"/>
          <w:szCs w:val="24"/>
          <w:shd w:val="clear" w:fill="FFFFFF"/>
        </w:rPr>
        <w:t>日</w:t>
      </w:r>
    </w:p>
    <w:p w14:paraId="4B957A70">
      <w:pPr>
        <w:keepNext w:val="0"/>
        <w:keepLines w:val="0"/>
        <w:pageBreakBefore w:val="0"/>
        <w:kinsoku/>
        <w:wordWrap/>
        <w:overflowPunct/>
        <w:topLinePunct w:val="0"/>
        <w:autoSpaceDE/>
        <w:autoSpaceDN/>
        <w:bidi w:val="0"/>
        <w:adjustRightInd/>
        <w:snapToGrid/>
        <w:spacing w:beforeAutospacing="0" w:afterAutospacing="0" w:line="360" w:lineRule="exact"/>
        <w:textAlignment w:val="auto"/>
        <w:rPr>
          <w:rFonts w:hint="eastAsia" w:ascii="宋体" w:hAnsi="宋体" w:eastAsia="宋体" w:cs="宋体"/>
          <w:sz w:val="24"/>
          <w:szCs w:val="24"/>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ingfang sc">
    <w:altName w:val="宋体"/>
    <w:panose1 w:val="020B0400000000000000"/>
    <w:charset w:val="86"/>
    <w:family w:val="auto"/>
    <w:pitch w:val="default"/>
    <w:sig w:usb0="00000000" w:usb1="00000000" w:usb2="00000017"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FD7367"/>
    <w:rsid w:val="01681D02"/>
    <w:rsid w:val="07B74ADA"/>
    <w:rsid w:val="1BFD7367"/>
    <w:rsid w:val="2F677DE7"/>
    <w:rsid w:val="373A4D29"/>
    <w:rsid w:val="45EC39BD"/>
    <w:rsid w:val="4D465775"/>
    <w:rsid w:val="4F2B3A7D"/>
    <w:rsid w:val="4FA84DDA"/>
    <w:rsid w:val="5B71659A"/>
    <w:rsid w:val="5D8E1119"/>
    <w:rsid w:val="613F41CB"/>
    <w:rsid w:val="66846D87"/>
    <w:rsid w:val="6AB61E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paragraph" w:customStyle="1" w:styleId="9">
    <w:name w:val="null3"/>
    <w:hidden/>
    <w:qFormat/>
    <w:uiPriority w:val="0"/>
    <w:rPr>
      <w:rFonts w:hint="eastAsia" w:asciiTheme="minorHAnsi" w:hAnsiTheme="minorHAnsi" w:eastAsiaTheme="minorEastAsia" w:cstheme="minorBidi"/>
      <w:lang w:val="en-US" w:eastAsia="zh-Hans"/>
    </w:rPr>
  </w:style>
  <w:style w:type="paragraph" w:customStyle="1" w:styleId="10">
    <w:name w:val="p1"/>
    <w:basedOn w:val="1"/>
    <w:qFormat/>
    <w:uiPriority w:val="0"/>
    <w:pPr>
      <w:spacing w:before="0" w:beforeAutospacing="0" w:after="0" w:afterAutospacing="0"/>
      <w:ind w:left="0" w:right="0"/>
      <w:jc w:val="left"/>
    </w:pPr>
    <w:rPr>
      <w:rFonts w:ascii="pingfang sc" w:hAnsi="pingfang sc" w:eastAsia="pingfang sc" w:cs="pingfang sc"/>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11018</Words>
  <Characters>12547</Characters>
  <Lines>0</Lines>
  <Paragraphs>0</Paragraphs>
  <TotalTime>15</TotalTime>
  <ScaleCrop>false</ScaleCrop>
  <LinksUpToDate>false</LinksUpToDate>
  <CharactersWithSpaces>12786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2025-03-28T05:51:00Z</dcterms:created>
  <dc:creator>_ Single°</dc:creator>
  <cp:lastModifiedBy>Administrator</cp:lastModifiedBy>
  <dcterms:modified xsi:type="dcterms:W3CDTF">2025-08-29T07:02:59Z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2EABE085A598436DACDF809A38AE5146_13</vt:lpwstr>
  </property>
  <property fmtid="{D5CDD505-2E9C-101B-9397-08002B2CF9AE}" pid="4" name="KSOTemplateDocerSaveRecord">
    <vt:lpwstr>eyJoZGlkIjoiMGEzNWFmNTU0MjMwMjJiMGM1ZjY2YjcwMmIzZTkzOTYiLCJ1c2VySWQiOiIzNjg5OTg1NzAifQ==</vt:lpwstr>
  </property>
</Properties>
</file>