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版本号：N510001202600256220260831001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中国教育和科研计算机网接入服务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N5100012026002562</w:t>
      </w:r>
    </w:p>
    <w:p>
      <w:pPr>
        <w:pStyle w:val="null3"/>
        <w:jc w:val="left"/>
        <w:outlineLvl w:val="2"/>
      </w:pPr>
      <w:r>
        <w:rPr>
          <w:rFonts w:ascii="仿宋_GB2312" w:hAnsi="仿宋_GB2312" w:cs="仿宋_GB2312" w:eastAsia="仿宋_GB2312"/>
          <w:sz w:val="28"/>
          <w:b/>
        </w:rPr>
        <w:t>成都中医药大学</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成都中医药大学</w:t>
      </w:r>
      <w:r>
        <w:rPr>
          <w:rFonts w:ascii="仿宋_GB2312" w:hAnsi="仿宋_GB2312" w:cs="仿宋_GB2312" w:eastAsia="仿宋_GB2312"/>
        </w:rPr>
        <w:t xml:space="preserve"> 委托，拟对 </w:t>
      </w:r>
      <w:r>
        <w:rPr>
          <w:rFonts w:ascii="仿宋_GB2312" w:hAnsi="仿宋_GB2312" w:cs="仿宋_GB2312" w:eastAsia="仿宋_GB2312"/>
        </w:rPr>
        <w:t>中国教育和科研计算机网接入服务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N5100012026002562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中国教育和科研计算机网接入服务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为成都中医药大学提供1500M中国教育和科研计算机网带宽并提供IP 地址、域名等，为采购人的教学、科研、 管理服务，保障采购人一年一度的校园招生顺利完成。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1、具有《基础电信业务经营许可证》或《增值电信业务经营许可证》（描述：提供《基础电信业务经营许可证》或《增值电信业务经营许可证》扫描件并加盖鲜章）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成都中医药大学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成都市温江区柳台大道1166号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028-61801010</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 028-61323016 ；开、评标： 028-61323020 （ 15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成都中医药大学</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成都中医药大学</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按照本项目的采购文件、供应商响应文件进行技术验收，中标人在服务期满后，根据相应以上文件中的要求提交的相应支撑材料。</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按招标文件和响应文件进行验收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供应商响应文件进行验收；按照《财政部关于进一步加强政府采购需求和履约验收管理的指导意见》（财库〔2016〕205号）、《政府采购需求管理办法》（财库〔2021〕22号）的要求进行验收。符合国家、行业标准、四川省地方标准规定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成都中医药大学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联系电话：028-61801010</w:t>
      </w:r>
    </w:p>
    <w:p>
      <w:pPr>
        <w:pStyle w:val="null3"/>
        <w:jc w:val="left"/>
      </w:pPr>
      <w:r>
        <w:rPr>
          <w:rFonts w:ascii="仿宋_GB2312" w:hAnsi="仿宋_GB2312" w:cs="仿宋_GB2312" w:eastAsia="仿宋_GB2312"/>
        </w:rPr>
        <w:t>地址：四川省成都市温江区柳台大道1166号成都中医药大学</w:t>
      </w:r>
    </w:p>
    <w:p>
      <w:pPr>
        <w:pStyle w:val="null3"/>
        <w:jc w:val="left"/>
      </w:pPr>
      <w:r>
        <w:rPr>
          <w:rFonts w:ascii="仿宋_GB2312" w:hAnsi="仿宋_GB2312" w:cs="仿宋_GB2312" w:eastAsia="仿宋_GB2312"/>
        </w:rPr>
        <w:t>邮编：611137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地址：四川省成都市⻘羊区顺城大街 222 号或鼓楼南街 101 号（丰德成达中心 10 层）</w:t>
      </w:r>
    </w:p>
    <w:p>
      <w:pPr>
        <w:pStyle w:val="null3"/>
        <w:jc w:val="left"/>
      </w:pPr>
      <w:r>
        <w:rPr>
          <w:rFonts w:ascii="仿宋_GB2312" w:hAnsi="仿宋_GB2312" w:cs="仿宋_GB2312" w:eastAsia="仿宋_GB2312"/>
        </w:rPr>
        <w:t>邮编：610000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C17010200 网络接入服务</w:t>
            </w:r>
          </w:p>
        </w:tc>
        <w:tc>
          <w:tcPr>
            <w:tcW w:type="dxa" w:w="821"/>
          </w:tcPr>
          <w:p>
            <w:pPr>
              <w:pStyle w:val="null3"/>
              <w:jc w:val="left"/>
            </w:pPr>
            <w:r>
              <w:rPr>
                <w:rFonts w:ascii="仿宋_GB2312" w:hAnsi="仿宋_GB2312" w:cs="仿宋_GB2312" w:eastAsia="仿宋_GB2312"/>
              </w:rPr>
              <w:t>中国教育和科研计算机网接入服务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中国教育和科研计算机网接入服务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标的名称：中国教育和科研计算机网接入服务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带宽要求</w:t>
            </w:r>
          </w:p>
        </w:tc>
        <w:tc>
          <w:tcPr>
            <w:tcW w:type="dxa" w:w="5814"/>
          </w:tcPr>
          <w:p>
            <w:pPr>
              <w:pStyle w:val="null3"/>
              <w:jc w:val="left"/>
            </w:pPr>
            <w:r>
              <w:rPr>
                <w:rFonts w:ascii="仿宋_GB2312" w:hAnsi="仿宋_GB2312" w:cs="仿宋_GB2312" w:eastAsia="仿宋_GB2312"/>
              </w:rPr>
              <w:t>提供中国教育和科研计算机网上下行对称独享带宽：1500M，并为校方提供75M的国际带宽，同时配比IPv6国内带宽1500M，具备平滑扩容至万兆带宽的能力；全年网络可用率不低于99.9%；网络平均丢包率不高于1‰；</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地址规划要求</w:t>
            </w:r>
          </w:p>
        </w:tc>
        <w:tc>
          <w:tcPr>
            <w:tcW w:type="dxa" w:w="5814"/>
          </w:tcPr>
          <w:p>
            <w:pPr>
              <w:pStyle w:val="null3"/>
              <w:jc w:val="left"/>
            </w:pPr>
            <w:r>
              <w:rPr>
                <w:rFonts w:ascii="仿宋_GB2312" w:hAnsi="仿宋_GB2312" w:cs="仿宋_GB2312" w:eastAsia="仿宋_GB2312"/>
              </w:rPr>
              <w:t>提供教育网公网 IPv4 固定地址不低于16个C，提供一个IPv6地址块/ 48，且不能使用NAT映射转换。（需提供教育网真实IP地址段，亚太区地址分配机构的官网www.apnic.net查询到所分配地址隶属CERNET所有，教育网官方地址分配管理站点www.nic.edu.cn查询到该段地址已明确分配给成都中医药大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域名与解析服务</w:t>
            </w:r>
          </w:p>
        </w:tc>
        <w:tc>
          <w:tcPr>
            <w:tcW w:type="dxa" w:w="5814"/>
          </w:tcPr>
          <w:p>
            <w:pPr>
              <w:pStyle w:val="null3"/>
              <w:jc w:val="left"/>
            </w:pPr>
            <w:r>
              <w:rPr>
                <w:rFonts w:ascii="仿宋_GB2312" w:hAnsi="仿宋_GB2312" w:cs="仿宋_GB2312" w:eastAsia="仿宋_GB2312"/>
              </w:rPr>
              <w:t>协助申请、备案、运维 edu.cn 教育专用域名，提供域名解析、DNS 主备服务，包括域名防护，支持多子域名、泛解析配置，免费漏洞扫描、续期、备案变更、合规核查服务。</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国际学术资源保障服务</w:t>
            </w:r>
          </w:p>
        </w:tc>
        <w:tc>
          <w:tcPr>
            <w:tcW w:type="dxa" w:w="5814"/>
          </w:tcPr>
          <w:p>
            <w:pPr>
              <w:pStyle w:val="null3"/>
              <w:jc w:val="left"/>
            </w:pPr>
            <w:r>
              <w:rPr>
                <w:rFonts w:ascii="仿宋_GB2312" w:hAnsi="仿宋_GB2312" w:cs="仿宋_GB2312" w:eastAsia="仿宋_GB2312"/>
              </w:rPr>
              <w:t>供应商需具有独立的国际出口资格，国际带宽不低于60G，与国外教育网络（欧洲GEANT、美国Internet2、亚洲APAN/TANET/HARNET/KISTI等）直接互联，提供可直连的境外学术数据库 IP 地址列表，包含但不限于 ASCE（iGroup）、AIAA（iGroup）、BMJ（iGroup）、Cambridge University Press(剑桥大学出版社)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网络安全保障服务</w:t>
            </w:r>
          </w:p>
        </w:tc>
        <w:tc>
          <w:tcPr>
            <w:tcW w:type="dxa" w:w="5814"/>
          </w:tcPr>
          <w:p>
            <w:pPr>
              <w:pStyle w:val="null3"/>
              <w:jc w:val="left"/>
            </w:pPr>
            <w:r>
              <w:rPr>
                <w:rFonts w:ascii="仿宋_GB2312" w:hAnsi="仿宋_GB2312" w:cs="仿宋_GB2312" w:eastAsia="仿宋_GB2312"/>
              </w:rPr>
              <w:t>支持教育部高考招生网上录取工作，配合完成高招期间风险测评、整改、材料支撑，提供高招合规技术协助。提供网络日志留存、访问溯源服务，满足教育行业监管要求。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技术支撑与优化</w:t>
            </w:r>
          </w:p>
        </w:tc>
        <w:tc>
          <w:tcPr>
            <w:tcW w:type="dxa" w:w="5814"/>
          </w:tcPr>
          <w:p>
            <w:pPr>
              <w:pStyle w:val="null3"/>
              <w:jc w:val="left"/>
            </w:pPr>
            <w:r>
              <w:rPr>
                <w:rFonts w:ascii="仿宋_GB2312" w:hAnsi="仿宋_GB2312" w:cs="仿宋_GB2312" w:eastAsia="仿宋_GB2312"/>
              </w:rPr>
              <w:t>服务提供7*24小时客户服务保障，安排专属技术对接人，定期进行网络巡检，并提供季度巡检报告和网络使用情况报告；提供网络架构优化、拓扑设计、老旧线路改造技术方案支持；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IPv6规模部署服务</w:t>
            </w:r>
          </w:p>
        </w:tc>
        <w:tc>
          <w:tcPr>
            <w:tcW w:type="dxa" w:w="5814"/>
          </w:tcPr>
          <w:p>
            <w:pPr>
              <w:pStyle w:val="null3"/>
              <w:jc w:val="left"/>
            </w:pPr>
            <w:r>
              <w:rPr>
                <w:rFonts w:ascii="仿宋_GB2312" w:hAnsi="仿宋_GB2312" w:cs="仿宋_GB2312" w:eastAsia="仿宋_GB2312"/>
              </w:rPr>
              <w:t>协助开展IPv6规模部署及支持度巡查，提供IPv6规模部署规划服务，具备IPv6支持度监测、性能监测与流量分析，双栈同时稳定运行，满足教育行业监管要求。</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重保支撑服务</w:t>
            </w:r>
          </w:p>
        </w:tc>
        <w:tc>
          <w:tcPr>
            <w:tcW w:type="dxa" w:w="5814"/>
          </w:tcPr>
          <w:p>
            <w:pPr>
              <w:pStyle w:val="null3"/>
              <w:jc w:val="left"/>
            </w:pPr>
            <w:r>
              <w:rPr>
                <w:rFonts w:ascii="仿宋_GB2312" w:hAnsi="仿宋_GB2312" w:cs="仿宋_GB2312" w:eastAsia="仿宋_GB2312"/>
              </w:rPr>
              <w:t>提供重大期间（如校庆、大型考试、毕业典礼直播等）扩容服务，服务期内不超过3次带宽临时扩容。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2026年9月1日至2027年8月31日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四川省成都市温江区柳台大道1166号成都中医药大学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符合国家、四川省地方强制标准规定。验收时按照本项目的采购文件、供应商响应文件要求提交的相应支撑材料。 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全款付款条件： 合同签订后，中标人向采购人提供合法有效的票据凭证资料及完税发票后。达到该付款条件起10个工作日内，支付合同总金额的100.0%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 xml:space="preserve"> 1、一方不履行合同义务或者履行义务不符合合同约定给另一方造成损失的，应承担赔偿责任。 2、双方在合同有效期内，均须认真执行合同中各项条款和规定。若任何一方有违反合同条款的行为，均被视为违约。任何一方在收到对方的具体说明违约情况的书面通知后，如确认违约行为实际存在，则应在二十日内对违约行为予以纠正并书面通知对方；如认为违约行为不存在，则应在二十日内向对方提出书面异议或说明，在此情形下，双方可就此问题进行协商，协商不成的，按合同争议条款解决。 3、若一方因故需要提前终止合同，必须提前一个月以书面形式通知对方，并经双方协商同意后可以提前终止合同。如一方未履行提前通知义务擅自终止合同，则该方应承担违约责任， 并向对方支付违约金，具体数额按照合同金额计算。4、因本合同引起或与本合同有关的任何争议均应由双方通过友好协商解决。协调不成，双方同意向甲方所在地人民法院提起诉讼。5、在争议的处理过程中，除争议部分外，合同其它能履行的部分应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★售后服务要求：1、提供7×24网络接入服务、维护、技术支持；故障响应时限 ：&lt;15 分钟； 2、如出现网络中断，须根据客户需要提供详细的故障处理及分析报告； 3、要求提供服务标准（或内容的）等级条款，明确线路中断及故障的赔偿条款。 4、投标人负责对教育网接入线路进行监测和必要的日常维护。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提供《中小企业声明函》或残疾人福利性单位提供《残疾人福利性单位声明函》或监狱企业提供由省级以上监狱管理局、戒毒管理局（含新疆生产建设兵团）出具的属于监狱企业的证明文件。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具有《基础电信业务经营许可证》或《增值电信业务经营许可证》</w:t>
            </w:r>
          </w:p>
        </w:tc>
        <w:tc>
          <w:tcPr>
            <w:tcW w:type="dxa" w:w="3322"/>
          </w:tcPr>
          <w:p>
            <w:pPr>
              <w:pStyle w:val="null3"/>
              <w:jc w:val="left"/>
            </w:pPr>
            <w:r>
              <w:rPr>
                <w:rFonts w:ascii="仿宋_GB2312" w:hAnsi="仿宋_GB2312" w:cs="仿宋_GB2312" w:eastAsia="仿宋_GB2312"/>
              </w:rPr>
              <w:t>提供《基础电信业务经营许可证》或《增值电信业务经营许可证》扫描件并加盖鲜章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