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9D77B">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jc w:val="center"/>
        <w:textAlignment w:val="baseline"/>
        <w:outlineLvl w:val="0"/>
        <w:rPr>
          <w:rFonts w:hint="eastAsia" w:ascii="仿宋" w:hAnsi="仿宋" w:eastAsia="仿宋" w:cs="仿宋"/>
          <w:b/>
          <w:bCs/>
          <w:color w:val="auto"/>
          <w:sz w:val="32"/>
          <w:szCs w:val="32"/>
          <w:lang w:val="en-US" w:eastAsia="zh-CN"/>
        </w:rPr>
      </w:pPr>
      <w:bookmarkStart w:id="0" w:name="_Toc25833"/>
      <w:bookmarkStart w:id="1" w:name="_Toc13536"/>
      <w:bookmarkStart w:id="2" w:name="_Toc11414"/>
      <w:bookmarkStart w:id="33" w:name="_GoBack"/>
      <w:bookmarkEnd w:id="33"/>
      <w:r>
        <w:rPr>
          <w:rFonts w:hint="eastAsia" w:ascii="仿宋" w:hAnsi="仿宋" w:eastAsia="仿宋" w:cs="仿宋"/>
          <w:b/>
          <w:bCs/>
          <w:color w:val="auto"/>
          <w:sz w:val="32"/>
          <w:szCs w:val="32"/>
          <w:lang w:val="en-US" w:eastAsia="zh-CN"/>
        </w:rPr>
        <w:t>采购需求</w:t>
      </w:r>
      <w:bookmarkEnd w:id="0"/>
      <w:bookmarkEnd w:id="1"/>
      <w:bookmarkEnd w:id="2"/>
    </w:p>
    <w:p w14:paraId="1C9D3B6E">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仿宋" w:hAnsi="仿宋" w:eastAsia="仿宋" w:cs="仿宋"/>
          <w:b/>
          <w:bCs/>
          <w:color w:val="auto"/>
          <w:sz w:val="28"/>
          <w:szCs w:val="28"/>
          <w:lang w:val="en-US" w:eastAsia="zh-CN"/>
        </w:rPr>
      </w:pPr>
      <w:bookmarkStart w:id="3" w:name="_Toc27639"/>
      <w:bookmarkStart w:id="4" w:name="_Toc1314"/>
      <w:bookmarkStart w:id="5" w:name="_Toc30989"/>
      <w:r>
        <w:rPr>
          <w:rFonts w:hint="eastAsia" w:ascii="仿宋" w:hAnsi="仿宋" w:eastAsia="仿宋" w:cs="仿宋"/>
          <w:b/>
          <w:bCs/>
          <w:color w:val="auto"/>
          <w:sz w:val="28"/>
          <w:szCs w:val="28"/>
          <w:lang w:val="en-US" w:eastAsia="zh-CN"/>
        </w:rPr>
        <w:t>一.项目概况</w:t>
      </w:r>
      <w:bookmarkEnd w:id="3"/>
      <w:bookmarkEnd w:id="4"/>
      <w:bookmarkEnd w:id="5"/>
    </w:p>
    <w:p w14:paraId="6F5C6E4E">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次采购内容为镇江经济技术开发区消防救援大队营区路面及停车场改造升级项目。本项目所有用材均需符合相关行业及国家最新技术规范和环保标准。各供应商应认真研读本采购文件中的采购需求，并进行相应的现场勘测工作，在充分了解本项目采购范围后结合自身实际情况进行相应文件的制作和报价。技术方案必须符合规范要求，有详细的安全管理措施和应急预案，保证有合理的进度计划，资源准备充裕以做好赶工措施准备，对施工难点、重点要有专项施工方案等。</w:t>
      </w:r>
    </w:p>
    <w:p w14:paraId="5969C414">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default" w:ascii="仿宋" w:hAnsi="仿宋" w:eastAsia="仿宋" w:cs="仿宋"/>
          <w:color w:val="auto"/>
          <w:sz w:val="21"/>
          <w:szCs w:val="21"/>
          <w:lang w:val="en-US" w:eastAsia="zh-CN"/>
        </w:rPr>
      </w:pPr>
      <w:r>
        <w:rPr>
          <w:rFonts w:hint="eastAsia" w:ascii="仿宋" w:hAnsi="仿宋" w:eastAsia="仿宋" w:cs="仿宋"/>
          <w:color w:val="auto"/>
          <w:sz w:val="24"/>
          <w:szCs w:val="24"/>
          <w:lang w:val="en-US" w:eastAsia="zh-CN"/>
        </w:rPr>
        <w:t>本项目主要内容包含：</w:t>
      </w:r>
      <w:r>
        <w:rPr>
          <w:rFonts w:hint="eastAsia" w:ascii="仿宋" w:hAnsi="仿宋" w:eastAsia="仿宋" w:cs="仿宋"/>
          <w:color w:val="auto"/>
          <w:sz w:val="21"/>
          <w:szCs w:val="21"/>
          <w:lang w:val="en-US" w:eastAsia="zh-CN"/>
        </w:rPr>
        <w:t>（1）路面改造，包含路面基层处理、新增混凝土路面、新增沥青路面、排水沟、消防栓移位、划线等。（2）车棚工程，包含车棚混凝土基础、车棚钢结构主体、车棚膜结构等。（3）车棚光伏，包含光伏组件、光伏逆变器、电力电缆、接地母线等。</w:t>
      </w:r>
    </w:p>
    <w:p w14:paraId="105EE4B2">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outlineLvl w:val="2"/>
        <w:rPr>
          <w:rFonts w:hint="eastAsia" w:ascii="仿宋" w:hAnsi="仿宋" w:eastAsia="仿宋" w:cs="仿宋"/>
          <w:color w:val="auto"/>
          <w:sz w:val="24"/>
          <w:szCs w:val="24"/>
          <w:lang w:val="en-US" w:eastAsia="zh-CN"/>
        </w:rPr>
      </w:pPr>
      <w:bookmarkStart w:id="6" w:name="_Toc7762"/>
      <w:bookmarkStart w:id="7" w:name="_Toc19057"/>
      <w:bookmarkStart w:id="8" w:name="_Toc24684"/>
      <w:r>
        <w:rPr>
          <w:rFonts w:hint="eastAsia" w:ascii="仿宋" w:hAnsi="仿宋" w:eastAsia="仿宋" w:cs="仿宋"/>
          <w:color w:val="auto"/>
          <w:sz w:val="24"/>
          <w:szCs w:val="24"/>
          <w:lang w:val="en-US" w:eastAsia="zh-CN"/>
        </w:rPr>
        <w:t>项目所属行业：建筑业</w:t>
      </w:r>
      <w:bookmarkEnd w:id="6"/>
      <w:bookmarkEnd w:id="7"/>
      <w:bookmarkEnd w:id="8"/>
    </w:p>
    <w:p w14:paraId="0A887446">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仿宋" w:hAnsi="仿宋" w:eastAsia="仿宋" w:cs="仿宋"/>
          <w:b/>
          <w:bCs/>
          <w:color w:val="auto"/>
          <w:sz w:val="28"/>
          <w:szCs w:val="28"/>
          <w:lang w:val="en-US" w:eastAsia="zh-CN"/>
        </w:rPr>
      </w:pPr>
      <w:bookmarkStart w:id="9" w:name="_Toc27275"/>
      <w:bookmarkStart w:id="10" w:name="_Toc2529"/>
      <w:bookmarkStart w:id="11" w:name="_Toc19936"/>
      <w:r>
        <w:rPr>
          <w:rFonts w:hint="eastAsia" w:ascii="仿宋" w:hAnsi="仿宋" w:eastAsia="仿宋" w:cs="仿宋"/>
          <w:b/>
          <w:bCs/>
          <w:color w:val="auto"/>
          <w:sz w:val="28"/>
          <w:szCs w:val="28"/>
          <w:lang w:val="en-US" w:eastAsia="zh-CN"/>
        </w:rPr>
        <w:t>二.采购标的汇总表</w:t>
      </w:r>
      <w:bookmarkEnd w:id="9"/>
      <w:bookmarkEnd w:id="10"/>
      <w:bookmarkEnd w:id="11"/>
    </w:p>
    <w:p w14:paraId="61BA28F4">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采购标的：工程类标的</w:t>
      </w:r>
    </w:p>
    <w:tbl>
      <w:tblPr>
        <w:tblStyle w:val="6"/>
        <w:tblW w:w="5013" w:type="pct"/>
        <w:tblInd w:w="0"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autofit"/>
        <w:tblCellMar>
          <w:top w:w="0" w:type="dxa"/>
          <w:left w:w="0" w:type="dxa"/>
          <w:bottom w:w="0" w:type="dxa"/>
          <w:right w:w="0" w:type="dxa"/>
        </w:tblCellMar>
      </w:tblPr>
      <w:tblGrid>
        <w:gridCol w:w="669"/>
        <w:gridCol w:w="1669"/>
        <w:gridCol w:w="1003"/>
        <w:gridCol w:w="664"/>
        <w:gridCol w:w="3494"/>
        <w:gridCol w:w="842"/>
      </w:tblGrid>
      <w:tr w14:paraId="1BCDF0AC">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962" w:hRule="atLeast"/>
        </w:trPr>
        <w:tc>
          <w:tcPr>
            <w:tcW w:w="401" w:type="pct"/>
            <w:tcBorders>
              <w:top w:val="single" w:color="000000" w:sz="2" w:space="0"/>
              <w:left w:val="single" w:color="000000" w:sz="4" w:space="0"/>
              <w:bottom w:val="single" w:color="000000" w:sz="2" w:space="0"/>
              <w:right w:val="single" w:color="000000" w:sz="6" w:space="0"/>
            </w:tcBorders>
            <w:vAlign w:val="center"/>
          </w:tcPr>
          <w:p w14:paraId="56D669B4">
            <w:pPr>
              <w:keepNext w:val="0"/>
              <w:keepLines w:val="0"/>
              <w:pageBreakBefore w:val="0"/>
              <w:kinsoku w:val="0"/>
              <w:wordWrap/>
              <w:overflowPunct/>
              <w:topLinePunct w:val="0"/>
              <w:autoSpaceDE w:val="0"/>
              <w:autoSpaceDN w:val="0"/>
              <w:bidi w:val="0"/>
              <w:adjustRightInd w:val="0"/>
              <w:snapToGrid w:val="0"/>
              <w:spacing w:before="78" w:line="360" w:lineRule="auto"/>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14:textOutline w14:w="4354" w14:cap="flat" w14:cmpd="sng">
                  <w14:solidFill>
                    <w14:srgbClr w14:val="000000"/>
                  </w14:solidFill>
                  <w14:prstDash w14:val="solid"/>
                  <w14:miter w14:val="0"/>
                </w14:textOutline>
              </w:rPr>
              <w:t>序</w:t>
            </w:r>
            <w:r>
              <w:rPr>
                <w:rFonts w:hint="eastAsia" w:ascii="仿宋" w:hAnsi="仿宋" w:eastAsia="仿宋" w:cs="仿宋"/>
                <w:color w:val="auto"/>
                <w:spacing w:val="3"/>
                <w:sz w:val="24"/>
                <w:szCs w:val="24"/>
                <w14:textOutline w14:w="4354" w14:cap="flat" w14:cmpd="sng">
                  <w14:solidFill>
                    <w14:srgbClr w14:val="000000"/>
                  </w14:solidFill>
                  <w14:prstDash w14:val="solid"/>
                  <w14:miter w14:val="0"/>
                </w14:textOutline>
              </w:rPr>
              <w:t>号</w:t>
            </w:r>
          </w:p>
        </w:tc>
        <w:tc>
          <w:tcPr>
            <w:tcW w:w="1000" w:type="pct"/>
            <w:tcBorders>
              <w:left w:val="single" w:color="808080" w:sz="6" w:space="0"/>
              <w:right w:val="single" w:color="808080" w:sz="6" w:space="0"/>
            </w:tcBorders>
            <w:vAlign w:val="center"/>
          </w:tcPr>
          <w:p w14:paraId="3A59D9C8">
            <w:pPr>
              <w:keepNext w:val="0"/>
              <w:keepLines w:val="0"/>
              <w:pageBreakBefore w:val="0"/>
              <w:kinsoku w:val="0"/>
              <w:wordWrap/>
              <w:overflowPunct/>
              <w:topLinePunct w:val="0"/>
              <w:autoSpaceDE w:val="0"/>
              <w:autoSpaceDN w:val="0"/>
              <w:bidi w:val="0"/>
              <w:adjustRightInd w:val="0"/>
              <w:snapToGrid w:val="0"/>
              <w:spacing w:before="78" w:line="360" w:lineRule="auto"/>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14:textOutline w14:w="4354" w14:cap="flat" w14:cmpd="sng">
                  <w14:solidFill>
                    <w14:srgbClr w14:val="000000"/>
                  </w14:solidFill>
                  <w14:prstDash w14:val="solid"/>
                  <w14:miter w14:val="0"/>
                </w14:textOutline>
              </w:rPr>
              <w:t>标的名称</w:t>
            </w:r>
          </w:p>
        </w:tc>
        <w:tc>
          <w:tcPr>
            <w:tcW w:w="601" w:type="pct"/>
            <w:tcBorders>
              <w:left w:val="single" w:color="808080" w:sz="6" w:space="0"/>
              <w:right w:val="single" w:color="808080" w:sz="6" w:space="0"/>
            </w:tcBorders>
            <w:vAlign w:val="center"/>
          </w:tcPr>
          <w:p w14:paraId="7F8EEA17">
            <w:pPr>
              <w:keepNext w:val="0"/>
              <w:keepLines w:val="0"/>
              <w:pageBreakBefore w:val="0"/>
              <w:kinsoku w:val="0"/>
              <w:wordWrap/>
              <w:overflowPunct/>
              <w:topLinePunct w:val="0"/>
              <w:autoSpaceDE w:val="0"/>
              <w:autoSpaceDN w:val="0"/>
              <w:bidi w:val="0"/>
              <w:adjustRightInd w:val="0"/>
              <w:snapToGrid w:val="0"/>
              <w:spacing w:before="134" w:line="360" w:lineRule="auto"/>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7"/>
                <w:position w:val="18"/>
                <w:sz w:val="24"/>
                <w:szCs w:val="24"/>
                <w14:textOutline w14:w="4354" w14:cap="flat" w14:cmpd="sng">
                  <w14:solidFill>
                    <w14:srgbClr w14:val="000000"/>
                  </w14:solidFill>
                  <w14:prstDash w14:val="solid"/>
                  <w14:miter w14:val="0"/>
                </w14:textOutline>
              </w:rPr>
              <w:t>计量单</w:t>
            </w:r>
            <w:r>
              <w:rPr>
                <w:rFonts w:hint="eastAsia" w:ascii="仿宋" w:hAnsi="仿宋" w:eastAsia="仿宋" w:cs="仿宋"/>
                <w:color w:val="auto"/>
                <w:sz w:val="24"/>
                <w:szCs w:val="24"/>
                <w14:textOutline w14:w="4354" w14:cap="flat" w14:cmpd="sng">
                  <w14:solidFill>
                    <w14:srgbClr w14:val="000000"/>
                  </w14:solidFill>
                  <w14:prstDash w14:val="solid"/>
                  <w14:miter w14:val="0"/>
                </w14:textOutline>
              </w:rPr>
              <w:t>位</w:t>
            </w:r>
          </w:p>
        </w:tc>
        <w:tc>
          <w:tcPr>
            <w:tcW w:w="398" w:type="pct"/>
            <w:tcBorders>
              <w:left w:val="single" w:color="808080" w:sz="6" w:space="0"/>
              <w:right w:val="single" w:color="808080" w:sz="6" w:space="0"/>
            </w:tcBorders>
            <w:vAlign w:val="center"/>
          </w:tcPr>
          <w:p w14:paraId="21232D9E">
            <w:pPr>
              <w:keepNext w:val="0"/>
              <w:keepLines w:val="0"/>
              <w:pageBreakBefore w:val="0"/>
              <w:kinsoku w:val="0"/>
              <w:wordWrap/>
              <w:overflowPunct/>
              <w:topLinePunct w:val="0"/>
              <w:autoSpaceDE w:val="0"/>
              <w:autoSpaceDN w:val="0"/>
              <w:bidi w:val="0"/>
              <w:adjustRightInd w:val="0"/>
              <w:snapToGrid w:val="0"/>
              <w:spacing w:before="78" w:line="360" w:lineRule="auto"/>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14:textOutline w14:w="4354" w14:cap="flat" w14:cmpd="sng">
                  <w14:solidFill>
                    <w14:srgbClr w14:val="000000"/>
                  </w14:solidFill>
                  <w14:prstDash w14:val="solid"/>
                  <w14:miter w14:val="0"/>
                </w14:textOutline>
              </w:rPr>
              <w:t>数量</w:t>
            </w:r>
          </w:p>
        </w:tc>
        <w:tc>
          <w:tcPr>
            <w:tcW w:w="2094" w:type="pct"/>
            <w:tcBorders>
              <w:left w:val="single" w:color="808080" w:sz="6" w:space="0"/>
              <w:right w:val="single" w:color="808080" w:sz="6" w:space="0"/>
            </w:tcBorders>
            <w:vAlign w:val="center"/>
          </w:tcPr>
          <w:p w14:paraId="6AD82263">
            <w:pPr>
              <w:keepNext w:val="0"/>
              <w:keepLines w:val="0"/>
              <w:pageBreakBefore w:val="0"/>
              <w:kinsoku w:val="0"/>
              <w:wordWrap/>
              <w:overflowPunct/>
              <w:topLinePunct w:val="0"/>
              <w:autoSpaceDE w:val="0"/>
              <w:autoSpaceDN w:val="0"/>
              <w:bidi w:val="0"/>
              <w:adjustRightInd w:val="0"/>
              <w:snapToGrid w:val="0"/>
              <w:spacing w:before="78" w:line="360" w:lineRule="auto"/>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13"/>
                <w:sz w:val="24"/>
                <w:szCs w:val="24"/>
                <w:lang w:val="en-US" w:eastAsia="zh-CN"/>
                <w14:textOutline w14:w="4354" w14:cap="flat" w14:cmpd="sng">
                  <w14:solidFill>
                    <w14:srgbClr w14:val="000000"/>
                  </w14:solidFill>
                  <w14:prstDash w14:val="solid"/>
                  <w14:miter w14:val="0"/>
                </w14:textOutline>
              </w:rPr>
              <w:t>项目</w:t>
            </w:r>
            <w:r>
              <w:rPr>
                <w:rFonts w:hint="eastAsia" w:ascii="仿宋" w:hAnsi="仿宋" w:eastAsia="仿宋" w:cs="仿宋"/>
                <w:color w:val="auto"/>
                <w:spacing w:val="11"/>
                <w:sz w:val="24"/>
                <w:szCs w:val="24"/>
                <w14:textOutline w14:w="4354" w14:cap="flat" w14:cmpd="sng">
                  <w14:solidFill>
                    <w14:srgbClr w14:val="000000"/>
                  </w14:solidFill>
                  <w14:prstDash w14:val="solid"/>
                  <w14:miter w14:val="0"/>
                </w14:textOutline>
              </w:rPr>
              <w:t>要求简述</w:t>
            </w:r>
          </w:p>
        </w:tc>
        <w:tc>
          <w:tcPr>
            <w:tcW w:w="504" w:type="pct"/>
            <w:tcBorders>
              <w:left w:val="single" w:color="808080" w:sz="6" w:space="0"/>
              <w:right w:val="single" w:color="808080" w:sz="6" w:space="0"/>
            </w:tcBorders>
            <w:vAlign w:val="center"/>
          </w:tcPr>
          <w:p w14:paraId="0EC72061">
            <w:pPr>
              <w:keepNext w:val="0"/>
              <w:keepLines w:val="0"/>
              <w:pageBreakBefore w:val="0"/>
              <w:kinsoku w:val="0"/>
              <w:wordWrap/>
              <w:overflowPunct/>
              <w:topLinePunct w:val="0"/>
              <w:autoSpaceDE w:val="0"/>
              <w:autoSpaceDN w:val="0"/>
              <w:bidi w:val="0"/>
              <w:adjustRightInd w:val="0"/>
              <w:snapToGrid w:val="0"/>
              <w:spacing w:before="78" w:line="360" w:lineRule="auto"/>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14:textOutline w14:w="4354" w14:cap="flat" w14:cmpd="sng">
                  <w14:solidFill>
                    <w14:srgbClr w14:val="000000"/>
                  </w14:solidFill>
                  <w14:prstDash w14:val="solid"/>
                  <w14:miter w14:val="0"/>
                </w14:textOutline>
              </w:rPr>
              <w:t>备</w:t>
            </w:r>
            <w:r>
              <w:rPr>
                <w:rFonts w:hint="eastAsia" w:ascii="仿宋" w:hAnsi="仿宋" w:eastAsia="仿宋" w:cs="仿宋"/>
                <w:color w:val="auto"/>
                <w:spacing w:val="1"/>
                <w:sz w:val="24"/>
                <w:szCs w:val="24"/>
                <w14:textOutline w14:w="4354" w14:cap="flat" w14:cmpd="sng">
                  <w14:solidFill>
                    <w14:srgbClr w14:val="000000"/>
                  </w14:solidFill>
                  <w14:prstDash w14:val="solid"/>
                  <w14:miter w14:val="0"/>
                </w14:textOutline>
              </w:rPr>
              <w:t>注</w:t>
            </w:r>
          </w:p>
        </w:tc>
      </w:tr>
      <w:tr w14:paraId="56C73C02">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1425" w:hRule="atLeast"/>
        </w:trPr>
        <w:tc>
          <w:tcPr>
            <w:tcW w:w="401" w:type="pct"/>
            <w:tcBorders>
              <w:left w:val="single" w:color="808080" w:sz="4" w:space="0"/>
              <w:right w:val="single" w:color="808080" w:sz="6" w:space="0"/>
            </w:tcBorders>
            <w:vAlign w:val="center"/>
          </w:tcPr>
          <w:p w14:paraId="248FAF98">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000" w:type="pct"/>
            <w:tcBorders>
              <w:left w:val="single" w:color="808080" w:sz="6" w:space="0"/>
              <w:right w:val="single" w:color="808080" w:sz="6" w:space="0"/>
            </w:tcBorders>
            <w:vAlign w:val="center"/>
          </w:tcPr>
          <w:p w14:paraId="4EC138E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镇江经济技术开发区消防救援大队营区路面及停车场改造升级项目</w:t>
            </w:r>
          </w:p>
        </w:tc>
        <w:tc>
          <w:tcPr>
            <w:tcW w:w="601" w:type="pct"/>
            <w:tcBorders>
              <w:left w:val="single" w:color="808080" w:sz="6" w:space="0"/>
              <w:right w:val="single" w:color="808080" w:sz="6" w:space="0"/>
            </w:tcBorders>
            <w:vAlign w:val="center"/>
          </w:tcPr>
          <w:p w14:paraId="329FC739">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w:t>
            </w:r>
          </w:p>
        </w:tc>
        <w:tc>
          <w:tcPr>
            <w:tcW w:w="398" w:type="pct"/>
            <w:tcBorders>
              <w:left w:val="single" w:color="808080" w:sz="6" w:space="0"/>
              <w:right w:val="single" w:color="808080" w:sz="6" w:space="0"/>
            </w:tcBorders>
            <w:vAlign w:val="center"/>
          </w:tcPr>
          <w:p w14:paraId="3F81497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2094" w:type="pct"/>
            <w:tcBorders>
              <w:left w:val="single" w:color="808080" w:sz="6" w:space="0"/>
              <w:right w:val="single" w:color="808080" w:sz="6" w:space="0"/>
            </w:tcBorders>
            <w:vAlign w:val="center"/>
          </w:tcPr>
          <w:p w14:paraId="45C2D0C1">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完成图纸及</w:t>
            </w:r>
            <w:r>
              <w:rPr>
                <w:rFonts w:hint="eastAsia" w:ascii="仿宋" w:hAnsi="仿宋" w:eastAsia="仿宋" w:cs="仿宋"/>
                <w:color w:val="auto"/>
                <w:sz w:val="24"/>
                <w:szCs w:val="24"/>
              </w:rPr>
              <w:t>工程量清单中的</w:t>
            </w:r>
            <w:r>
              <w:rPr>
                <w:rFonts w:hint="eastAsia" w:ascii="仿宋" w:hAnsi="仿宋" w:eastAsia="仿宋" w:cs="仿宋"/>
                <w:color w:val="auto"/>
                <w:sz w:val="24"/>
                <w:szCs w:val="24"/>
                <w:lang w:val="en-US" w:eastAsia="zh-CN"/>
              </w:rPr>
              <w:t>镇江经济技术开发区消防救援大队营区路面及停车场改造升级项目全部</w:t>
            </w:r>
            <w:r>
              <w:rPr>
                <w:rFonts w:hint="eastAsia" w:ascii="仿宋" w:hAnsi="仿宋" w:eastAsia="仿宋" w:cs="仿宋"/>
                <w:color w:val="auto"/>
                <w:sz w:val="24"/>
                <w:szCs w:val="24"/>
              </w:rPr>
              <w:t>内容</w:t>
            </w:r>
          </w:p>
        </w:tc>
        <w:tc>
          <w:tcPr>
            <w:tcW w:w="504" w:type="pct"/>
            <w:tcBorders>
              <w:left w:val="single" w:color="808080" w:sz="6" w:space="0"/>
              <w:right w:val="single" w:color="808080" w:sz="6" w:space="0"/>
            </w:tcBorders>
            <w:vAlign w:val="center"/>
          </w:tcPr>
          <w:p w14:paraId="67F41316">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z w:val="24"/>
                <w:szCs w:val="24"/>
              </w:rPr>
            </w:pPr>
          </w:p>
        </w:tc>
      </w:tr>
    </w:tbl>
    <w:p w14:paraId="6A5AD668">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仿宋" w:hAnsi="仿宋" w:eastAsia="仿宋" w:cs="仿宋"/>
          <w:color w:val="auto"/>
          <w:sz w:val="24"/>
          <w:szCs w:val="24"/>
          <w:lang w:val="en-US" w:eastAsia="zh-CN"/>
        </w:rPr>
      </w:pPr>
    </w:p>
    <w:p w14:paraId="04F07EB7">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仿宋" w:hAnsi="仿宋" w:eastAsia="仿宋" w:cs="仿宋"/>
          <w:b/>
          <w:bCs/>
          <w:color w:val="auto"/>
          <w:sz w:val="28"/>
          <w:szCs w:val="28"/>
          <w:lang w:val="en-US" w:eastAsia="zh-CN"/>
        </w:rPr>
      </w:pPr>
      <w:bookmarkStart w:id="12" w:name="_Toc14247"/>
      <w:bookmarkStart w:id="13" w:name="_Toc21447"/>
      <w:bookmarkStart w:id="14" w:name="_Toc26859"/>
      <w:r>
        <w:rPr>
          <w:rFonts w:hint="eastAsia" w:ascii="仿宋" w:hAnsi="仿宋" w:eastAsia="仿宋" w:cs="仿宋"/>
          <w:b/>
          <w:bCs/>
          <w:color w:val="auto"/>
          <w:sz w:val="28"/>
          <w:szCs w:val="28"/>
          <w:lang w:val="en-US" w:eastAsia="zh-CN"/>
        </w:rPr>
        <w:t>三.技术要求</w:t>
      </w:r>
      <w:bookmarkEnd w:id="12"/>
      <w:bookmarkEnd w:id="13"/>
      <w:bookmarkEnd w:id="14"/>
    </w:p>
    <w:p w14:paraId="78A5E534">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outlineLvl w:val="2"/>
        <w:rPr>
          <w:rFonts w:hint="eastAsia" w:ascii="仿宋" w:hAnsi="仿宋" w:eastAsia="仿宋" w:cs="仿宋"/>
          <w:color w:val="auto"/>
          <w:sz w:val="24"/>
          <w:szCs w:val="24"/>
          <w:lang w:val="en-US" w:eastAsia="zh-CN"/>
        </w:rPr>
      </w:pPr>
      <w:bookmarkStart w:id="15" w:name="_Toc2828"/>
      <w:bookmarkStart w:id="16" w:name="_Toc18780"/>
      <w:bookmarkStart w:id="17" w:name="_Toc20841"/>
      <w:r>
        <w:rPr>
          <w:rFonts w:hint="eastAsia" w:ascii="仿宋" w:hAnsi="仿宋" w:eastAsia="仿宋" w:cs="仿宋"/>
          <w:color w:val="auto"/>
          <w:sz w:val="24"/>
          <w:szCs w:val="24"/>
          <w:lang w:val="en-US" w:eastAsia="zh-CN"/>
        </w:rPr>
        <w:t>(一)项目清单及主要材料要求</w:t>
      </w:r>
      <w:bookmarkEnd w:id="15"/>
      <w:bookmarkEnd w:id="16"/>
      <w:bookmarkEnd w:id="17"/>
    </w:p>
    <w:p w14:paraId="2FAF00E0">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default" w:ascii="仿宋" w:hAnsi="仿宋" w:eastAsia="仿宋" w:cs="仿宋"/>
          <w:color w:val="auto"/>
          <w:sz w:val="24"/>
          <w:szCs w:val="24"/>
          <w:lang w:val="en-US" w:eastAsia="zh-CN"/>
        </w:rPr>
      </w:pPr>
      <w:bookmarkStart w:id="18" w:name="_Toc14037"/>
      <w:bookmarkStart w:id="19" w:name="_Toc13887"/>
      <w:bookmarkStart w:id="20" w:name="_Toc11785"/>
      <w:r>
        <w:rPr>
          <w:rFonts w:hint="eastAsia" w:ascii="仿宋" w:hAnsi="仿宋" w:eastAsia="仿宋" w:cs="仿宋"/>
          <w:color w:val="auto"/>
          <w:sz w:val="24"/>
          <w:szCs w:val="24"/>
          <w:lang w:val="en-US" w:eastAsia="zh-CN"/>
        </w:rPr>
        <w:t>本项目主要内容包含：（（1）路面改造，包含路面基层处理、新增混凝土路面、新增沥青路面、排水沟、消防栓移位、划线等。（2）车棚工程，包含车棚混凝土基础、车棚钢结构主体、车棚膜结构等。（3）车棚光伏，包含光伏组件、光伏逆变器、电力电缆、接地母线等。</w:t>
      </w:r>
    </w:p>
    <w:p w14:paraId="61170830">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outlineLvl w:val="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详见工程量清单及编制说明</w:t>
      </w:r>
      <w:bookmarkEnd w:id="18"/>
      <w:bookmarkEnd w:id="19"/>
      <w:bookmarkEnd w:id="20"/>
    </w:p>
    <w:p w14:paraId="3B0A6362">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仿宋" w:hAnsi="仿宋" w:eastAsia="仿宋" w:cs="仿宋"/>
          <w:color w:val="auto"/>
          <w:sz w:val="24"/>
          <w:szCs w:val="24"/>
          <w:lang w:val="en-US" w:eastAsia="zh-CN"/>
        </w:rPr>
      </w:pPr>
      <w:bookmarkStart w:id="21" w:name="_Toc8462"/>
      <w:bookmarkStart w:id="22" w:name="_Toc7568"/>
      <w:bookmarkStart w:id="23" w:name="_Toc32211"/>
      <w:r>
        <w:rPr>
          <w:rFonts w:hint="eastAsia" w:ascii="仿宋" w:hAnsi="仿宋" w:eastAsia="仿宋" w:cs="仿宋"/>
          <w:b/>
          <w:bCs/>
          <w:color w:val="auto"/>
          <w:sz w:val="28"/>
          <w:szCs w:val="28"/>
          <w:lang w:val="en-US" w:eastAsia="zh-CN"/>
        </w:rPr>
        <w:t>四.项目注意事项</w:t>
      </w:r>
      <w:bookmarkEnd w:id="21"/>
      <w:bookmarkEnd w:id="22"/>
      <w:bookmarkEnd w:id="23"/>
    </w:p>
    <w:p w14:paraId="127A3168">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报价应以采购文件提供的工程量为基础作明细报价，供应商应认真进行现场勘测并认真核对采购文件提供的工程量清单。磋商响应文件中提供的工程量清单如有缺项、漏项、数量不足或不明确等情况，各供应商应及时提出，否则一切后果由供应商自行承担。</w:t>
      </w:r>
    </w:p>
    <w:p w14:paraId="40CFE0EF">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2.材料进场、垃圾外运时需注意对业主方道路、道板及绿化的保护，如有损坏，乙方应恢复原样，相关维修费由乙方自理。</w:t>
      </w:r>
    </w:p>
    <w:p w14:paraId="07289D40">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3.施工中如遇现场施工与原设计有异或与原设计有冲突，应及时报知采购人及设计方，并由采购人协调解决。</w:t>
      </w:r>
    </w:p>
    <w:p w14:paraId="1EEE9F6E">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outlineLvl w:val="2"/>
        <w:rPr>
          <w:rFonts w:hint="eastAsia" w:ascii="仿宋" w:hAnsi="仿宋" w:eastAsia="仿宋" w:cs="仿宋"/>
          <w:color w:val="auto"/>
          <w:sz w:val="24"/>
          <w:szCs w:val="24"/>
          <w:lang w:val="en-US" w:eastAsia="zh-CN"/>
        </w:rPr>
      </w:pPr>
      <w:bookmarkStart w:id="24" w:name="_Toc22275"/>
      <w:bookmarkStart w:id="25" w:name="_Toc22303"/>
      <w:bookmarkStart w:id="26" w:name="_Toc3008"/>
      <w:r>
        <w:rPr>
          <w:rFonts w:hint="eastAsia" w:ascii="仿宋" w:hAnsi="仿宋" w:eastAsia="仿宋" w:cs="仿宋"/>
          <w:color w:val="auto"/>
          <w:sz w:val="24"/>
          <w:szCs w:val="24"/>
          <w:lang w:val="en-US" w:eastAsia="zh-CN"/>
        </w:rPr>
        <w:t>4.成交单位在施工过程中注意对已完工的成品保护。</w:t>
      </w:r>
      <w:bookmarkEnd w:id="24"/>
      <w:bookmarkEnd w:id="25"/>
      <w:bookmarkEnd w:id="26"/>
    </w:p>
    <w:p w14:paraId="5FE589B5">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5.工程项目中所用所有主材必须征得采购人认可，采购人保留主材采购人供应的权利。</w:t>
      </w:r>
    </w:p>
    <w:p w14:paraId="00A267EF">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仿宋" w:hAnsi="仿宋" w:eastAsia="仿宋" w:cs="仿宋"/>
          <w:b/>
          <w:bCs/>
          <w:color w:val="auto"/>
          <w:sz w:val="28"/>
          <w:szCs w:val="28"/>
          <w:lang w:val="en-US" w:eastAsia="zh-CN"/>
        </w:rPr>
      </w:pPr>
      <w:bookmarkStart w:id="27" w:name="_Toc12192"/>
      <w:bookmarkStart w:id="28" w:name="_Toc9495"/>
      <w:bookmarkStart w:id="29" w:name="_Toc22879"/>
      <w:r>
        <w:rPr>
          <w:rFonts w:hint="eastAsia" w:ascii="仿宋" w:hAnsi="仿宋" w:eastAsia="仿宋" w:cs="仿宋"/>
          <w:b/>
          <w:bCs/>
          <w:color w:val="auto"/>
          <w:sz w:val="28"/>
          <w:szCs w:val="28"/>
          <w:lang w:val="en-US" w:eastAsia="zh-CN"/>
        </w:rPr>
        <w:t>五.工期要求</w:t>
      </w:r>
      <w:bookmarkEnd w:id="27"/>
      <w:bookmarkEnd w:id="28"/>
      <w:bookmarkEnd w:id="29"/>
    </w:p>
    <w:p w14:paraId="4025D5AA">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本工程工期60日历天。</w:t>
      </w:r>
    </w:p>
    <w:p w14:paraId="1DEB7B63">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outlineLvl w:val="1"/>
        <w:rPr>
          <w:rFonts w:hint="eastAsia" w:ascii="仿宋" w:hAnsi="仿宋" w:eastAsia="仿宋" w:cs="仿宋"/>
          <w:color w:val="auto"/>
          <w:sz w:val="24"/>
          <w:szCs w:val="24"/>
          <w:lang w:val="en-US" w:eastAsia="zh-CN"/>
        </w:rPr>
      </w:pPr>
      <w:bookmarkStart w:id="30" w:name="_Toc3955"/>
      <w:bookmarkStart w:id="31" w:name="_Toc27460"/>
      <w:bookmarkStart w:id="32" w:name="_Toc7871"/>
      <w:r>
        <w:rPr>
          <w:rFonts w:hint="eastAsia" w:ascii="仿宋" w:hAnsi="仿宋" w:eastAsia="仿宋" w:cs="仿宋"/>
          <w:b/>
          <w:bCs/>
          <w:snapToGrid w:val="0"/>
          <w:color w:val="auto"/>
          <w:kern w:val="0"/>
          <w:sz w:val="28"/>
          <w:szCs w:val="28"/>
          <w:lang w:val="en-US" w:eastAsia="zh-CN"/>
        </w:rPr>
        <w:t>六.工程要求</w:t>
      </w:r>
      <w:bookmarkEnd w:id="30"/>
      <w:bookmarkEnd w:id="31"/>
      <w:bookmarkEnd w:id="32"/>
    </w:p>
    <w:p w14:paraId="7B12DA26">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1、从工程验收合格之日起计算，免费质保期间为1年,除人为损坏，其他质量问题24小时内到位维修。</w:t>
      </w:r>
    </w:p>
    <w:p w14:paraId="4E9E8941">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2、在免费质保期内，供应商须对由于工程本身质量原因造成的任何缺损进行免费修补或更换。</w:t>
      </w:r>
    </w:p>
    <w:p w14:paraId="63CD3728">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3、供应商委派(姓名：  )担任本工程项目负责人，供应商必须保证项目负责人亲临现场进行巡视、指导，检查施工进度和质量，施工时项目负责人必须在现场；施工时间内项目施工员(姓名：、、，……)必须全程驻留工地。</w:t>
      </w:r>
    </w:p>
    <w:p w14:paraId="7E9365C1">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4、未经采购人同意不得更换项目管理班子人员，否则每更换一次，采购人将从工程款中扣除违约金5000元；项目班子管理人员月到位率达不到90%的，每人次罚壹仟元。</w:t>
      </w:r>
    </w:p>
    <w:p w14:paraId="544AE6BC">
      <w:r>
        <w:rPr>
          <w:rFonts w:hint="eastAsia" w:ascii="仿宋" w:hAnsi="仿宋" w:eastAsia="仿宋" w:cs="仿宋"/>
          <w:color w:val="auto"/>
          <w:sz w:val="24"/>
          <w:szCs w:val="24"/>
          <w:lang w:val="en-US" w:eastAsia="zh-CN"/>
        </w:rPr>
        <w:t>5、项目完工后必须提供本项目最终的详细图纸及相关全部资料(装订成册)。</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CA102C"/>
    <w:rsid w:val="4ECA1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ascii="楷体_GB2312" w:hAnsi="Arial" w:eastAsia="楷体_GB2312"/>
      <w:sz w:val="28"/>
      <w:szCs w:val="20"/>
    </w:rPr>
  </w:style>
  <w:style w:type="paragraph" w:styleId="3">
    <w:name w:val="Body Text First Indent"/>
    <w:basedOn w:val="2"/>
    <w:qFormat/>
    <w:uiPriority w:val="0"/>
    <w:pPr>
      <w:spacing w:line="360" w:lineRule="auto"/>
      <w:ind w:firstLine="200" w:firstLineChars="200"/>
    </w:pPr>
    <w:rPr>
      <w:rFonts w:ascii="仿宋_GB2312" w:eastAsia="仿宋_GB2312"/>
      <w:sz w:val="30"/>
      <w:szCs w:val="30"/>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2026-09-10T07:19:00Z</dcterms:created>
  <dc:creator>王灏</dc:creator>
  <cp:lastModifiedBy>王灏</cp:lastModifiedBy>
  <dcterms:modified xsi:type="dcterms:W3CDTF">2026-09-10T07:19:19Z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9BB0052B533F465CA01D5C014C6DDB59_11</vt:lpwstr>
  </property>
  <property fmtid="{D5CDD505-2E9C-101B-9397-08002B2CF9AE}" pid="4" name="KSOTemplateDocerSaveRecord">
    <vt:lpwstr>eyJoZGlkIjoiYmI0ZDBmNzZkMWNhOWQ0ZmRmNWYxOGNjNzJmODFkOWMiLCJ1c2VySWQiOiI0NDE2OTI4MTEifQ==</vt:lpwstr>
  </property>
</Properties>
</file>