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1"/>
          <w:numId w:val="0"/>
        </w:numPr>
        <w:ind w:leftChars="0"/>
        <w:jc w:val="center"/>
        <w:outlineLvl w:val="1"/>
        <w:rPr>
          <w:rFonts w:hint="eastAsia" w:ascii="方正仿宋_GB2312" w:hAnsi="方正仿宋_GB2312" w:eastAsia="方正仿宋_GB2312" w:cs="方正仿宋_GB2312"/>
          <w:color w:val="000000" w:themeColor="text1"/>
          <w:sz w:val="32"/>
          <w:szCs w:val="32"/>
          <w:highlight w:val="none"/>
          <w14:textFill>
            <w14:solidFill>
              <w14:schemeClr w14:val="tx1"/>
            </w14:solidFill>
          </w14:textFill>
        </w:rPr>
      </w:pPr>
      <w:bookmarkStart w:id="1" w:name="_GoBack"/>
      <w:r>
        <w:rPr>
          <w:rFonts w:hint="eastAsia" w:ascii="方正仿宋_GB2312" w:hAnsi="方正仿宋_GB2312" w:eastAsia="方正仿宋_GB2312" w:cs="方正仿宋_GB2312"/>
          <w:color w:val="000000" w:themeColor="text1"/>
          <w:sz w:val="32"/>
          <w:szCs w:val="32"/>
          <w:highlight w:val="none"/>
          <w:lang w:val="en-US" w:eastAsia="zh-CN"/>
          <w14:textFill>
            <w14:solidFill>
              <w14:schemeClr w14:val="tx1"/>
            </w14:solidFill>
          </w14:textFill>
        </w:rPr>
        <w:t>附件5：包5</w:t>
      </w:r>
      <w:r>
        <w:rPr>
          <w:rFonts w:hint="eastAsia" w:ascii="方正仿宋_GB2312" w:hAnsi="方正仿宋_GB2312" w:eastAsia="方正仿宋_GB2312" w:cs="方正仿宋_GB2312"/>
          <w:color w:val="000000" w:themeColor="text1"/>
          <w:sz w:val="32"/>
          <w:szCs w:val="32"/>
          <w:highlight w:val="none"/>
          <w:lang w:eastAsia="zh-CN"/>
          <w14:textFill>
            <w14:solidFill>
              <w14:schemeClr w14:val="tx1"/>
            </w14:solidFill>
          </w14:textFill>
        </w:rPr>
        <w:t>采购需求</w:t>
      </w:r>
    </w:p>
    <w:bookmarkEnd w:id="1"/>
    <w:p>
      <w:pPr>
        <w:pStyle w:val="3"/>
        <w:numPr>
          <w:ilvl w:val="1"/>
          <w:numId w:val="0"/>
        </w:numPr>
        <w:ind w:leftChars="0"/>
        <w:jc w:val="cente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pPr>
      <w:bookmarkStart w:id="0" w:name="_Toc28131"/>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5</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-商用密码应用安全性评估服务</w:t>
      </w:r>
      <w:bookmarkEnd w:id="0"/>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技术要求</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项目概况</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项目名称：海南省三甲医院信息化能力提升项目。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采购人：海南省卫生健康委员会统计信息中心。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采购内容：商用密码应用安全性评估服务（包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5</w:t>
      </w:r>
      <w:r>
        <w:rPr>
          <w:rFonts w:hint="eastAsia" w:ascii="方正仿宋_GB2312" w:hAnsi="方正仿宋_GB2312" w:eastAsia="方正仿宋_GB2312" w:cs="方正仿宋_GB2312"/>
          <w:color w:val="000000" w:themeColor="text1"/>
          <w:highlight w:val="none"/>
          <w14:textFill>
            <w14:solidFill>
              <w14:schemeClr w14:val="tx1"/>
            </w14:solidFill>
          </w14:textFill>
        </w:rPr>
        <w:t>）。</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预算金额（最高限价）：本项目总预算1248000.00元。</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 </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技术要求</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依</w:t>
      </w:r>
      <w:r>
        <w:rPr>
          <w:rFonts w:hint="eastAsia" w:ascii="方正仿宋_GB2312" w:hAnsi="方正仿宋_GB2312" w:eastAsia="方正仿宋_GB2312" w:cs="方正仿宋_GB2312"/>
          <w:color w:val="000000" w:themeColor="text1"/>
          <w:highlight w:val="none"/>
          <w14:textFill>
            <w14:solidFill>
              <w14:schemeClr w14:val="tx1"/>
            </w14:solidFill>
          </w14:textFill>
        </w:rPr>
        <w:t>据《信息系统密码应用基本要求》《信息系统密码测评要求》《商用密码应用安全性评估测评过程指南》《商用密码应用安全性评估量化评估规则》和信息系统自身安全需求分析，对重要信息系统进行密码应用安全性评估测评，测评内容包括但不限于以下内容：</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项目目标</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根据《中华人民共和国密码法》《商用密码管理条例》《商用密码应用安全性评估管理办法》以及国家关于重要领域密码应用的有关要求，通过对</w:t>
      </w:r>
      <w:r>
        <w:rPr>
          <w:rFonts w:hint="eastAsia" w:ascii="方正仿宋_GB2312" w:hAnsi="方正仿宋_GB2312" w:eastAsia="方正仿宋_GB2312" w:cs="方正仿宋_GB2312"/>
          <w:bCs/>
          <w:color w:val="000000" w:themeColor="text1"/>
          <w:highlight w:val="none"/>
          <w:lang w:bidi="ar"/>
          <w14:textFill>
            <w14:solidFill>
              <w14:schemeClr w14:val="tx1"/>
            </w14:solidFill>
          </w14:textFill>
        </w:rPr>
        <w:t>11个三级系统：电子病历、智慧管理、智慧服务、医院信息平台、医院数据标准及数据质控管理系统、医院高质量发展监测评价系统、临床专科质控中心管理系统、医院患者主索引服务和多码协同应用、区域影像共享中心、医院影像辅助诊断系统、医院临床科研系统</w:t>
      </w: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在通用要求、商用密码应用技术要求、商用密码应用管理要求方面的评估，对系统商用密码应用的合规性、正确性、有效性作出判断，给出系统在商用密码技术应用、密钥管理及安全管理方面与其相应安全等级信息系统商用密码应用基本要求之间的差距，最终出具被评估系统的商用密码应用安全性评估报告。</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1.2.2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项目对象</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23"/>
        <w:gridCol w:w="5330"/>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序号</w:t>
            </w:r>
          </w:p>
        </w:tc>
        <w:tc>
          <w:tcPr>
            <w:tcW w:w="1223"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评估对象</w:t>
            </w:r>
          </w:p>
        </w:tc>
        <w:tc>
          <w:tcPr>
            <w:tcW w:w="5330"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部署位置</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lang w:val="en-US" w:eastAsia="zh-CN"/>
                <w14:textFill>
                  <w14:solidFill>
                    <w14:schemeClr w14:val="tx1"/>
                  </w14:solidFill>
                </w14:textFill>
                <w14:ligatures w14:val="none"/>
              </w:rPr>
              <w:t>密评</w:t>
            </w: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电子病历</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智慧管理</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智慧服务</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医院数据标准及数据质控管理系统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医院高质量发展监测评价系统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7</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8</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9</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海南省电子政务云、海南医科大学第一附属医院、海南医科大学第二附属医院、海南省老年病医院、海南省妇女儿童医学中心、海南省安宁医院及三医云HIS</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10</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医院影像辅助诊断系统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11</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医院临床科研系统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1.2.3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服务内容</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依据《信息安全技术信息系统密码应用基本要求》（GB/T39786-2021）、《信息安全技术信息系统密码应用测评要求》（GB/T 43206-2023）、《信息系统密码应用测评过程指南》（GM/T 0116-2021）和信息系统自身安全需求分析，对重要信息系统进行商用密码应用安全性评估测评，测评内容包括但不限于以下内容：</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（1）通用测评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核查信息系统中使用的密码算法、密码技术、密码产品和密码服务是否满足国家密码管理的相关标准规范要求。</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（2）密码应用技术测评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包括物理和环境安全测评、网络和通信安全测评、设备和计算安全测评、应用和数据安全测评，验证信息系统的密码应用是否达到相应安全等级的安全保护能力、是否满足相应安全等级的保护要求。</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1）物理和环境安全测评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针对“身份鉴别”“电子门禁记录数据存储完整性”“视频监控记录数据存储完整性”等物理和环境安全层面采取的密码保障措施进行各项测评，完成单项及单元测评结果判定。</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2）网络和通信安全测评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针对“身份鉴别”“通信数据完整性”“通信过程中重要数据的机密性”“网络边界访问控制信息的完整性”“安全接入认证”等网络和通信安全层面采取的密码保障措施进行各项测评，完成单项及单元测评结果判定。</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3）设备和计算安全测评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针对“身份鉴别”“远程管理通道安全”“系统资源访问控制信息完整性”“重要信息资源安全标记完整性”“日志记录完整性”“重要可执行程序完整性、重要可执行程序来源真实性”等设备和计算安全层面采取的密码保障措施进行各项测评，完成单项及单元测评结果判定。</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4）应用和数据安全测评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针对“身份鉴别”“访问控制信息完整性”“重要信息资源安全标记完整性”“重要数据传输机密性”“重要数据存储机密性”“重要数据传输完整性”“重要数据存储完整性”“不可否认性”等应用和数据安全层面采取的密码保障措施进行各项测评，完成单项及单元测评结果判定。</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（3）密钥管理测评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测评密钥管理各个环节，包括对密钥产生、分发、存储、使用、更新、归档、撤销、备份、恢复、销毁等环节进行管理和策略制定的全过程是否符合要求，完成单项及单元测评结果判定。</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（4）密码应用管理测评</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从管理制度、人员管理、建设运行和应急处置四个层面进行安全管理测评，验证信息系统安全管理机制是否完善，是否能够确保密码技术被合规、正确、有效地实施。</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（5）整体测评与风险评估</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对重要信息系统结构进行整体安全测评，并采用风险分析的方法分析密码应用安全问题可能对信息系统安全造成的影响，提交整体测评与风险评估结果。</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（6）形成商用密码应用安全性评估相关报告</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针对每个被测评重要信息系统编制商用密码应用安全性评估报告，报告应按照国家密码管理局要求编制。报告应对系统重要信息系统密码应用情况进行全面排查，梳理密码应用需求，查找风险漏洞，提出科学合规、具体实用、有针对性的密码应用安全整改方案，规范密码应用，形成商用密码应用安全性测评工作总结报告。</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1.2.4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项目成果</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按照《商用密码应用安全性评估管理办法》《信息安全技术信息系统密码应用基本要求》（GB/T39786-2021）、《信息安全技术信息系统密码应用测评要求》（GB/T 43206-2023）、《信息系统密码应用测评过程指南》（GM/T 0116-2021）等要求，投标人在项目验收前为采购人提供《信息系统商用密码应用安全性评估报告》，并协助采购人将评估结果报海南省密码管理部门成功备案。</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服务要求</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1.3.1 </w:t>
      </w:r>
      <w:r>
        <w:rPr>
          <w:rFonts w:hint="eastAsia" w:ascii="方正仿宋_GB2312" w:hAnsi="方正仿宋_GB2312" w:eastAsia="方正仿宋_GB2312" w:cs="方正仿宋_GB2312"/>
          <w:color w:val="000000" w:themeColor="text1"/>
          <w:highlight w:val="none"/>
          <w14:textFill>
            <w14:solidFill>
              <w14:schemeClr w14:val="tx1"/>
            </w14:solidFill>
          </w14:textFill>
        </w:rPr>
        <w:t>保密要求</w:t>
      </w:r>
    </w:p>
    <w:p>
      <w:pPr>
        <w:widowControl/>
        <w:ind w:firstLine="420" w:firstLineChars="200"/>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投标人(含项目组所有成员)必须对项目技术文件以及由采购人提供的所有内部资料、技术文档、数据和信息予以保密。投标人必须与采购人签订保密协议并严格遵守，未经采购人书面许可，投标人不得以任何形式向第三方透露本项目标书以及本项目的任何内容。</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项目管理要求</w:t>
      </w:r>
    </w:p>
    <w:p>
      <w:pPr>
        <w:widowControl/>
        <w:jc w:val="left"/>
        <w:rPr>
          <w:rFonts w:hint="eastAsia" w:ascii="方正仿宋_GB2312" w:hAnsi="方正仿宋_GB2312" w:eastAsia="方正仿宋_GB2312" w:cs="方正仿宋_GB2312"/>
          <w:color w:val="000000" w:themeColor="text1"/>
          <w:kern w:val="28"/>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（1）投标人项目组所有成员应通过商用密码应用安全性评估能力考试并取得证书，投标人</w:t>
      </w:r>
      <w:r>
        <w:rPr>
          <w:rFonts w:hint="eastAsia" w:ascii="方正仿宋_GB2312" w:hAnsi="方正仿宋_GB2312" w:eastAsia="方正仿宋_GB2312" w:cs="方正仿宋_GB2312"/>
          <w:color w:val="000000" w:themeColor="text1"/>
          <w:kern w:val="28"/>
          <w:highlight w:val="none"/>
          <w:lang w:bidi="ar"/>
          <w14:textFill>
            <w14:solidFill>
              <w14:schemeClr w14:val="tx1"/>
            </w14:solidFill>
          </w14:textFill>
        </w:rPr>
        <w:t>现场实施人员应持证测评，并且必须为投标文件中的人员，若投标人后续签订合同后不按投标文件安排实施人员的，将视为虚假应标。</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2）为保障项目服务响应速度，投标人应提供项目期间现场技术支持服务，对于采购人的技术支持服务请求，应提供现场技术支持人员，并且现场支持的技术人员应通过商用密码应用安全性评估能力考试并取得证书。</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1.3.3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服务保障要求</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（1）投标人完成初次现场测评，待采购人整改完成后需提供</w:t>
      </w:r>
      <w:r>
        <w:rPr>
          <w:rFonts w:hint="eastAsia" w:ascii="方正仿宋_GB2312" w:hAnsi="方正仿宋_GB2312" w:eastAsia="方正仿宋_GB2312" w:cs="方正仿宋_GB2312"/>
          <w:color w:val="000000" w:themeColor="text1"/>
          <w:kern w:val="28"/>
          <w:highlight w:val="none"/>
          <w:lang w:bidi="ar"/>
          <w14:textFill>
            <w14:solidFill>
              <w14:schemeClr w14:val="tx1"/>
            </w14:solidFill>
          </w14:textFill>
        </w:rPr>
        <w:t>现场</w:t>
      </w:r>
      <w:r>
        <w:rPr>
          <w:rFonts w:hint="eastAsia" w:ascii="方正仿宋_GB2312" w:hAnsi="方正仿宋_GB2312" w:eastAsia="方正仿宋_GB2312" w:cs="方正仿宋_GB2312"/>
          <w:color w:val="000000" w:themeColor="text1"/>
          <w:highlight w:val="none"/>
          <w:lang w:bidi="ar"/>
          <w14:textFill>
            <w14:solidFill>
              <w14:schemeClr w14:val="tx1"/>
            </w14:solidFill>
          </w14:textFill>
        </w:rPr>
        <w:t>复测服务，并且复测服务的技术人员应与初次现场测评人员保持一致</w:t>
      </w: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 xml:space="preserve">。 </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 xml:space="preserve">（2）投标人从项目进场之日起 10个工作日内要完成评估系统确定和测评方案编制。 </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（3）投标人需在项目</w:t>
      </w:r>
      <w:r>
        <w:rPr>
          <w:rFonts w:hint="eastAsia" w:ascii="方正仿宋_GB2312" w:hAnsi="方正仿宋_GB2312" w:eastAsia="方正仿宋_GB2312" w:cs="方正仿宋_GB2312"/>
          <w:color w:val="000000" w:themeColor="text1"/>
          <w:kern w:val="28"/>
          <w:highlight w:val="none"/>
          <w:lang w:bidi="ar"/>
          <w14:textFill>
            <w14:solidFill>
              <w14:schemeClr w14:val="tx1"/>
            </w14:solidFill>
          </w14:textFill>
        </w:rPr>
        <w:t>验收</w:t>
      </w: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 xml:space="preserve">之前完成并提交商用密码应用安全性评估报告。 </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 xml:space="preserve">（4）服务期间提供7×24服务响应，技术人员能够在2小时之内到达现场，并且现场支持的技术人员应通过商用密码应用安全性评估能力考试并取得证书。 </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 xml:space="preserve">（5）服务期间提供应急保障工作，针对应急、攻坚克难等事宜提供保障方案，包括高层支撑和响应时间等。 </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6）严守工作秘密。投标人必须与采购人签署保密协议，技术人员须与单位签署《保密承诺书》，对知悉的事项及信息予以保密，所有资料、技术文档妥善保管，不得遗失、转借、复印，不得以任何形式向第三方透露；所有密码应用解决方案和采集汇总后的数据严禁通过互联网等公共信息网络、普通邮政进行传递，严禁在连接互联网计算机上存储、处理。</w:t>
      </w:r>
    </w:p>
    <w:p>
      <w:pPr>
        <w:widowControl/>
        <w:jc w:val="left"/>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pPr>
      <w:r>
        <w:rPr>
          <w:rFonts w:hint="eastAsia" w:ascii="方正仿宋_GB2312" w:hAnsi="方正仿宋_GB2312" w:eastAsia="方正仿宋_GB2312" w:cs="方正仿宋_GB2312"/>
          <w:color w:val="000000" w:themeColor="text1"/>
          <w:kern w:val="0"/>
          <w:highlight w:val="none"/>
          <w:lang w:bidi="ar"/>
          <w14:textFill>
            <w14:solidFill>
              <w14:schemeClr w14:val="tx1"/>
            </w14:solidFill>
          </w14:textFill>
        </w:rPr>
        <w:t>（7）严格遵循操作规程，承担服务工作质量责任。</w:t>
      </w:r>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14:textFill>
            <w14:solidFill>
              <w14:schemeClr w14:val="tx1"/>
            </w14:solidFill>
          </w14:textFill>
        </w:rPr>
        <w:t>商务要求</w:t>
      </w:r>
    </w:p>
    <w:p>
      <w:pPr>
        <w:numPr>
          <w:ilvl w:val="0"/>
          <w:numId w:val="0"/>
        </w:numP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2.1服务期限</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自签订合同至交付成果和报告并且项目通过竣工验收合格为止。</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需在</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采购人</w:t>
      </w:r>
      <w:r>
        <w:rPr>
          <w:rFonts w:hint="eastAsia" w:ascii="方正仿宋_GB2312" w:hAnsi="方正仿宋_GB2312" w:eastAsia="方正仿宋_GB2312" w:cs="方正仿宋_GB2312"/>
          <w:color w:val="000000" w:themeColor="text1"/>
          <w:highlight w:val="none"/>
          <w14:textFill>
            <w14:solidFill>
              <w14:schemeClr w14:val="tx1"/>
            </w14:solidFill>
          </w14:textFill>
        </w:rPr>
        <w:t>下达测评通知书后30天内交付成果和报告。</w:t>
      </w:r>
    </w:p>
    <w:p>
      <w:pPr>
        <w:numPr>
          <w:ilvl w:val="0"/>
          <w:numId w:val="0"/>
        </w:numP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2.2付款方式</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本合同签订后，采购人收到</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开具的正式有效增值税普通发票3个工作日内，向</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支付合同总额的30%作为首付款。</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项目通过</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竣工验收</w:t>
      </w: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，采购人收到</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开具的正式有效增值税普通发票3个工作日内，向</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支付合同总额的70%。</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具体付款方式以签订合同为准。</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凭以下有效文件与采购人结算：（1）合同；（2）</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开具的正式发票；（3）付款申请。</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请款时需提供依法纳税的全额发票，并应理解政府部门付款的相关程序。</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实际支付进度以财政厅下达资金为准。申请付款时，如</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提供的材料不完整、不真实，采购人有权暂缓付款而不视为违约。</w:t>
      </w:r>
    </w:p>
    <w:p>
      <w:pPr>
        <w:pStyle w:val="10"/>
        <w:jc w:val="both"/>
        <w:outlineLvl w:val="9"/>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b w:val="0"/>
          <w:color w:val="000000" w:themeColor="text1"/>
          <w:kern w:val="2"/>
          <w:sz w:val="21"/>
          <w:szCs w:val="21"/>
          <w:highlight w:val="none"/>
          <w:lang w:val="en-US" w:eastAsia="zh-CN" w:bidi="ar-SA"/>
          <w14:textFill>
            <w14:solidFill>
              <w14:schemeClr w14:val="tx1"/>
            </w14:solidFill>
          </w14:textFill>
        </w:rPr>
        <w:t>2.3</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项目组人员要求</w:t>
      </w:r>
    </w:p>
    <w:p>
      <w:pPr>
        <w:ind w:firstLine="420" w:firstLineChars="200"/>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2.3.1</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测评单位须根据项目特点和实际情况，提出项目团队配置方案，包括团队成员、组织架构和分组分工等，满足项目实施建设的需要。</w:t>
      </w:r>
    </w:p>
    <w:p>
      <w:pPr>
        <w:ind w:firstLine="420" w:firstLineChars="200"/>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.3.2</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项目团队成员应不少于1名项目经理、4名项目团队人员，所有人员必须属于</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测评</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单位在册员工（提供社保缴纳证明为认定依据或出具承诺函）</w:t>
      </w:r>
      <w:r>
        <w:rPr>
          <w:rFonts w:hint="eastAsia" w:ascii="方正仿宋_GB2312" w:hAnsi="方正仿宋_GB2312" w:eastAsia="方正仿宋_GB2312" w:cs="方正仿宋_GB2312"/>
          <w:b/>
          <w:bCs/>
          <w:color w:val="000000" w:themeColor="text1"/>
          <w:kern w:val="2"/>
          <w:sz w:val="21"/>
          <w:szCs w:val="24"/>
          <w:highlight w:val="none"/>
          <w:lang w:val="en-US" w:eastAsia="zh-CN" w:bidi="ar-SA"/>
          <w14:textFill>
            <w14:solidFill>
              <w14:schemeClr w14:val="tx1"/>
            </w14:solidFill>
          </w14:textFill>
        </w:rPr>
        <w:t>，并提供相应人员相关简历，简历需包含所学专业、学历等，并提供所学专业及学历的证明材料加盖投标人公章</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。合同签订后根据采购人实际需要派驻相关资历人员驻场开展服务。</w:t>
      </w:r>
    </w:p>
    <w:p>
      <w:pPr>
        <w:ind w:firstLine="420" w:firstLineChars="200"/>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2.3.3</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合同签订后根据采购人实际需要派驻相关资历人员驻场开展服务直至项目验收，驻场地点由采购人指定。如实际提供的项目团队与投标提供的团队名单材料不符，将视为虚假应标。若采购人认为项目经理或团队成员能力与工作所要求的能力不相称而提出更换时，测评单位必须予以更换，人员更换不得影响测评成果交付时间；测评单位单方面更换项目经理或团队成员必须经采购单位书面同意，否则按违约处理直至合同终止。</w:t>
      </w:r>
    </w:p>
    <w:p>
      <w:pPr>
        <w:ind w:firstLine="420" w:firstLineChars="200"/>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2.3.4</w:t>
      </w:r>
      <w:r>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t>项目团队实施中提供7×8小时咨询服务。项目验收后提供1年的跟踪咨询服务，自项目验收通过之日起计算。在实施单位提出服务请求时，项目团队应在30分钟内响应，在24个小时内提供解决方案。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867CBF"/>
    <w:multiLevelType w:val="multilevel"/>
    <w:tmpl w:val="5B867CBF"/>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907900"/>
    <w:rsid w:val="13DA7422"/>
    <w:rsid w:val="4990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left"/>
      <w:outlineLvl w:val="0"/>
    </w:pPr>
    <w:rPr>
      <w:b/>
      <w:bCs/>
      <w:kern w:val="44"/>
      <w:sz w:val="32"/>
      <w:szCs w:val="32"/>
    </w:rPr>
  </w:style>
  <w:style w:type="paragraph" w:styleId="3">
    <w:name w:val="heading 2"/>
    <w:basedOn w:val="1"/>
    <w:next w:val="1"/>
    <w:unhideWhenUsed/>
    <w:qFormat/>
    <w:uiPriority w:val="0"/>
    <w:pPr>
      <w:keepNext/>
      <w:keepLines/>
      <w:numPr>
        <w:ilvl w:val="1"/>
        <w:numId w:val="1"/>
      </w:numPr>
      <w:ind w:left="0" w:firstLine="0" w:firstLineChars="0"/>
      <w:outlineLvl w:val="1"/>
    </w:pPr>
    <w:rPr>
      <w:rFonts w:eastAsia="黑体" w:asciiTheme="majorHAnsi" w:hAnsiTheme="majorHAnsi" w:cstheme="majorBidi"/>
      <w:color w:val="000000" w:themeColor="text1"/>
      <w:sz w:val="32"/>
      <w:szCs w:val="40"/>
      <w14:textFill>
        <w14:solidFill>
          <w14:schemeClr w14:val="tx1"/>
        </w14:solidFill>
      </w14:textFill>
    </w:rPr>
  </w:style>
  <w:style w:type="paragraph" w:styleId="4">
    <w:name w:val="heading 3"/>
    <w:basedOn w:val="1"/>
    <w:next w:val="1"/>
    <w:unhideWhenUsed/>
    <w:qFormat/>
    <w:uiPriority w:val="0"/>
    <w:pPr>
      <w:keepNext/>
      <w:keepLines/>
      <w:numPr>
        <w:ilvl w:val="2"/>
        <w:numId w:val="1"/>
      </w:numPr>
      <w:ind w:firstLine="0" w:firstLineChars="0"/>
      <w:outlineLvl w:val="2"/>
    </w:pPr>
    <w:rPr>
      <w:rFonts w:eastAsia="黑体" w:asciiTheme="majorHAnsi" w:hAnsiTheme="majorHAnsi" w:cstheme="majorBidi"/>
      <w:color w:val="000000" w:themeColor="text1"/>
      <w:sz w:val="30"/>
      <w:szCs w:val="32"/>
      <w14:textFill>
        <w14:solidFill>
          <w14:schemeClr w14:val="tx1"/>
        </w14:solidFill>
      </w14:textFill>
    </w:rPr>
  </w:style>
  <w:style w:type="paragraph" w:styleId="5">
    <w:name w:val="heading 4"/>
    <w:basedOn w:val="1"/>
    <w:next w:val="1"/>
    <w:unhideWhenUsed/>
    <w:qFormat/>
    <w:uiPriority w:val="0"/>
    <w:pPr>
      <w:keepNext/>
      <w:keepLines/>
      <w:numPr>
        <w:ilvl w:val="3"/>
        <w:numId w:val="1"/>
      </w:numPr>
      <w:ind w:firstLine="0" w:firstLineChars="0"/>
      <w:outlineLvl w:val="3"/>
    </w:pPr>
    <w:rPr>
      <w:rFonts w:eastAsia="黑体" w:cstheme="majorBidi"/>
      <w:color w:val="000000" w:themeColor="text1"/>
      <w:sz w:val="24"/>
      <w:szCs w:val="28"/>
      <w14:textFill>
        <w14:solidFill>
          <w14:schemeClr w14:val="tx1"/>
        </w14:solidFill>
      </w14:textFill>
    </w:rPr>
  </w:style>
  <w:style w:type="paragraph" w:styleId="6">
    <w:name w:val="heading 5"/>
    <w:basedOn w:val="1"/>
    <w:next w:val="1"/>
    <w:unhideWhenUsed/>
    <w:qFormat/>
    <w:uiPriority w:val="0"/>
    <w:pPr>
      <w:keepNext/>
      <w:keepLines/>
      <w:numPr>
        <w:ilvl w:val="4"/>
        <w:numId w:val="1"/>
      </w:numPr>
      <w:spacing w:before="80" w:after="40"/>
      <w:ind w:left="0" w:firstLine="0" w:firstLineChars="0"/>
      <w:outlineLvl w:val="4"/>
    </w:pPr>
    <w:rPr>
      <w:rFonts w:cstheme="majorBidi"/>
      <w:sz w:val="24"/>
      <w:szCs w:val="24"/>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customStyle="1" w:styleId="9">
    <w:name w:val="样式1"/>
    <w:basedOn w:val="1"/>
    <w:uiPriority w:val="0"/>
    <w:rPr>
      <w:rFonts w:ascii="Calibri" w:hAnsi="Calibri" w:eastAsia="宋体" w:cs="Times New Roman"/>
      <w:sz w:val="4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2026-06-04T06:37:00Z</dcterms:created>
  <dc:creator>Administrator</dc:creator>
  <cp:lastModifiedBy>Administrator</cp:lastModifiedBy>
  <dcterms:modified xsi:type="dcterms:W3CDTF">2026-06-04T06:37:23Z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