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1"/>
          <w:numId w:val="0"/>
        </w:numPr>
        <w:ind w:leftChars="0"/>
        <w:jc w:val="center"/>
        <w:outlineLvl w:val="1"/>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2" w:name="_GoBack"/>
      <w:r>
        <w:rPr>
          <w:rFonts w:hint="eastAsia" w:ascii="方正仿宋_GB2312" w:hAnsi="方正仿宋_GB2312" w:eastAsia="方正仿宋_GB2312" w:cs="方正仿宋_GB2312"/>
          <w:color w:val="000000" w:themeColor="text1"/>
          <w:kern w:val="2"/>
          <w:sz w:val="32"/>
          <w:szCs w:val="40"/>
          <w:highlight w:val="none"/>
          <w:lang w:val="en-US" w:eastAsia="zh-CN" w:bidi="ar-SA"/>
          <w14:textFill>
            <w14:solidFill>
              <w14:schemeClr w14:val="tx1"/>
            </w14:solidFill>
          </w14:textFill>
        </w:rPr>
        <w:t>附件4：包4采购需求</w:t>
      </w:r>
    </w:p>
    <w:bookmarkEnd w:id="22"/>
    <w:p>
      <w:pPr>
        <w:pStyle w:val="3"/>
        <w:numPr>
          <w:ilvl w:val="1"/>
          <w:numId w:val="0"/>
        </w:numPr>
        <w:ind w:leftChars="0"/>
        <w:jc w:val="cente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pPr>
      <w:bookmarkStart w:id="0" w:name="_Toc24226"/>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4</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-网络安全等级保护测评服务</w:t>
      </w:r>
      <w:bookmarkEnd w:id="0"/>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14:textFill>
            <w14:solidFill>
              <w14:schemeClr w14:val="tx1"/>
            </w14:solidFill>
          </w14:textFill>
        </w:rPr>
        <w:t>技术要求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项目概况</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项目名称：海南省三甲医院信息化能力提升项目。</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采购人：海南省卫生健康委员会统计信息中心。</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采购内容：网络安全等级保护测评服务（</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采购包</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4</w:t>
      </w:r>
      <w:r>
        <w:rPr>
          <w:rFonts w:hint="eastAsia" w:ascii="方正仿宋_GB2312" w:hAnsi="方正仿宋_GB2312" w:eastAsia="方正仿宋_GB2312" w:cs="方正仿宋_GB2312"/>
          <w:color w:val="000000" w:themeColor="text1"/>
          <w:highlight w:val="none"/>
          <w14:textFill>
            <w14:solidFill>
              <w14:schemeClr w14:val="tx1"/>
            </w14:solidFill>
          </w14:textFill>
        </w:rPr>
        <w:t>）。</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预算金额（最高限价）：本项目总预算832000.00元。</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1.2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项目背景</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 w:name="_Toc236817252"/>
      <w:r>
        <w:rPr>
          <w:rFonts w:hint="eastAsia" w:ascii="方正仿宋_GB2312" w:hAnsi="方正仿宋_GB2312" w:eastAsia="方正仿宋_GB2312" w:cs="方正仿宋_GB2312"/>
          <w:color w:val="000000" w:themeColor="text1"/>
          <w:highlight w:val="none"/>
          <w14:textFill>
            <w14:solidFill>
              <w14:schemeClr w14:val="tx1"/>
            </w14:solidFill>
          </w14:textFill>
        </w:rPr>
        <w:t>通过委托专业的网络安全等级保护测评服务机构，对招标人的信息系统安全保护等级进行需求分析，并协助招标人完成等保备案相关事宜。依据《信息安全技术网络安全等级保护基本要求》(GB/T 22239-2019)、《网络安全等级保护测评要求》（GBT28448-2019），对信息系统开展网络安全等级保护测评服务。</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项目需求</w:t>
      </w:r>
      <w:bookmarkEnd w:id="1"/>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1.3.1 </w:t>
      </w:r>
      <w:r>
        <w:rPr>
          <w:rFonts w:hint="eastAsia" w:ascii="方正仿宋_GB2312" w:hAnsi="方正仿宋_GB2312" w:eastAsia="方正仿宋_GB2312" w:cs="方正仿宋_GB2312"/>
          <w:color w:val="000000" w:themeColor="text1"/>
          <w:highlight w:val="none"/>
          <w14:textFill>
            <w14:solidFill>
              <w14:schemeClr w14:val="tx1"/>
            </w14:solidFill>
          </w14:textFill>
        </w:rPr>
        <w:t>测评对象</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23"/>
        <w:gridCol w:w="533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序号</w:t>
            </w:r>
          </w:p>
        </w:tc>
        <w:tc>
          <w:tcPr>
            <w:tcW w:w="1223"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评估对象</w:t>
            </w:r>
          </w:p>
        </w:tc>
        <w:tc>
          <w:tcPr>
            <w:tcW w:w="5330"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部署位置</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Cs w:val="21"/>
                <w:highlight w:val="none"/>
                <w:lang w:val="en-US" w:eastAsia="zh-CN"/>
                <w14:textFill>
                  <w14:solidFill>
                    <w14:schemeClr w14:val="tx1"/>
                  </w14:solidFill>
                </w14:textFill>
                <w14:ligatures w14:val="none"/>
              </w:rPr>
              <w:t>等保</w:t>
            </w:r>
            <w:r>
              <w:rPr>
                <w:rFonts w:hint="eastAsia" w:ascii="方正仿宋_GB2312" w:hAnsi="方正仿宋_GB2312" w:eastAsia="方正仿宋_GB2312" w:cs="方正仿宋_GB2312"/>
                <w:b/>
                <w:bCs/>
                <w:color w:val="000000" w:themeColor="text1"/>
                <w:kern w:val="0"/>
                <w:szCs w:val="21"/>
                <w:highlight w:val="none"/>
                <w14:textFill>
                  <w14:solidFill>
                    <w14:schemeClr w14:val="tx1"/>
                  </w14:solidFill>
                </w14:textFill>
                <w14:ligatures w14:val="none"/>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电子病历</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智慧管理</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智慧服务</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7</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8</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9</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海南省电子政务云、海南医科大学第一附属医院、海南医科大学第二附属医院、海南省老年病医院、海南省妇女儿童医学中心、海南省安宁医院及三医云HIS</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10</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海南医科大学第一附属医院、海南省妇女儿童医学中心、海南省人民医院、海南医科大学第二附属医院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11</w:t>
            </w:r>
          </w:p>
        </w:tc>
        <w:tc>
          <w:tcPr>
            <w:tcW w:w="1223"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5330" w:type="dxa"/>
            <w:vAlign w:val="center"/>
          </w:tcPr>
          <w:p>
            <w:pPr>
              <w:widowControl/>
              <w:spacing w:line="240" w:lineRule="auto"/>
              <w:ind w:firstLine="0" w:firstLineChars="0"/>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海南医科大学第一附属医院、海南省安宁医院、海南省老年病医院、海南省妇女儿童医学中心、海南医科大学第二附属医院</w:t>
            </w:r>
          </w:p>
        </w:tc>
        <w:tc>
          <w:tcPr>
            <w:tcW w:w="1246"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Cs w:val="21"/>
                <w:highlight w:val="none"/>
                <w14:textFill>
                  <w14:solidFill>
                    <w14:schemeClr w14:val="tx1"/>
                  </w14:solidFill>
                </w14:textFill>
                <w14:ligatures w14:val="none"/>
              </w:rPr>
              <w:t>三级</w:t>
            </w:r>
          </w:p>
        </w:tc>
      </w:tr>
    </w:tbl>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 </w:t>
      </w:r>
      <w:r>
        <w:rPr>
          <w:rFonts w:hint="eastAsia" w:ascii="方正仿宋_GB2312" w:hAnsi="方正仿宋_GB2312" w:eastAsia="方正仿宋_GB2312" w:cs="方正仿宋_GB2312"/>
          <w:color w:val="000000" w:themeColor="text1"/>
          <w:highlight w:val="none"/>
          <w14:textFill>
            <w14:solidFill>
              <w14:schemeClr w14:val="tx1"/>
            </w14:solidFill>
          </w14:textFill>
        </w:rPr>
        <w:t>网络安全等级保护测评</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1.3.2.1 </w:t>
      </w:r>
      <w:r>
        <w:rPr>
          <w:rFonts w:hint="eastAsia" w:ascii="方正仿宋_GB2312" w:hAnsi="方正仿宋_GB2312" w:eastAsia="方正仿宋_GB2312" w:cs="方正仿宋_GB2312"/>
          <w:color w:val="000000" w:themeColor="text1"/>
          <w:highlight w:val="none"/>
          <w14:textFill>
            <w14:solidFill>
              <w14:schemeClr w14:val="tx1"/>
            </w14:solidFill>
          </w14:textFill>
        </w:rPr>
        <w:t>测评内容</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1、对招标人的信息系统进行摸底、分析和梳理，提出详细的测评方案及完成系统定级、备案工作。</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2、逐一对信息系统进行安全等级保护测评，测评的内容包括但不限于以下内容：</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（1）安全技术测评：包括</w:t>
      </w:r>
      <w:r>
        <w:rPr>
          <w:rFonts w:hint="eastAsia" w:ascii="方正仿宋_GB2312" w:hAnsi="方正仿宋_GB2312" w:eastAsia="方正仿宋_GB2312" w:cs="方正仿宋_GB2312"/>
          <w:color w:val="000000" w:themeColor="text1"/>
          <w:highlight w:val="none"/>
          <w14:textFill>
            <w14:solidFill>
              <w14:schemeClr w14:val="tx1"/>
            </w14:solidFill>
          </w14:textFill>
        </w:rPr>
        <w:t>安全物理环境、安全通信网络、安全区域边界、安全计算环境和安全管理中心</w:t>
      </w: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五个方面的安全测评；</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（2）安全管理测评：包括</w:t>
      </w:r>
      <w:r>
        <w:rPr>
          <w:rFonts w:hint="eastAsia" w:ascii="方正仿宋_GB2312" w:hAnsi="方正仿宋_GB2312" w:eastAsia="方正仿宋_GB2312" w:cs="方正仿宋_GB2312"/>
          <w:color w:val="000000" w:themeColor="text1"/>
          <w:highlight w:val="none"/>
          <w14:textFill>
            <w14:solidFill>
              <w14:schemeClr w14:val="tx1"/>
            </w14:solidFill>
          </w14:textFill>
        </w:rPr>
        <w:t>安全管理制度、安全管理机构、安全管理人员、安全建设管理和安全运维管理</w:t>
      </w: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五个方面的安全测评。</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3、完成测评工作后，出具符合等保主管部门要求的网络安全保护等级测评报告，提出整改意见。</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1.3.2.2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项目输出(包括但不限于以下内容)</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（1）网络安全等级保护定级相关文件和报告；</w:t>
      </w:r>
    </w:p>
    <w:p>
      <w:pP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28"/>
          <w:highlight w:val="none"/>
          <w14:textFill>
            <w14:solidFill>
              <w14:schemeClr w14:val="tx1"/>
            </w14:solidFill>
          </w14:textFill>
        </w:rPr>
        <w:t>（2）网络安全等级保护测评报告；</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1.3.2.3 </w:t>
      </w:r>
      <w:r>
        <w:rPr>
          <w:rFonts w:hint="eastAsia" w:ascii="方正仿宋_GB2312" w:hAnsi="方正仿宋_GB2312" w:eastAsia="方正仿宋_GB2312" w:cs="方正仿宋_GB2312"/>
          <w:color w:val="000000" w:themeColor="text1"/>
          <w:highlight w:val="none"/>
          <w14:textFill>
            <w14:solidFill>
              <w14:schemeClr w14:val="tx1"/>
            </w14:solidFill>
          </w14:textFill>
        </w:rPr>
        <w:t>测评对象描述</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457"/>
        <w:gridCol w:w="1602"/>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bookmarkStart w:id="2" w:name="RANGE!B15"/>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序号</w:t>
            </w:r>
            <w:bookmarkEnd w:id="2"/>
          </w:p>
        </w:tc>
        <w:tc>
          <w:tcPr>
            <w:tcW w:w="1457"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被测系统名称</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安全等级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b/>
                <w:bCs/>
                <w:color w:val="000000" w:themeColor="text1"/>
                <w:kern w:val="0"/>
                <w:sz w:val="18"/>
                <w:szCs w:val="18"/>
                <w:highlight w:val="none"/>
                <w14:textFill>
                  <w14:solidFill>
                    <w14:schemeClr w14:val="tx1"/>
                  </w14:solidFill>
                </w14:textFill>
                <w14:ligatures w14:val="none"/>
              </w:rPr>
              <w:t>部署位置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电子病历</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lang w:eastAsia="zh-Hans"/>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2</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智慧服务</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lang w:eastAsia="zh-Hans"/>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3</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智慧管理</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4</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医院信息平台</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海南省老年病医院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5</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医院数据标准及数据质控管理系统</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6</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医院高质量发展监测评价系统</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7</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临床专科质控中心管理系统</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8</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医院患者主索引服务和多码协同应用</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海南医科大学第一附属医院、海南省安宁医院、海南省老年病医院、海南省妇女儿童医学中心、海南省人民医院、海南医科大学第二附属医院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9</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区域影像共享中心</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海南省电子政务云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10</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医院影像辅助诊断系统</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海南省人民医院、海南医科大学第一附属医院、海南医科大学第二附属医院、海南省妇女儿童医学中心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723"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11</w:t>
            </w:r>
          </w:p>
        </w:tc>
        <w:tc>
          <w:tcPr>
            <w:tcW w:w="1457" w:type="dxa"/>
            <w:vAlign w:val="center"/>
          </w:tcPr>
          <w:p>
            <w:pPr>
              <w:widowControl/>
              <w:spacing w:line="240" w:lineRule="auto"/>
              <w:ind w:firstLine="0" w:firstLineChars="0"/>
              <w:jc w:val="left"/>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医院临床科研系统</w:t>
            </w:r>
          </w:p>
        </w:tc>
        <w:tc>
          <w:tcPr>
            <w:tcW w:w="1602"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第三级</w:t>
            </w:r>
          </w:p>
        </w:tc>
        <w:tc>
          <w:tcPr>
            <w:tcW w:w="4740" w:type="dxa"/>
            <w:vAlign w:val="center"/>
          </w:tcPr>
          <w:p>
            <w:pPr>
              <w:widowControl/>
              <w:spacing w:line="240" w:lineRule="auto"/>
              <w:ind w:firstLine="0" w:firstLineChars="0"/>
              <w:jc w:val="cente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pPr>
            <w:r>
              <w:rPr>
                <w:rFonts w:hint="eastAsia" w:ascii="方正仿宋_GB2312" w:hAnsi="方正仿宋_GB2312" w:eastAsia="方正仿宋_GB2312" w:cs="方正仿宋_GB2312"/>
                <w:color w:val="000000" w:themeColor="text1"/>
                <w:kern w:val="0"/>
                <w:sz w:val="18"/>
                <w:szCs w:val="18"/>
                <w:highlight w:val="none"/>
                <w14:textFill>
                  <w14:solidFill>
                    <w14:schemeClr w14:val="tx1"/>
                  </w14:solidFill>
                </w14:textFill>
                <w14:ligatures w14:val="none"/>
              </w:rPr>
              <w:t>海南医科大学第一附属医院、海南医科大学第二附属医院、海南省安宁医院、海南省老年病医院、海南省妇女儿童医学中心</w:t>
            </w:r>
          </w:p>
        </w:tc>
      </w:tr>
    </w:tbl>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1.3.2.4 </w:t>
      </w:r>
      <w:r>
        <w:rPr>
          <w:rFonts w:hint="eastAsia" w:ascii="方正仿宋_GB2312" w:hAnsi="方正仿宋_GB2312" w:eastAsia="方正仿宋_GB2312" w:cs="方正仿宋_GB2312"/>
          <w:color w:val="000000" w:themeColor="text1"/>
          <w:highlight w:val="none"/>
          <w14:textFill>
            <w14:solidFill>
              <w14:schemeClr w14:val="tx1"/>
            </w14:solidFill>
          </w14:textFill>
        </w:rPr>
        <w:t xml:space="preserve"> 测评服务步骤</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网络等级保护测评过程需按照《信息安全技术 网络安全等级保护测评过程指南》开展工作，等级测评过程分为四个基本测评活动：测评准备活动、方案编制活动、现场测评活动、分析及报告编制活动。测评双方之间的沟通与洽谈应贯穿整个等级测评过程。</w:t>
      </w:r>
    </w:p>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3" w:name="_Toc316920801"/>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1.3.2.4.1 </w:t>
      </w:r>
      <w:r>
        <w:rPr>
          <w:rFonts w:hint="eastAsia" w:ascii="方正仿宋_GB2312" w:hAnsi="方正仿宋_GB2312" w:eastAsia="方正仿宋_GB2312" w:cs="方正仿宋_GB2312"/>
          <w:color w:val="000000" w:themeColor="text1"/>
          <w:highlight w:val="none"/>
          <w14:textFill>
            <w14:solidFill>
              <w14:schemeClr w14:val="tx1"/>
            </w14:solidFill>
          </w14:textFill>
        </w:rPr>
        <w:t>测评准备</w:t>
      </w:r>
      <w:bookmarkEnd w:id="3"/>
      <w:r>
        <w:rPr>
          <w:rFonts w:hint="eastAsia" w:ascii="方正仿宋_GB2312" w:hAnsi="方正仿宋_GB2312" w:eastAsia="方正仿宋_GB2312" w:cs="方正仿宋_GB2312"/>
          <w:color w:val="000000" w:themeColor="text1"/>
          <w:highlight w:val="none"/>
          <w14:textFill>
            <w14:solidFill>
              <w14:schemeClr w14:val="tx1"/>
            </w14:solidFill>
          </w14:textFill>
        </w:rPr>
        <w:t>活动</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测评准备工作包括编制项目启动、信息收集和分析、工具和表单准备。</w:t>
      </w:r>
    </w:p>
    <w:p>
      <w:pPr>
        <w:ind w:firstLine="422"/>
        <w:rPr>
          <w:rFonts w:hint="eastAsia" w:ascii="方正仿宋_GB2312" w:hAnsi="方正仿宋_GB2312" w:eastAsia="方正仿宋_GB2312" w:cs="方正仿宋_GB2312"/>
          <w:b/>
          <w:color w:val="000000" w:themeColor="text1"/>
          <w:highlight w:val="none"/>
          <w14:textFill>
            <w14:solidFill>
              <w14:schemeClr w14:val="tx1"/>
            </w14:solidFill>
          </w14:textFill>
        </w:rPr>
      </w:pPr>
      <w:r>
        <w:rPr>
          <w:rFonts w:hint="eastAsia" w:ascii="方正仿宋_GB2312" w:hAnsi="方正仿宋_GB2312" w:eastAsia="方正仿宋_GB2312" w:cs="方正仿宋_GB2312"/>
          <w:b/>
          <w:color w:val="000000" w:themeColor="text1"/>
          <w:highlight w:val="none"/>
          <w14:textFill>
            <w14:solidFill>
              <w14:schemeClr w14:val="tx1"/>
            </w14:solidFill>
          </w14:textFill>
        </w:rPr>
        <w:t>详细要求见下表：</w:t>
      </w:r>
    </w:p>
    <w:tbl>
      <w:tblPr>
        <w:tblStyle w:val="10"/>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3"/>
        <w:gridCol w:w="3903"/>
        <w:gridCol w:w="30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9" w:hRule="atLeast"/>
          <w:jc w:val="center"/>
        </w:trPr>
        <w:tc>
          <w:tcPr>
            <w:tcW w:w="1573"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项目内容</w:t>
            </w:r>
          </w:p>
        </w:tc>
        <w:tc>
          <w:tcPr>
            <w:tcW w:w="3903"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工作内容</w:t>
            </w:r>
          </w:p>
        </w:tc>
        <w:tc>
          <w:tcPr>
            <w:tcW w:w="3046"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成果输出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项目启动</w:t>
            </w: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1.组建测评项目组</w:t>
            </w:r>
          </w:p>
        </w:tc>
        <w:tc>
          <w:tcPr>
            <w:tcW w:w="304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向招标人提交《项目计划书》《提供资料清单》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2.编制《项目计划书》</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3.确定测评委托单位应提供的资料</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3" w:hRule="atLeast"/>
          <w:jc w:val="center"/>
        </w:trPr>
        <w:tc>
          <w:tcPr>
            <w:tcW w:w="157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信息收集分析</w:t>
            </w: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定级报告及整改方案分析</w:t>
            </w:r>
          </w:p>
        </w:tc>
        <w:tc>
          <w:tcPr>
            <w:tcW w:w="304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《系统基本情况分析报告》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7" w:hRule="atLeast"/>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1.整理调查表单</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2.发放调查表单给测评委托单位</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3.协助测评委托单位填写调查表</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 w:hRule="atLeast"/>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4.收回调查结果</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 w:hRule="atLeast"/>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5.分析调查</w:t>
            </w:r>
          </w:p>
        </w:tc>
        <w:tc>
          <w:tcPr>
            <w:tcW w:w="304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工具和表单准备</w:t>
            </w: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1.调试测评工具</w:t>
            </w:r>
          </w:p>
        </w:tc>
        <w:tc>
          <w:tcPr>
            <w:tcW w:w="304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确定测评工具（测评工具清单）《现场测评授权书》《测评结果记录表》《文档交接单》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2.模拟被测系统搭建测评环境</w:t>
            </w:r>
          </w:p>
        </w:tc>
        <w:tc>
          <w:tcPr>
            <w:tcW w:w="3046"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3.模拟测评</w:t>
            </w:r>
          </w:p>
        </w:tc>
        <w:tc>
          <w:tcPr>
            <w:tcW w:w="3046"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7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90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4.准备打印表单</w:t>
            </w:r>
          </w:p>
        </w:tc>
        <w:tc>
          <w:tcPr>
            <w:tcW w:w="3046"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bl>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4" w:name="_Toc316920802"/>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1.3.2.4.2 </w:t>
      </w:r>
      <w:r>
        <w:rPr>
          <w:rFonts w:hint="eastAsia" w:ascii="方正仿宋_GB2312" w:hAnsi="方正仿宋_GB2312" w:eastAsia="方正仿宋_GB2312" w:cs="方正仿宋_GB2312"/>
          <w:color w:val="000000" w:themeColor="text1"/>
          <w:highlight w:val="none"/>
          <w14:textFill>
            <w14:solidFill>
              <w14:schemeClr w14:val="tx1"/>
            </w14:solidFill>
          </w14:textFill>
        </w:rPr>
        <w:t>方案编制</w:t>
      </w:r>
      <w:bookmarkEnd w:id="4"/>
      <w:r>
        <w:rPr>
          <w:rFonts w:hint="eastAsia" w:ascii="方正仿宋_GB2312" w:hAnsi="方正仿宋_GB2312" w:eastAsia="方正仿宋_GB2312" w:cs="方正仿宋_GB2312"/>
          <w:color w:val="000000" w:themeColor="text1"/>
          <w:highlight w:val="none"/>
          <w14:textFill>
            <w14:solidFill>
              <w14:schemeClr w14:val="tx1"/>
            </w14:solidFill>
          </w14:textFill>
        </w:rPr>
        <w:t>活动</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方案编制活动包括测评对象确定、测评指标确定、测试工具接入点确定、测评内容确定、测评指导书开发及测评方案编制等六项主要任务。</w:t>
      </w:r>
    </w:p>
    <w:p>
      <w:pPr>
        <w:ind w:firstLine="422"/>
        <w:rPr>
          <w:rFonts w:hint="eastAsia" w:ascii="方正仿宋_GB2312" w:hAnsi="方正仿宋_GB2312" w:eastAsia="方正仿宋_GB2312" w:cs="方正仿宋_GB2312"/>
          <w:b/>
          <w:color w:val="000000" w:themeColor="text1"/>
          <w:highlight w:val="none"/>
          <w14:textFill>
            <w14:solidFill>
              <w14:schemeClr w14:val="tx1"/>
            </w14:solidFill>
          </w14:textFill>
        </w:rPr>
      </w:pPr>
      <w:r>
        <w:rPr>
          <w:rFonts w:hint="eastAsia" w:ascii="方正仿宋_GB2312" w:hAnsi="方正仿宋_GB2312" w:eastAsia="方正仿宋_GB2312" w:cs="方正仿宋_GB2312"/>
          <w:b/>
          <w:color w:val="000000" w:themeColor="text1"/>
          <w:highlight w:val="none"/>
          <w14:textFill>
            <w14:solidFill>
              <w14:schemeClr w14:val="tx1"/>
            </w14:solidFill>
          </w14:textFill>
        </w:rPr>
        <w:t>详细要求见下表：</w:t>
      </w:r>
    </w:p>
    <w:tbl>
      <w:tblPr>
        <w:tblStyle w:val="10"/>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4961"/>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jc w:val="center"/>
        </w:trPr>
        <w:tc>
          <w:tcPr>
            <w:tcW w:w="1384"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工作内容</w:t>
            </w:r>
          </w:p>
        </w:tc>
        <w:tc>
          <w:tcPr>
            <w:tcW w:w="4961"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工作详细任务</w:t>
            </w:r>
          </w:p>
        </w:tc>
        <w:tc>
          <w:tcPr>
            <w:tcW w:w="1843"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输出成果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一、测评对象确认</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识别被测系统等级</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识别被测系统的整体结构</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识别被测系统的边界</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识别被测系统的网络区域</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识别被测系统的重要节点和业务应用</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确定测评对象</w:t>
            </w:r>
          </w:p>
        </w:tc>
        <w:tc>
          <w:tcPr>
            <w:tcW w:w="184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《测评方案》的测评对象部分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二、测评指标确定</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识别被测系统业务信息和系统服务安全保护等级</w:t>
            </w:r>
          </w:p>
        </w:tc>
        <w:tc>
          <w:tcPr>
            <w:tcW w:w="184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《测评方案》的测评指标部分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选择对应等级的安全要求作为测评指标</w:t>
            </w:r>
          </w:p>
        </w:tc>
        <w:tc>
          <w:tcPr>
            <w:tcW w:w="184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就高原则调整多个定级对象共用的某些物理安全或管理安全测评指标</w:t>
            </w:r>
          </w:p>
        </w:tc>
        <w:tc>
          <w:tcPr>
            <w:tcW w:w="184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三、工具测试点确定</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确定工具测试的测评对象</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选择测试路径</w:t>
            </w:r>
          </w:p>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确定测试工具的接入点</w:t>
            </w:r>
          </w:p>
        </w:tc>
        <w:tc>
          <w:tcPr>
            <w:tcW w:w="1843"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《测评方案》的测试工具接入点部分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9" w:hRule="atLeast"/>
          <w:jc w:val="center"/>
        </w:trPr>
        <w:tc>
          <w:tcPr>
            <w:tcW w:w="1384"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四、测试内容确定</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识别每个测评对象的测评指标</w:t>
            </w:r>
          </w:p>
        </w:tc>
        <w:tc>
          <w:tcPr>
            <w:tcW w:w="184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《测评方案》的单项测评实施和系统测评实施部分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识别每个测评对象对应的每个测试指标的测试方法</w:t>
            </w:r>
          </w:p>
        </w:tc>
        <w:tc>
          <w:tcPr>
            <w:tcW w:w="184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五、测评指导书开发</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从已有的测评指导书中选择与测评对象对应的手册</w:t>
            </w:r>
          </w:p>
        </w:tc>
        <w:tc>
          <w:tcPr>
            <w:tcW w:w="184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《测评方案》的测评实施手册部分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针对没有现成测评指导书的测评对象，开发新的测评指导书</w:t>
            </w:r>
          </w:p>
        </w:tc>
        <w:tc>
          <w:tcPr>
            <w:tcW w:w="1843"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六、测评方案编制</w:t>
            </w: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描述测评项目基本情况和工作依据</w:t>
            </w:r>
          </w:p>
        </w:tc>
        <w:tc>
          <w:tcPr>
            <w:tcW w:w="1843"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向招标人提交 《测评方案》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描述被测系统的整体结构、边界和网络区域</w:t>
            </w:r>
          </w:p>
        </w:tc>
        <w:tc>
          <w:tcPr>
            <w:tcW w:w="1843"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描述被测系统的重要节点和业务应用</w:t>
            </w:r>
          </w:p>
        </w:tc>
        <w:tc>
          <w:tcPr>
            <w:tcW w:w="1843"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描述测评指标</w:t>
            </w:r>
          </w:p>
        </w:tc>
        <w:tc>
          <w:tcPr>
            <w:tcW w:w="1843"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描述测评对象</w:t>
            </w:r>
          </w:p>
        </w:tc>
        <w:tc>
          <w:tcPr>
            <w:tcW w:w="1843"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384"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96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描述测评内容和方法</w:t>
            </w:r>
          </w:p>
        </w:tc>
        <w:tc>
          <w:tcPr>
            <w:tcW w:w="1843"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bl>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5" w:name="_Toc316920803"/>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1.3.2.4.3 </w:t>
      </w:r>
      <w:r>
        <w:rPr>
          <w:rFonts w:hint="eastAsia" w:ascii="方正仿宋_GB2312" w:hAnsi="方正仿宋_GB2312" w:eastAsia="方正仿宋_GB2312" w:cs="方正仿宋_GB2312"/>
          <w:color w:val="000000" w:themeColor="text1"/>
          <w:highlight w:val="none"/>
          <w14:textFill>
            <w14:solidFill>
              <w14:schemeClr w14:val="tx1"/>
            </w14:solidFill>
          </w14:textFill>
        </w:rPr>
        <w:t xml:space="preserve"> 现场测评</w:t>
      </w:r>
      <w:bookmarkEnd w:id="5"/>
      <w:r>
        <w:rPr>
          <w:rFonts w:hint="eastAsia" w:ascii="方正仿宋_GB2312" w:hAnsi="方正仿宋_GB2312" w:eastAsia="方正仿宋_GB2312" w:cs="方正仿宋_GB2312"/>
          <w:color w:val="000000" w:themeColor="text1"/>
          <w:highlight w:val="none"/>
          <w14:textFill>
            <w14:solidFill>
              <w14:schemeClr w14:val="tx1"/>
            </w14:solidFill>
          </w14:textFill>
        </w:rPr>
        <w:t>活动</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现场测评活动通过与测评委托单位进行沟通和协调，为现场测评的顺利开展打下良好基础，然后依据测评方案实施现场测评工作，将测评方案和测评工具等具体落实到现场测评活动中。现场测评工作应取得分析与报告编制活动所需的、足够的证据和资料。</w:t>
      </w:r>
    </w:p>
    <w:p>
      <w:pPr>
        <w:ind w:firstLine="420" w:firstLineChars="200"/>
        <w:rPr>
          <w:rFonts w:hint="eastAsia" w:ascii="方正仿宋_GB2312" w:hAnsi="方正仿宋_GB2312" w:eastAsia="方正仿宋_GB2312" w:cs="方正仿宋_GB2312"/>
          <w:b/>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现场测评活动包括现场测评准备、现场测评和结果记录、结果确认和资料归还三项主要任务。</w:t>
      </w:r>
      <w:r>
        <w:rPr>
          <w:rFonts w:hint="eastAsia" w:ascii="方正仿宋_GB2312" w:hAnsi="方正仿宋_GB2312" w:eastAsia="方正仿宋_GB2312" w:cs="方正仿宋_GB2312"/>
          <w:b/>
          <w:color w:val="000000" w:themeColor="text1"/>
          <w:highlight w:val="none"/>
          <w14:textFill>
            <w14:solidFill>
              <w14:schemeClr w14:val="tx1"/>
            </w14:solidFill>
          </w14:textFill>
        </w:rPr>
        <w:t>详细要求见下表：</w:t>
      </w:r>
    </w:p>
    <w:tbl>
      <w:tblPr>
        <w:tblStyle w:val="10"/>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3119"/>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shd w:val="clear" w:color="auto" w:fill="D9D9D9"/>
          </w:tcPr>
          <w:p>
            <w:pPr>
              <w:ind w:firstLine="361"/>
              <w:jc w:val="cente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工作内容</w:t>
            </w:r>
          </w:p>
        </w:tc>
        <w:tc>
          <w:tcPr>
            <w:tcW w:w="3119" w:type="dxa"/>
            <w:shd w:val="clear" w:color="auto" w:fill="D9D9D9"/>
          </w:tcPr>
          <w:p>
            <w:pPr>
              <w:ind w:firstLine="361"/>
              <w:jc w:val="cente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工作详细任务</w:t>
            </w:r>
          </w:p>
        </w:tc>
        <w:tc>
          <w:tcPr>
            <w:tcW w:w="3260" w:type="dxa"/>
            <w:shd w:val="clear" w:color="auto" w:fill="D9D9D9"/>
          </w:tcPr>
          <w:p>
            <w:pPr>
              <w:ind w:firstLine="361"/>
              <w:jc w:val="cente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1.现场测评准备</w:t>
            </w: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现场测评授权书签署</w:t>
            </w:r>
          </w:p>
        </w:tc>
        <w:tc>
          <w:tcPr>
            <w:tcW w:w="3260"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会议记录、确认的授权委托书、更新后的测评计划和测评方案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召开现场测评启动会</w:t>
            </w:r>
          </w:p>
        </w:tc>
        <w:tc>
          <w:tcPr>
            <w:tcW w:w="3260"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双方确认测评方案</w:t>
            </w:r>
          </w:p>
        </w:tc>
        <w:tc>
          <w:tcPr>
            <w:tcW w:w="3260"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双方确认配合人员、环境等资源</w:t>
            </w:r>
          </w:p>
        </w:tc>
        <w:tc>
          <w:tcPr>
            <w:tcW w:w="3260"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确认信息系统已经备份</w:t>
            </w:r>
          </w:p>
        </w:tc>
        <w:tc>
          <w:tcPr>
            <w:tcW w:w="3260"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测评方案、结构记录表格等资料更新</w:t>
            </w:r>
          </w:p>
        </w:tc>
        <w:tc>
          <w:tcPr>
            <w:tcW w:w="3260"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2.现场测评和结构记录</w:t>
            </w: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依据测评指导书实施测评</w:t>
            </w:r>
          </w:p>
        </w:tc>
        <w:tc>
          <w:tcPr>
            <w:tcW w:w="3260"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访谈结果：技术安全和管理安全测评的测评结果记录或录音 文档审查结果：管理安全测评的测评结果记录 配置检查结果：技术安全测评的网络、主机、应用测评结果记录表格工具测试结果： 技术安全测评的网络、主机、应用测评结果记录，工具测试完成后的电子输出记录，备份的测试结果文件 实地察看结果：技术安全测评结果记录 测评结果确认：现场核查中发现的问题汇总、证据和证据源记录、被测单位的书面认可文件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记录测评获取的证据、资料等信息</w:t>
            </w:r>
          </w:p>
        </w:tc>
        <w:tc>
          <w:tcPr>
            <w:tcW w:w="3260"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汇总测评记录，如果需要，实施补充测评</w:t>
            </w:r>
          </w:p>
        </w:tc>
        <w:tc>
          <w:tcPr>
            <w:tcW w:w="3260"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3.结果确认和资料归还</w:t>
            </w: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召开现场测评结束会</w:t>
            </w:r>
          </w:p>
        </w:tc>
        <w:tc>
          <w:tcPr>
            <w:tcW w:w="3260"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测评委托单位确认测评过程中获取的证据和资料的正确性，并签字认可</w:t>
            </w:r>
          </w:p>
        </w:tc>
        <w:tc>
          <w:tcPr>
            <w:tcW w:w="3260"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809"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3119"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测评人员归还借阅的各种资料</w:t>
            </w:r>
          </w:p>
        </w:tc>
        <w:tc>
          <w:tcPr>
            <w:tcW w:w="3260"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bl>
    <w:p>
      <w:pPr>
        <w:pStyle w:val="8"/>
        <w:numPr>
          <w:ilvl w:val="6"/>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6" w:name="_Toc316920804"/>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1.3.2.4.4 </w:t>
      </w:r>
      <w:r>
        <w:rPr>
          <w:rFonts w:hint="eastAsia" w:ascii="方正仿宋_GB2312" w:hAnsi="方正仿宋_GB2312" w:eastAsia="方正仿宋_GB2312" w:cs="方正仿宋_GB2312"/>
          <w:color w:val="000000" w:themeColor="text1"/>
          <w:highlight w:val="none"/>
          <w14:textFill>
            <w14:solidFill>
              <w14:schemeClr w14:val="tx1"/>
            </w14:solidFill>
          </w14:textFill>
        </w:rPr>
        <w:t>报告分析及编制活动</w:t>
      </w:r>
      <w:bookmarkEnd w:id="6"/>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在现场测评工作结束后，应对现场测评获得的测评结果（或称测评证据）进行汇总分析，形成等级测评结论，并编制测评报告。</w:t>
      </w:r>
    </w:p>
    <w:p>
      <w:p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测评人员在初步判定单元测评结果后，还需进行整体测评，经过整体测评后，有的单元测评结果可能会有所变化，需进一步修订单元测评结果，而后进行风险分析和评价，形成等级测评结论。分析与报告编制活动包括单项测评结果判定、单元测评结果判定、整体测评、风险分析、等级测评结论形成及测评报告编制六项主要任务。</w:t>
      </w:r>
    </w:p>
    <w:p>
      <w:pPr>
        <w:ind w:firstLine="422"/>
        <w:rPr>
          <w:rFonts w:hint="eastAsia" w:ascii="方正仿宋_GB2312" w:hAnsi="方正仿宋_GB2312" w:eastAsia="方正仿宋_GB2312" w:cs="方正仿宋_GB2312"/>
          <w:b/>
          <w:color w:val="000000" w:themeColor="text1"/>
          <w:highlight w:val="none"/>
          <w14:textFill>
            <w14:solidFill>
              <w14:schemeClr w14:val="tx1"/>
            </w14:solidFill>
          </w14:textFill>
        </w:rPr>
      </w:pPr>
      <w:r>
        <w:rPr>
          <w:rFonts w:hint="eastAsia" w:ascii="方正仿宋_GB2312" w:hAnsi="方正仿宋_GB2312" w:eastAsia="方正仿宋_GB2312" w:cs="方正仿宋_GB2312"/>
          <w:b/>
          <w:color w:val="000000" w:themeColor="text1"/>
          <w:highlight w:val="none"/>
          <w14:textFill>
            <w14:solidFill>
              <w14:schemeClr w14:val="tx1"/>
            </w14:solidFill>
          </w14:textFill>
        </w:rPr>
        <w:t>详细要求见下表：</w:t>
      </w:r>
    </w:p>
    <w:tbl>
      <w:tblPr>
        <w:tblStyle w:val="10"/>
        <w:tblW w:w="8188"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4111"/>
        <w:gridCol w:w="2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工作内容</w:t>
            </w:r>
          </w:p>
        </w:tc>
        <w:tc>
          <w:tcPr>
            <w:tcW w:w="4111"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工作详细任务</w:t>
            </w:r>
          </w:p>
        </w:tc>
        <w:tc>
          <w:tcPr>
            <w:tcW w:w="2551" w:type="dxa"/>
            <w:shd w:val="clear" w:color="auto" w:fill="D9D9D9"/>
          </w:tcPr>
          <w:p>
            <w:pPr>
              <w:ind w:firstLine="0" w:firstLineChars="0"/>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b/>
                <w:color w:val="000000" w:themeColor="text1"/>
                <w:sz w:val="18"/>
                <w:szCs w:val="18"/>
                <w:highlight w:val="none"/>
                <w14:textFill>
                  <w14:solidFill>
                    <w14:schemeClr w14:val="tx1"/>
                  </w14:solidFill>
                </w14:textFill>
              </w:rPr>
              <w:t>工作依据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1.单项测评结果判定</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分析测评项所对抗威胁的存在情况</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等级测评报告的单项测评结果部分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分析单个测评项是否有多方面的要求内容，依据“优势证据”法选择优势证据，并将优势证据与预期测评结果相比较</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综合判定单个测评项的测评结果</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2.单元测评结果判定</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汇总每个测评对象在每个测评单元的单项测评结果</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等级测评报告的单项测评结果汇总分析部分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判定每个测评对象的单元测评结果</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3.整体测评</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分析不符合和部分符合的测评项与其他测评项（包括单元内、层面间、区域间）之间的关联关系及对结果的影响情况</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等级测评报告的系统整体测评分析部分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分析被测系统整体结构的安全性对结果的影响情况</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4.风险分析</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整体测评后的单项测评结果再次汇总</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等级测评报告的风险分析部分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分析部分符合项或不符合项所产生的安全问题被威胁利用的可能性</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分析威胁利用安全问题后造成的影响程度</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为被测系统面临的风险进行赋值</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评价风险分析结果</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5.等级测评结论形成</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统计再次汇总后的单项测评结果为部分符合和不符合项的项数</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等级测评报告的等级测评结论部分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形成等级测评结论</w:t>
            </w:r>
          </w:p>
        </w:tc>
        <w:tc>
          <w:tcPr>
            <w:tcW w:w="2551"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6.测评报告编制</w:t>
            </w: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概述测评项目情况</w:t>
            </w:r>
          </w:p>
        </w:tc>
        <w:tc>
          <w:tcPr>
            <w:tcW w:w="2551" w:type="dxa"/>
            <w:vMerge w:val="restart"/>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等级测评报告提交招标人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描述被测系统情况</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描述测评范围和方法</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描述整体测评情况</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汇总测评结果</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描述风险情况</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26" w:type="dxa"/>
            <w:vMerge w:val="continue"/>
            <w:vAlign w:val="center"/>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c>
          <w:tcPr>
            <w:tcW w:w="4111" w:type="dxa"/>
            <w:vAlign w:val="center"/>
          </w:tcPr>
          <w:p>
            <w:pPr>
              <w:ind w:firstLine="0" w:firstLineChars="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t>给出等级测评结论和整改建议</w:t>
            </w:r>
          </w:p>
        </w:tc>
        <w:tc>
          <w:tcPr>
            <w:tcW w:w="2551" w:type="dxa"/>
            <w:vMerge w:val="continue"/>
          </w:tcPr>
          <w:p>
            <w:pPr>
              <w:ind w:firstLine="360"/>
              <w:rPr>
                <w:rFonts w:hint="eastAsia" w:ascii="方正仿宋_GB2312" w:hAnsi="方正仿宋_GB2312" w:eastAsia="方正仿宋_GB2312" w:cs="方正仿宋_GB2312"/>
                <w:color w:val="000000" w:themeColor="text1"/>
                <w:sz w:val="18"/>
                <w:szCs w:val="18"/>
                <w:highlight w:val="none"/>
                <w14:textFill>
                  <w14:solidFill>
                    <w14:schemeClr w14:val="tx1"/>
                  </w14:solidFill>
                </w14:textFill>
              </w:rPr>
            </w:pPr>
          </w:p>
        </w:tc>
      </w:tr>
    </w:tbl>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7" w:name="_Toc361917617"/>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1.4</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项目服务要求</w:t>
      </w:r>
      <w:bookmarkEnd w:id="7"/>
      <w:bookmarkStart w:id="8" w:name="_Toc244418540"/>
      <w:bookmarkEnd w:id="8"/>
      <w:bookmarkStart w:id="9" w:name="_Toc244418539"/>
      <w:bookmarkEnd w:id="9"/>
      <w:bookmarkStart w:id="10" w:name="_Toc244402942"/>
      <w:bookmarkEnd w:id="10"/>
      <w:bookmarkStart w:id="11" w:name="_Toc244403000"/>
      <w:bookmarkEnd w:id="11"/>
      <w:bookmarkStart w:id="12" w:name="_Toc244402943"/>
      <w:bookmarkEnd w:id="12"/>
      <w:bookmarkStart w:id="13" w:name="_Toc244403001"/>
      <w:bookmarkEnd w:id="13"/>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4" w:name="_Toc244418546"/>
      <w:bookmarkStart w:id="15" w:name="_Toc361917618"/>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1.4.1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项目实施</w:t>
      </w:r>
      <w:bookmarkEnd w:id="14"/>
      <w:r>
        <w:rPr>
          <w:rFonts w:hint="eastAsia" w:ascii="方正仿宋_GB2312" w:hAnsi="方正仿宋_GB2312" w:eastAsia="方正仿宋_GB2312" w:cs="方正仿宋_GB2312"/>
          <w:color w:val="000000" w:themeColor="text1"/>
          <w:highlight w:val="none"/>
          <w14:textFill>
            <w14:solidFill>
              <w14:schemeClr w14:val="tx1"/>
            </w14:solidFill>
          </w14:textFill>
        </w:rPr>
        <w:t>要求</w:t>
      </w:r>
      <w:bookmarkEnd w:id="15"/>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项目实施过程中，投标人应遵循国家标准、行业标准。在项目实施中中标方须做到:</w:t>
      </w:r>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1</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14:textFill>
            <w14:solidFill>
              <w14:schemeClr w14:val="tx1"/>
            </w14:solidFill>
          </w14:textFill>
        </w:rPr>
        <w:t>按照公安部对测评机构管理的规定和要求，测评项目现场实施的人员必须是本机构的持证测评师，而且测评项目不允许分包或转包，中标方一旦出现上述违规情况采购人有权解除合同并追究其法律责任;</w:t>
      </w:r>
    </w:p>
    <w:p>
      <w:pPr>
        <w:numPr>
          <w:ilvl w:val="0"/>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14:textFill>
            <w14:solidFill>
              <w14:schemeClr w14:val="tx1"/>
            </w14:solidFill>
          </w14:textFill>
        </w:rPr>
        <w:t>在服务期内，项目需提供驻场服务，须具有本地化服务能力。中标方总公司在海南的提供营业执照。外省企业承诺中标后在服务地市设立分支机构的，提供承诺函加盖公章。</w:t>
      </w:r>
    </w:p>
    <w:p>
      <w:pPr>
        <w:numPr>
          <w:ilvl w:val="0"/>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3</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14:textFill>
            <w14:solidFill>
              <w14:schemeClr w14:val="tx1"/>
            </w14:solidFill>
          </w14:textFill>
        </w:rPr>
        <w:t>为了更好完成等级保护测评和安全服务工作，做好工作协调，中标方的项目经理要求每周至少一次到现场进行工作情况汇报;</w:t>
      </w:r>
    </w:p>
    <w:p>
      <w:pPr>
        <w:numPr>
          <w:ilvl w:val="0"/>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4</w:t>
      </w:r>
      <w:r>
        <w:rPr>
          <w:rFonts w:hint="eastAsia" w:ascii="方正仿宋_GB2312" w:hAnsi="方正仿宋_GB2312" w:eastAsia="方正仿宋_GB2312" w:cs="方正仿宋_GB2312"/>
          <w:color w:val="000000" w:themeColor="text1"/>
          <w:highlight w:val="none"/>
          <w:lang w:eastAsia="zh-CN"/>
          <w14:textFill>
            <w14:solidFill>
              <w14:schemeClr w14:val="tx1"/>
            </w14:solidFill>
          </w14:textFill>
        </w:rPr>
        <w:t>）</w:t>
      </w:r>
      <w:r>
        <w:rPr>
          <w:rFonts w:hint="eastAsia" w:ascii="方正仿宋_GB2312" w:hAnsi="方正仿宋_GB2312" w:eastAsia="方正仿宋_GB2312" w:cs="方正仿宋_GB2312"/>
          <w:color w:val="000000" w:themeColor="text1"/>
          <w:highlight w:val="none"/>
          <w14:textFill>
            <w14:solidFill>
              <w14:schemeClr w14:val="tx1"/>
            </w14:solidFill>
          </w14:textFill>
        </w:rPr>
        <w:t>为避免在测评和服务过程中出现不可控安全风险事件，中标方需建立应急响应机制，在海南省设置有不少于2名应急保障人员，当发生安全风险事件情况下，中标方的应急保障人员应在2小时内抵达现场提供技术支持。</w:t>
      </w:r>
    </w:p>
    <w:p>
      <w:pPr>
        <w:pStyle w:val="6"/>
        <w:numPr>
          <w:ilvl w:val="4"/>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6" w:name="_Toc244418547"/>
      <w:bookmarkStart w:id="17" w:name="_Toc361917619"/>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1.4.2 </w:t>
      </w:r>
      <w:r>
        <w:rPr>
          <w:rFonts w:hint="eastAsia" w:ascii="方正仿宋_GB2312" w:hAnsi="方正仿宋_GB2312" w:eastAsia="方正仿宋_GB2312" w:cs="方正仿宋_GB2312"/>
          <w:color w:val="000000" w:themeColor="text1"/>
          <w:highlight w:val="none"/>
          <w14:textFill>
            <w14:solidFill>
              <w14:schemeClr w14:val="tx1"/>
            </w14:solidFill>
          </w14:textFill>
        </w:rPr>
        <w:t>项目验收</w:t>
      </w:r>
      <w:bookmarkEnd w:id="16"/>
      <w:r>
        <w:rPr>
          <w:rFonts w:hint="eastAsia" w:ascii="方正仿宋_GB2312" w:hAnsi="方正仿宋_GB2312" w:eastAsia="方正仿宋_GB2312" w:cs="方正仿宋_GB2312"/>
          <w:color w:val="000000" w:themeColor="text1"/>
          <w:highlight w:val="none"/>
          <w14:textFill>
            <w14:solidFill>
              <w14:schemeClr w14:val="tx1"/>
            </w14:solidFill>
          </w14:textFill>
        </w:rPr>
        <w:t>要求</w:t>
      </w:r>
      <w:bookmarkEnd w:id="17"/>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中标人必须提供给业主详细的项目验收方案。</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8" w:name="_Toc244418548"/>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1.4.2.1 </w:t>
      </w:r>
      <w:r>
        <w:rPr>
          <w:rFonts w:hint="eastAsia" w:ascii="方正仿宋_GB2312" w:hAnsi="方正仿宋_GB2312" w:eastAsia="方正仿宋_GB2312" w:cs="方正仿宋_GB2312"/>
          <w:color w:val="000000" w:themeColor="text1"/>
          <w:highlight w:val="none"/>
          <w14:textFill>
            <w14:solidFill>
              <w14:schemeClr w14:val="tx1"/>
            </w14:solidFill>
          </w14:textFill>
        </w:rPr>
        <w:t>验收组织</w:t>
      </w:r>
      <w:bookmarkEnd w:id="18"/>
    </w:p>
    <w:p>
      <w:p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成立由业主、中标人以及其他有关人员组成的验收小组，负责对项目进行全面的验收。</w:t>
      </w:r>
    </w:p>
    <w:p>
      <w:pPr>
        <w:pStyle w:val="7"/>
        <w:numPr>
          <w:ilvl w:val="5"/>
          <w:numId w:val="0"/>
        </w:numPr>
        <w:ind w:leftChars="0"/>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19" w:name="_Toc244418549"/>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1.4.2.2 </w:t>
      </w:r>
      <w:r>
        <w:rPr>
          <w:rFonts w:hint="eastAsia" w:ascii="方正仿宋_GB2312" w:hAnsi="方正仿宋_GB2312" w:eastAsia="方正仿宋_GB2312" w:cs="方正仿宋_GB2312"/>
          <w:color w:val="000000" w:themeColor="text1"/>
          <w:highlight w:val="none"/>
          <w14:textFill>
            <w14:solidFill>
              <w14:schemeClr w14:val="tx1"/>
            </w14:solidFill>
          </w14:textFill>
        </w:rPr>
        <w:t>验收标准</w:t>
      </w:r>
      <w:bookmarkEnd w:id="19"/>
    </w:p>
    <w:p>
      <w:pPr>
        <w:numPr>
          <w:ilvl w:val="0"/>
          <w:numId w:val="2"/>
        </w:numPr>
        <w:tabs>
          <w:tab w:val="clear" w:pos="425"/>
        </w:tabs>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标准化：项目验收最关键的指标，应确保测评过程符合国家标准规范；</w:t>
      </w:r>
    </w:p>
    <w:p>
      <w:pPr>
        <w:numPr>
          <w:ilvl w:val="0"/>
          <w:numId w:val="2"/>
        </w:numPr>
        <w:tabs>
          <w:tab w:val="clear" w:pos="425"/>
        </w:tabs>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系统稳定性：在测评过程中应确保软硬件环境的稳定性、运行正常；</w:t>
      </w:r>
    </w:p>
    <w:p>
      <w:pPr>
        <w:numPr>
          <w:ilvl w:val="0"/>
          <w:numId w:val="2"/>
        </w:numPr>
        <w:tabs>
          <w:tab w:val="clear" w:pos="425"/>
        </w:tabs>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系统文档：验收文档是否齐全、规范、准确、详细；</w:t>
      </w:r>
    </w:p>
    <w:p>
      <w:pPr>
        <w:numPr>
          <w:ilvl w:val="0"/>
          <w:numId w:val="2"/>
        </w:numPr>
        <w:tabs>
          <w:tab w:val="clear" w:pos="425"/>
        </w:tabs>
        <w:ind w:left="0" w:firstLine="42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系统可操作性：交付成果清晰、通俗易懂。</w:t>
      </w:r>
    </w:p>
    <w:p>
      <w:pPr>
        <w:pStyle w:val="5"/>
        <w:numPr>
          <w:ilvl w:val="3"/>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bookmarkStart w:id="20" w:name="_Toc244418551"/>
      <w:bookmarkStart w:id="21" w:name="_Toc361917620"/>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 xml:space="preserve">1.4.3 </w:t>
      </w:r>
      <w:r>
        <w:rPr>
          <w:rFonts w:hint="eastAsia" w:ascii="方正仿宋_GB2312" w:hAnsi="方正仿宋_GB2312" w:eastAsia="方正仿宋_GB2312" w:cs="方正仿宋_GB2312"/>
          <w:color w:val="000000" w:themeColor="text1"/>
          <w:highlight w:val="none"/>
          <w14:textFill>
            <w14:solidFill>
              <w14:schemeClr w14:val="tx1"/>
            </w14:solidFill>
          </w14:textFill>
        </w:rPr>
        <w:t>售后服务</w:t>
      </w:r>
      <w:bookmarkEnd w:id="20"/>
      <w:r>
        <w:rPr>
          <w:rFonts w:hint="eastAsia" w:ascii="方正仿宋_GB2312" w:hAnsi="方正仿宋_GB2312" w:eastAsia="方正仿宋_GB2312" w:cs="方正仿宋_GB2312"/>
          <w:color w:val="000000" w:themeColor="text1"/>
          <w:highlight w:val="none"/>
          <w14:textFill>
            <w14:solidFill>
              <w14:schemeClr w14:val="tx1"/>
            </w14:solidFill>
          </w14:textFill>
        </w:rPr>
        <w:t>要求</w:t>
      </w:r>
      <w:bookmarkEnd w:id="21"/>
    </w:p>
    <w:p>
      <w:pPr>
        <w:ind w:firstLine="525" w:firstLineChars="25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对于现状测评过程中发现的安全问题，投标人应先出具问题汇总报告，并给招标人预留三十天的整改时间，整改完成后投标人提供一次全面问题复查，并出具网络安全等级保护测评报告。同时针对本次服务范围内的问题提供一年期的远程技术咨询服务。</w:t>
      </w:r>
    </w:p>
    <w:p>
      <w:pPr>
        <w:pStyle w:val="4"/>
        <w:numPr>
          <w:ilvl w:val="2"/>
          <w:numId w:val="0"/>
        </w:numPr>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w:t>
      </w:r>
      <w:r>
        <w:rPr>
          <w:rFonts w:hint="eastAsia" w:ascii="方正仿宋_GB2312" w:hAnsi="方正仿宋_GB2312" w:eastAsia="方正仿宋_GB2312" w:cs="方正仿宋_GB2312"/>
          <w:color w:val="000000" w:themeColor="text1"/>
          <w:highlight w:val="none"/>
          <w14:textFill>
            <w14:solidFill>
              <w14:schemeClr w14:val="tx1"/>
            </w14:solidFill>
          </w14:textFill>
        </w:rPr>
        <w:t>商务要求</w:t>
      </w:r>
    </w:p>
    <w:p>
      <w:pPr>
        <w:numPr>
          <w:ilvl w:val="0"/>
          <w:numId w:val="0"/>
        </w:numP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2.1服务期限</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自签订合同至交付成果和报告并且项目通过竣工验收合格为止。</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需在</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采购人</w:t>
      </w:r>
      <w:r>
        <w:rPr>
          <w:rFonts w:hint="eastAsia" w:ascii="方正仿宋_GB2312" w:hAnsi="方正仿宋_GB2312" w:eastAsia="方正仿宋_GB2312" w:cs="方正仿宋_GB2312"/>
          <w:color w:val="000000" w:themeColor="text1"/>
          <w:highlight w:val="none"/>
          <w14:textFill>
            <w14:solidFill>
              <w14:schemeClr w14:val="tx1"/>
            </w14:solidFill>
          </w14:textFill>
        </w:rPr>
        <w:t>下达测评通知书后30天内交付成果和报告。</w:t>
      </w:r>
    </w:p>
    <w:p>
      <w:pPr>
        <w:numPr>
          <w:ilvl w:val="0"/>
          <w:numId w:val="0"/>
        </w:numP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2.2付款方式</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本合同签订后，采购人收到</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开具的正式有效增值税普通发票3个工作日内，向</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支付合同总额的30%作为首付款。</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项目通过</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竣工验收</w:t>
      </w:r>
      <w:r>
        <w:rPr>
          <w:rFonts w:hint="eastAsia" w:ascii="方正仿宋_GB2312" w:hAnsi="方正仿宋_GB2312" w:eastAsia="方正仿宋_GB2312" w:cs="方正仿宋_GB2312"/>
          <w:color w:val="000000" w:themeColor="text1"/>
          <w:highlight w:val="none"/>
          <w14:textFill>
            <w14:solidFill>
              <w14:schemeClr w14:val="tx1"/>
            </w14:solidFill>
          </w14:textFill>
        </w:rPr>
        <w:t>，采购人收到</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开具的正式有效增值税普通发票3个工作日内，向</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支付合同总额的70%。</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14:textFill>
            <w14:solidFill>
              <w14:schemeClr w14:val="tx1"/>
            </w14:solidFill>
          </w14:textFill>
        </w:rPr>
        <w:t>具体付款方式以签订合同为准。</w:t>
      </w:r>
    </w:p>
    <w:p>
      <w:pPr>
        <w:numPr>
          <w:ilvl w:val="0"/>
          <w:numId w:val="0"/>
        </w:numPr>
        <w:ind w:firstLine="420" w:firstLineChars="200"/>
        <w:rPr>
          <w:rFonts w:hint="eastAsia" w:ascii="方正仿宋_GB2312" w:hAnsi="方正仿宋_GB2312" w:eastAsia="方正仿宋_GB2312" w:cs="方正仿宋_GB2312"/>
          <w:color w:val="000000" w:themeColor="text1"/>
          <w:highlight w:val="none"/>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凭以下有效文件与采购人结算：（1）合同；（2）</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开具的正式发票；（3）付款申请。</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highlight w:val="none"/>
          <w14:textFill>
            <w14:solidFill>
              <w14:schemeClr w14:val="tx1"/>
            </w14:solidFill>
          </w14:textFill>
        </w:rPr>
        <w:t>请款时需提供依法纳税的全额发票，并应理解政府部门付款的相关程序。</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实际支付进度以财政厅下达资金为准。申请付款时，如</w:t>
      </w: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中标单位</w:t>
      </w:r>
      <w:r>
        <w:rPr>
          <w:rFonts w:hint="eastAsia" w:ascii="方正仿宋_GB2312" w:hAnsi="方正仿宋_GB2312" w:eastAsia="方正仿宋_GB2312" w:cs="方正仿宋_GB2312"/>
          <w:color w:val="000000" w:themeColor="text1"/>
          <w:sz w:val="21"/>
          <w:szCs w:val="21"/>
          <w:highlight w:val="none"/>
          <w:lang w:val="en-US" w:eastAsia="zh-CN"/>
          <w14:textFill>
            <w14:solidFill>
              <w14:schemeClr w14:val="tx1"/>
            </w14:solidFill>
          </w14:textFill>
        </w:rPr>
        <w:t>提供的材料不完整、不真实，采购人有权暂缓付款而不视为违约。</w:t>
      </w:r>
    </w:p>
    <w:p>
      <w:pPr>
        <w:numPr>
          <w:ilvl w:val="0"/>
          <w:numId w:val="0"/>
        </w:numPr>
        <w:ind w:leftChars="0"/>
        <w:outlineLvl w:val="9"/>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highlight w:val="none"/>
          <w:lang w:val="en-US" w:eastAsia="zh-CN"/>
          <w14:textFill>
            <w14:solidFill>
              <w14:schemeClr w14:val="tx1"/>
            </w14:solidFill>
          </w14:textFill>
        </w:rPr>
        <w:t>2.3项目组人员要求</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2.3.1测评机构须根据项目特点和实际情况，提出项目团队配置方案，包括团队成员、组织架构和分组分工等，满足项目实施建设的需要。</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2.3.2测评机构项目团队成员应不少于1名项目经理、4名项目团队人员。项目经理负责项目现场实施，至少有3年以上等级保护测评工作经历和经验；团队成员至少有1年以上的等级保护测评工作经历和经验。所有人员必须属于测评机构在册员工（提供社保缴纳证明为认定依据或出具承诺函）</w:t>
      </w:r>
      <w:r>
        <w:rPr>
          <w:rFonts w:hint="eastAsia" w:ascii="方正仿宋_GB2312" w:hAnsi="方正仿宋_GB2312" w:eastAsia="方正仿宋_GB2312" w:cs="方正仿宋_GB2312"/>
          <w:b/>
          <w:bCs/>
          <w:color w:val="000000" w:themeColor="text1"/>
          <w:kern w:val="2"/>
          <w:sz w:val="21"/>
          <w:szCs w:val="24"/>
          <w:highlight w:val="none"/>
          <w:lang w:val="en-US" w:eastAsia="zh-CN" w:bidi="ar-SA"/>
          <w14:textFill>
            <w14:solidFill>
              <w14:schemeClr w14:val="tx1"/>
            </w14:solidFill>
          </w14:textFill>
        </w:rPr>
        <w:t>，并提供相应人员相关简历，简历需包含所学专业、学历等，并提供所学专业及学历的证明材料加盖投标人公章</w:t>
      </w: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。合同签订后根据采购人实际需要派驻相关资历人员驻场开展服务。</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2.3.3合同签订后必须派驻相关资历人员驻场开展服务。如实际提供的项目团队与投标提供的团队名单材料不符，将视为虚假应标。若采购单位认为项目负责人或者技术人员能力与工作所要求的能力不相称而提出更换时，测评机构必须予以更换，人员更换不得影响测评成果交付时间；测评机构单方面更换项目负责人或技术员（工程师）必须经采购单位书面同意，否则按违约处理直至合同终止。</w:t>
      </w:r>
    </w:p>
    <w:p>
      <w:pPr>
        <w:ind w:firstLine="420" w:firstLineChars="200"/>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Cs w:val="24"/>
          <w:highlight w:val="none"/>
          <w:lang w:val="en-US" w:eastAsia="zh-CN"/>
          <w14:textFill>
            <w14:solidFill>
              <w14:schemeClr w14:val="tx1"/>
            </w14:solidFill>
          </w14:textFill>
        </w:rPr>
        <w:t>2.3.4项目团队实施中提供7×8小时咨询服务。项目验收后提供不少于半年的跟踪咨询服务，自项目验收通过之日起计算。在实施单位提出服务请求时，项目团队应在30分钟内响应，在24个小时内提供解决方案。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249"/>
        </w:tabs>
        <w:ind w:left="124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5B867CBF"/>
    <w:multiLevelType w:val="multilevel"/>
    <w:tmpl w:val="5B867CBF"/>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966A0"/>
    <w:rsid w:val="13DA7422"/>
    <w:rsid w:val="44496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left"/>
      <w:outlineLvl w:val="0"/>
    </w:pPr>
    <w:rPr>
      <w:b/>
      <w:bCs/>
      <w:kern w:val="44"/>
      <w:sz w:val="32"/>
      <w:szCs w:val="32"/>
    </w:rPr>
  </w:style>
  <w:style w:type="paragraph" w:styleId="3">
    <w:name w:val="heading 2"/>
    <w:basedOn w:val="1"/>
    <w:next w:val="1"/>
    <w:unhideWhenUsed/>
    <w:qFormat/>
    <w:uiPriority w:val="0"/>
    <w:pPr>
      <w:keepNext/>
      <w:keepLines/>
      <w:numPr>
        <w:ilvl w:val="1"/>
        <w:numId w:val="1"/>
      </w:numPr>
      <w:ind w:left="0" w:firstLine="0" w:firstLineChars="0"/>
      <w:outlineLvl w:val="1"/>
    </w:pPr>
    <w:rPr>
      <w:rFonts w:eastAsia="黑体" w:asciiTheme="majorHAnsi" w:hAnsiTheme="majorHAnsi" w:cstheme="majorBidi"/>
      <w:color w:val="000000" w:themeColor="text1"/>
      <w:sz w:val="32"/>
      <w:szCs w:val="40"/>
      <w14:textFill>
        <w14:solidFill>
          <w14:schemeClr w14:val="tx1"/>
        </w14:solidFill>
      </w14:textFill>
    </w:rPr>
  </w:style>
  <w:style w:type="paragraph" w:styleId="4">
    <w:name w:val="heading 3"/>
    <w:basedOn w:val="1"/>
    <w:next w:val="1"/>
    <w:unhideWhenUsed/>
    <w:qFormat/>
    <w:uiPriority w:val="0"/>
    <w:pPr>
      <w:keepNext/>
      <w:keepLines/>
      <w:numPr>
        <w:ilvl w:val="2"/>
        <w:numId w:val="1"/>
      </w:numPr>
      <w:ind w:firstLine="0" w:firstLineChars="0"/>
      <w:outlineLvl w:val="2"/>
    </w:pPr>
    <w:rPr>
      <w:rFonts w:eastAsia="黑体" w:asciiTheme="majorHAnsi" w:hAnsiTheme="majorHAnsi" w:cstheme="majorBidi"/>
      <w:color w:val="000000" w:themeColor="text1"/>
      <w:sz w:val="30"/>
      <w:szCs w:val="32"/>
      <w14:textFill>
        <w14:solidFill>
          <w14:schemeClr w14:val="tx1"/>
        </w14:solidFill>
      </w14:textFill>
    </w:rPr>
  </w:style>
  <w:style w:type="paragraph" w:styleId="5">
    <w:name w:val="heading 4"/>
    <w:basedOn w:val="1"/>
    <w:next w:val="1"/>
    <w:unhideWhenUsed/>
    <w:qFormat/>
    <w:uiPriority w:val="0"/>
    <w:pPr>
      <w:keepNext/>
      <w:keepLines/>
      <w:numPr>
        <w:ilvl w:val="3"/>
        <w:numId w:val="1"/>
      </w:numPr>
      <w:ind w:firstLine="0" w:firstLineChars="0"/>
      <w:outlineLvl w:val="3"/>
    </w:pPr>
    <w:rPr>
      <w:rFonts w:eastAsia="黑体" w:cstheme="majorBidi"/>
      <w:color w:val="000000" w:themeColor="text1"/>
      <w:sz w:val="24"/>
      <w:szCs w:val="28"/>
      <w14:textFill>
        <w14:solidFill>
          <w14:schemeClr w14:val="tx1"/>
        </w14:solidFill>
      </w14:textFill>
    </w:rPr>
  </w:style>
  <w:style w:type="paragraph" w:styleId="6">
    <w:name w:val="heading 5"/>
    <w:basedOn w:val="1"/>
    <w:next w:val="1"/>
    <w:unhideWhenUsed/>
    <w:qFormat/>
    <w:uiPriority w:val="0"/>
    <w:pPr>
      <w:keepNext/>
      <w:keepLines/>
      <w:numPr>
        <w:ilvl w:val="4"/>
        <w:numId w:val="1"/>
      </w:numPr>
      <w:spacing w:before="80" w:after="40"/>
      <w:ind w:left="0" w:firstLine="0" w:firstLineChars="0"/>
      <w:outlineLvl w:val="4"/>
    </w:pPr>
    <w:rPr>
      <w:rFonts w:cstheme="majorBidi"/>
      <w:sz w:val="24"/>
      <w:szCs w:val="24"/>
    </w:rPr>
  </w:style>
  <w:style w:type="paragraph" w:styleId="7">
    <w:name w:val="heading 6"/>
    <w:basedOn w:val="1"/>
    <w:next w:val="1"/>
    <w:unhideWhenUsed/>
    <w:qFormat/>
    <w:uiPriority w:val="0"/>
    <w:pPr>
      <w:keepNext/>
      <w:keepLines/>
      <w:numPr>
        <w:ilvl w:val="5"/>
        <w:numId w:val="1"/>
      </w:numPr>
      <w:spacing w:before="40"/>
      <w:ind w:left="0" w:firstLine="0" w:firstLineChars="0"/>
      <w:outlineLvl w:val="5"/>
    </w:pPr>
    <w:rPr>
      <w:rFonts w:cstheme="majorBidi"/>
      <w:b/>
      <w:bCs/>
      <w:color w:val="000000" w:themeColor="text1"/>
      <w14:textFill>
        <w14:solidFill>
          <w14:schemeClr w14:val="tx1"/>
        </w14:solidFill>
      </w14:textFill>
    </w:rPr>
  </w:style>
  <w:style w:type="paragraph" w:styleId="8">
    <w:name w:val="heading 7"/>
    <w:basedOn w:val="1"/>
    <w:next w:val="1"/>
    <w:unhideWhenUsed/>
    <w:qFormat/>
    <w:uiPriority w:val="0"/>
    <w:pPr>
      <w:keepNext/>
      <w:keepLines/>
      <w:numPr>
        <w:ilvl w:val="6"/>
        <w:numId w:val="1"/>
      </w:numPr>
      <w:spacing w:before="40"/>
      <w:ind w:left="0" w:firstLine="0" w:firstLineChars="0"/>
      <w:outlineLvl w:val="6"/>
    </w:pPr>
    <w:rPr>
      <w:rFonts w:cstheme="majorBidi"/>
      <w:b/>
      <w:bCs/>
      <w:color w:val="595959" w:themeColor="text1" w:themeTint="A6"/>
      <w14:textFill>
        <w14:solidFill>
          <w14:schemeClr w14:val="tx1">
            <w14:lumMod w14:val="65000"/>
            <w14:lumOff w14:val="35000"/>
          </w14:schemeClr>
        </w14:solidFill>
      </w14:textFill>
    </w:rPr>
  </w:style>
  <w:style w:type="character" w:default="1" w:styleId="9">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customStyle="1" w:styleId="11">
    <w:name w:val="样式1"/>
    <w:basedOn w:val="1"/>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2026-06-04T06:41:00Z</dcterms:created>
  <dc:creator>Administrator</dc:creator>
  <cp:lastModifiedBy>Administrator</cp:lastModifiedBy>
  <dcterms:modified xsi:type="dcterms:W3CDTF">2026-06-04T06:41:44Z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