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1"/>
          <w:numId w:val="0"/>
        </w:numPr>
        <w:ind w:leftChars="0"/>
        <w:jc w:val="center"/>
        <w:outlineLvl w:val="9"/>
        <w:rPr>
          <w:rFonts w:hint="eastAsia" w:ascii="方正仿宋_GB2312" w:hAnsi="方正仿宋_GB2312" w:eastAsia="方正仿宋_GB2312" w:cs="方正仿宋_GB2312"/>
          <w:color w:val="000000" w:themeColor="text1"/>
          <w:kern w:val="2"/>
          <w:sz w:val="32"/>
          <w:szCs w:val="40"/>
          <w:highlight w:val="none"/>
          <w:lang w:val="en-US" w:eastAsia="zh-CN" w:bidi="ar-SA"/>
          <w14:textFill>
            <w14:solidFill>
              <w14:schemeClr w14:val="tx1"/>
            </w14:solidFill>
          </w14:textFill>
        </w:rPr>
      </w:pPr>
      <w:bookmarkStart w:id="1" w:name="_GoBack"/>
      <w:r>
        <w:rPr>
          <w:rFonts w:hint="eastAsia" w:ascii="方正仿宋_GB2312" w:hAnsi="方正仿宋_GB2312" w:eastAsia="方正仿宋_GB2312" w:cs="方正仿宋_GB2312"/>
          <w:color w:val="000000" w:themeColor="text1"/>
          <w:kern w:val="2"/>
          <w:sz w:val="32"/>
          <w:szCs w:val="40"/>
          <w:highlight w:val="none"/>
          <w:lang w:val="en-US" w:eastAsia="zh-CN" w:bidi="ar-SA"/>
          <w14:textFill>
            <w14:solidFill>
              <w14:schemeClr w14:val="tx1"/>
            </w14:solidFill>
          </w14:textFill>
        </w:rPr>
        <w:t>附件3：包3采购需求</w:t>
      </w:r>
    </w:p>
    <w:bookmarkEnd w:id="1"/>
    <w:p>
      <w:pPr>
        <w:pStyle w:val="3"/>
        <w:numPr>
          <w:ilvl w:val="1"/>
          <w:numId w:val="0"/>
        </w:numPr>
        <w:ind w:leftChars="0"/>
        <w:jc w:val="center"/>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0" w:name="_Toc256"/>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3</w:t>
      </w:r>
      <w:r>
        <w:rPr>
          <w:rFonts w:hint="eastAsia" w:ascii="方正仿宋_GB2312" w:hAnsi="方正仿宋_GB2312" w:eastAsia="方正仿宋_GB2312" w:cs="方正仿宋_GB2312"/>
          <w:color w:val="000000" w:themeColor="text1"/>
          <w:highlight w:val="none"/>
          <w14:textFill>
            <w14:solidFill>
              <w14:schemeClr w14:val="tx1"/>
            </w14:solidFill>
          </w14:textFill>
        </w:rPr>
        <w:t>-软件测评、代码审计服务</w:t>
      </w:r>
      <w:bookmarkEnd w:id="0"/>
    </w:p>
    <w:p>
      <w:pPr>
        <w:pStyle w:val="4"/>
        <w:numPr>
          <w:ilvl w:val="2"/>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1、</w:t>
      </w:r>
      <w:r>
        <w:rPr>
          <w:rFonts w:hint="eastAsia" w:ascii="方正仿宋_GB2312" w:hAnsi="方正仿宋_GB2312" w:eastAsia="方正仿宋_GB2312" w:cs="方正仿宋_GB2312"/>
          <w:color w:val="000000" w:themeColor="text1"/>
          <w:highlight w:val="none"/>
          <w14:textFill>
            <w14:solidFill>
              <w14:schemeClr w14:val="tx1"/>
            </w14:solidFill>
          </w14:textFill>
        </w:rPr>
        <w:t>技术要求</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1.1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项目概况</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项目名称：海南省三甲医院信息化能力提升项目。</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采购人：海南省卫生健康委员会统计信息中心。</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采购内容：软件测评、代码审计服务（</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3</w:t>
      </w:r>
      <w:r>
        <w:rPr>
          <w:rFonts w:hint="eastAsia" w:ascii="方正仿宋_GB2312" w:hAnsi="方正仿宋_GB2312" w:eastAsia="方正仿宋_GB2312" w:cs="方正仿宋_GB2312"/>
          <w:color w:val="000000" w:themeColor="text1"/>
          <w:highlight w:val="none"/>
          <w14:textFill>
            <w14:solidFill>
              <w14:schemeClr w14:val="tx1"/>
            </w14:solidFill>
          </w14:textFill>
        </w:rPr>
        <w:t>）。</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预算金额（最高限价）：本项目总预算860,571.00元。</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 </w:t>
      </w:r>
      <w:r>
        <w:rPr>
          <w:rFonts w:hint="eastAsia" w:ascii="方正仿宋_GB2312" w:hAnsi="方正仿宋_GB2312" w:eastAsia="方正仿宋_GB2312" w:cs="方正仿宋_GB2312"/>
          <w:color w:val="000000" w:themeColor="text1"/>
          <w:highlight w:val="none"/>
          <w14:textFill>
            <w14:solidFill>
              <w14:schemeClr w14:val="tx1"/>
            </w14:solidFill>
          </w14:textFill>
        </w:rPr>
        <w:t>服务内容</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 </w:t>
      </w:r>
      <w:r>
        <w:rPr>
          <w:rFonts w:hint="eastAsia" w:ascii="方正仿宋_GB2312" w:hAnsi="方正仿宋_GB2312" w:eastAsia="方正仿宋_GB2312" w:cs="方正仿宋_GB2312"/>
          <w:color w:val="000000" w:themeColor="text1"/>
          <w:highlight w:val="none"/>
          <w14:textFill>
            <w14:solidFill>
              <w14:schemeClr w14:val="tx1"/>
            </w14:solidFill>
          </w14:textFill>
        </w:rPr>
        <w:t>软件测评服务</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根据项目招标文件、项目合同约定的测试类型选择相应的测试内容，测试内容包括功能测试、性能测试，并严格“依据标准及规范”所要求的适用标准以及合同和信息系统相关技术文档要求开展测试工作。</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 </w:t>
      </w:r>
      <w:r>
        <w:rPr>
          <w:rFonts w:hint="eastAsia" w:ascii="方正仿宋_GB2312" w:hAnsi="方正仿宋_GB2312" w:eastAsia="方正仿宋_GB2312" w:cs="方正仿宋_GB2312"/>
          <w:color w:val="000000" w:themeColor="text1"/>
          <w:highlight w:val="none"/>
          <w14:textFill>
            <w14:solidFill>
              <w14:schemeClr w14:val="tx1"/>
            </w14:solidFill>
          </w14:textFill>
        </w:rPr>
        <w:t>服务对象</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784"/>
        <w:gridCol w:w="6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序号</w:t>
            </w:r>
          </w:p>
        </w:tc>
        <w:tc>
          <w:tcPr>
            <w:tcW w:w="1784"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测评对象</w:t>
            </w:r>
          </w:p>
        </w:tc>
        <w:tc>
          <w:tcPr>
            <w:tcW w:w="6292"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部署位置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1784"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电子病历</w:t>
            </w:r>
          </w:p>
        </w:tc>
        <w:tc>
          <w:tcPr>
            <w:tcW w:w="6292"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1784"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智慧管理</w:t>
            </w:r>
          </w:p>
        </w:tc>
        <w:tc>
          <w:tcPr>
            <w:tcW w:w="6292"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3</w:t>
            </w:r>
          </w:p>
        </w:tc>
        <w:tc>
          <w:tcPr>
            <w:tcW w:w="1784"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智慧服务</w:t>
            </w:r>
          </w:p>
        </w:tc>
        <w:tc>
          <w:tcPr>
            <w:tcW w:w="6292"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4</w:t>
            </w:r>
          </w:p>
        </w:tc>
        <w:tc>
          <w:tcPr>
            <w:tcW w:w="1784"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医院信息平台</w:t>
            </w:r>
          </w:p>
        </w:tc>
        <w:tc>
          <w:tcPr>
            <w:tcW w:w="6292"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海南省老年病医院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5</w:t>
            </w:r>
          </w:p>
        </w:tc>
        <w:tc>
          <w:tcPr>
            <w:tcW w:w="1784"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医院数据标准及数据质控管理系统</w:t>
            </w:r>
          </w:p>
        </w:tc>
        <w:tc>
          <w:tcPr>
            <w:tcW w:w="6292"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6</w:t>
            </w:r>
          </w:p>
        </w:tc>
        <w:tc>
          <w:tcPr>
            <w:tcW w:w="1784"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医院高质量发展监测评价系统</w:t>
            </w:r>
          </w:p>
        </w:tc>
        <w:tc>
          <w:tcPr>
            <w:tcW w:w="6292"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7</w:t>
            </w:r>
          </w:p>
        </w:tc>
        <w:tc>
          <w:tcPr>
            <w:tcW w:w="1784"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临床专科质控中心管理系统</w:t>
            </w:r>
          </w:p>
        </w:tc>
        <w:tc>
          <w:tcPr>
            <w:tcW w:w="6292"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8</w:t>
            </w:r>
          </w:p>
        </w:tc>
        <w:tc>
          <w:tcPr>
            <w:tcW w:w="1784"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医院患者主索引服务和多码协同应用</w:t>
            </w:r>
          </w:p>
        </w:tc>
        <w:tc>
          <w:tcPr>
            <w:tcW w:w="6292"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9</w:t>
            </w:r>
          </w:p>
        </w:tc>
        <w:tc>
          <w:tcPr>
            <w:tcW w:w="1784"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医院临床科研系统</w:t>
            </w:r>
          </w:p>
        </w:tc>
        <w:tc>
          <w:tcPr>
            <w:tcW w:w="6292"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海南医科大学第一附属医院、海南省安宁医院、海南省老年病医院、海南省妇女儿童医学中心、海南医科大学第二附属医院</w:t>
            </w:r>
          </w:p>
        </w:tc>
      </w:tr>
    </w:tbl>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1.2.1.1.1 </w:t>
      </w:r>
      <w:r>
        <w:rPr>
          <w:rFonts w:hint="eastAsia" w:ascii="方正仿宋_GB2312" w:hAnsi="方正仿宋_GB2312" w:eastAsia="方正仿宋_GB2312" w:cs="方正仿宋_GB2312"/>
          <w:color w:val="000000" w:themeColor="text1"/>
          <w:highlight w:val="none"/>
          <w14:textFill>
            <w14:solidFill>
              <w14:schemeClr w14:val="tx1"/>
            </w14:solidFill>
          </w14:textFill>
        </w:rPr>
        <w:t>服务成果</w:t>
      </w:r>
    </w:p>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1.2.1.1.1.1 </w:t>
      </w:r>
      <w:r>
        <w:rPr>
          <w:rFonts w:hint="eastAsia" w:ascii="方正仿宋_GB2312" w:hAnsi="方正仿宋_GB2312" w:eastAsia="方正仿宋_GB2312" w:cs="方正仿宋_GB2312"/>
          <w:color w:val="000000" w:themeColor="text1"/>
          <w:highlight w:val="none"/>
          <w14:textFill>
            <w14:solidFill>
              <w14:schemeClr w14:val="tx1"/>
            </w14:solidFill>
          </w14:textFill>
        </w:rPr>
        <w:t>功能相关特性测试</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测试内容：</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1.基本功能测试：覆盖建设内容的所有功能。根据具体功能设计测试用例，测试执行到系统功能点的最底层。</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整体业务流程测试：测试内容为系统管理等业务流程，分别进行正常执行、非正常执行操作，验证业务流程能否正确控制，具体业务流程在项目设计时结合需求说明和操作手册等文档给出详细的正常流程和所测试的非正常流程的执行步骤。</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3.数据接口测试：结合需求说明书和用户手册，测试系统与内外部系统、设备、文件等的数据接口，验证软件中的数据接口是否正常实现。</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（1）数据共享接口：针对测试系统与内外部系统进行的数据共享，验证系统中的数据共享接口是否正常实现，具体需参考需求说明书和操作手册给出的详细描述。</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（2）文件接口：导入、导出不同格式文件的数据，如统计报表和数据采集导出Excel功能等，执行符合要求和不符合要求两种测试，验证文件导入或导出结果是否正确、完整，对不符合要求的文件的正确处理能力。</w:t>
      </w:r>
    </w:p>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1.2.1.1.1.2 </w:t>
      </w:r>
      <w:r>
        <w:rPr>
          <w:rFonts w:hint="eastAsia" w:ascii="方正仿宋_GB2312" w:hAnsi="方正仿宋_GB2312" w:eastAsia="方正仿宋_GB2312" w:cs="方正仿宋_GB2312"/>
          <w:color w:val="000000" w:themeColor="text1"/>
          <w:highlight w:val="none"/>
          <w14:textFill>
            <w14:solidFill>
              <w14:schemeClr w14:val="tx1"/>
            </w14:solidFill>
          </w14:textFill>
        </w:rPr>
        <w:t>可靠性</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本项测试主要从容错性和易恢复性两方面进行测试，以确保在正常情况下系统能保持长时间无故障运行，对于不可预见原因导致的系统故障，具备故障处理恢复机制使系统在尽可能短时间内恢复运行。</w:t>
      </w:r>
    </w:p>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1.2.1.1.1.3 </w:t>
      </w:r>
      <w:r>
        <w:rPr>
          <w:rFonts w:hint="eastAsia" w:ascii="方正仿宋_GB2312" w:hAnsi="方正仿宋_GB2312" w:eastAsia="方正仿宋_GB2312" w:cs="方正仿宋_GB2312"/>
          <w:color w:val="000000" w:themeColor="text1"/>
          <w:highlight w:val="none"/>
          <w14:textFill>
            <w14:solidFill>
              <w14:schemeClr w14:val="tx1"/>
            </w14:solidFill>
          </w14:textFill>
        </w:rPr>
        <w:t>性能测试</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本项测试主要针对系统的时间特性、资源利用性等两个方面进行测试。</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测试内容：</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通常采用负载及压力测试工具LoadRunner、Perfmon、httpwatch等性能测试工具。利用测试工具模拟并发用户，测试系统在单独场景、综合场景下各个关键功能点的响应时间，以及系统资源利用情况。性能测试内容主要包括：组件调用并发访问，检测用户的数量极限以及响应时间的压力测试：利用测试软件，模拟巨大的工作负荷以查看应用程序在峰值使用情况下如何执行操作。</w:t>
      </w:r>
    </w:p>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1.2.1.1.1.4 </w:t>
      </w:r>
      <w:r>
        <w:rPr>
          <w:rFonts w:hint="eastAsia" w:ascii="方正仿宋_GB2312" w:hAnsi="方正仿宋_GB2312" w:eastAsia="方正仿宋_GB2312" w:cs="方正仿宋_GB2312"/>
          <w:color w:val="000000" w:themeColor="text1"/>
          <w:highlight w:val="none"/>
          <w14:textFill>
            <w14:solidFill>
              <w14:schemeClr w14:val="tx1"/>
            </w14:solidFill>
          </w14:textFill>
        </w:rPr>
        <w:t>可维护性</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维护性是指软件设备可被修改的能力。修改可能包括纠正、改进或软件对环境、需求和功能规格说明变化的适应。本类测试主要是对软件源码、开发和维护文档进行测试。</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测试内容：</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本项测试的主要内容包括：</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1.易分析性</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编码规范是否约定了统一的编码规则，源码是否按照统一的编码规则进行编写。</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编码说明注释是否清晰明了，是否与程序一致。</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是否按软件工程规范编制了系统设计说明书、数据库设计说明书、接口说明书和详细的安装维护手册等系统维护相关文档，结合文档集测试检查其规范性。</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2.易改变性：软件开发人员可以通过软件部分预留的接口对软件进行扩充或者维护。</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3.稳定性：软件运行稳定，对软件某一功能的修改不影响其他功能的运行。</w:t>
      </w:r>
    </w:p>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1.2.1.1.1.5 </w:t>
      </w:r>
      <w:r>
        <w:rPr>
          <w:rFonts w:hint="eastAsia" w:ascii="方正仿宋_GB2312" w:hAnsi="方正仿宋_GB2312" w:eastAsia="方正仿宋_GB2312" w:cs="方正仿宋_GB2312"/>
          <w:color w:val="000000" w:themeColor="text1"/>
          <w:highlight w:val="none"/>
          <w14:textFill>
            <w14:solidFill>
              <w14:schemeClr w14:val="tx1"/>
            </w14:solidFill>
          </w14:textFill>
        </w:rPr>
        <w:t>可移植性</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本项检查软件设备从一种环境迁移到另外一种环境的能力。测试软件设备无需额外的活动或手段就可以适应不同指定环境的能力。</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测试内容：</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适应性：软件在用户文档规定的支持平台和系统下能够正常运行。</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易安装性：容易地把软件安装在运行环境中，安装后可正常运行，也可卸载。</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易替换性：软件部署或安装后可被移除或卸载。</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共存性：该软件的安装不影响其它已安装的部件的正常使用。</w:t>
      </w:r>
    </w:p>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1.2.1.1.1.6 </w:t>
      </w:r>
      <w:r>
        <w:rPr>
          <w:rFonts w:hint="eastAsia" w:ascii="方正仿宋_GB2312" w:hAnsi="方正仿宋_GB2312" w:eastAsia="方正仿宋_GB2312" w:cs="方正仿宋_GB2312"/>
          <w:color w:val="000000" w:themeColor="text1"/>
          <w:highlight w:val="none"/>
          <w14:textFill>
            <w14:solidFill>
              <w14:schemeClr w14:val="tx1"/>
            </w14:solidFill>
          </w14:textFill>
        </w:rPr>
        <w:t>易用性</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本项测试主要针对易理解性、易学性、易操作和吸引性等四个方面进行测试。</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测试内容：</w:t>
      </w:r>
    </w:p>
    <w:tbl>
      <w:tblPr>
        <w:tblStyle w:val="10"/>
        <w:tblW w:w="84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056"/>
        <w:gridCol w:w="6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blHeader/>
          <w:jc w:val="center"/>
        </w:trPr>
        <w:tc>
          <w:tcPr>
            <w:tcW w:w="638" w:type="dxa"/>
            <w:vAlign w:val="center"/>
          </w:tcPr>
          <w:p>
            <w:pPr>
              <w:spacing w:line="240" w:lineRule="auto"/>
              <w:ind w:firstLine="0" w:firstLineChars="0"/>
              <w:jc w:val="cente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t>序号</w:t>
            </w:r>
          </w:p>
        </w:tc>
        <w:tc>
          <w:tcPr>
            <w:tcW w:w="1056" w:type="dxa"/>
            <w:vAlign w:val="center"/>
          </w:tcPr>
          <w:p>
            <w:pPr>
              <w:spacing w:line="240" w:lineRule="auto"/>
              <w:ind w:firstLine="0" w:firstLineChars="0"/>
              <w:jc w:val="cente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t>测试项</w:t>
            </w:r>
          </w:p>
        </w:tc>
        <w:tc>
          <w:tcPr>
            <w:tcW w:w="6726" w:type="dxa"/>
            <w:vAlign w:val="center"/>
          </w:tcPr>
          <w:p>
            <w:pPr>
              <w:spacing w:line="240" w:lineRule="auto"/>
              <w:ind w:firstLine="0" w:firstLineChars="0"/>
              <w:jc w:val="cente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t>测试项说明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w:t>
            </w:r>
          </w:p>
        </w:tc>
        <w:tc>
          <w:tcPr>
            <w:tcW w:w="1056" w:type="dxa"/>
            <w:vMerge w:val="restart"/>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易理解性</w:t>
            </w: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对于常用的功能，用户能不必阅读手册就能使用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2</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所有界面元素（例如图标）都不会让人误解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3</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所有界面元素提供了充分而必要的提示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4</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界面结构能够清晰地反映工作流程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5</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用户容易知道自己在界面中的位置，不会迷失方向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6</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界面的输入和输出的格式和含义容易理解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7</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查询结果的输出方式直观、合理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8</w:t>
            </w:r>
          </w:p>
        </w:tc>
        <w:tc>
          <w:tcPr>
            <w:tcW w:w="1056" w:type="dxa"/>
            <w:vMerge w:val="restart"/>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易学性</w:t>
            </w: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有帮助文件或用户手册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9</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系统导航合理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10</w:t>
            </w:r>
          </w:p>
        </w:tc>
        <w:tc>
          <w:tcPr>
            <w:tcW w:w="1056" w:type="dxa"/>
            <w:vMerge w:val="restart"/>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易操作性</w:t>
            </w: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界面整体风格规范、合理、一致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11</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对相关输入限制条件进行了明确的提示说明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12</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提供多种方式人机接口：界面元素具备充分必要的键盘操作或鼠标操作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13</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有操作向导：操作基本上以向导的形式完成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14</w:t>
            </w:r>
          </w:p>
        </w:tc>
        <w:tc>
          <w:tcPr>
            <w:tcW w:w="1056" w:type="dxa"/>
            <w:vMerge w:val="restart"/>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吸引性</w:t>
            </w:r>
          </w:p>
        </w:tc>
        <w:tc>
          <w:tcPr>
            <w:tcW w:w="6726" w:type="dxa"/>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界面布局一致，所有窗口按钮的位置和对齐方式一致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15</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控件的大小、颜色、背景和显示信息等属性风格一致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16</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标签和讯息的措辞一致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8"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17</w:t>
            </w:r>
          </w:p>
        </w:tc>
        <w:tc>
          <w:tcPr>
            <w:tcW w:w="1056" w:type="dxa"/>
            <w:vMerge w:val="continue"/>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p>
        </w:tc>
        <w:tc>
          <w:tcPr>
            <w:tcW w:w="6726" w:type="dxa"/>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为重要的操作返回必要的结果信息</w:t>
            </w:r>
          </w:p>
        </w:tc>
      </w:tr>
    </w:tbl>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1.2.1.1.1.7 </w:t>
      </w:r>
      <w:r>
        <w:rPr>
          <w:rFonts w:hint="eastAsia" w:ascii="方正仿宋_GB2312" w:hAnsi="方正仿宋_GB2312" w:eastAsia="方正仿宋_GB2312" w:cs="方正仿宋_GB2312"/>
          <w:color w:val="000000" w:themeColor="text1"/>
          <w:highlight w:val="none"/>
          <w14:textFill>
            <w14:solidFill>
              <w14:schemeClr w14:val="tx1"/>
            </w14:solidFill>
          </w14:textFill>
        </w:rPr>
        <w:t>用户文档测试</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用户文档测试按照技术开发合同书要求的过程文档进行检测。一般包括需求说明书、系统设计说明书、自测报告、安装手册、用户手册等。其中针对用户手册进行文档编制质量的检测。</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用户手册测试主要针对完备性、正确性、一致性、易理解性、易学性和可操作性等六个方面进行测试。主要测试软件设备相关的文档是否齐全，设备描述与用户文档是否符合要求。</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测试内容：</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主要对用户提交的需求说明书、用户手册等文档进行检查，关注下列测试项：</w:t>
      </w:r>
    </w:p>
    <w:tbl>
      <w:tblPr>
        <w:tblStyle w:val="10"/>
        <w:tblW w:w="852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629"/>
        <w:gridCol w:w="5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trPr>
        <w:tc>
          <w:tcPr>
            <w:tcW w:w="897" w:type="dxa"/>
            <w:vAlign w:val="center"/>
          </w:tcPr>
          <w:p>
            <w:pPr>
              <w:spacing w:line="240" w:lineRule="auto"/>
              <w:ind w:firstLine="0" w:firstLineChars="0"/>
              <w:jc w:val="cente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t>序号</w:t>
            </w:r>
          </w:p>
        </w:tc>
        <w:tc>
          <w:tcPr>
            <w:tcW w:w="1629" w:type="dxa"/>
            <w:vAlign w:val="center"/>
          </w:tcPr>
          <w:p>
            <w:pPr>
              <w:spacing w:line="240" w:lineRule="auto"/>
              <w:ind w:firstLine="0" w:firstLineChars="0"/>
              <w:jc w:val="cente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t>测试项</w:t>
            </w:r>
          </w:p>
        </w:tc>
        <w:tc>
          <w:tcPr>
            <w:tcW w:w="5996" w:type="dxa"/>
            <w:vAlign w:val="center"/>
          </w:tcPr>
          <w:p>
            <w:pPr>
              <w:spacing w:line="240" w:lineRule="auto"/>
              <w:ind w:firstLine="0" w:firstLineChars="0"/>
              <w:jc w:val="cente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zCs w:val="21"/>
                <w:highlight w:val="none"/>
                <w14:textFill>
                  <w14:solidFill>
                    <w14:schemeClr w14:val="tx1"/>
                  </w14:solidFill>
                </w14:textFill>
              </w:rPr>
              <w:t>测试项说明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w:t>
            </w:r>
          </w:p>
        </w:tc>
        <w:tc>
          <w:tcPr>
            <w:tcW w:w="7625" w:type="dxa"/>
            <w:gridSpan w:val="2"/>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产品描述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1.1</w:t>
            </w:r>
          </w:p>
        </w:tc>
        <w:tc>
          <w:tcPr>
            <w:tcW w:w="1629"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包含文档</w:t>
            </w:r>
          </w:p>
        </w:tc>
        <w:tc>
          <w:tcPr>
            <w:tcW w:w="599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是否有产品说明书、需求规格说明书、用户手册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1.2</w:t>
            </w:r>
          </w:p>
        </w:tc>
        <w:tc>
          <w:tcPr>
            <w:tcW w:w="1629"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术语一致性</w:t>
            </w:r>
          </w:p>
        </w:tc>
        <w:tc>
          <w:tcPr>
            <w:tcW w:w="599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产品描述是否一致，每个术语在任何地方是否有相同的意义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1.3</w:t>
            </w:r>
          </w:p>
        </w:tc>
        <w:tc>
          <w:tcPr>
            <w:tcW w:w="1629"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产品标识</w:t>
            </w:r>
          </w:p>
        </w:tc>
        <w:tc>
          <w:tcPr>
            <w:tcW w:w="599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产品标识是否具有产品名称和版本号或日期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1.4</w:t>
            </w:r>
          </w:p>
        </w:tc>
        <w:tc>
          <w:tcPr>
            <w:tcW w:w="1629"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包含内容</w:t>
            </w:r>
          </w:p>
        </w:tc>
        <w:tc>
          <w:tcPr>
            <w:tcW w:w="599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产品描述应概述产品的用户可调用功能、需要的数据、所提供的设施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2</w:t>
            </w:r>
          </w:p>
        </w:tc>
        <w:tc>
          <w:tcPr>
            <w:tcW w:w="1629"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用户文档</w:t>
            </w:r>
          </w:p>
        </w:tc>
        <w:tc>
          <w:tcPr>
            <w:tcW w:w="599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是否包括用户手册、安装手册、程序维护手册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2.1</w:t>
            </w:r>
          </w:p>
        </w:tc>
        <w:tc>
          <w:tcPr>
            <w:tcW w:w="1629"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完备性</w:t>
            </w:r>
          </w:p>
        </w:tc>
        <w:tc>
          <w:tcPr>
            <w:tcW w:w="599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用户文档完整地说明了软件包的所有功能以及在程序中用户可以调用的所有功能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2.2</w:t>
            </w:r>
          </w:p>
        </w:tc>
        <w:tc>
          <w:tcPr>
            <w:tcW w:w="1629"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正确性</w:t>
            </w:r>
          </w:p>
        </w:tc>
        <w:tc>
          <w:tcPr>
            <w:tcW w:w="599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所检用户文档中描述的信息都正确，没有歧义和错误的表达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2.3</w:t>
            </w:r>
          </w:p>
        </w:tc>
        <w:tc>
          <w:tcPr>
            <w:tcW w:w="1629"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一致性</w:t>
            </w:r>
          </w:p>
        </w:tc>
        <w:tc>
          <w:tcPr>
            <w:tcW w:w="599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用户文档自身内容或相互之间没有矛盾，并且不与产品说明矛盾。每个术语的含义在文档中保持一致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2.4</w:t>
            </w:r>
          </w:p>
        </w:tc>
        <w:tc>
          <w:tcPr>
            <w:tcW w:w="1629"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易理解性</w:t>
            </w:r>
          </w:p>
        </w:tc>
        <w:tc>
          <w:tcPr>
            <w:tcW w:w="599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用户文档对正常执行工作任务的一般用户是易理解的，通过使用适当的术语、大量的图形表示、详细的解释以及引用有用的信息源来表达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2.5</w:t>
            </w:r>
          </w:p>
        </w:tc>
        <w:tc>
          <w:tcPr>
            <w:tcW w:w="1629"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易学性</w:t>
            </w:r>
          </w:p>
        </w:tc>
        <w:tc>
          <w:tcPr>
            <w:tcW w:w="599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所检用户手册可为用户学会如何使用该软件帮助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7"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2.6</w:t>
            </w:r>
          </w:p>
        </w:tc>
        <w:tc>
          <w:tcPr>
            <w:tcW w:w="1629"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可操作性</w:t>
            </w:r>
          </w:p>
        </w:tc>
        <w:tc>
          <w:tcPr>
            <w:tcW w:w="5996" w:type="dxa"/>
            <w:vAlign w:val="center"/>
          </w:tcPr>
          <w:p>
            <w:pPr>
              <w:spacing w:line="240" w:lineRule="auto"/>
              <w:ind w:firstLine="0" w:firstLineChars="0"/>
              <w:rPr>
                <w:rFonts w:hint="eastAsia" w:ascii="方正仿宋_GB2312" w:hAnsi="方正仿宋_GB2312" w:eastAsia="方正仿宋_GB2312" w:cs="方正仿宋_GB2312"/>
                <w:color w:val="000000" w:themeColor="text1"/>
                <w:szCs w:val="21"/>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1"/>
                <w:highlight w:val="none"/>
                <w14:textFill>
                  <w14:solidFill>
                    <w14:schemeClr w14:val="tx1"/>
                  </w14:solidFill>
                </w14:textFill>
              </w:rPr>
              <w:t>所检测的用户手册均有详细的目录表</w:t>
            </w:r>
          </w:p>
        </w:tc>
      </w:tr>
    </w:tbl>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1.2.1.1.1.8 </w:t>
      </w:r>
      <w:r>
        <w:rPr>
          <w:rFonts w:hint="eastAsia" w:ascii="方正仿宋_GB2312" w:hAnsi="方正仿宋_GB2312" w:eastAsia="方正仿宋_GB2312" w:cs="方正仿宋_GB2312"/>
          <w:color w:val="000000" w:themeColor="text1"/>
          <w:highlight w:val="none"/>
          <w14:textFill>
            <w14:solidFill>
              <w14:schemeClr w14:val="tx1"/>
            </w14:solidFill>
          </w14:textFill>
        </w:rPr>
        <w:t>回归测试要求</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完成首轮测评工作后，对于测试结论为不通过的，评测机构将免费提供1次回归测试。回归测试的目标是关闭所有的问题缺陷，并确认修复后的程序未引发新的缺陷。</w:t>
      </w:r>
    </w:p>
    <w:p>
      <w:pPr>
        <w:pStyle w:val="8"/>
        <w:numPr>
          <w:ilvl w:val="6"/>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1.2.1.1.1.9 </w:t>
      </w:r>
      <w:r>
        <w:rPr>
          <w:rFonts w:hint="eastAsia" w:ascii="方正仿宋_GB2312" w:hAnsi="方正仿宋_GB2312" w:eastAsia="方正仿宋_GB2312" w:cs="方正仿宋_GB2312"/>
          <w:color w:val="000000" w:themeColor="text1"/>
          <w:highlight w:val="none"/>
          <w14:textFill>
            <w14:solidFill>
              <w14:schemeClr w14:val="tx1"/>
            </w14:solidFill>
          </w14:textFill>
        </w:rPr>
        <w:t>文档要求</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第三方测评机构应在合同规定的时间内，将项目范围内所界定的工作完成，具体要求包括但不限于：</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1.应向招标方提供有关本项目的全套测试资料。</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2.技术文档应符合系统功能和技术要求。文档内容应满足“依据标准及规范”所要求的适用标准以及合同和信息系统相关技术文档要求；</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3.文档统一风格，结构清晰，逻辑清楚，具有文档的组织体系；</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4.中标方提供的文档和资料均应以纸张和磁介质（或光盘）为载体，文件格式为Word文档或其他可视化文件；</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5.每项测试需要提交的文档至少包括如下：</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测试计划；</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测试记录；</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测试问题单；</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测试报告。</w:t>
      </w:r>
    </w:p>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1.2.1.1.1.10 </w:t>
      </w:r>
      <w:r>
        <w:rPr>
          <w:rFonts w:hint="eastAsia" w:ascii="方正仿宋_GB2312" w:hAnsi="方正仿宋_GB2312" w:eastAsia="方正仿宋_GB2312" w:cs="方正仿宋_GB2312"/>
          <w:color w:val="000000" w:themeColor="text1"/>
          <w:highlight w:val="none"/>
          <w14:textFill>
            <w14:solidFill>
              <w14:schemeClr w14:val="tx1"/>
            </w14:solidFill>
          </w14:textFill>
        </w:rPr>
        <w:t>测评依据标准及规范</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除本项目的特殊规定外，所提供的咨询成果需按下列标准和规程进行设计和检验。要求所用标准必须是最新版本，如果这些标准有矛盾时，应按最高标准的条款执行或按双方商定的标准执行。如果投标人选用本技术招标书规定以外的标准时，需提交所替换标准相当或优于本技术招标书规定的标准的证明。</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适用标准包括但不限于：</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1.GB/T25000.51-2016《系统与软件工程系统与软件质量要求和评价（SQuaRE）第51部分：就绪可用软件产品（RUSP）的质量要求和测试细则》；</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2.GB/T25000.10-2016《系统与软件工程系统与软件质量要求和评价（SQuaRE）第10部分：系统与软件质量模型》；</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3.GB/T9385-2008《计算机软件需求规格说明规范》；</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4.GB/T9386-2008《计算机软件测试文档编制规范》；</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5.GB/T14394-2008《计算机软件可靠性和可维护性管理》；</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6.GB/T32421-2015《软件工程软件评审与审核》；</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7.GB/T32422-2015《软件工程软件异常分类指南》；</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8.GB/T32423-2015《系统与软件工程验证与确认》；</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9.信息系统建设项目合同和信息系统相关技术文档。</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1.2.2 </w:t>
      </w:r>
      <w:r>
        <w:rPr>
          <w:rFonts w:hint="eastAsia" w:ascii="方正仿宋_GB2312" w:hAnsi="方正仿宋_GB2312" w:eastAsia="方正仿宋_GB2312" w:cs="方正仿宋_GB2312"/>
          <w:color w:val="000000" w:themeColor="text1"/>
          <w:highlight w:val="none"/>
          <w14:textFill>
            <w14:solidFill>
              <w14:schemeClr w14:val="tx1"/>
            </w14:solidFill>
          </w14:textFill>
        </w:rPr>
        <w:t>代码审计服务</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1.2.2.1 </w:t>
      </w:r>
      <w:r>
        <w:rPr>
          <w:rFonts w:hint="eastAsia" w:ascii="方正仿宋_GB2312" w:hAnsi="方正仿宋_GB2312" w:eastAsia="方正仿宋_GB2312" w:cs="方正仿宋_GB2312"/>
          <w:color w:val="000000" w:themeColor="text1"/>
          <w:highlight w:val="none"/>
          <w14:textFill>
            <w14:solidFill>
              <w14:schemeClr w14:val="tx1"/>
            </w14:solidFill>
          </w14:textFill>
        </w:rPr>
        <w:t>服务对象</w:t>
      </w:r>
    </w:p>
    <w:tbl>
      <w:tblPr>
        <w:tblStyle w:val="10"/>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368"/>
        <w:gridCol w:w="5331"/>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序号</w:t>
            </w:r>
          </w:p>
        </w:tc>
        <w:tc>
          <w:tcPr>
            <w:tcW w:w="1368"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测评对象</w:t>
            </w:r>
          </w:p>
        </w:tc>
        <w:tc>
          <w:tcPr>
            <w:tcW w:w="5331"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部署位置</w:t>
            </w:r>
          </w:p>
        </w:tc>
        <w:tc>
          <w:tcPr>
            <w:tcW w:w="1099"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系统等级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1368"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电子病历</w:t>
            </w:r>
          </w:p>
        </w:tc>
        <w:tc>
          <w:tcPr>
            <w:tcW w:w="5331"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c>
          <w:tcPr>
            <w:tcW w:w="1099"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1368"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智慧管理</w:t>
            </w:r>
          </w:p>
        </w:tc>
        <w:tc>
          <w:tcPr>
            <w:tcW w:w="5331"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c>
          <w:tcPr>
            <w:tcW w:w="1099"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3</w:t>
            </w:r>
          </w:p>
        </w:tc>
        <w:tc>
          <w:tcPr>
            <w:tcW w:w="1368"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智慧服务</w:t>
            </w:r>
          </w:p>
        </w:tc>
        <w:tc>
          <w:tcPr>
            <w:tcW w:w="5331"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c>
          <w:tcPr>
            <w:tcW w:w="1099"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4</w:t>
            </w:r>
          </w:p>
        </w:tc>
        <w:tc>
          <w:tcPr>
            <w:tcW w:w="1368"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医院信息平台</w:t>
            </w:r>
          </w:p>
        </w:tc>
        <w:tc>
          <w:tcPr>
            <w:tcW w:w="5331"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海南省老年病医院</w:t>
            </w:r>
          </w:p>
        </w:tc>
        <w:tc>
          <w:tcPr>
            <w:tcW w:w="1099"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5</w:t>
            </w:r>
          </w:p>
        </w:tc>
        <w:tc>
          <w:tcPr>
            <w:tcW w:w="1368"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医院数据标准及数据质控管理系统</w:t>
            </w:r>
          </w:p>
        </w:tc>
        <w:tc>
          <w:tcPr>
            <w:tcW w:w="5331"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c>
          <w:tcPr>
            <w:tcW w:w="1099"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6</w:t>
            </w:r>
          </w:p>
        </w:tc>
        <w:tc>
          <w:tcPr>
            <w:tcW w:w="1368"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医院高质量发展监测评价系统</w:t>
            </w:r>
          </w:p>
        </w:tc>
        <w:tc>
          <w:tcPr>
            <w:tcW w:w="5331"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c>
          <w:tcPr>
            <w:tcW w:w="1099"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7</w:t>
            </w:r>
          </w:p>
        </w:tc>
        <w:tc>
          <w:tcPr>
            <w:tcW w:w="1368"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临床专科质控中心管理系统</w:t>
            </w:r>
          </w:p>
        </w:tc>
        <w:tc>
          <w:tcPr>
            <w:tcW w:w="5331"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w:t>
            </w:r>
          </w:p>
        </w:tc>
        <w:tc>
          <w:tcPr>
            <w:tcW w:w="1099"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8</w:t>
            </w:r>
          </w:p>
        </w:tc>
        <w:tc>
          <w:tcPr>
            <w:tcW w:w="1368"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医院患者主索引服务和多码协同应用</w:t>
            </w:r>
          </w:p>
        </w:tc>
        <w:tc>
          <w:tcPr>
            <w:tcW w:w="5331"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c>
          <w:tcPr>
            <w:tcW w:w="1099"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9</w:t>
            </w:r>
          </w:p>
        </w:tc>
        <w:tc>
          <w:tcPr>
            <w:tcW w:w="1368"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医院临床科研系统</w:t>
            </w:r>
          </w:p>
        </w:tc>
        <w:tc>
          <w:tcPr>
            <w:tcW w:w="5331"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海南医科大学第一附属医院、海南省安宁医院、海南省老年病医院、海南省妇女儿童医学中心、海南医科大学第二附属医院</w:t>
            </w:r>
          </w:p>
        </w:tc>
        <w:tc>
          <w:tcPr>
            <w:tcW w:w="1099"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bl>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1.2.2.2 </w:t>
      </w:r>
      <w:r>
        <w:rPr>
          <w:rFonts w:hint="eastAsia" w:ascii="方正仿宋_GB2312" w:hAnsi="方正仿宋_GB2312" w:eastAsia="方正仿宋_GB2312" w:cs="方正仿宋_GB2312"/>
          <w:color w:val="000000" w:themeColor="text1"/>
          <w:highlight w:val="none"/>
          <w14:textFill>
            <w14:solidFill>
              <w14:schemeClr w14:val="tx1"/>
            </w14:solidFill>
          </w14:textFill>
        </w:rPr>
        <w:t>服务内容</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代码审计是由具备高技能和高素质的安全服务人员发起，检查源代码中的缺点和错误信息，分析并找到这些问题引发的安全漏洞，并提供代码修订措施和建议。</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代码审计服务的目的在于充分挖掘和暴露系统的弱点，从而让管理人员了解其系统所面临的威胁。信息安全问题时刻都有新的变化，新的攻击方法层出不穷，攻击者攻击的方向越来越侧重于利用软件本身的安全漏洞，例如SQL注入漏洞、跨站脚本漏洞、CSRF漏洞等，这些漏洞主要由不良的软件架构和不安全的编码产生。</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开展源代码审计能够降低源代码出现的安全漏洞，构建安全的代码，提高源代码的可靠性，提高应用系统自身安全防护能力。源代码安全检测能够帮助开发人员提高源代码的质量，从底层保障应用系统本身的安全，从早期降低应用系统的开发成本。</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代码审计服务主要对象包括并不限于对Windows和Linux系统环境下的以下语言进行审核：java、C、C#、ASP、PHP、JSP、.NET全面测试。</w:t>
      </w:r>
    </w:p>
    <w:p>
      <w:pP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代码审计服务的主要内容包括但不限于：</w:t>
      </w:r>
    </w:p>
    <w:p>
      <w:pPr>
        <w:numPr>
          <w:ilvl w:val="0"/>
          <w:numId w:val="2"/>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OWASP WEB TOP 10漏洞</w:t>
      </w:r>
    </w:p>
    <w:p>
      <w:pPr>
        <w:numPr>
          <w:ilvl w:val="0"/>
          <w:numId w:val="2"/>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Web应用程序的权限架构</w:t>
      </w:r>
    </w:p>
    <w:p>
      <w:pPr>
        <w:numPr>
          <w:ilvl w:val="0"/>
          <w:numId w:val="2"/>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Web应用通信安全</w:t>
      </w:r>
    </w:p>
    <w:p>
      <w:pPr>
        <w:numPr>
          <w:ilvl w:val="0"/>
          <w:numId w:val="2"/>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数据库的配置规范</w:t>
      </w:r>
    </w:p>
    <w:p>
      <w:pPr>
        <w:numPr>
          <w:ilvl w:val="0"/>
          <w:numId w:val="2"/>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SQL语句的编写规范</w:t>
      </w:r>
    </w:p>
    <w:p>
      <w:pPr>
        <w:numPr>
          <w:ilvl w:val="0"/>
          <w:numId w:val="2"/>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Web应用框架安全性</w:t>
      </w:r>
    </w:p>
    <w:p>
      <w:pP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代码审计参考依据：</w:t>
      </w:r>
    </w:p>
    <w:p>
      <w:pPr>
        <w:numPr>
          <w:ilvl w:val="0"/>
          <w:numId w:val="3"/>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CVE（Common Vulnerabilities &amp; Exposures）公共漏洞字典表</w:t>
      </w:r>
    </w:p>
    <w:p>
      <w:pPr>
        <w:numPr>
          <w:ilvl w:val="0"/>
          <w:numId w:val="3"/>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OWASP OWASP_Testing_Guide_v3</w:t>
      </w:r>
    </w:p>
    <w:p>
      <w:pPr>
        <w:numPr>
          <w:ilvl w:val="0"/>
          <w:numId w:val="3"/>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OWASP OWASP_Development_Guide_2005</w:t>
      </w:r>
    </w:p>
    <w:p>
      <w:pPr>
        <w:numPr>
          <w:ilvl w:val="0"/>
          <w:numId w:val="3"/>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OWASP OWASP_Top_10_2010_Chinese_V1.0</w:t>
      </w:r>
    </w:p>
    <w:p>
      <w:pPr>
        <w:numPr>
          <w:ilvl w:val="0"/>
          <w:numId w:val="3"/>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OWASP Mobile Security Project</w:t>
      </w:r>
    </w:p>
    <w:p>
      <w:pPr>
        <w:numPr>
          <w:ilvl w:val="0"/>
          <w:numId w:val="3"/>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信息安全技术 信息安全风险评估规范（GB/T 20984-2007）</w:t>
      </w:r>
    </w:p>
    <w:p>
      <w:pPr>
        <w:numPr>
          <w:ilvl w:val="0"/>
          <w:numId w:val="3"/>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信息技术 信息安全管理实用规则（GB/T 19716-2005）（ISO/IEC 17799:2000）</w:t>
      </w:r>
    </w:p>
    <w:p>
      <w:pPr>
        <w:numPr>
          <w:ilvl w:val="0"/>
          <w:numId w:val="3"/>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信息系统安全风险评估实施指南</w:t>
      </w:r>
    </w:p>
    <w:p>
      <w:pPr>
        <w:numPr>
          <w:ilvl w:val="0"/>
          <w:numId w:val="3"/>
        </w:numPr>
        <w:ind w:left="0" w:firstLine="42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14:textFill>
            <w14:solidFill>
              <w14:schemeClr w14:val="tx1"/>
            </w14:solidFill>
          </w14:textFill>
        </w:rPr>
        <w:t>设备、软件厂商公布的漏洞库</w:t>
      </w:r>
    </w:p>
    <w:p>
      <w:pPr>
        <w:pStyle w:val="4"/>
        <w:numPr>
          <w:ilvl w:val="2"/>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w:t>
      </w:r>
      <w:r>
        <w:rPr>
          <w:rFonts w:hint="eastAsia" w:ascii="方正仿宋_GB2312" w:hAnsi="方正仿宋_GB2312" w:eastAsia="方正仿宋_GB2312" w:cs="方正仿宋_GB2312"/>
          <w:color w:val="000000" w:themeColor="text1"/>
          <w:highlight w:val="none"/>
          <w14:textFill>
            <w14:solidFill>
              <w14:schemeClr w14:val="tx1"/>
            </w14:solidFill>
          </w14:textFill>
        </w:rPr>
        <w:t>商务要求</w:t>
      </w:r>
    </w:p>
    <w:p>
      <w:pPr>
        <w:ind w:firstLine="420" w:firstLineChars="200"/>
        <w:rPr>
          <w:rFonts w:hint="default" w:ascii="方正仿宋_GB2312" w:hAnsi="方正仿宋_GB2312" w:eastAsia="方正仿宋_GB2312" w:cs="方正仿宋_GB2312"/>
          <w:color w:val="000000" w:themeColor="text1"/>
          <w:szCs w:val="24"/>
          <w:highlight w:val="none"/>
          <w:lang w:val="en-US"/>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2.1 服务期限</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自签订合同至交付成果和报告并且项目通过竣工验收合格为止。乙方需在甲方下达测评通知书后30天内交付成果和报告。</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2.2 项目验收要求</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中标单位应提交最终代码审计报告及测试总结报告，并按合同要求完成代码审计服务及测试工作才予验收。</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2.3 付款方式</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2.3.1 本合同签订后，采购人凭中标单位开具的正式有效增值税普通发票在3个工作日内，向中标单位支付合同总额的30%作为首付款。</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2.3.2 项目通过竣工验收，</w:t>
      </w:r>
      <w:r>
        <w:rPr>
          <w:rFonts w:hint="eastAsia" w:ascii="方正仿宋_GB2312" w:hAnsi="方正仿宋_GB2312" w:eastAsia="方正仿宋_GB2312" w:cs="方正仿宋_GB2312"/>
          <w:color w:val="000000" w:themeColor="text1"/>
          <w:szCs w:val="24"/>
          <w:highlight w:val="none"/>
          <w:lang w:eastAsia="zh-CN"/>
          <w14:textFill>
            <w14:solidFill>
              <w14:schemeClr w14:val="tx1"/>
            </w14:solidFill>
          </w14:textFill>
        </w:rPr>
        <w:t>采购人</w:t>
      </w: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收到中标单位</w:t>
      </w:r>
      <w:r>
        <w:rPr>
          <w:rFonts w:hint="eastAsia" w:ascii="方正仿宋_GB2312" w:hAnsi="方正仿宋_GB2312" w:eastAsia="方正仿宋_GB2312" w:cs="方正仿宋_GB2312"/>
          <w:color w:val="000000" w:themeColor="text1"/>
          <w:szCs w:val="24"/>
          <w:highlight w:val="none"/>
          <w:lang w:eastAsia="zh-CN"/>
          <w14:textFill>
            <w14:solidFill>
              <w14:schemeClr w14:val="tx1"/>
            </w14:solidFill>
          </w14:textFill>
        </w:rPr>
        <w:t>开具的正式有效增值税普通发票</w:t>
      </w: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3</w:t>
      </w:r>
      <w:r>
        <w:rPr>
          <w:rFonts w:hint="eastAsia" w:ascii="方正仿宋_GB2312" w:hAnsi="方正仿宋_GB2312" w:eastAsia="方正仿宋_GB2312" w:cs="方正仿宋_GB2312"/>
          <w:color w:val="000000" w:themeColor="text1"/>
          <w:szCs w:val="24"/>
          <w:highlight w:val="none"/>
          <w:lang w:eastAsia="zh-CN"/>
          <w14:textFill>
            <w14:solidFill>
              <w14:schemeClr w14:val="tx1"/>
            </w14:solidFill>
          </w14:textFill>
        </w:rPr>
        <w:t>个工作日内，</w:t>
      </w: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向中标单位支付合同总额的70%。</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2.3.3 具体付款方式以签订合同为准。</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2.3.4 中标单位凭以下有效文件与采购人结算：（1）合同；（2）中标单位开具的正式发票；（3）付款申请。中标单位请款时需提供依法纳税的全额发票，并应理解政府部门付款的相关程序。</w:t>
      </w:r>
      <w:r>
        <w:rPr>
          <w:rFonts w:hint="eastAsia" w:ascii="方正仿宋_GB2312" w:hAnsi="方正仿宋_GB2312" w:eastAsia="方正仿宋_GB2312" w:cs="方正仿宋_GB2312"/>
          <w:color w:val="000000" w:themeColor="text1"/>
          <w:sz w:val="21"/>
          <w:szCs w:val="21"/>
          <w:highlight w:val="none"/>
          <w:lang w:val="en-US" w:eastAsia="zh-CN"/>
          <w14:textFill>
            <w14:solidFill>
              <w14:schemeClr w14:val="tx1"/>
            </w14:solidFill>
          </w14:textFill>
        </w:rPr>
        <w:t>实际支付进度以财政厅下达资金为准。申请付款时，如</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sz w:val="21"/>
          <w:szCs w:val="21"/>
          <w:highlight w:val="none"/>
          <w:lang w:val="en-US" w:eastAsia="zh-CN"/>
          <w14:textFill>
            <w14:solidFill>
              <w14:schemeClr w14:val="tx1"/>
            </w14:solidFill>
          </w14:textFill>
        </w:rPr>
        <w:t>提供的材料不完整、不真实，采购人有权暂缓付款而不视为违约。</w:t>
      </w:r>
    </w:p>
    <w:p>
      <w:pPr>
        <w:ind w:firstLine="420" w:firstLineChars="200"/>
        <w:rPr>
          <w:rFonts w:hint="eastAsia" w:ascii="方正仿宋_GB2312" w:hAnsi="方正仿宋_GB2312" w:eastAsia="方正仿宋_GB2312" w:cs="方正仿宋_GB2312"/>
          <w:color w:val="000000" w:themeColor="text1"/>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2.5报价要求</w:t>
      </w:r>
    </w:p>
    <w:p>
      <w:pPr>
        <w:ind w:firstLine="420" w:firstLineChars="200"/>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服务报价应为人民币含税包干价，包含人工费、材料费、交通费、税费等所有相关工作所发生的一切费用，采购人将不再额外支付任何费用。</w:t>
      </w:r>
    </w:p>
    <w:p>
      <w:pPr>
        <w:numPr>
          <w:ilvl w:val="-1"/>
          <w:numId w:val="0"/>
        </w:numPr>
        <w:ind w:leftChars="0" w:firstLine="420" w:firstLineChars="200"/>
        <w:jc w:val="left"/>
        <w:outlineLvl w:val="9"/>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2.6</w:t>
      </w:r>
      <w:r>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t>项目组人员要求</w:t>
      </w:r>
    </w:p>
    <w:p>
      <w:pPr>
        <w:ind w:firstLine="420" w:firstLineChars="200"/>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pPr>
    </w:p>
    <w:p>
      <w:pPr>
        <w:ind w:firstLine="420" w:firstLineChars="200"/>
        <w:rPr>
          <w:rFonts w:hint="default"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1、海南省三甲医院信息化能力提升项目部署涉及海南省卫生健康委员会、海南医科大学第一附属医院、海南省安宁医院、海南省老年病医院、海南省妇女儿童医学中心、海南省人民医院、海南医科大学第二附属医院等单位。</w:t>
      </w:r>
    </w:p>
    <w:p>
      <w:pPr>
        <w:numPr>
          <w:ilvl w:val="-1"/>
          <w:numId w:val="0"/>
        </w:numPr>
        <w:ind w:leftChars="0" w:firstLine="420" w:firstLineChars="200"/>
        <w:jc w:val="left"/>
        <w:outlineLvl w:val="9"/>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t>2、测评单位须根据项目特点和实际情况，提出项目团队配置方案，包括团队成员、组织架构和分组分工等，满足项目实施建设的需要。</w:t>
      </w:r>
    </w:p>
    <w:p>
      <w:pPr>
        <w:numPr>
          <w:ilvl w:val="-1"/>
          <w:numId w:val="0"/>
        </w:numPr>
        <w:ind w:leftChars="0" w:firstLine="420" w:firstLineChars="200"/>
        <w:jc w:val="left"/>
        <w:outlineLvl w:val="9"/>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t>3、项目团队成员应不少于1名项目经理、4名项目团队人员。项目经理具有至少3年以上软件测评服务项目管理经验，项目团队成员具有至少1年以上软件测评服务项目管理经验，所有人员必须属于测试单位在册员工</w:t>
      </w:r>
      <w:r>
        <w:rPr>
          <w:rFonts w:hint="eastAsia" w:ascii="方正仿宋_GB2312" w:hAnsi="方正仿宋_GB2312" w:eastAsia="方正仿宋_GB2312" w:cs="方正仿宋_GB2312"/>
          <w:b/>
          <w:bCs/>
          <w:color w:val="000000" w:themeColor="text1"/>
          <w:kern w:val="2"/>
          <w:sz w:val="21"/>
          <w:szCs w:val="24"/>
          <w:highlight w:val="none"/>
          <w:lang w:val="en-US" w:eastAsia="zh-CN" w:bidi="ar-SA"/>
          <w14:textFill>
            <w14:solidFill>
              <w14:schemeClr w14:val="tx1"/>
            </w14:solidFill>
          </w14:textFill>
        </w:rPr>
        <w:t>（提供社保缴纳证明为认定依据或出具承诺函），并提供相应人员相关简历，简历需包含所学专业、学历等，并提供所学专业及学历的证明材料加盖投标人公章</w:t>
      </w:r>
      <w:r>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t>。合同签订后根据采购人实际需要派驻相关资历人员驻场开展服务。</w:t>
      </w:r>
    </w:p>
    <w:p>
      <w:pPr>
        <w:numPr>
          <w:ilvl w:val="-1"/>
          <w:numId w:val="0"/>
        </w:numPr>
        <w:ind w:leftChars="0" w:firstLine="420" w:firstLineChars="200"/>
        <w:jc w:val="left"/>
        <w:outlineLvl w:val="9"/>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t>4、合同签订后根据采购人实际需求派驻相关资历人员驻场开展服务直至项目验收，驻场地点由采购人指定。如实际提供的项目团队与投标提供的团队名单材料不符，将视为虚假应标。若采购人认为项目经理或团队成员能力与工作所要求的能力不相称而提出更换时，测评单位必须予以更换，人员更换不得影响测评成果交付时间；测评单位单方面更换项目经理或团队成员必须经采购单位书面同意，否则按违约处理直至合同终止。</w:t>
      </w:r>
    </w:p>
    <w:p>
      <w:pPr>
        <w:numPr>
          <w:ilvl w:val="-1"/>
          <w:numId w:val="0"/>
        </w:numPr>
        <w:ind w:leftChars="0" w:firstLine="420" w:firstLineChars="200"/>
        <w:jc w:val="left"/>
        <w:outlineLvl w:val="9"/>
        <w:rPr>
          <w:rFonts w:hint="eastAsia" w:ascii="方正仿宋_GB2312" w:hAnsi="方正仿宋_GB2312" w:eastAsia="方正仿宋_GB2312" w:cs="方正仿宋_GB2312"/>
          <w:color w:val="000000" w:themeColor="text1"/>
          <w:kern w:val="2"/>
          <w:sz w:val="32"/>
          <w:szCs w:val="40"/>
          <w:highlight w:val="none"/>
          <w:lang w:val="en-US" w:eastAsia="zh-CN" w:bidi="ar-SA"/>
          <w14:textFill>
            <w14:solidFill>
              <w14:schemeClr w14:val="tx1"/>
            </w14:solidFill>
          </w14:textFill>
        </w:rPr>
      </w:pPr>
      <w:r>
        <w:rPr>
          <w:rFonts w:hint="eastAsia" w:ascii="方正仿宋_GB2312" w:hAnsi="方正仿宋_GB2312" w:eastAsia="方正仿宋_GB2312" w:cs="方正仿宋_GB2312"/>
          <w:color w:val="000000" w:themeColor="text1"/>
          <w:kern w:val="2"/>
          <w:sz w:val="21"/>
          <w:szCs w:val="24"/>
          <w:highlight w:val="none"/>
          <w:lang w:val="en-US" w:eastAsia="zh-CN" w:bidi="ar-SA"/>
          <w14:textFill>
            <w14:solidFill>
              <w14:schemeClr w14:val="tx1"/>
            </w14:solidFill>
          </w14:textFill>
        </w:rPr>
        <w:t>5、项目团队实施中提供7×8小时咨询服务。项目验收后提供1年的跟踪咨询服务，自项目竣工验收通过之日起计算。在实施单位提出服务请求时，项目团队应在30分钟内响应，在24个小时内提供解决方案。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 w:name="方正仿宋_GB2312">
    <w:panose1 w:val="02000000000000000000"/>
    <w:charset w:val="86"/>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A912C8"/>
    <w:multiLevelType w:val="multilevel"/>
    <w:tmpl w:val="3EA912C8"/>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1">
    <w:nsid w:val="407B7755"/>
    <w:multiLevelType w:val="multilevel"/>
    <w:tmpl w:val="407B7755"/>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
    <w:nsid w:val="5B867CBF"/>
    <w:multiLevelType w:val="multilevel"/>
    <w:tmpl w:val="5B867CBF"/>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DF3DFC"/>
    <w:rsid w:val="13DA7422"/>
    <w:rsid w:val="68DF3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120" w:after="120" w:line="360" w:lineRule="auto"/>
      <w:jc w:val="left"/>
      <w:outlineLvl w:val="0"/>
    </w:pPr>
    <w:rPr>
      <w:b/>
      <w:bCs/>
      <w:kern w:val="44"/>
      <w:sz w:val="32"/>
      <w:szCs w:val="32"/>
    </w:rPr>
  </w:style>
  <w:style w:type="paragraph" w:styleId="3">
    <w:name w:val="heading 2"/>
    <w:basedOn w:val="1"/>
    <w:next w:val="1"/>
    <w:unhideWhenUsed/>
    <w:qFormat/>
    <w:uiPriority w:val="0"/>
    <w:pPr>
      <w:keepNext/>
      <w:keepLines/>
      <w:numPr>
        <w:ilvl w:val="1"/>
        <w:numId w:val="1"/>
      </w:numPr>
      <w:ind w:left="0" w:firstLine="0" w:firstLineChars="0"/>
      <w:outlineLvl w:val="1"/>
    </w:pPr>
    <w:rPr>
      <w:rFonts w:eastAsia="黑体" w:asciiTheme="majorHAnsi" w:hAnsiTheme="majorHAnsi" w:cstheme="majorBidi"/>
      <w:color w:val="000000" w:themeColor="text1"/>
      <w:sz w:val="32"/>
      <w:szCs w:val="40"/>
      <w14:textFill>
        <w14:solidFill>
          <w14:schemeClr w14:val="tx1"/>
        </w14:solidFill>
      </w14:textFill>
    </w:rPr>
  </w:style>
  <w:style w:type="paragraph" w:styleId="4">
    <w:name w:val="heading 3"/>
    <w:basedOn w:val="1"/>
    <w:next w:val="1"/>
    <w:unhideWhenUsed/>
    <w:qFormat/>
    <w:uiPriority w:val="0"/>
    <w:pPr>
      <w:keepNext/>
      <w:keepLines/>
      <w:numPr>
        <w:ilvl w:val="2"/>
        <w:numId w:val="1"/>
      </w:numPr>
      <w:ind w:firstLine="0" w:firstLineChars="0"/>
      <w:outlineLvl w:val="2"/>
    </w:pPr>
    <w:rPr>
      <w:rFonts w:eastAsia="黑体" w:asciiTheme="majorHAnsi" w:hAnsiTheme="majorHAnsi" w:cstheme="majorBidi"/>
      <w:color w:val="000000" w:themeColor="text1"/>
      <w:sz w:val="30"/>
      <w:szCs w:val="32"/>
      <w14:textFill>
        <w14:solidFill>
          <w14:schemeClr w14:val="tx1"/>
        </w14:solidFill>
      </w14:textFill>
    </w:rPr>
  </w:style>
  <w:style w:type="paragraph" w:styleId="5">
    <w:name w:val="heading 4"/>
    <w:basedOn w:val="1"/>
    <w:next w:val="1"/>
    <w:unhideWhenUsed/>
    <w:qFormat/>
    <w:uiPriority w:val="0"/>
    <w:pPr>
      <w:keepNext/>
      <w:keepLines/>
      <w:numPr>
        <w:ilvl w:val="3"/>
        <w:numId w:val="1"/>
      </w:numPr>
      <w:ind w:firstLine="0" w:firstLineChars="0"/>
      <w:outlineLvl w:val="3"/>
    </w:pPr>
    <w:rPr>
      <w:rFonts w:eastAsia="黑体" w:cstheme="majorBidi"/>
      <w:color w:val="000000" w:themeColor="text1"/>
      <w:sz w:val="24"/>
      <w:szCs w:val="28"/>
      <w14:textFill>
        <w14:solidFill>
          <w14:schemeClr w14:val="tx1"/>
        </w14:solidFill>
      </w14:textFill>
    </w:rPr>
  </w:style>
  <w:style w:type="paragraph" w:styleId="6">
    <w:name w:val="heading 5"/>
    <w:basedOn w:val="1"/>
    <w:next w:val="1"/>
    <w:unhideWhenUsed/>
    <w:qFormat/>
    <w:uiPriority w:val="0"/>
    <w:pPr>
      <w:keepNext/>
      <w:keepLines/>
      <w:numPr>
        <w:ilvl w:val="4"/>
        <w:numId w:val="1"/>
      </w:numPr>
      <w:spacing w:before="80" w:after="40"/>
      <w:ind w:left="0" w:firstLine="0" w:firstLineChars="0"/>
      <w:outlineLvl w:val="4"/>
    </w:pPr>
    <w:rPr>
      <w:rFonts w:cstheme="majorBidi"/>
      <w:sz w:val="24"/>
      <w:szCs w:val="24"/>
    </w:rPr>
  </w:style>
  <w:style w:type="paragraph" w:styleId="7">
    <w:name w:val="heading 6"/>
    <w:basedOn w:val="1"/>
    <w:next w:val="1"/>
    <w:unhideWhenUsed/>
    <w:qFormat/>
    <w:uiPriority w:val="0"/>
    <w:pPr>
      <w:keepNext/>
      <w:keepLines/>
      <w:numPr>
        <w:ilvl w:val="5"/>
        <w:numId w:val="1"/>
      </w:numPr>
      <w:spacing w:before="40"/>
      <w:ind w:left="0" w:firstLine="0" w:firstLineChars="0"/>
      <w:outlineLvl w:val="5"/>
    </w:pPr>
    <w:rPr>
      <w:rFonts w:cstheme="majorBidi"/>
      <w:b/>
      <w:bCs/>
      <w:color w:val="000000" w:themeColor="text1"/>
      <w14:textFill>
        <w14:solidFill>
          <w14:schemeClr w14:val="tx1"/>
        </w14:solidFill>
      </w14:textFill>
    </w:rPr>
  </w:style>
  <w:style w:type="paragraph" w:styleId="8">
    <w:name w:val="heading 7"/>
    <w:basedOn w:val="1"/>
    <w:next w:val="1"/>
    <w:unhideWhenUsed/>
    <w:qFormat/>
    <w:uiPriority w:val="0"/>
    <w:pPr>
      <w:keepNext/>
      <w:keepLines/>
      <w:numPr>
        <w:ilvl w:val="6"/>
        <w:numId w:val="1"/>
      </w:numPr>
      <w:spacing w:before="40"/>
      <w:ind w:left="0" w:firstLine="0" w:firstLineChars="0"/>
      <w:outlineLvl w:val="6"/>
    </w:pPr>
    <w:rPr>
      <w:rFonts w:cstheme="majorBidi"/>
      <w:b/>
      <w:bCs/>
      <w:color w:val="595959" w:themeColor="text1" w:themeTint="A6"/>
      <w14:textFill>
        <w14:solidFill>
          <w14:schemeClr w14:val="tx1">
            <w14:lumMod w14:val="65000"/>
            <w14:lumOff w14:val="35000"/>
          </w14:schemeClr>
        </w14:solidFill>
      </w14:textFill>
    </w:rPr>
  </w:style>
  <w:style w:type="character" w:default="1" w:styleId="9">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customStyle="1" w:styleId="11">
    <w:name w:val="样式1"/>
    <w:basedOn w:val="1"/>
    <w:qFormat/>
    <w:uiPriority w:val="0"/>
    <w:rPr>
      <w:rFonts w:ascii="Calibri" w:hAnsi="Calibri" w:eastAsia="宋体" w:cs="Times New Roman"/>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2026-06-04T06:41:00Z</dcterms:created>
  <dc:creator>Administrator</dc:creator>
  <cp:lastModifiedBy>Administrator</cp:lastModifiedBy>
  <dcterms:modified xsi:type="dcterms:W3CDTF">2026-06-04T06:42:03Z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